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88915C" w14:textId="77777777" w:rsidR="004D785F" w:rsidRDefault="004D785F" w:rsidP="004D785F">
      <w:pPr>
        <w:spacing w:before="100" w:beforeAutospacing="1" w:after="100" w:afterAutospacing="1" w:line="360" w:lineRule="auto"/>
        <w:jc w:val="center"/>
        <w:rPr>
          <w:rFonts w:ascii="Times New Roman" w:eastAsia="Times New Roman" w:hAnsi="Times New Roman" w:cs="Times New Roman"/>
          <w:b/>
          <w:bCs/>
          <w:sz w:val="24"/>
          <w:szCs w:val="24"/>
        </w:rPr>
      </w:pPr>
      <w:r w:rsidRPr="004D785F">
        <w:rPr>
          <w:rFonts w:ascii="Times New Roman" w:eastAsia="Times New Roman" w:hAnsi="Times New Roman" w:cs="Times New Roman"/>
          <w:b/>
          <w:bCs/>
          <w:sz w:val="24"/>
          <w:szCs w:val="24"/>
        </w:rPr>
        <w:t xml:space="preserve">Protective Effects of </w:t>
      </w:r>
      <w:r w:rsidRPr="004D785F">
        <w:rPr>
          <w:rFonts w:ascii="Times New Roman" w:eastAsia="Times New Roman" w:hAnsi="Times New Roman" w:cs="Times New Roman"/>
          <w:b/>
          <w:bCs/>
          <w:i/>
          <w:iCs/>
          <w:sz w:val="24"/>
          <w:szCs w:val="24"/>
        </w:rPr>
        <w:t>Ginkgo biloba</w:t>
      </w:r>
      <w:r w:rsidRPr="004D785F">
        <w:rPr>
          <w:rFonts w:ascii="Times New Roman" w:eastAsia="Times New Roman" w:hAnsi="Times New Roman" w:cs="Times New Roman"/>
          <w:b/>
          <w:bCs/>
          <w:sz w:val="24"/>
          <w:szCs w:val="24"/>
        </w:rPr>
        <w:t xml:space="preserve"> Against Methamphetamine-Induced Gastric Ulceration and Acid Hypersecretion in Wistar Rats</w:t>
      </w:r>
    </w:p>
    <w:p w14:paraId="5AC656B5" w14:textId="0977A5AE" w:rsidR="00613B7A" w:rsidRDefault="0004557F" w:rsidP="00F92321">
      <w:pPr>
        <w:spacing w:before="100" w:beforeAutospacing="1" w:after="100" w:afterAutospacing="1" w:line="360" w:lineRule="auto"/>
        <w:jc w:val="both"/>
        <w:rPr>
          <w:rFonts w:ascii="Times New Roman" w:eastAsia="Times New Roman" w:hAnsi="Times New Roman" w:cs="Times New Roman"/>
          <w:b/>
          <w:bCs/>
          <w:sz w:val="24"/>
          <w:szCs w:val="24"/>
        </w:rPr>
      </w:pPr>
      <w:r w:rsidRPr="0004557F">
        <w:rPr>
          <w:rFonts w:ascii="Times New Roman" w:eastAsia="Times New Roman" w:hAnsi="Times New Roman" w:cs="Times New Roman"/>
          <w:b/>
          <w:bCs/>
          <w:sz w:val="24"/>
          <w:szCs w:val="24"/>
          <w:highlight w:val="yellow"/>
        </w:rPr>
        <w:t>Original Research Article</w:t>
      </w:r>
      <w:bookmarkStart w:id="0" w:name="_GoBack"/>
      <w:bookmarkEnd w:id="0"/>
    </w:p>
    <w:p w14:paraId="54632F7B" w14:textId="0C40AAD7" w:rsidR="007C1A8D" w:rsidRPr="007C1A8D" w:rsidRDefault="00014FAA" w:rsidP="00F92321">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7C21737F" w14:textId="4BDF8CFE" w:rsidR="007C1A8D" w:rsidRPr="007C1A8D" w:rsidRDefault="007C1A8D" w:rsidP="00F92321">
      <w:pPr>
        <w:spacing w:before="100" w:beforeAutospacing="1" w:after="100" w:afterAutospacing="1" w:line="360" w:lineRule="auto"/>
        <w:jc w:val="both"/>
        <w:rPr>
          <w:rFonts w:ascii="Times New Roman" w:eastAsia="Times New Roman" w:hAnsi="Times New Roman" w:cs="Times New Roman"/>
          <w:bCs/>
          <w:sz w:val="24"/>
          <w:szCs w:val="24"/>
        </w:rPr>
      </w:pPr>
      <w:r w:rsidRPr="007C1A8D">
        <w:rPr>
          <w:rFonts w:ascii="Times New Roman" w:eastAsia="Times New Roman" w:hAnsi="Times New Roman" w:cs="Times New Roman"/>
          <w:bCs/>
          <w:sz w:val="24"/>
          <w:szCs w:val="24"/>
        </w:rPr>
        <w:t xml:space="preserve">Methamphetamine misuse is a growing global concern, contributing to significant harm to users' internal organs. This study investigated the potential protective effects of </w:t>
      </w:r>
      <w:r w:rsidRPr="007C1A8D">
        <w:rPr>
          <w:rFonts w:ascii="Times New Roman" w:eastAsia="Times New Roman" w:hAnsi="Times New Roman" w:cs="Times New Roman"/>
          <w:bCs/>
          <w:i/>
          <w:iCs/>
          <w:sz w:val="24"/>
          <w:szCs w:val="24"/>
        </w:rPr>
        <w:t>Ginkgo biloba</w:t>
      </w:r>
      <w:r w:rsidRPr="007C1A8D">
        <w:rPr>
          <w:rFonts w:ascii="Times New Roman" w:eastAsia="Times New Roman" w:hAnsi="Times New Roman" w:cs="Times New Roman"/>
          <w:bCs/>
          <w:sz w:val="24"/>
          <w:szCs w:val="24"/>
        </w:rPr>
        <w:t xml:space="preserve"> extract against the ulcerogenic and gastric-stimulating effects of methamphetamine in Wistar rats. Forty-eight male albino Wistar rats were </w:t>
      </w:r>
      <w:r w:rsidR="006D662E">
        <w:rPr>
          <w:rFonts w:ascii="Times New Roman" w:eastAsia="Times New Roman" w:hAnsi="Times New Roman" w:cs="Times New Roman"/>
          <w:bCs/>
          <w:sz w:val="24"/>
          <w:szCs w:val="24"/>
        </w:rPr>
        <w:t>divided into four groups (n=12);</w:t>
      </w:r>
      <w:r w:rsidRPr="007C1A8D">
        <w:rPr>
          <w:rFonts w:ascii="Times New Roman" w:eastAsia="Times New Roman" w:hAnsi="Times New Roman" w:cs="Times New Roman"/>
          <w:bCs/>
          <w:sz w:val="24"/>
          <w:szCs w:val="24"/>
        </w:rPr>
        <w:t xml:space="preserve"> </w:t>
      </w:r>
      <w:r w:rsidR="006D662E">
        <w:rPr>
          <w:rFonts w:ascii="Times New Roman" w:eastAsia="Times New Roman" w:hAnsi="Times New Roman" w:cs="Times New Roman"/>
          <w:bCs/>
          <w:sz w:val="24"/>
          <w:szCs w:val="24"/>
        </w:rPr>
        <w:t>G</w:t>
      </w:r>
      <w:r w:rsidR="006D662E" w:rsidRPr="007C1A8D">
        <w:rPr>
          <w:rFonts w:ascii="Times New Roman" w:eastAsia="Times New Roman" w:hAnsi="Times New Roman" w:cs="Times New Roman"/>
          <w:bCs/>
          <w:sz w:val="24"/>
          <w:szCs w:val="24"/>
        </w:rPr>
        <w:t>roup</w:t>
      </w:r>
      <w:r w:rsidR="006D662E" w:rsidRPr="007C1A8D">
        <w:rPr>
          <w:rFonts w:ascii="Times New Roman" w:eastAsia="Times New Roman" w:hAnsi="Times New Roman" w:cs="Times New Roman"/>
          <w:bCs/>
          <w:sz w:val="24"/>
          <w:szCs w:val="24"/>
        </w:rPr>
        <w:t xml:space="preserve"> </w:t>
      </w:r>
      <w:r w:rsidRPr="007C1A8D">
        <w:rPr>
          <w:rFonts w:ascii="Times New Roman" w:eastAsia="Times New Roman" w:hAnsi="Times New Roman" w:cs="Times New Roman"/>
          <w:bCs/>
          <w:sz w:val="24"/>
          <w:szCs w:val="24"/>
        </w:rPr>
        <w:t xml:space="preserve">one </w:t>
      </w:r>
      <w:r w:rsidR="006D662E">
        <w:rPr>
          <w:rFonts w:ascii="Times New Roman" w:eastAsia="Times New Roman" w:hAnsi="Times New Roman" w:cs="Times New Roman"/>
          <w:bCs/>
          <w:sz w:val="24"/>
          <w:szCs w:val="24"/>
        </w:rPr>
        <w:t xml:space="preserve">served as control and received no treatment; Group 2 </w:t>
      </w:r>
      <w:r w:rsidR="005A47BF">
        <w:rPr>
          <w:rFonts w:ascii="Times New Roman" w:eastAsia="Times New Roman" w:hAnsi="Times New Roman" w:cs="Times New Roman"/>
          <w:bCs/>
          <w:sz w:val="24"/>
          <w:szCs w:val="24"/>
        </w:rPr>
        <w:t xml:space="preserve">(GB) </w:t>
      </w:r>
      <w:r w:rsidR="006D662E" w:rsidRPr="007C1A8D">
        <w:rPr>
          <w:rFonts w:ascii="Times New Roman" w:eastAsia="Times New Roman" w:hAnsi="Times New Roman" w:cs="Times New Roman"/>
          <w:bCs/>
          <w:sz w:val="24"/>
          <w:szCs w:val="24"/>
        </w:rPr>
        <w:t xml:space="preserve">received </w:t>
      </w:r>
      <w:r w:rsidR="006D662E" w:rsidRPr="007C1A8D">
        <w:rPr>
          <w:rFonts w:ascii="Times New Roman" w:eastAsia="Times New Roman" w:hAnsi="Times New Roman" w:cs="Times New Roman"/>
          <w:bCs/>
          <w:i/>
          <w:iCs/>
          <w:sz w:val="24"/>
          <w:szCs w:val="24"/>
        </w:rPr>
        <w:t xml:space="preserve">Ginkgo </w:t>
      </w:r>
      <w:proofErr w:type="spellStart"/>
      <w:r w:rsidR="006D662E" w:rsidRPr="007C1A8D">
        <w:rPr>
          <w:rFonts w:ascii="Times New Roman" w:eastAsia="Times New Roman" w:hAnsi="Times New Roman" w:cs="Times New Roman"/>
          <w:bCs/>
          <w:i/>
          <w:iCs/>
          <w:sz w:val="24"/>
          <w:szCs w:val="24"/>
        </w:rPr>
        <w:t>biloba</w:t>
      </w:r>
      <w:proofErr w:type="spellEnd"/>
      <w:r w:rsidR="006D662E">
        <w:rPr>
          <w:rFonts w:ascii="Times New Roman" w:eastAsia="Times New Roman" w:hAnsi="Times New Roman" w:cs="Times New Roman"/>
          <w:bCs/>
          <w:sz w:val="24"/>
          <w:szCs w:val="24"/>
        </w:rPr>
        <w:t xml:space="preserve"> (50 mg/kg body weight); Group 3 </w:t>
      </w:r>
      <w:r w:rsidR="005A47BF">
        <w:rPr>
          <w:rFonts w:ascii="Times New Roman" w:eastAsia="Times New Roman" w:hAnsi="Times New Roman" w:cs="Times New Roman"/>
          <w:bCs/>
          <w:sz w:val="24"/>
          <w:szCs w:val="24"/>
        </w:rPr>
        <w:t xml:space="preserve">(METH) </w:t>
      </w:r>
      <w:r w:rsidRPr="007C1A8D">
        <w:rPr>
          <w:rFonts w:ascii="Times New Roman" w:eastAsia="Times New Roman" w:hAnsi="Times New Roman" w:cs="Times New Roman"/>
          <w:bCs/>
          <w:sz w:val="24"/>
          <w:szCs w:val="24"/>
        </w:rPr>
        <w:t>received methamphe</w:t>
      </w:r>
      <w:r w:rsidR="006D662E">
        <w:rPr>
          <w:rFonts w:ascii="Times New Roman" w:eastAsia="Times New Roman" w:hAnsi="Times New Roman" w:cs="Times New Roman"/>
          <w:bCs/>
          <w:sz w:val="24"/>
          <w:szCs w:val="24"/>
        </w:rPr>
        <w:t>tamine (2.0 mg/kg body weight); Group 4</w:t>
      </w:r>
      <w:r w:rsidR="005A47BF">
        <w:rPr>
          <w:rFonts w:ascii="Times New Roman" w:eastAsia="Times New Roman" w:hAnsi="Times New Roman" w:cs="Times New Roman"/>
          <w:bCs/>
          <w:sz w:val="24"/>
          <w:szCs w:val="24"/>
        </w:rPr>
        <w:t xml:space="preserve"> (GB + METH)</w:t>
      </w:r>
      <w:r w:rsidR="006D662E">
        <w:rPr>
          <w:rFonts w:ascii="Times New Roman" w:eastAsia="Times New Roman" w:hAnsi="Times New Roman" w:cs="Times New Roman"/>
          <w:bCs/>
          <w:sz w:val="24"/>
          <w:szCs w:val="24"/>
        </w:rPr>
        <w:t xml:space="preserve"> </w:t>
      </w:r>
      <w:r w:rsidRPr="007C1A8D">
        <w:rPr>
          <w:rFonts w:ascii="Times New Roman" w:eastAsia="Times New Roman" w:hAnsi="Times New Roman" w:cs="Times New Roman"/>
          <w:bCs/>
          <w:sz w:val="24"/>
          <w:szCs w:val="24"/>
        </w:rPr>
        <w:t xml:space="preserve">received both </w:t>
      </w:r>
      <w:r w:rsidRPr="007C1A8D">
        <w:rPr>
          <w:rFonts w:ascii="Times New Roman" w:eastAsia="Times New Roman" w:hAnsi="Times New Roman" w:cs="Times New Roman"/>
          <w:bCs/>
          <w:i/>
          <w:iCs/>
          <w:sz w:val="24"/>
          <w:szCs w:val="24"/>
        </w:rPr>
        <w:t xml:space="preserve">Ginkgo </w:t>
      </w:r>
      <w:proofErr w:type="spellStart"/>
      <w:r w:rsidRPr="007C1A8D">
        <w:rPr>
          <w:rFonts w:ascii="Times New Roman" w:eastAsia="Times New Roman" w:hAnsi="Times New Roman" w:cs="Times New Roman"/>
          <w:bCs/>
          <w:i/>
          <w:iCs/>
          <w:sz w:val="24"/>
          <w:szCs w:val="24"/>
        </w:rPr>
        <w:t>biloba</w:t>
      </w:r>
      <w:proofErr w:type="spellEnd"/>
      <w:r w:rsidRPr="007C1A8D">
        <w:rPr>
          <w:rFonts w:ascii="Times New Roman" w:eastAsia="Times New Roman" w:hAnsi="Times New Roman" w:cs="Times New Roman"/>
          <w:bCs/>
          <w:sz w:val="24"/>
          <w:szCs w:val="24"/>
        </w:rPr>
        <w:t xml:space="preserve"> </w:t>
      </w:r>
      <w:r w:rsidR="005A47BF" w:rsidRPr="007C1A8D">
        <w:rPr>
          <w:rFonts w:ascii="Times New Roman" w:eastAsia="Times New Roman" w:hAnsi="Times New Roman" w:cs="Times New Roman"/>
          <w:bCs/>
          <w:sz w:val="24"/>
          <w:szCs w:val="24"/>
        </w:rPr>
        <w:t>(50 mg/kg body weight)</w:t>
      </w:r>
      <w:r w:rsidR="005A47BF" w:rsidRPr="007C1A8D">
        <w:rPr>
          <w:rFonts w:ascii="Times New Roman" w:eastAsia="Times New Roman" w:hAnsi="Times New Roman" w:cs="Times New Roman"/>
          <w:bCs/>
          <w:sz w:val="24"/>
          <w:szCs w:val="24"/>
        </w:rPr>
        <w:t xml:space="preserve"> </w:t>
      </w:r>
      <w:r w:rsidRPr="007C1A8D">
        <w:rPr>
          <w:rFonts w:ascii="Times New Roman" w:eastAsia="Times New Roman" w:hAnsi="Times New Roman" w:cs="Times New Roman"/>
          <w:bCs/>
          <w:sz w:val="24"/>
          <w:szCs w:val="24"/>
        </w:rPr>
        <w:t>and methamphetamine</w:t>
      </w:r>
      <w:r w:rsidR="005A47BF">
        <w:rPr>
          <w:rFonts w:ascii="Times New Roman" w:eastAsia="Times New Roman" w:hAnsi="Times New Roman" w:cs="Times New Roman"/>
          <w:bCs/>
          <w:sz w:val="24"/>
          <w:szCs w:val="24"/>
        </w:rPr>
        <w:t xml:space="preserve"> </w:t>
      </w:r>
      <w:r w:rsidR="005A47BF" w:rsidRPr="007C1A8D">
        <w:rPr>
          <w:rFonts w:ascii="Times New Roman" w:eastAsia="Times New Roman" w:hAnsi="Times New Roman" w:cs="Times New Roman"/>
          <w:bCs/>
          <w:sz w:val="24"/>
          <w:szCs w:val="24"/>
        </w:rPr>
        <w:t>(2.0 mg/kg body weight)</w:t>
      </w:r>
      <w:r w:rsidR="005A47BF">
        <w:rPr>
          <w:rFonts w:ascii="Times New Roman" w:eastAsia="Times New Roman" w:hAnsi="Times New Roman" w:cs="Times New Roman"/>
          <w:bCs/>
          <w:sz w:val="24"/>
          <w:szCs w:val="24"/>
        </w:rPr>
        <w:t xml:space="preserve">. </w:t>
      </w:r>
      <w:r w:rsidRPr="007C1A8D">
        <w:rPr>
          <w:rFonts w:ascii="Times New Roman" w:eastAsia="Times New Roman" w:hAnsi="Times New Roman" w:cs="Times New Roman"/>
          <w:bCs/>
          <w:sz w:val="24"/>
          <w:szCs w:val="24"/>
        </w:rPr>
        <w:t xml:space="preserve">After 28 days, treatment with </w:t>
      </w:r>
      <w:r w:rsidRPr="007C1A8D">
        <w:rPr>
          <w:rFonts w:ascii="Times New Roman" w:eastAsia="Times New Roman" w:hAnsi="Times New Roman" w:cs="Times New Roman"/>
          <w:bCs/>
          <w:i/>
          <w:iCs/>
          <w:sz w:val="24"/>
          <w:szCs w:val="24"/>
        </w:rPr>
        <w:t xml:space="preserve">Ginkgo </w:t>
      </w:r>
      <w:proofErr w:type="spellStart"/>
      <w:r w:rsidRPr="007C1A8D">
        <w:rPr>
          <w:rFonts w:ascii="Times New Roman" w:eastAsia="Times New Roman" w:hAnsi="Times New Roman" w:cs="Times New Roman"/>
          <w:bCs/>
          <w:i/>
          <w:iCs/>
          <w:sz w:val="24"/>
          <w:szCs w:val="24"/>
        </w:rPr>
        <w:t>biloba</w:t>
      </w:r>
      <w:proofErr w:type="spellEnd"/>
      <w:r w:rsidRPr="007C1A8D">
        <w:rPr>
          <w:rFonts w:ascii="Times New Roman" w:eastAsia="Times New Roman" w:hAnsi="Times New Roman" w:cs="Times New Roman"/>
          <w:bCs/>
          <w:sz w:val="24"/>
          <w:szCs w:val="24"/>
        </w:rPr>
        <w:t xml:space="preserve"> significantly </w:t>
      </w:r>
      <w:r w:rsidR="00741AAB">
        <w:rPr>
          <w:rFonts w:ascii="Times New Roman" w:eastAsia="Times New Roman" w:hAnsi="Times New Roman" w:cs="Times New Roman"/>
          <w:bCs/>
          <w:sz w:val="24"/>
          <w:szCs w:val="24"/>
        </w:rPr>
        <w:t xml:space="preserve">(p&lt;0.05) </w:t>
      </w:r>
      <w:r w:rsidRPr="007C1A8D">
        <w:rPr>
          <w:rFonts w:ascii="Times New Roman" w:eastAsia="Times New Roman" w:hAnsi="Times New Roman" w:cs="Times New Roman"/>
          <w:bCs/>
          <w:sz w:val="24"/>
          <w:szCs w:val="24"/>
        </w:rPr>
        <w:t>alleviated the adverse effects induced by methamphetamine, including reductions in body and stomach weights, gastric acid and pepsin production, and ulcer scores, all of which reflect gastrointestinal mucosal damage. Methamphetamine intake was also found to disrupt</w:t>
      </w:r>
      <w:r w:rsidR="00741AAB">
        <w:rPr>
          <w:rFonts w:ascii="Times New Roman" w:eastAsia="Times New Roman" w:hAnsi="Times New Roman" w:cs="Times New Roman"/>
          <w:bCs/>
          <w:sz w:val="24"/>
          <w:szCs w:val="24"/>
        </w:rPr>
        <w:t xml:space="preserve"> (p&lt;0.05)</w:t>
      </w:r>
      <w:r w:rsidRPr="007C1A8D">
        <w:rPr>
          <w:rFonts w:ascii="Times New Roman" w:eastAsia="Times New Roman" w:hAnsi="Times New Roman" w:cs="Times New Roman"/>
          <w:bCs/>
          <w:sz w:val="24"/>
          <w:szCs w:val="24"/>
        </w:rPr>
        <w:t xml:space="preserve"> intestinal transit time, likely due to its impact on the intestinal barrier. The treatment group showed significant increases</w:t>
      </w:r>
      <w:r w:rsidR="00741AAB">
        <w:rPr>
          <w:rFonts w:ascii="Times New Roman" w:eastAsia="Times New Roman" w:hAnsi="Times New Roman" w:cs="Times New Roman"/>
          <w:bCs/>
          <w:sz w:val="24"/>
          <w:szCs w:val="24"/>
        </w:rPr>
        <w:t xml:space="preserve"> </w:t>
      </w:r>
      <w:r w:rsidR="00741AAB" w:rsidRPr="00741AAB">
        <w:rPr>
          <w:rFonts w:ascii="Times New Roman" w:eastAsia="Times New Roman" w:hAnsi="Times New Roman" w:cs="Times New Roman"/>
          <w:bCs/>
          <w:sz w:val="24"/>
          <w:szCs w:val="24"/>
        </w:rPr>
        <w:t>(p&lt;0.05</w:t>
      </w:r>
      <w:proofErr w:type="gramStart"/>
      <w:r w:rsidR="00741AAB" w:rsidRPr="00741AAB">
        <w:rPr>
          <w:rFonts w:ascii="Times New Roman" w:eastAsia="Times New Roman" w:hAnsi="Times New Roman" w:cs="Times New Roman"/>
          <w:bCs/>
          <w:sz w:val="24"/>
          <w:szCs w:val="24"/>
        </w:rPr>
        <w:t xml:space="preserve">) </w:t>
      </w:r>
      <w:r w:rsidRPr="007C1A8D">
        <w:rPr>
          <w:rFonts w:ascii="Times New Roman" w:eastAsia="Times New Roman" w:hAnsi="Times New Roman" w:cs="Times New Roman"/>
          <w:bCs/>
          <w:sz w:val="24"/>
          <w:szCs w:val="24"/>
        </w:rPr>
        <w:t xml:space="preserve"> in</w:t>
      </w:r>
      <w:proofErr w:type="gramEnd"/>
      <w:r w:rsidRPr="007C1A8D">
        <w:rPr>
          <w:rFonts w:ascii="Times New Roman" w:eastAsia="Times New Roman" w:hAnsi="Times New Roman" w:cs="Times New Roman"/>
          <w:bCs/>
          <w:sz w:val="24"/>
          <w:szCs w:val="24"/>
        </w:rPr>
        <w:t xml:space="preserve"> mucus secretion, pepsin secretion, gastric acid output, ulcer scores, and transit time compared to the other groups. Photomicrographs of the stomach revealed severe distortion of the mucosal cytoarchitecture, infiltration of the submucosal layer with eosinophils, hypertrophy of the muscular mucosa, and degeneration of glandular cells. These findings provide further insight into the physiological changes associated with methamphetamine use and point to potential therapeutic interventions targeting intestinal function. </w:t>
      </w:r>
      <w:r w:rsidR="00EB2B98">
        <w:rPr>
          <w:rFonts w:ascii="Times New Roman" w:eastAsia="Times New Roman" w:hAnsi="Times New Roman" w:cs="Times New Roman"/>
          <w:bCs/>
          <w:sz w:val="24"/>
          <w:szCs w:val="24"/>
        </w:rPr>
        <w:t>In conclusion, this study</w:t>
      </w:r>
      <w:r w:rsidR="00EB2B98" w:rsidRPr="00EB2B98">
        <w:rPr>
          <w:rFonts w:ascii="Times New Roman" w:eastAsia="Times New Roman" w:hAnsi="Times New Roman" w:cs="Times New Roman"/>
          <w:bCs/>
          <w:sz w:val="24"/>
          <w:szCs w:val="24"/>
        </w:rPr>
        <w:t xml:space="preserve"> highlight</w:t>
      </w:r>
      <w:r w:rsidR="00EB2B98">
        <w:rPr>
          <w:rFonts w:ascii="Times New Roman" w:eastAsia="Times New Roman" w:hAnsi="Times New Roman" w:cs="Times New Roman"/>
          <w:bCs/>
          <w:sz w:val="24"/>
          <w:szCs w:val="24"/>
        </w:rPr>
        <w:t>s</w:t>
      </w:r>
      <w:r w:rsidR="00EB2B98" w:rsidRPr="00EB2B98">
        <w:rPr>
          <w:rFonts w:ascii="Times New Roman" w:eastAsia="Times New Roman" w:hAnsi="Times New Roman" w:cs="Times New Roman"/>
          <w:bCs/>
          <w:sz w:val="24"/>
          <w:szCs w:val="24"/>
        </w:rPr>
        <w:t xml:space="preserve"> the modulatory effects of </w:t>
      </w:r>
      <w:r w:rsidR="00EB2B98" w:rsidRPr="00EB2B98">
        <w:rPr>
          <w:rFonts w:ascii="Times New Roman" w:eastAsia="Times New Roman" w:hAnsi="Times New Roman" w:cs="Times New Roman"/>
          <w:bCs/>
          <w:i/>
          <w:sz w:val="24"/>
          <w:szCs w:val="24"/>
        </w:rPr>
        <w:t>Ginkgo biloba</w:t>
      </w:r>
      <w:r w:rsidR="00EB2B98" w:rsidRPr="00EB2B98">
        <w:rPr>
          <w:rFonts w:ascii="Times New Roman" w:eastAsia="Times New Roman" w:hAnsi="Times New Roman" w:cs="Times New Roman"/>
          <w:bCs/>
          <w:sz w:val="24"/>
          <w:szCs w:val="24"/>
        </w:rPr>
        <w:t xml:space="preserve"> on METH-induced gastrointestinal alterations, suggesting its influence on intestinal transit and mucosal integrity. While these results advance our understanding of its biological interactions, further research is essential to elucidate the underlying mechanisms and evaluate its translational relevance.</w:t>
      </w:r>
    </w:p>
    <w:p w14:paraId="2A58CBF8" w14:textId="77777777" w:rsidR="00F92321" w:rsidRDefault="00F9232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2B95B440" w14:textId="77777777" w:rsidR="00DE0D87" w:rsidRPr="00074982" w:rsidRDefault="00DE0D87"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lastRenderedPageBreak/>
        <w:t>Introduction:</w:t>
      </w:r>
    </w:p>
    <w:p w14:paraId="2930B5D8" w14:textId="77777777" w:rsidR="00326420" w:rsidRPr="00074982" w:rsidRDefault="00326420"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Methamphetamine (METH) is a synthetic stimulant that is mostly used recreationally and has a signi</w:t>
      </w:r>
      <w:r w:rsidR="00C85509" w:rsidRPr="00074982">
        <w:rPr>
          <w:rFonts w:ascii="Times New Roman" w:eastAsia="Times New Roman" w:hAnsi="Times New Roman" w:cs="Times New Roman"/>
          <w:sz w:val="24"/>
          <w:szCs w:val="24"/>
        </w:rPr>
        <w:t>ficant potential for addiction [1]</w:t>
      </w:r>
      <w:r w:rsidR="000C338F" w:rsidRPr="00074982">
        <w:rPr>
          <w:rFonts w:ascii="Times New Roman" w:eastAsia="Times New Roman" w:hAnsi="Times New Roman" w:cs="Times New Roman"/>
          <w:sz w:val="24"/>
          <w:szCs w:val="24"/>
        </w:rPr>
        <w:t>.</w:t>
      </w:r>
      <w:r w:rsidRPr="00074982">
        <w:rPr>
          <w:rFonts w:ascii="Times New Roman" w:eastAsia="Times New Roman" w:hAnsi="Times New Roman" w:cs="Times New Roman"/>
          <w:sz w:val="24"/>
          <w:szCs w:val="24"/>
        </w:rPr>
        <w:t xml:space="preserve"> Although it is occasionally recommended as a second-line treatment for disorders such as attention deficit hyperactivity disorder (ADHD) and obesity </w:t>
      </w:r>
      <w:r w:rsidR="00C85509" w:rsidRPr="00074982">
        <w:rPr>
          <w:rFonts w:ascii="Times New Roman" w:eastAsia="Times New Roman" w:hAnsi="Times New Roman" w:cs="Times New Roman"/>
          <w:sz w:val="24"/>
          <w:szCs w:val="24"/>
        </w:rPr>
        <w:t>[2]</w:t>
      </w:r>
      <w:r w:rsidRPr="00074982">
        <w:rPr>
          <w:rFonts w:ascii="Times New Roman" w:eastAsia="Times New Roman" w:hAnsi="Times New Roman" w:cs="Times New Roman"/>
          <w:sz w:val="24"/>
          <w:szCs w:val="24"/>
        </w:rPr>
        <w:t xml:space="preserve">, it is nevertheless frequently abused recreationally. METH is referred to by street names like "speed," "ice," "crystal," "glass," "meth," and "chalk" in Southern East Nigeria </w:t>
      </w:r>
      <w:r w:rsidR="00C85509" w:rsidRPr="00074982">
        <w:rPr>
          <w:rFonts w:ascii="Times New Roman" w:eastAsia="Times New Roman" w:hAnsi="Times New Roman" w:cs="Times New Roman"/>
          <w:sz w:val="24"/>
          <w:szCs w:val="24"/>
        </w:rPr>
        <w:t>[2]</w:t>
      </w:r>
      <w:r w:rsidRPr="00074982">
        <w:rPr>
          <w:rFonts w:ascii="Times New Roman" w:eastAsia="Times New Roman" w:hAnsi="Times New Roman" w:cs="Times New Roman"/>
          <w:sz w:val="24"/>
          <w:szCs w:val="24"/>
        </w:rPr>
        <w:t xml:space="preserve">. When METH was first introduced in 1938 as Pervitin, it became well-liked by employees who needed to fight off fatigue. It was employed by the German military to cure troops' weariness during World War II. By 1943, it was prescribed for several conditions, including ADHD, narcolepsy, depression, obesity, and alcoholism </w:t>
      </w:r>
      <w:r w:rsidR="00C85509" w:rsidRPr="00074982">
        <w:rPr>
          <w:rFonts w:ascii="Times New Roman" w:eastAsia="Times New Roman" w:hAnsi="Times New Roman" w:cs="Times New Roman"/>
          <w:sz w:val="24"/>
          <w:szCs w:val="24"/>
        </w:rPr>
        <w:t>[2]</w:t>
      </w:r>
      <w:r w:rsidRPr="00074982">
        <w:rPr>
          <w:rFonts w:ascii="Times New Roman" w:eastAsia="Times New Roman" w:hAnsi="Times New Roman" w:cs="Times New Roman"/>
          <w:sz w:val="24"/>
          <w:szCs w:val="24"/>
        </w:rPr>
        <w:t xml:space="preserve">. METH usage and misuse are on the rise worldwide, especially in the US, Asia, and Oceania. According to </w:t>
      </w:r>
      <w:r w:rsidR="00C85509" w:rsidRPr="00074982">
        <w:rPr>
          <w:rFonts w:ascii="Times New Roman" w:eastAsia="Times New Roman" w:hAnsi="Times New Roman" w:cs="Times New Roman"/>
          <w:sz w:val="24"/>
          <w:szCs w:val="24"/>
        </w:rPr>
        <w:t>[3]</w:t>
      </w:r>
      <w:r w:rsidRPr="00074982">
        <w:rPr>
          <w:rFonts w:ascii="Times New Roman" w:eastAsia="Times New Roman" w:hAnsi="Times New Roman" w:cs="Times New Roman"/>
          <w:sz w:val="24"/>
          <w:szCs w:val="24"/>
        </w:rPr>
        <w:t xml:space="preserve">, it is the second most commonly abused illegal substance in the world after cannabis, with over 10 million users in the United States alone and about 35 million worldwide. The prevalence of METH abuse is high among both young and old </w:t>
      </w:r>
      <w:r w:rsidR="00C85509" w:rsidRPr="00074982">
        <w:rPr>
          <w:rFonts w:ascii="Times New Roman" w:eastAsia="Times New Roman" w:hAnsi="Times New Roman" w:cs="Times New Roman"/>
          <w:sz w:val="24"/>
          <w:szCs w:val="24"/>
        </w:rPr>
        <w:t>[4]</w:t>
      </w:r>
      <w:r w:rsidRPr="00074982">
        <w:rPr>
          <w:rFonts w:ascii="Times New Roman" w:eastAsia="Times New Roman" w:hAnsi="Times New Roman" w:cs="Times New Roman"/>
          <w:sz w:val="24"/>
          <w:szCs w:val="24"/>
        </w:rPr>
        <w:t xml:space="preserve">. In Nigeria, METH abuse is very common, particularly among young people </w:t>
      </w:r>
      <w:r w:rsidR="00400C07" w:rsidRPr="00074982">
        <w:rPr>
          <w:rFonts w:ascii="Times New Roman" w:eastAsia="Times New Roman" w:hAnsi="Times New Roman" w:cs="Times New Roman"/>
          <w:sz w:val="24"/>
          <w:szCs w:val="24"/>
        </w:rPr>
        <w:t>[5]</w:t>
      </w:r>
      <w:r w:rsidRPr="00074982">
        <w:rPr>
          <w:rFonts w:ascii="Times New Roman" w:eastAsia="Times New Roman" w:hAnsi="Times New Roman" w:cs="Times New Roman"/>
          <w:sz w:val="24"/>
          <w:szCs w:val="24"/>
        </w:rPr>
        <w:t xml:space="preserve">. The ways of administering METH vary by location and can include injection, snorting, or smoking </w:t>
      </w:r>
      <w:r w:rsidR="00400C07" w:rsidRPr="00074982">
        <w:rPr>
          <w:rFonts w:ascii="Times New Roman" w:eastAsia="Times New Roman" w:hAnsi="Times New Roman" w:cs="Times New Roman"/>
          <w:sz w:val="24"/>
          <w:szCs w:val="24"/>
        </w:rPr>
        <w:t>[6]</w:t>
      </w:r>
      <w:r w:rsidRPr="00074982">
        <w:rPr>
          <w:rFonts w:ascii="Times New Roman" w:eastAsia="Times New Roman" w:hAnsi="Times New Roman" w:cs="Times New Roman"/>
          <w:sz w:val="24"/>
          <w:szCs w:val="24"/>
        </w:rPr>
        <w:t xml:space="preserve">. When the first euphoric effects wear off, users frequently take extra doses to extend the effects. In order to continue using METH for days, some people go on protracted "runs," skipping meals and sleep </w:t>
      </w:r>
      <w:r w:rsidR="00400C07" w:rsidRPr="00074982">
        <w:rPr>
          <w:rFonts w:ascii="Times New Roman" w:eastAsia="Times New Roman" w:hAnsi="Times New Roman" w:cs="Times New Roman"/>
          <w:sz w:val="24"/>
          <w:szCs w:val="24"/>
        </w:rPr>
        <w:t>[7]</w:t>
      </w:r>
      <w:r w:rsidRPr="00074982">
        <w:rPr>
          <w:rFonts w:ascii="Times New Roman" w:eastAsia="Times New Roman" w:hAnsi="Times New Roman" w:cs="Times New Roman"/>
          <w:sz w:val="24"/>
          <w:szCs w:val="24"/>
        </w:rPr>
        <w:t xml:space="preserve">. The most often used mode of administration is oral ingestion, allowing the drug to be absorbed and metabolized in the digestive system </w:t>
      </w:r>
      <w:r w:rsidR="00400C07" w:rsidRPr="00074982">
        <w:rPr>
          <w:rFonts w:ascii="Times New Roman" w:eastAsia="Times New Roman" w:hAnsi="Times New Roman" w:cs="Times New Roman"/>
          <w:sz w:val="24"/>
          <w:szCs w:val="24"/>
        </w:rPr>
        <w:t>[7]</w:t>
      </w:r>
      <w:r w:rsidRPr="00074982">
        <w:rPr>
          <w:rFonts w:ascii="Times New Roman" w:eastAsia="Times New Roman" w:hAnsi="Times New Roman" w:cs="Times New Roman"/>
          <w:sz w:val="24"/>
          <w:szCs w:val="24"/>
        </w:rPr>
        <w:t xml:space="preserve">. Effects of abuse include exhilaration, decreased hunger, hyperactivity, and increased talkativeness </w:t>
      </w:r>
      <w:r w:rsidR="00400C07" w:rsidRPr="00074982">
        <w:rPr>
          <w:rFonts w:ascii="Times New Roman" w:eastAsia="Times New Roman" w:hAnsi="Times New Roman" w:cs="Times New Roman"/>
          <w:sz w:val="24"/>
          <w:szCs w:val="24"/>
        </w:rPr>
        <w:t>[8]</w:t>
      </w:r>
      <w:r w:rsidRPr="00074982">
        <w:rPr>
          <w:rFonts w:ascii="Times New Roman" w:eastAsia="Times New Roman" w:hAnsi="Times New Roman" w:cs="Times New Roman"/>
          <w:sz w:val="24"/>
          <w:szCs w:val="24"/>
        </w:rPr>
        <w:t xml:space="preserve">. But illicit METH usage can have a serious negative effect on mental and physical health, leading to symptoms like anxiety, restlessness, stroke, disturbed sleep, lack of appetite, and excessive physical activity </w:t>
      </w:r>
      <w:r w:rsidR="00400C07" w:rsidRPr="00074982">
        <w:rPr>
          <w:rFonts w:ascii="Times New Roman" w:eastAsia="Times New Roman" w:hAnsi="Times New Roman" w:cs="Times New Roman"/>
          <w:sz w:val="24"/>
          <w:szCs w:val="24"/>
        </w:rPr>
        <w:t>[9]</w:t>
      </w:r>
      <w:r w:rsidRPr="00074982">
        <w:rPr>
          <w:rFonts w:ascii="Times New Roman" w:eastAsia="Times New Roman" w:hAnsi="Times New Roman" w:cs="Times New Roman"/>
          <w:sz w:val="24"/>
          <w:szCs w:val="24"/>
        </w:rPr>
        <w:t xml:space="preserve">. Flushed skin, dilated pupils, hyperactivity, and teeth grinding are some of the physical side effects of METH. According to </w:t>
      </w:r>
      <w:r w:rsidR="00400C07" w:rsidRPr="00074982">
        <w:rPr>
          <w:rFonts w:ascii="Times New Roman" w:eastAsia="Times New Roman" w:hAnsi="Times New Roman" w:cs="Times New Roman"/>
          <w:sz w:val="24"/>
          <w:szCs w:val="24"/>
        </w:rPr>
        <w:t>[10]</w:t>
      </w:r>
      <w:r w:rsidRPr="00074982">
        <w:rPr>
          <w:rFonts w:ascii="Times New Roman" w:eastAsia="Times New Roman" w:hAnsi="Times New Roman" w:cs="Times New Roman"/>
          <w:sz w:val="24"/>
          <w:szCs w:val="24"/>
        </w:rPr>
        <w:t>, "meth mouth," a condition marked by significant teeth decay, can result from prolonged use.</w:t>
      </w:r>
    </w:p>
    <w:p w14:paraId="4CBCFAF5" w14:textId="77777777" w:rsidR="00326420" w:rsidRPr="00074982" w:rsidRDefault="00326420" w:rsidP="00F92321">
      <w:pPr>
        <w:spacing w:after="0"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In contrast to other stimulants, METH has long-lasting stimulating effects and is neurotoxic </w:t>
      </w:r>
      <w:r w:rsidR="008640BA" w:rsidRPr="00074982">
        <w:rPr>
          <w:rFonts w:ascii="Times New Roman" w:eastAsia="Times New Roman" w:hAnsi="Times New Roman" w:cs="Times New Roman"/>
          <w:sz w:val="24"/>
          <w:szCs w:val="24"/>
        </w:rPr>
        <w:t>[11]</w:t>
      </w:r>
      <w:r w:rsidRPr="00074982">
        <w:rPr>
          <w:rFonts w:ascii="Times New Roman" w:eastAsia="Times New Roman" w:hAnsi="Times New Roman" w:cs="Times New Roman"/>
          <w:sz w:val="24"/>
          <w:szCs w:val="24"/>
        </w:rPr>
        <w:t xml:space="preserve">. According to </w:t>
      </w:r>
      <w:r w:rsidR="008640BA" w:rsidRPr="00074982">
        <w:rPr>
          <w:rFonts w:ascii="Times New Roman" w:eastAsia="Times New Roman" w:hAnsi="Times New Roman" w:cs="Times New Roman"/>
          <w:sz w:val="24"/>
          <w:szCs w:val="24"/>
        </w:rPr>
        <w:t>[12]</w:t>
      </w:r>
      <w:r w:rsidRPr="00074982">
        <w:rPr>
          <w:rFonts w:ascii="Times New Roman" w:eastAsia="Times New Roman" w:hAnsi="Times New Roman" w:cs="Times New Roman"/>
          <w:sz w:val="24"/>
          <w:szCs w:val="24"/>
        </w:rPr>
        <w:t xml:space="preserve">, it triggers the sympathetic nervous system, which results in acute adverse effects such diarrhea, raised body temperature, high blood pressure, fast heartbeat, and vasoconstriction. Furthermore, METH usage has been connected to serotonin system impairment, tremors, migraines, aggressive behavior, and paranoia </w:t>
      </w:r>
      <w:r w:rsidR="008640BA" w:rsidRPr="00074982">
        <w:rPr>
          <w:rFonts w:ascii="Times New Roman" w:eastAsia="Times New Roman" w:hAnsi="Times New Roman" w:cs="Times New Roman"/>
          <w:sz w:val="24"/>
          <w:szCs w:val="24"/>
        </w:rPr>
        <w:t>[13]</w:t>
      </w:r>
      <w:r w:rsidRPr="00074982">
        <w:rPr>
          <w:rFonts w:ascii="Times New Roman" w:eastAsia="Times New Roman" w:hAnsi="Times New Roman" w:cs="Times New Roman"/>
          <w:sz w:val="24"/>
          <w:szCs w:val="24"/>
        </w:rPr>
        <w:t xml:space="preserve">. Additionally, abusing METH can </w:t>
      </w:r>
      <w:r w:rsidRPr="00074982">
        <w:rPr>
          <w:rFonts w:ascii="Times New Roman" w:eastAsia="Times New Roman" w:hAnsi="Times New Roman" w:cs="Times New Roman"/>
          <w:sz w:val="24"/>
          <w:szCs w:val="24"/>
        </w:rPr>
        <w:lastRenderedPageBreak/>
        <w:t xml:space="preserve">result in renal and liver failure and raise the risk of spreading infectious diseases like HIV and AIDS </w:t>
      </w:r>
      <w:r w:rsidR="008640BA" w:rsidRPr="00074982">
        <w:rPr>
          <w:rFonts w:ascii="Times New Roman" w:eastAsia="Times New Roman" w:hAnsi="Times New Roman" w:cs="Times New Roman"/>
          <w:sz w:val="24"/>
          <w:szCs w:val="24"/>
        </w:rPr>
        <w:t>[14]</w:t>
      </w:r>
      <w:r w:rsidRPr="00074982">
        <w:rPr>
          <w:rFonts w:ascii="Times New Roman" w:eastAsia="Times New Roman" w:hAnsi="Times New Roman" w:cs="Times New Roman"/>
          <w:sz w:val="24"/>
          <w:szCs w:val="24"/>
        </w:rPr>
        <w:t xml:space="preserve">. Glasner-Edwards &amp; Mooney </w:t>
      </w:r>
      <w:r w:rsidR="008640BA" w:rsidRPr="00074982">
        <w:rPr>
          <w:rFonts w:ascii="Times New Roman" w:eastAsia="Times New Roman" w:hAnsi="Times New Roman" w:cs="Times New Roman"/>
          <w:sz w:val="24"/>
          <w:szCs w:val="24"/>
        </w:rPr>
        <w:t>[15]</w:t>
      </w:r>
      <w:r w:rsidRPr="00074982">
        <w:rPr>
          <w:rFonts w:ascii="Times New Roman" w:eastAsia="Times New Roman" w:hAnsi="Times New Roman" w:cs="Times New Roman"/>
          <w:sz w:val="24"/>
          <w:szCs w:val="24"/>
        </w:rPr>
        <w:t xml:space="preserve"> have documented that METH is occasionally recommended by doctors for temporary weight loss.</w:t>
      </w:r>
    </w:p>
    <w:p w14:paraId="08F45A88" w14:textId="77777777" w:rsidR="00326420" w:rsidRPr="00074982" w:rsidRDefault="00326420" w:rsidP="00F92321">
      <w:pPr>
        <w:spacing w:after="0" w:line="360" w:lineRule="auto"/>
        <w:jc w:val="both"/>
        <w:rPr>
          <w:rFonts w:ascii="Times New Roman" w:eastAsia="Times New Roman" w:hAnsi="Times New Roman" w:cs="Times New Roman"/>
          <w:sz w:val="24"/>
          <w:szCs w:val="24"/>
        </w:rPr>
      </w:pPr>
    </w:p>
    <w:p w14:paraId="2141B87F" w14:textId="207B787D" w:rsidR="00326420" w:rsidRPr="00074982" w:rsidRDefault="00326420" w:rsidP="00F92321">
      <w:pPr>
        <w:spacing w:after="0"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For decades,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has been utilized in traditional medicine; in recent years, its medicinal qualities have drawn more attention. Studies conducted in the 1960s investigated its potential for treating cerebral atherosclerosis and blood flow abnormalities </w:t>
      </w:r>
      <w:r w:rsidR="008640BA" w:rsidRPr="00074982">
        <w:rPr>
          <w:rFonts w:ascii="Times New Roman" w:eastAsia="Times New Roman" w:hAnsi="Times New Roman" w:cs="Times New Roman"/>
          <w:sz w:val="24"/>
          <w:szCs w:val="24"/>
        </w:rPr>
        <w:t>[16]</w:t>
      </w:r>
      <w:r w:rsidRPr="00074982">
        <w:rPr>
          <w:rFonts w:ascii="Times New Roman" w:eastAsia="Times New Roman" w:hAnsi="Times New Roman" w:cs="Times New Roman"/>
          <w:sz w:val="24"/>
          <w:szCs w:val="24"/>
        </w:rPr>
        <w:t xml:space="preserve">. These days, EGb761, which comprises terpene lactones and flavonoids, is made with active components from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w:t>
      </w:r>
      <w:r w:rsidR="008640BA" w:rsidRPr="00074982">
        <w:rPr>
          <w:rFonts w:ascii="Times New Roman" w:eastAsia="Times New Roman" w:hAnsi="Times New Roman" w:cs="Times New Roman"/>
          <w:sz w:val="24"/>
          <w:szCs w:val="24"/>
        </w:rPr>
        <w:t>[17]</w:t>
      </w:r>
      <w:r w:rsidRPr="00074982">
        <w:rPr>
          <w:rFonts w:ascii="Times New Roman" w:eastAsia="Times New Roman" w:hAnsi="Times New Roman" w:cs="Times New Roman"/>
          <w:sz w:val="24"/>
          <w:szCs w:val="24"/>
        </w:rPr>
        <w:t xml:space="preserve">. According to Almeida </w:t>
      </w:r>
      <w:r w:rsidR="008640BA" w:rsidRPr="00074982">
        <w:rPr>
          <w:rFonts w:ascii="Times New Roman" w:eastAsia="Times New Roman" w:hAnsi="Times New Roman" w:cs="Times New Roman"/>
          <w:sz w:val="24"/>
          <w:szCs w:val="24"/>
        </w:rPr>
        <w:t>[18]</w:t>
      </w:r>
      <w:r w:rsidRPr="00074982">
        <w:rPr>
          <w:rFonts w:ascii="Times New Roman" w:eastAsia="Times New Roman" w:hAnsi="Times New Roman" w:cs="Times New Roman"/>
          <w:sz w:val="24"/>
          <w:szCs w:val="24"/>
        </w:rPr>
        <w:t xml:space="preserve">, EGb761 is used in traditional Chinese medicine to treat a number of ailments, such as bronchitis, stomach ache, asthma, and cognitive decline. The primary active ingredients of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are flavonoids, which are mainly taken as tablets or capsules </w:t>
      </w:r>
      <w:r w:rsidR="008640BA" w:rsidRPr="00074982">
        <w:rPr>
          <w:rFonts w:ascii="Times New Roman" w:eastAsia="Times New Roman" w:hAnsi="Times New Roman" w:cs="Times New Roman"/>
          <w:sz w:val="24"/>
          <w:szCs w:val="24"/>
        </w:rPr>
        <w:t>[19]</w:t>
      </w:r>
      <w:r w:rsidR="00C85509" w:rsidRPr="00074982">
        <w:rPr>
          <w:rFonts w:ascii="Times New Roman" w:eastAsia="Times New Roman" w:hAnsi="Times New Roman" w:cs="Times New Roman"/>
          <w:sz w:val="24"/>
          <w:szCs w:val="24"/>
        </w:rPr>
        <w:t xml:space="preserve">. </w:t>
      </w:r>
      <w:r w:rsidRPr="00074982">
        <w:rPr>
          <w:rFonts w:ascii="Times New Roman" w:eastAsia="Times New Roman" w:hAnsi="Times New Roman" w:cs="Times New Roman"/>
          <w:sz w:val="24"/>
          <w:szCs w:val="24"/>
        </w:rPr>
        <w:t xml:space="preserve">Additionally, the plant has terpenoids, which add to its therapeutic qualities </w:t>
      </w:r>
      <w:r w:rsidR="008640BA" w:rsidRPr="00074982">
        <w:rPr>
          <w:rFonts w:ascii="Times New Roman" w:eastAsia="Times New Roman" w:hAnsi="Times New Roman" w:cs="Times New Roman"/>
          <w:sz w:val="24"/>
          <w:szCs w:val="24"/>
        </w:rPr>
        <w:t>[20]</w:t>
      </w:r>
      <w:r w:rsidRPr="00074982">
        <w:rPr>
          <w:rFonts w:ascii="Times New Roman" w:eastAsia="Times New Roman" w:hAnsi="Times New Roman" w:cs="Times New Roman"/>
          <w:sz w:val="24"/>
          <w:szCs w:val="24"/>
        </w:rPr>
        <w:t xml:space="preserve">. According to recent research,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extract offers preventive qualities, especially against toxicity. Clinical studies have demonstrated its capacity to boost mental and physical activity, improve memory, and help manage neurological and cardiovascular conditions, including Alzheimer's disease </w:t>
      </w:r>
      <w:r w:rsidR="008640BA" w:rsidRPr="00074982">
        <w:rPr>
          <w:rFonts w:ascii="Times New Roman" w:eastAsia="Times New Roman" w:hAnsi="Times New Roman" w:cs="Times New Roman"/>
          <w:sz w:val="24"/>
          <w:szCs w:val="24"/>
        </w:rPr>
        <w:t>[21]</w:t>
      </w:r>
      <w:r w:rsidRPr="00074982">
        <w:rPr>
          <w:rFonts w:ascii="Times New Roman" w:eastAsia="Times New Roman" w:hAnsi="Times New Roman" w:cs="Times New Roman"/>
          <w:sz w:val="24"/>
          <w:szCs w:val="24"/>
        </w:rPr>
        <w:t xml:space="preserve">. According to </w:t>
      </w:r>
      <w:r w:rsidR="008640BA" w:rsidRPr="00074982">
        <w:rPr>
          <w:rFonts w:ascii="Times New Roman" w:eastAsia="Times New Roman" w:hAnsi="Times New Roman" w:cs="Times New Roman"/>
          <w:sz w:val="24"/>
          <w:szCs w:val="24"/>
        </w:rPr>
        <w:t>[22]</w:t>
      </w:r>
      <w:r w:rsidRPr="00074982">
        <w:rPr>
          <w:rFonts w:ascii="Times New Roman" w:eastAsia="Times New Roman" w:hAnsi="Times New Roman" w:cs="Times New Roman"/>
          <w:sz w:val="24"/>
          <w:szCs w:val="24"/>
        </w:rPr>
        <w:t xml:space="preserve">, its flavonoid and terpenoid content is essential for preventing oxidative stress and offering anti-ulcer properties. </w:t>
      </w:r>
      <w:r w:rsidR="00A408B9" w:rsidRPr="00A408B9">
        <w:rPr>
          <w:rFonts w:ascii="Times New Roman" w:eastAsia="Times New Roman" w:hAnsi="Times New Roman" w:cs="Times New Roman"/>
          <w:sz w:val="24"/>
          <w:szCs w:val="24"/>
        </w:rPr>
        <w:t xml:space="preserve">Recent studies have explored the multifaceted pharmacological mechanisms of </w:t>
      </w:r>
      <w:r w:rsidR="00A408B9" w:rsidRPr="00A408B9">
        <w:rPr>
          <w:rFonts w:ascii="Times New Roman" w:eastAsia="Times New Roman" w:hAnsi="Times New Roman" w:cs="Times New Roman"/>
          <w:i/>
          <w:iCs/>
          <w:sz w:val="24"/>
          <w:szCs w:val="24"/>
        </w:rPr>
        <w:t xml:space="preserve">Ginkgo </w:t>
      </w:r>
      <w:proofErr w:type="spellStart"/>
      <w:r w:rsidR="00A408B9" w:rsidRPr="00A408B9">
        <w:rPr>
          <w:rFonts w:ascii="Times New Roman" w:eastAsia="Times New Roman" w:hAnsi="Times New Roman" w:cs="Times New Roman"/>
          <w:i/>
          <w:iCs/>
          <w:sz w:val="24"/>
          <w:szCs w:val="24"/>
        </w:rPr>
        <w:t>biloba</w:t>
      </w:r>
      <w:proofErr w:type="spellEnd"/>
      <w:r w:rsidR="00A408B9" w:rsidRPr="00A408B9">
        <w:rPr>
          <w:rFonts w:ascii="Times New Roman" w:eastAsia="Times New Roman" w:hAnsi="Times New Roman" w:cs="Times New Roman"/>
          <w:sz w:val="24"/>
          <w:szCs w:val="24"/>
        </w:rPr>
        <w:t xml:space="preserve">, including its </w:t>
      </w:r>
      <w:proofErr w:type="spellStart"/>
      <w:r w:rsidR="00A408B9" w:rsidRPr="00A408B9">
        <w:rPr>
          <w:rFonts w:ascii="Times New Roman" w:eastAsia="Times New Roman" w:hAnsi="Times New Roman" w:cs="Times New Roman"/>
          <w:sz w:val="24"/>
          <w:szCs w:val="24"/>
        </w:rPr>
        <w:t>antioxidative</w:t>
      </w:r>
      <w:proofErr w:type="spellEnd"/>
      <w:r w:rsidR="00A408B9" w:rsidRPr="00A408B9">
        <w:rPr>
          <w:rFonts w:ascii="Times New Roman" w:eastAsia="Times New Roman" w:hAnsi="Times New Roman" w:cs="Times New Roman"/>
          <w:sz w:val="24"/>
          <w:szCs w:val="24"/>
        </w:rPr>
        <w:t xml:space="preserve">, anti-inflammatory, and mucosal protective actions, which may underlie its gastro protective potential (Zhou et al., 2023; Kim et al., 2022). In parallel, newer evidence highlights methamphetamine-induced oxidative and inflammatory damage in the gastrointestinal tract, implicating disrupted mucosal integrity, altered acid-base regulation, and increased vulnerability to ulceration (Liu et al., 2021; </w:t>
      </w:r>
      <w:proofErr w:type="spellStart"/>
      <w:r w:rsidR="00A408B9" w:rsidRPr="00A408B9">
        <w:rPr>
          <w:rFonts w:ascii="Times New Roman" w:eastAsia="Times New Roman" w:hAnsi="Times New Roman" w:cs="Times New Roman"/>
          <w:sz w:val="24"/>
          <w:szCs w:val="24"/>
        </w:rPr>
        <w:t>Alamri</w:t>
      </w:r>
      <w:proofErr w:type="spellEnd"/>
      <w:r w:rsidR="00A408B9" w:rsidRPr="00A408B9">
        <w:rPr>
          <w:rFonts w:ascii="Times New Roman" w:eastAsia="Times New Roman" w:hAnsi="Times New Roman" w:cs="Times New Roman"/>
          <w:sz w:val="24"/>
          <w:szCs w:val="24"/>
        </w:rPr>
        <w:t xml:space="preserve"> et al., 2023). These emerging insights further justify the investigation of </w:t>
      </w:r>
      <w:r w:rsidR="00A408B9" w:rsidRPr="00A408B9">
        <w:rPr>
          <w:rFonts w:ascii="Times New Roman" w:eastAsia="Times New Roman" w:hAnsi="Times New Roman" w:cs="Times New Roman"/>
          <w:i/>
          <w:iCs/>
          <w:sz w:val="24"/>
          <w:szCs w:val="24"/>
        </w:rPr>
        <w:t xml:space="preserve">Ginkgo </w:t>
      </w:r>
      <w:proofErr w:type="spellStart"/>
      <w:r w:rsidR="00A408B9" w:rsidRPr="00A408B9">
        <w:rPr>
          <w:rFonts w:ascii="Times New Roman" w:eastAsia="Times New Roman" w:hAnsi="Times New Roman" w:cs="Times New Roman"/>
          <w:i/>
          <w:iCs/>
          <w:sz w:val="24"/>
          <w:szCs w:val="24"/>
        </w:rPr>
        <w:t>biloba</w:t>
      </w:r>
      <w:proofErr w:type="spellEnd"/>
      <w:r w:rsidR="00A408B9" w:rsidRPr="00A408B9">
        <w:rPr>
          <w:rFonts w:ascii="Times New Roman" w:eastAsia="Times New Roman" w:hAnsi="Times New Roman" w:cs="Times New Roman"/>
          <w:sz w:val="24"/>
          <w:szCs w:val="24"/>
        </w:rPr>
        <w:t xml:space="preserve"> as a protective agent against METH-induced gastric pathology.</w:t>
      </w:r>
    </w:p>
    <w:p w14:paraId="714FB69A" w14:textId="77777777" w:rsidR="00326420" w:rsidRPr="00074982" w:rsidRDefault="00326420" w:rsidP="00F92321">
      <w:pPr>
        <w:spacing w:after="0" w:line="360" w:lineRule="auto"/>
        <w:jc w:val="both"/>
        <w:rPr>
          <w:rFonts w:ascii="Times New Roman" w:eastAsia="Times New Roman" w:hAnsi="Times New Roman" w:cs="Times New Roman"/>
          <w:sz w:val="24"/>
          <w:szCs w:val="24"/>
        </w:rPr>
      </w:pPr>
    </w:p>
    <w:p w14:paraId="1A1D2351" w14:textId="77777777" w:rsidR="00326420" w:rsidRPr="00074982" w:rsidRDefault="00326420" w:rsidP="00F92321">
      <w:pPr>
        <w:spacing w:after="0"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METH was thought to harm the stomach tissues and mucosal epithelium, hence this study sought to assess its harmful effects on the stomachs of albino Wistar rats. In order to investigate potential safeguards, the researchers tested the potential of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a medication high in terpenoids and flavonoids, to mitigate the harmful effects of METH on the stomach and visceral tissues in the experimental rat model.</w:t>
      </w:r>
    </w:p>
    <w:p w14:paraId="6AE08728" w14:textId="77777777" w:rsidR="000369E0" w:rsidRPr="00074982" w:rsidRDefault="000369E0"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lastRenderedPageBreak/>
        <w:t>Materials and Methods</w:t>
      </w:r>
    </w:p>
    <w:p w14:paraId="42ADF43B" w14:textId="77777777" w:rsidR="000369E0" w:rsidRPr="00074982" w:rsidRDefault="000369E0"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Chemicals</w:t>
      </w:r>
      <w:r w:rsidRPr="00074982">
        <w:rPr>
          <w:rFonts w:ascii="Times New Roman" w:eastAsia="Times New Roman" w:hAnsi="Times New Roman" w:cs="Times New Roman"/>
          <w:sz w:val="24"/>
          <w:szCs w:val="24"/>
        </w:rPr>
        <w:br/>
        <w:t>Methamphetamine (10 g) was obtained from the National Drug Law Enforcement Agency (NDLEA) and stored at temperatures below 25°C for the study.</w:t>
      </w:r>
    </w:p>
    <w:p w14:paraId="267F4816" w14:textId="57F441BE" w:rsidR="000369E0" w:rsidRPr="00074982" w:rsidRDefault="000369E0"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Experimental Animals</w:t>
      </w:r>
      <w:r w:rsidRPr="00074982">
        <w:rPr>
          <w:rFonts w:ascii="Times New Roman" w:eastAsia="Times New Roman" w:hAnsi="Times New Roman" w:cs="Times New Roman"/>
          <w:sz w:val="24"/>
          <w:szCs w:val="24"/>
        </w:rPr>
        <w:br/>
        <w:t>Forty-eight (48) male albino Wistar rats, initially weighing between 180-200 g, were sourced from the animal facility in the Department of Physiology, Faculty of Basic Medical Sciences, PAMO University of Medical Sciences, Port-Harcourt, Rivers State, Nigeria. The animals were housed under controlled environmental conditions (27±2ºC) with a 12-hour light/dark cycle in metabolic cages. They had unrestricted access to standard rodent chow and fresh drinking water for four weeks</w:t>
      </w:r>
      <w:r w:rsidR="00BF4A92">
        <w:rPr>
          <w:rFonts w:ascii="Times New Roman" w:eastAsia="Times New Roman" w:hAnsi="Times New Roman" w:cs="Times New Roman"/>
          <w:sz w:val="24"/>
          <w:szCs w:val="24"/>
        </w:rPr>
        <w:t xml:space="preserve"> (28 days)</w:t>
      </w:r>
      <w:r w:rsidRPr="00074982">
        <w:rPr>
          <w:rFonts w:ascii="Times New Roman" w:eastAsia="Times New Roman" w:hAnsi="Times New Roman" w:cs="Times New Roman"/>
          <w:sz w:val="24"/>
          <w:szCs w:val="24"/>
        </w:rPr>
        <w:t>.</w:t>
      </w:r>
    </w:p>
    <w:p w14:paraId="7BFD46DC" w14:textId="77777777" w:rsidR="000369E0" w:rsidRPr="00074982" w:rsidRDefault="000369E0" w:rsidP="00455E74">
      <w:pPr>
        <w:spacing w:before="100" w:beforeAutospacing="1" w:after="100" w:afterAutospacing="1" w:line="360" w:lineRule="auto"/>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Experimental Protocol</w:t>
      </w:r>
      <w:r w:rsidRPr="00074982">
        <w:rPr>
          <w:rFonts w:ascii="Times New Roman" w:eastAsia="Times New Roman" w:hAnsi="Times New Roman" w:cs="Times New Roman"/>
          <w:sz w:val="24"/>
          <w:szCs w:val="24"/>
        </w:rPr>
        <w:br/>
        <w:t xml:space="preserve">The 48 rats were randomly divided into four groups (n = 12 per group). Group 1 (control) received regular rat chow; Group 2 was given Ginkgo biloba (50 mg); Group 3 received methamphetamine (2.0 mg/kg body weight); and Group 4 was administered a combination of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(50 mg) and methamphetamine (2.0 mg/kg body weight). Prior to the experiment, animals were acclimatized for 7 days, and during the study, they had ad libitum access to food and water for 28 days.</w:t>
      </w:r>
    </w:p>
    <w:p w14:paraId="3E946214" w14:textId="77777777" w:rsidR="000369E0" w:rsidRPr="00074982" w:rsidRDefault="000369E0" w:rsidP="00455E74">
      <w:pPr>
        <w:spacing w:before="100" w:beforeAutospacing="1" w:after="100" w:afterAutospacing="1" w:line="360" w:lineRule="auto"/>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Determination of Bodyweight</w:t>
      </w:r>
      <w:r w:rsidRPr="00074982">
        <w:rPr>
          <w:rFonts w:ascii="Times New Roman" w:eastAsia="Times New Roman" w:hAnsi="Times New Roman" w:cs="Times New Roman"/>
          <w:sz w:val="24"/>
          <w:szCs w:val="24"/>
        </w:rPr>
        <w:br/>
        <w:t>The initial body weight of each rat was measured using an SCL-4000 animal scale (Kent Scientific Corporation). After the animals were randomly assigned to their respective groups, weekly weight measurements were recorded, and the differences in body weight were calculated. Additionally, the rats’ stomachs were excised, and their weight was recorded.</w:t>
      </w:r>
    </w:p>
    <w:p w14:paraId="5D83725B" w14:textId="77777777" w:rsidR="000369E0" w:rsidRPr="00074982" w:rsidRDefault="000369E0" w:rsidP="00455E74">
      <w:pPr>
        <w:spacing w:before="100" w:beforeAutospacing="1" w:after="100" w:afterAutospacing="1" w:line="360" w:lineRule="auto"/>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Methamphetamine-induced Gastric Ulcer and Ulcer Score</w:t>
      </w:r>
      <w:r w:rsidRPr="00074982">
        <w:rPr>
          <w:rFonts w:ascii="Times New Roman" w:eastAsia="Times New Roman" w:hAnsi="Times New Roman" w:cs="Times New Roman"/>
          <w:sz w:val="24"/>
          <w:szCs w:val="24"/>
        </w:rPr>
        <w:br/>
        <w:t xml:space="preserve">Gastric ulceration in the methamphetamine-treated group was assessed according to the method outlined by </w:t>
      </w:r>
      <w:r w:rsidR="005D0C83" w:rsidRPr="00074982">
        <w:rPr>
          <w:rFonts w:ascii="Times New Roman" w:eastAsia="Times New Roman" w:hAnsi="Times New Roman" w:cs="Times New Roman"/>
          <w:sz w:val="24"/>
          <w:szCs w:val="24"/>
        </w:rPr>
        <w:t>[23]</w:t>
      </w:r>
      <w:r w:rsidRPr="00074982">
        <w:rPr>
          <w:rFonts w:ascii="Times New Roman" w:eastAsia="Times New Roman" w:hAnsi="Times New Roman" w:cs="Times New Roman"/>
          <w:sz w:val="24"/>
          <w:szCs w:val="24"/>
        </w:rPr>
        <w:t xml:space="preserve"> and modified by </w:t>
      </w:r>
      <w:r w:rsidR="005D0C83" w:rsidRPr="00074982">
        <w:rPr>
          <w:rFonts w:ascii="Times New Roman" w:eastAsia="Times New Roman" w:hAnsi="Times New Roman" w:cs="Times New Roman"/>
          <w:sz w:val="24"/>
          <w:szCs w:val="24"/>
        </w:rPr>
        <w:t>[24]</w:t>
      </w:r>
      <w:r w:rsidRPr="00074982">
        <w:rPr>
          <w:rFonts w:ascii="Times New Roman" w:eastAsia="Times New Roman" w:hAnsi="Times New Roman" w:cs="Times New Roman"/>
          <w:sz w:val="24"/>
          <w:szCs w:val="24"/>
        </w:rPr>
        <w:t xml:space="preserve">. Following 18 hours of fasting, each rat was anesthetized with ketamine for stomach extraction. The stomach was dissected along the greater curvature, </w:t>
      </w:r>
      <w:r w:rsidRPr="00074982">
        <w:rPr>
          <w:rFonts w:ascii="Times New Roman" w:eastAsia="Times New Roman" w:hAnsi="Times New Roman" w:cs="Times New Roman"/>
          <w:sz w:val="24"/>
          <w:szCs w:val="24"/>
        </w:rPr>
        <w:lastRenderedPageBreak/>
        <w:t xml:space="preserve">cleaned with saline, and pinned for clear visualization. The ulcer lesions were measured using calipers and magnifying glass, and ulcer scores were calculated using the method of </w:t>
      </w:r>
      <w:r w:rsidR="005D0C83" w:rsidRPr="00074982">
        <w:rPr>
          <w:rFonts w:ascii="Times New Roman" w:eastAsia="Times New Roman" w:hAnsi="Times New Roman" w:cs="Times New Roman"/>
          <w:sz w:val="24"/>
          <w:szCs w:val="24"/>
        </w:rPr>
        <w:t>[25]</w:t>
      </w:r>
      <w:r w:rsidRPr="00074982">
        <w:rPr>
          <w:rFonts w:ascii="Times New Roman" w:eastAsia="Times New Roman" w:hAnsi="Times New Roman" w:cs="Times New Roman"/>
          <w:sz w:val="24"/>
          <w:szCs w:val="24"/>
        </w:rPr>
        <w:t>.</w:t>
      </w:r>
    </w:p>
    <w:p w14:paraId="16C6E5C7" w14:textId="77777777" w:rsidR="000369E0" w:rsidRPr="00074982" w:rsidRDefault="000369E0" w:rsidP="00455E74">
      <w:pPr>
        <w:spacing w:before="100" w:beforeAutospacing="1" w:after="100" w:afterAutospacing="1" w:line="360" w:lineRule="auto"/>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Estimation of Pepsin</w:t>
      </w:r>
      <w:r w:rsidRPr="00074982">
        <w:rPr>
          <w:rFonts w:ascii="Times New Roman" w:eastAsia="Times New Roman" w:hAnsi="Times New Roman" w:cs="Times New Roman"/>
          <w:sz w:val="24"/>
          <w:szCs w:val="24"/>
        </w:rPr>
        <w:br/>
      </w:r>
      <w:proofErr w:type="spellStart"/>
      <w:r w:rsidRPr="00074982">
        <w:rPr>
          <w:rFonts w:ascii="Times New Roman" w:eastAsia="Times New Roman" w:hAnsi="Times New Roman" w:cs="Times New Roman"/>
          <w:sz w:val="24"/>
          <w:szCs w:val="24"/>
        </w:rPr>
        <w:t>Pepsin</w:t>
      </w:r>
      <w:proofErr w:type="spellEnd"/>
      <w:r w:rsidRPr="00074982">
        <w:rPr>
          <w:rFonts w:ascii="Times New Roman" w:eastAsia="Times New Roman" w:hAnsi="Times New Roman" w:cs="Times New Roman"/>
          <w:sz w:val="24"/>
          <w:szCs w:val="24"/>
        </w:rPr>
        <w:t xml:space="preserve"> activity in gastric juice was measured using the method by </w:t>
      </w:r>
      <w:r w:rsidR="001B5142" w:rsidRPr="00074982">
        <w:rPr>
          <w:rFonts w:ascii="Times New Roman" w:eastAsia="Times New Roman" w:hAnsi="Times New Roman" w:cs="Times New Roman"/>
          <w:sz w:val="24"/>
          <w:szCs w:val="24"/>
        </w:rPr>
        <w:t>Tan et al</w:t>
      </w:r>
      <w:r w:rsidRPr="00074982">
        <w:rPr>
          <w:rFonts w:ascii="Times New Roman" w:eastAsia="Times New Roman" w:hAnsi="Times New Roman" w:cs="Times New Roman"/>
          <w:sz w:val="24"/>
          <w:szCs w:val="24"/>
        </w:rPr>
        <w:t xml:space="preserve"> </w:t>
      </w:r>
      <w:r w:rsidR="001B5142" w:rsidRPr="00074982">
        <w:rPr>
          <w:rFonts w:ascii="Times New Roman" w:eastAsia="Times New Roman" w:hAnsi="Times New Roman" w:cs="Times New Roman"/>
          <w:sz w:val="24"/>
          <w:szCs w:val="24"/>
        </w:rPr>
        <w:t>[26]</w:t>
      </w:r>
      <w:r w:rsidRPr="00074982">
        <w:rPr>
          <w:rFonts w:ascii="Times New Roman" w:eastAsia="Times New Roman" w:hAnsi="Times New Roman" w:cs="Times New Roman"/>
          <w:sz w:val="24"/>
          <w:szCs w:val="24"/>
        </w:rPr>
        <w:t xml:space="preserve">. A small volume (0.1 mL) of gastric juice was centrifuged, and bovine albumin was added. The mixture was incubated, and further steps involved adding trichloroacetic acid, heating, and centrifuging the samples. The absorbance was read at 700 nm to estimate pepsin activity, expressed in </w:t>
      </w:r>
      <w:proofErr w:type="spellStart"/>
      <w:r w:rsidRPr="00074982">
        <w:rPr>
          <w:rFonts w:ascii="Times New Roman" w:eastAsia="Times New Roman" w:hAnsi="Times New Roman" w:cs="Times New Roman"/>
          <w:sz w:val="24"/>
          <w:szCs w:val="24"/>
        </w:rPr>
        <w:t>μg</w:t>
      </w:r>
      <w:proofErr w:type="spellEnd"/>
      <w:r w:rsidRPr="00074982">
        <w:rPr>
          <w:rFonts w:ascii="Times New Roman" w:eastAsia="Times New Roman" w:hAnsi="Times New Roman" w:cs="Times New Roman"/>
          <w:sz w:val="24"/>
          <w:szCs w:val="24"/>
        </w:rPr>
        <w:t>/</w:t>
      </w:r>
      <w:proofErr w:type="spellStart"/>
      <w:r w:rsidRPr="00074982">
        <w:rPr>
          <w:rFonts w:ascii="Times New Roman" w:eastAsia="Times New Roman" w:hAnsi="Times New Roman" w:cs="Times New Roman"/>
          <w:sz w:val="24"/>
          <w:szCs w:val="24"/>
        </w:rPr>
        <w:t>mL.</w:t>
      </w:r>
      <w:proofErr w:type="spellEnd"/>
    </w:p>
    <w:p w14:paraId="6769B92A" w14:textId="77777777" w:rsidR="000369E0" w:rsidRPr="00074982" w:rsidRDefault="000369E0" w:rsidP="00455E74">
      <w:pPr>
        <w:spacing w:before="100" w:beforeAutospacing="1" w:after="100" w:afterAutospacing="1" w:line="360" w:lineRule="auto"/>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Measurement of Mucus Concentration</w:t>
      </w:r>
      <w:r w:rsidRPr="00074982">
        <w:rPr>
          <w:rFonts w:ascii="Times New Roman" w:eastAsia="Times New Roman" w:hAnsi="Times New Roman" w:cs="Times New Roman"/>
          <w:sz w:val="24"/>
          <w:szCs w:val="24"/>
        </w:rPr>
        <w:br/>
        <w:t xml:space="preserve">The adherent mucus on the stomach lining was measured by first excising and opening the stomach. The mucus was scraped from the mucosal surface into a sample bottle, and the weight difference was measured using a digital scale, as per </w:t>
      </w:r>
      <w:r w:rsidR="0066754B" w:rsidRPr="00074982">
        <w:rPr>
          <w:rFonts w:ascii="Times New Roman" w:eastAsia="Times New Roman" w:hAnsi="Times New Roman" w:cs="Times New Roman"/>
          <w:sz w:val="24"/>
          <w:szCs w:val="24"/>
        </w:rPr>
        <w:t>[26].</w:t>
      </w:r>
    </w:p>
    <w:p w14:paraId="5DF17119" w14:textId="77777777" w:rsidR="000369E0" w:rsidRPr="00074982" w:rsidRDefault="000369E0" w:rsidP="00455E74">
      <w:pPr>
        <w:spacing w:before="100" w:beforeAutospacing="1" w:after="100" w:afterAutospacing="1" w:line="360" w:lineRule="auto"/>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Measurement of Gastric Acid Secretion by Continuous Perfusion Method</w:t>
      </w:r>
      <w:r w:rsidRPr="00074982">
        <w:rPr>
          <w:rFonts w:ascii="Times New Roman" w:eastAsia="Times New Roman" w:hAnsi="Times New Roman" w:cs="Times New Roman"/>
          <w:sz w:val="24"/>
          <w:szCs w:val="24"/>
        </w:rPr>
        <w:br/>
        <w:t xml:space="preserve">In a separate set of experiments, the continuous perfusion method described by </w:t>
      </w:r>
      <w:r w:rsidR="00F54D2F" w:rsidRPr="00074982">
        <w:rPr>
          <w:rFonts w:ascii="Times New Roman" w:eastAsia="Times New Roman" w:hAnsi="Times New Roman" w:cs="Times New Roman"/>
          <w:sz w:val="24"/>
          <w:szCs w:val="24"/>
        </w:rPr>
        <w:t>[27]</w:t>
      </w:r>
      <w:r w:rsidRPr="00074982">
        <w:rPr>
          <w:rFonts w:ascii="Times New Roman" w:eastAsia="Times New Roman" w:hAnsi="Times New Roman" w:cs="Times New Roman"/>
          <w:sz w:val="24"/>
          <w:szCs w:val="24"/>
        </w:rPr>
        <w:t xml:space="preserve"> was used to assess gastric acid secretion. The rats were anesthetized, and the stomach was cannulated for continuous perfusion with saline at pH 7.0. After stabilization, histamine (100 mg/kg) and cimetidine (5 mg/kg) were administered subcutaneously. Gastric juice was collected every 10 minutes for analysis.</w:t>
      </w:r>
    </w:p>
    <w:p w14:paraId="128CBB0E" w14:textId="77777777" w:rsidR="000369E0" w:rsidRPr="00074982" w:rsidRDefault="000369E0" w:rsidP="00455E74">
      <w:pPr>
        <w:spacing w:before="100" w:beforeAutospacing="1" w:after="100" w:afterAutospacing="1" w:line="360" w:lineRule="auto"/>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Measurement of Intestinal Transit</w:t>
      </w:r>
      <w:r w:rsidRPr="00074982">
        <w:rPr>
          <w:rFonts w:ascii="Times New Roman" w:eastAsia="Times New Roman" w:hAnsi="Times New Roman" w:cs="Times New Roman"/>
          <w:sz w:val="24"/>
          <w:szCs w:val="24"/>
        </w:rPr>
        <w:br/>
        <w:t xml:space="preserve">Intestinal transit was determined based on the method by </w:t>
      </w:r>
      <w:r w:rsidR="00F54D2F" w:rsidRPr="00074982">
        <w:rPr>
          <w:rFonts w:ascii="Times New Roman" w:eastAsia="Times New Roman" w:hAnsi="Times New Roman" w:cs="Times New Roman"/>
          <w:sz w:val="24"/>
          <w:szCs w:val="24"/>
        </w:rPr>
        <w:t>[28]</w:t>
      </w:r>
      <w:r w:rsidRPr="00074982">
        <w:rPr>
          <w:rFonts w:ascii="Times New Roman" w:eastAsia="Times New Roman" w:hAnsi="Times New Roman" w:cs="Times New Roman"/>
          <w:sz w:val="24"/>
          <w:szCs w:val="24"/>
        </w:rPr>
        <w:t>. After fasting for 18 hours, activated charcoal was orally administered, and the rats were sacrificed after 9 minutes. The small intestine was carefully measured, and the distance traveled by the charcoal marker was noted to calculate intestinal transit as a percentage of the total length.</w:t>
      </w:r>
    </w:p>
    <w:p w14:paraId="3BF0BBF0" w14:textId="77777777" w:rsidR="000369E0" w:rsidRPr="00074982" w:rsidRDefault="000369E0" w:rsidP="00455E74">
      <w:pPr>
        <w:spacing w:before="100" w:beforeAutospacing="1" w:after="100" w:afterAutospacing="1" w:line="360" w:lineRule="auto"/>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Histological Analysis</w:t>
      </w:r>
      <w:r w:rsidRPr="00074982">
        <w:rPr>
          <w:rFonts w:ascii="Times New Roman" w:eastAsia="Times New Roman" w:hAnsi="Times New Roman" w:cs="Times New Roman"/>
          <w:sz w:val="24"/>
          <w:szCs w:val="24"/>
        </w:rPr>
        <w:br/>
        <w:t xml:space="preserve">Histological preparation followed the protocol of </w:t>
      </w:r>
      <w:r w:rsidR="00F54D2F" w:rsidRPr="00074982">
        <w:rPr>
          <w:rFonts w:ascii="Times New Roman" w:eastAsia="Times New Roman" w:hAnsi="Times New Roman" w:cs="Times New Roman"/>
          <w:sz w:val="24"/>
          <w:szCs w:val="24"/>
        </w:rPr>
        <w:t>[27]</w:t>
      </w:r>
      <w:r w:rsidRPr="00074982">
        <w:rPr>
          <w:rFonts w:ascii="Times New Roman" w:eastAsia="Times New Roman" w:hAnsi="Times New Roman" w:cs="Times New Roman"/>
          <w:sz w:val="24"/>
          <w:szCs w:val="24"/>
        </w:rPr>
        <w:t>. The stomach was harvested, fixed in 10% buffered formalin, and sectioned at 5 mm thickness. Hematoxylin and eosin staining was applied, and the sections were examined under a light microscope to capture photomicrographs.</w:t>
      </w:r>
    </w:p>
    <w:p w14:paraId="1D66B457" w14:textId="77777777" w:rsidR="000369E0" w:rsidRPr="00074982" w:rsidRDefault="000369E0" w:rsidP="00455E74">
      <w:pPr>
        <w:spacing w:before="100" w:beforeAutospacing="1" w:after="100" w:afterAutospacing="1" w:line="360" w:lineRule="auto"/>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lastRenderedPageBreak/>
        <w:t>Statistical Analysis</w:t>
      </w:r>
      <w:r w:rsidRPr="00074982">
        <w:rPr>
          <w:rFonts w:ascii="Times New Roman" w:eastAsia="Times New Roman" w:hAnsi="Times New Roman" w:cs="Times New Roman"/>
          <w:sz w:val="24"/>
          <w:szCs w:val="24"/>
        </w:rPr>
        <w:br/>
        <w:t>Statistical analyses were conducted using GraphPad Prism software version 8.0. Data were expressed as mean ± SEM. Comparisons were made using ANOVA and an unpaired Student’s t-test. The Tukey test was used for post-hoc analysis when the F value was significant. Statistical significance was set at p&lt;0.05.</w:t>
      </w:r>
    </w:p>
    <w:p w14:paraId="08213265" w14:textId="77777777" w:rsidR="009F0337" w:rsidRPr="00074982" w:rsidRDefault="009F0337" w:rsidP="00F92321">
      <w:pPr>
        <w:spacing w:line="360" w:lineRule="auto"/>
        <w:jc w:val="both"/>
        <w:rPr>
          <w:rFonts w:ascii="Times New Roman" w:eastAsia="Times New Roman" w:hAnsi="Times New Roman" w:cs="Times New Roman"/>
          <w:b/>
          <w:bCs/>
          <w:sz w:val="24"/>
          <w:szCs w:val="24"/>
        </w:rPr>
      </w:pPr>
      <w:r w:rsidRPr="00074982">
        <w:rPr>
          <w:rFonts w:ascii="Times New Roman" w:eastAsia="Times New Roman" w:hAnsi="Times New Roman" w:cs="Times New Roman"/>
          <w:b/>
          <w:bCs/>
          <w:sz w:val="24"/>
          <w:szCs w:val="24"/>
        </w:rPr>
        <w:br w:type="page"/>
      </w:r>
    </w:p>
    <w:p w14:paraId="7C96F66C" w14:textId="77777777" w:rsidR="003054F9" w:rsidRPr="00074982" w:rsidRDefault="000369E0" w:rsidP="00F92321">
      <w:pPr>
        <w:spacing w:before="100" w:beforeAutospacing="1" w:after="100" w:afterAutospacing="1" w:line="360" w:lineRule="auto"/>
        <w:jc w:val="both"/>
        <w:rPr>
          <w:rFonts w:ascii="Times New Roman" w:eastAsia="Times New Roman" w:hAnsi="Times New Roman" w:cs="Times New Roman"/>
          <w:b/>
          <w:bCs/>
          <w:sz w:val="24"/>
          <w:szCs w:val="24"/>
        </w:rPr>
      </w:pPr>
      <w:r w:rsidRPr="00074982">
        <w:rPr>
          <w:rFonts w:ascii="Times New Roman" w:eastAsia="Times New Roman" w:hAnsi="Times New Roman" w:cs="Times New Roman"/>
          <w:b/>
          <w:bCs/>
          <w:sz w:val="24"/>
          <w:szCs w:val="24"/>
        </w:rPr>
        <w:lastRenderedPageBreak/>
        <w:t>Results</w:t>
      </w:r>
    </w:p>
    <w:p w14:paraId="4678941B" w14:textId="77777777" w:rsidR="000369E0" w:rsidRPr="00074982" w:rsidRDefault="000369E0"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 xml:space="preserve">Effect of Methamphetamine and </w:t>
      </w:r>
      <w:r w:rsidR="00B03217" w:rsidRPr="00074982">
        <w:rPr>
          <w:rFonts w:ascii="Times New Roman" w:eastAsia="Times New Roman" w:hAnsi="Times New Roman" w:cs="Times New Roman"/>
          <w:b/>
          <w:bCs/>
          <w:i/>
          <w:sz w:val="24"/>
          <w:szCs w:val="24"/>
        </w:rPr>
        <w:t>Ginkgo b</w:t>
      </w:r>
      <w:r w:rsidRPr="00074982">
        <w:rPr>
          <w:rFonts w:ascii="Times New Roman" w:eastAsia="Times New Roman" w:hAnsi="Times New Roman" w:cs="Times New Roman"/>
          <w:b/>
          <w:bCs/>
          <w:i/>
          <w:sz w:val="24"/>
          <w:szCs w:val="24"/>
        </w:rPr>
        <w:t>iloba</w:t>
      </w:r>
      <w:r w:rsidRPr="00074982">
        <w:rPr>
          <w:rFonts w:ascii="Times New Roman" w:eastAsia="Times New Roman" w:hAnsi="Times New Roman" w:cs="Times New Roman"/>
          <w:b/>
          <w:bCs/>
          <w:sz w:val="24"/>
          <w:szCs w:val="24"/>
        </w:rPr>
        <w:t xml:space="preserve"> on Body Weight Change in Experimental Rat Groups</w:t>
      </w:r>
    </w:p>
    <w:p w14:paraId="1AD6A7DA" w14:textId="30976555" w:rsidR="009F0337" w:rsidRPr="00074982" w:rsidRDefault="000369E0"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Figure 1 shows the change in body weight following the administration of methamphetamine and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to the experimental animals. The methamphetamine-treated group displayed a significant decrease in average body weight (p&lt;0.05) compared to the other groups. Meanwhile, the group treated with both methamphetamine and </w:t>
      </w:r>
      <w:r w:rsidRPr="00074982">
        <w:rPr>
          <w:rFonts w:ascii="Times New Roman" w:eastAsia="Times New Roman" w:hAnsi="Times New Roman" w:cs="Times New Roman"/>
          <w:i/>
          <w:sz w:val="24"/>
          <w:szCs w:val="24"/>
        </w:rPr>
        <w:t xml:space="preserve">Ginkgo </w:t>
      </w:r>
      <w:proofErr w:type="spellStart"/>
      <w:r w:rsidRPr="00074982">
        <w:rPr>
          <w:rFonts w:ascii="Times New Roman" w:eastAsia="Times New Roman" w:hAnsi="Times New Roman" w:cs="Times New Roman"/>
          <w:i/>
          <w:sz w:val="24"/>
          <w:szCs w:val="24"/>
        </w:rPr>
        <w:t>biloba</w:t>
      </w:r>
      <w:proofErr w:type="spellEnd"/>
      <w:r w:rsidRPr="00074982">
        <w:rPr>
          <w:rFonts w:ascii="Times New Roman" w:eastAsia="Times New Roman" w:hAnsi="Times New Roman" w:cs="Times New Roman"/>
          <w:sz w:val="24"/>
          <w:szCs w:val="24"/>
        </w:rPr>
        <w:t xml:space="preserve"> </w:t>
      </w:r>
      <w:r w:rsidR="00EF7385">
        <w:rPr>
          <w:rFonts w:ascii="Times New Roman" w:eastAsia="Times New Roman" w:hAnsi="Times New Roman" w:cs="Times New Roman"/>
          <w:sz w:val="24"/>
          <w:szCs w:val="24"/>
        </w:rPr>
        <w:t xml:space="preserve">(GB + METH) </w:t>
      </w:r>
      <w:r w:rsidRPr="00074982">
        <w:rPr>
          <w:rFonts w:ascii="Times New Roman" w:eastAsia="Times New Roman" w:hAnsi="Times New Roman" w:cs="Times New Roman"/>
          <w:sz w:val="24"/>
          <w:szCs w:val="24"/>
        </w:rPr>
        <w:t xml:space="preserve">showed a slight, non-significant reduction in body weight compared to the control and </w:t>
      </w:r>
      <w:r w:rsidRPr="00074982">
        <w:rPr>
          <w:rFonts w:ascii="Times New Roman" w:eastAsia="Times New Roman" w:hAnsi="Times New Roman" w:cs="Times New Roman"/>
          <w:i/>
          <w:sz w:val="24"/>
          <w:szCs w:val="24"/>
        </w:rPr>
        <w:t xml:space="preserve">Ginkgo </w:t>
      </w:r>
      <w:proofErr w:type="spellStart"/>
      <w:r w:rsidRPr="00074982">
        <w:rPr>
          <w:rFonts w:ascii="Times New Roman" w:eastAsia="Times New Roman" w:hAnsi="Times New Roman" w:cs="Times New Roman"/>
          <w:i/>
          <w:sz w:val="24"/>
          <w:szCs w:val="24"/>
        </w:rPr>
        <w:t>biloba</w:t>
      </w:r>
      <w:proofErr w:type="spellEnd"/>
      <w:r w:rsidR="00EF7385">
        <w:rPr>
          <w:rFonts w:ascii="Times New Roman" w:eastAsia="Times New Roman" w:hAnsi="Times New Roman" w:cs="Times New Roman"/>
          <w:i/>
          <w:sz w:val="24"/>
          <w:szCs w:val="24"/>
        </w:rPr>
        <w:t xml:space="preserve"> </w:t>
      </w:r>
      <w:r w:rsidR="00EF7385" w:rsidRPr="00EF7385">
        <w:rPr>
          <w:rFonts w:ascii="Times New Roman" w:eastAsia="Times New Roman" w:hAnsi="Times New Roman" w:cs="Times New Roman"/>
          <w:sz w:val="24"/>
          <w:szCs w:val="24"/>
        </w:rPr>
        <w:t>(GB)</w:t>
      </w:r>
      <w:r w:rsidRPr="00074982">
        <w:rPr>
          <w:rFonts w:ascii="Times New Roman" w:eastAsia="Times New Roman" w:hAnsi="Times New Roman" w:cs="Times New Roman"/>
          <w:sz w:val="24"/>
          <w:szCs w:val="24"/>
        </w:rPr>
        <w:t>-only groups.</w:t>
      </w:r>
    </w:p>
    <w:p w14:paraId="37F21A15" w14:textId="3EB77256" w:rsidR="009F0337" w:rsidRPr="00074982" w:rsidRDefault="005848E7" w:rsidP="005848E7">
      <w:pPr>
        <w:spacing w:before="100" w:beforeAutospacing="1" w:after="100" w:afterAutospacing="1" w:line="360" w:lineRule="auto"/>
        <w:jc w:val="center"/>
        <w:rPr>
          <w:rFonts w:ascii="Times New Roman" w:hAnsi="Times New Roman" w:cs="Times New Roman"/>
        </w:rPr>
      </w:pPr>
      <w:r>
        <w:rPr>
          <w:noProof/>
        </w:rPr>
        <w:drawing>
          <wp:inline distT="0" distB="0" distL="0" distR="0" wp14:anchorId="1EAA163A" wp14:editId="68C7F76B">
            <wp:extent cx="4937760" cy="1519838"/>
            <wp:effectExtent l="0" t="0" r="0" b="4445"/>
            <wp:docPr id="1952063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63200" name=""/>
                    <pic:cNvPicPr/>
                  </pic:nvPicPr>
                  <pic:blipFill>
                    <a:blip r:embed="rId7"/>
                    <a:stretch>
                      <a:fillRect/>
                    </a:stretch>
                  </pic:blipFill>
                  <pic:spPr>
                    <a:xfrm>
                      <a:off x="0" y="0"/>
                      <a:ext cx="4959795" cy="1526620"/>
                    </a:xfrm>
                    <a:prstGeom prst="rect">
                      <a:avLst/>
                    </a:prstGeom>
                  </pic:spPr>
                </pic:pic>
              </a:graphicData>
            </a:graphic>
          </wp:inline>
        </w:drawing>
      </w:r>
    </w:p>
    <w:p w14:paraId="5DDF60D5" w14:textId="77777777" w:rsidR="009F0337" w:rsidRPr="00074982" w:rsidRDefault="009F0337"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Figure 1: Body Weight Changes in Control, Methamphetamine, and </w:t>
      </w:r>
      <w:r w:rsidRPr="00074982">
        <w:rPr>
          <w:rFonts w:ascii="Times New Roman" w:eastAsia="Times New Roman" w:hAnsi="Times New Roman" w:cs="Times New Roman"/>
          <w:i/>
          <w:iCs/>
          <w:sz w:val="24"/>
          <w:szCs w:val="24"/>
        </w:rPr>
        <w:t>Ginkgo biloba</w:t>
      </w:r>
      <w:r w:rsidRPr="00074982">
        <w:rPr>
          <w:rFonts w:ascii="Times New Roman" w:eastAsia="Times New Roman" w:hAnsi="Times New Roman" w:cs="Times New Roman"/>
          <w:sz w:val="24"/>
          <w:szCs w:val="24"/>
        </w:rPr>
        <w:t xml:space="preserve"> Treated Groups of Rats. Values are expressed as mean ± SEM, n = 12. </w:t>
      </w:r>
      <w:r w:rsidRPr="00074982">
        <w:rPr>
          <w:rFonts w:ascii="Times New Roman" w:eastAsia="Times New Roman" w:hAnsi="Times New Roman" w:cs="Times New Roman"/>
          <w:i/>
          <w:iCs/>
          <w:sz w:val="24"/>
          <w:szCs w:val="24"/>
        </w:rPr>
        <w:t>p</w:t>
      </w:r>
      <w:r w:rsidRPr="00074982">
        <w:rPr>
          <w:rFonts w:ascii="Times New Roman" w:eastAsia="Times New Roman" w:hAnsi="Times New Roman" w:cs="Times New Roman"/>
          <w:sz w:val="24"/>
          <w:szCs w:val="24"/>
        </w:rPr>
        <w:t xml:space="preserve"> &lt; 0.05 vs. control, GB, and (GB + METH), respectively.</w:t>
      </w:r>
    </w:p>
    <w:p w14:paraId="5D92B6F9" w14:textId="77777777" w:rsidR="003054F9" w:rsidRPr="00074982" w:rsidRDefault="003054F9"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Effect</w:t>
      </w:r>
      <w:r w:rsidR="00B03217" w:rsidRPr="00074982">
        <w:rPr>
          <w:rFonts w:ascii="Times New Roman" w:eastAsia="Times New Roman" w:hAnsi="Times New Roman" w:cs="Times New Roman"/>
          <w:b/>
          <w:bCs/>
          <w:sz w:val="24"/>
          <w:szCs w:val="24"/>
        </w:rPr>
        <w:t xml:space="preserve"> of Methamphetamine and </w:t>
      </w:r>
      <w:r w:rsidR="00B03217" w:rsidRPr="00074982">
        <w:rPr>
          <w:rFonts w:ascii="Times New Roman" w:eastAsia="Times New Roman" w:hAnsi="Times New Roman" w:cs="Times New Roman"/>
          <w:b/>
          <w:bCs/>
          <w:i/>
          <w:sz w:val="24"/>
          <w:szCs w:val="24"/>
        </w:rPr>
        <w:t>Ginkgo b</w:t>
      </w:r>
      <w:r w:rsidRPr="00074982">
        <w:rPr>
          <w:rFonts w:ascii="Times New Roman" w:eastAsia="Times New Roman" w:hAnsi="Times New Roman" w:cs="Times New Roman"/>
          <w:b/>
          <w:bCs/>
          <w:i/>
          <w:sz w:val="24"/>
          <w:szCs w:val="24"/>
        </w:rPr>
        <w:t>iloba</w:t>
      </w:r>
      <w:r w:rsidRPr="00074982">
        <w:rPr>
          <w:rFonts w:ascii="Times New Roman" w:eastAsia="Times New Roman" w:hAnsi="Times New Roman" w:cs="Times New Roman"/>
          <w:b/>
          <w:bCs/>
          <w:sz w:val="24"/>
          <w:szCs w:val="24"/>
        </w:rPr>
        <w:t xml:space="preserve"> on Stomach Weight Change in Experimental Rat Groups</w:t>
      </w:r>
    </w:p>
    <w:p w14:paraId="6082685D" w14:textId="77777777" w:rsidR="003054F9" w:rsidRPr="00074982" w:rsidRDefault="003054F9"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Figure 2 displays the changes in stomach weight following the administration of methamphetamine and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to the experimental animals. The methamphetamine-treated group showed a significant reduction in stomach weight (p&lt;0.05) compared to both the control and other treatment groups. The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-only treatment group, on the other hand, exhibited a significant increase in stomach weight (p&lt;0.001) relative to the control and other groups. The group treated with both methamphetamine and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showed a slight, but non-significant, increase in stomach weight compared to the methamphetamine-only group.</w:t>
      </w:r>
    </w:p>
    <w:p w14:paraId="05EAA5EF" w14:textId="1D03DD25" w:rsidR="009F0337" w:rsidRPr="00074982" w:rsidRDefault="005848E7" w:rsidP="005848E7">
      <w:pPr>
        <w:spacing w:before="100" w:beforeAutospacing="1" w:after="100" w:afterAutospacing="1" w:line="360" w:lineRule="auto"/>
        <w:jc w:val="center"/>
        <w:rPr>
          <w:rFonts w:ascii="Times New Roman" w:eastAsia="Times New Roman" w:hAnsi="Times New Roman" w:cs="Times New Roman"/>
          <w:sz w:val="24"/>
          <w:szCs w:val="24"/>
        </w:rPr>
      </w:pPr>
      <w:r>
        <w:rPr>
          <w:noProof/>
        </w:rPr>
        <w:lastRenderedPageBreak/>
        <w:drawing>
          <wp:inline distT="0" distB="0" distL="0" distR="0" wp14:anchorId="3847860B" wp14:editId="1955AFF1">
            <wp:extent cx="4635500" cy="1672445"/>
            <wp:effectExtent l="0" t="0" r="0" b="4445"/>
            <wp:docPr id="1211505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05695" name=""/>
                    <pic:cNvPicPr/>
                  </pic:nvPicPr>
                  <pic:blipFill>
                    <a:blip r:embed="rId8"/>
                    <a:stretch>
                      <a:fillRect/>
                    </a:stretch>
                  </pic:blipFill>
                  <pic:spPr>
                    <a:xfrm>
                      <a:off x="0" y="0"/>
                      <a:ext cx="4643818" cy="1675446"/>
                    </a:xfrm>
                    <a:prstGeom prst="rect">
                      <a:avLst/>
                    </a:prstGeom>
                  </pic:spPr>
                </pic:pic>
              </a:graphicData>
            </a:graphic>
          </wp:inline>
        </w:drawing>
      </w:r>
    </w:p>
    <w:p w14:paraId="2B6E1BDF" w14:textId="77777777" w:rsidR="009F0337" w:rsidRPr="00074982" w:rsidRDefault="009F0337" w:rsidP="00F92321">
      <w:pPr>
        <w:spacing w:before="100" w:beforeAutospacing="1" w:after="100" w:afterAutospacing="1" w:line="360" w:lineRule="auto"/>
        <w:jc w:val="both"/>
        <w:rPr>
          <w:rFonts w:ascii="Times New Roman" w:eastAsia="Times New Roman" w:hAnsi="Times New Roman" w:cs="Times New Roman"/>
          <w:bCs/>
          <w:sz w:val="24"/>
          <w:szCs w:val="24"/>
        </w:rPr>
      </w:pPr>
      <w:r w:rsidRPr="00074982">
        <w:rPr>
          <w:rFonts w:ascii="Times New Roman" w:eastAsia="Times New Roman" w:hAnsi="Times New Roman" w:cs="Times New Roman"/>
          <w:bCs/>
          <w:sz w:val="24"/>
          <w:szCs w:val="24"/>
        </w:rPr>
        <w:t xml:space="preserve">Figure 2: Stomach Weight in Control, Methamphetamine, and </w:t>
      </w:r>
      <w:r w:rsidRPr="00074982">
        <w:rPr>
          <w:rFonts w:ascii="Times New Roman" w:eastAsia="Times New Roman" w:hAnsi="Times New Roman" w:cs="Times New Roman"/>
          <w:bCs/>
          <w:i/>
          <w:iCs/>
          <w:sz w:val="24"/>
          <w:szCs w:val="24"/>
        </w:rPr>
        <w:t>Ginkgo biloba</w:t>
      </w:r>
      <w:r w:rsidRPr="00074982">
        <w:rPr>
          <w:rFonts w:ascii="Times New Roman" w:eastAsia="Times New Roman" w:hAnsi="Times New Roman" w:cs="Times New Roman"/>
          <w:bCs/>
          <w:sz w:val="24"/>
          <w:szCs w:val="24"/>
        </w:rPr>
        <w:t xml:space="preserve"> Treated Groups of Rats. Values are expressed as mean ± SEM, n = 12. </w:t>
      </w:r>
      <w:r w:rsidR="00F54D2F" w:rsidRPr="00074982">
        <w:rPr>
          <w:rFonts w:ascii="Times New Roman" w:eastAsia="Times New Roman" w:hAnsi="Times New Roman" w:cs="Times New Roman"/>
          <w:bCs/>
          <w:sz w:val="24"/>
          <w:szCs w:val="24"/>
        </w:rPr>
        <w:t xml:space="preserve">** = </w:t>
      </w:r>
      <w:r w:rsidRPr="00074982">
        <w:rPr>
          <w:rFonts w:ascii="Times New Roman" w:eastAsia="Times New Roman" w:hAnsi="Times New Roman" w:cs="Times New Roman"/>
          <w:bCs/>
          <w:sz w:val="24"/>
          <w:szCs w:val="24"/>
        </w:rPr>
        <w:t xml:space="preserve">p &lt; 0.001 vs. control, METH, and GB + METH; </w:t>
      </w:r>
      <w:r w:rsidR="00F54D2F" w:rsidRPr="00074982">
        <w:rPr>
          <w:rFonts w:ascii="Times New Roman" w:eastAsia="Times New Roman" w:hAnsi="Times New Roman" w:cs="Times New Roman"/>
          <w:bCs/>
          <w:sz w:val="24"/>
          <w:szCs w:val="24"/>
        </w:rPr>
        <w:t>*</w:t>
      </w:r>
      <w:r w:rsidRPr="00074982">
        <w:rPr>
          <w:rFonts w:ascii="Times New Roman" w:eastAsia="Times New Roman" w:hAnsi="Times New Roman" w:cs="Times New Roman"/>
          <w:bCs/>
          <w:i/>
          <w:iCs/>
          <w:sz w:val="24"/>
          <w:szCs w:val="24"/>
        </w:rPr>
        <w:t>#</w:t>
      </w:r>
      <w:r w:rsidR="00F54D2F" w:rsidRPr="00074982">
        <w:rPr>
          <w:rFonts w:ascii="Times New Roman" w:eastAsia="Times New Roman" w:hAnsi="Times New Roman" w:cs="Times New Roman"/>
          <w:bCs/>
          <w:i/>
          <w:iCs/>
          <w:sz w:val="24"/>
          <w:szCs w:val="24"/>
        </w:rPr>
        <w:t xml:space="preserve"> = </w:t>
      </w:r>
      <w:r w:rsidRPr="00074982">
        <w:rPr>
          <w:rFonts w:ascii="Times New Roman" w:eastAsia="Times New Roman" w:hAnsi="Times New Roman" w:cs="Times New Roman"/>
          <w:bCs/>
          <w:i/>
          <w:iCs/>
          <w:sz w:val="24"/>
          <w:szCs w:val="24"/>
        </w:rPr>
        <w:t>p</w:t>
      </w:r>
      <w:r w:rsidRPr="00074982">
        <w:rPr>
          <w:rFonts w:ascii="Times New Roman" w:eastAsia="Times New Roman" w:hAnsi="Times New Roman" w:cs="Times New Roman"/>
          <w:bCs/>
          <w:sz w:val="24"/>
          <w:szCs w:val="24"/>
        </w:rPr>
        <w:t xml:space="preserve"> &lt; 0.05 vs. control, GB, and (GB + METH), respectively.</w:t>
      </w:r>
    </w:p>
    <w:p w14:paraId="3A2FFAAD" w14:textId="77777777" w:rsidR="003054F9" w:rsidRPr="00074982" w:rsidRDefault="003054F9"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Effect</w:t>
      </w:r>
      <w:r w:rsidR="00B03217" w:rsidRPr="00074982">
        <w:rPr>
          <w:rFonts w:ascii="Times New Roman" w:eastAsia="Times New Roman" w:hAnsi="Times New Roman" w:cs="Times New Roman"/>
          <w:b/>
          <w:bCs/>
          <w:sz w:val="24"/>
          <w:szCs w:val="24"/>
        </w:rPr>
        <w:t xml:space="preserve"> of Methamphetamine and </w:t>
      </w:r>
      <w:r w:rsidR="00B03217" w:rsidRPr="00074982">
        <w:rPr>
          <w:rFonts w:ascii="Times New Roman" w:eastAsia="Times New Roman" w:hAnsi="Times New Roman" w:cs="Times New Roman"/>
          <w:b/>
          <w:bCs/>
          <w:i/>
          <w:sz w:val="24"/>
          <w:szCs w:val="24"/>
        </w:rPr>
        <w:t>Ginkgo b</w:t>
      </w:r>
      <w:r w:rsidRPr="00074982">
        <w:rPr>
          <w:rFonts w:ascii="Times New Roman" w:eastAsia="Times New Roman" w:hAnsi="Times New Roman" w:cs="Times New Roman"/>
          <w:b/>
          <w:bCs/>
          <w:i/>
          <w:sz w:val="24"/>
          <w:szCs w:val="24"/>
        </w:rPr>
        <w:t>iloba</w:t>
      </w:r>
      <w:r w:rsidRPr="00074982">
        <w:rPr>
          <w:rFonts w:ascii="Times New Roman" w:eastAsia="Times New Roman" w:hAnsi="Times New Roman" w:cs="Times New Roman"/>
          <w:b/>
          <w:bCs/>
          <w:sz w:val="24"/>
          <w:szCs w:val="24"/>
        </w:rPr>
        <w:t xml:space="preserve"> on Adherent Mucus in Experimental Rat Groups</w:t>
      </w:r>
    </w:p>
    <w:p w14:paraId="5DB08F52" w14:textId="77777777" w:rsidR="003054F9" w:rsidRPr="00074982" w:rsidRDefault="003054F9"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Figure 3 illustrates the effect of methamphetamine and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on adherent mucus in the experimental groups. The results show that the methamphetamine-treated group had a significantly higher adherent mucus weight (p&lt;0.001) compared to both the control and other treatment groups. Additionally, the group treated with both methamphetamine and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exhibited a significant increase (p&lt;0.05) in mucus weight compared to the control and the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-only treated groups.</w:t>
      </w:r>
    </w:p>
    <w:p w14:paraId="597719C6" w14:textId="52A2A1B0" w:rsidR="000639C7" w:rsidRPr="00074982" w:rsidRDefault="005848E7" w:rsidP="005848E7">
      <w:pPr>
        <w:spacing w:before="100" w:beforeAutospacing="1" w:after="100" w:afterAutospacing="1" w:line="360" w:lineRule="auto"/>
        <w:jc w:val="center"/>
        <w:rPr>
          <w:rFonts w:ascii="Times New Roman" w:eastAsia="Times New Roman" w:hAnsi="Times New Roman" w:cs="Times New Roman"/>
          <w:sz w:val="24"/>
          <w:szCs w:val="24"/>
        </w:rPr>
      </w:pPr>
      <w:r>
        <w:rPr>
          <w:noProof/>
        </w:rPr>
        <w:drawing>
          <wp:inline distT="0" distB="0" distL="0" distR="0" wp14:anchorId="4421CB4F" wp14:editId="0CA4F378">
            <wp:extent cx="4435962" cy="1911350"/>
            <wp:effectExtent l="0" t="0" r="3175" b="0"/>
            <wp:docPr id="25812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2624" name=""/>
                    <pic:cNvPicPr/>
                  </pic:nvPicPr>
                  <pic:blipFill>
                    <a:blip r:embed="rId9"/>
                    <a:stretch>
                      <a:fillRect/>
                    </a:stretch>
                  </pic:blipFill>
                  <pic:spPr>
                    <a:xfrm>
                      <a:off x="0" y="0"/>
                      <a:ext cx="4443380" cy="1914546"/>
                    </a:xfrm>
                    <a:prstGeom prst="rect">
                      <a:avLst/>
                    </a:prstGeom>
                  </pic:spPr>
                </pic:pic>
              </a:graphicData>
            </a:graphic>
          </wp:inline>
        </w:drawing>
      </w:r>
    </w:p>
    <w:p w14:paraId="4924AABA" w14:textId="77777777" w:rsidR="000639C7" w:rsidRPr="00074982" w:rsidRDefault="000639C7" w:rsidP="00F92321">
      <w:pPr>
        <w:pStyle w:val="NormalWeb"/>
        <w:spacing w:line="360" w:lineRule="auto"/>
        <w:jc w:val="both"/>
        <w:rPr>
          <w:rFonts w:eastAsia="Times New Roman"/>
          <w:bCs/>
          <w:iCs/>
          <w:lang w:val="en-GB" w:eastAsia="en-GB"/>
        </w:rPr>
      </w:pPr>
      <w:r w:rsidRPr="00074982">
        <w:rPr>
          <w:rFonts w:eastAsia="Times New Roman"/>
          <w:bCs/>
          <w:iCs/>
          <w:lang w:val="en-GB"/>
        </w:rPr>
        <w:lastRenderedPageBreak/>
        <w:t xml:space="preserve">Figure 3: Effect of Methamphetamine and </w:t>
      </w:r>
      <w:r w:rsidRPr="00074982">
        <w:rPr>
          <w:rFonts w:eastAsia="Times New Roman"/>
          <w:bCs/>
          <w:i/>
          <w:iCs/>
          <w:lang w:val="en-GB"/>
        </w:rPr>
        <w:t>Ginkgo biloba</w:t>
      </w:r>
      <w:r w:rsidRPr="00074982">
        <w:rPr>
          <w:rFonts w:eastAsia="Times New Roman"/>
          <w:bCs/>
          <w:iCs/>
          <w:lang w:val="en-GB"/>
        </w:rPr>
        <w:t xml:space="preserve"> on adherent mucus weight in the control and treated group of rats.</w:t>
      </w:r>
      <w:r w:rsidR="00FB64BB" w:rsidRPr="00074982">
        <w:rPr>
          <w:rFonts w:eastAsia="Times New Roman"/>
          <w:bCs/>
          <w:iCs/>
          <w:lang w:val="en-GB" w:eastAsia="en-GB"/>
        </w:rPr>
        <w:t xml:space="preserve"> Values are mean ± SEM, n = 12, </w:t>
      </w:r>
      <w:bookmarkStart w:id="1" w:name="_Hlk160974918"/>
      <w:r w:rsidR="00FB64BB" w:rsidRPr="00074982">
        <w:rPr>
          <w:rFonts w:eastAsia="Times New Roman"/>
          <w:bCs/>
          <w:iCs/>
          <w:lang w:val="en-GB" w:eastAsia="en-GB"/>
        </w:rPr>
        <w:t>**</w:t>
      </w:r>
      <w:r w:rsidR="002A01B7" w:rsidRPr="00074982">
        <w:rPr>
          <w:rFonts w:eastAsia="Times New Roman"/>
          <w:bCs/>
          <w:iCs/>
          <w:lang w:val="en-GB" w:eastAsia="en-GB"/>
        </w:rPr>
        <w:t xml:space="preserve"> </w:t>
      </w:r>
      <w:r w:rsidR="00FB64BB" w:rsidRPr="00074982">
        <w:rPr>
          <w:rFonts w:eastAsia="Times New Roman"/>
          <w:bCs/>
          <w:iCs/>
          <w:lang w:val="en-GB" w:eastAsia="en-GB"/>
        </w:rPr>
        <w:t>=</w:t>
      </w:r>
      <w:bookmarkStart w:id="2" w:name="_Hlk161481024"/>
      <w:r w:rsidR="002A01B7" w:rsidRPr="00074982">
        <w:rPr>
          <w:rFonts w:eastAsia="Times New Roman"/>
          <w:bCs/>
          <w:iCs/>
          <w:lang w:val="en-GB" w:eastAsia="en-GB"/>
        </w:rPr>
        <w:t xml:space="preserve"> </w:t>
      </w:r>
      <w:r w:rsidR="00FB64BB" w:rsidRPr="00074982">
        <w:rPr>
          <w:rFonts w:eastAsia="Times New Roman"/>
          <w:bCs/>
          <w:iCs/>
          <w:lang w:val="en-GB" w:eastAsia="en-GB"/>
        </w:rPr>
        <w:t xml:space="preserve">p&lt;0.001 </w:t>
      </w:r>
      <w:bookmarkEnd w:id="2"/>
      <w:r w:rsidR="00FB64BB" w:rsidRPr="00074982">
        <w:rPr>
          <w:rFonts w:eastAsia="Times New Roman"/>
          <w:bCs/>
          <w:iCs/>
          <w:lang w:val="en-GB" w:eastAsia="en-GB"/>
        </w:rPr>
        <w:t xml:space="preserve">vs. control, GB and GB + METH, </w:t>
      </w:r>
      <w:bookmarkStart w:id="3" w:name="_Hlk161394347"/>
      <w:bookmarkEnd w:id="1"/>
      <w:r w:rsidR="00FB64BB" w:rsidRPr="00074982">
        <w:rPr>
          <w:rFonts w:eastAsia="Times New Roman"/>
          <w:bCs/>
          <w:iCs/>
          <w:vertAlign w:val="superscript"/>
          <w:lang w:val="en-GB" w:eastAsia="en-GB"/>
        </w:rPr>
        <w:t>*</w:t>
      </w:r>
      <w:r w:rsidR="00AF7448" w:rsidRPr="00074982">
        <w:rPr>
          <w:rFonts w:eastAsia="Times New Roman"/>
          <w:bCs/>
          <w:iCs/>
          <w:vertAlign w:val="superscript"/>
          <w:lang w:val="en-GB" w:eastAsia="en-GB"/>
        </w:rPr>
        <w:t xml:space="preserve"> </w:t>
      </w:r>
      <w:r w:rsidR="00FB64BB" w:rsidRPr="00074982">
        <w:rPr>
          <w:rFonts w:eastAsia="Times New Roman"/>
          <w:bCs/>
          <w:iCs/>
          <w:lang w:val="en-GB" w:eastAsia="en-GB"/>
        </w:rPr>
        <w:t>=</w:t>
      </w:r>
      <w:r w:rsidR="002A01B7" w:rsidRPr="00074982">
        <w:rPr>
          <w:rFonts w:eastAsia="Times New Roman"/>
          <w:bCs/>
          <w:iCs/>
          <w:lang w:val="en-GB" w:eastAsia="en-GB"/>
        </w:rPr>
        <w:t xml:space="preserve"> </w:t>
      </w:r>
      <w:r w:rsidR="00FB64BB" w:rsidRPr="00074982">
        <w:rPr>
          <w:rFonts w:eastAsia="Times New Roman"/>
          <w:bCs/>
          <w:iCs/>
          <w:lang w:val="en-GB" w:eastAsia="en-GB"/>
        </w:rPr>
        <w:t>p&lt;0.05 vs. control,</w:t>
      </w:r>
      <w:bookmarkEnd w:id="3"/>
      <w:r w:rsidR="00FB64BB" w:rsidRPr="00074982">
        <w:rPr>
          <w:rFonts w:eastAsia="Times New Roman"/>
          <w:bCs/>
          <w:iCs/>
          <w:lang w:val="en-GB" w:eastAsia="en-GB"/>
        </w:rPr>
        <w:t xml:space="preserve"> GB </w:t>
      </w:r>
      <w:bookmarkStart w:id="4" w:name="_Hlk161394648"/>
      <w:r w:rsidR="00FB64BB" w:rsidRPr="00074982">
        <w:rPr>
          <w:rFonts w:eastAsia="Times New Roman"/>
          <w:bCs/>
          <w:iCs/>
          <w:lang w:val="en-GB" w:eastAsia="en-GB"/>
        </w:rPr>
        <w:t>and (GB +METH) respectively.</w:t>
      </w:r>
      <w:bookmarkEnd w:id="4"/>
    </w:p>
    <w:p w14:paraId="1EB68DB2" w14:textId="77777777" w:rsidR="00952604" w:rsidRPr="00074982" w:rsidRDefault="00952604"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Effect</w:t>
      </w:r>
      <w:r w:rsidR="008A0C2A" w:rsidRPr="00074982">
        <w:rPr>
          <w:rFonts w:ascii="Times New Roman" w:eastAsia="Times New Roman" w:hAnsi="Times New Roman" w:cs="Times New Roman"/>
          <w:b/>
          <w:bCs/>
          <w:sz w:val="24"/>
          <w:szCs w:val="24"/>
        </w:rPr>
        <w:t xml:space="preserve"> of Methamphetamine and </w:t>
      </w:r>
      <w:r w:rsidR="008A0C2A" w:rsidRPr="00074982">
        <w:rPr>
          <w:rFonts w:ascii="Times New Roman" w:eastAsia="Times New Roman" w:hAnsi="Times New Roman" w:cs="Times New Roman"/>
          <w:b/>
          <w:bCs/>
          <w:i/>
          <w:sz w:val="24"/>
          <w:szCs w:val="24"/>
        </w:rPr>
        <w:t>Ginkgo b</w:t>
      </w:r>
      <w:r w:rsidRPr="00074982">
        <w:rPr>
          <w:rFonts w:ascii="Times New Roman" w:eastAsia="Times New Roman" w:hAnsi="Times New Roman" w:cs="Times New Roman"/>
          <w:b/>
          <w:bCs/>
          <w:i/>
          <w:sz w:val="24"/>
          <w:szCs w:val="24"/>
        </w:rPr>
        <w:t>iloba</w:t>
      </w:r>
      <w:r w:rsidRPr="00074982">
        <w:rPr>
          <w:rFonts w:ascii="Times New Roman" w:eastAsia="Times New Roman" w:hAnsi="Times New Roman" w:cs="Times New Roman"/>
          <w:b/>
          <w:bCs/>
          <w:sz w:val="24"/>
          <w:szCs w:val="24"/>
        </w:rPr>
        <w:t xml:space="preserve"> on Pepsin Secretion in Experimental Rat Groups</w:t>
      </w:r>
    </w:p>
    <w:p w14:paraId="5C669D42" w14:textId="77777777" w:rsidR="00952604" w:rsidRPr="00074982" w:rsidRDefault="00952604"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Figure 4 shows the effect of methamphetamine and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on pepsin secretion across the treatment groups. The methamphetamine-only treated group exhibited a significant increase in pepsin secretion (p&lt;0.001) compared to the control,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-only, and combined methamphetamine and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treatment groups. Additionally, the group treated with both methamphetamine and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also showed a significant increase in pepsin secretion (p&lt;0.05).</w:t>
      </w:r>
    </w:p>
    <w:p w14:paraId="67ABE4A3" w14:textId="0EAA439A" w:rsidR="002A59F5" w:rsidRPr="00074982" w:rsidRDefault="005848E7" w:rsidP="005848E7">
      <w:pPr>
        <w:spacing w:before="100" w:beforeAutospacing="1" w:after="100" w:afterAutospacing="1" w:line="360" w:lineRule="auto"/>
        <w:jc w:val="center"/>
        <w:rPr>
          <w:rFonts w:ascii="Times New Roman" w:eastAsia="Times New Roman" w:hAnsi="Times New Roman" w:cs="Times New Roman"/>
          <w:sz w:val="24"/>
          <w:szCs w:val="24"/>
        </w:rPr>
      </w:pPr>
      <w:r>
        <w:rPr>
          <w:noProof/>
        </w:rPr>
        <w:drawing>
          <wp:inline distT="0" distB="0" distL="0" distR="0" wp14:anchorId="34F034C0" wp14:editId="1FE2AC20">
            <wp:extent cx="4552950" cy="1612990"/>
            <wp:effectExtent l="0" t="0" r="0" b="6350"/>
            <wp:docPr id="743534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34967" name=""/>
                    <pic:cNvPicPr/>
                  </pic:nvPicPr>
                  <pic:blipFill>
                    <a:blip r:embed="rId10"/>
                    <a:stretch>
                      <a:fillRect/>
                    </a:stretch>
                  </pic:blipFill>
                  <pic:spPr>
                    <a:xfrm>
                      <a:off x="0" y="0"/>
                      <a:ext cx="4556744" cy="1614334"/>
                    </a:xfrm>
                    <a:prstGeom prst="rect">
                      <a:avLst/>
                    </a:prstGeom>
                  </pic:spPr>
                </pic:pic>
              </a:graphicData>
            </a:graphic>
          </wp:inline>
        </w:drawing>
      </w:r>
    </w:p>
    <w:p w14:paraId="486F1E20" w14:textId="77777777" w:rsidR="002A59F5" w:rsidRPr="00074982" w:rsidRDefault="002A59F5"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Figure 4: Effect of Methamphetamine and </w:t>
      </w:r>
      <w:r w:rsidRPr="00074982">
        <w:rPr>
          <w:rFonts w:ascii="Times New Roman" w:eastAsia="Times New Roman" w:hAnsi="Times New Roman" w:cs="Times New Roman"/>
          <w:i/>
          <w:iCs/>
          <w:sz w:val="24"/>
          <w:szCs w:val="24"/>
        </w:rPr>
        <w:t>Ginkgo biloba</w:t>
      </w:r>
      <w:r w:rsidRPr="00074982">
        <w:rPr>
          <w:rFonts w:ascii="Times New Roman" w:eastAsia="Times New Roman" w:hAnsi="Times New Roman" w:cs="Times New Roman"/>
          <w:sz w:val="24"/>
          <w:szCs w:val="24"/>
        </w:rPr>
        <w:t xml:space="preserve"> on Gastric Pepsin Secretion in Control and Treated Groups of Rats. Values are expressed as mean ± SEM, n = 12. **</w:t>
      </w:r>
      <w:r w:rsidR="00AF7448" w:rsidRPr="00074982">
        <w:rPr>
          <w:rFonts w:ascii="Times New Roman" w:eastAsia="Times New Roman" w:hAnsi="Times New Roman" w:cs="Times New Roman"/>
          <w:b/>
          <w:bCs/>
          <w:sz w:val="24"/>
          <w:szCs w:val="24"/>
        </w:rPr>
        <w:t>#</w:t>
      </w:r>
      <w:r w:rsidR="002A01B7" w:rsidRPr="00074982">
        <w:rPr>
          <w:rFonts w:ascii="Times New Roman" w:eastAsia="Times New Roman" w:hAnsi="Times New Roman" w:cs="Times New Roman"/>
          <w:sz w:val="24"/>
          <w:szCs w:val="24"/>
        </w:rPr>
        <w:t xml:space="preserve"> = </w:t>
      </w:r>
      <w:r w:rsidRPr="00074982">
        <w:rPr>
          <w:rFonts w:ascii="Times New Roman" w:eastAsia="Times New Roman" w:hAnsi="Times New Roman" w:cs="Times New Roman"/>
          <w:bCs/>
          <w:sz w:val="24"/>
          <w:szCs w:val="24"/>
        </w:rPr>
        <w:t>p</w:t>
      </w:r>
      <w:r w:rsidRPr="00074982">
        <w:rPr>
          <w:rFonts w:ascii="Times New Roman" w:eastAsia="Times New Roman" w:hAnsi="Times New Roman" w:cs="Times New Roman"/>
          <w:sz w:val="24"/>
          <w:szCs w:val="24"/>
        </w:rPr>
        <w:t xml:space="preserve"> &lt; 0.001 vs. control, GB, and (GB + METH); **</w:t>
      </w:r>
      <w:r w:rsidR="002A01B7" w:rsidRPr="00074982">
        <w:rPr>
          <w:rFonts w:ascii="Times New Roman" w:eastAsia="Times New Roman" w:hAnsi="Times New Roman" w:cs="Times New Roman"/>
          <w:sz w:val="24"/>
          <w:szCs w:val="24"/>
        </w:rPr>
        <w:t xml:space="preserve"> = </w:t>
      </w:r>
      <w:r w:rsidRPr="00074982">
        <w:rPr>
          <w:rFonts w:ascii="Times New Roman" w:eastAsia="Times New Roman" w:hAnsi="Times New Roman" w:cs="Times New Roman"/>
          <w:bCs/>
          <w:sz w:val="24"/>
          <w:szCs w:val="24"/>
        </w:rPr>
        <w:t>p</w:t>
      </w:r>
      <w:r w:rsidRPr="00074982">
        <w:rPr>
          <w:rFonts w:ascii="Times New Roman" w:eastAsia="Times New Roman" w:hAnsi="Times New Roman" w:cs="Times New Roman"/>
          <w:sz w:val="24"/>
          <w:szCs w:val="24"/>
        </w:rPr>
        <w:t xml:space="preserve"> &lt; 0.05 vs. control, GB, and METH, respectively.</w:t>
      </w:r>
    </w:p>
    <w:p w14:paraId="69E39474" w14:textId="77777777" w:rsidR="00952604" w:rsidRPr="00074982" w:rsidRDefault="00952604"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 xml:space="preserve">Effect of Methamphetamine and </w:t>
      </w:r>
      <w:r w:rsidRPr="00074982">
        <w:rPr>
          <w:rFonts w:ascii="Times New Roman" w:eastAsia="Times New Roman" w:hAnsi="Times New Roman" w:cs="Times New Roman"/>
          <w:b/>
          <w:bCs/>
          <w:i/>
          <w:sz w:val="24"/>
          <w:szCs w:val="24"/>
        </w:rPr>
        <w:t>Ginkgo biloba</w:t>
      </w:r>
      <w:r w:rsidRPr="00074982">
        <w:rPr>
          <w:rFonts w:ascii="Times New Roman" w:eastAsia="Times New Roman" w:hAnsi="Times New Roman" w:cs="Times New Roman"/>
          <w:b/>
          <w:bCs/>
          <w:sz w:val="24"/>
          <w:szCs w:val="24"/>
        </w:rPr>
        <w:t xml:space="preserve"> on Stomach Acid Output after Histamine and Cimetidine Administration in Control and Treated Rat Groups</w:t>
      </w:r>
    </w:p>
    <w:p w14:paraId="5AC31662" w14:textId="77024FEE" w:rsidR="00D617E7" w:rsidRPr="00074982" w:rsidRDefault="00D617E7"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The effect of methamphetamine and </w:t>
      </w:r>
      <w:r w:rsidRPr="00074982">
        <w:rPr>
          <w:rFonts w:ascii="Times New Roman" w:eastAsia="Times New Roman" w:hAnsi="Times New Roman" w:cs="Times New Roman"/>
          <w:i/>
          <w:iCs/>
          <w:sz w:val="24"/>
          <w:szCs w:val="24"/>
        </w:rPr>
        <w:t>Ginkgo biloba</w:t>
      </w:r>
      <w:r w:rsidRPr="00074982">
        <w:rPr>
          <w:rFonts w:ascii="Times New Roman" w:eastAsia="Times New Roman" w:hAnsi="Times New Roman" w:cs="Times New Roman"/>
          <w:sz w:val="24"/>
          <w:szCs w:val="24"/>
        </w:rPr>
        <w:t xml:space="preserve"> on gastric acid output in control and experimental animals is presented in Table 1. The mean basal acid output values for the groups were</w:t>
      </w:r>
      <w:r w:rsidR="00DE2484">
        <w:rPr>
          <w:rFonts w:ascii="Times New Roman" w:eastAsia="Times New Roman" w:hAnsi="Times New Roman" w:cs="Times New Roman"/>
          <w:sz w:val="24"/>
          <w:szCs w:val="24"/>
        </w:rPr>
        <w:t>;</w:t>
      </w:r>
      <w:r w:rsidRPr="00074982">
        <w:rPr>
          <w:rFonts w:ascii="Times New Roman" w:eastAsia="Times New Roman" w:hAnsi="Times New Roman" w:cs="Times New Roman"/>
          <w:sz w:val="24"/>
          <w:szCs w:val="24"/>
        </w:rPr>
        <w:t xml:space="preserve"> </w:t>
      </w:r>
      <w:r w:rsidR="00DE2484" w:rsidRPr="00074982">
        <w:rPr>
          <w:rFonts w:ascii="Times New Roman" w:eastAsia="Times New Roman" w:hAnsi="Times New Roman" w:cs="Times New Roman"/>
          <w:sz w:val="24"/>
          <w:szCs w:val="24"/>
        </w:rPr>
        <w:t>control</w:t>
      </w:r>
      <w:r w:rsidR="00DE2484">
        <w:rPr>
          <w:rFonts w:ascii="Times New Roman" w:eastAsia="Times New Roman" w:hAnsi="Times New Roman" w:cs="Times New Roman"/>
          <w:sz w:val="24"/>
          <w:szCs w:val="24"/>
        </w:rPr>
        <w:t xml:space="preserve"> =</w:t>
      </w:r>
      <w:r w:rsidR="00DE2484" w:rsidRPr="00074982">
        <w:rPr>
          <w:rFonts w:ascii="Times New Roman" w:eastAsia="Times New Roman" w:hAnsi="Times New Roman" w:cs="Times New Roman"/>
          <w:sz w:val="24"/>
          <w:szCs w:val="24"/>
        </w:rPr>
        <w:t xml:space="preserve"> </w:t>
      </w:r>
      <w:r w:rsidRPr="00074982">
        <w:rPr>
          <w:rFonts w:ascii="Times New Roman" w:eastAsia="Times New Roman" w:hAnsi="Times New Roman" w:cs="Times New Roman"/>
          <w:sz w:val="24"/>
          <w:szCs w:val="24"/>
        </w:rPr>
        <w:t xml:space="preserve">4.3 ± 0.00, </w:t>
      </w:r>
      <w:r w:rsidR="00DE2484" w:rsidRPr="00074982">
        <w:rPr>
          <w:rFonts w:ascii="Times New Roman" w:eastAsia="Times New Roman" w:hAnsi="Times New Roman" w:cs="Times New Roman"/>
          <w:sz w:val="24"/>
          <w:szCs w:val="24"/>
        </w:rPr>
        <w:t>GB</w:t>
      </w:r>
      <w:r w:rsidR="00DE2484" w:rsidRPr="00074982">
        <w:rPr>
          <w:rFonts w:ascii="Times New Roman" w:eastAsia="Times New Roman" w:hAnsi="Times New Roman" w:cs="Times New Roman"/>
          <w:sz w:val="24"/>
          <w:szCs w:val="24"/>
        </w:rPr>
        <w:t xml:space="preserve"> </w:t>
      </w:r>
      <w:r w:rsidR="00DE2484">
        <w:rPr>
          <w:rFonts w:ascii="Times New Roman" w:eastAsia="Times New Roman" w:hAnsi="Times New Roman" w:cs="Times New Roman"/>
          <w:sz w:val="24"/>
          <w:szCs w:val="24"/>
        </w:rPr>
        <w:t xml:space="preserve">= </w:t>
      </w:r>
      <w:r w:rsidRPr="00074982">
        <w:rPr>
          <w:rFonts w:ascii="Times New Roman" w:eastAsia="Times New Roman" w:hAnsi="Times New Roman" w:cs="Times New Roman"/>
          <w:sz w:val="24"/>
          <w:szCs w:val="24"/>
        </w:rPr>
        <w:t xml:space="preserve">3.98 ± 0.57, </w:t>
      </w:r>
      <w:r w:rsidR="00DE2484" w:rsidRPr="00074982">
        <w:rPr>
          <w:rFonts w:ascii="Times New Roman" w:eastAsia="Times New Roman" w:hAnsi="Times New Roman" w:cs="Times New Roman"/>
          <w:sz w:val="24"/>
          <w:szCs w:val="24"/>
        </w:rPr>
        <w:t>METH</w:t>
      </w:r>
      <w:r w:rsidR="00DE2484">
        <w:rPr>
          <w:rFonts w:ascii="Times New Roman" w:eastAsia="Times New Roman" w:hAnsi="Times New Roman" w:cs="Times New Roman"/>
          <w:sz w:val="24"/>
          <w:szCs w:val="24"/>
        </w:rPr>
        <w:t xml:space="preserve"> =</w:t>
      </w:r>
      <w:r w:rsidR="00DE2484" w:rsidRPr="00074982">
        <w:rPr>
          <w:rFonts w:ascii="Times New Roman" w:eastAsia="Times New Roman" w:hAnsi="Times New Roman" w:cs="Times New Roman"/>
          <w:sz w:val="24"/>
          <w:szCs w:val="24"/>
        </w:rPr>
        <w:t xml:space="preserve"> </w:t>
      </w:r>
      <w:r w:rsidRPr="00074982">
        <w:rPr>
          <w:rFonts w:ascii="Times New Roman" w:eastAsia="Times New Roman" w:hAnsi="Times New Roman" w:cs="Times New Roman"/>
          <w:sz w:val="24"/>
          <w:szCs w:val="24"/>
        </w:rPr>
        <w:t xml:space="preserve">11.7 ± 1.09, and </w:t>
      </w:r>
      <w:r w:rsidR="00DE2484" w:rsidRPr="00074982">
        <w:rPr>
          <w:rFonts w:ascii="Times New Roman" w:eastAsia="Times New Roman" w:hAnsi="Times New Roman" w:cs="Times New Roman"/>
          <w:sz w:val="24"/>
          <w:szCs w:val="24"/>
        </w:rPr>
        <w:t>GB+METH-treated</w:t>
      </w:r>
      <w:r w:rsidR="00DE2484">
        <w:rPr>
          <w:rFonts w:ascii="Times New Roman" w:eastAsia="Times New Roman" w:hAnsi="Times New Roman" w:cs="Times New Roman"/>
          <w:sz w:val="24"/>
          <w:szCs w:val="24"/>
        </w:rPr>
        <w:t xml:space="preserve"> </w:t>
      </w:r>
      <w:r w:rsidR="000072BB">
        <w:rPr>
          <w:rFonts w:ascii="Times New Roman" w:eastAsia="Times New Roman" w:hAnsi="Times New Roman" w:cs="Times New Roman"/>
          <w:sz w:val="24"/>
          <w:szCs w:val="24"/>
        </w:rPr>
        <w:t xml:space="preserve">= </w:t>
      </w:r>
      <w:r w:rsidR="000072BB" w:rsidRPr="00074982">
        <w:rPr>
          <w:rFonts w:ascii="Times New Roman" w:eastAsia="Times New Roman" w:hAnsi="Times New Roman" w:cs="Times New Roman"/>
          <w:sz w:val="24"/>
          <w:szCs w:val="24"/>
        </w:rPr>
        <w:t>9.2</w:t>
      </w:r>
      <w:r w:rsidRPr="00074982">
        <w:rPr>
          <w:rFonts w:ascii="Times New Roman" w:eastAsia="Times New Roman" w:hAnsi="Times New Roman" w:cs="Times New Roman"/>
          <w:sz w:val="24"/>
          <w:szCs w:val="24"/>
        </w:rPr>
        <w:t xml:space="preserve"> ± 0.18 µ</w:t>
      </w:r>
      <w:proofErr w:type="spellStart"/>
      <w:r w:rsidRPr="00074982">
        <w:rPr>
          <w:rFonts w:ascii="Times New Roman" w:eastAsia="Times New Roman" w:hAnsi="Times New Roman" w:cs="Times New Roman"/>
          <w:sz w:val="24"/>
          <w:szCs w:val="24"/>
        </w:rPr>
        <w:t>mol</w:t>
      </w:r>
      <w:proofErr w:type="spellEnd"/>
      <w:r w:rsidRPr="00074982">
        <w:rPr>
          <w:rFonts w:ascii="Times New Roman" w:eastAsia="Times New Roman" w:hAnsi="Times New Roman" w:cs="Times New Roman"/>
          <w:sz w:val="24"/>
          <w:szCs w:val="24"/>
        </w:rPr>
        <w:t>/</w:t>
      </w:r>
      <w:proofErr w:type="spellStart"/>
      <w:r w:rsidRPr="00074982">
        <w:rPr>
          <w:rFonts w:ascii="Times New Roman" w:eastAsia="Times New Roman" w:hAnsi="Times New Roman" w:cs="Times New Roman"/>
          <w:sz w:val="24"/>
          <w:szCs w:val="24"/>
        </w:rPr>
        <w:t>hr</w:t>
      </w:r>
      <w:proofErr w:type="spellEnd"/>
      <w:r w:rsidRPr="00074982">
        <w:rPr>
          <w:rFonts w:ascii="Times New Roman" w:eastAsia="Times New Roman" w:hAnsi="Times New Roman" w:cs="Times New Roman"/>
          <w:sz w:val="24"/>
          <w:szCs w:val="24"/>
        </w:rPr>
        <w:t>, respectively. Basal acid secretion was significantly (p &lt; 0.05) increased in the METH-only and METH+GB groups compared to the control and GB-only groups.</w:t>
      </w:r>
      <w:r w:rsidR="00F77952" w:rsidRPr="00074982">
        <w:rPr>
          <w:rFonts w:ascii="Times New Roman" w:eastAsia="Times New Roman" w:hAnsi="Times New Roman" w:cs="Times New Roman"/>
          <w:sz w:val="24"/>
          <w:szCs w:val="24"/>
        </w:rPr>
        <w:t xml:space="preserve"> </w:t>
      </w:r>
      <w:r w:rsidRPr="00074982">
        <w:rPr>
          <w:rFonts w:ascii="Times New Roman" w:eastAsia="Times New Roman" w:hAnsi="Times New Roman" w:cs="Times New Roman"/>
          <w:sz w:val="24"/>
          <w:szCs w:val="24"/>
        </w:rPr>
        <w:t xml:space="preserve">Following </w:t>
      </w:r>
      <w:r w:rsidRPr="00074982">
        <w:rPr>
          <w:rFonts w:ascii="Times New Roman" w:eastAsia="Times New Roman" w:hAnsi="Times New Roman" w:cs="Times New Roman"/>
          <w:sz w:val="24"/>
          <w:szCs w:val="24"/>
        </w:rPr>
        <w:lastRenderedPageBreak/>
        <w:t>histamine administration, peak acid output values for the groups were</w:t>
      </w:r>
      <w:r w:rsidR="001D4625">
        <w:rPr>
          <w:rFonts w:ascii="Times New Roman" w:eastAsia="Times New Roman" w:hAnsi="Times New Roman" w:cs="Times New Roman"/>
          <w:sz w:val="24"/>
          <w:szCs w:val="24"/>
        </w:rPr>
        <w:t>;</w:t>
      </w:r>
      <w:r w:rsidRPr="00074982">
        <w:rPr>
          <w:rFonts w:ascii="Times New Roman" w:eastAsia="Times New Roman" w:hAnsi="Times New Roman" w:cs="Times New Roman"/>
          <w:sz w:val="24"/>
          <w:szCs w:val="24"/>
        </w:rPr>
        <w:t xml:space="preserve"> </w:t>
      </w:r>
      <w:r w:rsidR="001D4625" w:rsidRPr="00074982">
        <w:rPr>
          <w:rFonts w:ascii="Times New Roman" w:eastAsia="Times New Roman" w:hAnsi="Times New Roman" w:cs="Times New Roman"/>
          <w:sz w:val="24"/>
          <w:szCs w:val="24"/>
        </w:rPr>
        <w:t>control</w:t>
      </w:r>
      <w:r w:rsidR="001D4625">
        <w:rPr>
          <w:rFonts w:ascii="Times New Roman" w:eastAsia="Times New Roman" w:hAnsi="Times New Roman" w:cs="Times New Roman"/>
          <w:sz w:val="24"/>
          <w:szCs w:val="24"/>
        </w:rPr>
        <w:t xml:space="preserve"> = </w:t>
      </w:r>
      <w:r w:rsidRPr="00074982">
        <w:rPr>
          <w:rFonts w:ascii="Times New Roman" w:eastAsia="Times New Roman" w:hAnsi="Times New Roman" w:cs="Times New Roman"/>
          <w:sz w:val="24"/>
          <w:szCs w:val="24"/>
        </w:rPr>
        <w:t xml:space="preserve">13.2 ± 0.07, </w:t>
      </w:r>
      <w:r w:rsidR="001D4625" w:rsidRPr="00074982">
        <w:rPr>
          <w:rFonts w:ascii="Times New Roman" w:eastAsia="Times New Roman" w:hAnsi="Times New Roman" w:cs="Times New Roman"/>
          <w:sz w:val="24"/>
          <w:szCs w:val="24"/>
        </w:rPr>
        <w:t>GB</w:t>
      </w:r>
      <w:r w:rsidR="001D4625">
        <w:rPr>
          <w:rFonts w:ascii="Times New Roman" w:eastAsia="Times New Roman" w:hAnsi="Times New Roman" w:cs="Times New Roman"/>
          <w:sz w:val="24"/>
          <w:szCs w:val="24"/>
        </w:rPr>
        <w:t xml:space="preserve"> =</w:t>
      </w:r>
      <w:r w:rsidR="001D4625" w:rsidRPr="00074982">
        <w:rPr>
          <w:rFonts w:ascii="Times New Roman" w:eastAsia="Times New Roman" w:hAnsi="Times New Roman" w:cs="Times New Roman"/>
          <w:sz w:val="24"/>
          <w:szCs w:val="24"/>
        </w:rPr>
        <w:t xml:space="preserve"> </w:t>
      </w:r>
      <w:r w:rsidRPr="00074982">
        <w:rPr>
          <w:rFonts w:ascii="Times New Roman" w:eastAsia="Times New Roman" w:hAnsi="Times New Roman" w:cs="Times New Roman"/>
          <w:sz w:val="24"/>
          <w:szCs w:val="24"/>
        </w:rPr>
        <w:t xml:space="preserve">12.58 ± 0.19, </w:t>
      </w:r>
      <w:r w:rsidR="001D4625" w:rsidRPr="00074982">
        <w:rPr>
          <w:rFonts w:ascii="Times New Roman" w:eastAsia="Times New Roman" w:hAnsi="Times New Roman" w:cs="Times New Roman"/>
          <w:sz w:val="24"/>
          <w:szCs w:val="24"/>
        </w:rPr>
        <w:t>METH</w:t>
      </w:r>
      <w:r w:rsidR="001D4625" w:rsidRPr="00074982">
        <w:rPr>
          <w:rFonts w:ascii="Times New Roman" w:eastAsia="Times New Roman" w:hAnsi="Times New Roman" w:cs="Times New Roman"/>
          <w:sz w:val="24"/>
          <w:szCs w:val="24"/>
        </w:rPr>
        <w:t xml:space="preserve"> </w:t>
      </w:r>
      <w:r w:rsidR="001D4625">
        <w:rPr>
          <w:rFonts w:ascii="Times New Roman" w:eastAsia="Times New Roman" w:hAnsi="Times New Roman" w:cs="Times New Roman"/>
          <w:sz w:val="24"/>
          <w:szCs w:val="24"/>
        </w:rPr>
        <w:t xml:space="preserve">= </w:t>
      </w:r>
      <w:r w:rsidRPr="00074982">
        <w:rPr>
          <w:rFonts w:ascii="Times New Roman" w:eastAsia="Times New Roman" w:hAnsi="Times New Roman" w:cs="Times New Roman"/>
          <w:sz w:val="24"/>
          <w:szCs w:val="24"/>
        </w:rPr>
        <w:t xml:space="preserve">54.21 ± 0.03, and </w:t>
      </w:r>
      <w:r w:rsidR="001D4625" w:rsidRPr="00074982">
        <w:rPr>
          <w:rFonts w:ascii="Times New Roman" w:eastAsia="Times New Roman" w:hAnsi="Times New Roman" w:cs="Times New Roman"/>
          <w:sz w:val="24"/>
          <w:szCs w:val="24"/>
        </w:rPr>
        <w:t>GB+METH-treated</w:t>
      </w:r>
      <w:r w:rsidR="001D4625">
        <w:rPr>
          <w:rFonts w:ascii="Times New Roman" w:eastAsia="Times New Roman" w:hAnsi="Times New Roman" w:cs="Times New Roman"/>
          <w:sz w:val="24"/>
          <w:szCs w:val="24"/>
        </w:rPr>
        <w:t xml:space="preserve"> =</w:t>
      </w:r>
      <w:r w:rsidR="001D4625" w:rsidRPr="00074982">
        <w:rPr>
          <w:rFonts w:ascii="Times New Roman" w:eastAsia="Times New Roman" w:hAnsi="Times New Roman" w:cs="Times New Roman"/>
          <w:sz w:val="24"/>
          <w:szCs w:val="24"/>
        </w:rPr>
        <w:t xml:space="preserve"> </w:t>
      </w:r>
      <w:r w:rsidRPr="00074982">
        <w:rPr>
          <w:rFonts w:ascii="Times New Roman" w:eastAsia="Times New Roman" w:hAnsi="Times New Roman" w:cs="Times New Roman"/>
          <w:sz w:val="24"/>
          <w:szCs w:val="24"/>
        </w:rPr>
        <w:t>43.64 ± 1.13 µ</w:t>
      </w:r>
      <w:proofErr w:type="spellStart"/>
      <w:r w:rsidRPr="00074982">
        <w:rPr>
          <w:rFonts w:ascii="Times New Roman" w:eastAsia="Times New Roman" w:hAnsi="Times New Roman" w:cs="Times New Roman"/>
          <w:sz w:val="24"/>
          <w:szCs w:val="24"/>
        </w:rPr>
        <w:t>mol</w:t>
      </w:r>
      <w:proofErr w:type="spellEnd"/>
      <w:r w:rsidRPr="00074982">
        <w:rPr>
          <w:rFonts w:ascii="Times New Roman" w:eastAsia="Times New Roman" w:hAnsi="Times New Roman" w:cs="Times New Roman"/>
          <w:sz w:val="24"/>
          <w:szCs w:val="24"/>
        </w:rPr>
        <w:t>/</w:t>
      </w:r>
      <w:proofErr w:type="spellStart"/>
      <w:r w:rsidRPr="00074982">
        <w:rPr>
          <w:rFonts w:ascii="Times New Roman" w:eastAsia="Times New Roman" w:hAnsi="Times New Roman" w:cs="Times New Roman"/>
          <w:sz w:val="24"/>
          <w:szCs w:val="24"/>
        </w:rPr>
        <w:t>hr</w:t>
      </w:r>
      <w:proofErr w:type="spellEnd"/>
      <w:r w:rsidRPr="00074982">
        <w:rPr>
          <w:rFonts w:ascii="Times New Roman" w:eastAsia="Times New Roman" w:hAnsi="Times New Roman" w:cs="Times New Roman"/>
          <w:sz w:val="24"/>
          <w:szCs w:val="24"/>
        </w:rPr>
        <w:t>, respectively. A marked increase in gastric acid output was observed in the experimental groups. The METH-only group exhibited a significant (p &lt; 0.001) increase in peak acid output compared to the control and other treatment groups. Similarly, the GB-only group also showed a significant (p &lt; 0.001) increase in gastric output compared to the control. A comparable trend was observed in the METH+GB group.</w:t>
      </w:r>
      <w:r w:rsidR="00F77952" w:rsidRPr="00074982">
        <w:rPr>
          <w:rFonts w:ascii="Times New Roman" w:eastAsia="Times New Roman" w:hAnsi="Times New Roman" w:cs="Times New Roman"/>
          <w:sz w:val="24"/>
          <w:szCs w:val="24"/>
        </w:rPr>
        <w:t xml:space="preserve"> </w:t>
      </w:r>
      <w:r w:rsidRPr="00074982">
        <w:rPr>
          <w:rFonts w:ascii="Times New Roman" w:eastAsia="Times New Roman" w:hAnsi="Times New Roman" w:cs="Times New Roman"/>
          <w:sz w:val="24"/>
          <w:szCs w:val="24"/>
        </w:rPr>
        <w:t>After cimetidine administration, the peak acid output values for the groups were</w:t>
      </w:r>
      <w:r w:rsidR="001D4625">
        <w:rPr>
          <w:rFonts w:ascii="Times New Roman" w:eastAsia="Times New Roman" w:hAnsi="Times New Roman" w:cs="Times New Roman"/>
          <w:sz w:val="24"/>
          <w:szCs w:val="24"/>
        </w:rPr>
        <w:t>;</w:t>
      </w:r>
      <w:r w:rsidRPr="00074982">
        <w:rPr>
          <w:rFonts w:ascii="Times New Roman" w:eastAsia="Times New Roman" w:hAnsi="Times New Roman" w:cs="Times New Roman"/>
          <w:sz w:val="24"/>
          <w:szCs w:val="24"/>
        </w:rPr>
        <w:t xml:space="preserve"> </w:t>
      </w:r>
      <w:r w:rsidR="001D4625" w:rsidRPr="00074982">
        <w:rPr>
          <w:rFonts w:ascii="Times New Roman" w:eastAsia="Times New Roman" w:hAnsi="Times New Roman" w:cs="Times New Roman"/>
          <w:sz w:val="24"/>
          <w:szCs w:val="24"/>
        </w:rPr>
        <w:t>control</w:t>
      </w:r>
      <w:r w:rsidR="001D4625" w:rsidRPr="00074982">
        <w:rPr>
          <w:rFonts w:ascii="Times New Roman" w:eastAsia="Times New Roman" w:hAnsi="Times New Roman" w:cs="Times New Roman"/>
          <w:sz w:val="24"/>
          <w:szCs w:val="24"/>
        </w:rPr>
        <w:t xml:space="preserve"> </w:t>
      </w:r>
      <w:r w:rsidR="001D4625">
        <w:rPr>
          <w:rFonts w:ascii="Times New Roman" w:eastAsia="Times New Roman" w:hAnsi="Times New Roman" w:cs="Times New Roman"/>
          <w:sz w:val="24"/>
          <w:szCs w:val="24"/>
        </w:rPr>
        <w:t xml:space="preserve">= </w:t>
      </w:r>
      <w:r w:rsidRPr="00074982">
        <w:rPr>
          <w:rFonts w:ascii="Times New Roman" w:eastAsia="Times New Roman" w:hAnsi="Times New Roman" w:cs="Times New Roman"/>
          <w:sz w:val="24"/>
          <w:szCs w:val="24"/>
        </w:rPr>
        <w:t xml:space="preserve">7.5 ± 0.01, </w:t>
      </w:r>
      <w:r w:rsidR="001D4625" w:rsidRPr="00074982">
        <w:rPr>
          <w:rFonts w:ascii="Times New Roman" w:eastAsia="Times New Roman" w:hAnsi="Times New Roman" w:cs="Times New Roman"/>
          <w:sz w:val="24"/>
          <w:szCs w:val="24"/>
        </w:rPr>
        <w:t>GB</w:t>
      </w:r>
      <w:r w:rsidR="001D4625">
        <w:rPr>
          <w:rFonts w:ascii="Times New Roman" w:eastAsia="Times New Roman" w:hAnsi="Times New Roman" w:cs="Times New Roman"/>
          <w:sz w:val="24"/>
          <w:szCs w:val="24"/>
        </w:rPr>
        <w:t xml:space="preserve"> =</w:t>
      </w:r>
      <w:r w:rsidR="001D4625" w:rsidRPr="00074982">
        <w:rPr>
          <w:rFonts w:ascii="Times New Roman" w:eastAsia="Times New Roman" w:hAnsi="Times New Roman" w:cs="Times New Roman"/>
          <w:sz w:val="24"/>
          <w:szCs w:val="24"/>
        </w:rPr>
        <w:t xml:space="preserve"> </w:t>
      </w:r>
      <w:r w:rsidRPr="00074982">
        <w:rPr>
          <w:rFonts w:ascii="Times New Roman" w:eastAsia="Times New Roman" w:hAnsi="Times New Roman" w:cs="Times New Roman"/>
          <w:sz w:val="24"/>
          <w:szCs w:val="24"/>
        </w:rPr>
        <w:t xml:space="preserve">6.09 ± 0.38, </w:t>
      </w:r>
      <w:r w:rsidR="001D4625" w:rsidRPr="00074982">
        <w:rPr>
          <w:rFonts w:ascii="Times New Roman" w:eastAsia="Times New Roman" w:hAnsi="Times New Roman" w:cs="Times New Roman"/>
          <w:sz w:val="24"/>
          <w:szCs w:val="24"/>
        </w:rPr>
        <w:t>METH</w:t>
      </w:r>
      <w:r w:rsidR="001D4625" w:rsidRPr="00074982">
        <w:rPr>
          <w:rFonts w:ascii="Times New Roman" w:eastAsia="Times New Roman" w:hAnsi="Times New Roman" w:cs="Times New Roman"/>
          <w:sz w:val="24"/>
          <w:szCs w:val="24"/>
        </w:rPr>
        <w:t xml:space="preserve"> </w:t>
      </w:r>
      <w:r w:rsidR="001D4625">
        <w:rPr>
          <w:rFonts w:ascii="Times New Roman" w:eastAsia="Times New Roman" w:hAnsi="Times New Roman" w:cs="Times New Roman"/>
          <w:sz w:val="24"/>
          <w:szCs w:val="24"/>
        </w:rPr>
        <w:t xml:space="preserve">= </w:t>
      </w:r>
      <w:r w:rsidRPr="00074982">
        <w:rPr>
          <w:rFonts w:ascii="Times New Roman" w:eastAsia="Times New Roman" w:hAnsi="Times New Roman" w:cs="Times New Roman"/>
          <w:sz w:val="24"/>
          <w:szCs w:val="24"/>
        </w:rPr>
        <w:t xml:space="preserve">42.08 ± 0.06, and </w:t>
      </w:r>
      <w:r w:rsidR="001D4625" w:rsidRPr="00074982">
        <w:rPr>
          <w:rFonts w:ascii="Times New Roman" w:eastAsia="Times New Roman" w:hAnsi="Times New Roman" w:cs="Times New Roman"/>
          <w:sz w:val="24"/>
          <w:szCs w:val="24"/>
        </w:rPr>
        <w:t xml:space="preserve">GB+METH </w:t>
      </w:r>
      <w:r w:rsidR="001D4625">
        <w:rPr>
          <w:rFonts w:ascii="Times New Roman" w:eastAsia="Times New Roman" w:hAnsi="Times New Roman" w:cs="Times New Roman"/>
          <w:sz w:val="24"/>
          <w:szCs w:val="24"/>
        </w:rPr>
        <w:t xml:space="preserve">= </w:t>
      </w:r>
      <w:r w:rsidRPr="00074982">
        <w:rPr>
          <w:rFonts w:ascii="Times New Roman" w:eastAsia="Times New Roman" w:hAnsi="Times New Roman" w:cs="Times New Roman"/>
          <w:sz w:val="24"/>
          <w:szCs w:val="24"/>
        </w:rPr>
        <w:t>30.18 ± 0.05 µ</w:t>
      </w:r>
      <w:proofErr w:type="spellStart"/>
      <w:r w:rsidRPr="00074982">
        <w:rPr>
          <w:rFonts w:ascii="Times New Roman" w:eastAsia="Times New Roman" w:hAnsi="Times New Roman" w:cs="Times New Roman"/>
          <w:sz w:val="24"/>
          <w:szCs w:val="24"/>
        </w:rPr>
        <w:t>mol</w:t>
      </w:r>
      <w:proofErr w:type="spellEnd"/>
      <w:r w:rsidRPr="00074982">
        <w:rPr>
          <w:rFonts w:ascii="Times New Roman" w:eastAsia="Times New Roman" w:hAnsi="Times New Roman" w:cs="Times New Roman"/>
          <w:sz w:val="24"/>
          <w:szCs w:val="24"/>
        </w:rPr>
        <w:t>/</w:t>
      </w:r>
      <w:proofErr w:type="spellStart"/>
      <w:r w:rsidRPr="00074982">
        <w:rPr>
          <w:rFonts w:ascii="Times New Roman" w:eastAsia="Times New Roman" w:hAnsi="Times New Roman" w:cs="Times New Roman"/>
          <w:sz w:val="24"/>
          <w:szCs w:val="24"/>
        </w:rPr>
        <w:t>hr</w:t>
      </w:r>
      <w:proofErr w:type="spellEnd"/>
      <w:r w:rsidRPr="00074982">
        <w:rPr>
          <w:rFonts w:ascii="Times New Roman" w:eastAsia="Times New Roman" w:hAnsi="Times New Roman" w:cs="Times New Roman"/>
          <w:sz w:val="24"/>
          <w:szCs w:val="24"/>
        </w:rPr>
        <w:t>, respectively. A significant (p &lt; 0.001) decrease in gastric output was noted in the treatment groups. The GB-only group showed a significant (p &lt; 0.001) decrease in gastric output compared to the other treatment groups, and a similar trend was observed in both the METH and METH+GB groups.</w:t>
      </w:r>
    </w:p>
    <w:p w14:paraId="093E8B31" w14:textId="77777777" w:rsidR="00F77952" w:rsidRPr="00074982" w:rsidRDefault="00F77952" w:rsidP="00F92321">
      <w:pPr>
        <w:pStyle w:val="NormalWeb"/>
        <w:spacing w:after="0" w:line="360" w:lineRule="auto"/>
        <w:jc w:val="both"/>
        <w:rPr>
          <w:iCs/>
        </w:rPr>
      </w:pPr>
      <w:r w:rsidRPr="00074982">
        <w:t xml:space="preserve">Table 1: </w:t>
      </w:r>
      <w:r w:rsidRPr="00074982">
        <w:rPr>
          <w:iCs/>
        </w:rPr>
        <w:t xml:space="preserve">Effect of Methamphetamine and </w:t>
      </w:r>
      <w:r w:rsidRPr="00074982">
        <w:rPr>
          <w:i/>
          <w:iCs/>
        </w:rPr>
        <w:t>Ginkgo biloba</w:t>
      </w:r>
      <w:r w:rsidRPr="00074982">
        <w:rPr>
          <w:iCs/>
        </w:rPr>
        <w:t xml:space="preserve"> on Stomach Acid Output Following Histamine and Cimetidine Administration in Control, and Treated Group of Rats.</w:t>
      </w:r>
    </w:p>
    <w:tbl>
      <w:tblPr>
        <w:tblStyle w:val="TableGrid"/>
        <w:tblW w:w="8080" w:type="dxa"/>
        <w:tblInd w:w="108" w:type="dxa"/>
        <w:tblLook w:val="04A0" w:firstRow="1" w:lastRow="0" w:firstColumn="1" w:lastColumn="0" w:noHBand="0" w:noVBand="1"/>
      </w:tblPr>
      <w:tblGrid>
        <w:gridCol w:w="2410"/>
        <w:gridCol w:w="1559"/>
        <w:gridCol w:w="1985"/>
        <w:gridCol w:w="2126"/>
      </w:tblGrid>
      <w:tr w:rsidR="00F77952" w:rsidRPr="00074982" w14:paraId="3B7D6604" w14:textId="77777777" w:rsidTr="00B66AD8">
        <w:tc>
          <w:tcPr>
            <w:tcW w:w="2410" w:type="dxa"/>
            <w:tcBorders>
              <w:top w:val="single" w:sz="4" w:space="0" w:color="auto"/>
              <w:left w:val="single" w:sz="4" w:space="0" w:color="auto"/>
              <w:bottom w:val="single" w:sz="4" w:space="0" w:color="auto"/>
              <w:right w:val="single" w:sz="4" w:space="0" w:color="auto"/>
            </w:tcBorders>
            <w:hideMark/>
          </w:tcPr>
          <w:p w14:paraId="3F6E8542" w14:textId="77777777" w:rsidR="00F77952" w:rsidRPr="00074982" w:rsidRDefault="00F77952" w:rsidP="00F92321">
            <w:pPr>
              <w:spacing w:line="360" w:lineRule="auto"/>
              <w:jc w:val="both"/>
              <w:rPr>
                <w:sz w:val="24"/>
                <w:szCs w:val="24"/>
                <w:lang w:val="en-US"/>
              </w:rPr>
            </w:pPr>
            <w:r w:rsidRPr="00074982">
              <w:rPr>
                <w:sz w:val="24"/>
                <w:szCs w:val="24"/>
                <w:lang w:val="en-US"/>
              </w:rPr>
              <w:t>Group</w:t>
            </w:r>
          </w:p>
        </w:tc>
        <w:tc>
          <w:tcPr>
            <w:tcW w:w="1559" w:type="dxa"/>
            <w:tcBorders>
              <w:top w:val="single" w:sz="4" w:space="0" w:color="auto"/>
              <w:left w:val="single" w:sz="4" w:space="0" w:color="auto"/>
              <w:bottom w:val="single" w:sz="4" w:space="0" w:color="auto"/>
              <w:right w:val="single" w:sz="4" w:space="0" w:color="auto"/>
            </w:tcBorders>
            <w:hideMark/>
          </w:tcPr>
          <w:p w14:paraId="0DFB0022" w14:textId="77777777" w:rsidR="00F77952" w:rsidRPr="00074982" w:rsidRDefault="00F77952" w:rsidP="00F92321">
            <w:pPr>
              <w:spacing w:line="360" w:lineRule="auto"/>
              <w:jc w:val="both"/>
              <w:rPr>
                <w:sz w:val="24"/>
                <w:szCs w:val="24"/>
                <w:lang w:val="en-US"/>
              </w:rPr>
            </w:pPr>
            <w:r w:rsidRPr="00074982">
              <w:rPr>
                <w:sz w:val="24"/>
                <w:szCs w:val="24"/>
                <w:lang w:val="en-US"/>
              </w:rPr>
              <w:t>Basal output (µ</w:t>
            </w:r>
            <w:proofErr w:type="spellStart"/>
            <w:r w:rsidRPr="00074982">
              <w:rPr>
                <w:sz w:val="24"/>
                <w:szCs w:val="24"/>
                <w:lang w:val="en-US"/>
              </w:rPr>
              <w:t>mol</w:t>
            </w:r>
            <w:proofErr w:type="spellEnd"/>
            <w:r w:rsidRPr="00074982">
              <w:rPr>
                <w:sz w:val="24"/>
                <w:szCs w:val="24"/>
                <w:lang w:val="en-US"/>
              </w:rPr>
              <w:t>/</w:t>
            </w:r>
            <w:proofErr w:type="spellStart"/>
            <w:r w:rsidRPr="00074982">
              <w:rPr>
                <w:sz w:val="24"/>
                <w:szCs w:val="24"/>
                <w:lang w:val="en-US"/>
              </w:rPr>
              <w:t>hr</w:t>
            </w:r>
            <w:proofErr w:type="spellEnd"/>
            <w:r w:rsidRPr="00074982">
              <w:rPr>
                <w:sz w:val="24"/>
                <w:szCs w:val="24"/>
                <w:lang w:val="en-US"/>
              </w:rPr>
              <w:t>)</w:t>
            </w:r>
          </w:p>
        </w:tc>
        <w:tc>
          <w:tcPr>
            <w:tcW w:w="1985" w:type="dxa"/>
            <w:tcBorders>
              <w:top w:val="single" w:sz="4" w:space="0" w:color="auto"/>
              <w:left w:val="single" w:sz="4" w:space="0" w:color="auto"/>
              <w:bottom w:val="single" w:sz="4" w:space="0" w:color="auto"/>
              <w:right w:val="single" w:sz="4" w:space="0" w:color="auto"/>
            </w:tcBorders>
            <w:hideMark/>
          </w:tcPr>
          <w:p w14:paraId="7140D2F1" w14:textId="77777777" w:rsidR="00F77952" w:rsidRPr="00074982" w:rsidRDefault="00F77952" w:rsidP="00F92321">
            <w:pPr>
              <w:spacing w:line="360" w:lineRule="auto"/>
              <w:jc w:val="both"/>
              <w:rPr>
                <w:sz w:val="24"/>
                <w:szCs w:val="24"/>
                <w:lang w:val="en-US"/>
              </w:rPr>
            </w:pPr>
            <w:r w:rsidRPr="00074982">
              <w:rPr>
                <w:sz w:val="24"/>
                <w:szCs w:val="24"/>
                <w:lang w:val="en-US"/>
              </w:rPr>
              <w:t>Peak acid output following histamine administration (µ</w:t>
            </w:r>
            <w:proofErr w:type="spellStart"/>
            <w:r w:rsidRPr="00074982">
              <w:rPr>
                <w:sz w:val="24"/>
                <w:szCs w:val="24"/>
                <w:lang w:val="en-US"/>
              </w:rPr>
              <w:t>mol</w:t>
            </w:r>
            <w:proofErr w:type="spellEnd"/>
            <w:r w:rsidRPr="00074982">
              <w:rPr>
                <w:sz w:val="24"/>
                <w:szCs w:val="24"/>
                <w:lang w:val="en-US"/>
              </w:rPr>
              <w:t>/</w:t>
            </w:r>
            <w:proofErr w:type="spellStart"/>
            <w:r w:rsidRPr="00074982">
              <w:rPr>
                <w:sz w:val="24"/>
                <w:szCs w:val="24"/>
                <w:lang w:val="en-US"/>
              </w:rPr>
              <w:t>hr</w:t>
            </w:r>
            <w:proofErr w:type="spellEnd"/>
            <w:r w:rsidRPr="00074982">
              <w:rPr>
                <w:sz w:val="24"/>
                <w:szCs w:val="24"/>
                <w:lang w:val="en-US"/>
              </w:rPr>
              <w:t>)</w:t>
            </w:r>
          </w:p>
        </w:tc>
        <w:tc>
          <w:tcPr>
            <w:tcW w:w="2126" w:type="dxa"/>
            <w:tcBorders>
              <w:top w:val="single" w:sz="4" w:space="0" w:color="auto"/>
              <w:left w:val="single" w:sz="4" w:space="0" w:color="auto"/>
              <w:bottom w:val="single" w:sz="4" w:space="0" w:color="auto"/>
              <w:right w:val="single" w:sz="4" w:space="0" w:color="auto"/>
            </w:tcBorders>
            <w:hideMark/>
          </w:tcPr>
          <w:p w14:paraId="5EE96966" w14:textId="77777777" w:rsidR="00F77952" w:rsidRPr="00074982" w:rsidRDefault="00F77952" w:rsidP="00F92321">
            <w:pPr>
              <w:spacing w:line="360" w:lineRule="auto"/>
              <w:jc w:val="both"/>
              <w:rPr>
                <w:sz w:val="24"/>
                <w:szCs w:val="24"/>
                <w:lang w:val="en-US"/>
              </w:rPr>
            </w:pPr>
            <w:r w:rsidRPr="00074982">
              <w:rPr>
                <w:sz w:val="24"/>
                <w:szCs w:val="24"/>
                <w:lang w:val="en-US"/>
              </w:rPr>
              <w:t>Peak acid output following cimetidine administration (µ</w:t>
            </w:r>
            <w:proofErr w:type="spellStart"/>
            <w:r w:rsidRPr="00074982">
              <w:rPr>
                <w:sz w:val="24"/>
                <w:szCs w:val="24"/>
                <w:lang w:val="en-US"/>
              </w:rPr>
              <w:t>mol</w:t>
            </w:r>
            <w:proofErr w:type="spellEnd"/>
            <w:r w:rsidRPr="00074982">
              <w:rPr>
                <w:sz w:val="24"/>
                <w:szCs w:val="24"/>
                <w:lang w:val="en-US"/>
              </w:rPr>
              <w:t>/</w:t>
            </w:r>
            <w:proofErr w:type="spellStart"/>
            <w:r w:rsidRPr="00074982">
              <w:rPr>
                <w:sz w:val="24"/>
                <w:szCs w:val="24"/>
                <w:lang w:val="en-US"/>
              </w:rPr>
              <w:t>hr</w:t>
            </w:r>
            <w:proofErr w:type="spellEnd"/>
            <w:r w:rsidRPr="00074982">
              <w:rPr>
                <w:sz w:val="24"/>
                <w:szCs w:val="24"/>
                <w:lang w:val="en-US"/>
              </w:rPr>
              <w:t>)</w:t>
            </w:r>
          </w:p>
        </w:tc>
      </w:tr>
      <w:tr w:rsidR="00F77952" w:rsidRPr="00074982" w14:paraId="245EC066" w14:textId="77777777" w:rsidTr="00B66AD8">
        <w:tc>
          <w:tcPr>
            <w:tcW w:w="2410" w:type="dxa"/>
            <w:tcBorders>
              <w:top w:val="single" w:sz="4" w:space="0" w:color="auto"/>
              <w:left w:val="single" w:sz="4" w:space="0" w:color="auto"/>
              <w:bottom w:val="single" w:sz="4" w:space="0" w:color="auto"/>
              <w:right w:val="single" w:sz="4" w:space="0" w:color="auto"/>
            </w:tcBorders>
            <w:hideMark/>
          </w:tcPr>
          <w:p w14:paraId="54BF79E0" w14:textId="77777777" w:rsidR="00F77952" w:rsidRPr="00074982" w:rsidRDefault="00F77952" w:rsidP="00F92321">
            <w:pPr>
              <w:spacing w:line="360" w:lineRule="auto"/>
              <w:jc w:val="both"/>
              <w:rPr>
                <w:sz w:val="24"/>
                <w:szCs w:val="24"/>
                <w:lang w:val="en-US"/>
              </w:rPr>
            </w:pPr>
            <w:r w:rsidRPr="00074982">
              <w:rPr>
                <w:sz w:val="24"/>
                <w:szCs w:val="24"/>
                <w:lang w:val="en-US"/>
              </w:rPr>
              <w:t xml:space="preserve">Control </w:t>
            </w:r>
          </w:p>
        </w:tc>
        <w:tc>
          <w:tcPr>
            <w:tcW w:w="1559" w:type="dxa"/>
            <w:tcBorders>
              <w:top w:val="single" w:sz="4" w:space="0" w:color="auto"/>
              <w:left w:val="single" w:sz="4" w:space="0" w:color="auto"/>
              <w:bottom w:val="single" w:sz="4" w:space="0" w:color="auto"/>
              <w:right w:val="single" w:sz="4" w:space="0" w:color="auto"/>
            </w:tcBorders>
            <w:hideMark/>
          </w:tcPr>
          <w:p w14:paraId="50B358B8" w14:textId="77777777" w:rsidR="00F77952" w:rsidRPr="00074982" w:rsidRDefault="00F77952" w:rsidP="00F92321">
            <w:pPr>
              <w:spacing w:line="360" w:lineRule="auto"/>
              <w:jc w:val="both"/>
              <w:rPr>
                <w:sz w:val="24"/>
                <w:szCs w:val="24"/>
                <w:lang w:val="en-US"/>
              </w:rPr>
            </w:pPr>
            <w:r w:rsidRPr="00074982">
              <w:rPr>
                <w:sz w:val="24"/>
                <w:szCs w:val="24"/>
                <w:lang w:val="en-US"/>
              </w:rPr>
              <w:t>4.3±0.00</w:t>
            </w:r>
          </w:p>
        </w:tc>
        <w:tc>
          <w:tcPr>
            <w:tcW w:w="1985" w:type="dxa"/>
            <w:tcBorders>
              <w:top w:val="single" w:sz="4" w:space="0" w:color="auto"/>
              <w:left w:val="single" w:sz="4" w:space="0" w:color="auto"/>
              <w:bottom w:val="single" w:sz="4" w:space="0" w:color="auto"/>
              <w:right w:val="single" w:sz="4" w:space="0" w:color="auto"/>
            </w:tcBorders>
            <w:hideMark/>
          </w:tcPr>
          <w:p w14:paraId="0B5F7C97" w14:textId="77777777" w:rsidR="00F77952" w:rsidRPr="00074982" w:rsidRDefault="00F77952" w:rsidP="00F92321">
            <w:pPr>
              <w:spacing w:line="360" w:lineRule="auto"/>
              <w:jc w:val="both"/>
              <w:rPr>
                <w:sz w:val="24"/>
                <w:szCs w:val="24"/>
                <w:lang w:val="en-US"/>
              </w:rPr>
            </w:pPr>
            <w:r w:rsidRPr="00074982">
              <w:rPr>
                <w:sz w:val="24"/>
                <w:szCs w:val="24"/>
                <w:lang w:val="en-US"/>
              </w:rPr>
              <w:t>13.2±0.07</w:t>
            </w:r>
          </w:p>
        </w:tc>
        <w:tc>
          <w:tcPr>
            <w:tcW w:w="2126" w:type="dxa"/>
            <w:tcBorders>
              <w:top w:val="single" w:sz="4" w:space="0" w:color="auto"/>
              <w:left w:val="single" w:sz="4" w:space="0" w:color="auto"/>
              <w:bottom w:val="single" w:sz="4" w:space="0" w:color="auto"/>
              <w:right w:val="single" w:sz="4" w:space="0" w:color="auto"/>
            </w:tcBorders>
            <w:hideMark/>
          </w:tcPr>
          <w:p w14:paraId="693B55FD" w14:textId="77777777" w:rsidR="00F77952" w:rsidRPr="00074982" w:rsidRDefault="00F77952" w:rsidP="00F92321">
            <w:pPr>
              <w:spacing w:line="360" w:lineRule="auto"/>
              <w:jc w:val="both"/>
              <w:rPr>
                <w:sz w:val="24"/>
                <w:szCs w:val="24"/>
                <w:lang w:val="en-US"/>
              </w:rPr>
            </w:pPr>
            <w:r w:rsidRPr="00074982">
              <w:rPr>
                <w:sz w:val="24"/>
                <w:szCs w:val="24"/>
                <w:lang w:val="en-US"/>
              </w:rPr>
              <w:t>7.5±0.01</w:t>
            </w:r>
          </w:p>
        </w:tc>
      </w:tr>
      <w:tr w:rsidR="00F77952" w:rsidRPr="00074982" w14:paraId="1FDDEB3C" w14:textId="77777777" w:rsidTr="00B66AD8">
        <w:tc>
          <w:tcPr>
            <w:tcW w:w="2410" w:type="dxa"/>
            <w:tcBorders>
              <w:top w:val="single" w:sz="4" w:space="0" w:color="auto"/>
              <w:left w:val="single" w:sz="4" w:space="0" w:color="auto"/>
              <w:bottom w:val="single" w:sz="4" w:space="0" w:color="auto"/>
              <w:right w:val="single" w:sz="4" w:space="0" w:color="auto"/>
            </w:tcBorders>
            <w:hideMark/>
          </w:tcPr>
          <w:p w14:paraId="6207DBB3" w14:textId="77777777" w:rsidR="00F77952" w:rsidRPr="00074982" w:rsidRDefault="00F77952" w:rsidP="00F92321">
            <w:pPr>
              <w:spacing w:line="360" w:lineRule="auto"/>
              <w:jc w:val="both"/>
              <w:rPr>
                <w:sz w:val="24"/>
                <w:szCs w:val="24"/>
                <w:lang w:val="en-US"/>
              </w:rPr>
            </w:pPr>
            <w:r w:rsidRPr="00074982">
              <w:rPr>
                <w:i/>
                <w:sz w:val="24"/>
                <w:szCs w:val="24"/>
                <w:lang w:val="en-US"/>
              </w:rPr>
              <w:t>Gin</w:t>
            </w:r>
            <w:r w:rsidR="00883AB4" w:rsidRPr="00074982">
              <w:rPr>
                <w:i/>
                <w:sz w:val="24"/>
                <w:szCs w:val="24"/>
                <w:lang w:val="en-US"/>
              </w:rPr>
              <w:t>k</w:t>
            </w:r>
            <w:r w:rsidRPr="00074982">
              <w:rPr>
                <w:i/>
                <w:sz w:val="24"/>
                <w:szCs w:val="24"/>
                <w:lang w:val="en-US"/>
              </w:rPr>
              <w:t>go biloba</w:t>
            </w:r>
            <w:r w:rsidRPr="00074982">
              <w:rPr>
                <w:sz w:val="24"/>
                <w:szCs w:val="24"/>
                <w:lang w:val="en-US"/>
              </w:rPr>
              <w:t xml:space="preserve"> (GB)</w:t>
            </w:r>
          </w:p>
        </w:tc>
        <w:tc>
          <w:tcPr>
            <w:tcW w:w="1559" w:type="dxa"/>
            <w:tcBorders>
              <w:top w:val="single" w:sz="4" w:space="0" w:color="auto"/>
              <w:left w:val="single" w:sz="4" w:space="0" w:color="auto"/>
              <w:bottom w:val="single" w:sz="4" w:space="0" w:color="auto"/>
              <w:right w:val="single" w:sz="4" w:space="0" w:color="auto"/>
            </w:tcBorders>
            <w:hideMark/>
          </w:tcPr>
          <w:p w14:paraId="62844947" w14:textId="77777777" w:rsidR="00F77952" w:rsidRPr="00074982" w:rsidRDefault="00F77952" w:rsidP="00F92321">
            <w:pPr>
              <w:spacing w:line="360" w:lineRule="auto"/>
              <w:jc w:val="both"/>
              <w:rPr>
                <w:sz w:val="24"/>
                <w:szCs w:val="24"/>
                <w:lang w:val="en-US"/>
              </w:rPr>
            </w:pPr>
            <w:r w:rsidRPr="00074982">
              <w:rPr>
                <w:sz w:val="24"/>
                <w:szCs w:val="24"/>
                <w:lang w:val="en-US"/>
              </w:rPr>
              <w:t>3.98±0.57</w:t>
            </w:r>
          </w:p>
        </w:tc>
        <w:tc>
          <w:tcPr>
            <w:tcW w:w="1985" w:type="dxa"/>
            <w:tcBorders>
              <w:top w:val="single" w:sz="4" w:space="0" w:color="auto"/>
              <w:left w:val="single" w:sz="4" w:space="0" w:color="auto"/>
              <w:bottom w:val="single" w:sz="4" w:space="0" w:color="auto"/>
              <w:right w:val="single" w:sz="4" w:space="0" w:color="auto"/>
            </w:tcBorders>
            <w:hideMark/>
          </w:tcPr>
          <w:p w14:paraId="07FC0E2D" w14:textId="77777777" w:rsidR="00F77952" w:rsidRPr="00074982" w:rsidRDefault="00F77952" w:rsidP="00F92321">
            <w:pPr>
              <w:spacing w:line="360" w:lineRule="auto"/>
              <w:jc w:val="both"/>
              <w:rPr>
                <w:sz w:val="24"/>
                <w:szCs w:val="24"/>
                <w:lang w:val="en-US"/>
              </w:rPr>
            </w:pPr>
            <w:r w:rsidRPr="00074982">
              <w:rPr>
                <w:sz w:val="24"/>
                <w:szCs w:val="24"/>
                <w:lang w:val="en-US"/>
              </w:rPr>
              <w:t>12.58±0.19</w:t>
            </w:r>
            <w:r w:rsidRPr="00074982">
              <w:rPr>
                <w:iCs/>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14:paraId="6BB87E9B" w14:textId="77777777" w:rsidR="00F77952" w:rsidRPr="00074982" w:rsidRDefault="00F77952" w:rsidP="00F92321">
            <w:pPr>
              <w:spacing w:line="360" w:lineRule="auto"/>
              <w:jc w:val="both"/>
              <w:rPr>
                <w:sz w:val="24"/>
                <w:szCs w:val="24"/>
                <w:lang w:val="en-US"/>
              </w:rPr>
            </w:pPr>
            <w:r w:rsidRPr="00074982">
              <w:rPr>
                <w:sz w:val="24"/>
                <w:szCs w:val="24"/>
                <w:lang w:val="en-US"/>
              </w:rPr>
              <w:t>6.09±0.38</w:t>
            </w:r>
            <w:r w:rsidRPr="00074982">
              <w:rPr>
                <w:iCs/>
                <w:sz w:val="24"/>
                <w:szCs w:val="24"/>
              </w:rPr>
              <w:t>*</w:t>
            </w:r>
          </w:p>
        </w:tc>
      </w:tr>
      <w:tr w:rsidR="00F77952" w:rsidRPr="00074982" w14:paraId="377B4039" w14:textId="77777777" w:rsidTr="00B66AD8">
        <w:tc>
          <w:tcPr>
            <w:tcW w:w="2410" w:type="dxa"/>
            <w:tcBorders>
              <w:top w:val="single" w:sz="4" w:space="0" w:color="auto"/>
              <w:left w:val="single" w:sz="4" w:space="0" w:color="auto"/>
              <w:bottom w:val="single" w:sz="4" w:space="0" w:color="auto"/>
              <w:right w:val="single" w:sz="4" w:space="0" w:color="auto"/>
            </w:tcBorders>
            <w:hideMark/>
          </w:tcPr>
          <w:p w14:paraId="1F961811" w14:textId="77777777" w:rsidR="00F77952" w:rsidRPr="00074982" w:rsidRDefault="00F77952" w:rsidP="00F92321">
            <w:pPr>
              <w:spacing w:line="360" w:lineRule="auto"/>
              <w:jc w:val="both"/>
              <w:rPr>
                <w:sz w:val="24"/>
                <w:szCs w:val="24"/>
                <w:lang w:val="en-US"/>
              </w:rPr>
            </w:pPr>
            <w:r w:rsidRPr="00074982">
              <w:rPr>
                <w:sz w:val="24"/>
                <w:szCs w:val="24"/>
                <w:lang w:val="en-US"/>
              </w:rPr>
              <w:t>METH</w:t>
            </w:r>
          </w:p>
        </w:tc>
        <w:tc>
          <w:tcPr>
            <w:tcW w:w="1559" w:type="dxa"/>
            <w:tcBorders>
              <w:top w:val="single" w:sz="4" w:space="0" w:color="auto"/>
              <w:left w:val="single" w:sz="4" w:space="0" w:color="auto"/>
              <w:bottom w:val="single" w:sz="4" w:space="0" w:color="auto"/>
              <w:right w:val="single" w:sz="4" w:space="0" w:color="auto"/>
            </w:tcBorders>
            <w:hideMark/>
          </w:tcPr>
          <w:p w14:paraId="5C2611A6" w14:textId="77777777" w:rsidR="00F77952" w:rsidRPr="00074982" w:rsidRDefault="00F77952" w:rsidP="00F92321">
            <w:pPr>
              <w:spacing w:line="360" w:lineRule="auto"/>
              <w:jc w:val="both"/>
              <w:rPr>
                <w:sz w:val="24"/>
                <w:szCs w:val="24"/>
                <w:lang w:val="en-US"/>
              </w:rPr>
            </w:pPr>
            <w:r w:rsidRPr="00074982">
              <w:rPr>
                <w:sz w:val="24"/>
                <w:szCs w:val="24"/>
                <w:lang w:val="en-US"/>
              </w:rPr>
              <w:t>11.7±1.09</w:t>
            </w:r>
            <w:r w:rsidRPr="00074982">
              <w:rPr>
                <w:iCs/>
                <w:sz w:val="24"/>
                <w:szCs w:val="24"/>
              </w:rPr>
              <w:t>**</w:t>
            </w:r>
          </w:p>
        </w:tc>
        <w:tc>
          <w:tcPr>
            <w:tcW w:w="1985" w:type="dxa"/>
            <w:tcBorders>
              <w:top w:val="single" w:sz="4" w:space="0" w:color="auto"/>
              <w:left w:val="single" w:sz="4" w:space="0" w:color="auto"/>
              <w:bottom w:val="single" w:sz="4" w:space="0" w:color="auto"/>
              <w:right w:val="single" w:sz="4" w:space="0" w:color="auto"/>
            </w:tcBorders>
            <w:hideMark/>
          </w:tcPr>
          <w:p w14:paraId="3B800677" w14:textId="77777777" w:rsidR="00F77952" w:rsidRPr="00074982" w:rsidRDefault="00F77952" w:rsidP="00F92321">
            <w:pPr>
              <w:spacing w:line="360" w:lineRule="auto"/>
              <w:jc w:val="both"/>
              <w:rPr>
                <w:sz w:val="24"/>
                <w:szCs w:val="24"/>
                <w:lang w:val="en-US"/>
              </w:rPr>
            </w:pPr>
            <w:r w:rsidRPr="00074982">
              <w:rPr>
                <w:sz w:val="24"/>
                <w:szCs w:val="24"/>
                <w:lang w:val="en-US"/>
              </w:rPr>
              <w:t>54.21±0.03</w:t>
            </w:r>
            <w:r w:rsidRPr="00074982">
              <w:rPr>
                <w:iCs/>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14:paraId="3984D20E" w14:textId="77777777" w:rsidR="00F77952" w:rsidRPr="00074982" w:rsidRDefault="00F77952" w:rsidP="00F92321">
            <w:pPr>
              <w:spacing w:line="360" w:lineRule="auto"/>
              <w:jc w:val="both"/>
              <w:rPr>
                <w:sz w:val="24"/>
                <w:szCs w:val="24"/>
                <w:lang w:val="en-US"/>
              </w:rPr>
            </w:pPr>
            <w:r w:rsidRPr="00074982">
              <w:rPr>
                <w:sz w:val="24"/>
                <w:szCs w:val="24"/>
                <w:lang w:val="en-US"/>
              </w:rPr>
              <w:t>42.08±0.06</w:t>
            </w:r>
            <w:r w:rsidRPr="00074982">
              <w:rPr>
                <w:iCs/>
                <w:sz w:val="24"/>
                <w:szCs w:val="24"/>
              </w:rPr>
              <w:t>**</w:t>
            </w:r>
          </w:p>
        </w:tc>
      </w:tr>
      <w:tr w:rsidR="00F77952" w:rsidRPr="00074982" w14:paraId="42DAE84C" w14:textId="77777777" w:rsidTr="00B66AD8">
        <w:tc>
          <w:tcPr>
            <w:tcW w:w="2410" w:type="dxa"/>
            <w:tcBorders>
              <w:top w:val="single" w:sz="4" w:space="0" w:color="auto"/>
              <w:left w:val="single" w:sz="4" w:space="0" w:color="auto"/>
              <w:bottom w:val="single" w:sz="4" w:space="0" w:color="auto"/>
              <w:right w:val="single" w:sz="4" w:space="0" w:color="auto"/>
            </w:tcBorders>
            <w:hideMark/>
          </w:tcPr>
          <w:p w14:paraId="0E5B9C15" w14:textId="77777777" w:rsidR="00F77952" w:rsidRPr="00074982" w:rsidRDefault="00F77952" w:rsidP="00F92321">
            <w:pPr>
              <w:spacing w:line="360" w:lineRule="auto"/>
              <w:jc w:val="both"/>
              <w:rPr>
                <w:sz w:val="24"/>
                <w:szCs w:val="24"/>
                <w:lang w:val="en-US"/>
              </w:rPr>
            </w:pPr>
            <w:r w:rsidRPr="00074982">
              <w:rPr>
                <w:sz w:val="24"/>
                <w:szCs w:val="24"/>
                <w:lang w:val="en-US"/>
              </w:rPr>
              <w:t>GB+METH</w:t>
            </w:r>
          </w:p>
        </w:tc>
        <w:tc>
          <w:tcPr>
            <w:tcW w:w="1559" w:type="dxa"/>
            <w:tcBorders>
              <w:top w:val="single" w:sz="4" w:space="0" w:color="auto"/>
              <w:left w:val="single" w:sz="4" w:space="0" w:color="auto"/>
              <w:bottom w:val="single" w:sz="4" w:space="0" w:color="auto"/>
              <w:right w:val="single" w:sz="4" w:space="0" w:color="auto"/>
            </w:tcBorders>
            <w:hideMark/>
          </w:tcPr>
          <w:p w14:paraId="6B7F8F25" w14:textId="77777777" w:rsidR="00F77952" w:rsidRPr="00074982" w:rsidRDefault="00F77952" w:rsidP="00F92321">
            <w:pPr>
              <w:spacing w:line="360" w:lineRule="auto"/>
              <w:jc w:val="both"/>
              <w:rPr>
                <w:sz w:val="24"/>
                <w:szCs w:val="24"/>
                <w:lang w:val="en-US"/>
              </w:rPr>
            </w:pPr>
            <w:r w:rsidRPr="00074982">
              <w:rPr>
                <w:sz w:val="24"/>
                <w:szCs w:val="24"/>
                <w:lang w:val="en-US"/>
              </w:rPr>
              <w:t>9.2±0.18</w:t>
            </w:r>
            <w:r w:rsidRPr="00074982">
              <w:rPr>
                <w:iCs/>
                <w:sz w:val="24"/>
                <w:szCs w:val="24"/>
                <w:vertAlign w:val="superscript"/>
              </w:rPr>
              <w:t>#</w:t>
            </w:r>
          </w:p>
        </w:tc>
        <w:tc>
          <w:tcPr>
            <w:tcW w:w="1985" w:type="dxa"/>
            <w:tcBorders>
              <w:top w:val="single" w:sz="4" w:space="0" w:color="auto"/>
              <w:left w:val="single" w:sz="4" w:space="0" w:color="auto"/>
              <w:bottom w:val="single" w:sz="4" w:space="0" w:color="auto"/>
              <w:right w:val="single" w:sz="4" w:space="0" w:color="auto"/>
            </w:tcBorders>
            <w:hideMark/>
          </w:tcPr>
          <w:p w14:paraId="17A35D27" w14:textId="77777777" w:rsidR="00F77952" w:rsidRPr="00074982" w:rsidRDefault="00F77952" w:rsidP="00F92321">
            <w:pPr>
              <w:spacing w:line="360" w:lineRule="auto"/>
              <w:jc w:val="both"/>
              <w:rPr>
                <w:sz w:val="24"/>
                <w:szCs w:val="24"/>
                <w:lang w:val="en-US"/>
              </w:rPr>
            </w:pPr>
            <w:r w:rsidRPr="00074982">
              <w:rPr>
                <w:sz w:val="24"/>
                <w:szCs w:val="24"/>
                <w:lang w:val="en-US"/>
              </w:rPr>
              <w:t>43.64±1.13</w:t>
            </w:r>
            <w:r w:rsidRPr="00074982">
              <w:rPr>
                <w:iCs/>
                <w:sz w:val="24"/>
                <w:szCs w:val="24"/>
                <w:vertAlign w:val="superscript"/>
              </w:rPr>
              <w:t>#</w:t>
            </w:r>
          </w:p>
        </w:tc>
        <w:tc>
          <w:tcPr>
            <w:tcW w:w="2126" w:type="dxa"/>
            <w:tcBorders>
              <w:top w:val="single" w:sz="4" w:space="0" w:color="auto"/>
              <w:left w:val="single" w:sz="4" w:space="0" w:color="auto"/>
              <w:bottom w:val="single" w:sz="4" w:space="0" w:color="auto"/>
              <w:right w:val="single" w:sz="4" w:space="0" w:color="auto"/>
            </w:tcBorders>
            <w:hideMark/>
          </w:tcPr>
          <w:p w14:paraId="71396B6B" w14:textId="77777777" w:rsidR="00F77952" w:rsidRPr="00074982" w:rsidRDefault="00F77952" w:rsidP="00F92321">
            <w:pPr>
              <w:spacing w:line="360" w:lineRule="auto"/>
              <w:jc w:val="both"/>
              <w:rPr>
                <w:sz w:val="24"/>
                <w:szCs w:val="24"/>
                <w:lang w:val="en-US"/>
              </w:rPr>
            </w:pPr>
            <w:r w:rsidRPr="00074982">
              <w:rPr>
                <w:sz w:val="24"/>
                <w:szCs w:val="24"/>
                <w:lang w:val="en-US"/>
              </w:rPr>
              <w:t>30.18±0.05</w:t>
            </w:r>
            <w:r w:rsidRPr="00074982">
              <w:rPr>
                <w:iCs/>
                <w:sz w:val="24"/>
                <w:szCs w:val="24"/>
                <w:vertAlign w:val="superscript"/>
              </w:rPr>
              <w:t>#</w:t>
            </w:r>
          </w:p>
        </w:tc>
      </w:tr>
    </w:tbl>
    <w:p w14:paraId="630E9256" w14:textId="77777777" w:rsidR="00F77952" w:rsidRPr="00074982" w:rsidRDefault="00F77952"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hAnsi="Times New Roman" w:cs="Times New Roman"/>
          <w:sz w:val="24"/>
          <w:szCs w:val="24"/>
        </w:rPr>
        <w:t xml:space="preserve">Values are expressed as mean ± SEM, n = 12. </w:t>
      </w:r>
      <w:r w:rsidR="00C63B87" w:rsidRPr="00074982">
        <w:rPr>
          <w:rFonts w:ascii="Times New Roman" w:hAnsi="Times New Roman" w:cs="Times New Roman"/>
          <w:sz w:val="24"/>
          <w:szCs w:val="24"/>
        </w:rPr>
        <w:t xml:space="preserve">* = </w:t>
      </w:r>
      <w:r w:rsidRPr="00074982">
        <w:rPr>
          <w:rStyle w:val="Emphasis"/>
          <w:rFonts w:ascii="Times New Roman" w:hAnsi="Times New Roman" w:cs="Times New Roman"/>
          <w:sz w:val="24"/>
          <w:szCs w:val="24"/>
        </w:rPr>
        <w:t>p</w:t>
      </w:r>
      <w:r w:rsidRPr="00074982">
        <w:rPr>
          <w:rFonts w:ascii="Times New Roman" w:hAnsi="Times New Roman" w:cs="Times New Roman"/>
          <w:sz w:val="24"/>
          <w:szCs w:val="24"/>
        </w:rPr>
        <w:t xml:space="preserve"> &lt; 0.05 vs. control, GB, and (GB+METH); </w:t>
      </w:r>
      <w:r w:rsidR="00C63B87" w:rsidRPr="00074982">
        <w:rPr>
          <w:rFonts w:ascii="Times New Roman" w:hAnsi="Times New Roman" w:cs="Times New Roman"/>
          <w:sz w:val="24"/>
          <w:szCs w:val="24"/>
        </w:rPr>
        <w:t xml:space="preserve">** = </w:t>
      </w:r>
      <w:r w:rsidRPr="00074982">
        <w:rPr>
          <w:rStyle w:val="Strong"/>
          <w:rFonts w:ascii="Times New Roman" w:hAnsi="Times New Roman" w:cs="Times New Roman"/>
          <w:b w:val="0"/>
          <w:sz w:val="24"/>
          <w:szCs w:val="24"/>
        </w:rPr>
        <w:t>p</w:t>
      </w:r>
      <w:r w:rsidRPr="00074982">
        <w:rPr>
          <w:rFonts w:ascii="Times New Roman" w:hAnsi="Times New Roman" w:cs="Times New Roman"/>
          <w:sz w:val="24"/>
          <w:szCs w:val="24"/>
        </w:rPr>
        <w:t xml:space="preserve"> &lt; 0.001 vs. control, GB, and (GB+METH); #</w:t>
      </w:r>
      <w:r w:rsidR="002A01B7" w:rsidRPr="00074982">
        <w:rPr>
          <w:rFonts w:ascii="Times New Roman" w:hAnsi="Times New Roman" w:cs="Times New Roman"/>
          <w:sz w:val="24"/>
          <w:szCs w:val="24"/>
        </w:rPr>
        <w:t xml:space="preserve"> = </w:t>
      </w:r>
      <w:r w:rsidRPr="00074982">
        <w:rPr>
          <w:rFonts w:ascii="Times New Roman" w:hAnsi="Times New Roman" w:cs="Times New Roman"/>
          <w:sz w:val="24"/>
          <w:szCs w:val="24"/>
        </w:rPr>
        <w:t>p &lt; 0.001 vs. control, GB, and METH-only treated groups, respectively.</w:t>
      </w:r>
    </w:p>
    <w:p w14:paraId="4110C835" w14:textId="77777777" w:rsidR="003D03CA" w:rsidRPr="00074982" w:rsidRDefault="003D03CA"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Stomach Ulcer Scores in Rats among Experimental Groups</w:t>
      </w:r>
    </w:p>
    <w:p w14:paraId="3BDD605D" w14:textId="77777777" w:rsidR="003D03CA" w:rsidRPr="00074982" w:rsidRDefault="003D03CA"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lastRenderedPageBreak/>
        <w:t>As shown in Table 2, the mean ulcer scores for the control, GB, GB+METH, and METH-treated groups were 0.02 ± 0.23, 0.01 ± 0.33, 2.7 ± 0.23, and 1.8 ± 0.28, respectively. The METH-treated group exhibited a significant increase (p &lt; 0.001) in ulcer scores compared to the control, GB, and GB+METH groups. However, the METH+GB group showed a significant reduction (p &lt; 0.001) in ulcer scores compared to the METH-only treated group."</w:t>
      </w:r>
    </w:p>
    <w:p w14:paraId="36C691B9" w14:textId="77777777" w:rsidR="003D03CA" w:rsidRPr="00074982" w:rsidRDefault="003D03CA"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 xml:space="preserve">Table 2: Effect of Methamphetamine and </w:t>
      </w:r>
      <w:r w:rsidRPr="00074982">
        <w:rPr>
          <w:rFonts w:ascii="Times New Roman" w:eastAsia="Times New Roman" w:hAnsi="Times New Roman" w:cs="Times New Roman"/>
          <w:b/>
          <w:bCs/>
          <w:i/>
          <w:iCs/>
          <w:sz w:val="24"/>
          <w:szCs w:val="24"/>
        </w:rPr>
        <w:t>Ginkgo biloba</w:t>
      </w:r>
      <w:r w:rsidRPr="00074982">
        <w:rPr>
          <w:rFonts w:ascii="Times New Roman" w:eastAsia="Times New Roman" w:hAnsi="Times New Roman" w:cs="Times New Roman"/>
          <w:b/>
          <w:bCs/>
          <w:sz w:val="24"/>
          <w:szCs w:val="24"/>
        </w:rPr>
        <w:t xml:space="preserve"> on Stomach Ulcer Scores in Control and Treated Groups of Rats</w:t>
      </w:r>
    </w:p>
    <w:tbl>
      <w:tblPr>
        <w:tblStyle w:val="TableGrid"/>
        <w:tblW w:w="0" w:type="auto"/>
        <w:tblInd w:w="360" w:type="dxa"/>
        <w:tblLook w:val="04A0" w:firstRow="1" w:lastRow="0" w:firstColumn="1" w:lastColumn="0" w:noHBand="0" w:noVBand="1"/>
      </w:tblPr>
      <w:tblGrid>
        <w:gridCol w:w="3018"/>
        <w:gridCol w:w="3018"/>
      </w:tblGrid>
      <w:tr w:rsidR="003D03CA" w:rsidRPr="00074982" w14:paraId="4F5B9B31" w14:textId="77777777" w:rsidTr="00B66AD8">
        <w:trPr>
          <w:trHeight w:val="249"/>
        </w:trPr>
        <w:tc>
          <w:tcPr>
            <w:tcW w:w="3018" w:type="dxa"/>
            <w:tcBorders>
              <w:top w:val="single" w:sz="4" w:space="0" w:color="auto"/>
              <w:left w:val="single" w:sz="4" w:space="0" w:color="auto"/>
              <w:bottom w:val="single" w:sz="4" w:space="0" w:color="auto"/>
              <w:right w:val="single" w:sz="4" w:space="0" w:color="auto"/>
            </w:tcBorders>
            <w:hideMark/>
          </w:tcPr>
          <w:p w14:paraId="7AD13A0C" w14:textId="77777777" w:rsidR="003D03CA" w:rsidRPr="00074982" w:rsidRDefault="003D03CA" w:rsidP="00F92321">
            <w:pPr>
              <w:spacing w:before="100" w:beforeAutospacing="1" w:after="100" w:afterAutospacing="1" w:line="360" w:lineRule="auto"/>
              <w:jc w:val="both"/>
              <w:rPr>
                <w:sz w:val="24"/>
                <w:szCs w:val="24"/>
              </w:rPr>
            </w:pPr>
            <w:r w:rsidRPr="00074982">
              <w:rPr>
                <w:sz w:val="24"/>
                <w:szCs w:val="24"/>
              </w:rPr>
              <w:t>Group</w:t>
            </w:r>
          </w:p>
        </w:tc>
        <w:tc>
          <w:tcPr>
            <w:tcW w:w="3018" w:type="dxa"/>
            <w:tcBorders>
              <w:top w:val="single" w:sz="4" w:space="0" w:color="auto"/>
              <w:left w:val="single" w:sz="4" w:space="0" w:color="auto"/>
              <w:bottom w:val="single" w:sz="4" w:space="0" w:color="auto"/>
              <w:right w:val="single" w:sz="4" w:space="0" w:color="auto"/>
            </w:tcBorders>
            <w:hideMark/>
          </w:tcPr>
          <w:p w14:paraId="47ACE861" w14:textId="77777777" w:rsidR="003D03CA" w:rsidRPr="00074982" w:rsidRDefault="003D03CA" w:rsidP="00F92321">
            <w:pPr>
              <w:spacing w:before="100" w:beforeAutospacing="1" w:after="100" w:afterAutospacing="1" w:line="360" w:lineRule="auto"/>
              <w:jc w:val="both"/>
              <w:rPr>
                <w:sz w:val="24"/>
                <w:szCs w:val="24"/>
              </w:rPr>
            </w:pPr>
            <w:r w:rsidRPr="00074982">
              <w:rPr>
                <w:sz w:val="24"/>
                <w:szCs w:val="24"/>
              </w:rPr>
              <w:t>Ulcer score</w:t>
            </w:r>
          </w:p>
        </w:tc>
      </w:tr>
      <w:tr w:rsidR="003D03CA" w:rsidRPr="00074982" w14:paraId="36E8C801" w14:textId="77777777" w:rsidTr="00B66AD8">
        <w:trPr>
          <w:trHeight w:val="253"/>
        </w:trPr>
        <w:tc>
          <w:tcPr>
            <w:tcW w:w="3018" w:type="dxa"/>
            <w:tcBorders>
              <w:top w:val="single" w:sz="4" w:space="0" w:color="auto"/>
              <w:left w:val="single" w:sz="4" w:space="0" w:color="auto"/>
              <w:bottom w:val="single" w:sz="4" w:space="0" w:color="auto"/>
              <w:right w:val="single" w:sz="4" w:space="0" w:color="auto"/>
            </w:tcBorders>
            <w:hideMark/>
          </w:tcPr>
          <w:p w14:paraId="085D8B5C" w14:textId="77777777" w:rsidR="003D03CA" w:rsidRPr="00074982" w:rsidRDefault="003D03CA" w:rsidP="00F92321">
            <w:pPr>
              <w:spacing w:before="100" w:beforeAutospacing="1" w:after="100" w:afterAutospacing="1" w:line="360" w:lineRule="auto"/>
              <w:jc w:val="both"/>
              <w:rPr>
                <w:sz w:val="24"/>
                <w:szCs w:val="24"/>
              </w:rPr>
            </w:pPr>
            <w:r w:rsidRPr="00074982">
              <w:rPr>
                <w:sz w:val="24"/>
                <w:szCs w:val="24"/>
              </w:rPr>
              <w:t xml:space="preserve">Control </w:t>
            </w:r>
          </w:p>
        </w:tc>
        <w:tc>
          <w:tcPr>
            <w:tcW w:w="3018" w:type="dxa"/>
            <w:tcBorders>
              <w:top w:val="single" w:sz="4" w:space="0" w:color="auto"/>
              <w:left w:val="single" w:sz="4" w:space="0" w:color="auto"/>
              <w:bottom w:val="single" w:sz="4" w:space="0" w:color="auto"/>
              <w:right w:val="single" w:sz="4" w:space="0" w:color="auto"/>
            </w:tcBorders>
            <w:hideMark/>
          </w:tcPr>
          <w:p w14:paraId="07B7F2C3" w14:textId="77777777" w:rsidR="003D03CA" w:rsidRPr="00074982" w:rsidRDefault="003D03CA" w:rsidP="00F92321">
            <w:pPr>
              <w:spacing w:before="100" w:beforeAutospacing="1" w:after="100" w:afterAutospacing="1" w:line="360" w:lineRule="auto"/>
              <w:jc w:val="both"/>
              <w:rPr>
                <w:sz w:val="24"/>
                <w:szCs w:val="24"/>
              </w:rPr>
            </w:pPr>
            <w:r w:rsidRPr="00074982">
              <w:rPr>
                <w:sz w:val="24"/>
                <w:szCs w:val="24"/>
              </w:rPr>
              <w:t>0.02±0.23</w:t>
            </w:r>
          </w:p>
        </w:tc>
      </w:tr>
      <w:tr w:rsidR="003D03CA" w:rsidRPr="00074982" w14:paraId="4AFBDC74" w14:textId="77777777" w:rsidTr="00B66AD8">
        <w:trPr>
          <w:trHeight w:val="257"/>
        </w:trPr>
        <w:tc>
          <w:tcPr>
            <w:tcW w:w="3018" w:type="dxa"/>
            <w:tcBorders>
              <w:top w:val="single" w:sz="4" w:space="0" w:color="auto"/>
              <w:left w:val="single" w:sz="4" w:space="0" w:color="auto"/>
              <w:bottom w:val="single" w:sz="4" w:space="0" w:color="auto"/>
              <w:right w:val="single" w:sz="4" w:space="0" w:color="auto"/>
            </w:tcBorders>
            <w:hideMark/>
          </w:tcPr>
          <w:p w14:paraId="1B4DABCD" w14:textId="77777777" w:rsidR="003D03CA" w:rsidRPr="00074982" w:rsidRDefault="003D03CA" w:rsidP="00F92321">
            <w:pPr>
              <w:spacing w:before="100" w:beforeAutospacing="1" w:after="100" w:afterAutospacing="1" w:line="360" w:lineRule="auto"/>
              <w:jc w:val="both"/>
              <w:rPr>
                <w:sz w:val="24"/>
                <w:szCs w:val="24"/>
              </w:rPr>
            </w:pPr>
            <w:r w:rsidRPr="00074982">
              <w:rPr>
                <w:i/>
                <w:sz w:val="24"/>
                <w:szCs w:val="24"/>
              </w:rPr>
              <w:t>Gin</w:t>
            </w:r>
            <w:r w:rsidR="00883AB4" w:rsidRPr="00074982">
              <w:rPr>
                <w:i/>
                <w:sz w:val="24"/>
                <w:szCs w:val="24"/>
              </w:rPr>
              <w:t>k</w:t>
            </w:r>
            <w:r w:rsidRPr="00074982">
              <w:rPr>
                <w:i/>
                <w:sz w:val="24"/>
                <w:szCs w:val="24"/>
              </w:rPr>
              <w:t>go biloba</w:t>
            </w:r>
            <w:r w:rsidRPr="00074982">
              <w:rPr>
                <w:sz w:val="24"/>
                <w:szCs w:val="24"/>
              </w:rPr>
              <w:t xml:space="preserve"> (GB)</w:t>
            </w:r>
          </w:p>
        </w:tc>
        <w:tc>
          <w:tcPr>
            <w:tcW w:w="3018" w:type="dxa"/>
            <w:tcBorders>
              <w:top w:val="single" w:sz="4" w:space="0" w:color="auto"/>
              <w:left w:val="single" w:sz="4" w:space="0" w:color="auto"/>
              <w:bottom w:val="single" w:sz="4" w:space="0" w:color="auto"/>
              <w:right w:val="single" w:sz="4" w:space="0" w:color="auto"/>
            </w:tcBorders>
            <w:hideMark/>
          </w:tcPr>
          <w:p w14:paraId="0DC49E5C" w14:textId="77777777" w:rsidR="003D03CA" w:rsidRPr="00074982" w:rsidRDefault="003D03CA" w:rsidP="00F92321">
            <w:pPr>
              <w:spacing w:before="100" w:beforeAutospacing="1" w:after="100" w:afterAutospacing="1" w:line="360" w:lineRule="auto"/>
              <w:jc w:val="both"/>
              <w:rPr>
                <w:sz w:val="24"/>
                <w:szCs w:val="24"/>
              </w:rPr>
            </w:pPr>
            <w:r w:rsidRPr="00074982">
              <w:rPr>
                <w:sz w:val="24"/>
                <w:szCs w:val="24"/>
              </w:rPr>
              <w:t>0.01±0.13</w:t>
            </w:r>
          </w:p>
        </w:tc>
      </w:tr>
      <w:tr w:rsidR="003D03CA" w:rsidRPr="00074982" w14:paraId="464B68A8" w14:textId="77777777" w:rsidTr="00B66AD8">
        <w:trPr>
          <w:trHeight w:val="247"/>
        </w:trPr>
        <w:tc>
          <w:tcPr>
            <w:tcW w:w="3018" w:type="dxa"/>
            <w:tcBorders>
              <w:top w:val="single" w:sz="4" w:space="0" w:color="auto"/>
              <w:left w:val="single" w:sz="4" w:space="0" w:color="auto"/>
              <w:bottom w:val="single" w:sz="4" w:space="0" w:color="auto"/>
              <w:right w:val="single" w:sz="4" w:space="0" w:color="auto"/>
            </w:tcBorders>
            <w:hideMark/>
          </w:tcPr>
          <w:p w14:paraId="3B452E59" w14:textId="77777777" w:rsidR="003D03CA" w:rsidRPr="00074982" w:rsidRDefault="003D03CA" w:rsidP="00F92321">
            <w:pPr>
              <w:spacing w:before="100" w:beforeAutospacing="1" w:after="100" w:afterAutospacing="1" w:line="360" w:lineRule="auto"/>
              <w:jc w:val="both"/>
              <w:rPr>
                <w:sz w:val="24"/>
                <w:szCs w:val="24"/>
              </w:rPr>
            </w:pPr>
            <w:r w:rsidRPr="00074982">
              <w:rPr>
                <w:sz w:val="24"/>
                <w:szCs w:val="24"/>
              </w:rPr>
              <w:t>METH</w:t>
            </w:r>
          </w:p>
        </w:tc>
        <w:tc>
          <w:tcPr>
            <w:tcW w:w="3018" w:type="dxa"/>
            <w:tcBorders>
              <w:top w:val="single" w:sz="4" w:space="0" w:color="auto"/>
              <w:left w:val="single" w:sz="4" w:space="0" w:color="auto"/>
              <w:bottom w:val="single" w:sz="4" w:space="0" w:color="auto"/>
              <w:right w:val="single" w:sz="4" w:space="0" w:color="auto"/>
            </w:tcBorders>
            <w:hideMark/>
          </w:tcPr>
          <w:p w14:paraId="680FEEDC" w14:textId="77777777" w:rsidR="003D03CA" w:rsidRPr="00074982" w:rsidRDefault="003D03CA" w:rsidP="00F92321">
            <w:pPr>
              <w:spacing w:before="100" w:beforeAutospacing="1" w:after="100" w:afterAutospacing="1" w:line="360" w:lineRule="auto"/>
              <w:jc w:val="both"/>
              <w:rPr>
                <w:sz w:val="24"/>
                <w:szCs w:val="24"/>
              </w:rPr>
            </w:pPr>
            <w:r w:rsidRPr="00074982">
              <w:rPr>
                <w:sz w:val="24"/>
                <w:szCs w:val="24"/>
              </w:rPr>
              <w:t>2.7±0.23</w:t>
            </w:r>
            <w:r w:rsidRPr="00074982">
              <w:rPr>
                <w:bCs/>
                <w:iCs/>
                <w:sz w:val="24"/>
                <w:szCs w:val="24"/>
              </w:rPr>
              <w:t>**</w:t>
            </w:r>
            <w:r w:rsidRPr="00074982">
              <w:rPr>
                <w:sz w:val="24"/>
                <w:szCs w:val="24"/>
              </w:rPr>
              <w:t xml:space="preserve"> </w:t>
            </w:r>
          </w:p>
        </w:tc>
      </w:tr>
      <w:tr w:rsidR="003D03CA" w:rsidRPr="00074982" w14:paraId="774C836C" w14:textId="77777777" w:rsidTr="00B66AD8">
        <w:trPr>
          <w:trHeight w:val="110"/>
        </w:trPr>
        <w:tc>
          <w:tcPr>
            <w:tcW w:w="3018" w:type="dxa"/>
            <w:tcBorders>
              <w:top w:val="single" w:sz="4" w:space="0" w:color="auto"/>
              <w:left w:val="single" w:sz="4" w:space="0" w:color="auto"/>
              <w:bottom w:val="single" w:sz="4" w:space="0" w:color="auto"/>
              <w:right w:val="single" w:sz="4" w:space="0" w:color="auto"/>
            </w:tcBorders>
            <w:hideMark/>
          </w:tcPr>
          <w:p w14:paraId="55FABCBD" w14:textId="77777777" w:rsidR="003D03CA" w:rsidRPr="00074982" w:rsidRDefault="003D03CA" w:rsidP="00F92321">
            <w:pPr>
              <w:spacing w:before="100" w:beforeAutospacing="1" w:after="100" w:afterAutospacing="1" w:line="360" w:lineRule="auto"/>
              <w:jc w:val="both"/>
              <w:rPr>
                <w:sz w:val="24"/>
                <w:szCs w:val="24"/>
              </w:rPr>
            </w:pPr>
            <w:r w:rsidRPr="00074982">
              <w:rPr>
                <w:sz w:val="24"/>
                <w:szCs w:val="24"/>
              </w:rPr>
              <w:t>GB+METH</w:t>
            </w:r>
          </w:p>
        </w:tc>
        <w:tc>
          <w:tcPr>
            <w:tcW w:w="3018" w:type="dxa"/>
            <w:tcBorders>
              <w:top w:val="single" w:sz="4" w:space="0" w:color="auto"/>
              <w:left w:val="single" w:sz="4" w:space="0" w:color="auto"/>
              <w:bottom w:val="single" w:sz="4" w:space="0" w:color="auto"/>
              <w:right w:val="single" w:sz="4" w:space="0" w:color="auto"/>
            </w:tcBorders>
            <w:hideMark/>
          </w:tcPr>
          <w:p w14:paraId="0F2771FC" w14:textId="77777777" w:rsidR="003D03CA" w:rsidRPr="00074982" w:rsidRDefault="003D03CA" w:rsidP="00F92321">
            <w:pPr>
              <w:spacing w:before="100" w:beforeAutospacing="1" w:after="100" w:afterAutospacing="1" w:line="360" w:lineRule="auto"/>
              <w:jc w:val="both"/>
              <w:rPr>
                <w:sz w:val="24"/>
                <w:szCs w:val="24"/>
              </w:rPr>
            </w:pPr>
            <w:r w:rsidRPr="00074982">
              <w:rPr>
                <w:sz w:val="24"/>
                <w:szCs w:val="24"/>
              </w:rPr>
              <w:t>1.8±0.28</w:t>
            </w:r>
            <w:r w:rsidRPr="00074982">
              <w:rPr>
                <w:bCs/>
                <w:iCs/>
                <w:sz w:val="24"/>
                <w:szCs w:val="24"/>
              </w:rPr>
              <w:t>**</w:t>
            </w:r>
            <w:r w:rsidRPr="00074982">
              <w:rPr>
                <w:bCs/>
                <w:iCs/>
                <w:sz w:val="24"/>
                <w:szCs w:val="24"/>
                <w:vertAlign w:val="superscript"/>
              </w:rPr>
              <w:t>#</w:t>
            </w:r>
          </w:p>
        </w:tc>
      </w:tr>
    </w:tbl>
    <w:p w14:paraId="4D5AACE3" w14:textId="77777777" w:rsidR="00D617E7" w:rsidRPr="00074982" w:rsidRDefault="003D03CA" w:rsidP="00F92321">
      <w:pPr>
        <w:spacing w:before="100" w:beforeAutospacing="1" w:after="100" w:afterAutospacing="1" w:line="360" w:lineRule="auto"/>
        <w:jc w:val="both"/>
        <w:rPr>
          <w:rFonts w:ascii="Times New Roman" w:eastAsia="Times New Roman" w:hAnsi="Times New Roman" w:cs="Times New Roman"/>
          <w:bCs/>
          <w:iCs/>
          <w:sz w:val="24"/>
          <w:szCs w:val="24"/>
          <w:lang w:val="en-GB"/>
        </w:rPr>
      </w:pPr>
      <w:r w:rsidRPr="00074982">
        <w:rPr>
          <w:rFonts w:ascii="Times New Roman" w:eastAsia="Times New Roman" w:hAnsi="Times New Roman" w:cs="Times New Roman"/>
          <w:bCs/>
          <w:iCs/>
          <w:sz w:val="24"/>
          <w:szCs w:val="24"/>
          <w:lang w:val="en-GB"/>
        </w:rPr>
        <w:t xml:space="preserve">Values are mean ± SEM, n = 12, </w:t>
      </w:r>
      <w:bookmarkStart w:id="5" w:name="_Hlk161398901"/>
      <w:r w:rsidRPr="00074982">
        <w:rPr>
          <w:rFonts w:ascii="Times New Roman" w:eastAsia="Times New Roman" w:hAnsi="Times New Roman" w:cs="Times New Roman"/>
          <w:bCs/>
          <w:iCs/>
          <w:sz w:val="24"/>
          <w:szCs w:val="24"/>
          <w:lang w:val="en-GB"/>
        </w:rPr>
        <w:t xml:space="preserve">** = p&lt;0.001 vs. control, GB, </w:t>
      </w:r>
      <w:bookmarkEnd w:id="5"/>
      <w:r w:rsidRPr="00074982">
        <w:rPr>
          <w:rFonts w:ascii="Times New Roman" w:eastAsia="Times New Roman" w:hAnsi="Times New Roman" w:cs="Times New Roman"/>
          <w:bCs/>
          <w:iCs/>
          <w:sz w:val="24"/>
          <w:szCs w:val="24"/>
          <w:lang w:val="en-GB"/>
        </w:rPr>
        <w:t>and GB+METH groups; **</w:t>
      </w:r>
      <w:r w:rsidRPr="00074982">
        <w:rPr>
          <w:rFonts w:ascii="Times New Roman" w:eastAsia="Times New Roman" w:hAnsi="Times New Roman" w:cs="Times New Roman"/>
          <w:bCs/>
          <w:iCs/>
          <w:sz w:val="24"/>
          <w:szCs w:val="24"/>
          <w:vertAlign w:val="superscript"/>
          <w:lang w:val="en-GB"/>
        </w:rPr>
        <w:t>#</w:t>
      </w:r>
      <w:r w:rsidRPr="00074982">
        <w:rPr>
          <w:rFonts w:ascii="Times New Roman" w:eastAsia="Times New Roman" w:hAnsi="Times New Roman" w:cs="Times New Roman"/>
          <w:bCs/>
          <w:iCs/>
          <w:sz w:val="24"/>
          <w:szCs w:val="24"/>
          <w:lang w:val="en-GB"/>
        </w:rPr>
        <w:t xml:space="preserve"> = p&lt;0.001 vs. control, GB, and GB+METH-treated animals respectively.</w:t>
      </w:r>
    </w:p>
    <w:p w14:paraId="2AA7549C" w14:textId="77777777" w:rsidR="00883AB4" w:rsidRPr="00074982" w:rsidRDefault="00883AB4"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Intestinal Transit in Rats across Experimental Groups</w:t>
      </w:r>
    </w:p>
    <w:p w14:paraId="7065BDD5" w14:textId="77777777" w:rsidR="00883AB4" w:rsidRPr="00074982" w:rsidRDefault="00883AB4"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The effects of methamphetamine and </w:t>
      </w:r>
      <w:r w:rsidRPr="00074982">
        <w:rPr>
          <w:rFonts w:ascii="Times New Roman" w:eastAsia="Times New Roman" w:hAnsi="Times New Roman" w:cs="Times New Roman"/>
          <w:i/>
          <w:iCs/>
          <w:sz w:val="24"/>
          <w:szCs w:val="24"/>
        </w:rPr>
        <w:t>Ginkgo biloba</w:t>
      </w:r>
      <w:r w:rsidRPr="00074982">
        <w:rPr>
          <w:rFonts w:ascii="Times New Roman" w:eastAsia="Times New Roman" w:hAnsi="Times New Roman" w:cs="Times New Roman"/>
          <w:sz w:val="24"/>
          <w:szCs w:val="24"/>
        </w:rPr>
        <w:t xml:space="preserve"> on intestinal transit in the various experimental groups are summarized in Table 3. The mean intestinal transit values for the control, GB, GB+METH, and METH-treated groups were 75.23 ± 0.25%, 73.89 ± 0.14%, 81.53 ± 1.67%, and 77.12 ± 0.81%, respectively. A significant increase (p &lt; 0.001) in intestinal transit was observed in the METH-treated group compared to the control and other treatment groups. Notably, the GB+METH group showed a significant reduction (p &lt; 0.05) in intestinal transit compared to the METH-only group.</w:t>
      </w:r>
    </w:p>
    <w:p w14:paraId="0A309A6E" w14:textId="77777777" w:rsidR="00074982" w:rsidRDefault="00074982" w:rsidP="00F92321">
      <w:pPr>
        <w:spacing w:before="100" w:beforeAutospacing="1" w:after="100" w:afterAutospacing="1" w:line="360" w:lineRule="auto"/>
        <w:jc w:val="both"/>
        <w:rPr>
          <w:rFonts w:ascii="Times New Roman" w:eastAsia="Times New Roman" w:hAnsi="Times New Roman" w:cs="Times New Roman"/>
          <w:b/>
          <w:bCs/>
          <w:sz w:val="24"/>
          <w:szCs w:val="24"/>
        </w:rPr>
      </w:pPr>
    </w:p>
    <w:p w14:paraId="05A11FCB" w14:textId="77777777" w:rsidR="00074982" w:rsidRDefault="00074982" w:rsidP="00F92321">
      <w:pPr>
        <w:spacing w:before="100" w:beforeAutospacing="1" w:after="100" w:afterAutospacing="1" w:line="360" w:lineRule="auto"/>
        <w:jc w:val="both"/>
        <w:rPr>
          <w:rFonts w:ascii="Times New Roman" w:eastAsia="Times New Roman" w:hAnsi="Times New Roman" w:cs="Times New Roman"/>
          <w:b/>
          <w:bCs/>
          <w:sz w:val="24"/>
          <w:szCs w:val="24"/>
        </w:rPr>
      </w:pPr>
    </w:p>
    <w:p w14:paraId="114D5A35" w14:textId="77777777" w:rsidR="00074982" w:rsidRDefault="00074982" w:rsidP="00F92321">
      <w:pPr>
        <w:spacing w:before="100" w:beforeAutospacing="1" w:after="100" w:afterAutospacing="1" w:line="360" w:lineRule="auto"/>
        <w:jc w:val="both"/>
        <w:rPr>
          <w:rFonts w:ascii="Times New Roman" w:eastAsia="Times New Roman" w:hAnsi="Times New Roman" w:cs="Times New Roman"/>
          <w:b/>
          <w:bCs/>
          <w:sz w:val="24"/>
          <w:szCs w:val="24"/>
        </w:rPr>
      </w:pPr>
    </w:p>
    <w:p w14:paraId="5F8A6437" w14:textId="77777777" w:rsidR="00883AB4" w:rsidRPr="00074982" w:rsidRDefault="00883AB4"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lastRenderedPageBreak/>
        <w:t xml:space="preserve">Table 3: Effect of Methamphetamine and </w:t>
      </w:r>
      <w:r w:rsidRPr="00074982">
        <w:rPr>
          <w:rFonts w:ascii="Times New Roman" w:eastAsia="Times New Roman" w:hAnsi="Times New Roman" w:cs="Times New Roman"/>
          <w:b/>
          <w:bCs/>
          <w:i/>
          <w:iCs/>
          <w:sz w:val="24"/>
          <w:szCs w:val="24"/>
        </w:rPr>
        <w:t>Ginkgo biloba</w:t>
      </w:r>
      <w:r w:rsidRPr="00074982">
        <w:rPr>
          <w:rFonts w:ascii="Times New Roman" w:eastAsia="Times New Roman" w:hAnsi="Times New Roman" w:cs="Times New Roman"/>
          <w:b/>
          <w:bCs/>
          <w:sz w:val="24"/>
          <w:szCs w:val="24"/>
        </w:rPr>
        <w:t xml:space="preserve"> on Intestinal Transit in Control and Treated Groups of Rats</w:t>
      </w:r>
    </w:p>
    <w:tbl>
      <w:tblPr>
        <w:tblStyle w:val="TableGrid"/>
        <w:tblW w:w="0" w:type="auto"/>
        <w:tblInd w:w="360" w:type="dxa"/>
        <w:tblLook w:val="04A0" w:firstRow="1" w:lastRow="0" w:firstColumn="1" w:lastColumn="0" w:noHBand="0" w:noVBand="1"/>
      </w:tblPr>
      <w:tblGrid>
        <w:gridCol w:w="2164"/>
        <w:gridCol w:w="3113"/>
      </w:tblGrid>
      <w:tr w:rsidR="008B162A" w:rsidRPr="00074982" w14:paraId="596C69C0" w14:textId="77777777" w:rsidTr="00B66AD8">
        <w:tc>
          <w:tcPr>
            <w:tcW w:w="2164" w:type="dxa"/>
            <w:tcBorders>
              <w:top w:val="single" w:sz="4" w:space="0" w:color="auto"/>
              <w:left w:val="single" w:sz="4" w:space="0" w:color="auto"/>
              <w:bottom w:val="single" w:sz="4" w:space="0" w:color="auto"/>
              <w:right w:val="single" w:sz="4" w:space="0" w:color="auto"/>
            </w:tcBorders>
            <w:hideMark/>
          </w:tcPr>
          <w:p w14:paraId="5B337E53" w14:textId="77777777" w:rsidR="008B162A" w:rsidRPr="00074982" w:rsidRDefault="008B162A" w:rsidP="00F92321">
            <w:pPr>
              <w:spacing w:before="100" w:beforeAutospacing="1" w:after="100" w:afterAutospacing="1" w:line="360" w:lineRule="auto"/>
              <w:jc w:val="both"/>
              <w:rPr>
                <w:sz w:val="24"/>
                <w:szCs w:val="24"/>
              </w:rPr>
            </w:pPr>
            <w:r w:rsidRPr="00074982">
              <w:rPr>
                <w:sz w:val="24"/>
                <w:szCs w:val="24"/>
              </w:rPr>
              <w:t>Group</w:t>
            </w:r>
          </w:p>
        </w:tc>
        <w:tc>
          <w:tcPr>
            <w:tcW w:w="3113" w:type="dxa"/>
            <w:tcBorders>
              <w:top w:val="single" w:sz="4" w:space="0" w:color="auto"/>
              <w:left w:val="single" w:sz="4" w:space="0" w:color="auto"/>
              <w:bottom w:val="single" w:sz="4" w:space="0" w:color="auto"/>
              <w:right w:val="single" w:sz="4" w:space="0" w:color="auto"/>
            </w:tcBorders>
            <w:hideMark/>
          </w:tcPr>
          <w:p w14:paraId="61822904" w14:textId="77777777" w:rsidR="008B162A" w:rsidRPr="00074982" w:rsidRDefault="008B162A" w:rsidP="00F92321">
            <w:pPr>
              <w:spacing w:before="100" w:beforeAutospacing="1" w:after="100" w:afterAutospacing="1" w:line="360" w:lineRule="auto"/>
              <w:jc w:val="both"/>
              <w:rPr>
                <w:sz w:val="24"/>
                <w:szCs w:val="24"/>
              </w:rPr>
            </w:pPr>
            <w:r w:rsidRPr="00074982">
              <w:rPr>
                <w:sz w:val="24"/>
                <w:szCs w:val="24"/>
              </w:rPr>
              <w:t>Intestinal transit (%)</w:t>
            </w:r>
          </w:p>
        </w:tc>
      </w:tr>
      <w:tr w:rsidR="008B162A" w:rsidRPr="00074982" w14:paraId="048B8C50" w14:textId="77777777" w:rsidTr="00B66AD8">
        <w:tc>
          <w:tcPr>
            <w:tcW w:w="2164" w:type="dxa"/>
            <w:tcBorders>
              <w:top w:val="single" w:sz="4" w:space="0" w:color="auto"/>
              <w:left w:val="single" w:sz="4" w:space="0" w:color="auto"/>
              <w:bottom w:val="single" w:sz="4" w:space="0" w:color="auto"/>
              <w:right w:val="single" w:sz="4" w:space="0" w:color="auto"/>
            </w:tcBorders>
            <w:hideMark/>
          </w:tcPr>
          <w:p w14:paraId="2F21C8C9" w14:textId="77777777" w:rsidR="008B162A" w:rsidRPr="00074982" w:rsidRDefault="008B162A" w:rsidP="00F92321">
            <w:pPr>
              <w:spacing w:before="100" w:beforeAutospacing="1" w:after="100" w:afterAutospacing="1" w:line="360" w:lineRule="auto"/>
              <w:jc w:val="both"/>
              <w:rPr>
                <w:sz w:val="24"/>
                <w:szCs w:val="24"/>
              </w:rPr>
            </w:pPr>
            <w:r w:rsidRPr="00074982">
              <w:rPr>
                <w:sz w:val="24"/>
                <w:szCs w:val="24"/>
              </w:rPr>
              <w:t xml:space="preserve">Control </w:t>
            </w:r>
          </w:p>
        </w:tc>
        <w:tc>
          <w:tcPr>
            <w:tcW w:w="3113" w:type="dxa"/>
            <w:tcBorders>
              <w:top w:val="single" w:sz="4" w:space="0" w:color="auto"/>
              <w:left w:val="single" w:sz="4" w:space="0" w:color="auto"/>
              <w:bottom w:val="single" w:sz="4" w:space="0" w:color="auto"/>
              <w:right w:val="single" w:sz="4" w:space="0" w:color="auto"/>
            </w:tcBorders>
            <w:hideMark/>
          </w:tcPr>
          <w:p w14:paraId="3E209F49" w14:textId="77777777" w:rsidR="008B162A" w:rsidRPr="00074982" w:rsidRDefault="008B162A" w:rsidP="00F92321">
            <w:pPr>
              <w:spacing w:before="100" w:beforeAutospacing="1" w:after="100" w:afterAutospacing="1" w:line="360" w:lineRule="auto"/>
              <w:jc w:val="both"/>
              <w:rPr>
                <w:sz w:val="24"/>
                <w:szCs w:val="24"/>
              </w:rPr>
            </w:pPr>
            <w:r w:rsidRPr="00074982">
              <w:rPr>
                <w:sz w:val="24"/>
                <w:szCs w:val="24"/>
              </w:rPr>
              <w:t>75.23±0.25</w:t>
            </w:r>
          </w:p>
        </w:tc>
      </w:tr>
      <w:tr w:rsidR="008B162A" w:rsidRPr="00074982" w14:paraId="17FE7BA3" w14:textId="77777777" w:rsidTr="00B66AD8">
        <w:tc>
          <w:tcPr>
            <w:tcW w:w="2164" w:type="dxa"/>
            <w:tcBorders>
              <w:top w:val="single" w:sz="4" w:space="0" w:color="auto"/>
              <w:left w:val="single" w:sz="4" w:space="0" w:color="auto"/>
              <w:bottom w:val="single" w:sz="4" w:space="0" w:color="auto"/>
              <w:right w:val="single" w:sz="4" w:space="0" w:color="auto"/>
            </w:tcBorders>
            <w:hideMark/>
          </w:tcPr>
          <w:p w14:paraId="789295E7" w14:textId="77777777" w:rsidR="008B162A" w:rsidRPr="00074982" w:rsidRDefault="008B162A" w:rsidP="00F92321">
            <w:pPr>
              <w:spacing w:before="100" w:beforeAutospacing="1" w:after="100" w:afterAutospacing="1" w:line="360" w:lineRule="auto"/>
              <w:jc w:val="both"/>
              <w:rPr>
                <w:sz w:val="24"/>
                <w:szCs w:val="24"/>
              </w:rPr>
            </w:pPr>
            <w:r w:rsidRPr="00074982">
              <w:rPr>
                <w:i/>
                <w:sz w:val="24"/>
                <w:szCs w:val="24"/>
              </w:rPr>
              <w:t>Ginkgo biloba</w:t>
            </w:r>
            <w:r w:rsidRPr="00074982">
              <w:rPr>
                <w:sz w:val="24"/>
                <w:szCs w:val="24"/>
              </w:rPr>
              <w:t xml:space="preserve"> (GB)</w:t>
            </w:r>
          </w:p>
        </w:tc>
        <w:tc>
          <w:tcPr>
            <w:tcW w:w="3113" w:type="dxa"/>
            <w:tcBorders>
              <w:top w:val="single" w:sz="4" w:space="0" w:color="auto"/>
              <w:left w:val="single" w:sz="4" w:space="0" w:color="auto"/>
              <w:bottom w:val="single" w:sz="4" w:space="0" w:color="auto"/>
              <w:right w:val="single" w:sz="4" w:space="0" w:color="auto"/>
            </w:tcBorders>
            <w:hideMark/>
          </w:tcPr>
          <w:p w14:paraId="2A8DABA4" w14:textId="77777777" w:rsidR="008B162A" w:rsidRPr="00074982" w:rsidRDefault="008B162A" w:rsidP="00F92321">
            <w:pPr>
              <w:spacing w:before="100" w:beforeAutospacing="1" w:after="100" w:afterAutospacing="1" w:line="360" w:lineRule="auto"/>
              <w:jc w:val="both"/>
              <w:rPr>
                <w:sz w:val="24"/>
                <w:szCs w:val="24"/>
              </w:rPr>
            </w:pPr>
            <w:r w:rsidRPr="00074982">
              <w:rPr>
                <w:sz w:val="24"/>
                <w:szCs w:val="24"/>
              </w:rPr>
              <w:t>73.89±0.14</w:t>
            </w:r>
          </w:p>
        </w:tc>
      </w:tr>
      <w:tr w:rsidR="008B162A" w:rsidRPr="00074982" w14:paraId="09446446" w14:textId="77777777" w:rsidTr="00B66AD8">
        <w:tc>
          <w:tcPr>
            <w:tcW w:w="2164" w:type="dxa"/>
            <w:tcBorders>
              <w:top w:val="single" w:sz="4" w:space="0" w:color="auto"/>
              <w:left w:val="single" w:sz="4" w:space="0" w:color="auto"/>
              <w:bottom w:val="single" w:sz="4" w:space="0" w:color="auto"/>
              <w:right w:val="single" w:sz="4" w:space="0" w:color="auto"/>
            </w:tcBorders>
            <w:hideMark/>
          </w:tcPr>
          <w:p w14:paraId="18D9D384" w14:textId="77777777" w:rsidR="008B162A" w:rsidRPr="00074982" w:rsidRDefault="008B162A" w:rsidP="00F92321">
            <w:pPr>
              <w:spacing w:before="100" w:beforeAutospacing="1" w:after="100" w:afterAutospacing="1" w:line="360" w:lineRule="auto"/>
              <w:jc w:val="both"/>
              <w:rPr>
                <w:sz w:val="24"/>
                <w:szCs w:val="24"/>
              </w:rPr>
            </w:pPr>
            <w:r w:rsidRPr="00074982">
              <w:rPr>
                <w:sz w:val="24"/>
                <w:szCs w:val="24"/>
              </w:rPr>
              <w:t>METH</w:t>
            </w:r>
          </w:p>
        </w:tc>
        <w:tc>
          <w:tcPr>
            <w:tcW w:w="3113" w:type="dxa"/>
            <w:tcBorders>
              <w:top w:val="single" w:sz="4" w:space="0" w:color="auto"/>
              <w:left w:val="single" w:sz="4" w:space="0" w:color="auto"/>
              <w:bottom w:val="single" w:sz="4" w:space="0" w:color="auto"/>
              <w:right w:val="single" w:sz="4" w:space="0" w:color="auto"/>
            </w:tcBorders>
            <w:hideMark/>
          </w:tcPr>
          <w:p w14:paraId="77942460" w14:textId="77777777" w:rsidR="008B162A" w:rsidRPr="00074982" w:rsidRDefault="008B162A" w:rsidP="00F92321">
            <w:pPr>
              <w:spacing w:before="100" w:beforeAutospacing="1" w:after="100" w:afterAutospacing="1" w:line="360" w:lineRule="auto"/>
              <w:jc w:val="both"/>
              <w:rPr>
                <w:sz w:val="24"/>
                <w:szCs w:val="24"/>
              </w:rPr>
            </w:pPr>
            <w:r w:rsidRPr="00074982">
              <w:rPr>
                <w:sz w:val="24"/>
                <w:szCs w:val="24"/>
              </w:rPr>
              <w:t>81.53±1.67</w:t>
            </w:r>
            <w:r w:rsidRPr="00074982">
              <w:rPr>
                <w:bCs/>
                <w:iCs/>
                <w:sz w:val="24"/>
                <w:szCs w:val="24"/>
              </w:rPr>
              <w:t>**</w:t>
            </w:r>
          </w:p>
        </w:tc>
      </w:tr>
      <w:tr w:rsidR="008B162A" w:rsidRPr="00074982" w14:paraId="5B348C18" w14:textId="77777777" w:rsidTr="00B66AD8">
        <w:tc>
          <w:tcPr>
            <w:tcW w:w="2164" w:type="dxa"/>
            <w:tcBorders>
              <w:top w:val="single" w:sz="4" w:space="0" w:color="auto"/>
              <w:left w:val="single" w:sz="4" w:space="0" w:color="auto"/>
              <w:bottom w:val="single" w:sz="4" w:space="0" w:color="auto"/>
              <w:right w:val="single" w:sz="4" w:space="0" w:color="auto"/>
            </w:tcBorders>
            <w:hideMark/>
          </w:tcPr>
          <w:p w14:paraId="1FC78C67" w14:textId="77777777" w:rsidR="008B162A" w:rsidRPr="00074982" w:rsidRDefault="008B162A" w:rsidP="00F92321">
            <w:pPr>
              <w:spacing w:before="100" w:beforeAutospacing="1" w:after="100" w:afterAutospacing="1" w:line="360" w:lineRule="auto"/>
              <w:jc w:val="both"/>
              <w:rPr>
                <w:sz w:val="24"/>
                <w:szCs w:val="24"/>
              </w:rPr>
            </w:pPr>
            <w:r w:rsidRPr="00074982">
              <w:rPr>
                <w:sz w:val="24"/>
                <w:szCs w:val="24"/>
              </w:rPr>
              <w:t>GB + METH</w:t>
            </w:r>
          </w:p>
        </w:tc>
        <w:tc>
          <w:tcPr>
            <w:tcW w:w="3113" w:type="dxa"/>
            <w:tcBorders>
              <w:top w:val="single" w:sz="4" w:space="0" w:color="auto"/>
              <w:left w:val="single" w:sz="4" w:space="0" w:color="auto"/>
              <w:bottom w:val="single" w:sz="4" w:space="0" w:color="auto"/>
              <w:right w:val="single" w:sz="4" w:space="0" w:color="auto"/>
            </w:tcBorders>
            <w:hideMark/>
          </w:tcPr>
          <w:p w14:paraId="4561FD05" w14:textId="77777777" w:rsidR="008B162A" w:rsidRPr="00074982" w:rsidRDefault="008B162A" w:rsidP="00F92321">
            <w:pPr>
              <w:spacing w:before="100" w:beforeAutospacing="1" w:after="100" w:afterAutospacing="1" w:line="360" w:lineRule="auto"/>
              <w:jc w:val="both"/>
              <w:rPr>
                <w:sz w:val="24"/>
                <w:szCs w:val="24"/>
              </w:rPr>
            </w:pPr>
            <w:r w:rsidRPr="00074982">
              <w:rPr>
                <w:sz w:val="24"/>
                <w:szCs w:val="24"/>
              </w:rPr>
              <w:t>77.12±0.81</w:t>
            </w:r>
            <w:r w:rsidRPr="00074982">
              <w:rPr>
                <w:bCs/>
                <w:iCs/>
                <w:sz w:val="24"/>
                <w:szCs w:val="24"/>
                <w:vertAlign w:val="superscript"/>
              </w:rPr>
              <w:t>#</w:t>
            </w:r>
          </w:p>
        </w:tc>
      </w:tr>
    </w:tbl>
    <w:p w14:paraId="09EF6869" w14:textId="77777777" w:rsidR="008B162A" w:rsidRPr="00074982" w:rsidRDefault="008B162A" w:rsidP="00F92321">
      <w:pPr>
        <w:spacing w:before="100" w:beforeAutospacing="1" w:after="100" w:afterAutospacing="1" w:line="360" w:lineRule="auto"/>
        <w:jc w:val="both"/>
        <w:rPr>
          <w:rFonts w:ascii="Times New Roman" w:eastAsia="Times New Roman" w:hAnsi="Times New Roman" w:cs="Times New Roman"/>
          <w:bCs/>
          <w:iCs/>
          <w:sz w:val="24"/>
          <w:szCs w:val="24"/>
          <w:lang w:val="en-GB"/>
        </w:rPr>
      </w:pPr>
      <w:r w:rsidRPr="00074982">
        <w:rPr>
          <w:rFonts w:ascii="Times New Roman" w:eastAsia="Times New Roman" w:hAnsi="Times New Roman" w:cs="Times New Roman"/>
          <w:bCs/>
          <w:iCs/>
          <w:sz w:val="24"/>
          <w:szCs w:val="24"/>
          <w:lang w:val="en-GB"/>
        </w:rPr>
        <w:t>Values are mean ± SEM, n = 5, ** = p&lt;0.001 vs. control, GB, and (GB + METH) groups respectively.  # = p&lt;0.05 vs. METH group.</w:t>
      </w:r>
    </w:p>
    <w:p w14:paraId="40854901" w14:textId="77777777" w:rsidR="008B162A" w:rsidRPr="00074982" w:rsidRDefault="008B162A" w:rsidP="00F92321">
      <w:pPr>
        <w:spacing w:before="100" w:beforeAutospacing="1" w:after="100" w:afterAutospacing="1" w:line="360" w:lineRule="auto"/>
        <w:jc w:val="both"/>
        <w:rPr>
          <w:rFonts w:ascii="Times New Roman" w:eastAsia="Times New Roman" w:hAnsi="Times New Roman" w:cs="Times New Roman"/>
          <w:b/>
          <w:bCs/>
          <w:iCs/>
          <w:sz w:val="24"/>
          <w:szCs w:val="24"/>
          <w:lang w:val="en-GB"/>
        </w:rPr>
      </w:pPr>
      <w:r w:rsidRPr="00074982">
        <w:rPr>
          <w:rFonts w:ascii="Times New Roman" w:eastAsia="Times New Roman" w:hAnsi="Times New Roman" w:cs="Times New Roman"/>
          <w:b/>
          <w:bCs/>
          <w:iCs/>
          <w:sz w:val="24"/>
          <w:szCs w:val="24"/>
          <w:lang w:val="en-GB"/>
        </w:rPr>
        <w:t xml:space="preserve">Effect of methamphetamine and </w:t>
      </w:r>
      <w:r w:rsidRPr="00074982">
        <w:rPr>
          <w:rFonts w:ascii="Times New Roman" w:eastAsia="Times New Roman" w:hAnsi="Times New Roman" w:cs="Times New Roman"/>
          <w:b/>
          <w:bCs/>
          <w:i/>
          <w:iCs/>
          <w:sz w:val="24"/>
          <w:szCs w:val="24"/>
          <w:lang w:val="en-GB"/>
        </w:rPr>
        <w:t>Ginkgo biloba</w:t>
      </w:r>
      <w:r w:rsidRPr="00074982">
        <w:rPr>
          <w:rFonts w:ascii="Times New Roman" w:eastAsia="Times New Roman" w:hAnsi="Times New Roman" w:cs="Times New Roman"/>
          <w:b/>
          <w:bCs/>
          <w:iCs/>
          <w:sz w:val="24"/>
          <w:szCs w:val="24"/>
          <w:lang w:val="en-GB"/>
        </w:rPr>
        <w:t xml:space="preserve"> on the stomach mucosa of experimental animals</w:t>
      </w:r>
    </w:p>
    <w:p w14:paraId="544E826E" w14:textId="77777777" w:rsidR="00883AB4" w:rsidRPr="00074982" w:rsidRDefault="008B162A"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Cs/>
          <w:sz w:val="24"/>
          <w:szCs w:val="24"/>
        </w:rPr>
        <w:t>Figure 5 (A–D) shows photomicrographs of the stomach mucosa from the control and experimental groups of animals.</w:t>
      </w:r>
      <w:r w:rsidRPr="00074982">
        <w:rPr>
          <w:rFonts w:ascii="Times New Roman" w:eastAsia="Times New Roman" w:hAnsi="Times New Roman" w:cs="Times New Roman"/>
          <w:sz w:val="24"/>
          <w:szCs w:val="24"/>
        </w:rPr>
        <w:t xml:space="preserve"> In the control group (A), the mucosa exhibited normal cytoarchitecture with well-preserved surface mucus epithelial cells (red arrow), and intact chief cells (yellow arrow) and parietal cells (black arrow). In the GB-only treated group (B), similar normal mucosal architecture was observed, with more prominently preserved surface mucus epithelial cells (red arrow), as well as intact chief (yellow arrow) and parietal cells (black arrow).</w:t>
      </w:r>
      <w:r w:rsidRPr="00074982">
        <w:rPr>
          <w:rFonts w:ascii="Times New Roman" w:eastAsia="Times New Roman" w:hAnsi="Times New Roman" w:cs="Times New Roman"/>
          <w:sz w:val="24"/>
          <w:szCs w:val="24"/>
        </w:rPr>
        <w:br/>
        <w:t>In the METH-treated group (C), the surface epithelium showed signs of superficial erosion (red arrow) and marked vascular congestion (black arrow). The mucosa also revealed severe eosinophilic infiltration extending into the submucosa (green arrow), hypertrophy of the muscularis mucosae (yellow arrow), and degeneration of glandular cells (blue arrow).</w:t>
      </w:r>
      <w:r w:rsidRPr="00074982">
        <w:rPr>
          <w:rFonts w:ascii="Times New Roman" w:eastAsia="Times New Roman" w:hAnsi="Times New Roman" w:cs="Times New Roman"/>
          <w:sz w:val="24"/>
          <w:szCs w:val="24"/>
        </w:rPr>
        <w:br/>
        <w:t>In contrast, the METH+GB-treated group (D) demonstrated recovery of the surface epithelium, with restoration of both superficial and deep glandular cells (black arrow).</w:t>
      </w:r>
    </w:p>
    <w:p w14:paraId="62EE9259" w14:textId="7E1CAE41" w:rsidR="008B162A" w:rsidRPr="00074982" w:rsidRDefault="005848E7" w:rsidP="005848E7">
      <w:pPr>
        <w:spacing w:before="100" w:beforeAutospacing="1" w:after="100" w:afterAutospacing="1" w:line="360" w:lineRule="auto"/>
        <w:jc w:val="center"/>
        <w:rPr>
          <w:rFonts w:ascii="Times New Roman" w:eastAsia="Times New Roman" w:hAnsi="Times New Roman" w:cs="Times New Roman"/>
          <w:sz w:val="24"/>
          <w:szCs w:val="24"/>
        </w:rPr>
      </w:pPr>
      <w:r>
        <w:rPr>
          <w:noProof/>
        </w:rPr>
        <w:lastRenderedPageBreak/>
        <w:drawing>
          <wp:inline distT="0" distB="0" distL="0" distR="0" wp14:anchorId="2D55FDC8" wp14:editId="0F718ECC">
            <wp:extent cx="4149793" cy="3365500"/>
            <wp:effectExtent l="0" t="0" r="3175" b="6350"/>
            <wp:docPr id="1689945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45539" name=""/>
                    <pic:cNvPicPr/>
                  </pic:nvPicPr>
                  <pic:blipFill>
                    <a:blip r:embed="rId11"/>
                    <a:stretch>
                      <a:fillRect/>
                    </a:stretch>
                  </pic:blipFill>
                  <pic:spPr>
                    <a:xfrm>
                      <a:off x="0" y="0"/>
                      <a:ext cx="4163091" cy="3376285"/>
                    </a:xfrm>
                    <a:prstGeom prst="rect">
                      <a:avLst/>
                    </a:prstGeom>
                  </pic:spPr>
                </pic:pic>
              </a:graphicData>
            </a:graphic>
          </wp:inline>
        </w:drawing>
      </w:r>
    </w:p>
    <w:p w14:paraId="757138BF" w14:textId="77777777" w:rsidR="008B162A" w:rsidRPr="00074982" w:rsidRDefault="008B162A" w:rsidP="00F92321">
      <w:pPr>
        <w:spacing w:before="100" w:beforeAutospacing="1" w:after="100" w:afterAutospacing="1" w:line="360" w:lineRule="auto"/>
        <w:jc w:val="both"/>
        <w:rPr>
          <w:rFonts w:ascii="Times New Roman" w:eastAsia="Times New Roman" w:hAnsi="Times New Roman" w:cs="Times New Roman"/>
          <w:bCs/>
          <w:sz w:val="24"/>
          <w:szCs w:val="24"/>
          <w:lang w:val="en-GB"/>
        </w:rPr>
      </w:pPr>
      <w:r w:rsidRPr="00074982">
        <w:rPr>
          <w:rFonts w:ascii="Times New Roman" w:eastAsia="Times New Roman" w:hAnsi="Times New Roman" w:cs="Times New Roman"/>
          <w:sz w:val="24"/>
          <w:szCs w:val="24"/>
          <w:lang w:val="en-GB"/>
        </w:rPr>
        <w:t xml:space="preserve">Figure 5: Photomicrographs illustrating methamphetamine-induced mucosal damage and the potential protective effect of </w:t>
      </w:r>
      <w:r w:rsidRPr="00074982">
        <w:rPr>
          <w:rFonts w:ascii="Times New Roman" w:eastAsia="Times New Roman" w:hAnsi="Times New Roman" w:cs="Times New Roman"/>
          <w:i/>
          <w:iCs/>
          <w:sz w:val="24"/>
          <w:szCs w:val="24"/>
          <w:lang w:val="en-GB"/>
        </w:rPr>
        <w:t>Ginkgo biloba</w:t>
      </w:r>
      <w:r w:rsidRPr="00074982">
        <w:rPr>
          <w:rFonts w:ascii="Times New Roman" w:eastAsia="Times New Roman" w:hAnsi="Times New Roman" w:cs="Times New Roman"/>
          <w:sz w:val="24"/>
          <w:szCs w:val="24"/>
          <w:lang w:val="en-GB"/>
        </w:rPr>
        <w:t xml:space="preserve">. (A = Control group; Red arrow = normal cytoarchitecture with well-preserved surface mucous epithelial cells; Yellow arrow = intact chief cells; Black arrow = intact parietal cells.) (B = </w:t>
      </w:r>
      <w:r w:rsidRPr="00074982">
        <w:rPr>
          <w:rFonts w:ascii="Times New Roman" w:eastAsia="Times New Roman" w:hAnsi="Times New Roman" w:cs="Times New Roman"/>
          <w:i/>
          <w:iCs/>
          <w:sz w:val="24"/>
          <w:szCs w:val="24"/>
          <w:lang w:val="en-GB"/>
        </w:rPr>
        <w:t>Ginkgo biloba</w:t>
      </w:r>
      <w:r w:rsidRPr="00074982">
        <w:rPr>
          <w:rFonts w:ascii="Times New Roman" w:eastAsia="Times New Roman" w:hAnsi="Times New Roman" w:cs="Times New Roman"/>
          <w:sz w:val="24"/>
          <w:szCs w:val="24"/>
          <w:lang w:val="en-GB"/>
        </w:rPr>
        <w:t xml:space="preserve"> group; Red arrow = well-preserved surface mucous epithelial cells; Yellow arrow = intact chief cells; Black arrow = intact parietal cells.) (C = METH-treated group; Red arrow = superficial epithelial erosion; Black arrow = severe vascular congestion; Green arrow = extensive eosinophilic infiltration reaching the submucosa; Yellow arrow = hypertrophy of the muscular mucosa; Blue arrow = glandular cell degeneration.) (D = METH+GB group; Black arrow = recovery of surface epithelium with restoration of superficial and deep glandular cells.)</w:t>
      </w:r>
    </w:p>
    <w:p w14:paraId="139ADE1E" w14:textId="77777777" w:rsidR="008B162A" w:rsidRPr="00074982" w:rsidRDefault="008B162A"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 xml:space="preserve">Effect of Methamphetamine and </w:t>
      </w:r>
      <w:r w:rsidRPr="00074982">
        <w:rPr>
          <w:rFonts w:ascii="Times New Roman" w:eastAsia="Times New Roman" w:hAnsi="Times New Roman" w:cs="Times New Roman"/>
          <w:b/>
          <w:bCs/>
          <w:i/>
          <w:iCs/>
          <w:sz w:val="24"/>
          <w:szCs w:val="24"/>
        </w:rPr>
        <w:t>Ginkgo biloba</w:t>
      </w:r>
      <w:r w:rsidRPr="00074982">
        <w:rPr>
          <w:rFonts w:ascii="Times New Roman" w:eastAsia="Times New Roman" w:hAnsi="Times New Roman" w:cs="Times New Roman"/>
          <w:b/>
          <w:bCs/>
          <w:sz w:val="24"/>
          <w:szCs w:val="24"/>
        </w:rPr>
        <w:t xml:space="preserve"> on the Gross Morphology of the Stomach in Control and Experimental Groups of Rats</w:t>
      </w:r>
    </w:p>
    <w:p w14:paraId="3747D993" w14:textId="77777777" w:rsidR="008B162A" w:rsidRPr="00074982" w:rsidRDefault="008B162A"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The gross morphological features of the stomach across the control and experimental groups are illustrated in Figure 6A–D. In both the control group (A) and the GB-treated group (B), the stomach mucosa exhibited normal cytoarchitecture. In contrast, the METH-treated group (C) </w:t>
      </w:r>
      <w:r w:rsidRPr="00074982">
        <w:rPr>
          <w:rFonts w:ascii="Times New Roman" w:eastAsia="Times New Roman" w:hAnsi="Times New Roman" w:cs="Times New Roman"/>
          <w:sz w:val="24"/>
          <w:szCs w:val="24"/>
        </w:rPr>
        <w:lastRenderedPageBreak/>
        <w:t>showed a high number of ulcerative lesions (red arrow). Notably, the METH+GB-treated group (D) displayed a reduced number of ulcer lesions (blue arrow) compared to the METH-only group.</w:t>
      </w:r>
    </w:p>
    <w:p w14:paraId="5A72AA7A" w14:textId="3EA20ABE" w:rsidR="008B162A" w:rsidRPr="00074982" w:rsidRDefault="005848E7" w:rsidP="005848E7">
      <w:pPr>
        <w:spacing w:before="100" w:beforeAutospacing="1" w:after="100" w:afterAutospacing="1" w:line="360" w:lineRule="auto"/>
        <w:jc w:val="center"/>
        <w:rPr>
          <w:rFonts w:ascii="Times New Roman" w:eastAsia="Times New Roman" w:hAnsi="Times New Roman" w:cs="Times New Roman"/>
          <w:sz w:val="24"/>
          <w:szCs w:val="24"/>
        </w:rPr>
      </w:pPr>
      <w:r>
        <w:rPr>
          <w:noProof/>
        </w:rPr>
        <w:drawing>
          <wp:inline distT="0" distB="0" distL="0" distR="0" wp14:anchorId="69830259" wp14:editId="257A6A7C">
            <wp:extent cx="4871244" cy="3625850"/>
            <wp:effectExtent l="0" t="0" r="5715" b="0"/>
            <wp:docPr id="1464671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71792" name=""/>
                    <pic:cNvPicPr/>
                  </pic:nvPicPr>
                  <pic:blipFill>
                    <a:blip r:embed="rId12"/>
                    <a:stretch>
                      <a:fillRect/>
                    </a:stretch>
                  </pic:blipFill>
                  <pic:spPr>
                    <a:xfrm>
                      <a:off x="0" y="0"/>
                      <a:ext cx="4878767" cy="3631450"/>
                    </a:xfrm>
                    <a:prstGeom prst="rect">
                      <a:avLst/>
                    </a:prstGeom>
                  </pic:spPr>
                </pic:pic>
              </a:graphicData>
            </a:graphic>
          </wp:inline>
        </w:drawing>
      </w:r>
    </w:p>
    <w:p w14:paraId="178478B9" w14:textId="77777777" w:rsidR="00131987" w:rsidRPr="00074982" w:rsidRDefault="00131987" w:rsidP="00455E74">
      <w:pPr>
        <w:spacing w:before="100" w:beforeAutospacing="1" w:after="100" w:afterAutospacing="1" w:line="360" w:lineRule="auto"/>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Figure 6:</w:t>
      </w:r>
      <w:r w:rsidRPr="00074982">
        <w:rPr>
          <w:rFonts w:ascii="Times New Roman" w:eastAsia="Times New Roman" w:hAnsi="Times New Roman" w:cs="Times New Roman"/>
          <w:sz w:val="24"/>
          <w:szCs w:val="24"/>
        </w:rPr>
        <w:t xml:space="preserve"> Gross morphology of the stomach illustrating methamphetamine-induced ulceration and the potential protective effect of </w:t>
      </w:r>
      <w:r w:rsidRPr="00074982">
        <w:rPr>
          <w:rFonts w:ascii="Times New Roman" w:eastAsia="Times New Roman" w:hAnsi="Times New Roman" w:cs="Times New Roman"/>
          <w:i/>
          <w:iCs/>
          <w:sz w:val="24"/>
          <w:szCs w:val="24"/>
        </w:rPr>
        <w:t>Ginkgo biloba</w:t>
      </w:r>
      <w:r w:rsidRPr="00074982">
        <w:rPr>
          <w:rFonts w:ascii="Times New Roman" w:eastAsia="Times New Roman" w:hAnsi="Times New Roman" w:cs="Times New Roman"/>
          <w:sz w:val="24"/>
          <w:szCs w:val="24"/>
        </w:rPr>
        <w:t xml:space="preserve"> in the animal model.</w:t>
      </w:r>
      <w:r w:rsidRPr="00074982">
        <w:rPr>
          <w:rFonts w:ascii="Times New Roman" w:eastAsia="Times New Roman" w:hAnsi="Times New Roman" w:cs="Times New Roman"/>
          <w:sz w:val="24"/>
          <w:szCs w:val="24"/>
        </w:rPr>
        <w:br/>
        <w:t>(A) Control group: normal mucosal cytoarchitecture.</w:t>
      </w:r>
      <w:r w:rsidRPr="00074982">
        <w:rPr>
          <w:rFonts w:ascii="Times New Roman" w:eastAsia="Times New Roman" w:hAnsi="Times New Roman" w:cs="Times New Roman"/>
          <w:sz w:val="24"/>
          <w:szCs w:val="24"/>
        </w:rPr>
        <w:br/>
        <w:t>(B) GB-treated group: normal mucosal cytoarchitecture.</w:t>
      </w:r>
      <w:r w:rsidRPr="00074982">
        <w:rPr>
          <w:rFonts w:ascii="Times New Roman" w:eastAsia="Times New Roman" w:hAnsi="Times New Roman" w:cs="Times New Roman"/>
          <w:sz w:val="24"/>
          <w:szCs w:val="24"/>
        </w:rPr>
        <w:br/>
        <w:t>(C) METH-treated group: increased number of ulcer lesions (red arrow).</w:t>
      </w:r>
      <w:r w:rsidRPr="00074982">
        <w:rPr>
          <w:rFonts w:ascii="Times New Roman" w:eastAsia="Times New Roman" w:hAnsi="Times New Roman" w:cs="Times New Roman"/>
          <w:sz w:val="24"/>
          <w:szCs w:val="24"/>
        </w:rPr>
        <w:br/>
        <w:t>(D) METH+GB-treated group: reduced number of ulcer lesions (blue arrow).</w:t>
      </w:r>
    </w:p>
    <w:p w14:paraId="50180AFA" w14:textId="77777777" w:rsidR="008F0A17" w:rsidRPr="00074982" w:rsidRDefault="008F0A17" w:rsidP="00F92321">
      <w:pPr>
        <w:spacing w:before="100" w:beforeAutospacing="1" w:after="100" w:afterAutospacing="1" w:line="360" w:lineRule="auto"/>
        <w:jc w:val="both"/>
        <w:rPr>
          <w:rFonts w:ascii="Times New Roman" w:eastAsia="Times New Roman" w:hAnsi="Times New Roman" w:cs="Times New Roman"/>
          <w:sz w:val="24"/>
          <w:szCs w:val="24"/>
        </w:rPr>
      </w:pPr>
    </w:p>
    <w:p w14:paraId="4569F462" w14:textId="77777777" w:rsidR="00074982" w:rsidRDefault="00074982" w:rsidP="00F9232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CD12C18" w14:textId="77777777" w:rsidR="00522CDB" w:rsidRPr="00074982" w:rsidRDefault="00522CDB"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lastRenderedPageBreak/>
        <w:t>Discussion</w:t>
      </w:r>
    </w:p>
    <w:p w14:paraId="4F955C0D" w14:textId="77777777" w:rsidR="00B87F8A" w:rsidRPr="00074982" w:rsidRDefault="00B87F8A" w:rsidP="00F92321">
      <w:pPr>
        <w:spacing w:after="0"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The gastrointestinal physiology of albino Wistar rats was reported to be negatively impacted by the injection of methamphetamine (METH). Rats given METH specifically displayed decreased body and stomach weight, mucus secretion, gastric acid production, ulcer scores, pepsin secretion, and intestinal transit time. Severe mucosal damage, including cytoarchitectural distortion, epithelial erosion, eosinophilic infiltration, muscular mucosa enlargement, and glandular cell degeneration, was confirmed by histological examination of stomach tissues. According to these findings, METH causes significant gastrointestinal disruption and inflammation.</w:t>
      </w:r>
    </w:p>
    <w:p w14:paraId="2FF93591" w14:textId="77777777" w:rsidR="00B87F8A" w:rsidRPr="00074982" w:rsidRDefault="00B87F8A" w:rsidP="00455E74">
      <w:pPr>
        <w:spacing w:after="0" w:line="360" w:lineRule="auto"/>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By raising dopamine levels in the brain, which reduce hunger and change ghrelin and leptin signaling, METH seems to have an impact on the hypothalamic areas that regulate appetite. This is in line with the weight loss that was seen and confirms earlier research by </w:t>
      </w:r>
      <w:r w:rsidR="00AB4C62" w:rsidRPr="00074982">
        <w:rPr>
          <w:rFonts w:ascii="Times New Roman" w:eastAsia="Times New Roman" w:hAnsi="Times New Roman" w:cs="Times New Roman"/>
          <w:sz w:val="24"/>
          <w:szCs w:val="24"/>
        </w:rPr>
        <w:t>[29]</w:t>
      </w:r>
      <w:r w:rsidRPr="00074982">
        <w:rPr>
          <w:rFonts w:ascii="Times New Roman" w:eastAsia="Times New Roman" w:hAnsi="Times New Roman" w:cs="Times New Roman"/>
          <w:sz w:val="24"/>
          <w:szCs w:val="24"/>
        </w:rPr>
        <w:t xml:space="preserve"> that connected METH usage to appetite suppression and weight loss. The loss in stomach weight is probably the result of ischemia, mucosal injury, and poor digestion due to inflammation and vasoconstriction brought on by METH. </w:t>
      </w:r>
      <w:r w:rsidRPr="00074982">
        <w:rPr>
          <w:rFonts w:ascii="Times New Roman" w:eastAsia="Times New Roman" w:hAnsi="Times New Roman" w:cs="Times New Roman"/>
          <w:sz w:val="24"/>
          <w:szCs w:val="24"/>
        </w:rPr>
        <w:br/>
        <w:t xml:space="preserve">On the other hand, many of these negative effects were lessened by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extract, which is high in flavonoids and antioxidants. Rats that received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concurrently displayed decreased gastric acid and pepsin production, improved body and stomach weight, and decreased ulcer scores. According to earlier research </w:t>
      </w:r>
      <w:r w:rsidR="00AB4C62" w:rsidRPr="00074982">
        <w:rPr>
          <w:rFonts w:ascii="Times New Roman" w:eastAsia="Times New Roman" w:hAnsi="Times New Roman" w:cs="Times New Roman"/>
          <w:sz w:val="24"/>
          <w:szCs w:val="24"/>
        </w:rPr>
        <w:t>Noor et al</w:t>
      </w:r>
      <w:r w:rsidRPr="00074982">
        <w:rPr>
          <w:rFonts w:ascii="Times New Roman" w:eastAsia="Times New Roman" w:hAnsi="Times New Roman" w:cs="Times New Roman"/>
          <w:sz w:val="24"/>
          <w:szCs w:val="24"/>
        </w:rPr>
        <w:t xml:space="preserve"> </w:t>
      </w:r>
      <w:r w:rsidR="00AB4C62" w:rsidRPr="00074982">
        <w:rPr>
          <w:rFonts w:ascii="Times New Roman" w:eastAsia="Times New Roman" w:hAnsi="Times New Roman" w:cs="Times New Roman"/>
          <w:sz w:val="24"/>
          <w:szCs w:val="24"/>
        </w:rPr>
        <w:t>[30]</w:t>
      </w:r>
      <w:r w:rsidRPr="00074982">
        <w:rPr>
          <w:rFonts w:ascii="Times New Roman" w:eastAsia="Times New Roman" w:hAnsi="Times New Roman" w:cs="Times New Roman"/>
          <w:sz w:val="24"/>
          <w:szCs w:val="24"/>
        </w:rPr>
        <w:t xml:space="preserve">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promotes insulin signaling, lowers inflammation (by down regulating NF-</w:t>
      </w:r>
      <w:proofErr w:type="spellStart"/>
      <w:r w:rsidRPr="00074982">
        <w:rPr>
          <w:rFonts w:ascii="Times New Roman" w:eastAsia="Times New Roman" w:hAnsi="Times New Roman" w:cs="Times New Roman"/>
          <w:sz w:val="24"/>
          <w:szCs w:val="24"/>
        </w:rPr>
        <w:t>κB</w:t>
      </w:r>
      <w:proofErr w:type="spellEnd"/>
      <w:r w:rsidRPr="00074982">
        <w:rPr>
          <w:rFonts w:ascii="Times New Roman" w:eastAsia="Times New Roman" w:hAnsi="Times New Roman" w:cs="Times New Roman"/>
          <w:sz w:val="24"/>
          <w:szCs w:val="24"/>
        </w:rPr>
        <w:t xml:space="preserve"> and TNF-α), and increases blood flow. These effects may help heal damaged tissue and facilitate the absorption of nutrients. These characteristics support its medicinal potential in reducing the METH-induced toxicity. </w:t>
      </w:r>
      <w:r w:rsidRPr="00074982">
        <w:rPr>
          <w:rFonts w:ascii="Times New Roman" w:eastAsia="Times New Roman" w:hAnsi="Times New Roman" w:cs="Times New Roman"/>
          <w:sz w:val="24"/>
          <w:szCs w:val="24"/>
        </w:rPr>
        <w:br/>
        <w:t xml:space="preserve">Given that pepsin not only facilitates digestion but also aggravates mucosal damage, impeding ulcer repair, the increased pepsin secretion seen in the METH group is especially concerning </w:t>
      </w:r>
      <w:r w:rsidR="00AB4C62" w:rsidRPr="00074982">
        <w:rPr>
          <w:rFonts w:ascii="Times New Roman" w:eastAsia="Times New Roman" w:hAnsi="Times New Roman" w:cs="Times New Roman"/>
          <w:sz w:val="24"/>
          <w:szCs w:val="24"/>
        </w:rPr>
        <w:t>[31]</w:t>
      </w:r>
      <w:r w:rsidRPr="00074982">
        <w:rPr>
          <w:rFonts w:ascii="Times New Roman" w:eastAsia="Times New Roman" w:hAnsi="Times New Roman" w:cs="Times New Roman"/>
          <w:sz w:val="24"/>
          <w:szCs w:val="24"/>
        </w:rPr>
        <w:t xml:space="preserve">. This, together with increased acid production, makes the stomach lining unfavorable. For instance, in the METH group, gross observations showed widespread ulceration and micro-bleeding, confirming significant mucosal degradation. Inflammatory features such as eosinophilic infiltration, glandular degeneration, and muscle hypertrophy that all indicate METH-induced stomach disorders- were seen in photomicrographs. METH treatment also increased intestinal transit time, which may have been due to permeability-increasing intestinal mucosal injury and epithelial barrier breakdown. Li's </w:t>
      </w:r>
      <w:r w:rsidR="001A4C32" w:rsidRPr="00074982">
        <w:rPr>
          <w:rFonts w:ascii="Times New Roman" w:eastAsia="Times New Roman" w:hAnsi="Times New Roman" w:cs="Times New Roman"/>
          <w:sz w:val="24"/>
          <w:szCs w:val="24"/>
        </w:rPr>
        <w:t>[32]</w:t>
      </w:r>
      <w:r w:rsidRPr="00074982">
        <w:rPr>
          <w:rFonts w:ascii="Times New Roman" w:eastAsia="Times New Roman" w:hAnsi="Times New Roman" w:cs="Times New Roman"/>
          <w:sz w:val="24"/>
          <w:szCs w:val="24"/>
        </w:rPr>
        <w:t xml:space="preserve"> findings, which connected METH </w:t>
      </w:r>
      <w:r w:rsidRPr="00074982">
        <w:rPr>
          <w:rFonts w:ascii="Times New Roman" w:eastAsia="Times New Roman" w:hAnsi="Times New Roman" w:cs="Times New Roman"/>
          <w:sz w:val="24"/>
          <w:szCs w:val="24"/>
        </w:rPr>
        <w:lastRenderedPageBreak/>
        <w:t>usage to impaired gut integrity, are consistent with this discovery.</w:t>
      </w:r>
      <w:r w:rsidRPr="00074982">
        <w:rPr>
          <w:rFonts w:ascii="Times New Roman" w:eastAsia="Times New Roman" w:hAnsi="Times New Roman" w:cs="Times New Roman"/>
          <w:sz w:val="24"/>
          <w:szCs w:val="24"/>
        </w:rPr>
        <w:br/>
      </w:r>
    </w:p>
    <w:p w14:paraId="0688C329" w14:textId="673599C3" w:rsidR="00B87F8A" w:rsidRDefault="00B87F8A" w:rsidP="00F92321">
      <w:pPr>
        <w:spacing w:after="240"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The protective effects of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co-administered with METH were demonstrated by better stomach histology, which showed less ulcers and a partial restoration of mucosal integrity. These findings are consistent with past research showing that the anti-inflammatory and antioxidant properties of </w:t>
      </w:r>
      <w:r w:rsidRPr="00074982">
        <w:rPr>
          <w:rFonts w:ascii="Times New Roman" w:eastAsia="Times New Roman" w:hAnsi="Times New Roman" w:cs="Times New Roman"/>
          <w:i/>
          <w:sz w:val="24"/>
          <w:szCs w:val="24"/>
        </w:rPr>
        <w:t xml:space="preserve">Ginkgo </w:t>
      </w:r>
      <w:proofErr w:type="spellStart"/>
      <w:r w:rsidRPr="00074982">
        <w:rPr>
          <w:rFonts w:ascii="Times New Roman" w:eastAsia="Times New Roman" w:hAnsi="Times New Roman" w:cs="Times New Roman"/>
          <w:i/>
          <w:sz w:val="24"/>
          <w:szCs w:val="24"/>
        </w:rPr>
        <w:t>biloba</w:t>
      </w:r>
      <w:proofErr w:type="spellEnd"/>
      <w:r w:rsidRPr="00074982">
        <w:rPr>
          <w:rFonts w:ascii="Times New Roman" w:eastAsia="Times New Roman" w:hAnsi="Times New Roman" w:cs="Times New Roman"/>
          <w:sz w:val="24"/>
          <w:szCs w:val="24"/>
        </w:rPr>
        <w:t xml:space="preserve"> provide </w:t>
      </w:r>
      <w:r w:rsidR="00745D33" w:rsidRPr="00074982">
        <w:rPr>
          <w:rFonts w:ascii="Times New Roman" w:eastAsia="Times New Roman" w:hAnsi="Times New Roman" w:cs="Times New Roman"/>
          <w:sz w:val="24"/>
          <w:szCs w:val="24"/>
        </w:rPr>
        <w:t>gastro protective</w:t>
      </w:r>
      <w:r w:rsidRPr="00074982">
        <w:rPr>
          <w:rFonts w:ascii="Times New Roman" w:eastAsia="Times New Roman" w:hAnsi="Times New Roman" w:cs="Times New Roman"/>
          <w:sz w:val="24"/>
          <w:szCs w:val="24"/>
        </w:rPr>
        <w:t xml:space="preserve"> benefits </w:t>
      </w:r>
      <w:r w:rsidR="001A4C32" w:rsidRPr="00074982">
        <w:rPr>
          <w:rFonts w:ascii="Times New Roman" w:eastAsia="Times New Roman" w:hAnsi="Times New Roman" w:cs="Times New Roman"/>
          <w:sz w:val="24"/>
          <w:szCs w:val="24"/>
        </w:rPr>
        <w:t>[33</w:t>
      </w:r>
      <w:r w:rsidR="00745D33">
        <w:rPr>
          <w:rFonts w:ascii="Times New Roman" w:eastAsia="Times New Roman" w:hAnsi="Times New Roman" w:cs="Times New Roman"/>
          <w:sz w:val="24"/>
          <w:szCs w:val="24"/>
        </w:rPr>
        <w:t>, 34</w:t>
      </w:r>
      <w:r w:rsidR="001A4C32" w:rsidRPr="00074982">
        <w:rPr>
          <w:rFonts w:ascii="Times New Roman" w:eastAsia="Times New Roman" w:hAnsi="Times New Roman" w:cs="Times New Roman"/>
          <w:sz w:val="24"/>
          <w:szCs w:val="24"/>
        </w:rPr>
        <w:t>]</w:t>
      </w:r>
      <w:r w:rsidRPr="00074982">
        <w:rPr>
          <w:rFonts w:ascii="Times New Roman" w:eastAsia="Times New Roman" w:hAnsi="Times New Roman" w:cs="Times New Roman"/>
          <w:sz w:val="24"/>
          <w:szCs w:val="24"/>
        </w:rPr>
        <w:t xml:space="preserve">. The precise mechanism by which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ameliorated this impact by shortening transit time is unclear. It could be adduced that the gut environment may be stabilized due to its antioxidant properties, although more research is required to fully understand this. </w:t>
      </w:r>
      <w:r w:rsidR="007372F0" w:rsidRPr="007372F0">
        <w:rPr>
          <w:rFonts w:ascii="Times New Roman" w:eastAsia="Times New Roman" w:hAnsi="Times New Roman" w:cs="Times New Roman"/>
          <w:sz w:val="24"/>
          <w:szCs w:val="24"/>
        </w:rPr>
        <w:t xml:space="preserve">The ability of </w:t>
      </w:r>
      <w:r w:rsidR="007372F0" w:rsidRPr="007372F0">
        <w:rPr>
          <w:rFonts w:ascii="Times New Roman" w:eastAsia="Times New Roman" w:hAnsi="Times New Roman" w:cs="Times New Roman"/>
          <w:i/>
          <w:sz w:val="24"/>
          <w:szCs w:val="24"/>
        </w:rPr>
        <w:t xml:space="preserve">Ginkgo </w:t>
      </w:r>
      <w:proofErr w:type="spellStart"/>
      <w:r w:rsidR="007372F0" w:rsidRPr="007372F0">
        <w:rPr>
          <w:rFonts w:ascii="Times New Roman" w:eastAsia="Times New Roman" w:hAnsi="Times New Roman" w:cs="Times New Roman"/>
          <w:i/>
          <w:sz w:val="24"/>
          <w:szCs w:val="24"/>
        </w:rPr>
        <w:t>biloba</w:t>
      </w:r>
      <w:proofErr w:type="spellEnd"/>
      <w:r w:rsidR="007372F0" w:rsidRPr="007372F0">
        <w:rPr>
          <w:rFonts w:ascii="Times New Roman" w:eastAsia="Times New Roman" w:hAnsi="Times New Roman" w:cs="Times New Roman"/>
          <w:sz w:val="24"/>
          <w:szCs w:val="24"/>
        </w:rPr>
        <w:t xml:space="preserve"> to attenuate methamphetamine-induced gastric injury supports its pharmacological relevance, possibly via its antioxidant, anti-inflammatory, and </w:t>
      </w:r>
      <w:proofErr w:type="spellStart"/>
      <w:r w:rsidR="007372F0" w:rsidRPr="007372F0">
        <w:rPr>
          <w:rFonts w:ascii="Times New Roman" w:eastAsia="Times New Roman" w:hAnsi="Times New Roman" w:cs="Times New Roman"/>
          <w:sz w:val="24"/>
          <w:szCs w:val="24"/>
        </w:rPr>
        <w:t>cytoprotective</w:t>
      </w:r>
      <w:proofErr w:type="spellEnd"/>
      <w:r w:rsidR="007372F0" w:rsidRPr="007372F0">
        <w:rPr>
          <w:rFonts w:ascii="Times New Roman" w:eastAsia="Times New Roman" w:hAnsi="Times New Roman" w:cs="Times New Roman"/>
          <w:sz w:val="24"/>
          <w:szCs w:val="24"/>
        </w:rPr>
        <w:t xml:space="preserve"> properties. These findings align with its emerging role as a potential therapeutic adjunct in conditions associated with gastrointestinal oxidative stress.</w:t>
      </w:r>
    </w:p>
    <w:p w14:paraId="49A92200" w14:textId="4DD7CB03" w:rsidR="009F1A56" w:rsidRPr="009F1A56" w:rsidRDefault="009F1A56" w:rsidP="00F92321">
      <w:pPr>
        <w:spacing w:after="240" w:line="360" w:lineRule="auto"/>
        <w:jc w:val="both"/>
        <w:rPr>
          <w:rFonts w:ascii="Times New Roman" w:eastAsia="Times New Roman" w:hAnsi="Times New Roman" w:cs="Times New Roman"/>
          <w:b/>
          <w:bCs/>
          <w:sz w:val="24"/>
          <w:szCs w:val="24"/>
        </w:rPr>
      </w:pPr>
      <w:r w:rsidRPr="009F1A56">
        <w:rPr>
          <w:rFonts w:ascii="Times New Roman" w:eastAsia="Times New Roman" w:hAnsi="Times New Roman" w:cs="Times New Roman"/>
          <w:b/>
          <w:bCs/>
          <w:sz w:val="24"/>
          <w:szCs w:val="24"/>
        </w:rPr>
        <w:t>Conclusion</w:t>
      </w:r>
    </w:p>
    <w:p w14:paraId="47B3BA4F" w14:textId="22F6B0D6" w:rsidR="00522CDB" w:rsidRPr="00074982" w:rsidRDefault="00B87F8A" w:rsidP="00F92321">
      <w:pPr>
        <w:spacing w:before="100" w:beforeAutospacing="1" w:after="100" w:afterAutospacing="1" w:line="360" w:lineRule="auto"/>
        <w:jc w:val="both"/>
        <w:rPr>
          <w:rFonts w:ascii="Times New Roman" w:hAnsi="Times New Roman" w:cs="Times New Roman"/>
          <w:sz w:val="24"/>
          <w:szCs w:val="24"/>
        </w:rPr>
      </w:pPr>
      <w:r w:rsidRPr="00074982">
        <w:rPr>
          <w:rFonts w:ascii="Times New Roman" w:eastAsia="Times New Roman" w:hAnsi="Times New Roman" w:cs="Times New Roman"/>
          <w:sz w:val="24"/>
          <w:szCs w:val="24"/>
        </w:rPr>
        <w:t xml:space="preserve">In conclusion, this study shows that long-term METH use negatively impacts gastrointestinal function by lowering stomach and body weight, raising pepsin and acid output, causing mucosal injury, and slowing intestinal transit.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extract considerably reduced these symptoms, most likely as a result of its antioxidant, anti-inflammatory, and mucosal-healing qualities. </w:t>
      </w:r>
      <w:r w:rsidRPr="00074982">
        <w:rPr>
          <w:rFonts w:ascii="Times New Roman" w:hAnsi="Times New Roman" w:cs="Times New Roman"/>
          <w:sz w:val="24"/>
          <w:szCs w:val="24"/>
        </w:rPr>
        <w:t xml:space="preserve">These findings highlight the modulatory effects of </w:t>
      </w:r>
      <w:r w:rsidRPr="00074982">
        <w:rPr>
          <w:rStyle w:val="Emphasis"/>
          <w:rFonts w:ascii="Times New Roman" w:hAnsi="Times New Roman" w:cs="Times New Roman"/>
          <w:sz w:val="24"/>
          <w:szCs w:val="24"/>
        </w:rPr>
        <w:t>Ginkgo biloba</w:t>
      </w:r>
      <w:r w:rsidRPr="00074982">
        <w:rPr>
          <w:rFonts w:ascii="Times New Roman" w:hAnsi="Times New Roman" w:cs="Times New Roman"/>
          <w:sz w:val="24"/>
          <w:szCs w:val="24"/>
        </w:rPr>
        <w:t xml:space="preserve"> on METH-induced gastrointestinal alterations, suggesting its influence on intestinal transit and mucosal integrity. While these results advance our understanding of its biological interactions, further research is essential to elucidate the underlying mechanisms and evaluate its translational relevance.</w:t>
      </w:r>
      <w:r w:rsidR="00112934" w:rsidRPr="00112934">
        <w:t xml:space="preserve"> </w:t>
      </w:r>
      <w:r w:rsidR="00112934" w:rsidRPr="00112934">
        <w:rPr>
          <w:rFonts w:ascii="Times New Roman" w:hAnsi="Times New Roman" w:cs="Times New Roman"/>
          <w:sz w:val="24"/>
          <w:szCs w:val="24"/>
        </w:rPr>
        <w:t xml:space="preserve">In summary, </w:t>
      </w:r>
      <w:r w:rsidR="00112934" w:rsidRPr="00112934">
        <w:rPr>
          <w:rFonts w:ascii="Times New Roman" w:hAnsi="Times New Roman" w:cs="Times New Roman"/>
          <w:i/>
          <w:sz w:val="24"/>
          <w:szCs w:val="24"/>
        </w:rPr>
        <w:t xml:space="preserve">Ginkgo </w:t>
      </w:r>
      <w:proofErr w:type="spellStart"/>
      <w:r w:rsidR="00112934" w:rsidRPr="00112934">
        <w:rPr>
          <w:rFonts w:ascii="Times New Roman" w:hAnsi="Times New Roman" w:cs="Times New Roman"/>
          <w:i/>
          <w:sz w:val="24"/>
          <w:szCs w:val="24"/>
        </w:rPr>
        <w:t>biloba</w:t>
      </w:r>
      <w:proofErr w:type="spellEnd"/>
      <w:r w:rsidR="00112934" w:rsidRPr="00112934">
        <w:rPr>
          <w:rFonts w:ascii="Times New Roman" w:hAnsi="Times New Roman" w:cs="Times New Roman"/>
          <w:sz w:val="24"/>
          <w:szCs w:val="24"/>
        </w:rPr>
        <w:t xml:space="preserve"> demonstrated significant protective effects against methamphetamine-induced gastric mucosal injury, acid </w:t>
      </w:r>
      <w:proofErr w:type="spellStart"/>
      <w:r w:rsidR="00112934" w:rsidRPr="00112934">
        <w:rPr>
          <w:rFonts w:ascii="Times New Roman" w:hAnsi="Times New Roman" w:cs="Times New Roman"/>
          <w:sz w:val="24"/>
          <w:szCs w:val="24"/>
        </w:rPr>
        <w:t>hypersecretion</w:t>
      </w:r>
      <w:proofErr w:type="spellEnd"/>
      <w:r w:rsidR="00112934" w:rsidRPr="00112934">
        <w:rPr>
          <w:rFonts w:ascii="Times New Roman" w:hAnsi="Times New Roman" w:cs="Times New Roman"/>
          <w:sz w:val="24"/>
          <w:szCs w:val="24"/>
        </w:rPr>
        <w:t xml:space="preserve">, and </w:t>
      </w:r>
      <w:proofErr w:type="spellStart"/>
      <w:r w:rsidR="00112934" w:rsidRPr="00112934">
        <w:rPr>
          <w:rFonts w:ascii="Times New Roman" w:hAnsi="Times New Roman" w:cs="Times New Roman"/>
          <w:sz w:val="24"/>
          <w:szCs w:val="24"/>
        </w:rPr>
        <w:t>histopathological</w:t>
      </w:r>
      <w:proofErr w:type="spellEnd"/>
      <w:r w:rsidR="00112934" w:rsidRPr="00112934">
        <w:rPr>
          <w:rFonts w:ascii="Times New Roman" w:hAnsi="Times New Roman" w:cs="Times New Roman"/>
          <w:sz w:val="24"/>
          <w:szCs w:val="24"/>
        </w:rPr>
        <w:t xml:space="preserve"> alterations. The observed reduction in both physiological and histological damage suggests that </w:t>
      </w:r>
      <w:r w:rsidR="00112934" w:rsidRPr="00112934">
        <w:rPr>
          <w:rFonts w:ascii="Times New Roman" w:hAnsi="Times New Roman" w:cs="Times New Roman"/>
          <w:i/>
          <w:sz w:val="24"/>
          <w:szCs w:val="24"/>
        </w:rPr>
        <w:t xml:space="preserve">Ginkgo </w:t>
      </w:r>
      <w:proofErr w:type="spellStart"/>
      <w:r w:rsidR="00112934" w:rsidRPr="00112934">
        <w:rPr>
          <w:rFonts w:ascii="Times New Roman" w:hAnsi="Times New Roman" w:cs="Times New Roman"/>
          <w:i/>
          <w:sz w:val="24"/>
          <w:szCs w:val="24"/>
        </w:rPr>
        <w:t>biloba</w:t>
      </w:r>
      <w:proofErr w:type="spellEnd"/>
      <w:r w:rsidR="00112934" w:rsidRPr="00112934">
        <w:rPr>
          <w:rFonts w:ascii="Times New Roman" w:hAnsi="Times New Roman" w:cs="Times New Roman"/>
          <w:sz w:val="24"/>
          <w:szCs w:val="24"/>
        </w:rPr>
        <w:t xml:space="preserve"> may serve as a promising therapeutic supplement. Future studies are warranted to explore its clinical potential and underlying mechanisms in broader physiological contexts.</w:t>
      </w:r>
    </w:p>
    <w:p w14:paraId="54FF4E4D" w14:textId="77777777" w:rsidR="00F92321" w:rsidRDefault="00F92321">
      <w:pPr>
        <w:rPr>
          <w:rFonts w:ascii="Times New Roman" w:hAnsi="Times New Roman" w:cs="Times New Roman"/>
          <w:b/>
        </w:rPr>
      </w:pPr>
      <w:r>
        <w:rPr>
          <w:rFonts w:ascii="Times New Roman" w:hAnsi="Times New Roman" w:cs="Times New Roman"/>
          <w:b/>
        </w:rPr>
        <w:br w:type="page"/>
      </w:r>
    </w:p>
    <w:p w14:paraId="0E6FE101" w14:textId="77777777" w:rsidR="009807D9" w:rsidRPr="009C5487" w:rsidRDefault="009807D9" w:rsidP="009807D9">
      <w:pPr>
        <w:rPr>
          <w:rFonts w:ascii="Calibri" w:eastAsia="Calibri" w:hAnsi="Calibri" w:cs="Times New Roman"/>
          <w:kern w:val="2"/>
          <w:highlight w:val="yellow"/>
        </w:rPr>
      </w:pPr>
      <w:bookmarkStart w:id="6" w:name="_Hlk180402183"/>
      <w:bookmarkStart w:id="7" w:name="_Hlk183680988"/>
      <w:r w:rsidRPr="009C5487">
        <w:rPr>
          <w:rFonts w:ascii="Calibri" w:eastAsia="Calibri" w:hAnsi="Calibri" w:cs="Times New Roman"/>
          <w:kern w:val="2"/>
          <w:highlight w:val="yellow"/>
        </w:rPr>
        <w:lastRenderedPageBreak/>
        <w:t>Disclaimer (Artificial intelligence)</w:t>
      </w:r>
    </w:p>
    <w:p w14:paraId="75178E85" w14:textId="77777777" w:rsidR="009807D9" w:rsidRPr="009C5487" w:rsidRDefault="009807D9" w:rsidP="009807D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23C37622" w14:textId="77777777" w:rsidR="009807D9" w:rsidRPr="009C5487" w:rsidRDefault="009807D9" w:rsidP="009807D9">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14:paraId="1C97CCE5" w14:textId="77777777" w:rsidR="009807D9" w:rsidRPr="009C5487" w:rsidRDefault="009807D9" w:rsidP="009807D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069C3F2B" w14:textId="77777777" w:rsidR="009807D9" w:rsidRPr="009C5487" w:rsidRDefault="009807D9" w:rsidP="009807D9">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32FFD29" w14:textId="77777777" w:rsidR="009807D9" w:rsidRPr="009C5487" w:rsidRDefault="009807D9" w:rsidP="009807D9">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530FCBA2" w14:textId="77777777" w:rsidR="009807D9" w:rsidRPr="009C5487" w:rsidRDefault="009807D9" w:rsidP="009807D9">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2003F978" w14:textId="77777777" w:rsidR="009807D9" w:rsidRPr="009C5487" w:rsidRDefault="009807D9" w:rsidP="009807D9">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53862E7C" w14:textId="77777777" w:rsidR="009807D9" w:rsidRPr="009C5487" w:rsidRDefault="009807D9" w:rsidP="009807D9">
      <w:pPr>
        <w:rPr>
          <w:rFonts w:ascii="Calibri" w:eastAsia="Calibri" w:hAnsi="Calibri" w:cs="Times New Roman"/>
          <w:kern w:val="2"/>
        </w:rPr>
      </w:pPr>
      <w:r w:rsidRPr="009C5487">
        <w:rPr>
          <w:rFonts w:ascii="Calibri" w:eastAsia="Calibri" w:hAnsi="Calibri" w:cs="Times New Roman"/>
          <w:kern w:val="2"/>
          <w:highlight w:val="yellow"/>
        </w:rPr>
        <w:t>3.</w:t>
      </w:r>
    </w:p>
    <w:bookmarkEnd w:id="6"/>
    <w:bookmarkEnd w:id="7"/>
    <w:p w14:paraId="3AA95D5F" w14:textId="77777777" w:rsidR="009807D9" w:rsidRDefault="009807D9" w:rsidP="00F92321">
      <w:pPr>
        <w:spacing w:before="100" w:beforeAutospacing="1" w:after="100" w:afterAutospacing="1" w:line="360" w:lineRule="auto"/>
        <w:jc w:val="both"/>
        <w:rPr>
          <w:rFonts w:ascii="Times New Roman" w:hAnsi="Times New Roman" w:cs="Times New Roman"/>
          <w:b/>
        </w:rPr>
      </w:pPr>
    </w:p>
    <w:p w14:paraId="616BC580" w14:textId="0F549373" w:rsidR="00074982" w:rsidRPr="00074982" w:rsidRDefault="00074982" w:rsidP="00F92321">
      <w:p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b/>
        </w:rPr>
        <w:t>References:</w:t>
      </w:r>
    </w:p>
    <w:p w14:paraId="7E849E0E"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proofErr w:type="spellStart"/>
      <w:r w:rsidRPr="00074982">
        <w:rPr>
          <w:rFonts w:ascii="Times New Roman" w:hAnsi="Times New Roman" w:cs="Times New Roman"/>
        </w:rPr>
        <w:t>Panenka</w:t>
      </w:r>
      <w:proofErr w:type="spellEnd"/>
      <w:r w:rsidRPr="00074982">
        <w:rPr>
          <w:rFonts w:ascii="Times New Roman" w:hAnsi="Times New Roman" w:cs="Times New Roman"/>
        </w:rPr>
        <w:t xml:space="preserve"> WJ, </w:t>
      </w:r>
      <w:proofErr w:type="spellStart"/>
      <w:r w:rsidRPr="00074982">
        <w:rPr>
          <w:rFonts w:ascii="Times New Roman" w:hAnsi="Times New Roman" w:cs="Times New Roman"/>
        </w:rPr>
        <w:t>Procyshyn</w:t>
      </w:r>
      <w:proofErr w:type="spellEnd"/>
      <w:r w:rsidRPr="00074982">
        <w:rPr>
          <w:rFonts w:ascii="Times New Roman" w:hAnsi="Times New Roman" w:cs="Times New Roman"/>
        </w:rPr>
        <w:t xml:space="preserve"> RM, </w:t>
      </w:r>
      <w:proofErr w:type="spellStart"/>
      <w:r w:rsidRPr="00074982">
        <w:rPr>
          <w:rFonts w:ascii="Times New Roman" w:hAnsi="Times New Roman" w:cs="Times New Roman"/>
        </w:rPr>
        <w:t>Lecomte</w:t>
      </w:r>
      <w:proofErr w:type="spellEnd"/>
      <w:r w:rsidRPr="00074982">
        <w:rPr>
          <w:rFonts w:ascii="Times New Roman" w:hAnsi="Times New Roman" w:cs="Times New Roman"/>
        </w:rPr>
        <w:t xml:space="preserve"> T, et al (2013) Methamphetamine use: A comprehensive review of molecular, preclinical and clinical findings. Drug Alcohol Depend 129:167-79.</w:t>
      </w:r>
    </w:p>
    <w:p w14:paraId="40B08821"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Prakash, M.D., </w:t>
      </w:r>
      <w:proofErr w:type="spellStart"/>
      <w:r w:rsidRPr="00074982">
        <w:rPr>
          <w:rFonts w:ascii="Times New Roman" w:hAnsi="Times New Roman" w:cs="Times New Roman"/>
        </w:rPr>
        <w:t>Tangalakis</w:t>
      </w:r>
      <w:proofErr w:type="spellEnd"/>
      <w:r w:rsidRPr="00074982">
        <w:rPr>
          <w:rFonts w:ascii="Times New Roman" w:hAnsi="Times New Roman" w:cs="Times New Roman"/>
        </w:rPr>
        <w:t xml:space="preserve">, K., </w:t>
      </w:r>
      <w:proofErr w:type="spellStart"/>
      <w:r w:rsidRPr="00074982">
        <w:rPr>
          <w:rFonts w:ascii="Times New Roman" w:hAnsi="Times New Roman" w:cs="Times New Roman"/>
        </w:rPr>
        <w:t>Antonipillai</w:t>
      </w:r>
      <w:proofErr w:type="spellEnd"/>
      <w:r w:rsidRPr="00074982">
        <w:rPr>
          <w:rFonts w:ascii="Times New Roman" w:hAnsi="Times New Roman" w:cs="Times New Roman"/>
        </w:rPr>
        <w:t xml:space="preserve">, J., Stojanovska, L., </w:t>
      </w:r>
      <w:proofErr w:type="spellStart"/>
      <w:r w:rsidRPr="00074982">
        <w:rPr>
          <w:rFonts w:ascii="Times New Roman" w:hAnsi="Times New Roman" w:cs="Times New Roman"/>
        </w:rPr>
        <w:t>Nurgali</w:t>
      </w:r>
      <w:proofErr w:type="spellEnd"/>
      <w:r w:rsidRPr="00074982">
        <w:rPr>
          <w:rFonts w:ascii="Times New Roman" w:hAnsi="Times New Roman" w:cs="Times New Roman"/>
        </w:rPr>
        <w:t>, K. And Apostolopoulos, V. (2017). Methamphetamine: effects on the brain, gut, and immune system. Pharmacological research; 120: 60-67.</w:t>
      </w:r>
    </w:p>
    <w:p w14:paraId="4F633C5E"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Salamanca SA, </w:t>
      </w:r>
      <w:proofErr w:type="spellStart"/>
      <w:r w:rsidRPr="00074982">
        <w:rPr>
          <w:rFonts w:ascii="Times New Roman" w:hAnsi="Times New Roman" w:cs="Times New Roman"/>
        </w:rPr>
        <w:t>Sorrentino</w:t>
      </w:r>
      <w:proofErr w:type="spellEnd"/>
      <w:r w:rsidRPr="00074982">
        <w:rPr>
          <w:rFonts w:ascii="Times New Roman" w:hAnsi="Times New Roman" w:cs="Times New Roman"/>
        </w:rPr>
        <w:t xml:space="preserve"> EE, </w:t>
      </w:r>
      <w:proofErr w:type="spellStart"/>
      <w:r w:rsidRPr="00074982">
        <w:rPr>
          <w:rFonts w:ascii="Times New Roman" w:hAnsi="Times New Roman" w:cs="Times New Roman"/>
        </w:rPr>
        <w:t>Nosanchuk</w:t>
      </w:r>
      <w:proofErr w:type="spellEnd"/>
      <w:r w:rsidRPr="00074982">
        <w:rPr>
          <w:rFonts w:ascii="Times New Roman" w:hAnsi="Times New Roman" w:cs="Times New Roman"/>
        </w:rPr>
        <w:t xml:space="preserve"> JD and Martinez LR (2015) Impact of methamphetamine on infection and immunity. Front </w:t>
      </w:r>
      <w:proofErr w:type="spellStart"/>
      <w:r w:rsidRPr="00074982">
        <w:rPr>
          <w:rFonts w:ascii="Times New Roman" w:hAnsi="Times New Roman" w:cs="Times New Roman"/>
        </w:rPr>
        <w:t>Neurosci</w:t>
      </w:r>
      <w:proofErr w:type="spellEnd"/>
      <w:r w:rsidRPr="00074982">
        <w:rPr>
          <w:rFonts w:ascii="Times New Roman" w:hAnsi="Times New Roman" w:cs="Times New Roman"/>
        </w:rPr>
        <w:t xml:space="preserve"> 8:445 </w:t>
      </w:r>
      <w:proofErr w:type="spellStart"/>
      <w:r w:rsidRPr="00074982">
        <w:rPr>
          <w:rFonts w:ascii="Times New Roman" w:hAnsi="Times New Roman" w:cs="Times New Roman"/>
        </w:rPr>
        <w:t>doi</w:t>
      </w:r>
      <w:proofErr w:type="spellEnd"/>
      <w:r w:rsidRPr="00074982">
        <w:rPr>
          <w:rFonts w:ascii="Times New Roman" w:hAnsi="Times New Roman" w:cs="Times New Roman"/>
        </w:rPr>
        <w:t>: 10.3389/fnins.2014.00445.</w:t>
      </w:r>
    </w:p>
    <w:p w14:paraId="2D0FCEF2"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SAMHSA. (2023). Substance Abuse Centre for </w:t>
      </w:r>
      <w:proofErr w:type="spellStart"/>
      <w:r w:rsidRPr="00074982">
        <w:rPr>
          <w:rFonts w:ascii="Times New Roman" w:hAnsi="Times New Roman" w:cs="Times New Roman"/>
        </w:rPr>
        <w:t>Behavioural</w:t>
      </w:r>
      <w:proofErr w:type="spellEnd"/>
      <w:r w:rsidRPr="00074982">
        <w:rPr>
          <w:rFonts w:ascii="Times New Roman" w:hAnsi="Times New Roman" w:cs="Times New Roman"/>
        </w:rPr>
        <w:t xml:space="preserve"> Health Statistics and Quality. Results from the 2021 National Survey on Drug Use and Health: Detailed Tables. Accessed April 2024</w:t>
      </w:r>
    </w:p>
    <w:p w14:paraId="5282E9DD"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proofErr w:type="spellStart"/>
      <w:r w:rsidRPr="00074982">
        <w:rPr>
          <w:rFonts w:ascii="Times New Roman" w:hAnsi="Times New Roman" w:cs="Times New Roman"/>
        </w:rPr>
        <w:t>Chigbu</w:t>
      </w:r>
      <w:proofErr w:type="spellEnd"/>
      <w:r w:rsidRPr="00074982">
        <w:rPr>
          <w:rFonts w:ascii="Times New Roman" w:hAnsi="Times New Roman" w:cs="Times New Roman"/>
        </w:rPr>
        <w:t xml:space="preserve"> E, </w:t>
      </w:r>
      <w:proofErr w:type="spellStart"/>
      <w:r w:rsidRPr="00074982">
        <w:rPr>
          <w:rFonts w:ascii="Times New Roman" w:hAnsi="Times New Roman" w:cs="Times New Roman"/>
        </w:rPr>
        <w:t>Oguzie</w:t>
      </w:r>
      <w:proofErr w:type="spellEnd"/>
      <w:r w:rsidRPr="00074982">
        <w:rPr>
          <w:rFonts w:ascii="Times New Roman" w:hAnsi="Times New Roman" w:cs="Times New Roman"/>
        </w:rPr>
        <w:t xml:space="preserve"> A, Augustine N, </w:t>
      </w:r>
      <w:proofErr w:type="spellStart"/>
      <w:r w:rsidRPr="00074982">
        <w:rPr>
          <w:rFonts w:ascii="Times New Roman" w:hAnsi="Times New Roman" w:cs="Times New Roman"/>
        </w:rPr>
        <w:t>Ngwaka</w:t>
      </w:r>
      <w:proofErr w:type="spellEnd"/>
      <w:r w:rsidRPr="00074982">
        <w:rPr>
          <w:rFonts w:ascii="Times New Roman" w:hAnsi="Times New Roman" w:cs="Times New Roman"/>
        </w:rPr>
        <w:t xml:space="preserve"> L, </w:t>
      </w:r>
      <w:proofErr w:type="spellStart"/>
      <w:r w:rsidRPr="00074982">
        <w:rPr>
          <w:rFonts w:ascii="Times New Roman" w:hAnsi="Times New Roman" w:cs="Times New Roman"/>
        </w:rPr>
        <w:t>Onu</w:t>
      </w:r>
      <w:proofErr w:type="spellEnd"/>
      <w:r w:rsidRPr="00074982">
        <w:rPr>
          <w:rFonts w:ascii="Times New Roman" w:hAnsi="Times New Roman" w:cs="Times New Roman"/>
        </w:rPr>
        <w:t xml:space="preserve"> E (2022) Effects of Cognitive Restructuring and </w:t>
      </w:r>
      <w:proofErr w:type="spellStart"/>
      <w:r w:rsidRPr="00074982">
        <w:rPr>
          <w:rFonts w:ascii="Times New Roman" w:hAnsi="Times New Roman" w:cs="Times New Roman"/>
        </w:rPr>
        <w:t>Self Management</w:t>
      </w:r>
      <w:proofErr w:type="spellEnd"/>
      <w:r w:rsidRPr="00074982">
        <w:rPr>
          <w:rFonts w:ascii="Times New Roman" w:hAnsi="Times New Roman" w:cs="Times New Roman"/>
        </w:rPr>
        <w:t xml:space="preserve"> Techniques on Methamphetamine Abuse among Youth in Enugu State, Nigeria. Human Nature Journal of Social Sciences 3(3):335-345</w:t>
      </w:r>
    </w:p>
    <w:p w14:paraId="035295DC"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Blaker, A.L., &amp; Yamamoto, B.K. (2018). Methamphetamine-Induced Brain Injury and Alcohol Drinking. Journal of Neuroimmune Pharmacology, 13(1), 53–63. doi:10.1007/s11481-017-9764-3.</w:t>
      </w:r>
    </w:p>
    <w:p w14:paraId="124BD2D8"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proofErr w:type="spellStart"/>
      <w:r w:rsidRPr="00074982">
        <w:rPr>
          <w:rFonts w:ascii="Times New Roman" w:hAnsi="Times New Roman" w:cs="Times New Roman"/>
        </w:rPr>
        <w:lastRenderedPageBreak/>
        <w:t>Chomchai</w:t>
      </w:r>
      <w:proofErr w:type="spellEnd"/>
      <w:r w:rsidRPr="00074982">
        <w:rPr>
          <w:rFonts w:ascii="Times New Roman" w:hAnsi="Times New Roman" w:cs="Times New Roman"/>
        </w:rPr>
        <w:t xml:space="preserve"> C, </w:t>
      </w:r>
      <w:proofErr w:type="spellStart"/>
      <w:r w:rsidRPr="00074982">
        <w:rPr>
          <w:rFonts w:ascii="Times New Roman" w:hAnsi="Times New Roman" w:cs="Times New Roman"/>
        </w:rPr>
        <w:t>Chomchai</w:t>
      </w:r>
      <w:proofErr w:type="spellEnd"/>
      <w:r w:rsidRPr="00074982">
        <w:rPr>
          <w:rFonts w:ascii="Times New Roman" w:hAnsi="Times New Roman" w:cs="Times New Roman"/>
        </w:rPr>
        <w:t xml:space="preserve"> S (2015) Global patterns of methamphetamine use. </w:t>
      </w:r>
      <w:proofErr w:type="spellStart"/>
      <w:r w:rsidRPr="00074982">
        <w:rPr>
          <w:rFonts w:ascii="Times New Roman" w:hAnsi="Times New Roman" w:cs="Times New Roman"/>
        </w:rPr>
        <w:t>Curr</w:t>
      </w:r>
      <w:proofErr w:type="spellEnd"/>
      <w:r w:rsidRPr="00074982">
        <w:rPr>
          <w:rFonts w:ascii="Times New Roman" w:hAnsi="Times New Roman" w:cs="Times New Roman"/>
        </w:rPr>
        <w:t xml:space="preserve"> </w:t>
      </w:r>
      <w:proofErr w:type="spellStart"/>
      <w:r w:rsidRPr="00074982">
        <w:rPr>
          <w:rFonts w:ascii="Times New Roman" w:hAnsi="Times New Roman" w:cs="Times New Roman"/>
        </w:rPr>
        <w:t>Opin</w:t>
      </w:r>
      <w:proofErr w:type="spellEnd"/>
      <w:r w:rsidRPr="00074982">
        <w:rPr>
          <w:rFonts w:ascii="Times New Roman" w:hAnsi="Times New Roman" w:cs="Times New Roman"/>
        </w:rPr>
        <w:t xml:space="preserve"> Psychiatry 28:269-74.</w:t>
      </w:r>
    </w:p>
    <w:p w14:paraId="01E46B9C"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Bearn, J. and O'Brien, M. (2015). Chapter Ten - Addicted to Euphoria: The History, Clinical Presentation, and Management of Party Drug Misuse.  International Review of Neurobiology. Vol 120 Academic Press pp; 205–33.</w:t>
      </w:r>
    </w:p>
    <w:p w14:paraId="33010090"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Okonkwo CO (2022) The Relevance of Rational Emotive </w:t>
      </w:r>
      <w:proofErr w:type="spellStart"/>
      <w:r w:rsidRPr="00074982">
        <w:rPr>
          <w:rFonts w:ascii="Times New Roman" w:hAnsi="Times New Roman" w:cs="Times New Roman"/>
        </w:rPr>
        <w:t>Behavioural</w:t>
      </w:r>
      <w:proofErr w:type="spellEnd"/>
      <w:r w:rsidRPr="00074982">
        <w:rPr>
          <w:rFonts w:ascii="Times New Roman" w:hAnsi="Times New Roman" w:cs="Times New Roman"/>
        </w:rPr>
        <w:t xml:space="preserve"> Therapy on The Reduction of Crystal Methamphetamine (</w:t>
      </w:r>
      <w:proofErr w:type="spellStart"/>
      <w:r w:rsidRPr="00074982">
        <w:rPr>
          <w:rFonts w:ascii="Times New Roman" w:hAnsi="Times New Roman" w:cs="Times New Roman"/>
        </w:rPr>
        <w:t>Mkpuru</w:t>
      </w:r>
      <w:proofErr w:type="spellEnd"/>
      <w:r w:rsidRPr="00074982">
        <w:rPr>
          <w:rFonts w:ascii="Times New Roman" w:hAnsi="Times New Roman" w:cs="Times New Roman"/>
        </w:rPr>
        <w:t xml:space="preserve"> </w:t>
      </w:r>
      <w:proofErr w:type="spellStart"/>
      <w:r w:rsidRPr="00074982">
        <w:rPr>
          <w:rFonts w:ascii="Times New Roman" w:hAnsi="Times New Roman" w:cs="Times New Roman"/>
        </w:rPr>
        <w:t>Mmiri</w:t>
      </w:r>
      <w:proofErr w:type="spellEnd"/>
      <w:r w:rsidRPr="00074982">
        <w:rPr>
          <w:rFonts w:ascii="Times New Roman" w:hAnsi="Times New Roman" w:cs="Times New Roman"/>
        </w:rPr>
        <w:t>) Use Among the Youth in Nigeria. International Journal for Psychotherapy in Africa 7(1)</w:t>
      </w:r>
    </w:p>
    <w:p w14:paraId="487F5354"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Hussain, F., </w:t>
      </w:r>
      <w:proofErr w:type="spellStart"/>
      <w:r w:rsidRPr="00074982">
        <w:rPr>
          <w:rFonts w:ascii="Times New Roman" w:hAnsi="Times New Roman" w:cs="Times New Roman"/>
        </w:rPr>
        <w:t>Rw</w:t>
      </w:r>
      <w:proofErr w:type="spellEnd"/>
      <w:r w:rsidRPr="00074982">
        <w:rPr>
          <w:rFonts w:ascii="Times New Roman" w:hAnsi="Times New Roman" w:cs="Times New Roman"/>
        </w:rPr>
        <w:t>, F. and Kl, P.B. (2012). Drug abuse identification and pain management in dental patients: a case study and literature review. PubMed; 60 (4): 334–337.</w:t>
      </w:r>
    </w:p>
    <w:p w14:paraId="57ACA524"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Kim, B., Yun, J. and Park, B. (2020). Methamphetamine-induced neuronal damage: neurotoxicity and neuroinflammation. Biomolecules &amp; therapeutics 28(5): 381.</w:t>
      </w:r>
    </w:p>
    <w:p w14:paraId="154837F0"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Ahmadi, I. and </w:t>
      </w:r>
      <w:proofErr w:type="spellStart"/>
      <w:r w:rsidRPr="00074982">
        <w:rPr>
          <w:rFonts w:ascii="Times New Roman" w:hAnsi="Times New Roman" w:cs="Times New Roman"/>
        </w:rPr>
        <w:t>Foruozandeh</w:t>
      </w:r>
      <w:proofErr w:type="spellEnd"/>
      <w:r w:rsidRPr="00074982">
        <w:rPr>
          <w:rFonts w:ascii="Times New Roman" w:hAnsi="Times New Roman" w:cs="Times New Roman"/>
        </w:rPr>
        <w:t xml:space="preserve">, H. (2020). Evaluation of the multi-organs’ toxicity of methamphetamine in rats. </w:t>
      </w:r>
      <w:proofErr w:type="spellStart"/>
      <w:r w:rsidRPr="00074982">
        <w:rPr>
          <w:rFonts w:ascii="Times New Roman" w:hAnsi="Times New Roman" w:cs="Times New Roman"/>
        </w:rPr>
        <w:t>Toxicologie</w:t>
      </w:r>
      <w:proofErr w:type="spellEnd"/>
      <w:r w:rsidRPr="00074982">
        <w:rPr>
          <w:rFonts w:ascii="Times New Roman" w:hAnsi="Times New Roman" w:cs="Times New Roman"/>
        </w:rPr>
        <w:t xml:space="preserve"> Analysis </w:t>
      </w:r>
      <w:proofErr w:type="spellStart"/>
      <w:r w:rsidRPr="00074982">
        <w:rPr>
          <w:rFonts w:ascii="Times New Roman" w:hAnsi="Times New Roman" w:cs="Times New Roman"/>
        </w:rPr>
        <w:t>etiqueet</w:t>
      </w:r>
      <w:proofErr w:type="spellEnd"/>
      <w:r w:rsidRPr="00074982">
        <w:rPr>
          <w:rFonts w:ascii="Times New Roman" w:hAnsi="Times New Roman" w:cs="Times New Roman"/>
        </w:rPr>
        <w:t xml:space="preserve"> Clinique; 32 (1): 4-11.</w:t>
      </w:r>
    </w:p>
    <w:p w14:paraId="0E96AE35"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proofErr w:type="spellStart"/>
      <w:r w:rsidRPr="00074982">
        <w:rPr>
          <w:rFonts w:ascii="Times New Roman" w:hAnsi="Times New Roman" w:cs="Times New Roman"/>
        </w:rPr>
        <w:t>Koriem</w:t>
      </w:r>
      <w:proofErr w:type="spellEnd"/>
      <w:r w:rsidRPr="00074982">
        <w:rPr>
          <w:rFonts w:ascii="Times New Roman" w:hAnsi="Times New Roman" w:cs="Times New Roman"/>
        </w:rPr>
        <w:t xml:space="preserve"> KMM, </w:t>
      </w:r>
      <w:proofErr w:type="spellStart"/>
      <w:r w:rsidRPr="00074982">
        <w:rPr>
          <w:rFonts w:ascii="Times New Roman" w:hAnsi="Times New Roman" w:cs="Times New Roman"/>
        </w:rPr>
        <w:t>Abdelhamid</w:t>
      </w:r>
      <w:proofErr w:type="spellEnd"/>
      <w:r w:rsidRPr="00074982">
        <w:rPr>
          <w:rFonts w:ascii="Times New Roman" w:hAnsi="Times New Roman" w:cs="Times New Roman"/>
        </w:rPr>
        <w:t xml:space="preserve"> AM, Younes HF (2013) Caffeic acid protects tissue antioxidants and DNA content in methamphetamine induced tissue toxicity in Sprague Dawley rats. Toxicology Mechanisms and Methods 23(2):134–143</w:t>
      </w:r>
    </w:p>
    <w:p w14:paraId="45A5EDB0"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Al‐</w:t>
      </w:r>
      <w:proofErr w:type="spellStart"/>
      <w:r w:rsidRPr="00074982">
        <w:rPr>
          <w:rFonts w:ascii="Times New Roman" w:hAnsi="Times New Roman" w:cs="Times New Roman"/>
        </w:rPr>
        <w:t>Shammry</w:t>
      </w:r>
      <w:proofErr w:type="spellEnd"/>
      <w:r w:rsidRPr="00074982">
        <w:rPr>
          <w:rFonts w:ascii="Times New Roman" w:hAnsi="Times New Roman" w:cs="Times New Roman"/>
        </w:rPr>
        <w:t xml:space="preserve"> AA, Yasser A, Refaat A (2024) Death from methamphetamine intoxication in a body stuffer. Journal of forensic sciences 69(1):365-370</w:t>
      </w:r>
    </w:p>
    <w:p w14:paraId="099C48E4"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Glasner-Edwards S, Mooney LJ (2014) Methamphetamine psychosis: epidemiology and management. CNS Drugs 28:1115-26</w:t>
      </w:r>
    </w:p>
    <w:p w14:paraId="4BA4FF09"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Talreja, S. and Tiwari, D.S. (2023). An In-Depth Exploration of Ginkgo Biloba: A Review. Int J in Pharm Sci 1(7): 326-334.</w:t>
      </w:r>
    </w:p>
    <w:p w14:paraId="13D8DC8E"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Müller, W.E., Eckert, A., Eckert, G.P., Fink, H., Friedland, K., Gauthier, S. and Möller, H.J. (2019). Therapeutic efficacy of the Ginkgo special extract EGb761® within </w:t>
      </w:r>
      <w:r w:rsidRPr="00074982">
        <w:rPr>
          <w:rFonts w:ascii="Times New Roman" w:hAnsi="Times New Roman" w:cs="Times New Roman"/>
        </w:rPr>
        <w:tab/>
        <w:t>the framework of the mitochondrial cascade hypothesis of Alzheimer’s disease. The World Journal of Biological Psychiatry 20(3): 173-189.</w:t>
      </w:r>
    </w:p>
    <w:p w14:paraId="0191F6BA"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Almeida, E.R. (2009). </w:t>
      </w:r>
      <w:proofErr w:type="spellStart"/>
      <w:r w:rsidRPr="00074982">
        <w:rPr>
          <w:rFonts w:ascii="Times New Roman" w:hAnsi="Times New Roman" w:cs="Times New Roman"/>
        </w:rPr>
        <w:t>Plantasadaptógenas</w:t>
      </w:r>
      <w:proofErr w:type="spellEnd"/>
      <w:r w:rsidRPr="00074982">
        <w:rPr>
          <w:rFonts w:ascii="Times New Roman" w:hAnsi="Times New Roman" w:cs="Times New Roman"/>
        </w:rPr>
        <w:t xml:space="preserve"> e com </w:t>
      </w:r>
      <w:proofErr w:type="spellStart"/>
      <w:r w:rsidRPr="00074982">
        <w:rPr>
          <w:rFonts w:ascii="Times New Roman" w:hAnsi="Times New Roman" w:cs="Times New Roman"/>
        </w:rPr>
        <w:t>ação</w:t>
      </w:r>
      <w:proofErr w:type="spellEnd"/>
      <w:r w:rsidRPr="00074982">
        <w:rPr>
          <w:rFonts w:ascii="Times New Roman" w:hAnsi="Times New Roman" w:cs="Times New Roman"/>
        </w:rPr>
        <w:t xml:space="preserve"> no </w:t>
      </w:r>
      <w:proofErr w:type="spellStart"/>
      <w:r w:rsidRPr="00074982">
        <w:rPr>
          <w:rFonts w:ascii="Times New Roman" w:hAnsi="Times New Roman" w:cs="Times New Roman"/>
        </w:rPr>
        <w:t>sistemanervoso</w:t>
      </w:r>
      <w:proofErr w:type="spellEnd"/>
      <w:r w:rsidRPr="00074982">
        <w:rPr>
          <w:rFonts w:ascii="Times New Roman" w:hAnsi="Times New Roman" w:cs="Times New Roman"/>
        </w:rPr>
        <w:t xml:space="preserve"> central. São Paulo: </w:t>
      </w:r>
      <w:proofErr w:type="spellStart"/>
      <w:r w:rsidRPr="00074982">
        <w:rPr>
          <w:rFonts w:ascii="Times New Roman" w:hAnsi="Times New Roman" w:cs="Times New Roman"/>
        </w:rPr>
        <w:t>Biblioteca</w:t>
      </w:r>
      <w:proofErr w:type="spellEnd"/>
      <w:r w:rsidRPr="00074982">
        <w:rPr>
          <w:rFonts w:ascii="Times New Roman" w:hAnsi="Times New Roman" w:cs="Times New Roman"/>
        </w:rPr>
        <w:t>, 24.</w:t>
      </w:r>
    </w:p>
    <w:p w14:paraId="57B2E774"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Chen, S., Wang, Z., Huang, Y., Ouyang, K., &amp; Zhang, Y. (2021). Overview and Recent Progress on the Biosynthesis and Regulation of Flavonoids in Ginkgo biloba. Frontiers in Plant Science, 12, 750444.</w:t>
      </w:r>
    </w:p>
    <w:p w14:paraId="05663B97"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proofErr w:type="spellStart"/>
      <w:r w:rsidRPr="00074982">
        <w:rPr>
          <w:rFonts w:ascii="Times New Roman" w:hAnsi="Times New Roman" w:cs="Times New Roman"/>
        </w:rPr>
        <w:t>Okhti</w:t>
      </w:r>
      <w:proofErr w:type="spellEnd"/>
      <w:r w:rsidRPr="00074982">
        <w:rPr>
          <w:rFonts w:ascii="Times New Roman" w:hAnsi="Times New Roman" w:cs="Times New Roman"/>
        </w:rPr>
        <w:t xml:space="preserve"> ZA, </w:t>
      </w:r>
      <w:proofErr w:type="spellStart"/>
      <w:r w:rsidRPr="00074982">
        <w:rPr>
          <w:rFonts w:ascii="Times New Roman" w:hAnsi="Times New Roman" w:cs="Times New Roman"/>
        </w:rPr>
        <w:t>Abdalah</w:t>
      </w:r>
      <w:proofErr w:type="spellEnd"/>
      <w:r w:rsidRPr="00074982">
        <w:rPr>
          <w:rFonts w:ascii="Times New Roman" w:hAnsi="Times New Roman" w:cs="Times New Roman"/>
        </w:rPr>
        <w:t xml:space="preserve"> ME, Hanna DB (2021) Phytochemical structure and Biological Effect of Ginkgo biloba leaves: A review. International Journal of Pharmacological Research 13(2)</w:t>
      </w:r>
    </w:p>
    <w:p w14:paraId="3E08C4C1"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proofErr w:type="spellStart"/>
      <w:r w:rsidRPr="00074982">
        <w:rPr>
          <w:rFonts w:ascii="Times New Roman" w:hAnsi="Times New Roman" w:cs="Times New Roman"/>
        </w:rPr>
        <w:lastRenderedPageBreak/>
        <w:t>Yalçın</w:t>
      </w:r>
      <w:proofErr w:type="spellEnd"/>
      <w:r w:rsidRPr="00074982">
        <w:rPr>
          <w:rFonts w:ascii="Times New Roman" w:hAnsi="Times New Roman" w:cs="Times New Roman"/>
        </w:rPr>
        <w:t xml:space="preserve"> E, </w:t>
      </w:r>
      <w:proofErr w:type="spellStart"/>
      <w:r w:rsidRPr="00074982">
        <w:rPr>
          <w:rFonts w:ascii="Times New Roman" w:hAnsi="Times New Roman" w:cs="Times New Roman"/>
        </w:rPr>
        <w:t>Çavuşoğlu</w:t>
      </w:r>
      <w:proofErr w:type="spellEnd"/>
      <w:r w:rsidRPr="00074982">
        <w:rPr>
          <w:rFonts w:ascii="Times New Roman" w:hAnsi="Times New Roman" w:cs="Times New Roman"/>
        </w:rPr>
        <w:t xml:space="preserve"> K, </w:t>
      </w:r>
      <w:proofErr w:type="spellStart"/>
      <w:r w:rsidRPr="00074982">
        <w:rPr>
          <w:rFonts w:ascii="Times New Roman" w:hAnsi="Times New Roman" w:cs="Times New Roman"/>
        </w:rPr>
        <w:t>Acar</w:t>
      </w:r>
      <w:proofErr w:type="spellEnd"/>
      <w:r w:rsidRPr="00074982">
        <w:rPr>
          <w:rFonts w:ascii="Times New Roman" w:hAnsi="Times New Roman" w:cs="Times New Roman"/>
        </w:rPr>
        <w:t xml:space="preserve"> A, </w:t>
      </w:r>
      <w:proofErr w:type="spellStart"/>
      <w:r w:rsidRPr="00074982">
        <w:rPr>
          <w:rFonts w:ascii="Times New Roman" w:hAnsi="Times New Roman" w:cs="Times New Roman"/>
        </w:rPr>
        <w:t>Yapar</w:t>
      </w:r>
      <w:proofErr w:type="spellEnd"/>
      <w:r w:rsidRPr="00074982">
        <w:rPr>
          <w:rFonts w:ascii="Times New Roman" w:hAnsi="Times New Roman" w:cs="Times New Roman"/>
        </w:rPr>
        <w:t xml:space="preserve"> K (2020) In vivo protective effects of Ginkgo biloba L. leaf extract against hydrogen peroxide toxicity: cytogenetic and biochemical evaluation. Environmental Science and Pollution Research 27:3156-3164</w:t>
      </w:r>
    </w:p>
    <w:p w14:paraId="71710317"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Liu H, Ye M, Guo H (2020) An Updated Review of Randomized Clinical Trials Testing the Improvement of Cognitive Function of Ginkgo biloba Extract in Healthy People and Alzheimer’s Patients. Frontiers in Pharmacology, 10</w:t>
      </w:r>
    </w:p>
    <w:p w14:paraId="1790878A"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Hawthorne, A.B., Mahida, Y.R., Cole, A.T. and Hawkey, C.J. (1991). Aspirin‐induced gastric mucosal damage: prevention by enteric‐coating and relation to prostaglandin synthesis. British journal of clinical pharmacology; 32 (1): 77-83.</w:t>
      </w:r>
    </w:p>
    <w:p w14:paraId="1EAC681D"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Umoren, E. B., Okon, I. A., </w:t>
      </w:r>
      <w:proofErr w:type="spellStart"/>
      <w:r w:rsidRPr="00074982">
        <w:rPr>
          <w:rFonts w:ascii="Times New Roman" w:hAnsi="Times New Roman" w:cs="Times New Roman"/>
        </w:rPr>
        <w:t>Idabie</w:t>
      </w:r>
      <w:proofErr w:type="spellEnd"/>
      <w:r w:rsidRPr="00074982">
        <w:rPr>
          <w:rFonts w:ascii="Times New Roman" w:hAnsi="Times New Roman" w:cs="Times New Roman"/>
        </w:rPr>
        <w:t xml:space="preserve">, P. B., </w:t>
      </w:r>
      <w:proofErr w:type="spellStart"/>
      <w:r w:rsidRPr="00074982">
        <w:rPr>
          <w:rFonts w:ascii="Times New Roman" w:hAnsi="Times New Roman" w:cs="Times New Roman"/>
        </w:rPr>
        <w:t>Owu</w:t>
      </w:r>
      <w:proofErr w:type="spellEnd"/>
      <w:r w:rsidRPr="00074982">
        <w:rPr>
          <w:rFonts w:ascii="Times New Roman" w:hAnsi="Times New Roman" w:cs="Times New Roman"/>
        </w:rPr>
        <w:t xml:space="preserve">, D. U., Bassey, A. L., &amp; </w:t>
      </w:r>
      <w:proofErr w:type="spellStart"/>
      <w:r w:rsidRPr="00074982">
        <w:rPr>
          <w:rFonts w:ascii="Times New Roman" w:hAnsi="Times New Roman" w:cs="Times New Roman"/>
        </w:rPr>
        <w:t>Efiom</w:t>
      </w:r>
      <w:proofErr w:type="spellEnd"/>
      <w:r w:rsidRPr="00074982">
        <w:rPr>
          <w:rFonts w:ascii="Times New Roman" w:hAnsi="Times New Roman" w:cs="Times New Roman"/>
        </w:rPr>
        <w:t xml:space="preserve">, E. O. (2023). </w:t>
      </w:r>
      <w:proofErr w:type="spellStart"/>
      <w:r w:rsidRPr="00074982">
        <w:rPr>
          <w:rFonts w:ascii="Times New Roman" w:hAnsi="Times New Roman" w:cs="Times New Roman"/>
        </w:rPr>
        <w:t>Jatropha</w:t>
      </w:r>
      <w:proofErr w:type="spellEnd"/>
      <w:r w:rsidRPr="00074982">
        <w:rPr>
          <w:rFonts w:ascii="Times New Roman" w:hAnsi="Times New Roman" w:cs="Times New Roman"/>
        </w:rPr>
        <w:t xml:space="preserve"> </w:t>
      </w:r>
      <w:proofErr w:type="spellStart"/>
      <w:r w:rsidRPr="00074982">
        <w:rPr>
          <w:rFonts w:ascii="Times New Roman" w:hAnsi="Times New Roman" w:cs="Times New Roman"/>
        </w:rPr>
        <w:t>tanjorensis</w:t>
      </w:r>
      <w:proofErr w:type="spellEnd"/>
      <w:r w:rsidRPr="00074982">
        <w:rPr>
          <w:rFonts w:ascii="Times New Roman" w:hAnsi="Times New Roman" w:cs="Times New Roman"/>
        </w:rPr>
        <w:t xml:space="preserve"> ameliorates effects of aspirin-induced stomach ulcer in Wistar rats. Journal of Gastrointestinal &amp; Digestive System, 13(732). </w:t>
      </w:r>
    </w:p>
    <w:p w14:paraId="5722F61A"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MacAllister, C.G., Andrews, F.M., Deegan, E., Ruoff, W. and Olovson, S.G. (1997). A scoring system for gastric ulcers in the horse. Equine Vet J; 29 (6): 430-3. </w:t>
      </w:r>
    </w:p>
    <w:p w14:paraId="73482DEA"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Tan, M.S., Yu, J.T., Tan, C.C., Wang, H.F., Meng, X.F., Wang, C., Jiang, T., Zhu, X.C., and Tan, L. (2015). Efficacy and adverse effects of Ginkgo biloba for cognitive impairment and dementia: a systematic review and meta-analysis. J </w:t>
      </w:r>
      <w:proofErr w:type="spellStart"/>
      <w:r w:rsidRPr="00074982">
        <w:rPr>
          <w:rFonts w:ascii="Times New Roman" w:hAnsi="Times New Roman" w:cs="Times New Roman"/>
        </w:rPr>
        <w:t>Alzheimers</w:t>
      </w:r>
      <w:proofErr w:type="spellEnd"/>
      <w:r w:rsidRPr="00074982">
        <w:rPr>
          <w:rFonts w:ascii="Times New Roman" w:hAnsi="Times New Roman" w:cs="Times New Roman"/>
        </w:rPr>
        <w:tab/>
        <w:t xml:space="preserve">Dis.; 43, (2): 589-603. </w:t>
      </w:r>
    </w:p>
    <w:p w14:paraId="33166E7B"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Ismail OI, El-</w:t>
      </w:r>
      <w:proofErr w:type="spellStart"/>
      <w:r w:rsidRPr="00074982">
        <w:rPr>
          <w:rFonts w:ascii="Times New Roman" w:hAnsi="Times New Roman" w:cs="Times New Roman"/>
        </w:rPr>
        <w:t>Meligy</w:t>
      </w:r>
      <w:proofErr w:type="spellEnd"/>
      <w:r w:rsidRPr="00074982">
        <w:rPr>
          <w:rFonts w:ascii="Times New Roman" w:hAnsi="Times New Roman" w:cs="Times New Roman"/>
        </w:rPr>
        <w:t xml:space="preserve"> MMS (2022) </w:t>
      </w:r>
      <w:proofErr w:type="spellStart"/>
      <w:r w:rsidRPr="00074982">
        <w:rPr>
          <w:rFonts w:ascii="Times New Roman" w:hAnsi="Times New Roman" w:cs="Times New Roman"/>
        </w:rPr>
        <w:t>Curcumin</w:t>
      </w:r>
      <w:proofErr w:type="spellEnd"/>
      <w:r w:rsidRPr="00074982">
        <w:rPr>
          <w:rFonts w:ascii="Times New Roman" w:hAnsi="Times New Roman" w:cs="Times New Roman"/>
        </w:rPr>
        <w:t xml:space="preserve"> ameliorated low dose Bisphenol A induced gastric toxicity in adult albino rats. Sci Rep 12: 10201.</w:t>
      </w:r>
    </w:p>
    <w:p w14:paraId="7E9943EA"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lang w:val="en-GB"/>
        </w:rPr>
        <w:t xml:space="preserve">Umoren, E. B., </w:t>
      </w:r>
      <w:proofErr w:type="spellStart"/>
      <w:r w:rsidRPr="00074982">
        <w:rPr>
          <w:rFonts w:ascii="Times New Roman" w:hAnsi="Times New Roman" w:cs="Times New Roman"/>
          <w:lang w:val="en-GB"/>
        </w:rPr>
        <w:t>Obembe</w:t>
      </w:r>
      <w:proofErr w:type="spellEnd"/>
      <w:r w:rsidRPr="00074982">
        <w:rPr>
          <w:rFonts w:ascii="Times New Roman" w:hAnsi="Times New Roman" w:cs="Times New Roman"/>
          <w:lang w:val="en-GB"/>
        </w:rPr>
        <w:t xml:space="preserve">, A. O., &amp; Osim, E. E. (2013). Ulcerogenic and intestinal motility/transit stimulating actions of nevirapine in albino Wistar rats. </w:t>
      </w:r>
      <w:r w:rsidRPr="00074982">
        <w:rPr>
          <w:rFonts w:ascii="Times New Roman" w:hAnsi="Times New Roman" w:cs="Times New Roman"/>
          <w:iCs/>
          <w:lang w:val="en-GB"/>
        </w:rPr>
        <w:t>Journal of Physiology and Biochemistry, 69</w:t>
      </w:r>
      <w:r w:rsidRPr="00074982">
        <w:rPr>
          <w:rFonts w:ascii="Times New Roman" w:hAnsi="Times New Roman" w:cs="Times New Roman"/>
          <w:lang w:val="en-GB"/>
        </w:rPr>
        <w:t>(3), 547–557</w:t>
      </w:r>
    </w:p>
    <w:p w14:paraId="58CF630A"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National Institute on Drug Abuse (NIDA). (2022). Methamphetamine drug facts. Retrieved from </w:t>
      </w:r>
      <w:hyperlink r:id="rId13" w:history="1">
        <w:r w:rsidRPr="00074982">
          <w:rPr>
            <w:rStyle w:val="Hyperlink"/>
            <w:rFonts w:ascii="Times New Roman" w:hAnsi="Times New Roman" w:cs="Times New Roman"/>
          </w:rPr>
          <w:t>https://nida.nih.gov/publications/drugfacts/methamphetamine</w:t>
        </w:r>
      </w:hyperlink>
    </w:p>
    <w:p w14:paraId="27175A5D"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Noor-E-Tabassum, Das. R., Lami, M.S., Chakraborty, A.J., Mitra, S., </w:t>
      </w:r>
      <w:proofErr w:type="spellStart"/>
      <w:r w:rsidRPr="00074982">
        <w:rPr>
          <w:rFonts w:ascii="Times New Roman" w:hAnsi="Times New Roman" w:cs="Times New Roman"/>
        </w:rPr>
        <w:t>Tallei</w:t>
      </w:r>
      <w:proofErr w:type="spellEnd"/>
      <w:r w:rsidRPr="00074982">
        <w:rPr>
          <w:rFonts w:ascii="Times New Roman" w:hAnsi="Times New Roman" w:cs="Times New Roman"/>
        </w:rPr>
        <w:t xml:space="preserve">, T.E., </w:t>
      </w:r>
      <w:proofErr w:type="spellStart"/>
      <w:r w:rsidRPr="00074982">
        <w:rPr>
          <w:rFonts w:ascii="Times New Roman" w:hAnsi="Times New Roman" w:cs="Times New Roman"/>
        </w:rPr>
        <w:t>Idroes</w:t>
      </w:r>
      <w:proofErr w:type="spellEnd"/>
      <w:r w:rsidRPr="00074982">
        <w:rPr>
          <w:rFonts w:ascii="Times New Roman" w:hAnsi="Times New Roman" w:cs="Times New Roman"/>
        </w:rPr>
        <w:t xml:space="preserve">, R., Mohamed, A.A., Hossain, M.J., </w:t>
      </w:r>
      <w:proofErr w:type="spellStart"/>
      <w:r w:rsidRPr="00074982">
        <w:rPr>
          <w:rFonts w:ascii="Times New Roman" w:hAnsi="Times New Roman" w:cs="Times New Roman"/>
        </w:rPr>
        <w:t>Dhama</w:t>
      </w:r>
      <w:proofErr w:type="spellEnd"/>
      <w:r w:rsidRPr="00074982">
        <w:rPr>
          <w:rFonts w:ascii="Times New Roman" w:hAnsi="Times New Roman" w:cs="Times New Roman"/>
        </w:rPr>
        <w:t xml:space="preserve">, K., </w:t>
      </w:r>
      <w:proofErr w:type="spellStart"/>
      <w:r w:rsidRPr="00074982">
        <w:rPr>
          <w:rFonts w:ascii="Times New Roman" w:hAnsi="Times New Roman" w:cs="Times New Roman"/>
        </w:rPr>
        <w:t>Mostafa-Hedeab</w:t>
      </w:r>
      <w:proofErr w:type="spellEnd"/>
      <w:r w:rsidRPr="00074982">
        <w:rPr>
          <w:rFonts w:ascii="Times New Roman" w:hAnsi="Times New Roman" w:cs="Times New Roman"/>
        </w:rPr>
        <w:t xml:space="preserve">, G. and Emran, T.B. (2022). Ginkgo biloba: A Treasure of Functional Phytochemicals with </w:t>
      </w:r>
      <w:proofErr w:type="spellStart"/>
      <w:r w:rsidRPr="00074982">
        <w:rPr>
          <w:rFonts w:ascii="Times New Roman" w:hAnsi="Times New Roman" w:cs="Times New Roman"/>
        </w:rPr>
        <w:t>Multimedicinal</w:t>
      </w:r>
      <w:proofErr w:type="spellEnd"/>
      <w:r w:rsidRPr="00074982">
        <w:rPr>
          <w:rFonts w:ascii="Times New Roman" w:hAnsi="Times New Roman" w:cs="Times New Roman"/>
        </w:rPr>
        <w:t xml:space="preserve"> Applications. Evid Based Complement Alternat Med; 8288818. </w:t>
      </w:r>
    </w:p>
    <w:p w14:paraId="45F2728F"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Smith, J.A. (1995). Reflux esophagitis and its role in the pathogenesis of Barrett's metaplasia. J Clin Gastroenterol; 21 Suppl 1: S13-7. </w:t>
      </w:r>
    </w:p>
    <w:p w14:paraId="0121AA73"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lang w:val="en-GB"/>
        </w:rPr>
        <w:t>Li, Y., Kong, D., Bi, K., and Luo, H. (2022). Related Effects of Methamphetamine on the Intestinal Barrier via Cytokines, and Potential Mechanisms by Which Methamphetamine May Occur on the Brain-Gut Axis. Front Med (Lausanne); 9: 783121</w:t>
      </w:r>
    </w:p>
    <w:p w14:paraId="0394B0BC" w14:textId="77777777" w:rsidR="00074982" w:rsidRPr="008A631D" w:rsidRDefault="00074982" w:rsidP="00F92321">
      <w:pPr>
        <w:numPr>
          <w:ilvl w:val="0"/>
          <w:numId w:val="1"/>
        </w:numPr>
        <w:spacing w:before="100" w:beforeAutospacing="1" w:after="100" w:afterAutospacing="1" w:line="360" w:lineRule="auto"/>
        <w:jc w:val="both"/>
        <w:rPr>
          <w:rFonts w:ascii="Times New Roman" w:hAnsi="Times New Roman" w:cs="Times New Roman"/>
          <w:b/>
        </w:rPr>
      </w:pPr>
      <w:proofErr w:type="spellStart"/>
      <w:r w:rsidRPr="00074982">
        <w:rPr>
          <w:rFonts w:ascii="Times New Roman" w:hAnsi="Times New Roman" w:cs="Times New Roman"/>
        </w:rPr>
        <w:lastRenderedPageBreak/>
        <w:t>Abd-Eldayem</w:t>
      </w:r>
      <w:proofErr w:type="spellEnd"/>
      <w:r w:rsidRPr="00074982">
        <w:rPr>
          <w:rFonts w:ascii="Times New Roman" w:hAnsi="Times New Roman" w:cs="Times New Roman"/>
        </w:rPr>
        <w:t xml:space="preserve"> AM, </w:t>
      </w:r>
      <w:proofErr w:type="spellStart"/>
      <w:r w:rsidRPr="00074982">
        <w:rPr>
          <w:rFonts w:ascii="Times New Roman" w:hAnsi="Times New Roman" w:cs="Times New Roman"/>
        </w:rPr>
        <w:t>Alnasser</w:t>
      </w:r>
      <w:proofErr w:type="spellEnd"/>
      <w:r w:rsidRPr="00074982">
        <w:rPr>
          <w:rFonts w:ascii="Times New Roman" w:hAnsi="Times New Roman" w:cs="Times New Roman"/>
        </w:rPr>
        <w:t xml:space="preserve"> SM, </w:t>
      </w:r>
      <w:proofErr w:type="spellStart"/>
      <w:r w:rsidRPr="00074982">
        <w:rPr>
          <w:rFonts w:ascii="Times New Roman" w:hAnsi="Times New Roman" w:cs="Times New Roman"/>
        </w:rPr>
        <w:t>Abd-Elhafeez</w:t>
      </w:r>
      <w:proofErr w:type="spellEnd"/>
      <w:r w:rsidRPr="00074982">
        <w:rPr>
          <w:rFonts w:ascii="Times New Roman" w:hAnsi="Times New Roman" w:cs="Times New Roman"/>
        </w:rPr>
        <w:t xml:space="preserve"> HH, </w:t>
      </w:r>
      <w:proofErr w:type="spellStart"/>
      <w:r w:rsidRPr="00074982">
        <w:rPr>
          <w:rFonts w:ascii="Times New Roman" w:hAnsi="Times New Roman" w:cs="Times New Roman"/>
        </w:rPr>
        <w:t>Soliman</w:t>
      </w:r>
      <w:proofErr w:type="spellEnd"/>
      <w:r w:rsidRPr="00074982">
        <w:rPr>
          <w:rFonts w:ascii="Times New Roman" w:hAnsi="Times New Roman" w:cs="Times New Roman"/>
        </w:rPr>
        <w:t xml:space="preserve"> SA, Abdel-Emam RA (2022) Therapeutic Versus Preventative Use of Ginkgo </w:t>
      </w:r>
      <w:proofErr w:type="spellStart"/>
      <w:r w:rsidRPr="00074982">
        <w:rPr>
          <w:rFonts w:ascii="Times New Roman" w:hAnsi="Times New Roman" w:cs="Times New Roman"/>
        </w:rPr>
        <w:t>biloba</w:t>
      </w:r>
      <w:proofErr w:type="spellEnd"/>
      <w:r w:rsidRPr="00074982">
        <w:rPr>
          <w:rFonts w:ascii="Times New Roman" w:hAnsi="Times New Roman" w:cs="Times New Roman"/>
        </w:rPr>
        <w:t xml:space="preserve"> Extract (</w:t>
      </w:r>
      <w:proofErr w:type="spellStart"/>
      <w:r w:rsidRPr="00074982">
        <w:rPr>
          <w:rFonts w:ascii="Times New Roman" w:hAnsi="Times New Roman" w:cs="Times New Roman"/>
        </w:rPr>
        <w:t>EGb</w:t>
      </w:r>
      <w:proofErr w:type="spellEnd"/>
      <w:r w:rsidRPr="00074982">
        <w:rPr>
          <w:rFonts w:ascii="Times New Roman" w:hAnsi="Times New Roman" w:cs="Times New Roman"/>
        </w:rPr>
        <w:t xml:space="preserve"> 761) against Indomethacin-Induced Gastric Ulcer in Mice. Molecules 27(17):5598</w:t>
      </w:r>
    </w:p>
    <w:p w14:paraId="19342D46" w14:textId="0BEA735D" w:rsidR="008A631D" w:rsidRPr="008A631D" w:rsidRDefault="008A631D" w:rsidP="00F92321">
      <w:pPr>
        <w:numPr>
          <w:ilvl w:val="0"/>
          <w:numId w:val="1"/>
        </w:numPr>
        <w:spacing w:before="100" w:beforeAutospacing="1" w:after="100" w:afterAutospacing="1" w:line="360" w:lineRule="auto"/>
        <w:jc w:val="both"/>
        <w:rPr>
          <w:rFonts w:ascii="Times New Roman" w:hAnsi="Times New Roman" w:cs="Times New Roman"/>
        </w:rPr>
      </w:pPr>
      <w:proofErr w:type="spellStart"/>
      <w:r w:rsidRPr="008A631D">
        <w:rPr>
          <w:rFonts w:ascii="Times New Roman" w:hAnsi="Times New Roman" w:cs="Times New Roman"/>
        </w:rPr>
        <w:t>Asiwe</w:t>
      </w:r>
      <w:proofErr w:type="spellEnd"/>
      <w:r w:rsidRPr="008A631D">
        <w:rPr>
          <w:rFonts w:ascii="Times New Roman" w:hAnsi="Times New Roman" w:cs="Times New Roman"/>
        </w:rPr>
        <w:t xml:space="preserve"> JN, </w:t>
      </w:r>
      <w:proofErr w:type="spellStart"/>
      <w:r w:rsidRPr="008A631D">
        <w:rPr>
          <w:rFonts w:ascii="Times New Roman" w:hAnsi="Times New Roman" w:cs="Times New Roman"/>
        </w:rPr>
        <w:t>Yovwin</w:t>
      </w:r>
      <w:proofErr w:type="spellEnd"/>
      <w:r w:rsidRPr="008A631D">
        <w:rPr>
          <w:rFonts w:ascii="Times New Roman" w:hAnsi="Times New Roman" w:cs="Times New Roman"/>
        </w:rPr>
        <w:t xml:space="preserve"> GD, </w:t>
      </w:r>
      <w:proofErr w:type="spellStart"/>
      <w:r w:rsidRPr="008A631D">
        <w:rPr>
          <w:rFonts w:ascii="Times New Roman" w:hAnsi="Times New Roman" w:cs="Times New Roman"/>
        </w:rPr>
        <w:t>Ekene</w:t>
      </w:r>
      <w:proofErr w:type="spellEnd"/>
      <w:r w:rsidRPr="008A631D">
        <w:rPr>
          <w:rFonts w:ascii="Times New Roman" w:hAnsi="Times New Roman" w:cs="Times New Roman"/>
        </w:rPr>
        <w:t xml:space="preserve"> NE, </w:t>
      </w:r>
      <w:proofErr w:type="spellStart"/>
      <w:r w:rsidRPr="008A631D">
        <w:rPr>
          <w:rFonts w:ascii="Times New Roman" w:hAnsi="Times New Roman" w:cs="Times New Roman"/>
        </w:rPr>
        <w:t>Ovuakporaye</w:t>
      </w:r>
      <w:proofErr w:type="spellEnd"/>
      <w:r w:rsidRPr="008A631D">
        <w:rPr>
          <w:rFonts w:ascii="Times New Roman" w:hAnsi="Times New Roman" w:cs="Times New Roman"/>
        </w:rPr>
        <w:t xml:space="preserve"> SI, </w:t>
      </w:r>
      <w:proofErr w:type="spellStart"/>
      <w:r w:rsidRPr="008A631D">
        <w:rPr>
          <w:rFonts w:ascii="Times New Roman" w:hAnsi="Times New Roman" w:cs="Times New Roman"/>
        </w:rPr>
        <w:t>Nnamudi</w:t>
      </w:r>
      <w:proofErr w:type="spellEnd"/>
      <w:r w:rsidRPr="008A631D">
        <w:rPr>
          <w:rFonts w:ascii="Times New Roman" w:hAnsi="Times New Roman" w:cs="Times New Roman"/>
        </w:rPr>
        <w:t xml:space="preserve"> AC, </w:t>
      </w:r>
      <w:proofErr w:type="spellStart"/>
      <w:r w:rsidRPr="008A631D">
        <w:rPr>
          <w:rFonts w:ascii="Times New Roman" w:hAnsi="Times New Roman" w:cs="Times New Roman"/>
        </w:rPr>
        <w:t>Nwangwa</w:t>
      </w:r>
      <w:proofErr w:type="spellEnd"/>
      <w:r w:rsidRPr="008A631D">
        <w:rPr>
          <w:rFonts w:ascii="Times New Roman" w:hAnsi="Times New Roman" w:cs="Times New Roman"/>
        </w:rPr>
        <w:t xml:space="preserve"> EK. </w:t>
      </w:r>
      <w:r w:rsidRPr="008A631D">
        <w:rPr>
          <w:rFonts w:ascii="Times New Roman" w:hAnsi="Times New Roman" w:cs="Times New Roman"/>
          <w:i/>
          <w:iCs/>
        </w:rPr>
        <w:t xml:space="preserve">Ginkgo </w:t>
      </w:r>
      <w:proofErr w:type="spellStart"/>
      <w:r w:rsidRPr="008A631D">
        <w:rPr>
          <w:rFonts w:ascii="Times New Roman" w:hAnsi="Times New Roman" w:cs="Times New Roman"/>
          <w:i/>
          <w:iCs/>
        </w:rPr>
        <w:t>biloba</w:t>
      </w:r>
      <w:proofErr w:type="spellEnd"/>
      <w:r w:rsidRPr="008A631D">
        <w:rPr>
          <w:rFonts w:ascii="Times New Roman" w:hAnsi="Times New Roman" w:cs="Times New Roman"/>
        </w:rPr>
        <w:t xml:space="preserve"> modulates ET-I/NO </w:t>
      </w:r>
      <w:proofErr w:type="spellStart"/>
      <w:r w:rsidRPr="008A631D">
        <w:rPr>
          <w:rFonts w:ascii="Times New Roman" w:hAnsi="Times New Roman" w:cs="Times New Roman"/>
        </w:rPr>
        <w:t>signalling</w:t>
      </w:r>
      <w:proofErr w:type="spellEnd"/>
      <w:r w:rsidRPr="008A631D">
        <w:rPr>
          <w:rFonts w:ascii="Times New Roman" w:hAnsi="Times New Roman" w:cs="Times New Roman"/>
        </w:rPr>
        <w:t xml:space="preserve"> in Lead Acetate induced rat model of endothelial dysfunction: Involvement of </w:t>
      </w:r>
      <w:proofErr w:type="spellStart"/>
      <w:r w:rsidRPr="008A631D">
        <w:rPr>
          <w:rFonts w:ascii="Times New Roman" w:hAnsi="Times New Roman" w:cs="Times New Roman"/>
        </w:rPr>
        <w:t>oxido</w:t>
      </w:r>
      <w:proofErr w:type="spellEnd"/>
      <w:r w:rsidRPr="008A631D">
        <w:rPr>
          <w:rFonts w:ascii="Times New Roman" w:hAnsi="Times New Roman" w:cs="Times New Roman"/>
        </w:rPr>
        <w:t xml:space="preserve">-inflammatory mediators. </w:t>
      </w:r>
      <w:proofErr w:type="spellStart"/>
      <w:r w:rsidRPr="008A631D">
        <w:rPr>
          <w:rFonts w:ascii="Times New Roman" w:hAnsi="Times New Roman" w:cs="Times New Roman"/>
        </w:rPr>
        <w:t>Int</w:t>
      </w:r>
      <w:proofErr w:type="spellEnd"/>
      <w:r w:rsidRPr="008A631D">
        <w:rPr>
          <w:rFonts w:ascii="Times New Roman" w:hAnsi="Times New Roman" w:cs="Times New Roman"/>
        </w:rPr>
        <w:t xml:space="preserve"> J Environ Health Res. 2024 Feb</w:t>
      </w:r>
      <w:proofErr w:type="gramStart"/>
      <w:r w:rsidRPr="008A631D">
        <w:rPr>
          <w:rFonts w:ascii="Times New Roman" w:hAnsi="Times New Roman" w:cs="Times New Roman"/>
        </w:rPr>
        <w:t>;34</w:t>
      </w:r>
      <w:proofErr w:type="gramEnd"/>
      <w:r w:rsidRPr="008A631D">
        <w:rPr>
          <w:rFonts w:ascii="Times New Roman" w:hAnsi="Times New Roman" w:cs="Times New Roman"/>
        </w:rPr>
        <w:t xml:space="preserve">(2):979-990. </w:t>
      </w:r>
      <w:proofErr w:type="spellStart"/>
      <w:proofErr w:type="gramStart"/>
      <w:r w:rsidRPr="008A631D">
        <w:rPr>
          <w:rFonts w:ascii="Times New Roman" w:hAnsi="Times New Roman" w:cs="Times New Roman"/>
        </w:rPr>
        <w:t>doi</w:t>
      </w:r>
      <w:proofErr w:type="spellEnd"/>
      <w:proofErr w:type="gramEnd"/>
      <w:r w:rsidRPr="008A631D">
        <w:rPr>
          <w:rFonts w:ascii="Times New Roman" w:hAnsi="Times New Roman" w:cs="Times New Roman"/>
        </w:rPr>
        <w:t xml:space="preserve">: 10.1080/09603123.2023.2194612. </w:t>
      </w:r>
      <w:proofErr w:type="spellStart"/>
      <w:r w:rsidRPr="008A631D">
        <w:rPr>
          <w:rFonts w:ascii="Times New Roman" w:hAnsi="Times New Roman" w:cs="Times New Roman"/>
        </w:rPr>
        <w:t>Epub</w:t>
      </w:r>
      <w:proofErr w:type="spellEnd"/>
      <w:r w:rsidRPr="008A631D">
        <w:rPr>
          <w:rFonts w:ascii="Times New Roman" w:hAnsi="Times New Roman" w:cs="Times New Roman"/>
        </w:rPr>
        <w:t xml:space="preserve"> 2023 Mar 24. PMID: 36960596.</w:t>
      </w:r>
    </w:p>
    <w:p w14:paraId="7A4CBD30" w14:textId="77777777" w:rsidR="00074982" w:rsidRPr="00074982" w:rsidRDefault="00074982" w:rsidP="00F92321">
      <w:pPr>
        <w:spacing w:before="100" w:beforeAutospacing="1" w:after="100" w:afterAutospacing="1" w:line="360" w:lineRule="auto"/>
        <w:jc w:val="both"/>
        <w:rPr>
          <w:rFonts w:ascii="Times New Roman" w:hAnsi="Times New Roman" w:cs="Times New Roman"/>
        </w:rPr>
      </w:pPr>
    </w:p>
    <w:sectPr w:rsidR="00074982" w:rsidRPr="0007498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F4FC3" w14:textId="77777777" w:rsidR="00365E1D" w:rsidRDefault="00365E1D" w:rsidP="00613B7A">
      <w:pPr>
        <w:spacing w:after="0" w:line="240" w:lineRule="auto"/>
      </w:pPr>
      <w:r>
        <w:separator/>
      </w:r>
    </w:p>
  </w:endnote>
  <w:endnote w:type="continuationSeparator" w:id="0">
    <w:p w14:paraId="5599A799" w14:textId="77777777" w:rsidR="00365E1D" w:rsidRDefault="00365E1D" w:rsidP="00613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58262" w14:textId="77777777" w:rsidR="00613B7A" w:rsidRDefault="00613B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14D02" w14:textId="77777777" w:rsidR="00613B7A" w:rsidRDefault="00613B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D332B" w14:textId="77777777" w:rsidR="00613B7A" w:rsidRDefault="00613B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9993AD" w14:textId="77777777" w:rsidR="00365E1D" w:rsidRDefault="00365E1D" w:rsidP="00613B7A">
      <w:pPr>
        <w:spacing w:after="0" w:line="240" w:lineRule="auto"/>
      </w:pPr>
      <w:r>
        <w:separator/>
      </w:r>
    </w:p>
  </w:footnote>
  <w:footnote w:type="continuationSeparator" w:id="0">
    <w:p w14:paraId="7E2D539A" w14:textId="77777777" w:rsidR="00365E1D" w:rsidRDefault="00365E1D" w:rsidP="00613B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0A874" w14:textId="19CD5817" w:rsidR="00613B7A" w:rsidRDefault="00365E1D">
    <w:pPr>
      <w:pStyle w:val="Header"/>
    </w:pPr>
    <w:r>
      <w:rPr>
        <w:noProof/>
      </w:rPr>
      <w:pict w14:anchorId="6B7F9D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13975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D6059" w14:textId="4E2805F5" w:rsidR="00613B7A" w:rsidRDefault="00365E1D">
    <w:pPr>
      <w:pStyle w:val="Header"/>
    </w:pPr>
    <w:r>
      <w:rPr>
        <w:noProof/>
      </w:rPr>
      <w:pict w14:anchorId="13E187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13975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64146" w14:textId="451B593C" w:rsidR="00613B7A" w:rsidRDefault="00365E1D">
    <w:pPr>
      <w:pStyle w:val="Header"/>
    </w:pPr>
    <w:r>
      <w:rPr>
        <w:noProof/>
      </w:rPr>
      <w:pict w14:anchorId="54791B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13975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B56FD6"/>
    <w:multiLevelType w:val="hybridMultilevel"/>
    <w:tmpl w:val="5F56EA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CDB"/>
    <w:rsid w:val="000072BB"/>
    <w:rsid w:val="00014FAA"/>
    <w:rsid w:val="00015E3E"/>
    <w:rsid w:val="000369E0"/>
    <w:rsid w:val="0004557F"/>
    <w:rsid w:val="000639C7"/>
    <w:rsid w:val="00074982"/>
    <w:rsid w:val="00092019"/>
    <w:rsid w:val="000C338F"/>
    <w:rsid w:val="00112934"/>
    <w:rsid w:val="00114017"/>
    <w:rsid w:val="00131987"/>
    <w:rsid w:val="001A4C32"/>
    <w:rsid w:val="001B42EC"/>
    <w:rsid w:val="001B5142"/>
    <w:rsid w:val="001D4625"/>
    <w:rsid w:val="002A01B7"/>
    <w:rsid w:val="002A59F5"/>
    <w:rsid w:val="003054F9"/>
    <w:rsid w:val="00324D55"/>
    <w:rsid w:val="00326420"/>
    <w:rsid w:val="00365E1D"/>
    <w:rsid w:val="003D03CA"/>
    <w:rsid w:val="00400C07"/>
    <w:rsid w:val="00455E74"/>
    <w:rsid w:val="004D785F"/>
    <w:rsid w:val="00522CDB"/>
    <w:rsid w:val="005848E7"/>
    <w:rsid w:val="005A47BF"/>
    <w:rsid w:val="005D0C83"/>
    <w:rsid w:val="00613B7A"/>
    <w:rsid w:val="0066754B"/>
    <w:rsid w:val="006D662E"/>
    <w:rsid w:val="007372F0"/>
    <w:rsid w:val="00741AAB"/>
    <w:rsid w:val="00745D33"/>
    <w:rsid w:val="007C1A8D"/>
    <w:rsid w:val="008640BA"/>
    <w:rsid w:val="00883AB4"/>
    <w:rsid w:val="008A0C2A"/>
    <w:rsid w:val="008A631D"/>
    <w:rsid w:val="008B162A"/>
    <w:rsid w:val="008F0A17"/>
    <w:rsid w:val="00952604"/>
    <w:rsid w:val="009807D9"/>
    <w:rsid w:val="009F0337"/>
    <w:rsid w:val="009F1A56"/>
    <w:rsid w:val="00A408B9"/>
    <w:rsid w:val="00A644D5"/>
    <w:rsid w:val="00AA1010"/>
    <w:rsid w:val="00AB4C62"/>
    <w:rsid w:val="00AB586F"/>
    <w:rsid w:val="00AE5F15"/>
    <w:rsid w:val="00AF7448"/>
    <w:rsid w:val="00B03217"/>
    <w:rsid w:val="00B87F8A"/>
    <w:rsid w:val="00BF4A92"/>
    <w:rsid w:val="00C63B87"/>
    <w:rsid w:val="00C85509"/>
    <w:rsid w:val="00CA3AD9"/>
    <w:rsid w:val="00D617E7"/>
    <w:rsid w:val="00DE0D87"/>
    <w:rsid w:val="00DE2484"/>
    <w:rsid w:val="00EB2B98"/>
    <w:rsid w:val="00EF7385"/>
    <w:rsid w:val="00F26FD7"/>
    <w:rsid w:val="00F54D2F"/>
    <w:rsid w:val="00F64D52"/>
    <w:rsid w:val="00F70DF4"/>
    <w:rsid w:val="00F77952"/>
    <w:rsid w:val="00F92321"/>
    <w:rsid w:val="00FB6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73A4DC"/>
  <w15:chartTrackingRefBased/>
  <w15:docId w15:val="{22D53F47-D977-4F27-8797-B5A17C356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87F8A"/>
    <w:rPr>
      <w:i/>
      <w:iCs/>
    </w:rPr>
  </w:style>
  <w:style w:type="paragraph" w:styleId="NormalWeb">
    <w:name w:val="Normal (Web)"/>
    <w:basedOn w:val="Normal"/>
    <w:uiPriority w:val="99"/>
    <w:unhideWhenUsed/>
    <w:rsid w:val="00FB64BB"/>
    <w:rPr>
      <w:rFonts w:ascii="Times New Roman" w:hAnsi="Times New Roman" w:cs="Times New Roman"/>
      <w:sz w:val="24"/>
      <w:szCs w:val="24"/>
    </w:rPr>
  </w:style>
  <w:style w:type="table" w:styleId="TableGrid">
    <w:name w:val="Table Grid"/>
    <w:basedOn w:val="TableNormal"/>
    <w:uiPriority w:val="39"/>
    <w:rsid w:val="00F77952"/>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F77952"/>
    <w:rPr>
      <w:b/>
      <w:bCs/>
    </w:rPr>
  </w:style>
  <w:style w:type="character" w:styleId="Hyperlink">
    <w:name w:val="Hyperlink"/>
    <w:basedOn w:val="DefaultParagraphFont"/>
    <w:uiPriority w:val="99"/>
    <w:unhideWhenUsed/>
    <w:rsid w:val="00074982"/>
    <w:rPr>
      <w:color w:val="0563C1" w:themeColor="hyperlink"/>
      <w:u w:val="single"/>
    </w:rPr>
  </w:style>
  <w:style w:type="paragraph" w:styleId="Header">
    <w:name w:val="header"/>
    <w:basedOn w:val="Normal"/>
    <w:link w:val="HeaderChar"/>
    <w:uiPriority w:val="99"/>
    <w:unhideWhenUsed/>
    <w:rsid w:val="00613B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B7A"/>
  </w:style>
  <w:style w:type="paragraph" w:styleId="Footer">
    <w:name w:val="footer"/>
    <w:basedOn w:val="Normal"/>
    <w:link w:val="FooterChar"/>
    <w:uiPriority w:val="99"/>
    <w:unhideWhenUsed/>
    <w:rsid w:val="00613B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B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99395">
      <w:bodyDiv w:val="1"/>
      <w:marLeft w:val="0"/>
      <w:marRight w:val="0"/>
      <w:marTop w:val="0"/>
      <w:marBottom w:val="0"/>
      <w:divBdr>
        <w:top w:val="none" w:sz="0" w:space="0" w:color="auto"/>
        <w:left w:val="none" w:sz="0" w:space="0" w:color="auto"/>
        <w:bottom w:val="none" w:sz="0" w:space="0" w:color="auto"/>
        <w:right w:val="none" w:sz="0" w:space="0" w:color="auto"/>
      </w:divBdr>
    </w:div>
    <w:div w:id="35786289">
      <w:bodyDiv w:val="1"/>
      <w:marLeft w:val="0"/>
      <w:marRight w:val="0"/>
      <w:marTop w:val="0"/>
      <w:marBottom w:val="0"/>
      <w:divBdr>
        <w:top w:val="none" w:sz="0" w:space="0" w:color="auto"/>
        <w:left w:val="none" w:sz="0" w:space="0" w:color="auto"/>
        <w:bottom w:val="none" w:sz="0" w:space="0" w:color="auto"/>
        <w:right w:val="none" w:sz="0" w:space="0" w:color="auto"/>
      </w:divBdr>
    </w:div>
    <w:div w:id="111092813">
      <w:bodyDiv w:val="1"/>
      <w:marLeft w:val="0"/>
      <w:marRight w:val="0"/>
      <w:marTop w:val="0"/>
      <w:marBottom w:val="0"/>
      <w:divBdr>
        <w:top w:val="none" w:sz="0" w:space="0" w:color="auto"/>
        <w:left w:val="none" w:sz="0" w:space="0" w:color="auto"/>
        <w:bottom w:val="none" w:sz="0" w:space="0" w:color="auto"/>
        <w:right w:val="none" w:sz="0" w:space="0" w:color="auto"/>
      </w:divBdr>
    </w:div>
    <w:div w:id="334259720">
      <w:bodyDiv w:val="1"/>
      <w:marLeft w:val="0"/>
      <w:marRight w:val="0"/>
      <w:marTop w:val="0"/>
      <w:marBottom w:val="0"/>
      <w:divBdr>
        <w:top w:val="none" w:sz="0" w:space="0" w:color="auto"/>
        <w:left w:val="none" w:sz="0" w:space="0" w:color="auto"/>
        <w:bottom w:val="none" w:sz="0" w:space="0" w:color="auto"/>
        <w:right w:val="none" w:sz="0" w:space="0" w:color="auto"/>
      </w:divBdr>
    </w:div>
    <w:div w:id="593900477">
      <w:bodyDiv w:val="1"/>
      <w:marLeft w:val="0"/>
      <w:marRight w:val="0"/>
      <w:marTop w:val="0"/>
      <w:marBottom w:val="0"/>
      <w:divBdr>
        <w:top w:val="none" w:sz="0" w:space="0" w:color="auto"/>
        <w:left w:val="none" w:sz="0" w:space="0" w:color="auto"/>
        <w:bottom w:val="none" w:sz="0" w:space="0" w:color="auto"/>
        <w:right w:val="none" w:sz="0" w:space="0" w:color="auto"/>
      </w:divBdr>
    </w:div>
    <w:div w:id="599221366">
      <w:bodyDiv w:val="1"/>
      <w:marLeft w:val="0"/>
      <w:marRight w:val="0"/>
      <w:marTop w:val="0"/>
      <w:marBottom w:val="0"/>
      <w:divBdr>
        <w:top w:val="none" w:sz="0" w:space="0" w:color="auto"/>
        <w:left w:val="none" w:sz="0" w:space="0" w:color="auto"/>
        <w:bottom w:val="none" w:sz="0" w:space="0" w:color="auto"/>
        <w:right w:val="none" w:sz="0" w:space="0" w:color="auto"/>
      </w:divBdr>
    </w:div>
    <w:div w:id="604464943">
      <w:bodyDiv w:val="1"/>
      <w:marLeft w:val="0"/>
      <w:marRight w:val="0"/>
      <w:marTop w:val="0"/>
      <w:marBottom w:val="0"/>
      <w:divBdr>
        <w:top w:val="none" w:sz="0" w:space="0" w:color="auto"/>
        <w:left w:val="none" w:sz="0" w:space="0" w:color="auto"/>
        <w:bottom w:val="none" w:sz="0" w:space="0" w:color="auto"/>
        <w:right w:val="none" w:sz="0" w:space="0" w:color="auto"/>
      </w:divBdr>
    </w:div>
    <w:div w:id="1008285990">
      <w:bodyDiv w:val="1"/>
      <w:marLeft w:val="0"/>
      <w:marRight w:val="0"/>
      <w:marTop w:val="0"/>
      <w:marBottom w:val="0"/>
      <w:divBdr>
        <w:top w:val="none" w:sz="0" w:space="0" w:color="auto"/>
        <w:left w:val="none" w:sz="0" w:space="0" w:color="auto"/>
        <w:bottom w:val="none" w:sz="0" w:space="0" w:color="auto"/>
        <w:right w:val="none" w:sz="0" w:space="0" w:color="auto"/>
      </w:divBdr>
    </w:div>
    <w:div w:id="1020396431">
      <w:bodyDiv w:val="1"/>
      <w:marLeft w:val="0"/>
      <w:marRight w:val="0"/>
      <w:marTop w:val="0"/>
      <w:marBottom w:val="0"/>
      <w:divBdr>
        <w:top w:val="none" w:sz="0" w:space="0" w:color="auto"/>
        <w:left w:val="none" w:sz="0" w:space="0" w:color="auto"/>
        <w:bottom w:val="none" w:sz="0" w:space="0" w:color="auto"/>
        <w:right w:val="none" w:sz="0" w:space="0" w:color="auto"/>
      </w:divBdr>
    </w:div>
    <w:div w:id="1070034427">
      <w:bodyDiv w:val="1"/>
      <w:marLeft w:val="0"/>
      <w:marRight w:val="0"/>
      <w:marTop w:val="0"/>
      <w:marBottom w:val="0"/>
      <w:divBdr>
        <w:top w:val="none" w:sz="0" w:space="0" w:color="auto"/>
        <w:left w:val="none" w:sz="0" w:space="0" w:color="auto"/>
        <w:bottom w:val="none" w:sz="0" w:space="0" w:color="auto"/>
        <w:right w:val="none" w:sz="0" w:space="0" w:color="auto"/>
      </w:divBdr>
    </w:div>
    <w:div w:id="1245914366">
      <w:bodyDiv w:val="1"/>
      <w:marLeft w:val="0"/>
      <w:marRight w:val="0"/>
      <w:marTop w:val="0"/>
      <w:marBottom w:val="0"/>
      <w:divBdr>
        <w:top w:val="none" w:sz="0" w:space="0" w:color="auto"/>
        <w:left w:val="none" w:sz="0" w:space="0" w:color="auto"/>
        <w:bottom w:val="none" w:sz="0" w:space="0" w:color="auto"/>
        <w:right w:val="none" w:sz="0" w:space="0" w:color="auto"/>
      </w:divBdr>
    </w:div>
    <w:div w:id="1373578801">
      <w:bodyDiv w:val="1"/>
      <w:marLeft w:val="0"/>
      <w:marRight w:val="0"/>
      <w:marTop w:val="0"/>
      <w:marBottom w:val="0"/>
      <w:divBdr>
        <w:top w:val="none" w:sz="0" w:space="0" w:color="auto"/>
        <w:left w:val="none" w:sz="0" w:space="0" w:color="auto"/>
        <w:bottom w:val="none" w:sz="0" w:space="0" w:color="auto"/>
        <w:right w:val="none" w:sz="0" w:space="0" w:color="auto"/>
      </w:divBdr>
    </w:div>
    <w:div w:id="1377897996">
      <w:bodyDiv w:val="1"/>
      <w:marLeft w:val="0"/>
      <w:marRight w:val="0"/>
      <w:marTop w:val="0"/>
      <w:marBottom w:val="0"/>
      <w:divBdr>
        <w:top w:val="none" w:sz="0" w:space="0" w:color="auto"/>
        <w:left w:val="none" w:sz="0" w:space="0" w:color="auto"/>
        <w:bottom w:val="none" w:sz="0" w:space="0" w:color="auto"/>
        <w:right w:val="none" w:sz="0" w:space="0" w:color="auto"/>
      </w:divBdr>
    </w:div>
    <w:div w:id="1522815669">
      <w:bodyDiv w:val="1"/>
      <w:marLeft w:val="0"/>
      <w:marRight w:val="0"/>
      <w:marTop w:val="0"/>
      <w:marBottom w:val="0"/>
      <w:divBdr>
        <w:top w:val="none" w:sz="0" w:space="0" w:color="auto"/>
        <w:left w:val="none" w:sz="0" w:space="0" w:color="auto"/>
        <w:bottom w:val="none" w:sz="0" w:space="0" w:color="auto"/>
        <w:right w:val="none" w:sz="0" w:space="0" w:color="auto"/>
      </w:divBdr>
    </w:div>
    <w:div w:id="1577936897">
      <w:bodyDiv w:val="1"/>
      <w:marLeft w:val="0"/>
      <w:marRight w:val="0"/>
      <w:marTop w:val="0"/>
      <w:marBottom w:val="0"/>
      <w:divBdr>
        <w:top w:val="none" w:sz="0" w:space="0" w:color="auto"/>
        <w:left w:val="none" w:sz="0" w:space="0" w:color="auto"/>
        <w:bottom w:val="none" w:sz="0" w:space="0" w:color="auto"/>
        <w:right w:val="none" w:sz="0" w:space="0" w:color="auto"/>
      </w:divBdr>
    </w:div>
    <w:div w:id="1634093688">
      <w:bodyDiv w:val="1"/>
      <w:marLeft w:val="0"/>
      <w:marRight w:val="0"/>
      <w:marTop w:val="0"/>
      <w:marBottom w:val="0"/>
      <w:divBdr>
        <w:top w:val="none" w:sz="0" w:space="0" w:color="auto"/>
        <w:left w:val="none" w:sz="0" w:space="0" w:color="auto"/>
        <w:bottom w:val="none" w:sz="0" w:space="0" w:color="auto"/>
        <w:right w:val="none" w:sz="0" w:space="0" w:color="auto"/>
      </w:divBdr>
    </w:div>
    <w:div w:id="1690831855">
      <w:bodyDiv w:val="1"/>
      <w:marLeft w:val="0"/>
      <w:marRight w:val="0"/>
      <w:marTop w:val="0"/>
      <w:marBottom w:val="0"/>
      <w:divBdr>
        <w:top w:val="none" w:sz="0" w:space="0" w:color="auto"/>
        <w:left w:val="none" w:sz="0" w:space="0" w:color="auto"/>
        <w:bottom w:val="none" w:sz="0" w:space="0" w:color="auto"/>
        <w:right w:val="none" w:sz="0" w:space="0" w:color="auto"/>
      </w:divBdr>
    </w:div>
    <w:div w:id="1985963464">
      <w:bodyDiv w:val="1"/>
      <w:marLeft w:val="0"/>
      <w:marRight w:val="0"/>
      <w:marTop w:val="0"/>
      <w:marBottom w:val="0"/>
      <w:divBdr>
        <w:top w:val="none" w:sz="0" w:space="0" w:color="auto"/>
        <w:left w:val="none" w:sz="0" w:space="0" w:color="auto"/>
        <w:bottom w:val="none" w:sz="0" w:space="0" w:color="auto"/>
        <w:right w:val="none" w:sz="0" w:space="0" w:color="auto"/>
      </w:divBdr>
    </w:div>
    <w:div w:id="211466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ida.nih.gov/publications/drugfacts/methamphetamine"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442</TotalTime>
  <Pages>20</Pages>
  <Words>5171</Words>
  <Characters>29475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LIZZY</dc:creator>
  <cp:keywords/>
  <dc:description/>
  <cp:lastModifiedBy>PROF. LIZZY</cp:lastModifiedBy>
  <cp:revision>42</cp:revision>
  <dcterms:created xsi:type="dcterms:W3CDTF">2025-04-08T12:22:00Z</dcterms:created>
  <dcterms:modified xsi:type="dcterms:W3CDTF">2025-04-18T17:33:00Z</dcterms:modified>
</cp:coreProperties>
</file>