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6F39" w14:textId="77777777" w:rsidR="00E925E4" w:rsidRDefault="00E925E4">
      <w:pPr>
        <w:jc w:val="center"/>
        <w:rPr>
          <w:rFonts w:ascii="Times New Roman" w:hAnsi="Times New Roman"/>
          <w:b/>
          <w:bCs/>
          <w:i/>
          <w:iCs/>
          <w:sz w:val="28"/>
          <w:szCs w:val="28"/>
          <w:lang w:bidi="ar-DZ"/>
        </w:rPr>
      </w:pPr>
    </w:p>
    <w:p w14:paraId="60E9F55A" w14:textId="10163479" w:rsidR="007544DB" w:rsidRDefault="00A04522" w:rsidP="00A04522">
      <w:pPr>
        <w:jc w:val="center"/>
        <w:rPr>
          <w:rFonts w:ascii="Times New Roman" w:hAnsi="Times New Roman"/>
          <w:b/>
          <w:bCs/>
          <w:sz w:val="28"/>
          <w:szCs w:val="28"/>
          <w:lang w:bidi="ar-DZ"/>
        </w:rPr>
      </w:pPr>
      <w:r w:rsidRPr="00A04522">
        <w:rPr>
          <w:rFonts w:ascii="Times New Roman" w:hAnsi="Times New Roman"/>
          <w:b/>
          <w:bCs/>
          <w:sz w:val="28"/>
          <w:szCs w:val="28"/>
          <w:lang w:bidi="ar-DZ"/>
        </w:rPr>
        <w:t>Prevalence of Hepatitis B and C Virus Infections Among Blood Donors at Dongola Hospital, Northern State, Sudan</w:t>
      </w:r>
    </w:p>
    <w:p w14:paraId="2C064B65" w14:textId="77777777" w:rsidR="00E925E4" w:rsidRDefault="00145C38">
      <w:pPr>
        <w:jc w:val="center"/>
        <w:rPr>
          <w:rFonts w:ascii="Times New Roman" w:hAnsi="Times New Roman"/>
          <w:b/>
          <w:bCs/>
          <w:i/>
          <w:iCs/>
          <w:sz w:val="28"/>
          <w:szCs w:val="28"/>
          <w:lang w:bidi="ar-DZ"/>
        </w:rPr>
      </w:pPr>
      <w:r>
        <w:rPr>
          <w:rFonts w:ascii="Times New Roman" w:hAnsi="Times New Roman"/>
          <w:b/>
          <w:bCs/>
          <w:i/>
          <w:iCs/>
          <w:sz w:val="28"/>
          <w:szCs w:val="28"/>
          <w:lang w:bidi="ar-DZ"/>
        </w:rPr>
        <w:t xml:space="preserve">    </w:t>
      </w:r>
    </w:p>
    <w:p w14:paraId="08872E59" w14:textId="1F0E3CA3" w:rsidR="00E925E4" w:rsidRDefault="00145C38" w:rsidP="007544DB">
      <w:pPr>
        <w:rPr>
          <w:rFonts w:ascii="Times New Roman" w:hAnsi="Times New Roman"/>
          <w:b/>
          <w:bCs/>
          <w:i/>
          <w:iCs/>
          <w:sz w:val="28"/>
          <w:szCs w:val="28"/>
          <w:lang w:bidi="ar-DZ"/>
        </w:rPr>
      </w:pPr>
      <w:r>
        <w:rPr>
          <w:rFonts w:ascii="Times New Roman" w:hAnsi="Times New Roman"/>
          <w:b/>
          <w:bCs/>
          <w:i/>
          <w:iCs/>
          <w:sz w:val="28"/>
          <w:szCs w:val="28"/>
          <w:lang w:bidi="ar-DZ"/>
        </w:rPr>
        <w:t xml:space="preserve">  Abstract </w:t>
      </w:r>
    </w:p>
    <w:p w14:paraId="00BA024D" w14:textId="77777777" w:rsidR="00604754" w:rsidRPr="00604754" w:rsidRDefault="00604754" w:rsidP="00604754">
      <w:pPr>
        <w:spacing w:before="100" w:beforeAutospacing="1" w:after="100" w:afterAutospacing="1" w:line="240" w:lineRule="auto"/>
        <w:rPr>
          <w:rFonts w:ascii="Times New Roman" w:eastAsia="Times New Roman" w:hAnsi="Times New Roman"/>
          <w:sz w:val="24"/>
          <w:szCs w:val="24"/>
          <w:lang w:eastAsia="en-US"/>
        </w:rPr>
      </w:pPr>
      <w:r w:rsidRPr="00604754">
        <w:rPr>
          <w:rFonts w:ascii="Times New Roman" w:eastAsia="Times New Roman" w:hAnsi="Times New Roman"/>
          <w:b/>
          <w:bCs/>
          <w:sz w:val="24"/>
          <w:szCs w:val="24"/>
          <w:lang w:eastAsia="en-US"/>
        </w:rPr>
        <w:t>Background:</w:t>
      </w:r>
      <w:r w:rsidRPr="00604754">
        <w:rPr>
          <w:rFonts w:ascii="Times New Roman" w:eastAsia="Times New Roman" w:hAnsi="Times New Roman"/>
          <w:sz w:val="24"/>
          <w:szCs w:val="24"/>
          <w:lang w:eastAsia="en-US"/>
        </w:rPr>
        <w:br/>
        <w:t>Blood transfusion is a critical, life-saving medical intervention performed worldwide. However, it carries potential risks, including the transmission of transfusion-transmissible infections (TTIs), particularly viral hepatitis. Hepatitis B virus (HBV) and hepatitis C virus (HCV) are significant causes of liver disease and hepatocellular carcinoma.</w:t>
      </w:r>
    </w:p>
    <w:p w14:paraId="350449FE" w14:textId="77777777" w:rsidR="00424E35" w:rsidRDefault="00604754" w:rsidP="00604754">
      <w:pPr>
        <w:spacing w:before="100" w:beforeAutospacing="1" w:after="100" w:afterAutospacing="1" w:line="240" w:lineRule="auto"/>
        <w:rPr>
          <w:rFonts w:ascii="Times New Roman" w:eastAsia="Times New Roman" w:hAnsi="Times New Roman"/>
          <w:b/>
          <w:bCs/>
          <w:sz w:val="24"/>
          <w:szCs w:val="24"/>
          <w:lang w:eastAsia="en-US"/>
        </w:rPr>
      </w:pPr>
      <w:r w:rsidRPr="00604754">
        <w:rPr>
          <w:rFonts w:ascii="Times New Roman" w:eastAsia="Times New Roman" w:hAnsi="Times New Roman"/>
          <w:b/>
          <w:bCs/>
          <w:sz w:val="24"/>
          <w:szCs w:val="24"/>
          <w:lang w:eastAsia="en-US"/>
        </w:rPr>
        <w:t>Objective:</w:t>
      </w:r>
    </w:p>
    <w:p w14:paraId="7AF6EA08" w14:textId="32BF44A1" w:rsidR="00604754" w:rsidRPr="00604754" w:rsidRDefault="00424E35" w:rsidP="00604754">
      <w:pPr>
        <w:spacing w:before="100" w:beforeAutospacing="1" w:after="100" w:afterAutospacing="1" w:line="240" w:lineRule="auto"/>
        <w:rPr>
          <w:rFonts w:ascii="Times New Roman" w:eastAsia="Times New Roman" w:hAnsi="Times New Roman"/>
          <w:sz w:val="24"/>
          <w:szCs w:val="24"/>
          <w:lang w:eastAsia="en-US"/>
        </w:rPr>
      </w:pPr>
      <w:r w:rsidRPr="00424E35">
        <w:rPr>
          <w:rFonts w:ascii="Times New Roman" w:eastAsia="Times New Roman" w:hAnsi="Times New Roman"/>
          <w:sz w:val="24"/>
          <w:szCs w:val="24"/>
          <w:lang w:eastAsia="en-US"/>
        </w:rPr>
        <w:t>This study aimed to determine the prevalence of HBV and HCV infections among blood donors at Dongola Hospital.</w:t>
      </w:r>
    </w:p>
    <w:p w14:paraId="00390439" w14:textId="1282E1E6" w:rsidR="00604754" w:rsidRPr="00EF1F50" w:rsidRDefault="00604754" w:rsidP="00EF1F50">
      <w:pPr>
        <w:spacing w:before="100" w:beforeAutospacing="1" w:after="100" w:afterAutospacing="1" w:line="240" w:lineRule="auto"/>
        <w:rPr>
          <w:rFonts w:ascii="Times New Roman" w:eastAsia="Times New Roman" w:hAnsi="Times New Roman"/>
          <w:sz w:val="24"/>
          <w:szCs w:val="24"/>
          <w:lang w:eastAsia="en-US"/>
        </w:rPr>
      </w:pPr>
      <w:r w:rsidRPr="00604754">
        <w:rPr>
          <w:rFonts w:ascii="Times New Roman" w:eastAsia="Times New Roman" w:hAnsi="Times New Roman"/>
          <w:b/>
          <w:bCs/>
          <w:sz w:val="24"/>
          <w:szCs w:val="24"/>
          <w:lang w:eastAsia="en-US"/>
        </w:rPr>
        <w:t>Methods:</w:t>
      </w:r>
      <w:r w:rsidRPr="00604754">
        <w:rPr>
          <w:rFonts w:ascii="Times New Roman" w:eastAsia="Times New Roman" w:hAnsi="Times New Roman"/>
          <w:sz w:val="24"/>
          <w:szCs w:val="24"/>
          <w:lang w:eastAsia="en-US"/>
        </w:rPr>
        <w:br/>
        <w:t>A descriptive cross-sectional study was conducted in 2025 involving 100 voluntary blood donors. Participants were evaluated based on demographic characteristics, donation history, and risk factors such as previous surgery, tattooing or hijama (Islamic wet cupping), and history of jaundice. Screening for HBV and HCV was performed using immunochromatographic testing (ICT).</w:t>
      </w:r>
    </w:p>
    <w:p w14:paraId="4509B8D7" w14:textId="0B1A7EE6" w:rsidR="00E925E4" w:rsidRDefault="00EF1F50">
      <w:pPr>
        <w:rPr>
          <w:rFonts w:ascii="Times New Roman" w:hAnsi="Times New Roman"/>
          <w:b/>
          <w:bCs/>
          <w:i/>
          <w:iCs/>
          <w:sz w:val="28"/>
          <w:szCs w:val="28"/>
          <w:rtl/>
          <w:lang w:bidi="ar-DZ"/>
        </w:rPr>
      </w:pPr>
      <w:r>
        <w:rPr>
          <w:rFonts w:ascii="Times New Roman" w:hAnsi="Times New Roman"/>
          <w:b/>
          <w:bCs/>
          <w:i/>
          <w:iCs/>
          <w:sz w:val="28"/>
          <w:szCs w:val="28"/>
          <w:lang w:bidi="ar-DZ"/>
        </w:rPr>
        <w:t xml:space="preserve">Results: </w:t>
      </w:r>
    </w:p>
    <w:p w14:paraId="661B8FC9" w14:textId="03FF263F" w:rsidR="00E925E4" w:rsidRPr="00F953DF" w:rsidRDefault="00145C38" w:rsidP="00EF1F50">
      <w:pPr>
        <w:rPr>
          <w:rFonts w:ascii="Times New Roman" w:hAnsi="Times New Roman"/>
          <w:i/>
          <w:iCs/>
          <w:sz w:val="24"/>
          <w:szCs w:val="24"/>
          <w:lang w:bidi="ar-DZ"/>
        </w:rPr>
      </w:pPr>
      <w:r w:rsidRPr="00F953DF">
        <w:rPr>
          <w:rFonts w:ascii="Times New Roman" w:hAnsi="Times New Roman"/>
          <w:i/>
          <w:iCs/>
          <w:sz w:val="24"/>
          <w:szCs w:val="24"/>
          <w:lang w:bidi="ar-DZ"/>
        </w:rPr>
        <w:t>in this study 100 patients were the age of 61 (61%) of them 18 – 30 years old,  24 (24%) aged 31 – 40 Years,  while  11(11%) aged 41- 50 years old and, 4 (4%) were aged 51 years old and older. and there are 61 (61%) of them have History of Donation, while 39 (39%) of them have no History of Blood Donation. 93 (93%) of them have Negative result of HBV Test, while 7 (7%) of them have Positive result of  HBV test. 100 (100%) of them have Negative result of HCV Test.  involved in this study, 2 (2%) of them have History of Tatto or Islamic Higama, while 98 (98%) of them have No History of Tatto or Islamic Higama</w:t>
      </w:r>
    </w:p>
    <w:p w14:paraId="4A67F261" w14:textId="0C92B5DC" w:rsidR="00E925E4" w:rsidRPr="00F953DF" w:rsidRDefault="00145C38">
      <w:pPr>
        <w:rPr>
          <w:rFonts w:ascii="Times New Roman" w:hAnsi="Times New Roman"/>
          <w:i/>
          <w:iCs/>
          <w:sz w:val="24"/>
          <w:szCs w:val="24"/>
          <w:lang w:bidi="ar-DZ"/>
        </w:rPr>
      </w:pPr>
      <w:r w:rsidRPr="00F953DF">
        <w:rPr>
          <w:rFonts w:ascii="Times New Roman" w:hAnsi="Times New Roman"/>
          <w:i/>
          <w:iCs/>
          <w:sz w:val="24"/>
          <w:szCs w:val="24"/>
          <w:lang w:bidi="ar-DZ"/>
        </w:rPr>
        <w:t xml:space="preserve">And there are  3 (3%) of them have History of Surgery, while 97 (97%) of them have </w:t>
      </w:r>
      <w:r w:rsidR="00672BA6">
        <w:rPr>
          <w:rFonts w:ascii="Times New Roman" w:hAnsi="Times New Roman"/>
          <w:i/>
          <w:iCs/>
          <w:sz w:val="24"/>
          <w:szCs w:val="24"/>
          <w:lang w:bidi="ar-DZ"/>
        </w:rPr>
        <w:t>n</w:t>
      </w:r>
      <w:r w:rsidRPr="00F953DF">
        <w:rPr>
          <w:rFonts w:ascii="Times New Roman" w:hAnsi="Times New Roman"/>
          <w:i/>
          <w:iCs/>
          <w:sz w:val="24"/>
          <w:szCs w:val="24"/>
          <w:lang w:bidi="ar-DZ"/>
        </w:rPr>
        <w:t>o History of  Surgery .were 6 (6%) of them have History of  Jaundice, while 94 (94%) of them have No History of  Jaundice.  in this study, 1% in Hafer and Mgaser,  3% live in Baden, Shaikh Sharive and  Kmnar, 5% of them live in Altety, while  6% live in Grada, Algoled , 7% live in Aldem, 12% in Alselam, and 53% in Dongola.</w:t>
      </w:r>
    </w:p>
    <w:p w14:paraId="6C7592FC" w14:textId="1C054A01" w:rsidR="00DE1653" w:rsidRPr="00DE1653" w:rsidRDefault="00EF1F50" w:rsidP="00DE1653">
      <w:pPr>
        <w:rPr>
          <w:rFonts w:asciiTheme="majorBidi" w:hAnsiTheme="majorBidi" w:cstheme="majorBidi"/>
          <w:sz w:val="28"/>
          <w:szCs w:val="28"/>
        </w:rPr>
      </w:pPr>
      <w:r w:rsidRPr="00DE1653">
        <w:rPr>
          <w:rStyle w:val="Strong"/>
          <w:rFonts w:asciiTheme="majorBidi" w:hAnsiTheme="majorBidi" w:cstheme="majorBidi"/>
        </w:rPr>
        <w:lastRenderedPageBreak/>
        <w:t>Conclusion:</w:t>
      </w:r>
      <w:r>
        <w:br/>
      </w:r>
      <w:r w:rsidR="00DE1653" w:rsidRPr="00DE1653">
        <w:rPr>
          <w:rFonts w:asciiTheme="majorBidi" w:hAnsiTheme="majorBidi" w:cstheme="majorBidi"/>
          <w:sz w:val="28"/>
          <w:szCs w:val="28"/>
        </w:rPr>
        <w:t>This study highlights the presence of Hepatitis B Virus (HBV) among blood donors at Dongola Hospital</w:t>
      </w:r>
      <w:r w:rsidR="00DE1653">
        <w:rPr>
          <w:rFonts w:asciiTheme="majorBidi" w:hAnsiTheme="majorBidi" w:cstheme="majorBidi"/>
          <w:sz w:val="28"/>
          <w:szCs w:val="28"/>
        </w:rPr>
        <w:t>.</w:t>
      </w:r>
      <w:r w:rsidR="00DE1653" w:rsidRPr="00DE1653">
        <w:rPr>
          <w:rFonts w:asciiTheme="majorBidi" w:hAnsiTheme="majorBidi" w:cstheme="majorBidi"/>
          <w:sz w:val="28"/>
          <w:szCs w:val="28"/>
        </w:rPr>
        <w:t xml:space="preserve"> The results suggest that although the prevalence of HCV is low in this population, HBV remains a significant concern, particularly among younger donors aged 18–30 years. The current screening method using Immunochromatographic Test (ICT) showed limitations in accuracy, indicating the necessity for more reliable diagnostic tools such as Polymerase Chain Reaction (PCR) and Enzyme-Linked Immunosorbent Assay (ELISA). </w:t>
      </w:r>
    </w:p>
    <w:p w14:paraId="39A02519" w14:textId="67D74962" w:rsidR="00E925E4" w:rsidRDefault="009A51A5" w:rsidP="00DE1653">
      <w:pPr>
        <w:rPr>
          <w:rFonts w:ascii="Times New Roman" w:hAnsi="Times New Roman"/>
          <w:b/>
          <w:bCs/>
          <w:i/>
          <w:iCs/>
          <w:sz w:val="28"/>
          <w:szCs w:val="28"/>
          <w:rtl/>
          <w:lang w:bidi="ar-DZ"/>
        </w:rPr>
      </w:pPr>
      <w:r>
        <w:rPr>
          <w:rFonts w:ascii="Times New Roman" w:hAnsi="Times New Roman"/>
          <w:b/>
          <w:bCs/>
          <w:i/>
          <w:iCs/>
          <w:sz w:val="28"/>
          <w:szCs w:val="28"/>
          <w:lang w:bidi="ar-DZ"/>
        </w:rPr>
        <w:t xml:space="preserve">Key words: </w:t>
      </w:r>
      <w:r w:rsidRPr="009A51A5">
        <w:rPr>
          <w:rFonts w:ascii="Times New Roman" w:hAnsi="Times New Roman"/>
          <w:b/>
          <w:bCs/>
          <w:i/>
          <w:iCs/>
          <w:sz w:val="28"/>
          <w:szCs w:val="28"/>
          <w:lang w:bidi="ar-DZ"/>
        </w:rPr>
        <w:t>Blood transfusion</w:t>
      </w:r>
      <w:r>
        <w:rPr>
          <w:rFonts w:ascii="Times New Roman" w:hAnsi="Times New Roman"/>
          <w:b/>
          <w:bCs/>
          <w:i/>
          <w:iCs/>
          <w:sz w:val="28"/>
          <w:szCs w:val="28"/>
          <w:lang w:bidi="ar-DZ"/>
        </w:rPr>
        <w:t xml:space="preserve">, </w:t>
      </w:r>
      <w:r w:rsidRPr="009A51A5">
        <w:rPr>
          <w:rFonts w:ascii="Times New Roman" w:hAnsi="Times New Roman"/>
          <w:b/>
          <w:bCs/>
          <w:i/>
          <w:iCs/>
          <w:sz w:val="28"/>
          <w:szCs w:val="28"/>
          <w:lang w:bidi="ar-DZ"/>
        </w:rPr>
        <w:t>Hepatitis B</w:t>
      </w:r>
      <w:r>
        <w:rPr>
          <w:rFonts w:ascii="Times New Roman" w:hAnsi="Times New Roman"/>
          <w:b/>
          <w:bCs/>
          <w:i/>
          <w:iCs/>
          <w:sz w:val="28"/>
          <w:szCs w:val="28"/>
          <w:lang w:bidi="ar-DZ"/>
        </w:rPr>
        <w:t xml:space="preserve">, </w:t>
      </w:r>
      <w:r w:rsidRPr="009A51A5">
        <w:rPr>
          <w:rFonts w:ascii="Times New Roman" w:hAnsi="Times New Roman"/>
          <w:b/>
          <w:bCs/>
          <w:i/>
          <w:iCs/>
          <w:sz w:val="28"/>
          <w:szCs w:val="28"/>
          <w:lang w:bidi="ar-DZ"/>
        </w:rPr>
        <w:t xml:space="preserve">Hepatitis </w:t>
      </w:r>
      <w:r>
        <w:rPr>
          <w:rFonts w:ascii="Times New Roman" w:hAnsi="Times New Roman"/>
          <w:b/>
          <w:bCs/>
          <w:i/>
          <w:iCs/>
          <w:sz w:val="28"/>
          <w:szCs w:val="28"/>
          <w:lang w:bidi="ar-DZ"/>
        </w:rPr>
        <w:t xml:space="preserve">C, </w:t>
      </w:r>
      <w:r w:rsidRPr="009A51A5">
        <w:rPr>
          <w:rFonts w:ascii="Times New Roman" w:hAnsi="Times New Roman"/>
          <w:b/>
          <w:bCs/>
          <w:i/>
          <w:iCs/>
          <w:sz w:val="28"/>
          <w:szCs w:val="28"/>
          <w:lang w:bidi="ar-DZ"/>
        </w:rPr>
        <w:t>Enzyme-Linked Immunosorbent Assay</w:t>
      </w:r>
      <w:r>
        <w:rPr>
          <w:rFonts w:ascii="Times New Roman" w:hAnsi="Times New Roman"/>
          <w:b/>
          <w:bCs/>
          <w:i/>
          <w:iCs/>
          <w:sz w:val="28"/>
          <w:szCs w:val="28"/>
          <w:lang w:bidi="ar-DZ"/>
        </w:rPr>
        <w:t xml:space="preserve">, </w:t>
      </w:r>
      <w:r w:rsidRPr="009A51A5">
        <w:rPr>
          <w:rFonts w:ascii="Times New Roman" w:hAnsi="Times New Roman"/>
          <w:b/>
          <w:bCs/>
          <w:i/>
          <w:iCs/>
          <w:sz w:val="28"/>
          <w:szCs w:val="28"/>
          <w:lang w:bidi="ar-DZ"/>
        </w:rPr>
        <w:t>Hepatitis B Virus</w:t>
      </w:r>
      <w:r>
        <w:rPr>
          <w:rFonts w:ascii="Times New Roman" w:hAnsi="Times New Roman"/>
          <w:b/>
          <w:bCs/>
          <w:i/>
          <w:iCs/>
          <w:sz w:val="28"/>
          <w:szCs w:val="28"/>
          <w:lang w:bidi="ar-DZ"/>
        </w:rPr>
        <w:t xml:space="preserve">, </w:t>
      </w:r>
      <w:r w:rsidRPr="009A51A5">
        <w:rPr>
          <w:rFonts w:ascii="Times New Roman" w:hAnsi="Times New Roman"/>
          <w:b/>
          <w:bCs/>
          <w:i/>
          <w:iCs/>
          <w:sz w:val="28"/>
          <w:szCs w:val="28"/>
          <w:lang w:bidi="ar-DZ"/>
        </w:rPr>
        <w:t xml:space="preserve">Hepatitis </w:t>
      </w:r>
      <w:r>
        <w:rPr>
          <w:rFonts w:ascii="Times New Roman" w:hAnsi="Times New Roman"/>
          <w:b/>
          <w:bCs/>
          <w:i/>
          <w:iCs/>
          <w:sz w:val="28"/>
          <w:szCs w:val="28"/>
          <w:lang w:bidi="ar-DZ"/>
        </w:rPr>
        <w:t>C</w:t>
      </w:r>
      <w:r w:rsidRPr="009A51A5">
        <w:rPr>
          <w:rFonts w:ascii="Times New Roman" w:hAnsi="Times New Roman"/>
          <w:b/>
          <w:bCs/>
          <w:i/>
          <w:iCs/>
          <w:sz w:val="28"/>
          <w:szCs w:val="28"/>
          <w:lang w:bidi="ar-DZ"/>
        </w:rPr>
        <w:t xml:space="preserve"> Virus</w:t>
      </w:r>
      <w:r>
        <w:rPr>
          <w:rFonts w:ascii="Times New Roman" w:hAnsi="Times New Roman"/>
          <w:b/>
          <w:bCs/>
          <w:i/>
          <w:iCs/>
          <w:sz w:val="28"/>
          <w:szCs w:val="28"/>
          <w:lang w:bidi="ar-DZ"/>
        </w:rPr>
        <w:t xml:space="preserve">, </w:t>
      </w:r>
      <w:r w:rsidRPr="009A51A5">
        <w:rPr>
          <w:rFonts w:ascii="Times New Roman" w:hAnsi="Times New Roman"/>
          <w:b/>
          <w:bCs/>
          <w:i/>
          <w:iCs/>
          <w:sz w:val="28"/>
          <w:szCs w:val="28"/>
          <w:lang w:bidi="ar-DZ"/>
        </w:rPr>
        <w:t>human immunodeficiency virus</w:t>
      </w:r>
    </w:p>
    <w:p w14:paraId="4FBBF889" w14:textId="77777777" w:rsidR="00E925E4" w:rsidRDefault="00145C38">
      <w:pPr>
        <w:rPr>
          <w:rFonts w:ascii="Times New Roman" w:hAnsi="Times New Roman"/>
          <w:b/>
          <w:bCs/>
          <w:sz w:val="28"/>
          <w:szCs w:val="28"/>
          <w:rtl/>
          <w:lang w:bidi="ar-DZ"/>
        </w:rPr>
      </w:pPr>
      <w:r>
        <w:rPr>
          <w:rFonts w:ascii="Times New Roman" w:hAnsi="Times New Roman"/>
          <w:b/>
          <w:bCs/>
          <w:sz w:val="28"/>
          <w:szCs w:val="28"/>
          <w:lang w:bidi="ar-DZ"/>
        </w:rPr>
        <w:t>Introduction</w:t>
      </w:r>
      <w:r>
        <w:rPr>
          <w:rFonts w:ascii="Times New Roman" w:hAnsi="Times New Roman"/>
          <w:b/>
          <w:bCs/>
          <w:sz w:val="28"/>
          <w:szCs w:val="28"/>
          <w:rtl/>
          <w:lang w:bidi="ar-DZ"/>
        </w:rPr>
        <w:t>:</w:t>
      </w:r>
    </w:p>
    <w:p w14:paraId="793A9268" w14:textId="7FE5C904" w:rsidR="00E925E4" w:rsidRPr="00F953DF" w:rsidRDefault="008B4DA5">
      <w:pPr>
        <w:rPr>
          <w:rFonts w:ascii="Times New Roman" w:hAnsi="Times New Roman"/>
          <w:sz w:val="28"/>
          <w:szCs w:val="28"/>
          <w:lang w:bidi="ar-DZ"/>
        </w:rPr>
      </w:pPr>
      <w:r>
        <w:rPr>
          <w:rFonts w:ascii="Times New Roman" w:hAnsi="Times New Roman"/>
          <w:sz w:val="28"/>
          <w:szCs w:val="28"/>
          <w:lang w:bidi="ar-DZ"/>
        </w:rPr>
        <w:t>“</w:t>
      </w:r>
      <w:r w:rsidR="00145C38" w:rsidRPr="00F953DF">
        <w:rPr>
          <w:rFonts w:ascii="Times New Roman" w:hAnsi="Times New Roman"/>
          <w:sz w:val="28"/>
          <w:szCs w:val="28"/>
          <w:lang w:bidi="ar-DZ"/>
        </w:rPr>
        <w:t>Blood transfusion is a life-saving intervention and millions of lives</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are saved each year globally through this procedure. However, blood</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transfusions are associated with certain risks which can lead to adverse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consequences. It may cause acute or delayed complications and carries the risk</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 xml:space="preserve">of </w:t>
      </w:r>
      <w:r w:rsidR="00067417">
        <w:rPr>
          <w:rFonts w:ascii="Times New Roman" w:hAnsi="Times New Roman"/>
          <w:color w:val="FF0000"/>
          <w:sz w:val="28"/>
          <w:szCs w:val="28"/>
          <w:lang w:bidi="ar-DZ"/>
        </w:rPr>
        <w:t>transfusion transmissible infections (TTIs).</w:t>
      </w:r>
      <w:r w:rsidR="00067417">
        <w:rPr>
          <w:rFonts w:ascii="Times New Roman" w:hAnsi="Times New Roman"/>
          <w:sz w:val="28"/>
          <w:szCs w:val="28"/>
          <w:lang w:bidi="ar-DZ"/>
        </w:rPr>
        <w:t xml:space="preserve"> </w:t>
      </w:r>
      <w:r w:rsidR="00145C38" w:rsidRPr="00F953DF">
        <w:rPr>
          <w:rFonts w:ascii="Times New Roman" w:hAnsi="Times New Roman"/>
          <w:sz w:val="28"/>
          <w:szCs w:val="28"/>
          <w:lang w:bidi="ar-DZ"/>
        </w:rPr>
        <w:t>Globally, more than 81 million units of</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blood are donated each year</w:t>
      </w:r>
      <w:r>
        <w:rPr>
          <w:rFonts w:ascii="Times New Roman" w:hAnsi="Times New Roman"/>
          <w:sz w:val="28"/>
          <w:szCs w:val="28"/>
          <w:lang w:bidi="ar-DZ"/>
        </w:rPr>
        <w:t>”</w:t>
      </w:r>
      <w:r w:rsidR="00145C38" w:rsidRPr="00F953DF">
        <w:rPr>
          <w:rFonts w:ascii="Times New Roman" w:hAnsi="Times New Roman"/>
          <w:sz w:val="28"/>
          <w:szCs w:val="28"/>
          <w:lang w:bidi="ar-DZ"/>
        </w:rPr>
        <w:t xml:space="preserve"> [1]. </w:t>
      </w:r>
      <w:r>
        <w:rPr>
          <w:rFonts w:ascii="Times New Roman" w:hAnsi="Times New Roman"/>
          <w:sz w:val="28"/>
          <w:szCs w:val="28"/>
          <w:lang w:bidi="ar-DZ"/>
        </w:rPr>
        <w:t>“</w:t>
      </w:r>
      <w:r w:rsidR="00145C38" w:rsidRPr="00F953DF">
        <w:rPr>
          <w:rFonts w:ascii="Times New Roman" w:hAnsi="Times New Roman"/>
          <w:sz w:val="28"/>
          <w:szCs w:val="28"/>
          <w:lang w:bidi="ar-DZ"/>
        </w:rPr>
        <w:t>Blood transfusion is a therapeutic procedure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as there is no genuine substitution. But contaminated blood transfusion can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transmit infectious diseases and can be fatal instead of saving lif</w:t>
      </w:r>
      <w:r>
        <w:rPr>
          <w:rFonts w:ascii="Times New Roman" w:hAnsi="Times New Roman"/>
          <w:sz w:val="28"/>
          <w:szCs w:val="28"/>
          <w:lang w:bidi="ar-DZ"/>
        </w:rPr>
        <w:t>e”[2].</w:t>
      </w:r>
      <w:r w:rsidR="00145C38" w:rsidRPr="00F953DF">
        <w:rPr>
          <w:rFonts w:ascii="Times New Roman" w:hAnsi="Times New Roman"/>
          <w:sz w:val="28"/>
          <w:szCs w:val="28"/>
          <w:rtl/>
          <w:lang w:bidi="ar-DZ"/>
        </w:rPr>
        <w:t xml:space="preserve"> </w:t>
      </w:r>
      <w:r>
        <w:rPr>
          <w:rFonts w:ascii="Times New Roman" w:hAnsi="Times New Roman"/>
          <w:sz w:val="28"/>
          <w:szCs w:val="28"/>
          <w:lang w:val="en-GB" w:bidi="ar-DZ"/>
        </w:rPr>
        <w:t>“</w:t>
      </w:r>
      <w:r w:rsidR="00145C38" w:rsidRPr="00F953DF">
        <w:rPr>
          <w:rFonts w:ascii="Times New Roman" w:hAnsi="Times New Roman"/>
          <w:sz w:val="28"/>
          <w:szCs w:val="28"/>
          <w:lang w:bidi="ar-DZ"/>
        </w:rPr>
        <w:t xml:space="preserve">Evaluation of data on the prevalence of </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 xml:space="preserve">(TTIs) </w:t>
      </w:r>
      <w:r w:rsidR="00067417">
        <w:rPr>
          <w:rFonts w:ascii="Times New Roman" w:hAnsi="Times New Roman"/>
          <w:sz w:val="28"/>
          <w:szCs w:val="28"/>
          <w:lang w:bidi="ar-DZ"/>
        </w:rPr>
        <w:t xml:space="preserve">in our environment </w:t>
      </w:r>
      <w:r w:rsidR="00145C38" w:rsidRPr="00F953DF">
        <w:rPr>
          <w:rFonts w:ascii="Times New Roman" w:hAnsi="Times New Roman"/>
          <w:sz w:val="28"/>
          <w:szCs w:val="28"/>
          <w:lang w:bidi="ar-DZ"/>
        </w:rPr>
        <w:t>namely HIV, HBV, HCV and syphilis antibodies among blood and plasma</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donors permit an assessment of the occurrence of infections in the blood donor</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 xml:space="preserve">population and consequently the safety of the collected </w:t>
      </w:r>
      <w:r w:rsidR="00F621DC">
        <w:rPr>
          <w:rFonts w:ascii="Times New Roman" w:hAnsi="Times New Roman"/>
          <w:color w:val="FF0000"/>
          <w:sz w:val="28"/>
          <w:szCs w:val="28"/>
          <w:lang w:bidi="ar-DZ"/>
        </w:rPr>
        <w:t>blood and blood products</w:t>
      </w:r>
      <w:r w:rsidR="00145C38" w:rsidRPr="00F953DF">
        <w:rPr>
          <w:rFonts w:ascii="Times New Roman" w:hAnsi="Times New Roman"/>
          <w:sz w:val="28"/>
          <w:szCs w:val="28"/>
          <w:lang w:bidi="ar-DZ"/>
        </w:rPr>
        <w:t>. It also</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gives an idea of the epidemiology of these diseases in the community</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Transfusion associated infections continue to be a big threat</w:t>
      </w:r>
      <w:r>
        <w:rPr>
          <w:rFonts w:ascii="Times New Roman" w:hAnsi="Times New Roman"/>
          <w:sz w:val="28"/>
          <w:szCs w:val="28"/>
          <w:lang w:bidi="ar-DZ"/>
        </w:rPr>
        <w:t>”</w:t>
      </w:r>
      <w:r w:rsidR="00145C38" w:rsidRPr="00F953DF">
        <w:rPr>
          <w:rFonts w:ascii="Times New Roman" w:hAnsi="Times New Roman"/>
          <w:sz w:val="28"/>
          <w:szCs w:val="28"/>
          <w:rtl/>
          <w:lang w:bidi="ar-DZ"/>
        </w:rPr>
        <w:t xml:space="preserve"> [3].</w:t>
      </w:r>
    </w:p>
    <w:p w14:paraId="58348B14" w14:textId="77777777" w:rsidR="008B4DA5" w:rsidRDefault="008B4DA5">
      <w:pPr>
        <w:rPr>
          <w:rFonts w:ascii="Times New Roman" w:hAnsi="Times New Roman"/>
          <w:sz w:val="28"/>
          <w:szCs w:val="28"/>
          <w:lang w:val="en-GB" w:bidi="ar-DZ"/>
        </w:rPr>
      </w:pPr>
      <w:r>
        <w:rPr>
          <w:rFonts w:ascii="Times New Roman" w:hAnsi="Times New Roman"/>
          <w:sz w:val="28"/>
          <w:szCs w:val="28"/>
          <w:lang w:bidi="ar-DZ"/>
        </w:rPr>
        <w:t>“</w:t>
      </w:r>
      <w:r w:rsidR="00145C38" w:rsidRPr="00F953DF">
        <w:rPr>
          <w:rFonts w:ascii="Times New Roman" w:hAnsi="Times New Roman"/>
          <w:sz w:val="28"/>
          <w:szCs w:val="28"/>
          <w:lang w:bidi="ar-DZ"/>
        </w:rPr>
        <w:t>Transfusion transmissible infections can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be classified as viral</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bacterial and parasitic infections. The most commonly encountered transfusion</w:t>
      </w:r>
      <w:r w:rsidR="00F621DC">
        <w:rPr>
          <w:rFonts w:ascii="Times New Roman" w:hAnsi="Times New Roman"/>
          <w:sz w:val="28"/>
          <w:szCs w:val="28"/>
          <w:lang w:bidi="ar-DZ"/>
        </w:rPr>
        <w:t xml:space="preserve"> related </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infection is of viral origin. In many cases, post transfusion diseases have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been caused by human immunodeficiency virus (HIV), hepatitis B and C virus</w:t>
      </w:r>
      <w:r>
        <w:rPr>
          <w:rFonts w:ascii="Times New Roman" w:hAnsi="Times New Roman"/>
          <w:sz w:val="28"/>
          <w:szCs w:val="28"/>
          <w:lang w:bidi="ar-DZ"/>
        </w:rPr>
        <w:t>”</w:t>
      </w:r>
      <w:r w:rsidR="00145C38" w:rsidRPr="00F953DF">
        <w:rPr>
          <w:rFonts w:ascii="Times New Roman" w:hAnsi="Times New Roman"/>
          <w:sz w:val="28"/>
          <w:szCs w:val="28"/>
          <w:rtl/>
          <w:lang w:bidi="ar-DZ"/>
        </w:rPr>
        <w:t xml:space="preserve"> [4]. </w:t>
      </w:r>
    </w:p>
    <w:p w14:paraId="0CF51E3F" w14:textId="75E6955A" w:rsidR="00E925E4" w:rsidRPr="00F953DF" w:rsidRDefault="008B4DA5">
      <w:pPr>
        <w:rPr>
          <w:rFonts w:ascii="Times New Roman" w:hAnsi="Times New Roman"/>
          <w:sz w:val="28"/>
          <w:szCs w:val="28"/>
          <w:rtl/>
          <w:lang w:bidi="ar-DZ"/>
        </w:rPr>
      </w:pPr>
      <w:r>
        <w:rPr>
          <w:rFonts w:ascii="Times New Roman" w:hAnsi="Times New Roman"/>
          <w:sz w:val="28"/>
          <w:szCs w:val="28"/>
          <w:lang w:val="en-GB" w:bidi="ar-DZ"/>
        </w:rPr>
        <w:t>“</w:t>
      </w:r>
      <w:r w:rsidR="00145C38" w:rsidRPr="00F953DF">
        <w:rPr>
          <w:rFonts w:ascii="Times New Roman" w:hAnsi="Times New Roman"/>
          <w:sz w:val="28"/>
          <w:szCs w:val="28"/>
          <w:lang w:bidi="ar-DZ"/>
        </w:rPr>
        <w:t>Prevalence of HBV infection varies greatly in different parts of the world. The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World Health Organization (WHO) has classified HBV prevalence into high</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endemicity</w:t>
      </w:r>
      <w:r w:rsidR="00B30A03">
        <w:rPr>
          <w:rFonts w:ascii="Times New Roman" w:hAnsi="Times New Roman"/>
          <w:sz w:val="28"/>
          <w:szCs w:val="28"/>
          <w:lang w:bidi="ar-DZ"/>
        </w:rPr>
        <w:t xml:space="preserve"> (≥8%) intermediate (2-7%) and low endemicity (&lt;2%).</w:t>
      </w:r>
      <w:r w:rsidR="00145C38" w:rsidRPr="00F953DF">
        <w:rPr>
          <w:rFonts w:ascii="Times New Roman" w:hAnsi="Times New Roman"/>
          <w:sz w:val="28"/>
          <w:szCs w:val="28"/>
          <w:lang w:bidi="ar-DZ"/>
        </w:rPr>
        <w:t>Viral</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hepatitis</w:t>
      </w:r>
      <w:r w:rsidR="00B30A03">
        <w:rPr>
          <w:rFonts w:ascii="Times New Roman" w:hAnsi="Times New Roman"/>
          <w:sz w:val="28"/>
          <w:szCs w:val="28"/>
          <w:lang w:bidi="ar-DZ"/>
        </w:rPr>
        <w:t xml:space="preserve"> is </w:t>
      </w:r>
      <w:r w:rsidR="00145C38" w:rsidRPr="00F953DF">
        <w:rPr>
          <w:rFonts w:ascii="Times New Roman" w:hAnsi="Times New Roman"/>
          <w:sz w:val="28"/>
          <w:szCs w:val="28"/>
          <w:lang w:bidi="ar-DZ"/>
        </w:rPr>
        <w:lastRenderedPageBreak/>
        <w:t>a primary infection of the liver by one of</w:t>
      </w:r>
      <w:r w:rsidR="00B30A03">
        <w:rPr>
          <w:rFonts w:ascii="Times New Roman" w:hAnsi="Times New Roman"/>
          <w:sz w:val="28"/>
          <w:szCs w:val="28"/>
          <w:lang w:bidi="ar-DZ"/>
        </w:rPr>
        <w:t xml:space="preserve"> the </w:t>
      </w:r>
      <w:r w:rsidR="00145C38" w:rsidRPr="00F953DF">
        <w:rPr>
          <w:rFonts w:ascii="Times New Roman" w:hAnsi="Times New Roman"/>
          <w:sz w:val="28"/>
          <w:szCs w:val="28"/>
          <w:lang w:bidi="ar-DZ"/>
        </w:rPr>
        <w:t xml:space="preserve"> hepatotropic viruses (A</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 xml:space="preserve">B, C, D, E). The clinical manifestations of almost all </w:t>
      </w:r>
      <w:r w:rsidR="00B30A03">
        <w:rPr>
          <w:rFonts w:ascii="Times New Roman" w:hAnsi="Times New Roman"/>
          <w:sz w:val="28"/>
          <w:szCs w:val="28"/>
          <w:lang w:bidi="ar-DZ"/>
        </w:rPr>
        <w:t xml:space="preserve">of </w:t>
      </w:r>
      <w:r w:rsidR="00145C38" w:rsidRPr="00F953DF">
        <w:rPr>
          <w:rFonts w:ascii="Times New Roman" w:hAnsi="Times New Roman"/>
          <w:sz w:val="28"/>
          <w:szCs w:val="28"/>
          <w:lang w:bidi="ar-DZ"/>
        </w:rPr>
        <w:t>these types are similar</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Hepatitis B and C viruses are also responsible for hepatocellular cance</w:t>
      </w:r>
      <w:r w:rsidR="00B30A03">
        <w:rPr>
          <w:rFonts w:ascii="Times New Roman" w:hAnsi="Times New Roman"/>
          <w:sz w:val="28"/>
          <w:szCs w:val="28"/>
          <w:lang w:bidi="ar-DZ"/>
        </w:rPr>
        <w:t>r (6).</w:t>
      </w:r>
    </w:p>
    <w:p w14:paraId="5E26F89F" w14:textId="01211177" w:rsidR="00A02AB8" w:rsidRDefault="008B4DA5" w:rsidP="00A02AB8">
      <w:pPr>
        <w:rPr>
          <w:rFonts w:ascii="Times New Roman" w:hAnsi="Times New Roman"/>
          <w:sz w:val="28"/>
          <w:szCs w:val="28"/>
          <w:lang w:bidi="ar-DZ"/>
        </w:rPr>
      </w:pPr>
      <w:r>
        <w:rPr>
          <w:rFonts w:ascii="Times New Roman" w:hAnsi="Times New Roman"/>
          <w:sz w:val="28"/>
          <w:szCs w:val="28"/>
          <w:lang w:bidi="ar-DZ"/>
        </w:rPr>
        <w:t>“</w:t>
      </w:r>
      <w:r w:rsidR="00145C38" w:rsidRPr="00F953DF">
        <w:rPr>
          <w:rFonts w:ascii="Times New Roman" w:hAnsi="Times New Roman"/>
          <w:sz w:val="28"/>
          <w:szCs w:val="28"/>
          <w:lang w:bidi="ar-DZ"/>
        </w:rPr>
        <w:t>Hepatitis B virus (HBV), the prototypical member of the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Hepadna</w:t>
      </w:r>
      <w:r w:rsidR="00A02AB8">
        <w:rPr>
          <w:rFonts w:ascii="Times New Roman" w:hAnsi="Times New Roman"/>
          <w:sz w:val="28"/>
          <w:szCs w:val="28"/>
          <w:lang w:bidi="ar-DZ"/>
        </w:rPr>
        <w:t xml:space="preserve"> </w:t>
      </w:r>
      <w:r w:rsidR="00145C38" w:rsidRPr="00F953DF">
        <w:rPr>
          <w:rFonts w:ascii="Times New Roman" w:hAnsi="Times New Roman"/>
          <w:sz w:val="28"/>
          <w:szCs w:val="28"/>
          <w:lang w:bidi="ar-DZ"/>
        </w:rPr>
        <w:t>viridae family, is a non-cytopathic DNA virus that is transmitted by</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contacts with infected blood and body fluids and triggers immune-mediated liver</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diseases of varying severity and duration</w:t>
      </w:r>
      <w:r>
        <w:rPr>
          <w:rFonts w:ascii="Times New Roman" w:hAnsi="Times New Roman"/>
          <w:sz w:val="28"/>
          <w:szCs w:val="28"/>
          <w:lang w:bidi="ar-DZ"/>
        </w:rPr>
        <w:t>”</w:t>
      </w:r>
      <w:r w:rsidR="00A02AB8">
        <w:rPr>
          <w:rFonts w:ascii="Times New Roman" w:hAnsi="Times New Roman"/>
          <w:sz w:val="28"/>
          <w:szCs w:val="28"/>
          <w:lang w:bidi="ar-DZ"/>
        </w:rPr>
        <w:t xml:space="preserve"> </w:t>
      </w:r>
      <w:r w:rsidR="00145C38" w:rsidRPr="00F953DF">
        <w:rPr>
          <w:rFonts w:ascii="Times New Roman" w:hAnsi="Times New Roman"/>
          <w:sz w:val="28"/>
          <w:szCs w:val="28"/>
          <w:lang w:bidi="ar-DZ"/>
        </w:rPr>
        <w:t xml:space="preserve">(7). </w:t>
      </w:r>
      <w:r>
        <w:rPr>
          <w:rFonts w:ascii="Times New Roman" w:hAnsi="Times New Roman"/>
          <w:sz w:val="28"/>
          <w:szCs w:val="28"/>
          <w:lang w:bidi="ar-DZ"/>
        </w:rPr>
        <w:t>“</w:t>
      </w:r>
      <w:r w:rsidR="00145C38" w:rsidRPr="00F953DF">
        <w:rPr>
          <w:rFonts w:ascii="Times New Roman" w:hAnsi="Times New Roman"/>
          <w:sz w:val="28"/>
          <w:szCs w:val="28"/>
          <w:lang w:bidi="ar-DZ"/>
        </w:rPr>
        <w:t>The infectious virion is an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enveloped nucleocapsid that selectively enters the hepatocyte and delivers an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incomplete circular DNA genome, thereby initiating a multifaceted process of</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viral replication</w:t>
      </w:r>
      <w:r>
        <w:rPr>
          <w:rFonts w:ascii="Times New Roman" w:hAnsi="Times New Roman"/>
          <w:sz w:val="28"/>
          <w:szCs w:val="28"/>
          <w:lang w:bidi="ar-DZ"/>
        </w:rPr>
        <w:t>”</w:t>
      </w:r>
      <w:r w:rsidR="00145C38" w:rsidRPr="00F953DF">
        <w:rPr>
          <w:rFonts w:ascii="Times New Roman" w:hAnsi="Times New Roman"/>
          <w:sz w:val="28"/>
          <w:szCs w:val="28"/>
          <w:lang w:bidi="ar-DZ"/>
        </w:rPr>
        <w:t xml:space="preserve"> ( 7,8). </w:t>
      </w:r>
      <w:r>
        <w:rPr>
          <w:rFonts w:ascii="Times New Roman" w:hAnsi="Times New Roman"/>
          <w:sz w:val="28"/>
          <w:szCs w:val="28"/>
          <w:lang w:bidi="ar-DZ"/>
        </w:rPr>
        <w:t>“</w:t>
      </w:r>
      <w:r w:rsidR="00145C38" w:rsidRPr="00F953DF">
        <w:rPr>
          <w:rFonts w:ascii="Times New Roman" w:hAnsi="Times New Roman"/>
          <w:sz w:val="28"/>
          <w:szCs w:val="28"/>
          <w:lang w:bidi="ar-DZ"/>
        </w:rPr>
        <w:t>According to WHO (World Health Organization) data</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almost one-third of the world’s population has been infected by HBV at some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point in their lives</w:t>
      </w:r>
      <w:r>
        <w:rPr>
          <w:rFonts w:ascii="Times New Roman" w:hAnsi="Times New Roman"/>
          <w:sz w:val="28"/>
          <w:szCs w:val="28"/>
          <w:lang w:bidi="ar-DZ"/>
        </w:rPr>
        <w:t>”</w:t>
      </w:r>
      <w:r w:rsidR="00A02AB8">
        <w:rPr>
          <w:rFonts w:ascii="Times New Roman" w:hAnsi="Times New Roman"/>
          <w:sz w:val="28"/>
          <w:szCs w:val="28"/>
          <w:lang w:bidi="ar-DZ"/>
        </w:rPr>
        <w:t xml:space="preserve"> </w:t>
      </w:r>
      <w:r w:rsidR="00145C38" w:rsidRPr="00F953DF">
        <w:rPr>
          <w:rFonts w:ascii="Times New Roman" w:hAnsi="Times New Roman"/>
          <w:sz w:val="28"/>
          <w:szCs w:val="28"/>
          <w:lang w:bidi="ar-DZ"/>
        </w:rPr>
        <w:t>(8</w:t>
      </w:r>
      <w:r w:rsidR="00A02AB8">
        <w:rPr>
          <w:rFonts w:ascii="Times New Roman" w:hAnsi="Times New Roman"/>
          <w:sz w:val="28"/>
          <w:szCs w:val="28"/>
          <w:lang w:bidi="ar-DZ"/>
        </w:rPr>
        <w:t>,</w:t>
      </w:r>
      <w:r w:rsidR="00145C38" w:rsidRPr="00F953DF">
        <w:rPr>
          <w:rFonts w:ascii="Times New Roman" w:hAnsi="Times New Roman"/>
          <w:sz w:val="28"/>
          <w:szCs w:val="28"/>
          <w:lang w:bidi="ar-DZ"/>
        </w:rPr>
        <w:t xml:space="preserve">9). </w:t>
      </w:r>
      <w:r>
        <w:rPr>
          <w:rFonts w:ascii="Times New Roman" w:hAnsi="Times New Roman"/>
          <w:sz w:val="28"/>
          <w:szCs w:val="28"/>
          <w:lang w:bidi="ar-DZ"/>
        </w:rPr>
        <w:t>“</w:t>
      </w:r>
      <w:r w:rsidR="00145C38" w:rsidRPr="00F953DF">
        <w:rPr>
          <w:rFonts w:ascii="Times New Roman" w:hAnsi="Times New Roman"/>
          <w:sz w:val="28"/>
          <w:szCs w:val="28"/>
          <w:lang w:bidi="ar-DZ"/>
        </w:rPr>
        <w:t>The vast majority of these people encountered HBV in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adulthood, developed a self-limited infection (that is, acute hepatitis B</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(AHB)) and successfully controlled the virus</w:t>
      </w:r>
      <w:r>
        <w:rPr>
          <w:rFonts w:ascii="Times New Roman" w:hAnsi="Times New Roman"/>
          <w:sz w:val="28"/>
          <w:szCs w:val="28"/>
          <w:lang w:bidi="ar-DZ"/>
        </w:rPr>
        <w:t>”</w:t>
      </w:r>
      <w:r w:rsidR="00A02AB8">
        <w:rPr>
          <w:rFonts w:ascii="Times New Roman" w:hAnsi="Times New Roman"/>
          <w:sz w:val="28"/>
          <w:szCs w:val="28"/>
          <w:lang w:bidi="ar-DZ"/>
        </w:rPr>
        <w:t xml:space="preserve"> </w:t>
      </w:r>
      <w:r w:rsidR="00145C38" w:rsidRPr="00F953DF">
        <w:rPr>
          <w:rFonts w:ascii="Times New Roman" w:hAnsi="Times New Roman"/>
          <w:sz w:val="28"/>
          <w:szCs w:val="28"/>
          <w:lang w:bidi="ar-DZ"/>
        </w:rPr>
        <w:t xml:space="preserve">(7,8) </w:t>
      </w:r>
      <w:r>
        <w:rPr>
          <w:rFonts w:ascii="Times New Roman" w:hAnsi="Times New Roman"/>
          <w:sz w:val="28"/>
          <w:szCs w:val="28"/>
          <w:lang w:bidi="ar-DZ"/>
        </w:rPr>
        <w:t>“</w:t>
      </w:r>
      <w:r w:rsidR="00145C38" w:rsidRPr="00F953DF">
        <w:rPr>
          <w:rFonts w:ascii="Times New Roman" w:hAnsi="Times New Roman"/>
          <w:sz w:val="28"/>
          <w:szCs w:val="28"/>
          <w:lang w:bidi="ar-DZ"/>
        </w:rPr>
        <w:t>Although fewer than 5% of</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individuals who encountered HBV as immunocompetent adults develop a  chronic hepatitis B (CHB</w:t>
      </w:r>
      <w:r w:rsidR="00A02AB8">
        <w:rPr>
          <w:rFonts w:ascii="Times New Roman" w:hAnsi="Times New Roman"/>
          <w:sz w:val="28"/>
          <w:szCs w:val="28"/>
          <w:lang w:bidi="ar-DZ"/>
        </w:rPr>
        <w:t>I</w:t>
      </w:r>
      <w:r w:rsidR="00145C38" w:rsidRPr="00F953DF">
        <w:rPr>
          <w:rFonts w:ascii="Times New Roman" w:hAnsi="Times New Roman"/>
          <w:sz w:val="28"/>
          <w:szCs w:val="28"/>
          <w:lang w:bidi="ar-DZ"/>
        </w:rPr>
        <w:t>), most of the infections acquired</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in infancy or early childhood become chronic. CHB</w:t>
      </w:r>
      <w:r w:rsidR="00A02AB8">
        <w:rPr>
          <w:rFonts w:ascii="Times New Roman" w:hAnsi="Times New Roman"/>
          <w:sz w:val="28"/>
          <w:szCs w:val="28"/>
          <w:lang w:bidi="ar-DZ"/>
        </w:rPr>
        <w:t>I</w:t>
      </w:r>
      <w:r w:rsidR="00145C38" w:rsidRPr="00F953DF">
        <w:rPr>
          <w:rFonts w:ascii="Times New Roman" w:hAnsi="Times New Roman"/>
          <w:sz w:val="28"/>
          <w:szCs w:val="28"/>
          <w:lang w:bidi="ar-DZ"/>
        </w:rPr>
        <w:t xml:space="preserve"> affects more than 250million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individuals worldwide and almost 1million die annually from complications of</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persistent infection</w:t>
      </w:r>
      <w:r w:rsidR="00A02AB8">
        <w:rPr>
          <w:rFonts w:ascii="Times New Roman" w:hAnsi="Times New Roman"/>
          <w:sz w:val="28"/>
          <w:szCs w:val="28"/>
          <w:lang w:bidi="ar-DZ"/>
        </w:rPr>
        <w:t xml:space="preserve"> like</w:t>
      </w:r>
      <w:r w:rsidR="00145C38" w:rsidRPr="00F953DF">
        <w:rPr>
          <w:rFonts w:ascii="Times New Roman" w:hAnsi="Times New Roman"/>
          <w:sz w:val="28"/>
          <w:szCs w:val="28"/>
          <w:lang w:bidi="ar-DZ"/>
        </w:rPr>
        <w:t>, liver cirrhosis</w:t>
      </w:r>
      <w:r w:rsidR="00A02AB8">
        <w:rPr>
          <w:rFonts w:ascii="Times New Roman" w:hAnsi="Times New Roman"/>
          <w:sz w:val="28"/>
          <w:szCs w:val="28"/>
          <w:lang w:bidi="ar-DZ"/>
        </w:rPr>
        <w:t xml:space="preserve"> </w:t>
      </w:r>
      <w:r w:rsidR="00145C38" w:rsidRPr="00F953DF">
        <w:rPr>
          <w:rFonts w:ascii="Times New Roman" w:hAnsi="Times New Roman"/>
          <w:sz w:val="28"/>
          <w:szCs w:val="28"/>
          <w:lang w:bidi="ar-DZ"/>
        </w:rPr>
        <w:t>and hepatocellular carcinoma (HCC). CHB</w:t>
      </w:r>
      <w:r w:rsidR="00A02AB8">
        <w:rPr>
          <w:rFonts w:ascii="Times New Roman" w:hAnsi="Times New Roman"/>
          <w:sz w:val="28"/>
          <w:szCs w:val="28"/>
          <w:lang w:bidi="ar-DZ"/>
        </w:rPr>
        <w:t>I</w:t>
      </w:r>
      <w:r w:rsidR="00145C38" w:rsidRPr="00F953DF">
        <w:rPr>
          <w:rFonts w:ascii="Times New Roman" w:hAnsi="Times New Roman"/>
          <w:sz w:val="28"/>
          <w:szCs w:val="28"/>
          <w:lang w:bidi="ar-DZ"/>
        </w:rPr>
        <w:t xml:space="preserve"> is</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highly endemic in Africa and Asia, as well as parts of Central and Eastern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Europe</w:t>
      </w:r>
      <w:r>
        <w:rPr>
          <w:rFonts w:ascii="Times New Roman" w:hAnsi="Times New Roman"/>
          <w:sz w:val="28"/>
          <w:szCs w:val="28"/>
          <w:lang w:bidi="ar-DZ"/>
        </w:rPr>
        <w:t>”</w:t>
      </w:r>
      <w:r w:rsidR="00A02AB8">
        <w:rPr>
          <w:rFonts w:ascii="Times New Roman" w:hAnsi="Times New Roman"/>
          <w:sz w:val="28"/>
          <w:szCs w:val="28"/>
          <w:lang w:bidi="ar-DZ"/>
        </w:rPr>
        <w:t xml:space="preserve"> (8</w:t>
      </w:r>
      <w:r w:rsidR="00672BA6">
        <w:rPr>
          <w:rFonts w:ascii="Times New Roman" w:hAnsi="Times New Roman"/>
          <w:sz w:val="28"/>
          <w:szCs w:val="28"/>
          <w:lang w:bidi="ar-DZ"/>
        </w:rPr>
        <w:t>,</w:t>
      </w:r>
      <w:r w:rsidR="00A02AB8">
        <w:rPr>
          <w:rFonts w:ascii="Times New Roman" w:hAnsi="Times New Roman"/>
          <w:sz w:val="28"/>
          <w:szCs w:val="28"/>
          <w:lang w:bidi="ar-DZ"/>
        </w:rPr>
        <w:t>9).</w:t>
      </w:r>
    </w:p>
    <w:p w14:paraId="50291066" w14:textId="22D38EC4" w:rsidR="00A02AB8" w:rsidRDefault="008B4DA5" w:rsidP="00A02AB8">
      <w:pPr>
        <w:rPr>
          <w:rFonts w:ascii="Times New Roman" w:hAnsi="Times New Roman"/>
          <w:sz w:val="28"/>
          <w:szCs w:val="28"/>
          <w:lang w:bidi="ar-DZ"/>
        </w:rPr>
      </w:pPr>
      <w:r>
        <w:rPr>
          <w:rFonts w:ascii="Times New Roman" w:hAnsi="Times New Roman"/>
          <w:sz w:val="28"/>
          <w:szCs w:val="28"/>
          <w:lang w:bidi="ar-DZ"/>
        </w:rPr>
        <w:t>“</w:t>
      </w:r>
      <w:r w:rsidR="00145C38" w:rsidRPr="00F953DF">
        <w:rPr>
          <w:rFonts w:ascii="Times New Roman" w:hAnsi="Times New Roman"/>
          <w:sz w:val="28"/>
          <w:szCs w:val="28"/>
          <w:lang w:bidi="ar-DZ"/>
        </w:rPr>
        <w:t>H</w:t>
      </w:r>
      <w:r w:rsidR="00A02AB8">
        <w:rPr>
          <w:rFonts w:ascii="Times New Roman" w:hAnsi="Times New Roman"/>
          <w:sz w:val="28"/>
          <w:szCs w:val="28"/>
          <w:lang w:bidi="ar-DZ"/>
        </w:rPr>
        <w:t>e</w:t>
      </w:r>
      <w:r w:rsidR="00145C38" w:rsidRPr="00F953DF">
        <w:rPr>
          <w:rFonts w:ascii="Times New Roman" w:hAnsi="Times New Roman"/>
          <w:sz w:val="28"/>
          <w:szCs w:val="28"/>
          <w:lang w:bidi="ar-DZ"/>
        </w:rPr>
        <w:t>p</w:t>
      </w:r>
      <w:r w:rsidR="00A02AB8">
        <w:rPr>
          <w:rFonts w:ascii="Times New Roman" w:hAnsi="Times New Roman"/>
          <w:sz w:val="28"/>
          <w:szCs w:val="28"/>
          <w:lang w:bidi="ar-DZ"/>
        </w:rPr>
        <w:t>a</w:t>
      </w:r>
      <w:r w:rsidR="00145C38" w:rsidRPr="00F953DF">
        <w:rPr>
          <w:rFonts w:ascii="Times New Roman" w:hAnsi="Times New Roman"/>
          <w:sz w:val="28"/>
          <w:szCs w:val="28"/>
          <w:lang w:bidi="ar-DZ"/>
        </w:rPr>
        <w:t xml:space="preserve">tites C </w:t>
      </w:r>
      <w:r w:rsidR="00A02AB8">
        <w:rPr>
          <w:rFonts w:ascii="Times New Roman" w:hAnsi="Times New Roman"/>
          <w:sz w:val="28"/>
          <w:szCs w:val="28"/>
          <w:lang w:bidi="ar-DZ"/>
        </w:rPr>
        <w:t>(</w:t>
      </w:r>
      <w:r w:rsidR="00145C38" w:rsidRPr="00F953DF">
        <w:rPr>
          <w:rFonts w:ascii="Times New Roman" w:hAnsi="Times New Roman"/>
          <w:sz w:val="28"/>
          <w:szCs w:val="28"/>
          <w:lang w:bidi="ar-DZ"/>
        </w:rPr>
        <w:t>HCV</w:t>
      </w:r>
      <w:r w:rsidR="00A02AB8">
        <w:rPr>
          <w:rFonts w:ascii="Times New Roman" w:hAnsi="Times New Roman"/>
          <w:sz w:val="28"/>
          <w:szCs w:val="28"/>
          <w:lang w:bidi="ar-DZ"/>
        </w:rPr>
        <w:t>)</w:t>
      </w:r>
      <w:r w:rsidR="00145C38" w:rsidRPr="00F953DF">
        <w:rPr>
          <w:rFonts w:ascii="Times New Roman" w:hAnsi="Times New Roman"/>
          <w:sz w:val="28"/>
          <w:szCs w:val="28"/>
          <w:lang w:bidi="ar-DZ"/>
        </w:rPr>
        <w:t xml:space="preserve"> is an RNA virus that belongs to the family of</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flaviviruses; the most closely related human viruses</w:t>
      </w:r>
      <w:r>
        <w:rPr>
          <w:rFonts w:ascii="Times New Roman" w:hAnsi="Times New Roman"/>
          <w:sz w:val="28"/>
          <w:szCs w:val="28"/>
          <w:lang w:bidi="ar-DZ"/>
        </w:rPr>
        <w:t>”</w:t>
      </w:r>
      <w:r w:rsidR="00145C38" w:rsidRPr="00F953DF">
        <w:rPr>
          <w:rFonts w:ascii="Times New Roman" w:hAnsi="Times New Roman"/>
          <w:sz w:val="28"/>
          <w:szCs w:val="28"/>
          <w:lang w:bidi="ar-DZ"/>
        </w:rPr>
        <w:t xml:space="preserve"> (10)</w:t>
      </w:r>
      <w:r w:rsidR="00672BA6">
        <w:rPr>
          <w:rFonts w:ascii="Times New Roman" w:hAnsi="Times New Roman"/>
          <w:sz w:val="28"/>
          <w:szCs w:val="28"/>
          <w:lang w:bidi="ar-DZ"/>
        </w:rPr>
        <w:t>.</w:t>
      </w:r>
      <w:r w:rsidR="00145C38" w:rsidRPr="00F953DF">
        <w:rPr>
          <w:rFonts w:ascii="Times New Roman" w:hAnsi="Times New Roman"/>
          <w:sz w:val="28"/>
          <w:szCs w:val="28"/>
          <w:lang w:bidi="ar-DZ"/>
        </w:rPr>
        <w:t xml:space="preserve"> </w:t>
      </w:r>
      <w:r>
        <w:rPr>
          <w:rFonts w:ascii="Times New Roman" w:hAnsi="Times New Roman"/>
          <w:sz w:val="28"/>
          <w:szCs w:val="28"/>
          <w:lang w:bidi="ar-DZ"/>
        </w:rPr>
        <w:t>“</w:t>
      </w:r>
      <w:r w:rsidR="00145C38" w:rsidRPr="00F953DF">
        <w:rPr>
          <w:rFonts w:ascii="Times New Roman" w:hAnsi="Times New Roman"/>
          <w:sz w:val="28"/>
          <w:szCs w:val="28"/>
          <w:lang w:bidi="ar-DZ"/>
        </w:rPr>
        <w:t>The natural targets</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of HCV are hepatocytes and, possibly, B lymphocytes. Viral replication is</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extremely robust, and it is estimated that more than 10 trillion virion</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particles are produced per day, even in the chronic phase of infection</w:t>
      </w:r>
      <w:r>
        <w:rPr>
          <w:rFonts w:ascii="Times New Roman" w:hAnsi="Times New Roman"/>
          <w:sz w:val="28"/>
          <w:szCs w:val="28"/>
          <w:lang w:bidi="ar-DZ"/>
        </w:rPr>
        <w:t>”</w:t>
      </w:r>
      <w:r w:rsidR="00145C38" w:rsidRPr="00F953DF">
        <w:rPr>
          <w:rFonts w:ascii="Times New Roman" w:hAnsi="Times New Roman"/>
          <w:sz w:val="28"/>
          <w:szCs w:val="28"/>
          <w:rtl/>
          <w:lang w:bidi="ar-DZ"/>
        </w:rPr>
        <w:t xml:space="preserve">.(13) </w:t>
      </w:r>
      <w:r w:rsidR="00672BA6">
        <w:rPr>
          <w:rFonts w:ascii="Times New Roman" w:hAnsi="Times New Roman"/>
          <w:sz w:val="28"/>
          <w:szCs w:val="28"/>
          <w:lang w:bidi="ar-DZ"/>
        </w:rPr>
        <w:t xml:space="preserve"> </w:t>
      </w:r>
      <w:r>
        <w:rPr>
          <w:rFonts w:ascii="Times New Roman" w:hAnsi="Times New Roman"/>
          <w:sz w:val="28"/>
          <w:szCs w:val="28"/>
          <w:lang w:bidi="ar-DZ"/>
        </w:rPr>
        <w:t>“</w:t>
      </w:r>
      <w:r w:rsidR="00145C38" w:rsidRPr="00F953DF">
        <w:rPr>
          <w:rFonts w:ascii="Times New Roman" w:hAnsi="Times New Roman"/>
          <w:sz w:val="28"/>
          <w:szCs w:val="28"/>
          <w:lang w:bidi="ar-DZ"/>
        </w:rPr>
        <w:t>Replication occurs through an RNA-dependent RNA polymerase that lacks a</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proofreading” function, which results in the rapid evolution of diverse but</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related quasi</w:t>
      </w:r>
      <w:r w:rsidR="00A02AB8">
        <w:rPr>
          <w:rFonts w:ascii="Times New Roman" w:hAnsi="Times New Roman"/>
          <w:sz w:val="28"/>
          <w:szCs w:val="28"/>
          <w:lang w:bidi="ar-DZ"/>
        </w:rPr>
        <w:t xml:space="preserve"> </w:t>
      </w:r>
      <w:r w:rsidR="00145C38" w:rsidRPr="00F953DF">
        <w:rPr>
          <w:rFonts w:ascii="Times New Roman" w:hAnsi="Times New Roman"/>
          <w:sz w:val="28"/>
          <w:szCs w:val="28"/>
          <w:lang w:bidi="ar-DZ"/>
        </w:rPr>
        <w:t>species within an infected person and presents a major challenge</w:t>
      </w:r>
      <w:r w:rsidR="00145C38" w:rsidRPr="00F953DF">
        <w:rPr>
          <w:rFonts w:ascii="Times New Roman" w:hAnsi="Times New Roman"/>
          <w:sz w:val="28"/>
          <w:szCs w:val="28"/>
          <w:rtl/>
          <w:lang w:bidi="ar-DZ"/>
        </w:rPr>
        <w:t xml:space="preserve"> </w:t>
      </w:r>
      <w:r w:rsidR="00145C38" w:rsidRPr="00F953DF">
        <w:rPr>
          <w:rFonts w:ascii="Times New Roman" w:hAnsi="Times New Roman"/>
          <w:sz w:val="28"/>
          <w:szCs w:val="28"/>
          <w:lang w:bidi="ar-DZ"/>
        </w:rPr>
        <w:t>with respect to immune-mediated control of HCV</w:t>
      </w:r>
      <w:r w:rsidR="00145C38" w:rsidRPr="00F953DF">
        <w:rPr>
          <w:rFonts w:ascii="Times New Roman" w:hAnsi="Times New Roman"/>
          <w:sz w:val="28"/>
          <w:szCs w:val="28"/>
          <w:rtl/>
          <w:lang w:bidi="ar-DZ"/>
        </w:rPr>
        <w:t>.</w:t>
      </w:r>
    </w:p>
    <w:p w14:paraId="2DD8F2FA" w14:textId="7F1D73A4" w:rsidR="00E925E4" w:rsidRPr="00F953DF" w:rsidRDefault="00145C38">
      <w:pPr>
        <w:rPr>
          <w:rFonts w:ascii="Times New Roman" w:hAnsi="Times New Roman"/>
          <w:sz w:val="28"/>
          <w:szCs w:val="28"/>
          <w:rtl/>
        </w:rPr>
      </w:pPr>
      <w:r w:rsidRPr="00F953DF">
        <w:rPr>
          <w:rFonts w:ascii="Times New Roman" w:hAnsi="Times New Roman"/>
          <w:sz w:val="28"/>
          <w:szCs w:val="28"/>
          <w:lang w:bidi="ar-DZ"/>
        </w:rPr>
        <w:t>Several infectious agents can be transmitted through an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infected blood and blood products. </w:t>
      </w:r>
      <w:r w:rsidR="00A02AB8">
        <w:rPr>
          <w:rFonts w:ascii="Times New Roman" w:hAnsi="Times New Roman"/>
          <w:sz w:val="28"/>
          <w:szCs w:val="28"/>
          <w:lang w:bidi="ar-DZ"/>
        </w:rPr>
        <w:t xml:space="preserve">Some of the </w:t>
      </w:r>
      <w:r w:rsidRPr="00F953DF">
        <w:rPr>
          <w:rFonts w:ascii="Times New Roman" w:hAnsi="Times New Roman"/>
          <w:sz w:val="28"/>
          <w:szCs w:val="28"/>
          <w:lang w:bidi="ar-DZ"/>
        </w:rPr>
        <w:t xml:space="preserve"> most common diseases that are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transmitted through blood are hepatitis B and hepatitis C</w:t>
      </w:r>
      <w:r w:rsidR="009905E5">
        <w:rPr>
          <w:rFonts w:ascii="Times New Roman" w:hAnsi="Times New Roman"/>
          <w:sz w:val="28"/>
          <w:szCs w:val="28"/>
          <w:lang w:bidi="ar-DZ"/>
        </w:rPr>
        <w:t xml:space="preserve"> viral infection</w:t>
      </w:r>
      <w:r w:rsidR="008B4DA5">
        <w:rPr>
          <w:rFonts w:ascii="Times New Roman" w:hAnsi="Times New Roman"/>
          <w:sz w:val="28"/>
          <w:szCs w:val="28"/>
          <w:lang w:bidi="ar-DZ"/>
        </w:rPr>
        <w:t>”</w:t>
      </w:r>
      <w:r w:rsidR="009905E5">
        <w:rPr>
          <w:rFonts w:ascii="Times New Roman" w:hAnsi="Times New Roman"/>
          <w:sz w:val="28"/>
          <w:szCs w:val="28"/>
          <w:lang w:bidi="ar-DZ"/>
        </w:rPr>
        <w:t xml:space="preserve"> </w:t>
      </w:r>
      <w:r w:rsidRPr="00F953DF">
        <w:rPr>
          <w:rFonts w:ascii="Times New Roman" w:hAnsi="Times New Roman"/>
          <w:sz w:val="28"/>
          <w:szCs w:val="28"/>
          <w:rtl/>
          <w:lang w:bidi="ar-DZ"/>
        </w:rPr>
        <w:t xml:space="preserve">.(14) </w:t>
      </w:r>
      <w:r w:rsidR="00672BA6">
        <w:rPr>
          <w:rFonts w:ascii="Times New Roman" w:hAnsi="Times New Roman"/>
          <w:sz w:val="28"/>
          <w:szCs w:val="28"/>
          <w:lang w:bidi="ar-DZ"/>
        </w:rPr>
        <w:t xml:space="preserve"> </w:t>
      </w:r>
      <w:r w:rsidR="008B4DA5">
        <w:rPr>
          <w:rFonts w:ascii="Times New Roman" w:hAnsi="Times New Roman"/>
          <w:sz w:val="28"/>
          <w:szCs w:val="28"/>
          <w:lang w:bidi="ar-DZ"/>
        </w:rPr>
        <w:t>“</w:t>
      </w:r>
      <w:r w:rsidRPr="00F953DF">
        <w:rPr>
          <w:rFonts w:ascii="Times New Roman" w:hAnsi="Times New Roman"/>
          <w:sz w:val="28"/>
          <w:szCs w:val="28"/>
          <w:lang w:bidi="ar-DZ"/>
        </w:rPr>
        <w:t xml:space="preserve">Infections with hepatitis B virus (HBV) and hepatitis C virus (HCV) </w:t>
      </w:r>
      <w:r w:rsidR="009905E5">
        <w:rPr>
          <w:rFonts w:ascii="Times New Roman" w:hAnsi="Times New Roman"/>
          <w:sz w:val="28"/>
          <w:szCs w:val="28"/>
          <w:lang w:bidi="ar-DZ"/>
        </w:rPr>
        <w:t xml:space="preserve">poses </w:t>
      </w:r>
      <w:r w:rsidRPr="00F953DF">
        <w:rPr>
          <w:rFonts w:ascii="Times New Roman" w:hAnsi="Times New Roman"/>
          <w:sz w:val="28"/>
          <w:szCs w:val="28"/>
          <w:lang w:bidi="ar-DZ"/>
        </w:rPr>
        <w:t xml:space="preserve"> a</w:t>
      </w:r>
      <w:r w:rsidRPr="00F953DF">
        <w:rPr>
          <w:rFonts w:ascii="Times New Roman" w:hAnsi="Times New Roman"/>
          <w:sz w:val="28"/>
          <w:szCs w:val="28"/>
          <w:rtl/>
          <w:lang w:bidi="ar-DZ"/>
        </w:rPr>
        <w:t xml:space="preserve"> </w:t>
      </w:r>
      <w:r w:rsidR="009905E5">
        <w:rPr>
          <w:rFonts w:ascii="Times New Roman" w:hAnsi="Times New Roman"/>
          <w:sz w:val="28"/>
          <w:szCs w:val="28"/>
          <w:lang w:bidi="ar-DZ"/>
        </w:rPr>
        <w:t xml:space="preserve"> global </w:t>
      </w:r>
      <w:r w:rsidRPr="00F953DF">
        <w:rPr>
          <w:rFonts w:ascii="Times New Roman" w:hAnsi="Times New Roman"/>
          <w:sz w:val="28"/>
          <w:szCs w:val="28"/>
          <w:lang w:bidi="ar-DZ"/>
        </w:rPr>
        <w:t xml:space="preserve"> public health problem. Viral hepatitis, caused by hepatitis B virus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 xml:space="preserve">(HBV) or hepatitis C virus (HCV), is </w:t>
      </w:r>
      <w:r w:rsidRPr="00F953DF">
        <w:rPr>
          <w:rFonts w:ascii="Times New Roman" w:hAnsi="Times New Roman"/>
          <w:sz w:val="28"/>
          <w:szCs w:val="28"/>
          <w:lang w:bidi="ar-DZ"/>
        </w:rPr>
        <w:lastRenderedPageBreak/>
        <w:t>one of the common</w:t>
      </w:r>
      <w:r w:rsidR="009905E5">
        <w:rPr>
          <w:rFonts w:ascii="Times New Roman" w:hAnsi="Times New Roman"/>
          <w:sz w:val="28"/>
          <w:szCs w:val="28"/>
          <w:lang w:bidi="ar-DZ"/>
        </w:rPr>
        <w:t xml:space="preserve"> </w:t>
      </w:r>
      <w:r w:rsidR="009905E5">
        <w:rPr>
          <w:rFonts w:ascii="Times New Roman" w:hAnsi="Times New Roman"/>
          <w:color w:val="FF0000"/>
          <w:sz w:val="28"/>
          <w:szCs w:val="28"/>
          <w:lang w:bidi="ar-DZ"/>
        </w:rPr>
        <w:t>transfusion</w:t>
      </w:r>
      <w:r w:rsidR="009905E5">
        <w:rPr>
          <w:rFonts w:ascii="Times New Roman" w:hAnsi="Times New Roman"/>
          <w:sz w:val="28"/>
          <w:szCs w:val="28"/>
          <w:lang w:bidi="ar-DZ"/>
        </w:rPr>
        <w:t xml:space="preserve"> </w:t>
      </w:r>
      <w:r w:rsidRPr="00F953DF">
        <w:rPr>
          <w:rFonts w:ascii="Times New Roman" w:hAnsi="Times New Roman"/>
          <w:sz w:val="28"/>
          <w:szCs w:val="28"/>
          <w:lang w:bidi="ar-DZ"/>
        </w:rPr>
        <w:t xml:space="preserve"> transmissible causes of</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chronic liver</w:t>
      </w:r>
      <w:r w:rsidR="009905E5">
        <w:rPr>
          <w:rFonts w:ascii="Times New Roman" w:hAnsi="Times New Roman"/>
          <w:sz w:val="28"/>
          <w:szCs w:val="28"/>
          <w:lang w:bidi="ar-DZ"/>
        </w:rPr>
        <w:t xml:space="preserve"> </w:t>
      </w:r>
      <w:r w:rsidRPr="00F953DF">
        <w:rPr>
          <w:rFonts w:ascii="Times New Roman" w:hAnsi="Times New Roman"/>
          <w:sz w:val="28"/>
          <w:szCs w:val="28"/>
          <w:lang w:bidi="ar-DZ"/>
        </w:rPr>
        <w:t>morbidity and mortality. The main modes of</w:t>
      </w:r>
      <w:r w:rsidR="00672BA6">
        <w:rPr>
          <w:rFonts w:ascii="Times New Roman" w:hAnsi="Times New Roman"/>
          <w:sz w:val="28"/>
          <w:szCs w:val="28"/>
          <w:lang w:bidi="ar-DZ"/>
        </w:rPr>
        <w:t xml:space="preserve"> </w:t>
      </w:r>
      <w:r w:rsidRPr="00F953DF">
        <w:rPr>
          <w:rFonts w:ascii="Times New Roman" w:hAnsi="Times New Roman"/>
          <w:sz w:val="28"/>
          <w:szCs w:val="28"/>
          <w:lang w:bidi="ar-DZ"/>
        </w:rPr>
        <w:t>transmission include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blood transfusion, unsafe sex, use of</w:t>
      </w:r>
      <w:r w:rsidR="009905E5">
        <w:rPr>
          <w:rFonts w:ascii="Times New Roman" w:hAnsi="Times New Roman"/>
          <w:sz w:val="28"/>
          <w:szCs w:val="28"/>
          <w:lang w:bidi="ar-DZ"/>
        </w:rPr>
        <w:t xml:space="preserve"> </w:t>
      </w:r>
      <w:r w:rsidRPr="00F953DF">
        <w:rPr>
          <w:rFonts w:ascii="Times New Roman" w:hAnsi="Times New Roman"/>
          <w:sz w:val="28"/>
          <w:szCs w:val="28"/>
          <w:lang w:bidi="ar-DZ"/>
        </w:rPr>
        <w:t>parental drugs, and the vertical</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transmission from mother</w:t>
      </w:r>
      <w:r w:rsidR="009905E5">
        <w:rPr>
          <w:rFonts w:ascii="Times New Roman" w:hAnsi="Times New Roman"/>
          <w:sz w:val="28"/>
          <w:szCs w:val="28"/>
          <w:lang w:bidi="ar-DZ"/>
        </w:rPr>
        <w:t xml:space="preserve"> </w:t>
      </w:r>
      <w:r w:rsidRPr="00F953DF">
        <w:rPr>
          <w:rFonts w:ascii="Times New Roman" w:hAnsi="Times New Roman"/>
          <w:sz w:val="28"/>
          <w:szCs w:val="28"/>
          <w:lang w:bidi="ar-DZ"/>
        </w:rPr>
        <w:t>to child. Blood transfusions contribute to the ever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widening pool of these infections, wherein even</w:t>
      </w:r>
      <w:r w:rsidR="00672BA6">
        <w:rPr>
          <w:rFonts w:ascii="Times New Roman" w:hAnsi="Times New Roman"/>
          <w:sz w:val="28"/>
          <w:szCs w:val="28"/>
          <w:lang w:bidi="ar-DZ"/>
        </w:rPr>
        <w:t xml:space="preserve"> </w:t>
      </w:r>
      <w:r w:rsidRPr="00F953DF">
        <w:rPr>
          <w:rFonts w:ascii="Times New Roman" w:hAnsi="Times New Roman"/>
          <w:sz w:val="28"/>
          <w:szCs w:val="28"/>
          <w:lang w:bidi="ar-DZ"/>
        </w:rPr>
        <w:t>asymptomatic person (carrier)</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can transmit the infection</w:t>
      </w:r>
      <w:r w:rsidR="008B4DA5">
        <w:rPr>
          <w:rFonts w:ascii="Times New Roman" w:hAnsi="Times New Roman"/>
          <w:sz w:val="28"/>
          <w:szCs w:val="28"/>
          <w:lang w:bidi="ar-DZ"/>
        </w:rPr>
        <w:t>”</w:t>
      </w:r>
      <w:r w:rsidR="00672BA6">
        <w:rPr>
          <w:rFonts w:ascii="Times New Roman" w:hAnsi="Times New Roman"/>
          <w:sz w:val="28"/>
          <w:szCs w:val="28"/>
          <w:lang w:bidi="ar-DZ"/>
        </w:rPr>
        <w:t xml:space="preserve"> </w:t>
      </w:r>
      <w:r w:rsidRPr="00F953DF">
        <w:rPr>
          <w:rFonts w:ascii="Times New Roman" w:hAnsi="Times New Roman"/>
          <w:sz w:val="28"/>
          <w:szCs w:val="28"/>
          <w:lang w:bidi="ar-DZ"/>
        </w:rPr>
        <w:t>(15)</w:t>
      </w:r>
      <w:r w:rsidR="00672BA6">
        <w:rPr>
          <w:rFonts w:ascii="Times New Roman" w:hAnsi="Times New Roman"/>
          <w:sz w:val="28"/>
          <w:szCs w:val="28"/>
          <w:lang w:bidi="ar-DZ"/>
        </w:rPr>
        <w:t>.</w:t>
      </w:r>
      <w:r w:rsidRPr="00F953DF">
        <w:rPr>
          <w:rFonts w:ascii="Times New Roman" w:hAnsi="Times New Roman"/>
          <w:sz w:val="28"/>
          <w:szCs w:val="28"/>
          <w:lang w:bidi="ar-DZ"/>
        </w:rPr>
        <w:t xml:space="preserve"> </w:t>
      </w:r>
      <w:r w:rsidR="008B4DA5">
        <w:rPr>
          <w:rFonts w:ascii="Times New Roman" w:hAnsi="Times New Roman"/>
          <w:sz w:val="28"/>
          <w:szCs w:val="28"/>
          <w:lang w:bidi="ar-DZ"/>
        </w:rPr>
        <w:t>“</w:t>
      </w:r>
      <w:r w:rsidRPr="00F953DF">
        <w:rPr>
          <w:rFonts w:ascii="Times New Roman" w:hAnsi="Times New Roman"/>
          <w:sz w:val="28"/>
          <w:szCs w:val="28"/>
          <w:lang w:bidi="ar-DZ"/>
        </w:rPr>
        <w:t xml:space="preserve">Screening and assessment of these </w:t>
      </w:r>
      <w:r w:rsidR="009905E5">
        <w:rPr>
          <w:rFonts w:ascii="Times New Roman" w:hAnsi="Times New Roman"/>
          <w:sz w:val="28"/>
          <w:szCs w:val="28"/>
          <w:lang w:bidi="ar-DZ"/>
        </w:rPr>
        <w:t xml:space="preserve">individuals </w:t>
      </w:r>
      <w:r w:rsidRPr="00F953DF">
        <w:rPr>
          <w:rFonts w:ascii="Times New Roman" w:hAnsi="Times New Roman"/>
          <w:sz w:val="28"/>
          <w:szCs w:val="28"/>
          <w:lang w:bidi="ar-DZ"/>
        </w:rPr>
        <w:t>not only</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alleviates the risk of transmission through infected blood</w:t>
      </w:r>
      <w:r w:rsidR="009905E5">
        <w:rPr>
          <w:rFonts w:ascii="Times New Roman" w:hAnsi="Times New Roman"/>
          <w:sz w:val="28"/>
          <w:szCs w:val="28"/>
          <w:lang w:bidi="ar-DZ"/>
        </w:rPr>
        <w:t xml:space="preserve"> and </w:t>
      </w:r>
      <w:r w:rsidRPr="00F953DF">
        <w:rPr>
          <w:rFonts w:ascii="Times New Roman" w:hAnsi="Times New Roman"/>
          <w:sz w:val="28"/>
          <w:szCs w:val="28"/>
          <w:lang w:bidi="ar-DZ"/>
        </w:rPr>
        <w:t>products, but also</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gives an idea about the prevalence rates</w:t>
      </w:r>
      <w:r w:rsidR="00672BA6">
        <w:rPr>
          <w:rFonts w:ascii="Times New Roman" w:hAnsi="Times New Roman"/>
          <w:sz w:val="28"/>
          <w:szCs w:val="28"/>
          <w:lang w:bidi="ar-DZ"/>
        </w:rPr>
        <w:t xml:space="preserve"> </w:t>
      </w:r>
      <w:r w:rsidRPr="00F953DF">
        <w:rPr>
          <w:rFonts w:ascii="Times New Roman" w:hAnsi="Times New Roman"/>
          <w:sz w:val="28"/>
          <w:szCs w:val="28"/>
          <w:lang w:bidi="ar-DZ"/>
        </w:rPr>
        <w:t>of the infections in the community</w:t>
      </w:r>
      <w:r w:rsidR="009905E5">
        <w:rPr>
          <w:rFonts w:ascii="Times New Roman" w:hAnsi="Times New Roman"/>
          <w:sz w:val="28"/>
          <w:szCs w:val="28"/>
          <w:lang w:bidi="ar-DZ"/>
        </w:rPr>
        <w:t xml:space="preserve">. </w:t>
      </w:r>
      <w:r w:rsidRPr="00F953DF">
        <w:rPr>
          <w:rFonts w:ascii="Times New Roman" w:hAnsi="Times New Roman"/>
          <w:sz w:val="28"/>
          <w:szCs w:val="28"/>
          <w:lang w:bidi="ar-DZ"/>
        </w:rPr>
        <w:t>The decrease in prevalence among general population is due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to application of the prevention and control programs, especially safe blood</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transfusion and safe injections in addition to introduction of vaccination</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program</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However, the continuous occurrence of new cases is due to the presence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of reservoirs of chronically infected persons. Therefore, there is a continuous</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circulation of the infection in the community. This infection exposes the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community to a higher risk of morbidity and mortality due to long-term</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complications of chronic carrier state, which might end with chronic active</w:t>
      </w:r>
      <w:r w:rsidRPr="00F953DF">
        <w:rPr>
          <w:rFonts w:ascii="Times New Roman" w:hAnsi="Times New Roman"/>
          <w:sz w:val="28"/>
          <w:szCs w:val="28"/>
          <w:rtl/>
          <w:lang w:bidi="ar-DZ"/>
        </w:rPr>
        <w:t xml:space="preserve"> </w:t>
      </w:r>
      <w:r w:rsidRPr="00F953DF">
        <w:rPr>
          <w:rFonts w:ascii="Times New Roman" w:hAnsi="Times New Roman"/>
          <w:sz w:val="28"/>
          <w:szCs w:val="28"/>
          <w:lang w:bidi="ar-DZ"/>
        </w:rPr>
        <w:t>hepatitis, liver cirrhosis, and hepatocellular carcinoma</w:t>
      </w:r>
      <w:r w:rsidRPr="00F953DF">
        <w:rPr>
          <w:rFonts w:ascii="Times New Roman" w:hAnsi="Times New Roman"/>
          <w:sz w:val="28"/>
          <w:szCs w:val="28"/>
          <w:rtl/>
          <w:lang w:bidi="ar-DZ"/>
        </w:rPr>
        <w:t xml:space="preserve"> </w:t>
      </w:r>
      <w:r w:rsidR="008F4FD3" w:rsidRPr="00F953DF">
        <w:rPr>
          <w:rFonts w:ascii="Times New Roman" w:hAnsi="Times New Roman"/>
          <w:sz w:val="28"/>
          <w:szCs w:val="28"/>
        </w:rPr>
        <w:t>HCC</w:t>
      </w:r>
      <w:r w:rsidR="008B4DA5">
        <w:rPr>
          <w:rFonts w:ascii="Times New Roman" w:hAnsi="Times New Roman"/>
          <w:sz w:val="28"/>
          <w:szCs w:val="28"/>
        </w:rPr>
        <w:t>”</w:t>
      </w:r>
      <w:r w:rsidR="008F4FD3" w:rsidRPr="00F953DF">
        <w:rPr>
          <w:rFonts w:ascii="Times New Roman" w:hAnsi="Times New Roman"/>
          <w:sz w:val="28"/>
          <w:szCs w:val="28"/>
        </w:rPr>
        <w:t xml:space="preserve"> (16)</w:t>
      </w:r>
    </w:p>
    <w:p w14:paraId="76EE23BA" w14:textId="77777777" w:rsidR="00E925E4" w:rsidRDefault="00E925E4" w:rsidP="008F4FD3">
      <w:pPr>
        <w:rPr>
          <w:rFonts w:ascii="Times New Roman" w:hAnsi="Times New Roman"/>
          <w:b/>
          <w:bCs/>
          <w:sz w:val="28"/>
          <w:szCs w:val="28"/>
        </w:rPr>
      </w:pPr>
    </w:p>
    <w:p w14:paraId="28DD9EA4" w14:textId="77777777" w:rsidR="00E925E4" w:rsidRDefault="00145C38" w:rsidP="008F4FD3">
      <w:pPr>
        <w:rPr>
          <w:rFonts w:ascii="Times New Roman" w:hAnsi="Times New Roman"/>
          <w:b/>
          <w:bCs/>
          <w:sz w:val="28"/>
          <w:szCs w:val="28"/>
        </w:rPr>
      </w:pPr>
      <w:r>
        <w:rPr>
          <w:rFonts w:ascii="Times New Roman" w:hAnsi="Times New Roman"/>
          <w:b/>
          <w:bCs/>
          <w:sz w:val="28"/>
          <w:szCs w:val="28"/>
        </w:rPr>
        <w:t xml:space="preserve"> Materials and Methods</w:t>
      </w:r>
    </w:p>
    <w:p w14:paraId="591BCE05" w14:textId="124C2B2E" w:rsidR="00CD3963" w:rsidRDefault="00145C38" w:rsidP="00CD3963">
      <w:pPr>
        <w:rPr>
          <w:rFonts w:ascii="Times New Roman" w:hAnsi="Times New Roman"/>
          <w:sz w:val="28"/>
          <w:szCs w:val="28"/>
        </w:rPr>
      </w:pPr>
      <w:r>
        <w:rPr>
          <w:rFonts w:ascii="Times New Roman" w:hAnsi="Times New Roman"/>
          <w:sz w:val="28"/>
          <w:szCs w:val="28"/>
        </w:rPr>
        <w:t xml:space="preserve">This study was </w:t>
      </w:r>
      <w:r w:rsidR="009905E5">
        <w:rPr>
          <w:rFonts w:ascii="Times New Roman" w:hAnsi="Times New Roman"/>
          <w:sz w:val="28"/>
          <w:szCs w:val="28"/>
        </w:rPr>
        <w:t xml:space="preserve">a </w:t>
      </w:r>
      <w:r>
        <w:rPr>
          <w:rFonts w:ascii="Times New Roman" w:hAnsi="Times New Roman"/>
          <w:sz w:val="28"/>
          <w:szCs w:val="28"/>
        </w:rPr>
        <w:t>retrospective cross-sectional study carried out in hospital blood bank</w:t>
      </w:r>
      <w:r w:rsidR="00CD3963">
        <w:rPr>
          <w:rFonts w:ascii="Times New Roman" w:hAnsi="Times New Roman"/>
          <w:sz w:val="28"/>
          <w:szCs w:val="28"/>
        </w:rPr>
        <w:t xml:space="preserve"> blood of Dongola Hospital, Dongola City, </w:t>
      </w:r>
      <w:r w:rsidR="009E54E7">
        <w:rPr>
          <w:rFonts w:ascii="Times New Roman" w:hAnsi="Times New Roman"/>
          <w:sz w:val="28"/>
          <w:szCs w:val="28"/>
        </w:rPr>
        <w:t>N</w:t>
      </w:r>
      <w:r w:rsidR="00CD3963">
        <w:rPr>
          <w:rFonts w:ascii="Times New Roman" w:hAnsi="Times New Roman"/>
          <w:sz w:val="28"/>
          <w:szCs w:val="28"/>
        </w:rPr>
        <w:t xml:space="preserve">orth State. </w:t>
      </w:r>
      <w:r w:rsidR="009E54E7">
        <w:rPr>
          <w:rFonts w:ascii="Times New Roman" w:hAnsi="Times New Roman"/>
          <w:sz w:val="28"/>
          <w:szCs w:val="28"/>
        </w:rPr>
        <w:t xml:space="preserve">The study </w:t>
      </w:r>
      <w:r w:rsidR="00CD3963">
        <w:rPr>
          <w:rFonts w:ascii="Times New Roman" w:hAnsi="Times New Roman"/>
          <w:sz w:val="28"/>
          <w:szCs w:val="28"/>
        </w:rPr>
        <w:t xml:space="preserve">period </w:t>
      </w:r>
      <w:r w:rsidR="009E54E7">
        <w:rPr>
          <w:rFonts w:ascii="Times New Roman" w:hAnsi="Times New Roman"/>
          <w:sz w:val="28"/>
          <w:szCs w:val="28"/>
        </w:rPr>
        <w:t xml:space="preserve">span through </w:t>
      </w:r>
      <w:r w:rsidR="00CD3963">
        <w:rPr>
          <w:rFonts w:ascii="Times New Roman" w:hAnsi="Times New Roman"/>
          <w:sz w:val="28"/>
          <w:szCs w:val="28"/>
        </w:rPr>
        <w:t xml:space="preserve"> January to february 2025 </w:t>
      </w:r>
    </w:p>
    <w:p w14:paraId="1ABB8ADB" w14:textId="77777777" w:rsidR="00E925E4" w:rsidRDefault="00145C38">
      <w:pPr>
        <w:rPr>
          <w:rFonts w:ascii="Times New Roman" w:hAnsi="Times New Roman"/>
          <w:b/>
          <w:bCs/>
          <w:sz w:val="28"/>
          <w:szCs w:val="28"/>
        </w:rPr>
      </w:pPr>
      <w:r>
        <w:rPr>
          <w:rFonts w:ascii="Times New Roman" w:hAnsi="Times New Roman"/>
          <w:b/>
          <w:bCs/>
          <w:sz w:val="28"/>
          <w:szCs w:val="28"/>
        </w:rPr>
        <w:t xml:space="preserve">Samples collection </w:t>
      </w:r>
    </w:p>
    <w:p w14:paraId="50416977" w14:textId="77777777" w:rsidR="009E54E7" w:rsidRDefault="009E54E7" w:rsidP="009E54E7">
      <w:pPr>
        <w:spacing w:after="0" w:line="480" w:lineRule="auto"/>
        <w:jc w:val="both"/>
        <w:rPr>
          <w:rFonts w:ascii="Times New Roman" w:hAnsi="Times New Roman"/>
          <w:color w:val="FF0000"/>
          <w:sz w:val="28"/>
          <w:szCs w:val="28"/>
        </w:rPr>
      </w:pPr>
      <w:r>
        <w:rPr>
          <w:rFonts w:ascii="Times New Roman" w:hAnsi="Times New Roman"/>
          <w:color w:val="FF0000"/>
          <w:sz w:val="28"/>
          <w:szCs w:val="28"/>
        </w:rPr>
        <w:t xml:space="preserve">The subjects’ arms were inspected and appropriate venepuncture site selected. Blood sample was then taken from the antecubital vein. Tourniquet was then applied above the venepuncture site after which it is cleaned with 70% isopropyl alcohol, allowed to dry before sample was taken. From each subject, 2.5 mls of venous blood was collected into a plain bottle. Then centrifuged at 1500 round per </w:t>
      </w:r>
      <w:r>
        <w:rPr>
          <w:rFonts w:ascii="Times New Roman" w:hAnsi="Times New Roman"/>
          <w:color w:val="FF0000"/>
          <w:sz w:val="28"/>
          <w:szCs w:val="28"/>
        </w:rPr>
        <w:lastRenderedPageBreak/>
        <w:t xml:space="preserve">minutes for 2 minutes, serum specimens was obtained and the test carried out immediately. </w:t>
      </w:r>
    </w:p>
    <w:p w14:paraId="7877D797" w14:textId="77777777" w:rsidR="009E54E7" w:rsidRDefault="009E54E7" w:rsidP="009E54E7">
      <w:pPr>
        <w:spacing w:after="0" w:line="480" w:lineRule="auto"/>
        <w:jc w:val="both"/>
        <w:rPr>
          <w:rFonts w:ascii="Times New Roman" w:hAnsi="Times New Roman"/>
          <w:color w:val="FF0000"/>
          <w:sz w:val="28"/>
          <w:szCs w:val="28"/>
        </w:rPr>
      </w:pPr>
      <w:r>
        <w:rPr>
          <w:rFonts w:ascii="Times New Roman" w:hAnsi="Times New Roman"/>
          <w:color w:val="FF0000"/>
          <w:sz w:val="28"/>
          <w:szCs w:val="28"/>
        </w:rPr>
        <w:t>Universal precautions on blood/blood products were applied and all consumables used were disposed of using the standard protocols for infection control.</w:t>
      </w:r>
    </w:p>
    <w:p w14:paraId="289E6618" w14:textId="77777777" w:rsidR="00E925E4" w:rsidRDefault="00145C38">
      <w:pPr>
        <w:rPr>
          <w:rFonts w:ascii="Times New Roman" w:hAnsi="Times New Roman"/>
          <w:b/>
          <w:bCs/>
          <w:sz w:val="28"/>
          <w:szCs w:val="28"/>
        </w:rPr>
      </w:pPr>
      <w:r>
        <w:rPr>
          <w:rFonts w:ascii="Times New Roman" w:hAnsi="Times New Roman"/>
          <w:b/>
          <w:bCs/>
          <w:sz w:val="28"/>
          <w:szCs w:val="28"/>
        </w:rPr>
        <w:t xml:space="preserve"> Screening of blood borne pathogens </w:t>
      </w:r>
    </w:p>
    <w:p w14:paraId="5FBF637C" w14:textId="77777777" w:rsidR="00E925E4" w:rsidRDefault="00145C38">
      <w:pPr>
        <w:rPr>
          <w:rFonts w:ascii="Times New Roman" w:hAnsi="Times New Roman"/>
          <w:b/>
          <w:bCs/>
          <w:sz w:val="28"/>
          <w:szCs w:val="28"/>
        </w:rPr>
      </w:pPr>
      <w:r>
        <w:rPr>
          <w:rFonts w:ascii="Times New Roman" w:hAnsi="Times New Roman"/>
          <w:b/>
          <w:bCs/>
          <w:sz w:val="28"/>
          <w:szCs w:val="28"/>
        </w:rPr>
        <w:t>HBsAg test procedure:</w:t>
      </w:r>
    </w:p>
    <w:p w14:paraId="4C5871CD" w14:textId="4091F274" w:rsidR="00E925E4" w:rsidRDefault="00145C38">
      <w:pPr>
        <w:rPr>
          <w:rFonts w:ascii="Times New Roman" w:hAnsi="Times New Roman"/>
          <w:sz w:val="28"/>
          <w:szCs w:val="28"/>
        </w:rPr>
      </w:pPr>
      <w:r>
        <w:rPr>
          <w:rFonts w:ascii="Times New Roman" w:hAnsi="Times New Roman"/>
          <w:sz w:val="28"/>
          <w:szCs w:val="28"/>
        </w:rPr>
        <w:t xml:space="preserve">The test was done by using </w:t>
      </w:r>
      <w:r w:rsidR="009E54E7">
        <w:rPr>
          <w:rFonts w:ascii="Times New Roman" w:hAnsi="Times New Roman"/>
          <w:color w:val="FF0000"/>
          <w:sz w:val="28"/>
          <w:szCs w:val="28"/>
        </w:rPr>
        <w:t>the rapid screening</w:t>
      </w:r>
      <w:r w:rsidR="009E54E7">
        <w:rPr>
          <w:rFonts w:ascii="Times New Roman" w:hAnsi="Times New Roman"/>
          <w:sz w:val="28"/>
          <w:szCs w:val="28"/>
        </w:rPr>
        <w:t xml:space="preserve"> </w:t>
      </w:r>
      <w:r>
        <w:rPr>
          <w:rFonts w:ascii="Times New Roman" w:hAnsi="Times New Roman"/>
          <w:sz w:val="28"/>
          <w:szCs w:val="28"/>
        </w:rPr>
        <w:t>Right</w:t>
      </w:r>
      <w:r>
        <w:rPr>
          <w:rFonts w:ascii="Times New Roman" w:hAnsi="Times New Roman"/>
          <w:sz w:val="28"/>
          <w:szCs w:val="28"/>
        </w:rPr>
        <w:tab/>
        <w:t xml:space="preserve">Sign cassette immune chromatographic (ICT) kit according to company guidelines. </w:t>
      </w:r>
      <w:r w:rsidR="009E54E7">
        <w:rPr>
          <w:rFonts w:ascii="Times New Roman" w:hAnsi="Times New Roman"/>
          <w:sz w:val="28"/>
          <w:szCs w:val="28"/>
        </w:rPr>
        <w:t>U</w:t>
      </w:r>
      <w:r>
        <w:rPr>
          <w:rFonts w:ascii="Times New Roman" w:hAnsi="Times New Roman"/>
          <w:sz w:val="28"/>
          <w:szCs w:val="28"/>
        </w:rPr>
        <w:t xml:space="preserve">sing pastier petite, one drop of serum (25ul) was added into sample well. Then two drops of buffer was added. The result was read </w:t>
      </w:r>
      <w:r w:rsidR="009E54E7">
        <w:rPr>
          <w:rFonts w:ascii="Times New Roman" w:hAnsi="Times New Roman"/>
          <w:sz w:val="28"/>
          <w:szCs w:val="28"/>
        </w:rPr>
        <w:t>after</w:t>
      </w:r>
      <w:r>
        <w:rPr>
          <w:rFonts w:ascii="Times New Roman" w:hAnsi="Times New Roman"/>
          <w:sz w:val="28"/>
          <w:szCs w:val="28"/>
        </w:rPr>
        <w:t xml:space="preserve"> 10 minutes. The test is considered positive only when the two lines (T and C) are visible. </w:t>
      </w:r>
      <w:r>
        <w:rPr>
          <w:rFonts w:ascii="Times New Roman" w:hAnsi="Times New Roman"/>
          <w:sz w:val="28"/>
          <w:szCs w:val="28"/>
        </w:rPr>
        <w:tab/>
      </w:r>
    </w:p>
    <w:p w14:paraId="78129292" w14:textId="77777777" w:rsidR="00E925E4" w:rsidRDefault="00145C38">
      <w:pPr>
        <w:rPr>
          <w:rFonts w:ascii="Times New Roman" w:hAnsi="Times New Roman"/>
          <w:b/>
          <w:bCs/>
          <w:sz w:val="28"/>
          <w:szCs w:val="28"/>
        </w:rPr>
      </w:pPr>
      <w:r>
        <w:rPr>
          <w:rFonts w:ascii="Times New Roman" w:hAnsi="Times New Roman"/>
          <w:b/>
          <w:bCs/>
          <w:sz w:val="28"/>
          <w:szCs w:val="28"/>
        </w:rPr>
        <w:t>Anti-HCV test procedure:</w:t>
      </w:r>
    </w:p>
    <w:p w14:paraId="7B8DE7B7" w14:textId="75D0363D" w:rsidR="00E925E4" w:rsidRDefault="00145C38">
      <w:pPr>
        <w:rPr>
          <w:rFonts w:ascii="Times New Roman" w:hAnsi="Times New Roman"/>
          <w:sz w:val="28"/>
          <w:szCs w:val="28"/>
        </w:rPr>
      </w:pPr>
      <w:r>
        <w:rPr>
          <w:rFonts w:ascii="Times New Roman" w:hAnsi="Times New Roman"/>
          <w:sz w:val="28"/>
          <w:szCs w:val="28"/>
        </w:rPr>
        <w:t xml:space="preserve">The test was done </w:t>
      </w:r>
      <w:r w:rsidR="009E54E7">
        <w:rPr>
          <w:rFonts w:ascii="Times New Roman" w:hAnsi="Times New Roman"/>
          <w:color w:val="FF0000"/>
          <w:sz w:val="28"/>
          <w:szCs w:val="28"/>
        </w:rPr>
        <w:t>the rapid screening</w:t>
      </w:r>
      <w:r w:rsidR="009E54E7">
        <w:rPr>
          <w:rFonts w:ascii="Times New Roman" w:hAnsi="Times New Roman"/>
          <w:sz w:val="28"/>
          <w:szCs w:val="28"/>
        </w:rPr>
        <w:t xml:space="preserve"> Right</w:t>
      </w:r>
      <w:r>
        <w:rPr>
          <w:rFonts w:ascii="Times New Roman" w:hAnsi="Times New Roman"/>
          <w:sz w:val="28"/>
          <w:szCs w:val="28"/>
        </w:rPr>
        <w:tab/>
        <w:t>Sign cassette immune chromatographic (ICT) kit according to company guidelines. Briefly, by using pastier petite, one drop of serum (25ul) was added into sample well. Then two drops of buffer was added. The result was read a</w:t>
      </w:r>
      <w:r w:rsidR="009E54E7">
        <w:rPr>
          <w:rFonts w:ascii="Times New Roman" w:hAnsi="Times New Roman"/>
          <w:sz w:val="28"/>
          <w:szCs w:val="28"/>
        </w:rPr>
        <w:t>fter</w:t>
      </w:r>
      <w:r>
        <w:rPr>
          <w:rFonts w:ascii="Times New Roman" w:hAnsi="Times New Roman"/>
          <w:sz w:val="28"/>
          <w:szCs w:val="28"/>
        </w:rPr>
        <w:t xml:space="preserve"> 10 minutes. The test is considered positive only when the two lines (T and C) are visible. </w:t>
      </w:r>
    </w:p>
    <w:p w14:paraId="0DFF6147" w14:textId="77777777" w:rsidR="00CD3963" w:rsidRDefault="00CD3963" w:rsidP="00CD3963">
      <w:pPr>
        <w:rPr>
          <w:rFonts w:ascii="Times New Roman" w:hAnsi="Times New Roman"/>
          <w:sz w:val="28"/>
          <w:szCs w:val="28"/>
        </w:rPr>
      </w:pPr>
      <w:r>
        <w:rPr>
          <w:rFonts w:ascii="Times New Roman" w:hAnsi="Times New Roman"/>
          <w:b/>
          <w:bCs/>
          <w:sz w:val="28"/>
          <w:szCs w:val="28"/>
        </w:rPr>
        <w:t>Data collection tools</w:t>
      </w:r>
      <w:r>
        <w:rPr>
          <w:rFonts w:ascii="Times New Roman" w:hAnsi="Times New Roman"/>
          <w:sz w:val="28"/>
          <w:szCs w:val="28"/>
        </w:rPr>
        <w:t>:</w:t>
      </w:r>
    </w:p>
    <w:p w14:paraId="194395C5" w14:textId="77777777" w:rsidR="00CD3963" w:rsidRDefault="00CD3963" w:rsidP="00CD3963">
      <w:pPr>
        <w:rPr>
          <w:rFonts w:ascii="Times New Roman" w:hAnsi="Times New Roman"/>
          <w:sz w:val="28"/>
          <w:szCs w:val="28"/>
        </w:rPr>
      </w:pPr>
      <w:r>
        <w:rPr>
          <w:rFonts w:ascii="Times New Roman" w:hAnsi="Times New Roman"/>
          <w:sz w:val="28"/>
          <w:szCs w:val="28"/>
        </w:rPr>
        <w:t>The data of blood donors was collected by questionnaire</w:t>
      </w:r>
    </w:p>
    <w:p w14:paraId="50D56A27" w14:textId="77777777" w:rsidR="00E925E4" w:rsidRDefault="00145C38">
      <w:pPr>
        <w:rPr>
          <w:rFonts w:ascii="Times New Roman" w:hAnsi="Times New Roman"/>
          <w:sz w:val="28"/>
          <w:szCs w:val="28"/>
        </w:rPr>
      </w:pPr>
      <w:r>
        <w:rPr>
          <w:rFonts w:ascii="Times New Roman" w:hAnsi="Times New Roman"/>
          <w:b/>
          <w:bCs/>
          <w:sz w:val="28"/>
          <w:szCs w:val="28"/>
        </w:rPr>
        <w:t xml:space="preserve"> Data analysis</w:t>
      </w:r>
      <w:r>
        <w:rPr>
          <w:rFonts w:ascii="Times New Roman" w:hAnsi="Times New Roman"/>
          <w:sz w:val="28"/>
          <w:szCs w:val="28"/>
        </w:rPr>
        <w:t>:</w:t>
      </w:r>
    </w:p>
    <w:p w14:paraId="26562DDD" w14:textId="7719879C" w:rsidR="00E925E4" w:rsidRDefault="00145C38">
      <w:pPr>
        <w:rPr>
          <w:rFonts w:ascii="Times New Roman" w:hAnsi="Times New Roman"/>
          <w:sz w:val="28"/>
          <w:szCs w:val="28"/>
        </w:rPr>
      </w:pPr>
      <w:r>
        <w:rPr>
          <w:rFonts w:ascii="Times New Roman" w:hAnsi="Times New Roman"/>
          <w:sz w:val="28"/>
          <w:szCs w:val="28"/>
        </w:rPr>
        <w:t>Statistical analysis was done by SPSS software version 21. The results</w:t>
      </w:r>
      <w:r w:rsidR="009A26D5">
        <w:rPr>
          <w:rFonts w:ascii="Times New Roman" w:hAnsi="Times New Roman"/>
          <w:sz w:val="28"/>
          <w:szCs w:val="28"/>
        </w:rPr>
        <w:t xml:space="preserve"> were </w:t>
      </w:r>
      <w:r>
        <w:rPr>
          <w:rFonts w:ascii="Times New Roman" w:hAnsi="Times New Roman"/>
          <w:sz w:val="28"/>
          <w:szCs w:val="28"/>
        </w:rPr>
        <w:t xml:space="preserve"> present</w:t>
      </w:r>
      <w:r w:rsidR="009A26D5">
        <w:rPr>
          <w:rFonts w:ascii="Times New Roman" w:hAnsi="Times New Roman"/>
          <w:sz w:val="28"/>
          <w:szCs w:val="28"/>
        </w:rPr>
        <w:t xml:space="preserve">ed </w:t>
      </w:r>
      <w:r>
        <w:rPr>
          <w:rFonts w:ascii="Times New Roman" w:hAnsi="Times New Roman"/>
          <w:sz w:val="28"/>
          <w:szCs w:val="28"/>
        </w:rPr>
        <w:t xml:space="preserve"> as </w:t>
      </w:r>
      <w:r w:rsidR="009A26D5">
        <w:rPr>
          <w:rFonts w:ascii="Times New Roman" w:hAnsi="Times New Roman"/>
          <w:sz w:val="28"/>
          <w:szCs w:val="28"/>
        </w:rPr>
        <w:t>frequencies</w:t>
      </w:r>
      <w:r>
        <w:rPr>
          <w:rFonts w:ascii="Times New Roman" w:hAnsi="Times New Roman"/>
          <w:sz w:val="28"/>
          <w:szCs w:val="28"/>
        </w:rPr>
        <w:t xml:space="preserve"> and percentages or means</w:t>
      </w:r>
      <w:r w:rsidR="009A26D5">
        <w:rPr>
          <w:rFonts w:ascii="Times New Roman" w:hAnsi="Times New Roman"/>
          <w:sz w:val="28"/>
          <w:szCs w:val="28"/>
        </w:rPr>
        <w:t xml:space="preserve"> with standard deviation</w:t>
      </w:r>
      <w:r>
        <w:rPr>
          <w:rFonts w:ascii="Times New Roman" w:hAnsi="Times New Roman"/>
          <w:sz w:val="28"/>
          <w:szCs w:val="28"/>
        </w:rPr>
        <w:t xml:space="preserve"> inform of </w:t>
      </w:r>
      <w:r w:rsidR="009A26D5">
        <w:rPr>
          <w:rFonts w:ascii="Times New Roman" w:hAnsi="Times New Roman"/>
          <w:sz w:val="28"/>
          <w:szCs w:val="28"/>
        </w:rPr>
        <w:t xml:space="preserve">fgures and </w:t>
      </w:r>
      <w:r>
        <w:rPr>
          <w:rFonts w:ascii="Times New Roman" w:hAnsi="Times New Roman"/>
          <w:sz w:val="28"/>
          <w:szCs w:val="28"/>
        </w:rPr>
        <w:t xml:space="preserve">tables.  Pearson chi-squared and Fishers Exact tests were used. A p-value of less than 0.05 was considered </w:t>
      </w:r>
      <w:r w:rsidR="009A26D5">
        <w:rPr>
          <w:rFonts w:ascii="Times New Roman" w:hAnsi="Times New Roman"/>
          <w:sz w:val="28"/>
          <w:szCs w:val="28"/>
        </w:rPr>
        <w:t xml:space="preserve">statistically </w:t>
      </w:r>
      <w:r>
        <w:rPr>
          <w:rFonts w:ascii="Times New Roman" w:hAnsi="Times New Roman"/>
          <w:sz w:val="28"/>
          <w:szCs w:val="28"/>
        </w:rPr>
        <w:t>significant.</w:t>
      </w:r>
    </w:p>
    <w:p w14:paraId="55B21F03" w14:textId="77777777" w:rsidR="00E925E4" w:rsidRDefault="00E925E4">
      <w:pPr>
        <w:rPr>
          <w:rFonts w:ascii="Times New Roman" w:hAnsi="Times New Roman"/>
          <w:sz w:val="28"/>
          <w:szCs w:val="28"/>
        </w:rPr>
      </w:pPr>
    </w:p>
    <w:p w14:paraId="2D5C9613" w14:textId="77777777" w:rsidR="00E925E4" w:rsidRDefault="00E925E4" w:rsidP="008C496E">
      <w:pPr>
        <w:bidi/>
        <w:rPr>
          <w:rFonts w:ascii="Times New Roman" w:hAnsi="Times New Roman"/>
          <w:b/>
          <w:bCs/>
          <w:sz w:val="28"/>
          <w:szCs w:val="28"/>
          <w:rtl/>
        </w:rPr>
      </w:pPr>
    </w:p>
    <w:p w14:paraId="48456AAB" w14:textId="73C9F89F" w:rsidR="00E925E4" w:rsidRPr="009A26D5" w:rsidRDefault="00145C38" w:rsidP="009A26D5">
      <w:pPr>
        <w:rPr>
          <w:b/>
          <w:bCs/>
          <w:sz w:val="28"/>
          <w:szCs w:val="28"/>
        </w:rPr>
      </w:pPr>
      <w:r>
        <w:rPr>
          <w:b/>
          <w:bCs/>
          <w:sz w:val="28"/>
          <w:szCs w:val="28"/>
        </w:rPr>
        <w:lastRenderedPageBreak/>
        <w:t>Result</w:t>
      </w:r>
    </w:p>
    <w:p w14:paraId="2A1A0328" w14:textId="4151CBFA" w:rsidR="00E925E4" w:rsidRDefault="00145C38">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Total of 100 </w:t>
      </w:r>
      <w:r>
        <w:rPr>
          <w:rFonts w:ascii="Times New Roman" w:hAnsi="Times New Roman"/>
          <w:sz w:val="28"/>
          <w:szCs w:val="28"/>
          <w:lang w:bidi="ar-EG"/>
        </w:rPr>
        <w:t>Volunteer Blood Donors</w:t>
      </w:r>
      <w:r>
        <w:rPr>
          <w:rFonts w:ascii="Times New Roman" w:eastAsia="Times New Roman" w:hAnsi="Times New Roman"/>
          <w:sz w:val="28"/>
          <w:szCs w:val="28"/>
        </w:rPr>
        <w:t xml:space="preserve"> were involved in this study, the age of 61 (61%) of them 18 – 30 years old,  24 (24%) aged 31 – 40 Years,  while  11(11%) aged 41- 50 years old and, 4 (4%) were aged 51 years old and older </w:t>
      </w:r>
      <w:r w:rsidR="009A26D5">
        <w:rPr>
          <w:rFonts w:ascii="Times New Roman" w:eastAsia="Times New Roman" w:hAnsi="Times New Roman"/>
          <w:color w:val="FF0000"/>
          <w:sz w:val="28"/>
          <w:szCs w:val="28"/>
        </w:rPr>
        <w:t>(Figure 1)</w:t>
      </w:r>
      <w:r w:rsidR="009A26D5">
        <w:rPr>
          <w:rFonts w:ascii="Times New Roman" w:eastAsia="Times New Roman" w:hAnsi="Times New Roman"/>
          <w:sz w:val="28"/>
          <w:szCs w:val="28"/>
        </w:rPr>
        <w:t>.</w:t>
      </w:r>
    </w:p>
    <w:p w14:paraId="42F7D1A0" w14:textId="77777777" w:rsidR="00E925E4" w:rsidRDefault="00E925E4">
      <w:pPr>
        <w:autoSpaceDE w:val="0"/>
        <w:autoSpaceDN w:val="0"/>
        <w:adjustRightInd w:val="0"/>
        <w:spacing w:after="0" w:line="240" w:lineRule="auto"/>
        <w:rPr>
          <w:rFonts w:ascii="Times New Roman" w:eastAsia="Calibri" w:hAnsi="Times New Roman"/>
          <w:b/>
          <w:bCs/>
          <w:color w:val="000000"/>
          <w:sz w:val="28"/>
          <w:szCs w:val="28"/>
          <w:rtl/>
          <w:lang w:eastAsia="en-US"/>
        </w:rPr>
      </w:pPr>
    </w:p>
    <w:p w14:paraId="3831B487" w14:textId="77777777" w:rsidR="00E925E4" w:rsidRDefault="00145C38">
      <w:pPr>
        <w:jc w:val="center"/>
        <w:rPr>
          <w:sz w:val="28"/>
          <w:szCs w:val="28"/>
        </w:rPr>
      </w:pPr>
      <w:r>
        <w:rPr>
          <w:noProof/>
          <w:sz w:val="28"/>
          <w:szCs w:val="28"/>
          <w:lang w:eastAsia="en-US"/>
        </w:rPr>
        <w:drawing>
          <wp:inline distT="0" distB="0" distL="114300" distR="114300" wp14:anchorId="56D8F292" wp14:editId="5BDEA94C">
            <wp:extent cx="4568825" cy="2740025"/>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999AF1" w14:textId="77777777" w:rsidR="009A26D5" w:rsidRDefault="009A26D5" w:rsidP="009A26D5">
      <w:pPr>
        <w:autoSpaceDE w:val="0"/>
        <w:autoSpaceDN w:val="0"/>
        <w:adjustRightInd w:val="0"/>
        <w:spacing w:after="0" w:line="240" w:lineRule="auto"/>
        <w:jc w:val="center"/>
        <w:rPr>
          <w:rFonts w:ascii="Times New Roman" w:eastAsia="Calibri" w:hAnsi="Times New Roman"/>
          <w:b/>
          <w:bCs/>
          <w:color w:val="FF0000"/>
          <w:sz w:val="28"/>
          <w:szCs w:val="28"/>
          <w:lang w:eastAsia="en-US"/>
        </w:rPr>
      </w:pPr>
      <w:r>
        <w:rPr>
          <w:rFonts w:ascii="Times New Roman" w:eastAsia="Calibri" w:hAnsi="Times New Roman"/>
          <w:b/>
          <w:bCs/>
          <w:color w:val="FF0000"/>
          <w:sz w:val="28"/>
          <w:szCs w:val="28"/>
          <w:lang w:eastAsia="en-US"/>
        </w:rPr>
        <w:t xml:space="preserve">Figure (1): Distribution of the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age groups. </w:t>
      </w:r>
    </w:p>
    <w:p w14:paraId="65E76ADE" w14:textId="77777777" w:rsidR="00E925E4" w:rsidRDefault="00E925E4">
      <w:pPr>
        <w:jc w:val="center"/>
        <w:rPr>
          <w:noProof/>
          <w:sz w:val="28"/>
          <w:szCs w:val="28"/>
          <w:lang w:eastAsia="en-US"/>
        </w:rPr>
      </w:pPr>
    </w:p>
    <w:p w14:paraId="5356E395" w14:textId="10277955" w:rsidR="009A26D5" w:rsidRDefault="009A26D5" w:rsidP="009A26D5">
      <w:pPr>
        <w:spacing w:line="480" w:lineRule="auto"/>
        <w:jc w:val="both"/>
        <w:rPr>
          <w:rFonts w:ascii="Times New Roman" w:eastAsia="Times New Roman" w:hAnsi="Times New Roman"/>
          <w:sz w:val="28"/>
          <w:szCs w:val="28"/>
          <w:lang w:eastAsia="en-US"/>
        </w:rPr>
      </w:pPr>
      <w:r>
        <w:rPr>
          <w:rFonts w:ascii="Times New Roman" w:eastAsia="Times New Roman" w:hAnsi="Times New Roman"/>
          <w:color w:val="FF0000"/>
          <w:sz w:val="28"/>
          <w:szCs w:val="28"/>
          <w:lang w:eastAsia="en-US"/>
        </w:rPr>
        <w:t>A</w:t>
      </w:r>
      <w:r>
        <w:rPr>
          <w:rFonts w:ascii="Times New Roman" w:eastAsia="Times New Roman" w:hAnsi="Times New Roman"/>
          <w:sz w:val="28"/>
          <w:szCs w:val="28"/>
          <w:lang w:eastAsia="en-US"/>
        </w:rPr>
        <w:t xml:space="preserve"> </w:t>
      </w:r>
      <w:r>
        <w:rPr>
          <w:rFonts w:ascii="Times New Roman" w:eastAsia="Times New Roman" w:hAnsi="Times New Roman"/>
          <w:color w:val="FF0000"/>
          <w:sz w:val="28"/>
          <w:szCs w:val="28"/>
          <w:lang w:eastAsia="en-US"/>
        </w:rPr>
        <w:t>t</w:t>
      </w:r>
      <w:r>
        <w:rPr>
          <w:rFonts w:ascii="Times New Roman" w:eastAsia="Times New Roman" w:hAnsi="Times New Roman"/>
          <w:sz w:val="28"/>
          <w:szCs w:val="28"/>
          <w:lang w:eastAsia="en-US"/>
        </w:rPr>
        <w:t xml:space="preserve">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1% in Hafer and Mgaser,  3% live in Baden, Shaikh Sharive and  Kmnar, 5% of them live in Altety, while  6% live in Grada, Algoled , 7% live in Aldem, 12% in Alselam, and 53% in Dongola </w:t>
      </w:r>
      <w:r>
        <w:rPr>
          <w:rFonts w:ascii="Times New Roman" w:eastAsia="Times New Roman" w:hAnsi="Times New Roman"/>
          <w:color w:val="FF0000"/>
          <w:sz w:val="28"/>
          <w:szCs w:val="28"/>
          <w:lang w:eastAsia="en-US"/>
        </w:rPr>
        <w:t>(Figure 2).</w:t>
      </w:r>
      <w:r>
        <w:rPr>
          <w:rFonts w:ascii="Times New Roman" w:eastAsia="Times New Roman" w:hAnsi="Times New Roman"/>
          <w:sz w:val="28"/>
          <w:szCs w:val="28"/>
          <w:lang w:eastAsia="en-US"/>
        </w:rPr>
        <w:t xml:space="preserve"> </w:t>
      </w:r>
    </w:p>
    <w:p w14:paraId="5C9607D8" w14:textId="77777777" w:rsidR="00E925E4" w:rsidRDefault="00145C38">
      <w:pPr>
        <w:spacing w:line="480" w:lineRule="auto"/>
        <w:jc w:val="center"/>
        <w:rPr>
          <w:rFonts w:ascii="Times New Roman" w:eastAsia="Times New Roman" w:hAnsi="Times New Roman"/>
          <w:sz w:val="28"/>
          <w:szCs w:val="28"/>
          <w:lang w:eastAsia="en-US"/>
        </w:rPr>
      </w:pPr>
      <w:r>
        <w:rPr>
          <w:noProof/>
          <w:sz w:val="28"/>
          <w:szCs w:val="28"/>
          <w:lang w:eastAsia="en-US"/>
        </w:rPr>
        <w:lastRenderedPageBreak/>
        <w:drawing>
          <wp:inline distT="0" distB="0" distL="114300" distR="114300" wp14:anchorId="0811B5C9" wp14:editId="2A778616">
            <wp:extent cx="5291498" cy="2836374"/>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CA66E3" w14:textId="77777777" w:rsidR="009A26D5" w:rsidRDefault="009A26D5" w:rsidP="009A26D5">
      <w:pPr>
        <w:jc w:val="center"/>
        <w:rPr>
          <w:rFonts w:eastAsia="Times New Roman" w:cs="Calibri"/>
          <w:color w:val="FF0000"/>
          <w:sz w:val="28"/>
          <w:szCs w:val="28"/>
          <w:lang w:eastAsia="en-US"/>
        </w:rPr>
      </w:pPr>
      <w:r>
        <w:rPr>
          <w:rFonts w:ascii="Times New Roman" w:eastAsia="Calibri" w:hAnsi="Times New Roman"/>
          <w:b/>
          <w:bCs/>
          <w:color w:val="FF0000"/>
          <w:sz w:val="28"/>
          <w:szCs w:val="28"/>
          <w:lang w:eastAsia="en-US"/>
        </w:rPr>
        <w:t xml:space="preserve">Figure (2):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Place of residence</w:t>
      </w:r>
      <w:r>
        <w:rPr>
          <w:rFonts w:ascii="Times New Roman" w:eastAsia="Calibri" w:hAnsi="Times New Roman"/>
          <w:b/>
          <w:bCs/>
          <w:color w:val="FF0000"/>
          <w:sz w:val="28"/>
          <w:szCs w:val="28"/>
          <w:lang w:eastAsia="en-US"/>
        </w:rPr>
        <w:t>.</w:t>
      </w:r>
    </w:p>
    <w:p w14:paraId="38EC410C" w14:textId="61B743F3"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61 (61%) of them have History of Donation, while 39 (39%) of them have no </w:t>
      </w:r>
      <w:r>
        <w:rPr>
          <w:rFonts w:ascii="Times New Roman" w:eastAsia="Times New Roman" w:hAnsi="Times New Roman"/>
          <w:color w:val="000000"/>
          <w:sz w:val="28"/>
          <w:szCs w:val="28"/>
          <w:lang w:eastAsia="en-US"/>
        </w:rPr>
        <w:t>History of Blood Donation</w:t>
      </w:r>
      <w:r w:rsidR="009A26D5">
        <w:rPr>
          <w:rFonts w:ascii="Times New Roman" w:eastAsia="Times New Roman" w:hAnsi="Times New Roman"/>
          <w:color w:val="000000"/>
          <w:sz w:val="28"/>
          <w:szCs w:val="28"/>
          <w:lang w:eastAsia="en-US"/>
        </w:rPr>
        <w:t xml:space="preserve"> </w:t>
      </w:r>
      <w:r w:rsidR="009A26D5">
        <w:rPr>
          <w:rFonts w:ascii="Times New Roman" w:eastAsia="Times New Roman" w:hAnsi="Times New Roman"/>
          <w:color w:val="FF0000"/>
          <w:sz w:val="28"/>
          <w:szCs w:val="28"/>
          <w:lang w:eastAsia="en-US"/>
        </w:rPr>
        <w:t>(Figure 3).</w:t>
      </w:r>
    </w:p>
    <w:p w14:paraId="5A882E98" w14:textId="77777777" w:rsidR="00E925E4" w:rsidRDefault="00145C38">
      <w:pPr>
        <w:jc w:val="center"/>
        <w:rPr>
          <w:sz w:val="28"/>
          <w:szCs w:val="28"/>
        </w:rPr>
      </w:pPr>
      <w:r>
        <w:rPr>
          <w:noProof/>
          <w:sz w:val="28"/>
          <w:szCs w:val="28"/>
          <w:lang w:eastAsia="en-US"/>
        </w:rPr>
        <w:drawing>
          <wp:inline distT="0" distB="0" distL="114300" distR="114300" wp14:anchorId="465FB7F5" wp14:editId="61211429">
            <wp:extent cx="4568825" cy="274002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C8082B" w14:textId="77777777" w:rsidR="009A26D5" w:rsidRDefault="009A26D5" w:rsidP="009A26D5">
      <w:pPr>
        <w:jc w:val="center"/>
        <w:rPr>
          <w:rFonts w:ascii="Times New Roman" w:eastAsia="Times New Roman" w:hAnsi="Times New Roman"/>
          <w:color w:val="FF0000"/>
          <w:sz w:val="28"/>
          <w:szCs w:val="28"/>
          <w:lang w:eastAsia="en-US"/>
        </w:rPr>
      </w:pPr>
      <w:r>
        <w:rPr>
          <w:rFonts w:ascii="Times New Roman" w:eastAsia="Calibri" w:hAnsi="Times New Roman"/>
          <w:b/>
          <w:bCs/>
          <w:color w:val="FF0000"/>
          <w:sz w:val="28"/>
          <w:szCs w:val="28"/>
          <w:lang w:eastAsia="en-US"/>
        </w:rPr>
        <w:lastRenderedPageBreak/>
        <w:t xml:space="preserve">Figure (3):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History of Blood Donation.</w:t>
      </w:r>
    </w:p>
    <w:p w14:paraId="357050C4" w14:textId="77777777" w:rsidR="00E925E4" w:rsidRDefault="00E925E4">
      <w:pPr>
        <w:jc w:val="center"/>
        <w:rPr>
          <w:sz w:val="28"/>
          <w:szCs w:val="28"/>
        </w:rPr>
      </w:pPr>
    </w:p>
    <w:p w14:paraId="30D736FC" w14:textId="77777777" w:rsidR="00E925E4" w:rsidRDefault="00E925E4">
      <w:pPr>
        <w:jc w:val="center"/>
        <w:rPr>
          <w:sz w:val="28"/>
          <w:szCs w:val="28"/>
        </w:rPr>
      </w:pPr>
    </w:p>
    <w:p w14:paraId="156FA712" w14:textId="48F8D4F9" w:rsidR="00E925E4" w:rsidRDefault="00145C38">
      <w:pPr>
        <w:rPr>
          <w:rFonts w:ascii="Times New Roman" w:eastAsia="Times New Roman" w:hAnsi="Times New Roman"/>
          <w:sz w:val="28"/>
          <w:szCs w:val="28"/>
        </w:rPr>
      </w:pPr>
      <w:r>
        <w:rPr>
          <w:rFonts w:ascii="Times New Roman" w:eastAsia="Times New Roman" w:hAnsi="Times New Roman"/>
          <w:sz w:val="28"/>
          <w:szCs w:val="28"/>
        </w:rPr>
        <w:t xml:space="preserve">Total of 100  </w:t>
      </w:r>
      <w:r>
        <w:rPr>
          <w:rFonts w:ascii="Times New Roman" w:hAnsi="Times New Roman"/>
          <w:sz w:val="28"/>
          <w:szCs w:val="28"/>
          <w:lang w:bidi="ar-EG"/>
        </w:rPr>
        <w:t>Volunteer Blood Donors</w:t>
      </w:r>
      <w:r>
        <w:rPr>
          <w:rFonts w:ascii="Times New Roman" w:eastAsia="Times New Roman" w:hAnsi="Times New Roman"/>
          <w:sz w:val="28"/>
          <w:szCs w:val="28"/>
        </w:rPr>
        <w:t xml:space="preserve">  were involved in this study, 2 (2%) of them have History of Tatto or Islamic Higama, while 98 (98%) of them have No </w:t>
      </w:r>
      <w:r>
        <w:rPr>
          <w:rFonts w:ascii="Times New Roman" w:eastAsia="Times New Roman" w:hAnsi="Times New Roman"/>
          <w:color w:val="000000"/>
          <w:sz w:val="28"/>
          <w:szCs w:val="28"/>
        </w:rPr>
        <w:t xml:space="preserve">History of </w:t>
      </w:r>
      <w:r>
        <w:rPr>
          <w:rFonts w:ascii="Times New Roman" w:eastAsia="Times New Roman" w:hAnsi="Times New Roman"/>
          <w:sz w:val="28"/>
          <w:szCs w:val="28"/>
        </w:rPr>
        <w:t>Tatto or Islamic Higama</w:t>
      </w:r>
      <w:r w:rsidR="00DC5A38">
        <w:rPr>
          <w:rFonts w:ascii="Times New Roman" w:eastAsia="Times New Roman" w:hAnsi="Times New Roman"/>
          <w:sz w:val="28"/>
          <w:szCs w:val="28"/>
        </w:rPr>
        <w:t xml:space="preserve"> </w:t>
      </w:r>
      <w:r w:rsidR="00DC5A38">
        <w:rPr>
          <w:rFonts w:ascii="Times New Roman" w:eastAsia="Times New Roman" w:hAnsi="Times New Roman"/>
          <w:color w:val="FF0000"/>
          <w:sz w:val="28"/>
          <w:szCs w:val="28"/>
        </w:rPr>
        <w:t>(Figure 4).</w:t>
      </w:r>
    </w:p>
    <w:p w14:paraId="77690878" w14:textId="77777777" w:rsidR="00E925E4" w:rsidRDefault="00E925E4">
      <w:pPr>
        <w:rPr>
          <w:rFonts w:ascii="Times New Roman" w:eastAsia="Times New Roman" w:hAnsi="Times New Roman"/>
          <w:sz w:val="28"/>
          <w:szCs w:val="28"/>
        </w:rPr>
      </w:pPr>
    </w:p>
    <w:p w14:paraId="1376E6DF" w14:textId="77777777" w:rsidR="00E925E4" w:rsidRDefault="00E925E4">
      <w:pPr>
        <w:rPr>
          <w:rFonts w:ascii="Times New Roman" w:eastAsia="Times New Roman" w:hAnsi="Times New Roman"/>
          <w:sz w:val="28"/>
          <w:szCs w:val="28"/>
        </w:rPr>
      </w:pPr>
    </w:p>
    <w:p w14:paraId="5383B57A" w14:textId="77777777" w:rsidR="00E925E4" w:rsidRDefault="00E925E4">
      <w:pPr>
        <w:rPr>
          <w:rFonts w:ascii="Times New Roman" w:eastAsia="Times New Roman" w:hAnsi="Times New Roman"/>
          <w:sz w:val="28"/>
          <w:szCs w:val="28"/>
        </w:rPr>
      </w:pPr>
    </w:p>
    <w:p w14:paraId="7ED5F98F" w14:textId="77777777" w:rsidR="00E925E4" w:rsidRDefault="00145C38">
      <w:pPr>
        <w:rPr>
          <w:rFonts w:ascii="Times New Roman" w:eastAsia="Times New Roman" w:hAnsi="Times New Roman"/>
          <w:sz w:val="28"/>
          <w:szCs w:val="28"/>
        </w:rPr>
      </w:pPr>
      <w:r>
        <w:rPr>
          <w:noProof/>
          <w:sz w:val="28"/>
          <w:szCs w:val="28"/>
          <w:lang w:eastAsia="en-US"/>
        </w:rPr>
        <w:drawing>
          <wp:inline distT="0" distB="0" distL="114300" distR="114300" wp14:anchorId="4D0F40C9" wp14:editId="5D353B54">
            <wp:extent cx="5884592" cy="3538536"/>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D3E6E5" w14:textId="77777777" w:rsidR="00E925E4" w:rsidRDefault="00E925E4">
      <w:pPr>
        <w:jc w:val="center"/>
        <w:rPr>
          <w:noProof/>
          <w:sz w:val="28"/>
          <w:szCs w:val="28"/>
          <w:lang w:eastAsia="en-US"/>
        </w:rPr>
      </w:pPr>
    </w:p>
    <w:p w14:paraId="694DDA72" w14:textId="77777777" w:rsidR="00E925E4" w:rsidRDefault="00E925E4">
      <w:pPr>
        <w:jc w:val="center"/>
        <w:rPr>
          <w:noProof/>
          <w:sz w:val="28"/>
          <w:szCs w:val="28"/>
          <w:lang w:eastAsia="en-US"/>
        </w:rPr>
      </w:pPr>
    </w:p>
    <w:p w14:paraId="386F24D0" w14:textId="77777777" w:rsidR="00DC5A38" w:rsidRDefault="00DC5A38" w:rsidP="00DC5A38">
      <w:pPr>
        <w:jc w:val="center"/>
        <w:rPr>
          <w:rFonts w:ascii="Times New Roman" w:eastAsia="Calibri" w:hAnsi="Times New Roman"/>
          <w:b/>
          <w:bCs/>
          <w:color w:val="FF0000"/>
          <w:sz w:val="28"/>
          <w:szCs w:val="28"/>
          <w:lang w:eastAsia="en-US"/>
        </w:rPr>
      </w:pPr>
      <w:r>
        <w:rPr>
          <w:rFonts w:ascii="Times New Roman" w:eastAsia="Calibri" w:hAnsi="Times New Roman"/>
          <w:b/>
          <w:bCs/>
          <w:color w:val="FF0000"/>
          <w:sz w:val="28"/>
          <w:szCs w:val="28"/>
          <w:lang w:eastAsia="en-US"/>
        </w:rPr>
        <w:t xml:space="preserve">Figure (4):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History of Tatto or Islamic Higama.</w:t>
      </w:r>
    </w:p>
    <w:p w14:paraId="6AC23FF9" w14:textId="77777777" w:rsidR="00E925E4" w:rsidRDefault="00E925E4">
      <w:pPr>
        <w:jc w:val="center"/>
        <w:rPr>
          <w:noProof/>
          <w:sz w:val="28"/>
          <w:szCs w:val="28"/>
          <w:lang w:eastAsia="en-US"/>
        </w:rPr>
      </w:pPr>
    </w:p>
    <w:p w14:paraId="626B890D" w14:textId="0B596A6B" w:rsidR="00E925E4" w:rsidRDefault="00145C38">
      <w:pPr>
        <w:spacing w:line="480" w:lineRule="auto"/>
        <w:jc w:val="both"/>
        <w:rPr>
          <w:rFonts w:ascii="Times New Roman" w:eastAsia="Calibri" w:hAnsi="Times New Roman" w:cs="Arial"/>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3 (3%) of them have History of </w:t>
      </w:r>
      <w:r>
        <w:rPr>
          <w:rFonts w:ascii="Times New Roman" w:eastAsia="Times New Roman" w:hAnsi="Times New Roman"/>
          <w:color w:val="000000"/>
          <w:sz w:val="28"/>
          <w:szCs w:val="28"/>
          <w:lang w:eastAsia="en-US"/>
        </w:rPr>
        <w:t>Surgery</w:t>
      </w:r>
      <w:r>
        <w:rPr>
          <w:rFonts w:ascii="Times New Roman" w:eastAsia="Times New Roman" w:hAnsi="Times New Roman"/>
          <w:sz w:val="28"/>
          <w:szCs w:val="28"/>
          <w:lang w:eastAsia="en-US"/>
        </w:rPr>
        <w:t xml:space="preserve">, while 97 (97%) of them have No </w:t>
      </w:r>
      <w:r>
        <w:rPr>
          <w:rFonts w:ascii="Times New Roman" w:eastAsia="Times New Roman" w:hAnsi="Times New Roman"/>
          <w:color w:val="000000"/>
          <w:sz w:val="28"/>
          <w:szCs w:val="28"/>
          <w:lang w:eastAsia="en-US"/>
        </w:rPr>
        <w:t>History of  Surgery</w:t>
      </w:r>
      <w:r w:rsidR="00DC5A38">
        <w:rPr>
          <w:rFonts w:ascii="Times New Roman" w:eastAsia="Times New Roman" w:hAnsi="Times New Roman"/>
          <w:color w:val="000000"/>
          <w:sz w:val="28"/>
          <w:szCs w:val="28"/>
          <w:lang w:eastAsia="en-US"/>
        </w:rPr>
        <w:t xml:space="preserve"> </w:t>
      </w:r>
      <w:r w:rsidR="00DC5A38">
        <w:rPr>
          <w:rFonts w:ascii="Times New Roman" w:eastAsia="Times New Roman" w:hAnsi="Times New Roman"/>
          <w:color w:val="FF0000"/>
          <w:sz w:val="28"/>
          <w:szCs w:val="28"/>
          <w:lang w:eastAsia="en-US"/>
        </w:rPr>
        <w:t>(Figure 5).</w:t>
      </w:r>
    </w:p>
    <w:p w14:paraId="5275A1D2" w14:textId="77777777" w:rsidR="00E925E4" w:rsidRDefault="00145C38">
      <w:pPr>
        <w:spacing w:line="480" w:lineRule="auto"/>
        <w:jc w:val="both"/>
        <w:rPr>
          <w:rFonts w:ascii="Times New Roman" w:eastAsia="Calibri" w:hAnsi="Times New Roman" w:cs="Arial"/>
          <w:sz w:val="28"/>
          <w:szCs w:val="28"/>
          <w:lang w:eastAsia="en-US"/>
        </w:rPr>
      </w:pPr>
      <w:r>
        <w:rPr>
          <w:noProof/>
          <w:sz w:val="28"/>
          <w:szCs w:val="28"/>
          <w:lang w:eastAsia="en-US"/>
        </w:rPr>
        <w:drawing>
          <wp:inline distT="0" distB="0" distL="114300" distR="114300" wp14:anchorId="5E31FD53" wp14:editId="3ED04400">
            <wp:extent cx="5733554" cy="3473787"/>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CFF82C" w14:textId="77777777" w:rsidR="00DC5A38" w:rsidRDefault="00DC5A38" w:rsidP="00DC5A38">
      <w:pPr>
        <w:spacing w:line="480" w:lineRule="auto"/>
        <w:jc w:val="center"/>
        <w:rPr>
          <w:rFonts w:ascii="Times New Roman" w:eastAsia="Times New Roman" w:hAnsi="Times New Roman"/>
          <w:color w:val="FF0000"/>
          <w:sz w:val="28"/>
          <w:szCs w:val="28"/>
          <w:lang w:eastAsia="en-US"/>
        </w:rPr>
      </w:pPr>
      <w:r>
        <w:rPr>
          <w:rFonts w:ascii="Times New Roman" w:eastAsia="Calibri" w:hAnsi="Times New Roman"/>
          <w:b/>
          <w:bCs/>
          <w:color w:val="FF0000"/>
          <w:sz w:val="28"/>
          <w:szCs w:val="28"/>
          <w:lang w:eastAsia="en-US"/>
        </w:rPr>
        <w:t xml:space="preserve">Figure (5):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History of Surgery.</w:t>
      </w:r>
    </w:p>
    <w:p w14:paraId="05CDD6ED" w14:textId="77777777" w:rsidR="00E925E4" w:rsidRDefault="00E925E4">
      <w:pPr>
        <w:spacing w:line="480" w:lineRule="auto"/>
        <w:jc w:val="both"/>
        <w:rPr>
          <w:rFonts w:ascii="Times New Roman" w:eastAsia="Calibri" w:hAnsi="Times New Roman" w:cs="Arial"/>
          <w:sz w:val="28"/>
          <w:szCs w:val="28"/>
          <w:lang w:eastAsia="en-US"/>
        </w:rPr>
      </w:pPr>
    </w:p>
    <w:p w14:paraId="44BAE936" w14:textId="77777777" w:rsidR="00E925E4" w:rsidRDefault="00E925E4">
      <w:pPr>
        <w:spacing w:line="480" w:lineRule="auto"/>
        <w:jc w:val="both"/>
        <w:rPr>
          <w:rFonts w:ascii="Times New Roman" w:eastAsia="Calibri" w:hAnsi="Times New Roman" w:cs="Arial"/>
          <w:sz w:val="28"/>
          <w:szCs w:val="28"/>
          <w:lang w:eastAsia="en-US"/>
        </w:rPr>
      </w:pPr>
    </w:p>
    <w:p w14:paraId="51918F6A" w14:textId="77777777" w:rsidR="00E925E4" w:rsidRDefault="00E925E4">
      <w:pPr>
        <w:jc w:val="center"/>
        <w:rPr>
          <w:noProof/>
          <w:sz w:val="28"/>
          <w:szCs w:val="28"/>
          <w:lang w:eastAsia="en-US"/>
        </w:rPr>
      </w:pPr>
    </w:p>
    <w:p w14:paraId="5DCA2288" w14:textId="5765D170" w:rsidR="00E925E4" w:rsidRPr="00DC5A38" w:rsidRDefault="00145C38" w:rsidP="00DC5A38">
      <w:pPr>
        <w:spacing w:line="480" w:lineRule="auto"/>
        <w:jc w:val="both"/>
        <w:rPr>
          <w:rFonts w:ascii="Times New Roman" w:eastAsia="Calibri" w:hAnsi="Times New Roman" w:cs="Arial"/>
          <w:sz w:val="28"/>
          <w:szCs w:val="28"/>
          <w:lang w:eastAsia="en-US"/>
        </w:rPr>
      </w:pPr>
      <w:r>
        <w:rPr>
          <w:rFonts w:ascii="Times New Roman" w:eastAsia="Times New Roman" w:hAnsi="Times New Roman"/>
          <w:sz w:val="28"/>
          <w:szCs w:val="28"/>
          <w:lang w:eastAsia="en-US"/>
        </w:rPr>
        <w:lastRenderedPageBreak/>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6 (6%) of them have </w:t>
      </w:r>
      <w:r>
        <w:rPr>
          <w:rFonts w:ascii="Times New Roman" w:eastAsia="Times New Roman" w:hAnsi="Times New Roman"/>
          <w:color w:val="000000"/>
          <w:sz w:val="28"/>
          <w:szCs w:val="28"/>
          <w:lang w:eastAsia="en-US"/>
        </w:rPr>
        <w:t>History of</w:t>
      </w:r>
      <w:r>
        <w:rPr>
          <w:rFonts w:eastAsia="Calibri" w:cs="Arial"/>
          <w:sz w:val="28"/>
          <w:szCs w:val="28"/>
          <w:lang w:eastAsia="en-US"/>
        </w:rPr>
        <w:t xml:space="preserve">  </w:t>
      </w:r>
      <w:r>
        <w:rPr>
          <w:rFonts w:ascii="Times New Roman" w:eastAsia="Times New Roman" w:hAnsi="Times New Roman"/>
          <w:color w:val="000000"/>
          <w:sz w:val="28"/>
          <w:szCs w:val="28"/>
          <w:lang w:eastAsia="en-US"/>
        </w:rPr>
        <w:t>Jaundice</w:t>
      </w:r>
      <w:r>
        <w:rPr>
          <w:rFonts w:ascii="Times New Roman" w:eastAsia="Times New Roman" w:hAnsi="Times New Roman"/>
          <w:sz w:val="28"/>
          <w:szCs w:val="28"/>
          <w:lang w:eastAsia="en-US"/>
        </w:rPr>
        <w:t xml:space="preserve">, while 94 (94%) of them have No </w:t>
      </w:r>
      <w:r>
        <w:rPr>
          <w:rFonts w:ascii="Times New Roman" w:eastAsia="Times New Roman" w:hAnsi="Times New Roman"/>
          <w:color w:val="000000"/>
          <w:sz w:val="28"/>
          <w:szCs w:val="28"/>
          <w:lang w:eastAsia="en-US"/>
        </w:rPr>
        <w:t>History of</w:t>
      </w:r>
      <w:r>
        <w:rPr>
          <w:rFonts w:eastAsia="Calibri" w:cs="Arial"/>
          <w:sz w:val="28"/>
          <w:szCs w:val="28"/>
          <w:lang w:eastAsia="en-US"/>
        </w:rPr>
        <w:t xml:space="preserve">  </w:t>
      </w:r>
      <w:r>
        <w:rPr>
          <w:rFonts w:ascii="Times New Roman" w:eastAsia="Times New Roman" w:hAnsi="Times New Roman"/>
          <w:color w:val="000000"/>
          <w:sz w:val="28"/>
          <w:szCs w:val="28"/>
          <w:lang w:eastAsia="en-US"/>
        </w:rPr>
        <w:t>Jaundice</w:t>
      </w:r>
      <w:r w:rsidR="00DC5A38">
        <w:rPr>
          <w:rFonts w:ascii="Times New Roman" w:eastAsia="Times New Roman" w:hAnsi="Times New Roman"/>
          <w:color w:val="000000"/>
          <w:sz w:val="28"/>
          <w:szCs w:val="28"/>
          <w:lang w:eastAsia="en-US"/>
        </w:rPr>
        <w:t xml:space="preserve"> </w:t>
      </w:r>
      <w:r w:rsidR="00DC5A38">
        <w:rPr>
          <w:rFonts w:ascii="Times New Roman" w:eastAsia="Times New Roman" w:hAnsi="Times New Roman"/>
          <w:color w:val="FF0000"/>
          <w:sz w:val="28"/>
          <w:szCs w:val="28"/>
          <w:lang w:eastAsia="en-US"/>
        </w:rPr>
        <w:t>(Figure 6).</w:t>
      </w:r>
      <w:r w:rsidR="00DC5A38">
        <w:rPr>
          <w:rFonts w:ascii="Times New Roman" w:eastAsia="Times New Roman" w:hAnsi="Times New Roman"/>
          <w:color w:val="000000"/>
          <w:sz w:val="28"/>
          <w:szCs w:val="28"/>
          <w:lang w:eastAsia="en-US"/>
        </w:rPr>
        <w:t xml:space="preserve"> </w:t>
      </w:r>
      <w:r>
        <w:rPr>
          <w:rFonts w:ascii="Times New Roman" w:eastAsia="Times New Roman" w:hAnsi="Times New Roman"/>
          <w:color w:val="000000"/>
          <w:sz w:val="28"/>
          <w:szCs w:val="28"/>
          <w:lang w:eastAsia="en-US"/>
        </w:rPr>
        <w:t xml:space="preserve"> </w:t>
      </w:r>
    </w:p>
    <w:p w14:paraId="2E9B9A31" w14:textId="77777777" w:rsidR="00E925E4" w:rsidRDefault="00145C38">
      <w:pPr>
        <w:jc w:val="center"/>
        <w:rPr>
          <w:sz w:val="28"/>
          <w:szCs w:val="28"/>
        </w:rPr>
      </w:pPr>
      <w:r>
        <w:rPr>
          <w:noProof/>
          <w:sz w:val="28"/>
          <w:szCs w:val="28"/>
          <w:lang w:eastAsia="en-US"/>
        </w:rPr>
        <w:drawing>
          <wp:inline distT="0" distB="0" distL="114300" distR="114300" wp14:anchorId="56CD8E96" wp14:editId="26E4017C">
            <wp:extent cx="4568825" cy="2740025"/>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6E0EF6" w14:textId="77777777" w:rsidR="00DC5A38" w:rsidRDefault="00DC5A38" w:rsidP="00DC5A38">
      <w:pPr>
        <w:spacing w:line="480" w:lineRule="auto"/>
        <w:jc w:val="center"/>
        <w:rPr>
          <w:rFonts w:ascii="Times New Roman" w:eastAsia="Times New Roman" w:hAnsi="Times New Roman"/>
          <w:color w:val="FF0000"/>
          <w:sz w:val="28"/>
          <w:szCs w:val="28"/>
          <w:lang w:eastAsia="en-US"/>
        </w:rPr>
      </w:pPr>
      <w:r>
        <w:rPr>
          <w:rFonts w:ascii="Times New Roman" w:eastAsia="Calibri" w:hAnsi="Times New Roman"/>
          <w:b/>
          <w:bCs/>
          <w:color w:val="FF0000"/>
          <w:sz w:val="28"/>
          <w:szCs w:val="28"/>
          <w:lang w:eastAsia="en-US"/>
        </w:rPr>
        <w:t xml:space="preserve">Figure (6):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History of Jaundice.</w:t>
      </w:r>
    </w:p>
    <w:p w14:paraId="1C6A0B37" w14:textId="77D0A8C1"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93 (93%) of them have Negative result of HBV Test, while 7 (7%) of them have Positive result of  HBV test</w:t>
      </w:r>
      <w:r w:rsidR="00DC5A38">
        <w:rPr>
          <w:rFonts w:ascii="Times New Roman" w:eastAsia="Times New Roman" w:hAnsi="Times New Roman"/>
          <w:color w:val="000000"/>
          <w:sz w:val="28"/>
          <w:szCs w:val="28"/>
          <w:lang w:eastAsia="en-US"/>
        </w:rPr>
        <w:t xml:space="preserve"> </w:t>
      </w:r>
      <w:r w:rsidR="00DC5A38">
        <w:rPr>
          <w:rFonts w:ascii="Times New Roman" w:eastAsia="Times New Roman" w:hAnsi="Times New Roman"/>
          <w:color w:val="FF0000"/>
          <w:sz w:val="28"/>
          <w:szCs w:val="28"/>
          <w:lang w:eastAsia="en-US"/>
        </w:rPr>
        <w:t>(Figure 7).</w:t>
      </w:r>
    </w:p>
    <w:p w14:paraId="2B3D067D" w14:textId="77777777" w:rsidR="00E925E4" w:rsidRDefault="00145C38">
      <w:pPr>
        <w:jc w:val="center"/>
        <w:rPr>
          <w:sz w:val="28"/>
          <w:szCs w:val="28"/>
        </w:rPr>
      </w:pPr>
      <w:r>
        <w:rPr>
          <w:noProof/>
          <w:sz w:val="28"/>
          <w:szCs w:val="28"/>
          <w:lang w:eastAsia="en-US"/>
        </w:rPr>
        <w:lastRenderedPageBreak/>
        <w:drawing>
          <wp:inline distT="0" distB="0" distL="114300" distR="114300" wp14:anchorId="1419C898" wp14:editId="3C311AD4">
            <wp:extent cx="4568825" cy="2740025"/>
            <wp:effectExtent l="0" t="0" r="0" b="0"/>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2EA427" w14:textId="77777777" w:rsidR="00E925E4" w:rsidRDefault="00E925E4">
      <w:pPr>
        <w:jc w:val="center"/>
        <w:rPr>
          <w:sz w:val="28"/>
          <w:szCs w:val="28"/>
        </w:rPr>
      </w:pPr>
    </w:p>
    <w:p w14:paraId="34CA2504" w14:textId="77777777" w:rsidR="00DC5A38" w:rsidRDefault="00DC5A38" w:rsidP="00DC5A38">
      <w:pPr>
        <w:jc w:val="center"/>
        <w:rPr>
          <w:rFonts w:ascii="Times New Roman" w:eastAsia="Times New Roman" w:hAnsi="Times New Roman"/>
          <w:color w:val="FF0000"/>
          <w:sz w:val="28"/>
          <w:szCs w:val="28"/>
          <w:lang w:eastAsia="en-US"/>
        </w:rPr>
      </w:pPr>
      <w:r>
        <w:rPr>
          <w:rFonts w:ascii="Times New Roman" w:eastAsia="Calibri" w:hAnsi="Times New Roman"/>
          <w:b/>
          <w:bCs/>
          <w:color w:val="FF0000"/>
          <w:sz w:val="28"/>
          <w:szCs w:val="28"/>
          <w:lang w:eastAsia="en-US"/>
        </w:rPr>
        <w:t xml:space="preserve">Figure (7):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Result HBV Test.</w:t>
      </w:r>
    </w:p>
    <w:p w14:paraId="1B5C5598" w14:textId="77777777" w:rsidR="00E925E4" w:rsidRDefault="00E925E4">
      <w:pPr>
        <w:jc w:val="center"/>
        <w:rPr>
          <w:sz w:val="28"/>
          <w:szCs w:val="28"/>
        </w:rPr>
      </w:pPr>
    </w:p>
    <w:p w14:paraId="404C7180" w14:textId="77777777" w:rsidR="00E925E4" w:rsidRDefault="00E925E4">
      <w:pPr>
        <w:jc w:val="center"/>
        <w:rPr>
          <w:sz w:val="28"/>
          <w:szCs w:val="28"/>
        </w:rPr>
      </w:pPr>
    </w:p>
    <w:p w14:paraId="4FAB07B4" w14:textId="77777777" w:rsidR="00E925E4" w:rsidRDefault="00E925E4">
      <w:pPr>
        <w:jc w:val="center"/>
        <w:rPr>
          <w:sz w:val="28"/>
          <w:szCs w:val="28"/>
        </w:rPr>
      </w:pPr>
    </w:p>
    <w:p w14:paraId="6F5353D0" w14:textId="77777777" w:rsidR="00E925E4" w:rsidRDefault="00E925E4">
      <w:pPr>
        <w:jc w:val="center"/>
        <w:rPr>
          <w:sz w:val="28"/>
          <w:szCs w:val="28"/>
        </w:rPr>
      </w:pPr>
    </w:p>
    <w:p w14:paraId="6AC34114" w14:textId="77777777" w:rsidR="00E925E4" w:rsidRDefault="00E925E4">
      <w:pPr>
        <w:jc w:val="center"/>
        <w:rPr>
          <w:sz w:val="28"/>
          <w:szCs w:val="28"/>
        </w:rPr>
      </w:pPr>
    </w:p>
    <w:p w14:paraId="5FA49978" w14:textId="77777777" w:rsidR="00E925E4" w:rsidRDefault="00E925E4">
      <w:pPr>
        <w:jc w:val="center"/>
        <w:rPr>
          <w:sz w:val="28"/>
          <w:szCs w:val="28"/>
        </w:rPr>
      </w:pPr>
    </w:p>
    <w:p w14:paraId="48A07E70" w14:textId="77777777" w:rsidR="00E925E4" w:rsidRDefault="00E925E4">
      <w:pPr>
        <w:jc w:val="center"/>
        <w:rPr>
          <w:sz w:val="28"/>
          <w:szCs w:val="28"/>
        </w:rPr>
      </w:pPr>
    </w:p>
    <w:p w14:paraId="501F7377" w14:textId="77777777" w:rsidR="00E925E4" w:rsidRDefault="00E925E4">
      <w:pPr>
        <w:jc w:val="center"/>
        <w:rPr>
          <w:noProof/>
          <w:sz w:val="28"/>
          <w:szCs w:val="28"/>
          <w:lang w:eastAsia="en-US"/>
        </w:rPr>
      </w:pPr>
    </w:p>
    <w:p w14:paraId="728AADE7" w14:textId="30B9EE94" w:rsidR="00E925E4" w:rsidRDefault="00145C38">
      <w:pPr>
        <w:spacing w:line="480" w:lineRule="auto"/>
        <w:jc w:val="both"/>
        <w:rPr>
          <w:rFonts w:ascii="Times New Roman" w:eastAsia="Times New Roman" w:hAnsi="Times New Roman"/>
          <w:color w:val="000000"/>
          <w:sz w:val="28"/>
          <w:szCs w:val="28"/>
          <w:lang w:eastAsia="en-US"/>
        </w:rPr>
      </w:pPr>
      <w:r>
        <w:rPr>
          <w:rFonts w:ascii="Times New Roman" w:eastAsia="Times New Roman" w:hAnsi="Times New Roman"/>
          <w:sz w:val="28"/>
          <w:szCs w:val="28"/>
          <w:lang w:eastAsia="en-US"/>
        </w:rPr>
        <w:t xml:space="preserve">Total of 100 </w:t>
      </w:r>
      <w:r>
        <w:rPr>
          <w:rFonts w:ascii="Times New Roman" w:eastAsia="Calibri" w:hAnsi="Times New Roman"/>
          <w:sz w:val="28"/>
          <w:szCs w:val="28"/>
          <w:lang w:eastAsia="en-US" w:bidi="ar-EG"/>
        </w:rPr>
        <w:t>Volunteer Blood Donors</w:t>
      </w:r>
      <w:r>
        <w:rPr>
          <w:rFonts w:ascii="Times New Roman" w:eastAsia="Times New Roman" w:hAnsi="Times New Roman"/>
          <w:sz w:val="28"/>
          <w:szCs w:val="28"/>
          <w:lang w:eastAsia="en-US"/>
        </w:rPr>
        <w:t xml:space="preserve"> were involved in this study, 100 (100%) of them have Negative result of HCV Test</w:t>
      </w:r>
      <w:r w:rsidR="00DC5A38">
        <w:rPr>
          <w:rFonts w:ascii="Times New Roman" w:eastAsia="Times New Roman" w:hAnsi="Times New Roman"/>
          <w:sz w:val="28"/>
          <w:szCs w:val="28"/>
          <w:lang w:eastAsia="en-US"/>
        </w:rPr>
        <w:t xml:space="preserve"> </w:t>
      </w:r>
      <w:r w:rsidR="00DC5A38">
        <w:rPr>
          <w:rFonts w:ascii="Times New Roman" w:eastAsia="Times New Roman" w:hAnsi="Times New Roman"/>
          <w:color w:val="FF0000"/>
          <w:sz w:val="28"/>
          <w:szCs w:val="28"/>
          <w:lang w:eastAsia="en-US"/>
        </w:rPr>
        <w:t>(Figure 8).</w:t>
      </w:r>
    </w:p>
    <w:p w14:paraId="4D3E7BD7" w14:textId="77777777" w:rsidR="00E925E4" w:rsidRDefault="00E925E4">
      <w:pPr>
        <w:jc w:val="center"/>
        <w:rPr>
          <w:sz w:val="28"/>
          <w:szCs w:val="28"/>
        </w:rPr>
      </w:pPr>
    </w:p>
    <w:p w14:paraId="7121C9EF" w14:textId="77777777" w:rsidR="00E925E4" w:rsidRDefault="00145C38" w:rsidP="008C496E">
      <w:pPr>
        <w:jc w:val="center"/>
        <w:rPr>
          <w:sz w:val="28"/>
          <w:szCs w:val="28"/>
        </w:rPr>
      </w:pPr>
      <w:r>
        <w:rPr>
          <w:noProof/>
          <w:sz w:val="28"/>
          <w:szCs w:val="28"/>
          <w:lang w:eastAsia="en-US"/>
        </w:rPr>
        <w:lastRenderedPageBreak/>
        <w:drawing>
          <wp:inline distT="0" distB="0" distL="114300" distR="114300" wp14:anchorId="42DF05EA" wp14:editId="00F2C61E">
            <wp:extent cx="4568825" cy="2740025"/>
            <wp:effectExtent l="0" t="0" r="0" b="0"/>
            <wp:docPr id="10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45BA6F" w14:textId="77777777" w:rsidR="00DC5A38" w:rsidRDefault="00DC5A38" w:rsidP="00DC5A38">
      <w:pPr>
        <w:jc w:val="center"/>
        <w:rPr>
          <w:rFonts w:ascii="Times New Roman" w:eastAsia="Times New Roman" w:hAnsi="Times New Roman"/>
          <w:color w:val="FF0000"/>
          <w:sz w:val="28"/>
          <w:szCs w:val="28"/>
          <w:lang w:eastAsia="en-US"/>
        </w:rPr>
      </w:pPr>
      <w:r>
        <w:rPr>
          <w:rFonts w:ascii="Times New Roman" w:eastAsia="Calibri" w:hAnsi="Times New Roman"/>
          <w:b/>
          <w:bCs/>
          <w:color w:val="FF0000"/>
          <w:sz w:val="28"/>
          <w:szCs w:val="28"/>
          <w:lang w:eastAsia="en-US"/>
        </w:rPr>
        <w:t xml:space="preserve">Figure (8): Distribution of the Studied </w:t>
      </w:r>
      <w:r>
        <w:rPr>
          <w:rFonts w:ascii="Times New Roman" w:eastAsia="Calibri" w:hAnsi="Times New Roman"/>
          <w:b/>
          <w:bCs/>
          <w:color w:val="FF0000"/>
          <w:sz w:val="28"/>
          <w:szCs w:val="28"/>
          <w:lang w:eastAsia="en-US" w:bidi="ar-EG"/>
        </w:rPr>
        <w:t xml:space="preserve">Volunteer Blood Donors </w:t>
      </w:r>
      <w:r>
        <w:rPr>
          <w:rFonts w:ascii="Times New Roman" w:eastAsia="Calibri" w:hAnsi="Times New Roman"/>
          <w:b/>
          <w:bCs/>
          <w:color w:val="FF0000"/>
          <w:sz w:val="28"/>
          <w:szCs w:val="28"/>
          <w:lang w:eastAsia="en-US"/>
        </w:rPr>
        <w:t xml:space="preserve">according to </w:t>
      </w:r>
      <w:r>
        <w:rPr>
          <w:rFonts w:ascii="Times New Roman" w:eastAsia="Times New Roman" w:hAnsi="Times New Roman"/>
          <w:b/>
          <w:bCs/>
          <w:color w:val="FF0000"/>
          <w:sz w:val="28"/>
          <w:szCs w:val="28"/>
          <w:lang w:eastAsia="en-US"/>
        </w:rPr>
        <w:t>Result HCV Test.</w:t>
      </w:r>
    </w:p>
    <w:p w14:paraId="384CC611" w14:textId="77777777" w:rsidR="00E925E4" w:rsidRDefault="00E925E4">
      <w:pPr>
        <w:jc w:val="center"/>
        <w:rPr>
          <w:sz w:val="28"/>
          <w:szCs w:val="28"/>
        </w:rPr>
      </w:pPr>
    </w:p>
    <w:p w14:paraId="745757E9" w14:textId="77777777" w:rsidR="00E925E4" w:rsidRDefault="00145C38">
      <w:pPr>
        <w:jc w:val="center"/>
        <w:rPr>
          <w:sz w:val="28"/>
          <w:szCs w:val="28"/>
        </w:rPr>
      </w:pPr>
      <w:r>
        <w:rPr>
          <w:sz w:val="28"/>
          <w:szCs w:val="28"/>
        </w:rPr>
        <w:t>The trend of HBV infection Considering age, the age groups 18 –30 had the highest contribution and the age group, 31-40,  41 – 50, and Above 50 the lowest contribution of HBV infection, There is a insignificant statistical difference in the prevalence HBV with P value &gt; 0.05.</w:t>
      </w:r>
    </w:p>
    <w:p w14:paraId="55D46866" w14:textId="77777777" w:rsidR="00E925E4" w:rsidRDefault="00E925E4">
      <w:pPr>
        <w:jc w:val="center"/>
        <w:rPr>
          <w:sz w:val="28"/>
          <w:szCs w:val="28"/>
        </w:rPr>
      </w:pPr>
    </w:p>
    <w:p w14:paraId="50B5FA7A" w14:textId="7BACC2A7" w:rsidR="00E925E4" w:rsidRDefault="00145C38">
      <w:pP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Table (1): Prevalence of HBV among age group at  </w:t>
      </w:r>
      <w:r>
        <w:rPr>
          <w:rFonts w:ascii="Times New Roman" w:eastAsia="Times New Roman" w:hAnsi="Times New Roman"/>
          <w:b/>
          <w:bCs/>
          <w:color w:val="000000"/>
          <w:sz w:val="28"/>
          <w:szCs w:val="28"/>
          <w:lang w:eastAsia="en-US"/>
        </w:rPr>
        <w:t>Dong</w:t>
      </w:r>
      <w:r w:rsidR="00507F95">
        <w:rPr>
          <w:rFonts w:ascii="Times New Roman" w:eastAsia="Times New Roman" w:hAnsi="Times New Roman"/>
          <w:b/>
          <w:bCs/>
          <w:color w:val="000000"/>
          <w:sz w:val="28"/>
          <w:szCs w:val="28"/>
          <w:lang w:eastAsia="en-US"/>
        </w:rPr>
        <w:t>o</w:t>
      </w:r>
      <w:r>
        <w:rPr>
          <w:rFonts w:ascii="Times New Roman" w:eastAsia="Times New Roman" w:hAnsi="Times New Roman"/>
          <w:b/>
          <w:bCs/>
          <w:color w:val="000000"/>
          <w:sz w:val="28"/>
          <w:szCs w:val="28"/>
          <w:lang w:eastAsia="en-US"/>
        </w:rPr>
        <w:t>la</w:t>
      </w:r>
      <w:r>
        <w:rPr>
          <w:rFonts w:ascii="Times New Roman" w:eastAsia="Calibri" w:hAnsi="Times New Roman"/>
          <w:b/>
          <w:bCs/>
          <w:sz w:val="28"/>
          <w:szCs w:val="28"/>
          <w:lang w:eastAsia="en-US"/>
        </w:rPr>
        <w:t xml:space="preserve"> Blood Bank:</w:t>
      </w:r>
    </w:p>
    <w:tbl>
      <w:tblPr>
        <w:tblStyle w:val="TableGrid1"/>
        <w:tblW w:w="0" w:type="auto"/>
        <w:jc w:val="center"/>
        <w:tblLook w:val="04A0" w:firstRow="1" w:lastRow="0" w:firstColumn="1" w:lastColumn="0" w:noHBand="0" w:noVBand="1"/>
      </w:tblPr>
      <w:tblGrid>
        <w:gridCol w:w="2359"/>
        <w:gridCol w:w="1671"/>
        <w:gridCol w:w="1443"/>
        <w:gridCol w:w="1861"/>
        <w:gridCol w:w="2242"/>
      </w:tblGrid>
      <w:tr w:rsidR="00E925E4" w14:paraId="659278F0" w14:textId="77777777">
        <w:trPr>
          <w:trHeight w:val="620"/>
          <w:jc w:val="center"/>
        </w:trPr>
        <w:tc>
          <w:tcPr>
            <w:tcW w:w="2451" w:type="dxa"/>
            <w:vMerge w:val="restart"/>
            <w:shd w:val="clear" w:color="auto" w:fill="C2D69B"/>
          </w:tcPr>
          <w:p w14:paraId="705709F6" w14:textId="77777777" w:rsidR="00E925E4" w:rsidRDefault="00145C38">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Age</w:t>
            </w:r>
            <w:r>
              <w:rPr>
                <w:rFonts w:ascii="Times New Roman" w:hAnsi="Times New Roman"/>
                <w:b/>
                <w:bCs/>
                <w:sz w:val="28"/>
                <w:szCs w:val="28"/>
                <w:lang w:eastAsia="en-US"/>
              </w:rPr>
              <w:t xml:space="preserve"> Variable</w:t>
            </w:r>
          </w:p>
        </w:tc>
        <w:tc>
          <w:tcPr>
            <w:tcW w:w="1710" w:type="dxa"/>
            <w:vMerge w:val="restart"/>
            <w:shd w:val="clear" w:color="auto" w:fill="C2D69B"/>
          </w:tcPr>
          <w:p w14:paraId="562614EE"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Total Donator </w:t>
            </w:r>
          </w:p>
        </w:tc>
        <w:tc>
          <w:tcPr>
            <w:tcW w:w="3420" w:type="dxa"/>
            <w:gridSpan w:val="2"/>
            <w:tcBorders>
              <w:bottom w:val="single" w:sz="4" w:space="0" w:color="auto"/>
              <w:right w:val="single" w:sz="4" w:space="0" w:color="auto"/>
            </w:tcBorders>
            <w:shd w:val="clear" w:color="auto" w:fill="C2D69B"/>
          </w:tcPr>
          <w:p w14:paraId="0DFDE454"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HBV Positive </w:t>
            </w:r>
          </w:p>
        </w:tc>
        <w:tc>
          <w:tcPr>
            <w:tcW w:w="2360" w:type="dxa"/>
            <w:vMerge w:val="restart"/>
            <w:tcBorders>
              <w:top w:val="single" w:sz="4" w:space="0" w:color="auto"/>
              <w:bottom w:val="nil"/>
              <w:right w:val="single" w:sz="4" w:space="0" w:color="auto"/>
            </w:tcBorders>
            <w:shd w:val="clear" w:color="auto" w:fill="C2D69B"/>
          </w:tcPr>
          <w:p w14:paraId="602D1346" w14:textId="77777777" w:rsidR="00E925E4" w:rsidRDefault="00E925E4">
            <w:pPr>
              <w:spacing w:after="0" w:line="240" w:lineRule="auto"/>
              <w:jc w:val="right"/>
              <w:rPr>
                <w:rFonts w:ascii="Times New Roman" w:hAnsi="Times New Roman"/>
                <w:b/>
                <w:bCs/>
                <w:sz w:val="28"/>
                <w:szCs w:val="28"/>
                <w:lang w:eastAsia="en-US"/>
              </w:rPr>
            </w:pPr>
          </w:p>
          <w:p w14:paraId="3C495D70"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shd w:val="clear" w:color="auto" w:fill="C2D69B"/>
                <w:lang w:eastAsia="en-US"/>
              </w:rPr>
              <w:t>P value</w:t>
            </w:r>
          </w:p>
        </w:tc>
      </w:tr>
      <w:tr w:rsidR="00E925E4" w14:paraId="1927455F" w14:textId="77777777">
        <w:trPr>
          <w:trHeight w:val="530"/>
          <w:jc w:val="center"/>
        </w:trPr>
        <w:tc>
          <w:tcPr>
            <w:tcW w:w="2451" w:type="dxa"/>
            <w:vMerge/>
            <w:shd w:val="clear" w:color="auto" w:fill="C2D69B"/>
          </w:tcPr>
          <w:p w14:paraId="3F367491" w14:textId="77777777" w:rsidR="00E925E4" w:rsidRDefault="00E925E4">
            <w:pPr>
              <w:spacing w:after="0" w:line="240" w:lineRule="auto"/>
              <w:jc w:val="both"/>
              <w:rPr>
                <w:rFonts w:ascii="Times New Roman" w:hAnsi="Times New Roman"/>
                <w:b/>
                <w:bCs/>
                <w:color w:val="000000"/>
                <w:sz w:val="28"/>
                <w:szCs w:val="28"/>
                <w:lang w:eastAsia="en-US"/>
              </w:rPr>
            </w:pPr>
          </w:p>
        </w:tc>
        <w:tc>
          <w:tcPr>
            <w:tcW w:w="1710" w:type="dxa"/>
            <w:vMerge/>
            <w:shd w:val="clear" w:color="auto" w:fill="C2D69B"/>
          </w:tcPr>
          <w:p w14:paraId="2722AF4D" w14:textId="77777777" w:rsidR="00E925E4" w:rsidRDefault="00E925E4">
            <w:pPr>
              <w:spacing w:after="0" w:line="240" w:lineRule="auto"/>
              <w:jc w:val="center"/>
              <w:rPr>
                <w:rFonts w:ascii="Times New Roman" w:hAnsi="Times New Roman"/>
                <w:b/>
                <w:bCs/>
                <w:sz w:val="28"/>
                <w:szCs w:val="28"/>
                <w:lang w:eastAsia="en-US"/>
              </w:rPr>
            </w:pPr>
          </w:p>
        </w:tc>
        <w:tc>
          <w:tcPr>
            <w:tcW w:w="1530" w:type="dxa"/>
            <w:tcBorders>
              <w:top w:val="single" w:sz="4" w:space="0" w:color="auto"/>
              <w:right w:val="single" w:sz="4" w:space="0" w:color="auto"/>
            </w:tcBorders>
            <w:shd w:val="clear" w:color="auto" w:fill="C2D69B"/>
          </w:tcPr>
          <w:p w14:paraId="78ABE187"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N</w:t>
            </w:r>
          </w:p>
        </w:tc>
        <w:tc>
          <w:tcPr>
            <w:tcW w:w="1890" w:type="dxa"/>
            <w:tcBorders>
              <w:top w:val="single" w:sz="4" w:space="0" w:color="auto"/>
              <w:right w:val="single" w:sz="4" w:space="0" w:color="auto"/>
            </w:tcBorders>
            <w:shd w:val="clear" w:color="auto" w:fill="C2D69B"/>
          </w:tcPr>
          <w:p w14:paraId="74F7FFF6"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color w:val="000000"/>
                <w:sz w:val="28"/>
                <w:szCs w:val="28"/>
                <w:lang w:eastAsia="en-US"/>
              </w:rPr>
              <w:t xml:space="preserve">Prevalence </w:t>
            </w:r>
          </w:p>
          <w:p w14:paraId="69236D63"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color w:val="000000"/>
                <w:sz w:val="28"/>
                <w:szCs w:val="28"/>
                <w:lang w:eastAsia="en-US"/>
              </w:rPr>
              <w:t>%</w:t>
            </w:r>
          </w:p>
        </w:tc>
        <w:tc>
          <w:tcPr>
            <w:tcW w:w="2360" w:type="dxa"/>
            <w:vMerge/>
            <w:tcBorders>
              <w:bottom w:val="single" w:sz="4" w:space="0" w:color="auto"/>
              <w:right w:val="single" w:sz="4" w:space="0" w:color="auto"/>
            </w:tcBorders>
            <w:shd w:val="clear" w:color="auto" w:fill="C2D69B"/>
          </w:tcPr>
          <w:p w14:paraId="0F2853E6" w14:textId="77777777" w:rsidR="00E925E4" w:rsidRDefault="00E925E4">
            <w:pPr>
              <w:spacing w:after="0" w:line="240" w:lineRule="auto"/>
              <w:jc w:val="center"/>
              <w:rPr>
                <w:rFonts w:ascii="Times New Roman" w:hAnsi="Times New Roman"/>
                <w:b/>
                <w:bCs/>
                <w:sz w:val="28"/>
                <w:szCs w:val="28"/>
                <w:lang w:eastAsia="en-US"/>
              </w:rPr>
            </w:pPr>
          </w:p>
        </w:tc>
      </w:tr>
      <w:tr w:rsidR="00E925E4" w14:paraId="5470679F" w14:textId="77777777">
        <w:trPr>
          <w:trHeight w:val="233"/>
          <w:jc w:val="center"/>
        </w:trPr>
        <w:tc>
          <w:tcPr>
            <w:tcW w:w="2451" w:type="dxa"/>
            <w:tcBorders>
              <w:bottom w:val="single" w:sz="4" w:space="0" w:color="auto"/>
            </w:tcBorders>
            <w:shd w:val="clear" w:color="auto" w:fill="EAF1DD"/>
          </w:tcPr>
          <w:p w14:paraId="129D0470" w14:textId="77777777"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18 – 30</w:t>
            </w:r>
          </w:p>
        </w:tc>
        <w:tc>
          <w:tcPr>
            <w:tcW w:w="1710" w:type="dxa"/>
            <w:tcBorders>
              <w:bottom w:val="single" w:sz="4" w:space="0" w:color="auto"/>
            </w:tcBorders>
          </w:tcPr>
          <w:p w14:paraId="2CBFF5A2"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61</w:t>
            </w:r>
          </w:p>
        </w:tc>
        <w:tc>
          <w:tcPr>
            <w:tcW w:w="1530" w:type="dxa"/>
            <w:tcBorders>
              <w:bottom w:val="single" w:sz="4" w:space="0" w:color="auto"/>
              <w:right w:val="single" w:sz="4" w:space="0" w:color="auto"/>
            </w:tcBorders>
          </w:tcPr>
          <w:p w14:paraId="5B3F237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890" w:type="dxa"/>
            <w:tcBorders>
              <w:left w:val="single" w:sz="4" w:space="0" w:color="auto"/>
              <w:bottom w:val="single" w:sz="4" w:space="0" w:color="auto"/>
            </w:tcBorders>
          </w:tcPr>
          <w:p w14:paraId="204151DF"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2360" w:type="dxa"/>
            <w:vMerge w:val="restart"/>
            <w:tcBorders>
              <w:top w:val="single" w:sz="4" w:space="0" w:color="auto"/>
              <w:bottom w:val="nil"/>
              <w:right w:val="single" w:sz="4" w:space="0" w:color="auto"/>
            </w:tcBorders>
            <w:shd w:val="clear" w:color="auto" w:fill="auto"/>
          </w:tcPr>
          <w:p w14:paraId="04EE9B3A" w14:textId="77777777" w:rsidR="00E925E4" w:rsidRDefault="00E925E4">
            <w:pPr>
              <w:spacing w:after="0" w:line="240" w:lineRule="auto"/>
              <w:jc w:val="center"/>
              <w:rPr>
                <w:rFonts w:ascii="Times New Roman" w:hAnsi="Times New Roman"/>
                <w:sz w:val="28"/>
                <w:szCs w:val="28"/>
                <w:lang w:eastAsia="en-US"/>
              </w:rPr>
            </w:pPr>
          </w:p>
          <w:p w14:paraId="50C5B0EC" w14:textId="77777777" w:rsidR="00E925E4" w:rsidRDefault="00E925E4">
            <w:pPr>
              <w:spacing w:after="0" w:line="240" w:lineRule="auto"/>
              <w:jc w:val="center"/>
              <w:rPr>
                <w:rFonts w:ascii="Times New Roman" w:hAnsi="Times New Roman"/>
                <w:sz w:val="28"/>
                <w:szCs w:val="28"/>
                <w:lang w:eastAsia="en-US"/>
              </w:rPr>
            </w:pPr>
          </w:p>
          <w:p w14:paraId="4B21380F" w14:textId="77777777" w:rsidR="00E925E4" w:rsidRDefault="00145C3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0.536</w:t>
            </w:r>
          </w:p>
        </w:tc>
      </w:tr>
      <w:tr w:rsidR="00E925E4" w14:paraId="14D7648D" w14:textId="77777777">
        <w:trPr>
          <w:trHeight w:val="310"/>
          <w:jc w:val="center"/>
        </w:trPr>
        <w:tc>
          <w:tcPr>
            <w:tcW w:w="2451" w:type="dxa"/>
            <w:tcBorders>
              <w:top w:val="single" w:sz="4" w:space="0" w:color="auto"/>
              <w:bottom w:val="single" w:sz="4" w:space="0" w:color="auto"/>
            </w:tcBorders>
            <w:shd w:val="clear" w:color="auto" w:fill="EAF1DD"/>
          </w:tcPr>
          <w:p w14:paraId="7744263C" w14:textId="77777777"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31 – 40</w:t>
            </w:r>
          </w:p>
        </w:tc>
        <w:tc>
          <w:tcPr>
            <w:tcW w:w="1710" w:type="dxa"/>
            <w:tcBorders>
              <w:top w:val="single" w:sz="4" w:space="0" w:color="auto"/>
              <w:bottom w:val="single" w:sz="4" w:space="0" w:color="auto"/>
            </w:tcBorders>
            <w:shd w:val="clear" w:color="auto" w:fill="EAF1DD"/>
          </w:tcPr>
          <w:p w14:paraId="0C7BC615"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24</w:t>
            </w:r>
          </w:p>
        </w:tc>
        <w:tc>
          <w:tcPr>
            <w:tcW w:w="1530" w:type="dxa"/>
            <w:tcBorders>
              <w:top w:val="single" w:sz="4" w:space="0" w:color="auto"/>
              <w:bottom w:val="single" w:sz="4" w:space="0" w:color="auto"/>
              <w:right w:val="single" w:sz="4" w:space="0" w:color="auto"/>
            </w:tcBorders>
            <w:shd w:val="clear" w:color="auto" w:fill="EAF1DD"/>
          </w:tcPr>
          <w:p w14:paraId="036AD7E5"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890" w:type="dxa"/>
            <w:tcBorders>
              <w:top w:val="single" w:sz="4" w:space="0" w:color="auto"/>
              <w:left w:val="single" w:sz="4" w:space="0" w:color="auto"/>
              <w:bottom w:val="single" w:sz="4" w:space="0" w:color="auto"/>
            </w:tcBorders>
            <w:shd w:val="clear" w:color="auto" w:fill="EAF1DD"/>
          </w:tcPr>
          <w:p w14:paraId="34E90B83"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2360" w:type="dxa"/>
            <w:vMerge/>
            <w:tcBorders>
              <w:top w:val="single" w:sz="4" w:space="0" w:color="auto"/>
              <w:bottom w:val="nil"/>
              <w:right w:val="single" w:sz="4" w:space="0" w:color="auto"/>
            </w:tcBorders>
            <w:shd w:val="clear" w:color="auto" w:fill="auto"/>
          </w:tcPr>
          <w:p w14:paraId="6B6B7794" w14:textId="77777777" w:rsidR="00E925E4" w:rsidRDefault="00E925E4">
            <w:pPr>
              <w:spacing w:after="0" w:line="240" w:lineRule="auto"/>
              <w:rPr>
                <w:rFonts w:ascii="Times New Roman" w:hAnsi="Times New Roman"/>
                <w:sz w:val="28"/>
                <w:szCs w:val="28"/>
                <w:lang w:eastAsia="en-US"/>
              </w:rPr>
            </w:pPr>
          </w:p>
        </w:tc>
      </w:tr>
      <w:tr w:rsidR="00E925E4" w14:paraId="737BE93D" w14:textId="77777777">
        <w:trPr>
          <w:trHeight w:val="264"/>
          <w:jc w:val="center"/>
        </w:trPr>
        <w:tc>
          <w:tcPr>
            <w:tcW w:w="2451" w:type="dxa"/>
            <w:tcBorders>
              <w:top w:val="single" w:sz="4" w:space="0" w:color="auto"/>
              <w:bottom w:val="single" w:sz="4" w:space="0" w:color="auto"/>
            </w:tcBorders>
            <w:shd w:val="clear" w:color="auto" w:fill="EAF1DD"/>
          </w:tcPr>
          <w:p w14:paraId="26392B66" w14:textId="77777777" w:rsidR="00E925E4" w:rsidRDefault="00145C38">
            <w:pPr>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41 – 50</w:t>
            </w:r>
          </w:p>
        </w:tc>
        <w:tc>
          <w:tcPr>
            <w:tcW w:w="1710" w:type="dxa"/>
            <w:tcBorders>
              <w:top w:val="single" w:sz="4" w:space="0" w:color="auto"/>
              <w:bottom w:val="single" w:sz="4" w:space="0" w:color="auto"/>
            </w:tcBorders>
          </w:tcPr>
          <w:p w14:paraId="7A42A80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11</w:t>
            </w:r>
          </w:p>
        </w:tc>
        <w:tc>
          <w:tcPr>
            <w:tcW w:w="1530" w:type="dxa"/>
            <w:tcBorders>
              <w:top w:val="single" w:sz="4" w:space="0" w:color="auto"/>
              <w:bottom w:val="single" w:sz="4" w:space="0" w:color="auto"/>
              <w:right w:val="single" w:sz="4" w:space="0" w:color="auto"/>
            </w:tcBorders>
          </w:tcPr>
          <w:p w14:paraId="6A358C7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tcPr>
          <w:p w14:paraId="235B2679"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7ADFB6FC" w14:textId="77777777" w:rsidR="00E925E4" w:rsidRDefault="00E925E4">
            <w:pPr>
              <w:spacing w:after="0" w:line="240" w:lineRule="auto"/>
              <w:rPr>
                <w:rFonts w:ascii="Times New Roman" w:hAnsi="Times New Roman"/>
                <w:sz w:val="28"/>
                <w:szCs w:val="28"/>
                <w:lang w:eastAsia="en-US"/>
              </w:rPr>
            </w:pPr>
          </w:p>
        </w:tc>
      </w:tr>
      <w:tr w:rsidR="00E925E4" w14:paraId="49868DEB" w14:textId="77777777">
        <w:trPr>
          <w:trHeight w:val="359"/>
          <w:jc w:val="center"/>
        </w:trPr>
        <w:tc>
          <w:tcPr>
            <w:tcW w:w="2451" w:type="dxa"/>
            <w:tcBorders>
              <w:top w:val="single" w:sz="4" w:space="0" w:color="auto"/>
              <w:bottom w:val="single" w:sz="4" w:space="0" w:color="auto"/>
            </w:tcBorders>
            <w:shd w:val="clear" w:color="auto" w:fill="EAF1DD"/>
          </w:tcPr>
          <w:p w14:paraId="73AFC790" w14:textId="77777777"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Above 50</w:t>
            </w:r>
          </w:p>
        </w:tc>
        <w:tc>
          <w:tcPr>
            <w:tcW w:w="1710" w:type="dxa"/>
            <w:tcBorders>
              <w:top w:val="single" w:sz="4" w:space="0" w:color="auto"/>
              <w:bottom w:val="single" w:sz="4" w:space="0" w:color="auto"/>
            </w:tcBorders>
            <w:shd w:val="clear" w:color="auto" w:fill="EAF1DD"/>
          </w:tcPr>
          <w:p w14:paraId="3987C9A3" w14:textId="77777777" w:rsidR="00E925E4" w:rsidRDefault="00145C38">
            <w:pPr>
              <w:tabs>
                <w:tab w:val="left" w:pos="587"/>
                <w:tab w:val="center" w:pos="747"/>
              </w:tabs>
              <w:spacing w:after="0" w:line="240" w:lineRule="auto"/>
              <w:rPr>
                <w:rFonts w:ascii="Times New Roman" w:hAnsi="Times New Roman"/>
                <w:color w:val="000000"/>
                <w:sz w:val="28"/>
                <w:szCs w:val="28"/>
                <w:lang w:eastAsia="en-US"/>
              </w:rPr>
            </w:pPr>
            <w:r>
              <w:rPr>
                <w:rFonts w:ascii="Times New Roman" w:hAnsi="Times New Roman"/>
                <w:color w:val="000000"/>
                <w:sz w:val="28"/>
                <w:szCs w:val="28"/>
                <w:lang w:eastAsia="en-US"/>
              </w:rPr>
              <w:tab/>
              <w:t>4</w:t>
            </w:r>
          </w:p>
        </w:tc>
        <w:tc>
          <w:tcPr>
            <w:tcW w:w="1530" w:type="dxa"/>
            <w:tcBorders>
              <w:top w:val="single" w:sz="4" w:space="0" w:color="auto"/>
              <w:bottom w:val="single" w:sz="4" w:space="0" w:color="auto"/>
              <w:right w:val="single" w:sz="4" w:space="0" w:color="auto"/>
            </w:tcBorders>
            <w:shd w:val="clear" w:color="auto" w:fill="EAF1DD"/>
          </w:tcPr>
          <w:p w14:paraId="294F4277"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60B5974F"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317AA7DD" w14:textId="77777777" w:rsidR="00E925E4" w:rsidRDefault="00E925E4">
            <w:pPr>
              <w:spacing w:after="0" w:line="240" w:lineRule="auto"/>
              <w:rPr>
                <w:rFonts w:ascii="Times New Roman" w:hAnsi="Times New Roman"/>
                <w:sz w:val="28"/>
                <w:szCs w:val="28"/>
                <w:lang w:eastAsia="en-US"/>
              </w:rPr>
            </w:pPr>
          </w:p>
        </w:tc>
      </w:tr>
      <w:tr w:rsidR="00E925E4" w14:paraId="6E328ABB" w14:textId="77777777">
        <w:trPr>
          <w:trHeight w:val="497"/>
          <w:jc w:val="center"/>
        </w:trPr>
        <w:tc>
          <w:tcPr>
            <w:tcW w:w="2451" w:type="dxa"/>
            <w:shd w:val="clear" w:color="auto" w:fill="EAF1DD"/>
          </w:tcPr>
          <w:p w14:paraId="49FF58E5" w14:textId="77777777"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Total </w:t>
            </w:r>
          </w:p>
        </w:tc>
        <w:tc>
          <w:tcPr>
            <w:tcW w:w="1710" w:type="dxa"/>
          </w:tcPr>
          <w:p w14:paraId="640231F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100</w:t>
            </w:r>
          </w:p>
        </w:tc>
        <w:tc>
          <w:tcPr>
            <w:tcW w:w="1530" w:type="dxa"/>
            <w:tcBorders>
              <w:right w:val="single" w:sz="4" w:space="0" w:color="auto"/>
            </w:tcBorders>
          </w:tcPr>
          <w:p w14:paraId="4342C1D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890" w:type="dxa"/>
            <w:tcBorders>
              <w:left w:val="single" w:sz="4" w:space="0" w:color="auto"/>
            </w:tcBorders>
          </w:tcPr>
          <w:p w14:paraId="73134665" w14:textId="77777777" w:rsidR="00E925E4" w:rsidRDefault="00145C38">
            <w:pPr>
              <w:spacing w:after="0" w:line="36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2360" w:type="dxa"/>
            <w:vMerge/>
            <w:tcBorders>
              <w:top w:val="single" w:sz="4" w:space="0" w:color="auto"/>
              <w:bottom w:val="single" w:sz="4" w:space="0" w:color="auto"/>
              <w:right w:val="single" w:sz="4" w:space="0" w:color="auto"/>
            </w:tcBorders>
            <w:shd w:val="clear" w:color="auto" w:fill="auto"/>
          </w:tcPr>
          <w:p w14:paraId="4580831B" w14:textId="77777777" w:rsidR="00E925E4" w:rsidRDefault="00E925E4">
            <w:pPr>
              <w:spacing w:after="0" w:line="240" w:lineRule="auto"/>
              <w:rPr>
                <w:rFonts w:ascii="Times New Roman" w:hAnsi="Times New Roman"/>
                <w:sz w:val="28"/>
                <w:szCs w:val="28"/>
                <w:lang w:eastAsia="en-US"/>
              </w:rPr>
            </w:pPr>
          </w:p>
        </w:tc>
      </w:tr>
    </w:tbl>
    <w:p w14:paraId="240125AA" w14:textId="77777777" w:rsidR="00E925E4" w:rsidRDefault="00E925E4">
      <w:pPr>
        <w:spacing w:line="360" w:lineRule="auto"/>
        <w:jc w:val="both"/>
        <w:rPr>
          <w:rFonts w:ascii="Times New Roman" w:eastAsia="Calibri" w:hAnsi="Times New Roman"/>
          <w:color w:val="1B1B1B"/>
          <w:sz w:val="28"/>
          <w:szCs w:val="28"/>
          <w:shd w:val="clear" w:color="auto" w:fill="FFFFFF"/>
          <w:lang w:eastAsia="en-US"/>
        </w:rPr>
      </w:pPr>
    </w:p>
    <w:p w14:paraId="5B0EBCCE" w14:textId="514C6ADF" w:rsidR="00E925E4" w:rsidRDefault="00145C38">
      <w:pPr>
        <w:spacing w:line="360" w:lineRule="auto"/>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lastRenderedPageBreak/>
        <w:t>The trend of HBV infection Considering Residences, the donors lived in Dongola  had the highest contribution and the residences , Baden , Grada, Kmnar, Hafer, Mgaser, Altety, Aldem, Alselam, Algoled and, Shaikh Sharive the lowest contribution of HBV infection, There is a</w:t>
      </w:r>
      <w:r w:rsidR="00507F95">
        <w:rPr>
          <w:rFonts w:ascii="Times New Roman" w:eastAsia="Calibri" w:hAnsi="Times New Roman"/>
          <w:color w:val="000000"/>
          <w:sz w:val="28"/>
          <w:szCs w:val="28"/>
          <w:lang w:eastAsia="en-US"/>
        </w:rPr>
        <w:t>n</w:t>
      </w:r>
      <w:r>
        <w:rPr>
          <w:rFonts w:ascii="Times New Roman" w:eastAsia="Calibri" w:hAnsi="Times New Roman"/>
          <w:color w:val="000000"/>
          <w:sz w:val="28"/>
          <w:szCs w:val="28"/>
          <w:lang w:eastAsia="en-US"/>
        </w:rPr>
        <w:t xml:space="preserve"> insignificant statistical difference in the prevalence HBV with P value &gt; 0.05.</w:t>
      </w:r>
    </w:p>
    <w:p w14:paraId="5F6E00B4" w14:textId="77777777" w:rsidR="00E925E4" w:rsidRDefault="00E925E4">
      <w:pPr>
        <w:spacing w:line="360" w:lineRule="auto"/>
        <w:jc w:val="both"/>
        <w:rPr>
          <w:rFonts w:ascii="Times New Roman" w:eastAsia="Calibri" w:hAnsi="Times New Roman"/>
          <w:color w:val="000000"/>
          <w:sz w:val="28"/>
          <w:szCs w:val="28"/>
          <w:lang w:eastAsia="en-US"/>
        </w:rPr>
      </w:pPr>
    </w:p>
    <w:p w14:paraId="1A1DD960" w14:textId="77777777" w:rsidR="00E925E4" w:rsidRDefault="00145C38">
      <w:pPr>
        <w:rPr>
          <w:rFonts w:ascii="Times New Roman" w:eastAsia="Calibri" w:hAnsi="Times New Roman"/>
          <w:b/>
          <w:bCs/>
          <w:sz w:val="28"/>
          <w:szCs w:val="28"/>
          <w:lang w:eastAsia="en-US"/>
        </w:rPr>
      </w:pPr>
      <w:r>
        <w:rPr>
          <w:rFonts w:ascii="Times New Roman" w:eastAsia="Calibri" w:hAnsi="Times New Roman"/>
          <w:b/>
          <w:bCs/>
          <w:sz w:val="28"/>
          <w:szCs w:val="28"/>
          <w:lang w:eastAsia="en-US"/>
        </w:rPr>
        <w:t>Table (2): Prevalence of HBV among Residences  at Blood Bank:</w:t>
      </w:r>
    </w:p>
    <w:tbl>
      <w:tblPr>
        <w:tblStyle w:val="TableGrid1"/>
        <w:tblW w:w="0" w:type="auto"/>
        <w:jc w:val="center"/>
        <w:tblLook w:val="04A0" w:firstRow="1" w:lastRow="0" w:firstColumn="1" w:lastColumn="0" w:noHBand="0" w:noVBand="1"/>
      </w:tblPr>
      <w:tblGrid>
        <w:gridCol w:w="2359"/>
        <w:gridCol w:w="1671"/>
        <w:gridCol w:w="1443"/>
        <w:gridCol w:w="1861"/>
        <w:gridCol w:w="2242"/>
      </w:tblGrid>
      <w:tr w:rsidR="00E925E4" w14:paraId="7F35F973" w14:textId="77777777">
        <w:trPr>
          <w:trHeight w:val="620"/>
          <w:jc w:val="center"/>
        </w:trPr>
        <w:tc>
          <w:tcPr>
            <w:tcW w:w="2451" w:type="dxa"/>
            <w:vMerge w:val="restart"/>
            <w:shd w:val="clear" w:color="auto" w:fill="C2D69B"/>
          </w:tcPr>
          <w:p w14:paraId="06290581" w14:textId="77777777" w:rsidR="00E925E4" w:rsidRDefault="00145C38">
            <w:pPr>
              <w:spacing w:after="0" w:line="240" w:lineRule="auto"/>
              <w:jc w:val="both"/>
              <w:rPr>
                <w:rFonts w:ascii="Times New Roman" w:hAnsi="Times New Roman"/>
                <w:b/>
                <w:bCs/>
                <w:color w:val="000000"/>
                <w:sz w:val="28"/>
                <w:szCs w:val="28"/>
                <w:lang w:eastAsia="en-US"/>
              </w:rPr>
            </w:pPr>
            <w:r>
              <w:rPr>
                <w:rFonts w:ascii="Times New Roman" w:hAnsi="Times New Roman"/>
                <w:b/>
                <w:bCs/>
                <w:color w:val="000000"/>
                <w:sz w:val="28"/>
                <w:szCs w:val="28"/>
                <w:lang w:eastAsia="en-US"/>
              </w:rPr>
              <w:t>Age</w:t>
            </w:r>
            <w:r>
              <w:rPr>
                <w:rFonts w:ascii="Times New Roman" w:hAnsi="Times New Roman"/>
                <w:b/>
                <w:bCs/>
                <w:sz w:val="28"/>
                <w:szCs w:val="28"/>
                <w:lang w:eastAsia="en-US"/>
              </w:rPr>
              <w:t xml:space="preserve"> Variable</w:t>
            </w:r>
          </w:p>
        </w:tc>
        <w:tc>
          <w:tcPr>
            <w:tcW w:w="1710" w:type="dxa"/>
            <w:vMerge w:val="restart"/>
            <w:shd w:val="clear" w:color="auto" w:fill="C2D69B"/>
          </w:tcPr>
          <w:p w14:paraId="6EC4E03B"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Total Donator </w:t>
            </w:r>
          </w:p>
        </w:tc>
        <w:tc>
          <w:tcPr>
            <w:tcW w:w="3420" w:type="dxa"/>
            <w:gridSpan w:val="2"/>
            <w:tcBorders>
              <w:bottom w:val="single" w:sz="4" w:space="0" w:color="auto"/>
              <w:right w:val="single" w:sz="4" w:space="0" w:color="auto"/>
            </w:tcBorders>
            <w:shd w:val="clear" w:color="auto" w:fill="C2D69B"/>
          </w:tcPr>
          <w:p w14:paraId="11DB2462"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sz w:val="28"/>
                <w:szCs w:val="28"/>
                <w:lang w:eastAsia="en-US"/>
              </w:rPr>
              <w:t xml:space="preserve">HBV Positive </w:t>
            </w:r>
          </w:p>
        </w:tc>
        <w:tc>
          <w:tcPr>
            <w:tcW w:w="2360" w:type="dxa"/>
            <w:vMerge w:val="restart"/>
            <w:tcBorders>
              <w:top w:val="single" w:sz="4" w:space="0" w:color="auto"/>
              <w:bottom w:val="nil"/>
              <w:right w:val="single" w:sz="4" w:space="0" w:color="auto"/>
            </w:tcBorders>
            <w:shd w:val="clear" w:color="auto" w:fill="C2D69B"/>
          </w:tcPr>
          <w:p w14:paraId="1F0F7B47" w14:textId="77777777" w:rsidR="00E925E4" w:rsidRDefault="00E925E4">
            <w:pPr>
              <w:spacing w:after="0" w:line="240" w:lineRule="auto"/>
              <w:jc w:val="center"/>
              <w:rPr>
                <w:rFonts w:ascii="Times New Roman" w:hAnsi="Times New Roman"/>
                <w:b/>
                <w:bCs/>
                <w:sz w:val="28"/>
                <w:szCs w:val="28"/>
                <w:lang w:eastAsia="en-US"/>
              </w:rPr>
            </w:pPr>
          </w:p>
          <w:p w14:paraId="2FF904B2"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shd w:val="clear" w:color="auto" w:fill="C2D69B"/>
                <w:lang w:eastAsia="en-US"/>
              </w:rPr>
              <w:t>P value</w:t>
            </w:r>
          </w:p>
        </w:tc>
      </w:tr>
      <w:tr w:rsidR="00E925E4" w14:paraId="46EE7436" w14:textId="77777777">
        <w:trPr>
          <w:trHeight w:val="530"/>
          <w:jc w:val="center"/>
        </w:trPr>
        <w:tc>
          <w:tcPr>
            <w:tcW w:w="2451" w:type="dxa"/>
            <w:vMerge/>
            <w:shd w:val="clear" w:color="auto" w:fill="C2D69B"/>
          </w:tcPr>
          <w:p w14:paraId="54AFBA58" w14:textId="77777777" w:rsidR="00E925E4" w:rsidRDefault="00E925E4">
            <w:pPr>
              <w:spacing w:after="0" w:line="240" w:lineRule="auto"/>
              <w:jc w:val="both"/>
              <w:rPr>
                <w:rFonts w:ascii="Times New Roman" w:hAnsi="Times New Roman"/>
                <w:b/>
                <w:bCs/>
                <w:color w:val="000000"/>
                <w:sz w:val="28"/>
                <w:szCs w:val="28"/>
                <w:lang w:eastAsia="en-US"/>
              </w:rPr>
            </w:pPr>
          </w:p>
        </w:tc>
        <w:tc>
          <w:tcPr>
            <w:tcW w:w="1710" w:type="dxa"/>
            <w:vMerge/>
            <w:shd w:val="clear" w:color="auto" w:fill="C2D69B"/>
          </w:tcPr>
          <w:p w14:paraId="748CAEB0" w14:textId="77777777" w:rsidR="00E925E4" w:rsidRDefault="00E925E4">
            <w:pPr>
              <w:spacing w:after="0" w:line="240" w:lineRule="auto"/>
              <w:jc w:val="center"/>
              <w:rPr>
                <w:rFonts w:ascii="Times New Roman" w:hAnsi="Times New Roman"/>
                <w:b/>
                <w:bCs/>
                <w:sz w:val="28"/>
                <w:szCs w:val="28"/>
                <w:lang w:eastAsia="en-US"/>
              </w:rPr>
            </w:pPr>
          </w:p>
        </w:tc>
        <w:tc>
          <w:tcPr>
            <w:tcW w:w="1530" w:type="dxa"/>
            <w:tcBorders>
              <w:top w:val="single" w:sz="4" w:space="0" w:color="auto"/>
              <w:right w:val="single" w:sz="4" w:space="0" w:color="auto"/>
            </w:tcBorders>
            <w:shd w:val="clear" w:color="auto" w:fill="C2D69B"/>
          </w:tcPr>
          <w:p w14:paraId="54168548"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sz w:val="28"/>
                <w:szCs w:val="28"/>
                <w:lang w:eastAsia="en-US"/>
              </w:rPr>
              <w:t>N</w:t>
            </w:r>
          </w:p>
        </w:tc>
        <w:tc>
          <w:tcPr>
            <w:tcW w:w="1890" w:type="dxa"/>
            <w:tcBorders>
              <w:top w:val="single" w:sz="4" w:space="0" w:color="auto"/>
              <w:right w:val="single" w:sz="4" w:space="0" w:color="auto"/>
            </w:tcBorders>
            <w:shd w:val="clear" w:color="auto" w:fill="C2D69B"/>
          </w:tcPr>
          <w:p w14:paraId="7F03F1FF" w14:textId="77777777" w:rsidR="00E925E4" w:rsidRDefault="00145C38">
            <w:pPr>
              <w:spacing w:after="0" w:line="240" w:lineRule="auto"/>
              <w:jc w:val="center"/>
              <w:rPr>
                <w:rFonts w:ascii="Times New Roman" w:hAnsi="Times New Roman"/>
                <w:b/>
                <w:bCs/>
                <w:color w:val="000000"/>
                <w:sz w:val="28"/>
                <w:szCs w:val="28"/>
                <w:lang w:eastAsia="en-US"/>
              </w:rPr>
            </w:pPr>
            <w:r>
              <w:rPr>
                <w:rFonts w:ascii="Times New Roman" w:hAnsi="Times New Roman"/>
                <w:b/>
                <w:bCs/>
                <w:color w:val="000000"/>
                <w:sz w:val="28"/>
                <w:szCs w:val="28"/>
                <w:lang w:eastAsia="en-US"/>
              </w:rPr>
              <w:t xml:space="preserve">Prevalence </w:t>
            </w:r>
          </w:p>
          <w:p w14:paraId="5567B17B" w14:textId="77777777" w:rsidR="00E925E4" w:rsidRDefault="00145C38">
            <w:pPr>
              <w:spacing w:after="0" w:line="240" w:lineRule="auto"/>
              <w:jc w:val="center"/>
              <w:rPr>
                <w:rFonts w:ascii="Times New Roman" w:hAnsi="Times New Roman"/>
                <w:b/>
                <w:bCs/>
                <w:sz w:val="28"/>
                <w:szCs w:val="28"/>
                <w:lang w:eastAsia="en-US"/>
              </w:rPr>
            </w:pPr>
            <w:r>
              <w:rPr>
                <w:rFonts w:ascii="Times New Roman" w:hAnsi="Times New Roman"/>
                <w:b/>
                <w:bCs/>
                <w:color w:val="000000"/>
                <w:sz w:val="28"/>
                <w:szCs w:val="28"/>
                <w:lang w:eastAsia="en-US"/>
              </w:rPr>
              <w:t>%</w:t>
            </w:r>
          </w:p>
        </w:tc>
        <w:tc>
          <w:tcPr>
            <w:tcW w:w="2360" w:type="dxa"/>
            <w:vMerge/>
            <w:tcBorders>
              <w:bottom w:val="single" w:sz="4" w:space="0" w:color="auto"/>
              <w:right w:val="single" w:sz="4" w:space="0" w:color="auto"/>
            </w:tcBorders>
            <w:shd w:val="clear" w:color="auto" w:fill="C2D69B"/>
          </w:tcPr>
          <w:p w14:paraId="0610A09E" w14:textId="77777777" w:rsidR="00E925E4" w:rsidRDefault="00E925E4">
            <w:pPr>
              <w:spacing w:after="0" w:line="240" w:lineRule="auto"/>
              <w:jc w:val="center"/>
              <w:rPr>
                <w:rFonts w:ascii="Times New Roman" w:hAnsi="Times New Roman"/>
                <w:b/>
                <w:bCs/>
                <w:sz w:val="28"/>
                <w:szCs w:val="28"/>
                <w:lang w:eastAsia="en-US"/>
              </w:rPr>
            </w:pPr>
          </w:p>
        </w:tc>
      </w:tr>
      <w:tr w:rsidR="00E925E4" w14:paraId="762968DA" w14:textId="77777777">
        <w:trPr>
          <w:trHeight w:val="233"/>
          <w:jc w:val="center"/>
        </w:trPr>
        <w:tc>
          <w:tcPr>
            <w:tcW w:w="2451" w:type="dxa"/>
            <w:tcBorders>
              <w:bottom w:val="single" w:sz="4" w:space="0" w:color="auto"/>
            </w:tcBorders>
            <w:shd w:val="clear" w:color="auto" w:fill="EAF1DD"/>
          </w:tcPr>
          <w:p w14:paraId="44ED18E7"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Baden</w:t>
            </w:r>
          </w:p>
        </w:tc>
        <w:tc>
          <w:tcPr>
            <w:tcW w:w="1710" w:type="dxa"/>
            <w:tcBorders>
              <w:bottom w:val="single" w:sz="4" w:space="0" w:color="auto"/>
            </w:tcBorders>
            <w:vAlign w:val="bottom"/>
          </w:tcPr>
          <w:p w14:paraId="56E1353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bottom w:val="single" w:sz="4" w:space="0" w:color="auto"/>
              <w:right w:val="single" w:sz="4" w:space="0" w:color="auto"/>
            </w:tcBorders>
          </w:tcPr>
          <w:p w14:paraId="18C3CDB6"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left w:val="single" w:sz="4" w:space="0" w:color="auto"/>
              <w:bottom w:val="single" w:sz="4" w:space="0" w:color="auto"/>
            </w:tcBorders>
          </w:tcPr>
          <w:p w14:paraId="2AB77837"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val="restart"/>
            <w:tcBorders>
              <w:top w:val="single" w:sz="4" w:space="0" w:color="auto"/>
              <w:bottom w:val="nil"/>
              <w:right w:val="single" w:sz="4" w:space="0" w:color="auto"/>
            </w:tcBorders>
            <w:shd w:val="clear" w:color="auto" w:fill="auto"/>
          </w:tcPr>
          <w:p w14:paraId="5B8B9931" w14:textId="77777777" w:rsidR="00E925E4" w:rsidRDefault="00E925E4">
            <w:pPr>
              <w:spacing w:after="0" w:line="240" w:lineRule="auto"/>
              <w:jc w:val="center"/>
              <w:rPr>
                <w:rFonts w:ascii="Times New Roman" w:hAnsi="Times New Roman"/>
                <w:sz w:val="28"/>
                <w:szCs w:val="28"/>
                <w:lang w:eastAsia="en-US"/>
              </w:rPr>
            </w:pPr>
          </w:p>
          <w:p w14:paraId="1580C405" w14:textId="77777777" w:rsidR="00E925E4" w:rsidRDefault="00E925E4">
            <w:pPr>
              <w:spacing w:after="0" w:line="240" w:lineRule="auto"/>
              <w:jc w:val="center"/>
              <w:rPr>
                <w:rFonts w:ascii="Times New Roman" w:hAnsi="Times New Roman"/>
                <w:sz w:val="28"/>
                <w:szCs w:val="28"/>
                <w:lang w:eastAsia="en-US"/>
              </w:rPr>
            </w:pPr>
          </w:p>
          <w:p w14:paraId="07ECB7C8" w14:textId="77777777" w:rsidR="00E925E4" w:rsidRDefault="00E925E4">
            <w:pPr>
              <w:spacing w:after="0" w:line="240" w:lineRule="auto"/>
              <w:jc w:val="center"/>
              <w:rPr>
                <w:rFonts w:ascii="Times New Roman" w:hAnsi="Times New Roman"/>
                <w:sz w:val="28"/>
                <w:szCs w:val="28"/>
                <w:lang w:eastAsia="en-US"/>
              </w:rPr>
            </w:pPr>
          </w:p>
          <w:p w14:paraId="1F531D78" w14:textId="77777777" w:rsidR="00E925E4" w:rsidRDefault="00E925E4">
            <w:pPr>
              <w:spacing w:after="0" w:line="240" w:lineRule="auto"/>
              <w:jc w:val="center"/>
              <w:rPr>
                <w:rFonts w:ascii="Times New Roman" w:hAnsi="Times New Roman"/>
                <w:sz w:val="28"/>
                <w:szCs w:val="28"/>
                <w:lang w:eastAsia="en-US"/>
              </w:rPr>
            </w:pPr>
          </w:p>
          <w:p w14:paraId="529E45B5" w14:textId="77777777" w:rsidR="00E925E4" w:rsidRDefault="00E925E4">
            <w:pPr>
              <w:spacing w:after="0" w:line="240" w:lineRule="auto"/>
              <w:jc w:val="center"/>
              <w:rPr>
                <w:rFonts w:ascii="Times New Roman" w:hAnsi="Times New Roman"/>
                <w:sz w:val="28"/>
                <w:szCs w:val="28"/>
                <w:lang w:eastAsia="en-US"/>
              </w:rPr>
            </w:pPr>
          </w:p>
          <w:p w14:paraId="1CE504AD" w14:textId="77777777" w:rsidR="00E925E4" w:rsidRDefault="00E925E4">
            <w:pPr>
              <w:spacing w:after="0" w:line="240" w:lineRule="auto"/>
              <w:jc w:val="center"/>
              <w:rPr>
                <w:rFonts w:ascii="Times New Roman" w:hAnsi="Times New Roman"/>
                <w:sz w:val="28"/>
                <w:szCs w:val="28"/>
                <w:lang w:eastAsia="en-US"/>
              </w:rPr>
            </w:pPr>
          </w:p>
          <w:p w14:paraId="18F1251C" w14:textId="77777777" w:rsidR="00E925E4" w:rsidRDefault="00145C38">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0.858</w:t>
            </w:r>
          </w:p>
        </w:tc>
      </w:tr>
      <w:tr w:rsidR="00E925E4" w14:paraId="73D49B5B" w14:textId="77777777">
        <w:trPr>
          <w:trHeight w:val="310"/>
          <w:jc w:val="center"/>
        </w:trPr>
        <w:tc>
          <w:tcPr>
            <w:tcW w:w="2451" w:type="dxa"/>
            <w:tcBorders>
              <w:top w:val="single" w:sz="4" w:space="0" w:color="auto"/>
              <w:bottom w:val="single" w:sz="4" w:space="0" w:color="auto"/>
            </w:tcBorders>
            <w:shd w:val="clear" w:color="auto" w:fill="EAF1DD"/>
          </w:tcPr>
          <w:p w14:paraId="2DA8708D"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Kmnar</w:t>
            </w:r>
          </w:p>
        </w:tc>
        <w:tc>
          <w:tcPr>
            <w:tcW w:w="1710" w:type="dxa"/>
            <w:tcBorders>
              <w:top w:val="single" w:sz="4" w:space="0" w:color="auto"/>
              <w:bottom w:val="single" w:sz="4" w:space="0" w:color="auto"/>
            </w:tcBorders>
            <w:shd w:val="clear" w:color="auto" w:fill="EAF1DD"/>
            <w:vAlign w:val="bottom"/>
          </w:tcPr>
          <w:p w14:paraId="31F2A6B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top w:val="single" w:sz="4" w:space="0" w:color="auto"/>
              <w:bottom w:val="single" w:sz="4" w:space="0" w:color="auto"/>
              <w:right w:val="single" w:sz="4" w:space="0" w:color="auto"/>
            </w:tcBorders>
            <w:shd w:val="clear" w:color="auto" w:fill="EAF1DD"/>
          </w:tcPr>
          <w:p w14:paraId="44F29DFC"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2AA3AEC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6474E726" w14:textId="77777777" w:rsidR="00E925E4" w:rsidRDefault="00E925E4">
            <w:pPr>
              <w:spacing w:after="0" w:line="240" w:lineRule="auto"/>
              <w:rPr>
                <w:rFonts w:ascii="Times New Roman" w:hAnsi="Times New Roman"/>
                <w:sz w:val="28"/>
                <w:szCs w:val="28"/>
                <w:lang w:eastAsia="en-US"/>
              </w:rPr>
            </w:pPr>
          </w:p>
        </w:tc>
      </w:tr>
      <w:tr w:rsidR="00E925E4" w14:paraId="2DF92DC5" w14:textId="77777777">
        <w:trPr>
          <w:trHeight w:val="264"/>
          <w:jc w:val="center"/>
        </w:trPr>
        <w:tc>
          <w:tcPr>
            <w:tcW w:w="2451" w:type="dxa"/>
            <w:tcBorders>
              <w:top w:val="single" w:sz="4" w:space="0" w:color="auto"/>
              <w:bottom w:val="single" w:sz="4" w:space="0" w:color="auto"/>
            </w:tcBorders>
            <w:shd w:val="clear" w:color="auto" w:fill="EAF1DD"/>
          </w:tcPr>
          <w:p w14:paraId="3E58EA3E"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Hafer</w:t>
            </w:r>
          </w:p>
        </w:tc>
        <w:tc>
          <w:tcPr>
            <w:tcW w:w="1710" w:type="dxa"/>
            <w:tcBorders>
              <w:top w:val="single" w:sz="4" w:space="0" w:color="auto"/>
              <w:bottom w:val="single" w:sz="4" w:space="0" w:color="auto"/>
            </w:tcBorders>
            <w:vAlign w:val="bottom"/>
          </w:tcPr>
          <w:p w14:paraId="741F33D9"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530" w:type="dxa"/>
            <w:tcBorders>
              <w:top w:val="single" w:sz="4" w:space="0" w:color="auto"/>
              <w:bottom w:val="single" w:sz="4" w:space="0" w:color="auto"/>
              <w:right w:val="single" w:sz="4" w:space="0" w:color="auto"/>
            </w:tcBorders>
          </w:tcPr>
          <w:p w14:paraId="6C14F82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tcPr>
          <w:p w14:paraId="7B81C95C"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3D16C7BB" w14:textId="77777777" w:rsidR="00E925E4" w:rsidRDefault="00E925E4">
            <w:pPr>
              <w:spacing w:after="0" w:line="240" w:lineRule="auto"/>
              <w:rPr>
                <w:rFonts w:ascii="Times New Roman" w:hAnsi="Times New Roman"/>
                <w:sz w:val="28"/>
                <w:szCs w:val="28"/>
                <w:lang w:eastAsia="en-US"/>
              </w:rPr>
            </w:pPr>
          </w:p>
        </w:tc>
      </w:tr>
      <w:tr w:rsidR="00E925E4" w14:paraId="5807FBA1" w14:textId="77777777">
        <w:trPr>
          <w:trHeight w:val="410"/>
          <w:jc w:val="center"/>
        </w:trPr>
        <w:tc>
          <w:tcPr>
            <w:tcW w:w="2451" w:type="dxa"/>
            <w:tcBorders>
              <w:top w:val="single" w:sz="4" w:space="0" w:color="auto"/>
              <w:bottom w:val="single" w:sz="4" w:space="0" w:color="auto"/>
            </w:tcBorders>
            <w:shd w:val="clear" w:color="auto" w:fill="EAF1DD"/>
          </w:tcPr>
          <w:p w14:paraId="4B5DBA6E"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Mgaser</w:t>
            </w:r>
          </w:p>
        </w:tc>
        <w:tc>
          <w:tcPr>
            <w:tcW w:w="1710" w:type="dxa"/>
            <w:tcBorders>
              <w:top w:val="single" w:sz="4" w:space="0" w:color="auto"/>
              <w:bottom w:val="single" w:sz="4" w:space="0" w:color="auto"/>
            </w:tcBorders>
            <w:shd w:val="clear" w:color="auto" w:fill="EAF1DD"/>
            <w:vAlign w:val="bottom"/>
          </w:tcPr>
          <w:p w14:paraId="65C5DBF6"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530" w:type="dxa"/>
            <w:tcBorders>
              <w:top w:val="single" w:sz="4" w:space="0" w:color="auto"/>
              <w:bottom w:val="single" w:sz="4" w:space="0" w:color="auto"/>
              <w:right w:val="single" w:sz="4" w:space="0" w:color="auto"/>
            </w:tcBorders>
            <w:shd w:val="clear" w:color="auto" w:fill="EAF1DD"/>
          </w:tcPr>
          <w:p w14:paraId="72944993"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3DD78B1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11006AA5" w14:textId="77777777" w:rsidR="00E925E4" w:rsidRDefault="00E925E4">
            <w:pPr>
              <w:spacing w:after="0" w:line="240" w:lineRule="auto"/>
              <w:rPr>
                <w:rFonts w:ascii="Times New Roman" w:hAnsi="Times New Roman"/>
                <w:sz w:val="28"/>
                <w:szCs w:val="28"/>
                <w:lang w:eastAsia="en-US"/>
              </w:rPr>
            </w:pPr>
          </w:p>
        </w:tc>
      </w:tr>
      <w:tr w:rsidR="00E925E4" w14:paraId="3BEDB2DF" w14:textId="77777777">
        <w:trPr>
          <w:trHeight w:val="211"/>
          <w:jc w:val="center"/>
        </w:trPr>
        <w:tc>
          <w:tcPr>
            <w:tcW w:w="2451" w:type="dxa"/>
            <w:tcBorders>
              <w:top w:val="single" w:sz="4" w:space="0" w:color="auto"/>
              <w:bottom w:val="single" w:sz="4" w:space="0" w:color="auto"/>
            </w:tcBorders>
            <w:shd w:val="clear" w:color="auto" w:fill="EAF1DD"/>
          </w:tcPr>
          <w:p w14:paraId="454D3876"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Dongola</w:t>
            </w:r>
          </w:p>
        </w:tc>
        <w:tc>
          <w:tcPr>
            <w:tcW w:w="1710" w:type="dxa"/>
            <w:tcBorders>
              <w:top w:val="single" w:sz="4" w:space="0" w:color="auto"/>
              <w:bottom w:val="single" w:sz="4" w:space="0" w:color="auto"/>
            </w:tcBorders>
            <w:shd w:val="clear" w:color="auto" w:fill="auto"/>
            <w:vAlign w:val="bottom"/>
          </w:tcPr>
          <w:p w14:paraId="3E7BF31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53</w:t>
            </w:r>
          </w:p>
        </w:tc>
        <w:tc>
          <w:tcPr>
            <w:tcW w:w="1530" w:type="dxa"/>
            <w:tcBorders>
              <w:top w:val="single" w:sz="4" w:space="0" w:color="auto"/>
              <w:bottom w:val="single" w:sz="4" w:space="0" w:color="auto"/>
              <w:right w:val="single" w:sz="4" w:space="0" w:color="auto"/>
            </w:tcBorders>
            <w:shd w:val="clear" w:color="auto" w:fill="auto"/>
          </w:tcPr>
          <w:p w14:paraId="342891BE"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890" w:type="dxa"/>
            <w:tcBorders>
              <w:top w:val="single" w:sz="4" w:space="0" w:color="auto"/>
              <w:left w:val="single" w:sz="4" w:space="0" w:color="auto"/>
              <w:bottom w:val="single" w:sz="4" w:space="0" w:color="auto"/>
            </w:tcBorders>
            <w:shd w:val="clear" w:color="auto" w:fill="auto"/>
          </w:tcPr>
          <w:p w14:paraId="136BF334"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2360" w:type="dxa"/>
            <w:vMerge/>
            <w:tcBorders>
              <w:top w:val="single" w:sz="4" w:space="0" w:color="auto"/>
              <w:bottom w:val="nil"/>
              <w:right w:val="single" w:sz="4" w:space="0" w:color="auto"/>
            </w:tcBorders>
            <w:shd w:val="clear" w:color="auto" w:fill="auto"/>
          </w:tcPr>
          <w:p w14:paraId="2F5DC8D0" w14:textId="77777777" w:rsidR="00E925E4" w:rsidRDefault="00E925E4">
            <w:pPr>
              <w:spacing w:after="0" w:line="240" w:lineRule="auto"/>
              <w:rPr>
                <w:rFonts w:ascii="Times New Roman" w:hAnsi="Times New Roman"/>
                <w:sz w:val="28"/>
                <w:szCs w:val="28"/>
                <w:lang w:eastAsia="en-US"/>
              </w:rPr>
            </w:pPr>
          </w:p>
        </w:tc>
      </w:tr>
      <w:tr w:rsidR="00E925E4" w14:paraId="665A7294" w14:textId="77777777">
        <w:trPr>
          <w:trHeight w:val="166"/>
          <w:jc w:val="center"/>
        </w:trPr>
        <w:tc>
          <w:tcPr>
            <w:tcW w:w="2451" w:type="dxa"/>
            <w:tcBorders>
              <w:top w:val="single" w:sz="4" w:space="0" w:color="auto"/>
              <w:bottom w:val="single" w:sz="4" w:space="0" w:color="auto"/>
            </w:tcBorders>
            <w:shd w:val="clear" w:color="auto" w:fill="EAF1DD"/>
          </w:tcPr>
          <w:p w14:paraId="28F3F0A7"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Altety</w:t>
            </w:r>
          </w:p>
        </w:tc>
        <w:tc>
          <w:tcPr>
            <w:tcW w:w="1710" w:type="dxa"/>
            <w:tcBorders>
              <w:top w:val="single" w:sz="4" w:space="0" w:color="auto"/>
              <w:bottom w:val="single" w:sz="4" w:space="0" w:color="auto"/>
            </w:tcBorders>
            <w:shd w:val="clear" w:color="auto" w:fill="EAF1DD"/>
            <w:vAlign w:val="bottom"/>
          </w:tcPr>
          <w:p w14:paraId="3163EFC4"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5</w:t>
            </w:r>
          </w:p>
        </w:tc>
        <w:tc>
          <w:tcPr>
            <w:tcW w:w="1530" w:type="dxa"/>
            <w:tcBorders>
              <w:top w:val="single" w:sz="4" w:space="0" w:color="auto"/>
              <w:bottom w:val="single" w:sz="4" w:space="0" w:color="auto"/>
              <w:right w:val="single" w:sz="4" w:space="0" w:color="auto"/>
            </w:tcBorders>
            <w:shd w:val="clear" w:color="auto" w:fill="EAF1DD"/>
          </w:tcPr>
          <w:p w14:paraId="61F1F569"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1A60BAB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0BE83589" w14:textId="77777777" w:rsidR="00E925E4" w:rsidRDefault="00E925E4">
            <w:pPr>
              <w:spacing w:after="0" w:line="240" w:lineRule="auto"/>
              <w:rPr>
                <w:rFonts w:ascii="Times New Roman" w:hAnsi="Times New Roman"/>
                <w:sz w:val="28"/>
                <w:szCs w:val="28"/>
                <w:lang w:eastAsia="en-US"/>
              </w:rPr>
            </w:pPr>
          </w:p>
        </w:tc>
      </w:tr>
      <w:tr w:rsidR="00E925E4" w14:paraId="6AE28678" w14:textId="77777777">
        <w:trPr>
          <w:trHeight w:val="199"/>
          <w:jc w:val="center"/>
        </w:trPr>
        <w:tc>
          <w:tcPr>
            <w:tcW w:w="2451" w:type="dxa"/>
            <w:tcBorders>
              <w:top w:val="single" w:sz="4" w:space="0" w:color="auto"/>
              <w:bottom w:val="single" w:sz="4" w:space="0" w:color="auto"/>
            </w:tcBorders>
            <w:shd w:val="clear" w:color="auto" w:fill="EAF1DD"/>
          </w:tcPr>
          <w:p w14:paraId="36EA7F3E"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Aldem</w:t>
            </w:r>
          </w:p>
        </w:tc>
        <w:tc>
          <w:tcPr>
            <w:tcW w:w="1710" w:type="dxa"/>
            <w:tcBorders>
              <w:top w:val="single" w:sz="4" w:space="0" w:color="auto"/>
              <w:bottom w:val="single" w:sz="4" w:space="0" w:color="auto"/>
            </w:tcBorders>
            <w:shd w:val="clear" w:color="auto" w:fill="auto"/>
            <w:vAlign w:val="bottom"/>
          </w:tcPr>
          <w:p w14:paraId="5D204171"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530" w:type="dxa"/>
            <w:tcBorders>
              <w:top w:val="single" w:sz="4" w:space="0" w:color="auto"/>
              <w:bottom w:val="single" w:sz="4" w:space="0" w:color="auto"/>
              <w:right w:val="single" w:sz="4" w:space="0" w:color="auto"/>
            </w:tcBorders>
            <w:shd w:val="clear" w:color="auto" w:fill="auto"/>
          </w:tcPr>
          <w:p w14:paraId="397B76A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14:paraId="50849088"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08A98867" w14:textId="77777777" w:rsidR="00E925E4" w:rsidRDefault="00E925E4">
            <w:pPr>
              <w:spacing w:after="0" w:line="240" w:lineRule="auto"/>
              <w:rPr>
                <w:rFonts w:ascii="Times New Roman" w:hAnsi="Times New Roman"/>
                <w:sz w:val="28"/>
                <w:szCs w:val="28"/>
                <w:lang w:eastAsia="en-US"/>
              </w:rPr>
            </w:pPr>
          </w:p>
        </w:tc>
      </w:tr>
      <w:tr w:rsidR="00E925E4" w14:paraId="7A9E36DD" w14:textId="77777777">
        <w:trPr>
          <w:trHeight w:val="134"/>
          <w:jc w:val="center"/>
        </w:trPr>
        <w:tc>
          <w:tcPr>
            <w:tcW w:w="2451" w:type="dxa"/>
            <w:tcBorders>
              <w:top w:val="single" w:sz="4" w:space="0" w:color="auto"/>
              <w:bottom w:val="single" w:sz="4" w:space="0" w:color="auto"/>
            </w:tcBorders>
            <w:shd w:val="clear" w:color="auto" w:fill="EAF1DD"/>
          </w:tcPr>
          <w:p w14:paraId="0F4DAC7F"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Alselam</w:t>
            </w:r>
          </w:p>
        </w:tc>
        <w:tc>
          <w:tcPr>
            <w:tcW w:w="1710" w:type="dxa"/>
            <w:tcBorders>
              <w:top w:val="single" w:sz="4" w:space="0" w:color="auto"/>
              <w:bottom w:val="single" w:sz="4" w:space="0" w:color="auto"/>
            </w:tcBorders>
            <w:shd w:val="clear" w:color="auto" w:fill="EAF1DD"/>
            <w:vAlign w:val="bottom"/>
          </w:tcPr>
          <w:p w14:paraId="31DF4434"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12</w:t>
            </w:r>
          </w:p>
        </w:tc>
        <w:tc>
          <w:tcPr>
            <w:tcW w:w="1530" w:type="dxa"/>
            <w:tcBorders>
              <w:top w:val="single" w:sz="4" w:space="0" w:color="auto"/>
              <w:bottom w:val="single" w:sz="4" w:space="0" w:color="auto"/>
              <w:right w:val="single" w:sz="4" w:space="0" w:color="auto"/>
            </w:tcBorders>
            <w:shd w:val="clear" w:color="auto" w:fill="EAF1DD"/>
          </w:tcPr>
          <w:p w14:paraId="5D483DF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EAF1DD"/>
          </w:tcPr>
          <w:p w14:paraId="377E9DC7"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0F779BBC" w14:textId="77777777" w:rsidR="00E925E4" w:rsidRDefault="00E925E4">
            <w:pPr>
              <w:spacing w:after="0" w:line="240" w:lineRule="auto"/>
              <w:rPr>
                <w:rFonts w:ascii="Times New Roman" w:hAnsi="Times New Roman"/>
                <w:sz w:val="28"/>
                <w:szCs w:val="28"/>
                <w:lang w:eastAsia="en-US"/>
              </w:rPr>
            </w:pPr>
          </w:p>
        </w:tc>
      </w:tr>
      <w:tr w:rsidR="00E925E4" w14:paraId="3A273900" w14:textId="77777777">
        <w:trPr>
          <w:trHeight w:val="188"/>
          <w:jc w:val="center"/>
        </w:trPr>
        <w:tc>
          <w:tcPr>
            <w:tcW w:w="2451" w:type="dxa"/>
            <w:tcBorders>
              <w:top w:val="single" w:sz="4" w:space="0" w:color="auto"/>
              <w:bottom w:val="single" w:sz="4" w:space="0" w:color="auto"/>
            </w:tcBorders>
            <w:shd w:val="clear" w:color="auto" w:fill="EAF1DD"/>
          </w:tcPr>
          <w:p w14:paraId="22ABA5A3"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Grada</w:t>
            </w:r>
          </w:p>
        </w:tc>
        <w:tc>
          <w:tcPr>
            <w:tcW w:w="1710" w:type="dxa"/>
            <w:tcBorders>
              <w:top w:val="single" w:sz="4" w:space="0" w:color="auto"/>
              <w:bottom w:val="single" w:sz="4" w:space="0" w:color="auto"/>
            </w:tcBorders>
            <w:shd w:val="clear" w:color="auto" w:fill="auto"/>
            <w:vAlign w:val="bottom"/>
          </w:tcPr>
          <w:p w14:paraId="2DFE20AD"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530" w:type="dxa"/>
            <w:tcBorders>
              <w:top w:val="single" w:sz="4" w:space="0" w:color="auto"/>
              <w:bottom w:val="single" w:sz="4" w:space="0" w:color="auto"/>
              <w:right w:val="single" w:sz="4" w:space="0" w:color="auto"/>
            </w:tcBorders>
            <w:shd w:val="clear" w:color="auto" w:fill="auto"/>
          </w:tcPr>
          <w:p w14:paraId="09386B1C"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14:paraId="5471D7FA"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2E77849D" w14:textId="77777777" w:rsidR="00E925E4" w:rsidRDefault="00E925E4">
            <w:pPr>
              <w:spacing w:after="0" w:line="240" w:lineRule="auto"/>
              <w:rPr>
                <w:rFonts w:ascii="Times New Roman" w:hAnsi="Times New Roman"/>
                <w:sz w:val="28"/>
                <w:szCs w:val="28"/>
                <w:lang w:eastAsia="en-US"/>
              </w:rPr>
            </w:pPr>
          </w:p>
        </w:tc>
      </w:tr>
      <w:tr w:rsidR="00E925E4" w14:paraId="0CD918AA" w14:textId="77777777">
        <w:trPr>
          <w:trHeight w:val="188"/>
          <w:jc w:val="center"/>
        </w:trPr>
        <w:tc>
          <w:tcPr>
            <w:tcW w:w="2451" w:type="dxa"/>
            <w:tcBorders>
              <w:top w:val="single" w:sz="4" w:space="0" w:color="auto"/>
              <w:bottom w:val="single" w:sz="4" w:space="0" w:color="auto"/>
            </w:tcBorders>
            <w:shd w:val="clear" w:color="auto" w:fill="EAF1DD"/>
          </w:tcPr>
          <w:p w14:paraId="0DC29729"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Algoled</w:t>
            </w:r>
          </w:p>
        </w:tc>
        <w:tc>
          <w:tcPr>
            <w:tcW w:w="1710" w:type="dxa"/>
            <w:tcBorders>
              <w:top w:val="single" w:sz="4" w:space="0" w:color="auto"/>
              <w:bottom w:val="single" w:sz="4" w:space="0" w:color="auto"/>
            </w:tcBorders>
            <w:shd w:val="clear" w:color="auto" w:fill="EAF1DD"/>
            <w:vAlign w:val="bottom"/>
          </w:tcPr>
          <w:p w14:paraId="7D2DB16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6</w:t>
            </w:r>
          </w:p>
        </w:tc>
        <w:tc>
          <w:tcPr>
            <w:tcW w:w="1530" w:type="dxa"/>
            <w:tcBorders>
              <w:top w:val="single" w:sz="4" w:space="0" w:color="auto"/>
              <w:bottom w:val="single" w:sz="4" w:space="0" w:color="auto"/>
              <w:right w:val="single" w:sz="4" w:space="0" w:color="auto"/>
            </w:tcBorders>
            <w:shd w:val="clear" w:color="auto" w:fill="EAF1DD"/>
          </w:tcPr>
          <w:p w14:paraId="5CFC588B"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w:t>
            </w:r>
          </w:p>
        </w:tc>
        <w:tc>
          <w:tcPr>
            <w:tcW w:w="1890" w:type="dxa"/>
            <w:tcBorders>
              <w:top w:val="single" w:sz="4" w:space="0" w:color="auto"/>
              <w:left w:val="single" w:sz="4" w:space="0" w:color="auto"/>
              <w:bottom w:val="single" w:sz="4" w:space="0" w:color="auto"/>
            </w:tcBorders>
            <w:shd w:val="clear" w:color="auto" w:fill="EAF1DD"/>
          </w:tcPr>
          <w:p w14:paraId="57DDC44E"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71C0CF2E" w14:textId="77777777" w:rsidR="00E925E4" w:rsidRDefault="00E925E4">
            <w:pPr>
              <w:spacing w:after="0" w:line="240" w:lineRule="auto"/>
              <w:rPr>
                <w:rFonts w:ascii="Times New Roman" w:hAnsi="Times New Roman"/>
                <w:sz w:val="28"/>
                <w:szCs w:val="28"/>
                <w:lang w:eastAsia="en-US"/>
              </w:rPr>
            </w:pPr>
          </w:p>
        </w:tc>
      </w:tr>
      <w:tr w:rsidR="00E925E4" w14:paraId="3A858C4F" w14:textId="77777777">
        <w:trPr>
          <w:trHeight w:val="133"/>
          <w:jc w:val="center"/>
        </w:trPr>
        <w:tc>
          <w:tcPr>
            <w:tcW w:w="2451" w:type="dxa"/>
            <w:tcBorders>
              <w:top w:val="single" w:sz="4" w:space="0" w:color="auto"/>
              <w:bottom w:val="single" w:sz="4" w:space="0" w:color="auto"/>
            </w:tcBorders>
            <w:shd w:val="clear" w:color="auto" w:fill="EAF1DD"/>
          </w:tcPr>
          <w:p w14:paraId="7F93FC75" w14:textId="77777777" w:rsidR="00E925E4" w:rsidRDefault="00145C38">
            <w:pPr>
              <w:spacing w:after="0" w:line="240" w:lineRule="auto"/>
              <w:rPr>
                <w:rFonts w:ascii="Times New Roman" w:hAnsi="Times New Roman"/>
                <w:sz w:val="28"/>
                <w:szCs w:val="28"/>
                <w:lang w:eastAsia="en-US"/>
              </w:rPr>
            </w:pPr>
            <w:r>
              <w:rPr>
                <w:rFonts w:ascii="Times New Roman" w:hAnsi="Times New Roman"/>
                <w:sz w:val="28"/>
                <w:szCs w:val="28"/>
                <w:lang w:eastAsia="en-US"/>
              </w:rPr>
              <w:t>Shaikh Sharive</w:t>
            </w:r>
          </w:p>
        </w:tc>
        <w:tc>
          <w:tcPr>
            <w:tcW w:w="1710" w:type="dxa"/>
            <w:tcBorders>
              <w:top w:val="single" w:sz="4" w:space="0" w:color="auto"/>
              <w:bottom w:val="single" w:sz="4" w:space="0" w:color="auto"/>
            </w:tcBorders>
            <w:shd w:val="clear" w:color="auto" w:fill="auto"/>
            <w:vAlign w:val="bottom"/>
          </w:tcPr>
          <w:p w14:paraId="6B49186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3</w:t>
            </w:r>
          </w:p>
        </w:tc>
        <w:tc>
          <w:tcPr>
            <w:tcW w:w="1530" w:type="dxa"/>
            <w:tcBorders>
              <w:top w:val="single" w:sz="4" w:space="0" w:color="auto"/>
              <w:bottom w:val="single" w:sz="4" w:space="0" w:color="auto"/>
              <w:right w:val="single" w:sz="4" w:space="0" w:color="auto"/>
            </w:tcBorders>
            <w:shd w:val="clear" w:color="auto" w:fill="auto"/>
          </w:tcPr>
          <w:p w14:paraId="6E390F16"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1890" w:type="dxa"/>
            <w:tcBorders>
              <w:top w:val="single" w:sz="4" w:space="0" w:color="auto"/>
              <w:left w:val="single" w:sz="4" w:space="0" w:color="auto"/>
              <w:bottom w:val="single" w:sz="4" w:space="0" w:color="auto"/>
            </w:tcBorders>
            <w:shd w:val="clear" w:color="auto" w:fill="auto"/>
          </w:tcPr>
          <w:p w14:paraId="1E04B4B5"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0</w:t>
            </w:r>
          </w:p>
        </w:tc>
        <w:tc>
          <w:tcPr>
            <w:tcW w:w="2360" w:type="dxa"/>
            <w:vMerge/>
            <w:tcBorders>
              <w:top w:val="single" w:sz="4" w:space="0" w:color="auto"/>
              <w:bottom w:val="nil"/>
              <w:right w:val="single" w:sz="4" w:space="0" w:color="auto"/>
            </w:tcBorders>
            <w:shd w:val="clear" w:color="auto" w:fill="auto"/>
          </w:tcPr>
          <w:p w14:paraId="35954504" w14:textId="77777777" w:rsidR="00E925E4" w:rsidRDefault="00E925E4">
            <w:pPr>
              <w:spacing w:after="0" w:line="240" w:lineRule="auto"/>
              <w:rPr>
                <w:rFonts w:ascii="Times New Roman" w:hAnsi="Times New Roman"/>
                <w:sz w:val="28"/>
                <w:szCs w:val="28"/>
                <w:lang w:eastAsia="en-US"/>
              </w:rPr>
            </w:pPr>
          </w:p>
        </w:tc>
      </w:tr>
      <w:tr w:rsidR="00E925E4" w14:paraId="4EFD3419" w14:textId="77777777">
        <w:trPr>
          <w:trHeight w:val="497"/>
          <w:jc w:val="center"/>
        </w:trPr>
        <w:tc>
          <w:tcPr>
            <w:tcW w:w="2451" w:type="dxa"/>
            <w:shd w:val="clear" w:color="auto" w:fill="EAF1DD"/>
          </w:tcPr>
          <w:p w14:paraId="30649515" w14:textId="77777777" w:rsidR="00E925E4" w:rsidRDefault="00145C38">
            <w:pPr>
              <w:spacing w:after="0" w:line="240" w:lineRule="auto"/>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Total </w:t>
            </w:r>
          </w:p>
        </w:tc>
        <w:tc>
          <w:tcPr>
            <w:tcW w:w="1710" w:type="dxa"/>
            <w:shd w:val="clear" w:color="auto" w:fill="EAF1DD"/>
          </w:tcPr>
          <w:p w14:paraId="1DB80D10"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100</w:t>
            </w:r>
          </w:p>
        </w:tc>
        <w:tc>
          <w:tcPr>
            <w:tcW w:w="1530" w:type="dxa"/>
            <w:tcBorders>
              <w:right w:val="single" w:sz="4" w:space="0" w:color="auto"/>
            </w:tcBorders>
            <w:shd w:val="clear" w:color="auto" w:fill="EAF1DD"/>
          </w:tcPr>
          <w:p w14:paraId="38D9EEC3" w14:textId="77777777" w:rsidR="00E925E4" w:rsidRDefault="00145C38">
            <w:pPr>
              <w:spacing w:after="0" w:line="24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1890" w:type="dxa"/>
            <w:tcBorders>
              <w:left w:val="single" w:sz="4" w:space="0" w:color="auto"/>
            </w:tcBorders>
            <w:shd w:val="clear" w:color="auto" w:fill="EAF1DD"/>
          </w:tcPr>
          <w:p w14:paraId="1BA9816A" w14:textId="77777777" w:rsidR="00E925E4" w:rsidRDefault="00145C38">
            <w:pPr>
              <w:spacing w:after="0" w:line="360" w:lineRule="auto"/>
              <w:jc w:val="center"/>
              <w:rPr>
                <w:rFonts w:ascii="Times New Roman" w:hAnsi="Times New Roman"/>
                <w:color w:val="000000"/>
                <w:sz w:val="28"/>
                <w:szCs w:val="28"/>
                <w:lang w:eastAsia="en-US"/>
              </w:rPr>
            </w:pPr>
            <w:r>
              <w:rPr>
                <w:rFonts w:ascii="Times New Roman" w:hAnsi="Times New Roman"/>
                <w:color w:val="000000"/>
                <w:sz w:val="28"/>
                <w:szCs w:val="28"/>
                <w:lang w:eastAsia="en-US"/>
              </w:rPr>
              <w:t>7</w:t>
            </w:r>
          </w:p>
        </w:tc>
        <w:tc>
          <w:tcPr>
            <w:tcW w:w="2360" w:type="dxa"/>
            <w:vMerge/>
            <w:tcBorders>
              <w:top w:val="single" w:sz="4" w:space="0" w:color="auto"/>
              <w:bottom w:val="single" w:sz="4" w:space="0" w:color="auto"/>
              <w:right w:val="single" w:sz="4" w:space="0" w:color="auto"/>
            </w:tcBorders>
            <w:shd w:val="clear" w:color="auto" w:fill="auto"/>
          </w:tcPr>
          <w:p w14:paraId="50D6796D" w14:textId="77777777" w:rsidR="00E925E4" w:rsidRDefault="00E925E4">
            <w:pPr>
              <w:spacing w:after="0" w:line="240" w:lineRule="auto"/>
              <w:rPr>
                <w:rFonts w:ascii="Times New Roman" w:hAnsi="Times New Roman"/>
                <w:sz w:val="28"/>
                <w:szCs w:val="28"/>
                <w:lang w:eastAsia="en-US"/>
              </w:rPr>
            </w:pPr>
          </w:p>
        </w:tc>
      </w:tr>
    </w:tbl>
    <w:p w14:paraId="62C47354" w14:textId="77777777" w:rsidR="00E925E4" w:rsidRDefault="00E925E4">
      <w:pPr>
        <w:rPr>
          <w:rFonts w:ascii="Times New Roman" w:eastAsia="Calibri" w:hAnsi="Times New Roman"/>
          <w:sz w:val="28"/>
          <w:szCs w:val="28"/>
          <w:lang w:eastAsia="en-US"/>
        </w:rPr>
      </w:pPr>
    </w:p>
    <w:p w14:paraId="25894BF6" w14:textId="77777777" w:rsidR="00E925E4" w:rsidRDefault="00E925E4" w:rsidP="008C496E">
      <w:pPr>
        <w:bidi/>
        <w:rPr>
          <w:rFonts w:ascii="Times New Roman" w:hAnsi="Times New Roman"/>
          <w:b/>
          <w:bCs/>
          <w:sz w:val="28"/>
          <w:szCs w:val="28"/>
        </w:rPr>
      </w:pPr>
    </w:p>
    <w:p w14:paraId="7E2C3406" w14:textId="77777777" w:rsidR="00DE1653" w:rsidRPr="00DE1653" w:rsidRDefault="00DE1653" w:rsidP="00DE1653">
      <w:pPr>
        <w:pStyle w:val="Heading1"/>
        <w:rPr>
          <w:rFonts w:asciiTheme="majorBidi" w:hAnsiTheme="majorBidi"/>
        </w:rPr>
      </w:pPr>
      <w:r w:rsidRPr="00DE1653">
        <w:rPr>
          <w:rFonts w:asciiTheme="majorBidi" w:hAnsiTheme="majorBidi"/>
        </w:rPr>
        <w:t>Discussion</w:t>
      </w:r>
    </w:p>
    <w:p w14:paraId="00D4BBB3" w14:textId="77777777" w:rsidR="00DE1653" w:rsidRPr="00DE1653" w:rsidRDefault="00DE1653" w:rsidP="00DE1653">
      <w:pPr>
        <w:jc w:val="both"/>
        <w:rPr>
          <w:rFonts w:asciiTheme="majorBidi" w:hAnsiTheme="majorBidi" w:cstheme="majorBidi"/>
          <w:sz w:val="28"/>
          <w:szCs w:val="28"/>
        </w:rPr>
      </w:pPr>
      <w:r w:rsidRPr="00DE1653">
        <w:rPr>
          <w:rFonts w:asciiTheme="majorBidi" w:hAnsiTheme="majorBidi" w:cstheme="majorBidi"/>
          <w:sz w:val="28"/>
          <w:szCs w:val="28"/>
        </w:rPr>
        <w:br/>
        <w:t xml:space="preserve">The present study assessed the prevalence of hepatitis B virus (HBV) and hepatitis C virus (HCV) infections among blood donors at Dongola Hospital, Northern State, Sudan, during the period from January to February 2025. Among the 100 </w:t>
      </w:r>
      <w:r w:rsidRPr="00DE1653">
        <w:rPr>
          <w:rFonts w:asciiTheme="majorBidi" w:hAnsiTheme="majorBidi" w:cstheme="majorBidi"/>
          <w:sz w:val="28"/>
          <w:szCs w:val="28"/>
        </w:rPr>
        <w:lastRenderedPageBreak/>
        <w:t>participants, 7% tested positive for HBV, while none tested positive for HCV. The highest HBV positivity was found in the 18–30 age group, accounting for 6% of the total, with the remainder distributed across other age groups. Statistically, there was no significant association between age or residence and HBV infection (P &gt; 0.05). All donors tested negative for HCV by ICT method.</w:t>
      </w:r>
      <w:r w:rsidRPr="00DE1653">
        <w:rPr>
          <w:rFonts w:asciiTheme="majorBidi" w:hAnsiTheme="majorBidi" w:cstheme="majorBidi"/>
          <w:sz w:val="28"/>
          <w:szCs w:val="28"/>
        </w:rPr>
        <w:br/>
      </w:r>
      <w:r w:rsidRPr="00DE1653">
        <w:rPr>
          <w:rFonts w:asciiTheme="majorBidi" w:hAnsiTheme="majorBidi" w:cstheme="majorBidi"/>
          <w:sz w:val="28"/>
          <w:szCs w:val="28"/>
        </w:rPr>
        <w:br/>
        <w:t>These findings suggest a relatively low prevalence of HBV and an absence of HCV among this donor population. However, the reliance on ICT for diagnosis limits the accuracy of these findings due to the known susceptibility of this method to false negative and false positive results. As such, confirmatory testing using ELISA or PCR is essential to improve diagnostic precision.</w:t>
      </w:r>
      <w:r w:rsidRPr="00DE1653">
        <w:rPr>
          <w:rFonts w:asciiTheme="majorBidi" w:hAnsiTheme="majorBidi" w:cstheme="majorBidi"/>
          <w:sz w:val="28"/>
          <w:szCs w:val="28"/>
        </w:rPr>
        <w:br/>
      </w:r>
      <w:r w:rsidRPr="00DE1653">
        <w:rPr>
          <w:rFonts w:asciiTheme="majorBidi" w:hAnsiTheme="majorBidi" w:cstheme="majorBidi"/>
          <w:sz w:val="28"/>
          <w:szCs w:val="28"/>
        </w:rPr>
        <w:br/>
        <w:t>Compared with previous studies, our findings indicate a higher HBV prevalence than reported in some regions. For instance, a study in Saudi Arabia (17) reported an HBsAg rate of 2.34%, while the present study reported 7%. Likewise, the HCV prevalence in our study (0%) was lower than in studies conducted in Yemen (18), Iraq (19), and Morocco (20). These differences may reflect geographical, methodological, and demographic variations in the study populations.</w:t>
      </w:r>
      <w:r w:rsidRPr="00DE1653">
        <w:rPr>
          <w:rFonts w:asciiTheme="majorBidi" w:hAnsiTheme="majorBidi" w:cstheme="majorBidi"/>
          <w:sz w:val="28"/>
          <w:szCs w:val="28"/>
        </w:rPr>
        <w:br/>
      </w:r>
      <w:r w:rsidRPr="00DE1653">
        <w:rPr>
          <w:rFonts w:asciiTheme="majorBidi" w:hAnsiTheme="majorBidi" w:cstheme="majorBidi"/>
          <w:sz w:val="28"/>
          <w:szCs w:val="28"/>
        </w:rPr>
        <w:br/>
        <w:t>It is also notable that our findings diverge from the Moroccan national screening program (21) results, which included broader age ranges and employed more sensitive diagnostic tools, potentially explaining the differences in HBV and HCV detection rates. Similarly, the Iraqi study utilized ELISA techniques, which are more reliable than ICT. These comparisons underscore the need to adopt more sensitive and specific diagnostic techniques in Sudanese blood banks to ensure transfusion safety.</w:t>
      </w:r>
      <w:r w:rsidRPr="00DE1653">
        <w:rPr>
          <w:rFonts w:asciiTheme="majorBidi" w:hAnsiTheme="majorBidi" w:cstheme="majorBidi"/>
          <w:sz w:val="28"/>
          <w:szCs w:val="28"/>
        </w:rPr>
        <w:br/>
      </w:r>
      <w:r w:rsidRPr="00DE1653">
        <w:rPr>
          <w:rFonts w:asciiTheme="majorBidi" w:hAnsiTheme="majorBidi" w:cstheme="majorBidi"/>
          <w:sz w:val="28"/>
          <w:szCs w:val="28"/>
        </w:rPr>
        <w:br/>
        <w:t>In summary, while our study suggests a moderate burden of HBV and no detectable HCV among blood donors in Dongola, further studies using advanced testing methodologies and larger sample sizes are warranted to validate and expand upon these findings.</w:t>
      </w:r>
    </w:p>
    <w:p w14:paraId="7C317CB1" w14:textId="77777777" w:rsidR="00DE1653" w:rsidRPr="00DE1653" w:rsidRDefault="00DE1653" w:rsidP="00DE1653">
      <w:pPr>
        <w:jc w:val="both"/>
        <w:rPr>
          <w:rFonts w:asciiTheme="majorBidi" w:hAnsiTheme="majorBidi" w:cstheme="majorBidi"/>
          <w:sz w:val="28"/>
          <w:szCs w:val="28"/>
        </w:rPr>
      </w:pPr>
    </w:p>
    <w:p w14:paraId="11899B20" w14:textId="77777777" w:rsidR="00DE1653" w:rsidRPr="00DE1653" w:rsidRDefault="00DE1653" w:rsidP="00DE1653">
      <w:pPr>
        <w:pStyle w:val="Heading1"/>
        <w:rPr>
          <w:rFonts w:asciiTheme="majorBidi" w:hAnsiTheme="majorBidi"/>
        </w:rPr>
      </w:pPr>
      <w:r w:rsidRPr="00DE1653">
        <w:rPr>
          <w:rFonts w:asciiTheme="majorBidi" w:hAnsiTheme="majorBidi"/>
        </w:rPr>
        <w:lastRenderedPageBreak/>
        <w:t>Conclusion</w:t>
      </w:r>
    </w:p>
    <w:p w14:paraId="6710CD33" w14:textId="77777777" w:rsidR="00DE1653" w:rsidRPr="00DE1653" w:rsidRDefault="00DE1653" w:rsidP="00DE1653">
      <w:pPr>
        <w:rPr>
          <w:rFonts w:asciiTheme="majorBidi" w:hAnsiTheme="majorBidi" w:cstheme="majorBidi"/>
          <w:sz w:val="28"/>
          <w:szCs w:val="28"/>
        </w:rPr>
      </w:pPr>
      <w:r w:rsidRPr="00DE1653">
        <w:rPr>
          <w:rFonts w:asciiTheme="majorBidi" w:hAnsiTheme="majorBidi" w:cstheme="majorBidi"/>
          <w:sz w:val="28"/>
          <w:szCs w:val="28"/>
        </w:rPr>
        <w:t>This study highlights the presence of Hepatitis B Virus (HBV) among blood donors at Dongola Hospital, Northern State, Sudan, with a detected prevalence rate of 7%, while no cases of Hepatitis C Virus (HCV) were found. The results suggest that although the prevalence of HCV is low in this population, HBV remains a significant concern, particularly among younger donors aged 18–30 years. The current screening method using Immunochromatographic Test (ICT) showed limitations in accuracy, indicating the necessity for more reliable diagnostic tools such as Polymerase Chain Reaction (PCR) and Enzyme-Linked Immunosorbent Assay (ELISA). These methods would improve the accuracy of screening results and enhance blood safety. Continued efforts are required to implement advanced screening protocols and increase public awareness to minimize the transmission risk of transfusion-transmissible infections.</w:t>
      </w:r>
    </w:p>
    <w:p w14:paraId="1F59CA06" w14:textId="79DB87AD" w:rsidR="00845A27" w:rsidRPr="00845A27" w:rsidRDefault="00845A27" w:rsidP="00845A27">
      <w:pPr>
        <w:bidi/>
        <w:ind w:left="220"/>
        <w:jc w:val="right"/>
        <w:rPr>
          <w:rFonts w:ascii="Times New Roman" w:hAnsi="Times New Roman"/>
          <w:sz w:val="28"/>
          <w:szCs w:val="28"/>
          <w:lang w:bidi="ar-DZ"/>
        </w:rPr>
      </w:pPr>
      <w:r w:rsidRPr="00845A27">
        <w:rPr>
          <w:rFonts w:ascii="Times New Roman" w:hAnsi="Times New Roman"/>
          <w:sz w:val="28"/>
          <w:szCs w:val="28"/>
          <w:lang w:bidi="ar-DZ"/>
        </w:rPr>
        <w:t xml:space="preserve">Ethical </w:t>
      </w:r>
      <w:r>
        <w:rPr>
          <w:rFonts w:ascii="Times New Roman" w:hAnsi="Times New Roman"/>
          <w:sz w:val="28"/>
          <w:szCs w:val="28"/>
          <w:lang w:bidi="ar-DZ"/>
        </w:rPr>
        <w:t>Approval</w:t>
      </w:r>
      <w:r w:rsidRPr="00845A27">
        <w:rPr>
          <w:rFonts w:ascii="Times New Roman" w:hAnsi="Times New Roman"/>
          <w:sz w:val="28"/>
          <w:szCs w:val="28"/>
          <w:lang w:bidi="ar-DZ"/>
        </w:rPr>
        <w:t>:</w:t>
      </w:r>
    </w:p>
    <w:p w14:paraId="08A6FCDA" w14:textId="52A81C40" w:rsidR="00E925E4" w:rsidRPr="00DE1653" w:rsidRDefault="00845A27" w:rsidP="00845A27">
      <w:pPr>
        <w:bidi/>
        <w:ind w:left="220"/>
        <w:jc w:val="right"/>
        <w:rPr>
          <w:rFonts w:ascii="Times New Roman" w:hAnsi="Times New Roman"/>
          <w:sz w:val="28"/>
          <w:szCs w:val="28"/>
          <w:lang w:bidi="ar-DZ"/>
        </w:rPr>
      </w:pPr>
      <w:r w:rsidRPr="00845A27">
        <w:rPr>
          <w:rFonts w:ascii="Times New Roman" w:hAnsi="Times New Roman"/>
          <w:sz w:val="28"/>
          <w:szCs w:val="28"/>
          <w:lang w:bidi="ar-DZ"/>
        </w:rPr>
        <w:t>The study approval was obtained from the Sudan International University research ethical committe and the permission was given by blood bank  Dongola  Hospital.</w:t>
      </w:r>
    </w:p>
    <w:p w14:paraId="66D09957" w14:textId="6B978A0D" w:rsidR="00295B16" w:rsidRDefault="00295B16" w:rsidP="00295B16">
      <w:pPr>
        <w:bidi/>
        <w:ind w:left="220"/>
        <w:jc w:val="right"/>
        <w:rPr>
          <w:rFonts w:ascii="Times New Roman" w:hAnsi="Times New Roman"/>
          <w:b/>
          <w:bCs/>
          <w:sz w:val="28"/>
          <w:szCs w:val="28"/>
          <w:rtl/>
          <w:lang w:bidi="ar-DZ"/>
        </w:rPr>
      </w:pPr>
    </w:p>
    <w:p w14:paraId="2F9800B2" w14:textId="755F7CC2" w:rsidR="00295B16" w:rsidRDefault="00295B16" w:rsidP="00295B16">
      <w:pPr>
        <w:bidi/>
        <w:ind w:left="220"/>
        <w:jc w:val="right"/>
        <w:rPr>
          <w:rFonts w:ascii="Times New Roman" w:hAnsi="Times New Roman"/>
          <w:b/>
          <w:bCs/>
          <w:sz w:val="28"/>
          <w:szCs w:val="28"/>
          <w:rtl/>
          <w:lang w:bidi="ar-DZ"/>
        </w:rPr>
      </w:pPr>
    </w:p>
    <w:p w14:paraId="75CB3816" w14:textId="77777777" w:rsidR="00295B16" w:rsidRPr="009C5487" w:rsidRDefault="00295B16" w:rsidP="00295B16">
      <w:pPr>
        <w:rPr>
          <w:rFonts w:eastAsia="Calibri"/>
          <w:kern w:val="2"/>
          <w:highlight w:val="yellow"/>
        </w:rPr>
      </w:pPr>
      <w:bookmarkStart w:id="0" w:name="_Hlk193540946"/>
      <w:bookmarkStart w:id="1" w:name="_Hlk180402183"/>
      <w:bookmarkStart w:id="2" w:name="_Hlk183680988"/>
      <w:r w:rsidRPr="009C5487">
        <w:rPr>
          <w:rFonts w:eastAsia="Calibri"/>
          <w:kern w:val="2"/>
          <w:highlight w:val="yellow"/>
        </w:rPr>
        <w:t>Disclaimer (Artificial intelligence)</w:t>
      </w:r>
    </w:p>
    <w:p w14:paraId="27A4EA1F" w14:textId="7AE48E78" w:rsidR="00295B16" w:rsidRPr="009C5487" w:rsidRDefault="00295B16" w:rsidP="00295B16">
      <w:pPr>
        <w:rPr>
          <w:rFonts w:eastAsia="Calibri"/>
          <w:kern w:val="2"/>
          <w:highlight w:val="yellow"/>
        </w:rPr>
      </w:pPr>
      <w:r w:rsidRPr="009C5487">
        <w:rPr>
          <w:rFonts w:eastAsia="Calibri"/>
          <w:kern w:val="2"/>
          <w:highlight w:val="yellow"/>
        </w:rPr>
        <w:t>Author</w:t>
      </w:r>
      <w:r w:rsidR="00E61014">
        <w:rPr>
          <w:rFonts w:eastAsia="Calibri"/>
          <w:kern w:val="2"/>
          <w:highlight w:val="yellow"/>
        </w:rPr>
        <w:t>s</w:t>
      </w:r>
      <w:r w:rsidRPr="009C5487">
        <w:rPr>
          <w:rFonts w:eastAsia="Calibri"/>
          <w:kern w:val="2"/>
          <w:highlight w:val="yellow"/>
        </w:rPr>
        <w:t xml:space="preserve"> hereby declare that NO generative AI technologies such as Large Language Models (ChatGPT, COPILOT, etc.) and text-to-image generators have been used during the writing or editing of this manuscript. </w:t>
      </w:r>
    </w:p>
    <w:bookmarkEnd w:id="0"/>
    <w:bookmarkEnd w:id="1"/>
    <w:bookmarkEnd w:id="2"/>
    <w:p w14:paraId="6B422558" w14:textId="77777777" w:rsidR="00295B16" w:rsidRDefault="00295B16" w:rsidP="00295B16">
      <w:pPr>
        <w:bidi/>
        <w:ind w:left="220"/>
        <w:jc w:val="right"/>
        <w:rPr>
          <w:rFonts w:ascii="Times New Roman" w:hAnsi="Times New Roman"/>
          <w:b/>
          <w:bCs/>
          <w:sz w:val="28"/>
          <w:szCs w:val="28"/>
          <w:lang w:bidi="ar-DZ"/>
        </w:rPr>
      </w:pPr>
    </w:p>
    <w:p w14:paraId="093EFEC1" w14:textId="77777777" w:rsidR="00E925E4" w:rsidRDefault="00145C38">
      <w:pPr>
        <w:bidi/>
        <w:rPr>
          <w:rFonts w:ascii="Times New Roman" w:hAnsi="Times New Roman"/>
          <w:sz w:val="28"/>
          <w:szCs w:val="28"/>
          <w:rtl/>
        </w:rPr>
      </w:pPr>
      <w:r>
        <w:rPr>
          <w:rFonts w:ascii="Times New Roman" w:hAnsi="Times New Roman"/>
          <w:sz w:val="28"/>
          <w:szCs w:val="28"/>
          <w:rtl/>
          <w:lang w:bidi="ar-DZ"/>
        </w:rPr>
        <w:t>.</w:t>
      </w:r>
    </w:p>
    <w:p w14:paraId="50BFF77F" w14:textId="3C5743BF" w:rsidR="00E925E4" w:rsidRDefault="00145C38">
      <w:pPr>
        <w:rPr>
          <w:rFonts w:ascii="Times New Roman" w:hAnsi="Times New Roman"/>
          <w:sz w:val="28"/>
          <w:szCs w:val="28"/>
          <w:lang w:bidi="ar-DZ"/>
        </w:rPr>
      </w:pPr>
      <w:r>
        <w:rPr>
          <w:rFonts w:ascii="Times New Roman" w:hAnsi="Times New Roman"/>
          <w:b/>
          <w:bCs/>
          <w:sz w:val="28"/>
          <w:szCs w:val="28"/>
          <w:lang w:bidi="ar-DZ"/>
        </w:rPr>
        <w:t>Re</w:t>
      </w:r>
      <w:r w:rsidR="00D24B86">
        <w:rPr>
          <w:rFonts w:ascii="Times New Roman" w:hAnsi="Times New Roman"/>
          <w:b/>
          <w:bCs/>
          <w:sz w:val="28"/>
          <w:szCs w:val="28"/>
          <w:lang w:bidi="ar-DZ"/>
        </w:rPr>
        <w:t xml:space="preserve">ferences: </w:t>
      </w:r>
    </w:p>
    <w:p w14:paraId="16F9C2CF" w14:textId="77777777" w:rsidR="00D24B86" w:rsidRDefault="00D24B86">
      <w:pPr>
        <w:rPr>
          <w:rFonts w:ascii="Times New Roman" w:hAnsi="Times New Roman"/>
          <w:sz w:val="28"/>
          <w:szCs w:val="28"/>
          <w:rtl/>
          <w:lang w:bidi="ar-DZ"/>
        </w:rPr>
      </w:pPr>
    </w:p>
    <w:p w14:paraId="1CBDAB28" w14:textId="35E6800A" w:rsidR="00DC25F1" w:rsidRPr="00D24B86" w:rsidRDefault="00DC25F1" w:rsidP="00D24B86">
      <w:pPr>
        <w:pStyle w:val="ListParagraph"/>
        <w:numPr>
          <w:ilvl w:val="0"/>
          <w:numId w:val="2"/>
        </w:numPr>
        <w:spacing w:before="100" w:beforeAutospacing="1" w:after="100" w:afterAutospacing="1" w:line="240" w:lineRule="auto"/>
        <w:jc w:val="both"/>
        <w:rPr>
          <w:rFonts w:asciiTheme="majorBidi" w:hAnsiTheme="majorBidi" w:cstheme="majorBidi"/>
          <w:sz w:val="28"/>
          <w:szCs w:val="28"/>
          <w:lang w:eastAsia="en-US"/>
        </w:rPr>
      </w:pPr>
      <w:r w:rsidRPr="00D24B86">
        <w:rPr>
          <w:rFonts w:asciiTheme="majorBidi" w:hAnsiTheme="majorBidi" w:cstheme="majorBidi"/>
          <w:sz w:val="28"/>
          <w:szCs w:val="28"/>
        </w:rPr>
        <w:lastRenderedPageBreak/>
        <w:t>Manzoor I, Hashm NI, Daud S, Ajmal S, Fatima H, Rasheed Z, et al. Seroprevalence of transfusion transmissible infections (TTIs) in blood donors. Biomedica. 2009;25(10):154–8.</w:t>
      </w:r>
    </w:p>
    <w:p w14:paraId="335BCE16" w14:textId="72F909DA"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Fessehaye N, Naik D, Fessehaye T. Transfusion transmitted infections—a retrospective analysis from the National Blood Transfusion Service in Eritrea. Pan Afr Med J. 2011;9:40–6.</w:t>
      </w:r>
    </w:p>
    <w:p w14:paraId="63FDF071" w14:textId="2F0CC862"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Bhawani YRP, Sudhakar V. Seroprevalence of transfusion transmissible infections among blood donors in a tertiary care hospital of Andhra Pradesh. Biol Med. 2010;2(4):45–8.</w:t>
      </w:r>
    </w:p>
    <w:p w14:paraId="1FFDFFB6" w14:textId="1DBD1387"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Amiwero CE, Prescott RJ, George OA, Joy NI, Aisha M. Seroprevalence of transfusion transmissible infections among blood donors attending the Federal Medical Centre, Bida. Int J Med Biomed Res. 2013;1:1–7.</w:t>
      </w:r>
    </w:p>
    <w:p w14:paraId="6E47A8BB" w14:textId="1CF3EE91"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Quadri SA, Dadapeer HJ, Arifulla KM, Khan N. Prevalence of hepatitis B surface antigen in hospital-based population in Bijapur, Karnataka. Al Ameen J Med Sci. 2013;6(2):180–2.</w:t>
      </w:r>
    </w:p>
    <w:p w14:paraId="4E20EFF0" w14:textId="0AA1159B"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 xml:space="preserve">Lavanchy D. Hepatitis B, C, hepatocellular carcinomas. </w:t>
      </w:r>
      <w:r w:rsidRPr="00D24B86">
        <w:rPr>
          <w:rStyle w:val="Emphasis"/>
          <w:rFonts w:asciiTheme="majorBidi" w:hAnsiTheme="majorBidi" w:cstheme="majorBidi"/>
          <w:sz w:val="28"/>
          <w:szCs w:val="28"/>
        </w:rPr>
        <w:t>(Missing source info – needs journal/book name, year, volume, pages)</w:t>
      </w:r>
    </w:p>
    <w:p w14:paraId="60A1BA81" w14:textId="54138FBC"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Guidotti LG, Chisari FV. Immunobiology and pathogenesis of viral hepatitis. Annu Rev Pathol. 2006;1:23–61.</w:t>
      </w:r>
    </w:p>
    <w:p w14:paraId="377CCB6B" w14:textId="07DAAE08"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Locarnini S, Hatzakis A, Chen DS, Lok A. Strategies to control hepatitis B: public policy, epidemiology, vaccine and drugs. J Hepatol. 2015;62(Suppl):S76–86.</w:t>
      </w:r>
    </w:p>
    <w:p w14:paraId="49949892" w14:textId="6A482505"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Revill PA, Chisari FV, Block JM, Gehring AJ, Guo H, Hu J, et al. A global scientific strategy to cure hepatitis B. Lancet Gastroenterol Hepatol. 2019;4(7):545–58.</w:t>
      </w:r>
    </w:p>
    <w:p w14:paraId="64ADE491" w14:textId="4F36D658"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Robertson B, Myers G, Howard C, et al. Classification, nomenclature, and database development for hepatitis C virus (HCV) and related viruses: proposals for standardization. Arch Virol. 1998;143(12):2493–503.</w:t>
      </w:r>
    </w:p>
    <w:p w14:paraId="7E266C1C" w14:textId="36E3B134"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Okuda M, Hino K, Korenaga M, Yamaguchi Y, Katoh Y, Okita K. Differences in hypervariable region 1 quasispecies of hepatitis C virus in human serum, peripheral blood mononuclear cells, and liver. Hepatology. 1999;29(1):217–22.</w:t>
      </w:r>
    </w:p>
    <w:p w14:paraId="230E5B6B" w14:textId="65B8BF1D"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Zignego AL, De Carli M, Monti M, et al. Hepatitis C virus infection of mononuclear cells from peripheral blood and liver infiltrates in chronically infected patients. J Med Virol. 1995;47(1):58–64.</w:t>
      </w:r>
    </w:p>
    <w:p w14:paraId="78D5EB6A" w14:textId="606BFE3D"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lastRenderedPageBreak/>
        <w:t>Neumann AU, Lam NP, Dahari H, et al. Hepatitis C viral dynamics in vivo and the antiviral efficacy of interferon-alpha therapy. Science. 1998;282(5386):103–7.</w:t>
      </w:r>
    </w:p>
    <w:p w14:paraId="41B52FA7" w14:textId="5A2BE901"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 xml:space="preserve">Centers for Disease Control and Prevention (CDC). Public health service inter-agency guidelines for screening donors of blood, plasma, organs, tissues, and semen for evidence. MMWR Recomm Rep. 1991;40(RR-4):1–17. Available from: </w:t>
      </w:r>
      <w:hyperlink r:id="rId15" w:tgtFrame="_new" w:history="1">
        <w:r w:rsidRPr="00D24B86">
          <w:rPr>
            <w:rStyle w:val="Hyperlink"/>
            <w:rFonts w:asciiTheme="majorBidi" w:hAnsiTheme="majorBidi" w:cstheme="majorBidi"/>
            <w:sz w:val="28"/>
            <w:szCs w:val="28"/>
          </w:rPr>
          <w:t>http://www.cdc.gov/mmwr/preview/mmwrhtml/00043883.htm</w:t>
        </w:r>
      </w:hyperlink>
    </w:p>
    <w:p w14:paraId="5EF1F41B" w14:textId="5852F11C" w:rsidR="00DC25F1" w:rsidRPr="00D24B86"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Lavanchy D. Public health measures in the control of viral hepatitis: a World Health Organization perspective for the next millennium. J Gastroenterol Hepatol. 2002;17 Suppl:S452–9.</w:t>
      </w:r>
    </w:p>
    <w:p w14:paraId="032E92DE" w14:textId="1899EC5C" w:rsidR="00DC25F1" w:rsidRDefault="00DC25F1" w:rsidP="00D24B86">
      <w:pPr>
        <w:pStyle w:val="ListParagraph"/>
        <w:numPr>
          <w:ilvl w:val="0"/>
          <w:numId w:val="2"/>
        </w:numPr>
        <w:spacing w:before="100" w:beforeAutospacing="1" w:after="100" w:afterAutospacing="1"/>
        <w:jc w:val="both"/>
        <w:rPr>
          <w:rFonts w:asciiTheme="majorBidi" w:hAnsiTheme="majorBidi" w:cstheme="majorBidi"/>
          <w:sz w:val="28"/>
          <w:szCs w:val="28"/>
        </w:rPr>
      </w:pPr>
      <w:r w:rsidRPr="00D24B86">
        <w:rPr>
          <w:rFonts w:asciiTheme="majorBidi" w:hAnsiTheme="majorBidi" w:cstheme="majorBidi"/>
          <w:sz w:val="28"/>
          <w:szCs w:val="28"/>
        </w:rPr>
        <w:t>Simmonds P. The origin and evolution of hepatitis viruses in humans. J Gen Virol. 2001;82(Pt 3):693–712</w:t>
      </w:r>
    </w:p>
    <w:p w14:paraId="6B9A1239" w14:textId="20833380" w:rsidR="00DE1653" w:rsidRPr="00DE1653" w:rsidRDefault="00DE1653" w:rsidP="00DE1653">
      <w:pPr>
        <w:pStyle w:val="ListParagraph"/>
        <w:numPr>
          <w:ilvl w:val="0"/>
          <w:numId w:val="2"/>
        </w:numPr>
        <w:rPr>
          <w:rFonts w:asciiTheme="majorBidi" w:hAnsiTheme="majorBidi" w:cstheme="majorBidi"/>
          <w:sz w:val="28"/>
          <w:szCs w:val="28"/>
        </w:rPr>
      </w:pPr>
      <w:r w:rsidRPr="00DE1653">
        <w:rPr>
          <w:rFonts w:asciiTheme="majorBidi" w:hAnsiTheme="majorBidi" w:cstheme="majorBidi"/>
          <w:sz w:val="28"/>
          <w:szCs w:val="28"/>
        </w:rPr>
        <w:t>Altamimi AM, Abu-Ali GS, Al-Shammari SA. Prevalence of hepatitis B among Saudi blood donors. Saudi Med J. 1998;19(2):123–6.</w:t>
      </w:r>
    </w:p>
    <w:p w14:paraId="10BA02C8" w14:textId="1EBF1B5E" w:rsidR="00DE1653" w:rsidRPr="00DE1653" w:rsidRDefault="00DE1653" w:rsidP="00DE1653">
      <w:pPr>
        <w:pStyle w:val="ListParagraph"/>
        <w:numPr>
          <w:ilvl w:val="0"/>
          <w:numId w:val="2"/>
        </w:numPr>
        <w:rPr>
          <w:rFonts w:asciiTheme="majorBidi" w:hAnsiTheme="majorBidi" w:cstheme="majorBidi"/>
          <w:sz w:val="28"/>
          <w:szCs w:val="28"/>
        </w:rPr>
      </w:pPr>
      <w:r w:rsidRPr="00DE1653">
        <w:rPr>
          <w:rFonts w:asciiTheme="majorBidi" w:hAnsiTheme="majorBidi" w:cstheme="majorBidi"/>
          <w:sz w:val="28"/>
          <w:szCs w:val="28"/>
        </w:rPr>
        <w:t xml:space="preserve"> Al-Mekhlafi HM, Al-Haidari AA, Al-Eryani SM, et al. Hepatitis C virus seroprevalence and associated risk factors in Yemen: a community-based study. BMC Infect Dis. 2020;20(1):1–9.</w:t>
      </w:r>
    </w:p>
    <w:p w14:paraId="4B095FB0" w14:textId="2C66DE65" w:rsidR="00DE1653" w:rsidRPr="00DE1653" w:rsidRDefault="00DE1653" w:rsidP="00DE1653">
      <w:pPr>
        <w:pStyle w:val="ListParagraph"/>
        <w:numPr>
          <w:ilvl w:val="0"/>
          <w:numId w:val="2"/>
        </w:numPr>
        <w:rPr>
          <w:rFonts w:asciiTheme="majorBidi" w:hAnsiTheme="majorBidi" w:cstheme="majorBidi"/>
          <w:sz w:val="28"/>
          <w:szCs w:val="28"/>
        </w:rPr>
      </w:pPr>
      <w:r w:rsidRPr="00DE1653">
        <w:rPr>
          <w:rFonts w:asciiTheme="majorBidi" w:hAnsiTheme="majorBidi" w:cstheme="majorBidi"/>
          <w:sz w:val="28"/>
          <w:szCs w:val="28"/>
        </w:rPr>
        <w:t xml:space="preserve"> Mahmood ZA, Al-Khazraji HF, Al-Kubaisy WA. Seroprevalence of hepatitis C virus among blood donors in Iraq. East Mediterr Health J. 2012;18(6):589–93.</w:t>
      </w:r>
    </w:p>
    <w:p w14:paraId="41A8C325" w14:textId="151B7811" w:rsidR="00DE1653" w:rsidRPr="00DE1653" w:rsidRDefault="00DE1653" w:rsidP="00DE1653">
      <w:pPr>
        <w:pStyle w:val="ListParagraph"/>
        <w:numPr>
          <w:ilvl w:val="0"/>
          <w:numId w:val="2"/>
        </w:numPr>
        <w:rPr>
          <w:rFonts w:asciiTheme="majorBidi" w:hAnsiTheme="majorBidi" w:cstheme="majorBidi"/>
          <w:sz w:val="28"/>
          <w:szCs w:val="28"/>
        </w:rPr>
      </w:pPr>
      <w:r w:rsidRPr="00DE1653">
        <w:rPr>
          <w:rFonts w:asciiTheme="majorBidi" w:hAnsiTheme="majorBidi" w:cstheme="majorBidi"/>
          <w:sz w:val="28"/>
          <w:szCs w:val="28"/>
        </w:rPr>
        <w:t xml:space="preserve"> Benjelloun S, Bahbouhi B, Sekkat S, et al. Hepatitis C virus seroprevalence in Morocco. J Med Virol. 2001;65(1):1–7.</w:t>
      </w:r>
    </w:p>
    <w:p w14:paraId="025344FA" w14:textId="2AD26B31" w:rsidR="00DE1653" w:rsidRPr="00DE1653" w:rsidRDefault="00DE1653" w:rsidP="00DE1653">
      <w:pPr>
        <w:pStyle w:val="ListParagraph"/>
        <w:numPr>
          <w:ilvl w:val="0"/>
          <w:numId w:val="2"/>
        </w:numPr>
        <w:rPr>
          <w:rFonts w:asciiTheme="majorBidi" w:hAnsiTheme="majorBidi" w:cstheme="majorBidi"/>
          <w:sz w:val="28"/>
          <w:szCs w:val="28"/>
        </w:rPr>
      </w:pPr>
      <w:r w:rsidRPr="00DE1653">
        <w:rPr>
          <w:rFonts w:asciiTheme="majorBidi" w:hAnsiTheme="majorBidi" w:cstheme="majorBidi"/>
          <w:sz w:val="28"/>
          <w:szCs w:val="28"/>
        </w:rPr>
        <w:t>Ministry of Health Morocco. National Screening Program for Viral Hepatitis. Rabat: Ministry of Health; 2021.</w:t>
      </w:r>
    </w:p>
    <w:p w14:paraId="640D4196" w14:textId="77777777" w:rsidR="00DE1653" w:rsidRPr="00DE1653" w:rsidRDefault="00DE1653" w:rsidP="00DE1653">
      <w:pPr>
        <w:spacing w:before="100" w:beforeAutospacing="1" w:after="100" w:afterAutospacing="1"/>
        <w:ind w:left="360"/>
        <w:jc w:val="both"/>
        <w:rPr>
          <w:rFonts w:asciiTheme="majorBidi" w:hAnsiTheme="majorBidi" w:cstheme="majorBidi"/>
          <w:sz w:val="28"/>
          <w:szCs w:val="28"/>
        </w:rPr>
      </w:pPr>
    </w:p>
    <w:p w14:paraId="5C8E36CB" w14:textId="77777777" w:rsidR="00E925E4" w:rsidRDefault="00E925E4">
      <w:pPr>
        <w:jc w:val="center"/>
        <w:rPr>
          <w:rFonts w:ascii="Times New Roman" w:hAnsi="Times New Roman"/>
          <w:sz w:val="28"/>
          <w:szCs w:val="28"/>
          <w:rtl/>
          <w:lang w:bidi="ar-DZ"/>
        </w:rPr>
      </w:pPr>
    </w:p>
    <w:sectPr w:rsidR="00E925E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C416" w14:textId="77777777" w:rsidR="000914D2" w:rsidRDefault="000914D2">
      <w:pPr>
        <w:spacing w:after="0" w:line="240" w:lineRule="auto"/>
      </w:pPr>
      <w:r>
        <w:separator/>
      </w:r>
    </w:p>
  </w:endnote>
  <w:endnote w:type="continuationSeparator" w:id="0">
    <w:p w14:paraId="046E43C6" w14:textId="77777777" w:rsidR="000914D2" w:rsidRDefault="000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1077" w14:textId="77777777" w:rsidR="00134DE0" w:rsidRDefault="00134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BD95" w14:textId="77777777" w:rsidR="00E925E4" w:rsidRDefault="00145C38">
    <w:pPr>
      <w:pStyle w:val="Header"/>
      <w:jc w:val="center"/>
    </w:pPr>
    <w:r>
      <w:fldChar w:fldCharType="begin"/>
    </w:r>
    <w:r>
      <w:instrText>PAGE</w:instrText>
    </w:r>
    <w:r>
      <w:fldChar w:fldCharType="separate"/>
    </w:r>
    <w:r w:rsidR="00A230BF">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6735" w14:textId="77777777" w:rsidR="00134DE0" w:rsidRDefault="00134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D8CA" w14:textId="77777777" w:rsidR="000914D2" w:rsidRDefault="000914D2">
      <w:pPr>
        <w:spacing w:after="0" w:line="240" w:lineRule="auto"/>
      </w:pPr>
      <w:r>
        <w:separator/>
      </w:r>
    </w:p>
  </w:footnote>
  <w:footnote w:type="continuationSeparator" w:id="0">
    <w:p w14:paraId="7375F0F7" w14:textId="77777777" w:rsidR="000914D2" w:rsidRDefault="0009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EBFD" w14:textId="6CE322E6" w:rsidR="00134DE0" w:rsidRDefault="00000000">
    <w:pPr>
      <w:pStyle w:val="Header"/>
    </w:pPr>
    <w:r>
      <w:rPr>
        <w:noProof/>
      </w:rPr>
      <w:pict w14:anchorId="419AD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F9D7" w14:textId="33326851" w:rsidR="00E925E4" w:rsidRDefault="00000000">
    <w:pPr>
      <w:jc w:val="center"/>
    </w:pPr>
    <w:r>
      <w:rPr>
        <w:noProof/>
      </w:rPr>
      <w:pict w14:anchorId="79A7B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7"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B8AF" w14:textId="3E8BC913" w:rsidR="00134DE0" w:rsidRDefault="00000000">
    <w:pPr>
      <w:pStyle w:val="Header"/>
    </w:pPr>
    <w:r>
      <w:rPr>
        <w:noProof/>
      </w:rPr>
      <w:pict w14:anchorId="48FD7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473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E5655"/>
    <w:multiLevelType w:val="hybridMultilevel"/>
    <w:tmpl w:val="8BB88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90BEC"/>
    <w:multiLevelType w:val="hybridMultilevel"/>
    <w:tmpl w:val="77A22492"/>
    <w:lvl w:ilvl="0" w:tplc="8F4CF3B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E1A9E"/>
    <w:multiLevelType w:val="hybridMultilevel"/>
    <w:tmpl w:val="6714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631098">
    <w:abstractNumId w:val="2"/>
  </w:num>
  <w:num w:numId="2" w16cid:durableId="2016224853">
    <w:abstractNumId w:val="0"/>
  </w:num>
  <w:num w:numId="3" w16cid:durableId="197540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5E4"/>
    <w:rsid w:val="00020845"/>
    <w:rsid w:val="00067417"/>
    <w:rsid w:val="000914D2"/>
    <w:rsid w:val="000B7C12"/>
    <w:rsid w:val="00134DE0"/>
    <w:rsid w:val="00145C38"/>
    <w:rsid w:val="001A595E"/>
    <w:rsid w:val="001D4F19"/>
    <w:rsid w:val="0023354D"/>
    <w:rsid w:val="0027623E"/>
    <w:rsid w:val="00295B16"/>
    <w:rsid w:val="002D4D1E"/>
    <w:rsid w:val="002F4832"/>
    <w:rsid w:val="00321708"/>
    <w:rsid w:val="00424E35"/>
    <w:rsid w:val="00453F00"/>
    <w:rsid w:val="00473E43"/>
    <w:rsid w:val="004E2AF3"/>
    <w:rsid w:val="00507F95"/>
    <w:rsid w:val="00523657"/>
    <w:rsid w:val="00542778"/>
    <w:rsid w:val="00604754"/>
    <w:rsid w:val="00672BA6"/>
    <w:rsid w:val="0069716C"/>
    <w:rsid w:val="006E4434"/>
    <w:rsid w:val="00740779"/>
    <w:rsid w:val="007544DB"/>
    <w:rsid w:val="007F59A0"/>
    <w:rsid w:val="008312A5"/>
    <w:rsid w:val="00845A27"/>
    <w:rsid w:val="008B4DA5"/>
    <w:rsid w:val="008C496E"/>
    <w:rsid w:val="008E5E2B"/>
    <w:rsid w:val="008F4FD3"/>
    <w:rsid w:val="009905E5"/>
    <w:rsid w:val="009A26D5"/>
    <w:rsid w:val="009A51A5"/>
    <w:rsid w:val="009E54E7"/>
    <w:rsid w:val="00A02AB8"/>
    <w:rsid w:val="00A04522"/>
    <w:rsid w:val="00A2076B"/>
    <w:rsid w:val="00A230BF"/>
    <w:rsid w:val="00A56249"/>
    <w:rsid w:val="00B22D09"/>
    <w:rsid w:val="00B30A03"/>
    <w:rsid w:val="00B97594"/>
    <w:rsid w:val="00CD2055"/>
    <w:rsid w:val="00CD3963"/>
    <w:rsid w:val="00D24B86"/>
    <w:rsid w:val="00D80AC5"/>
    <w:rsid w:val="00DC25F1"/>
    <w:rsid w:val="00DC5A38"/>
    <w:rsid w:val="00DE1653"/>
    <w:rsid w:val="00E61014"/>
    <w:rsid w:val="00E925E4"/>
    <w:rsid w:val="00EE3CE8"/>
    <w:rsid w:val="00EF1F50"/>
    <w:rsid w:val="00F418CA"/>
    <w:rsid w:val="00F54A2D"/>
    <w:rsid w:val="00F621DC"/>
    <w:rsid w:val="00F953DF"/>
    <w:rsid w:val="00FD0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1D6D7"/>
  <w15:docId w15:val="{318963B1-4B33-4F95-A39F-C1F1A1A2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lang w:eastAsia="zh-CN"/>
    </w:rPr>
  </w:style>
  <w:style w:type="paragraph" w:styleId="Heading1">
    <w:name w:val="heading 1"/>
    <w:basedOn w:val="Normal"/>
    <w:next w:val="Normal"/>
    <w:link w:val="Heading1Char"/>
    <w:uiPriority w:val="9"/>
    <w:qFormat/>
    <w:rsid w:val="00DE165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zh-CN"/>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sid w:val="001A595E"/>
    <w:rPr>
      <w:rFonts w:ascii="Arial-BoldMT" w:hAnsi="Arial-BoldMT" w:hint="default"/>
      <w:b/>
      <w:bCs/>
      <w:i w:val="0"/>
      <w:iCs w:val="0"/>
      <w:color w:val="000000"/>
      <w:sz w:val="32"/>
      <w:szCs w:val="32"/>
    </w:rPr>
  </w:style>
  <w:style w:type="character" w:styleId="Hyperlink">
    <w:name w:val="Hyperlink"/>
    <w:basedOn w:val="DefaultParagraphFont"/>
    <w:uiPriority w:val="99"/>
    <w:unhideWhenUsed/>
    <w:rsid w:val="000B7C12"/>
    <w:rPr>
      <w:color w:val="0000FF" w:themeColor="hyperlink"/>
      <w:u w:val="single"/>
    </w:rPr>
  </w:style>
  <w:style w:type="character" w:styleId="UnresolvedMention">
    <w:name w:val="Unresolved Mention"/>
    <w:basedOn w:val="DefaultParagraphFont"/>
    <w:uiPriority w:val="99"/>
    <w:semiHidden/>
    <w:unhideWhenUsed/>
    <w:rsid w:val="000B7C12"/>
    <w:rPr>
      <w:color w:val="605E5C"/>
      <w:shd w:val="clear" w:color="auto" w:fill="E1DFDD"/>
    </w:rPr>
  </w:style>
  <w:style w:type="paragraph" w:styleId="Footer">
    <w:name w:val="footer"/>
    <w:basedOn w:val="Normal"/>
    <w:link w:val="FooterChar"/>
    <w:uiPriority w:val="99"/>
    <w:unhideWhenUsed/>
    <w:rsid w:val="0013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E0"/>
    <w:rPr>
      <w:rFonts w:cs="Times New Roman"/>
      <w:lang w:eastAsia="zh-CN"/>
    </w:rPr>
  </w:style>
  <w:style w:type="character" w:styleId="Emphasis">
    <w:name w:val="Emphasis"/>
    <w:basedOn w:val="DefaultParagraphFont"/>
    <w:uiPriority w:val="20"/>
    <w:qFormat/>
    <w:rsid w:val="00DC25F1"/>
    <w:rPr>
      <w:i/>
      <w:iCs/>
    </w:rPr>
  </w:style>
  <w:style w:type="character" w:styleId="Strong">
    <w:name w:val="Strong"/>
    <w:basedOn w:val="DefaultParagraphFont"/>
    <w:uiPriority w:val="22"/>
    <w:qFormat/>
    <w:rsid w:val="00604754"/>
    <w:rPr>
      <w:b/>
      <w:bCs/>
    </w:rPr>
  </w:style>
  <w:style w:type="paragraph" w:styleId="CommentText">
    <w:name w:val="annotation text"/>
    <w:basedOn w:val="Normal"/>
    <w:link w:val="CommentTextChar"/>
    <w:uiPriority w:val="99"/>
    <w:semiHidden/>
    <w:unhideWhenUsed/>
    <w:rsid w:val="009A26D5"/>
    <w:pPr>
      <w:spacing w:line="240" w:lineRule="auto"/>
    </w:pPr>
    <w:rPr>
      <w:sz w:val="20"/>
      <w:szCs w:val="20"/>
    </w:rPr>
  </w:style>
  <w:style w:type="character" w:customStyle="1" w:styleId="CommentTextChar">
    <w:name w:val="Comment Text Char"/>
    <w:basedOn w:val="DefaultParagraphFont"/>
    <w:link w:val="CommentText"/>
    <w:uiPriority w:val="99"/>
    <w:semiHidden/>
    <w:rsid w:val="009A26D5"/>
    <w:rPr>
      <w:rFonts w:cs="Times New Roman"/>
      <w:sz w:val="20"/>
      <w:szCs w:val="20"/>
      <w:lang w:eastAsia="zh-CN"/>
    </w:rPr>
  </w:style>
  <w:style w:type="character" w:styleId="CommentReference">
    <w:name w:val="annotation reference"/>
    <w:basedOn w:val="DefaultParagraphFont"/>
    <w:uiPriority w:val="99"/>
    <w:semiHidden/>
    <w:unhideWhenUsed/>
    <w:rsid w:val="009A26D5"/>
    <w:rPr>
      <w:sz w:val="16"/>
      <w:szCs w:val="16"/>
    </w:rPr>
  </w:style>
  <w:style w:type="character" w:customStyle="1" w:styleId="Heading1Char">
    <w:name w:val="Heading 1 Char"/>
    <w:basedOn w:val="DefaultParagraphFont"/>
    <w:link w:val="Heading1"/>
    <w:uiPriority w:val="9"/>
    <w:rsid w:val="00DE16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3424">
      <w:bodyDiv w:val="1"/>
      <w:marLeft w:val="0"/>
      <w:marRight w:val="0"/>
      <w:marTop w:val="0"/>
      <w:marBottom w:val="0"/>
      <w:divBdr>
        <w:top w:val="none" w:sz="0" w:space="0" w:color="auto"/>
        <w:left w:val="none" w:sz="0" w:space="0" w:color="auto"/>
        <w:bottom w:val="none" w:sz="0" w:space="0" w:color="auto"/>
        <w:right w:val="none" w:sz="0" w:space="0" w:color="auto"/>
      </w:divBdr>
    </w:div>
    <w:div w:id="351959677">
      <w:bodyDiv w:val="1"/>
      <w:marLeft w:val="0"/>
      <w:marRight w:val="0"/>
      <w:marTop w:val="0"/>
      <w:marBottom w:val="0"/>
      <w:divBdr>
        <w:top w:val="none" w:sz="0" w:space="0" w:color="auto"/>
        <w:left w:val="none" w:sz="0" w:space="0" w:color="auto"/>
        <w:bottom w:val="none" w:sz="0" w:space="0" w:color="auto"/>
        <w:right w:val="none" w:sz="0" w:space="0" w:color="auto"/>
      </w:divBdr>
    </w:div>
    <w:div w:id="526454849">
      <w:bodyDiv w:val="1"/>
      <w:marLeft w:val="0"/>
      <w:marRight w:val="0"/>
      <w:marTop w:val="0"/>
      <w:marBottom w:val="0"/>
      <w:divBdr>
        <w:top w:val="none" w:sz="0" w:space="0" w:color="auto"/>
        <w:left w:val="none" w:sz="0" w:space="0" w:color="auto"/>
        <w:bottom w:val="none" w:sz="0" w:space="0" w:color="auto"/>
        <w:right w:val="none" w:sz="0" w:space="0" w:color="auto"/>
      </w:divBdr>
    </w:div>
    <w:div w:id="641228003">
      <w:bodyDiv w:val="1"/>
      <w:marLeft w:val="0"/>
      <w:marRight w:val="0"/>
      <w:marTop w:val="0"/>
      <w:marBottom w:val="0"/>
      <w:divBdr>
        <w:top w:val="none" w:sz="0" w:space="0" w:color="auto"/>
        <w:left w:val="none" w:sz="0" w:space="0" w:color="auto"/>
        <w:bottom w:val="none" w:sz="0" w:space="0" w:color="auto"/>
        <w:right w:val="none" w:sz="0" w:space="0" w:color="auto"/>
      </w:divBdr>
    </w:div>
    <w:div w:id="928851808">
      <w:bodyDiv w:val="1"/>
      <w:marLeft w:val="0"/>
      <w:marRight w:val="0"/>
      <w:marTop w:val="0"/>
      <w:marBottom w:val="0"/>
      <w:divBdr>
        <w:top w:val="none" w:sz="0" w:space="0" w:color="auto"/>
        <w:left w:val="none" w:sz="0" w:space="0" w:color="auto"/>
        <w:bottom w:val="none" w:sz="0" w:space="0" w:color="auto"/>
        <w:right w:val="none" w:sz="0" w:space="0" w:color="auto"/>
      </w:divBdr>
    </w:div>
    <w:div w:id="934050709">
      <w:bodyDiv w:val="1"/>
      <w:marLeft w:val="0"/>
      <w:marRight w:val="0"/>
      <w:marTop w:val="0"/>
      <w:marBottom w:val="0"/>
      <w:divBdr>
        <w:top w:val="none" w:sz="0" w:space="0" w:color="auto"/>
        <w:left w:val="none" w:sz="0" w:space="0" w:color="auto"/>
        <w:bottom w:val="none" w:sz="0" w:space="0" w:color="auto"/>
        <w:right w:val="none" w:sz="0" w:space="0" w:color="auto"/>
      </w:divBdr>
    </w:div>
    <w:div w:id="1035034649">
      <w:bodyDiv w:val="1"/>
      <w:marLeft w:val="0"/>
      <w:marRight w:val="0"/>
      <w:marTop w:val="0"/>
      <w:marBottom w:val="0"/>
      <w:divBdr>
        <w:top w:val="none" w:sz="0" w:space="0" w:color="auto"/>
        <w:left w:val="none" w:sz="0" w:space="0" w:color="auto"/>
        <w:bottom w:val="none" w:sz="0" w:space="0" w:color="auto"/>
        <w:right w:val="none" w:sz="0" w:space="0" w:color="auto"/>
      </w:divBdr>
    </w:div>
    <w:div w:id="1344012490">
      <w:bodyDiv w:val="1"/>
      <w:marLeft w:val="0"/>
      <w:marRight w:val="0"/>
      <w:marTop w:val="0"/>
      <w:marBottom w:val="0"/>
      <w:divBdr>
        <w:top w:val="none" w:sz="0" w:space="0" w:color="auto"/>
        <w:left w:val="none" w:sz="0" w:space="0" w:color="auto"/>
        <w:bottom w:val="none" w:sz="0" w:space="0" w:color="auto"/>
        <w:right w:val="none" w:sz="0" w:space="0" w:color="auto"/>
      </w:divBdr>
    </w:div>
    <w:div w:id="1619532916">
      <w:bodyDiv w:val="1"/>
      <w:marLeft w:val="0"/>
      <w:marRight w:val="0"/>
      <w:marTop w:val="0"/>
      <w:marBottom w:val="0"/>
      <w:divBdr>
        <w:top w:val="none" w:sz="0" w:space="0" w:color="auto"/>
        <w:left w:val="none" w:sz="0" w:space="0" w:color="auto"/>
        <w:bottom w:val="none" w:sz="0" w:space="0" w:color="auto"/>
        <w:right w:val="none" w:sz="0" w:space="0" w:color="auto"/>
      </w:divBdr>
    </w:div>
    <w:div w:id="1683512009">
      <w:bodyDiv w:val="1"/>
      <w:marLeft w:val="0"/>
      <w:marRight w:val="0"/>
      <w:marTop w:val="0"/>
      <w:marBottom w:val="0"/>
      <w:divBdr>
        <w:top w:val="none" w:sz="0" w:space="0" w:color="auto"/>
        <w:left w:val="none" w:sz="0" w:space="0" w:color="auto"/>
        <w:bottom w:val="none" w:sz="0" w:space="0" w:color="auto"/>
        <w:right w:val="none" w:sz="0" w:space="0" w:color="auto"/>
      </w:divBdr>
    </w:div>
    <w:div w:id="1701588582">
      <w:bodyDiv w:val="1"/>
      <w:marLeft w:val="0"/>
      <w:marRight w:val="0"/>
      <w:marTop w:val="0"/>
      <w:marBottom w:val="0"/>
      <w:divBdr>
        <w:top w:val="none" w:sz="0" w:space="0" w:color="auto"/>
        <w:left w:val="none" w:sz="0" w:space="0" w:color="auto"/>
        <w:bottom w:val="none" w:sz="0" w:space="0" w:color="auto"/>
        <w:right w:val="none" w:sz="0" w:space="0" w:color="auto"/>
      </w:divBdr>
    </w:div>
    <w:div w:id="1745376311">
      <w:bodyDiv w:val="1"/>
      <w:marLeft w:val="0"/>
      <w:marRight w:val="0"/>
      <w:marTop w:val="0"/>
      <w:marBottom w:val="0"/>
      <w:divBdr>
        <w:top w:val="none" w:sz="0" w:space="0" w:color="auto"/>
        <w:left w:val="none" w:sz="0" w:space="0" w:color="auto"/>
        <w:bottom w:val="none" w:sz="0" w:space="0" w:color="auto"/>
        <w:right w:val="none" w:sz="0" w:space="0" w:color="auto"/>
      </w:divBdr>
    </w:div>
    <w:div w:id="1844199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www.cdc.gov/mmwr/preview/mmwrhtml/00043883.htm"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ndalus" pitchFamily="18" charset="-78"/>
                <a:cs typeface="Andalus" pitchFamily="18" charset="-78"/>
              </a:rPr>
              <a:t>Age Groups</a:t>
            </a:r>
            <a:r>
              <a:rPr lang="en-US" sz="2000" b="1" i="0" u="none" strike="noStrike" baseline="0">
                <a:solidFill>
                  <a:schemeClr val="accent6">
                    <a:lumMod val="75000"/>
                  </a:schemeClr>
                </a:solidFill>
                <a:latin typeface="Andalus" pitchFamily="18" charset="-78"/>
                <a:cs typeface="Andalus" pitchFamily="18" charset="-78"/>
              </a:rPr>
              <a:t> </a:t>
            </a:r>
            <a:endParaRPr lang="en-US" sz="2000" b="1">
              <a:solidFill>
                <a:schemeClr val="accent6">
                  <a:lumMod val="75000"/>
                </a:schemeClr>
              </a:solidFill>
              <a:latin typeface="Andalus" pitchFamily="18" charset="-78"/>
              <a:cs typeface="Andalus" pitchFamily="18" charset="-78"/>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00B0F0"/>
            </a:solidFill>
          </c:spPr>
          <c:invertIfNegative val="0"/>
          <c:dPt>
            <c:idx val="1"/>
            <c:invertIfNegative val="0"/>
            <c:bubble3D val="0"/>
            <c:spPr>
              <a:solidFill>
                <a:schemeClr val="accent3">
                  <a:lumMod val="75000"/>
                </a:schemeClr>
              </a:solidFill>
            </c:spPr>
            <c:extLst>
              <c:ext xmlns:c16="http://schemas.microsoft.com/office/drawing/2014/chart" uri="{C3380CC4-5D6E-409C-BE32-E72D297353CC}">
                <c16:uniqueId val="{00000001-8667-4A64-B014-393B00BA4107}"/>
              </c:ext>
            </c:extLst>
          </c:dPt>
          <c:dPt>
            <c:idx val="2"/>
            <c:invertIfNegative val="0"/>
            <c:bubble3D val="0"/>
            <c:spPr>
              <a:solidFill>
                <a:schemeClr val="accent5">
                  <a:lumMod val="60000"/>
                  <a:lumOff val="40000"/>
                </a:schemeClr>
              </a:solidFill>
            </c:spPr>
            <c:extLst>
              <c:ext xmlns:c16="http://schemas.microsoft.com/office/drawing/2014/chart" uri="{C3380CC4-5D6E-409C-BE32-E72D297353CC}">
                <c16:uniqueId val="{00000003-8667-4A64-B014-393B00BA4107}"/>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5-8667-4A64-B014-393B00BA4107}"/>
              </c:ext>
            </c:extLst>
          </c:dPt>
          <c:dLbls>
            <c:dLbl>
              <c:idx val="0"/>
              <c:layout>
                <c:manualLayout>
                  <c:x val="2.500000000000000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667-4A64-B014-393B00BA4107}"/>
                </c:ext>
              </c:extLst>
            </c:dLbl>
            <c:dLbl>
              <c:idx val="1"/>
              <c:layout>
                <c:manualLayout>
                  <c:x val="8.3333333333333332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67-4A64-B014-393B00BA4107}"/>
                </c:ext>
              </c:extLst>
            </c:dLbl>
            <c:dLbl>
              <c:idx val="2"/>
              <c:layout>
                <c:manualLayout>
                  <c:x val="2.500000000000000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67-4A64-B014-393B00BA4107}"/>
                </c:ext>
              </c:extLst>
            </c:dLbl>
            <c:dLbl>
              <c:idx val="3"/>
              <c:layout>
                <c:manualLayout>
                  <c:x val="2.5000000000000102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667-4A64-B014-393B00BA4107}"/>
                </c:ext>
              </c:extLst>
            </c:dLbl>
            <c:spPr>
              <a:noFill/>
              <a:ln>
                <a:noFill/>
              </a:ln>
              <a:effectLst/>
            </c:spPr>
            <c:txPr>
              <a:bodyPr/>
              <a:lstStyle/>
              <a:p>
                <a:pPr>
                  <a:defRPr sz="105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Sheet4!$D$19:$D$22</c:f>
              <c:strCache>
                <c:ptCount val="4"/>
                <c:pt idx="0">
                  <c:v>18- 30 Years </c:v>
                </c:pt>
                <c:pt idx="1">
                  <c:v>31 - 40 Years</c:v>
                </c:pt>
                <c:pt idx="2">
                  <c:v>41- 50 Years</c:v>
                </c:pt>
                <c:pt idx="3">
                  <c:v>More than 50 Years </c:v>
                </c:pt>
              </c:strCache>
            </c:strRef>
          </c:cat>
          <c:val>
            <c:numRef>
              <c:f>Sheet4!$E$19:$E$22</c:f>
              <c:numCache>
                <c:formatCode>0%</c:formatCode>
                <c:ptCount val="4"/>
                <c:pt idx="0">
                  <c:v>0.61</c:v>
                </c:pt>
                <c:pt idx="1">
                  <c:v>0.24</c:v>
                </c:pt>
                <c:pt idx="2">
                  <c:v>0.11</c:v>
                </c:pt>
                <c:pt idx="3">
                  <c:v>0.04</c:v>
                </c:pt>
              </c:numCache>
            </c:numRef>
          </c:val>
          <c:extLst>
            <c:ext xmlns:c16="http://schemas.microsoft.com/office/drawing/2014/chart" uri="{C3380CC4-5D6E-409C-BE32-E72D297353CC}">
              <c16:uniqueId val="{00000007-8667-4A64-B014-393B00BA4107}"/>
            </c:ext>
          </c:extLst>
        </c:ser>
        <c:dLbls>
          <c:showLegendKey val="0"/>
          <c:showVal val="1"/>
          <c:showCatName val="0"/>
          <c:showSerName val="0"/>
          <c:showPercent val="0"/>
          <c:showBubbleSize val="0"/>
        </c:dLbls>
        <c:gapWidth val="150"/>
        <c:shape val="cylinder"/>
        <c:axId val="456566912"/>
        <c:axId val="456563776"/>
        <c:axId val="0"/>
      </c:bar3DChart>
      <c:catAx>
        <c:axId val="456566912"/>
        <c:scaling>
          <c:orientation val="minMax"/>
        </c:scaling>
        <c:delete val="0"/>
        <c:axPos val="b"/>
        <c:numFmt formatCode="General" sourceLinked="0"/>
        <c:majorTickMark val="none"/>
        <c:minorTickMark val="none"/>
        <c:tickLblPos val="nextTo"/>
        <c:txPr>
          <a:bodyPr/>
          <a:lstStyle/>
          <a:p>
            <a:pPr>
              <a:defRPr sz="1050" b="1"/>
            </a:pPr>
            <a:endParaRPr lang="en-US"/>
          </a:p>
        </c:txPr>
        <c:crossAx val="456563776"/>
        <c:crosses val="autoZero"/>
        <c:auto val="1"/>
        <c:lblAlgn val="ctr"/>
        <c:lblOffset val="100"/>
        <c:noMultiLvlLbl val="0"/>
      </c:catAx>
      <c:valAx>
        <c:axId val="456563776"/>
        <c:scaling>
          <c:orientation val="minMax"/>
        </c:scaling>
        <c:delete val="1"/>
        <c:axPos val="l"/>
        <c:numFmt formatCode="0%" sourceLinked="1"/>
        <c:majorTickMark val="out"/>
        <c:minorTickMark val="none"/>
        <c:tickLblPos val="nextTo"/>
        <c:crossAx val="4565669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b="1" i="0" u="none" strike="noStrike" baseline="0">
                <a:solidFill>
                  <a:schemeClr val="accent6">
                    <a:lumMod val="75000"/>
                  </a:schemeClr>
                </a:solidFill>
                <a:effectLst/>
                <a:latin typeface="Arial Narrow" pitchFamily="34" charset="0"/>
              </a:rPr>
              <a:t>Residence</a:t>
            </a:r>
            <a:endParaRPr lang="en-US" sz="2400">
              <a:solidFill>
                <a:schemeClr val="accent6">
                  <a:lumMod val="75000"/>
                </a:schemeClr>
              </a:solidFill>
              <a:latin typeface="Arial Narrow" pitchFamily="34"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1884576422975095E-2"/>
          <c:y val="0.14601851851851852"/>
          <c:w val="0.97811542357702486"/>
          <c:h val="0.52893008165645961"/>
        </c:manualLayout>
      </c:layout>
      <c:bar3DChart>
        <c:barDir val="col"/>
        <c:grouping val="stacked"/>
        <c:varyColors val="0"/>
        <c:ser>
          <c:idx val="0"/>
          <c:order val="0"/>
          <c:invertIfNegative val="0"/>
          <c:dPt>
            <c:idx val="0"/>
            <c:invertIfNegative val="0"/>
            <c:bubble3D val="0"/>
            <c:spPr>
              <a:solidFill>
                <a:schemeClr val="bg1">
                  <a:lumMod val="65000"/>
                </a:schemeClr>
              </a:solidFill>
            </c:spPr>
            <c:extLst>
              <c:ext xmlns:c16="http://schemas.microsoft.com/office/drawing/2014/chart" uri="{C3380CC4-5D6E-409C-BE32-E72D297353CC}">
                <c16:uniqueId val="{00000001-EF31-461A-9A29-BFB64D91D98B}"/>
              </c:ext>
            </c:extLst>
          </c:dPt>
          <c:dPt>
            <c:idx val="1"/>
            <c:invertIfNegative val="0"/>
            <c:bubble3D val="0"/>
            <c:spPr>
              <a:solidFill>
                <a:schemeClr val="bg2">
                  <a:lumMod val="50000"/>
                </a:schemeClr>
              </a:solidFill>
            </c:spPr>
            <c:extLst>
              <c:ext xmlns:c16="http://schemas.microsoft.com/office/drawing/2014/chart" uri="{C3380CC4-5D6E-409C-BE32-E72D297353CC}">
                <c16:uniqueId val="{00000003-EF31-461A-9A29-BFB64D91D98B}"/>
              </c:ext>
            </c:extLst>
          </c:dPt>
          <c:dPt>
            <c:idx val="2"/>
            <c:invertIfNegative val="0"/>
            <c:bubble3D val="0"/>
            <c:spPr>
              <a:solidFill>
                <a:schemeClr val="tx2">
                  <a:lumMod val="20000"/>
                  <a:lumOff val="80000"/>
                </a:schemeClr>
              </a:solidFill>
            </c:spPr>
            <c:extLst>
              <c:ext xmlns:c16="http://schemas.microsoft.com/office/drawing/2014/chart" uri="{C3380CC4-5D6E-409C-BE32-E72D297353CC}">
                <c16:uniqueId val="{00000005-EF31-461A-9A29-BFB64D91D98B}"/>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7-EF31-461A-9A29-BFB64D91D98B}"/>
              </c:ext>
            </c:extLst>
          </c:dPt>
          <c:dPt>
            <c:idx val="4"/>
            <c:invertIfNegative val="0"/>
            <c:bubble3D val="0"/>
            <c:spPr>
              <a:solidFill>
                <a:schemeClr val="accent3">
                  <a:lumMod val="60000"/>
                  <a:lumOff val="40000"/>
                </a:schemeClr>
              </a:solidFill>
            </c:spPr>
            <c:extLst>
              <c:ext xmlns:c16="http://schemas.microsoft.com/office/drawing/2014/chart" uri="{C3380CC4-5D6E-409C-BE32-E72D297353CC}">
                <c16:uniqueId val="{00000009-EF31-461A-9A29-BFB64D91D98B}"/>
              </c:ext>
            </c:extLst>
          </c:dPt>
          <c:dPt>
            <c:idx val="5"/>
            <c:invertIfNegative val="0"/>
            <c:bubble3D val="0"/>
            <c:spPr>
              <a:solidFill>
                <a:schemeClr val="accent4">
                  <a:lumMod val="60000"/>
                  <a:lumOff val="40000"/>
                </a:schemeClr>
              </a:solidFill>
            </c:spPr>
            <c:extLst>
              <c:ext xmlns:c16="http://schemas.microsoft.com/office/drawing/2014/chart" uri="{C3380CC4-5D6E-409C-BE32-E72D297353CC}">
                <c16:uniqueId val="{0000000B-EF31-461A-9A29-BFB64D91D98B}"/>
              </c:ext>
            </c:extLst>
          </c:dPt>
          <c:dPt>
            <c:idx val="6"/>
            <c:invertIfNegative val="0"/>
            <c:bubble3D val="0"/>
            <c:spPr>
              <a:solidFill>
                <a:schemeClr val="accent5">
                  <a:lumMod val="60000"/>
                  <a:lumOff val="40000"/>
                </a:schemeClr>
              </a:solidFill>
            </c:spPr>
            <c:extLst>
              <c:ext xmlns:c16="http://schemas.microsoft.com/office/drawing/2014/chart" uri="{C3380CC4-5D6E-409C-BE32-E72D297353CC}">
                <c16:uniqueId val="{0000000D-EF31-461A-9A29-BFB64D91D98B}"/>
              </c:ext>
            </c:extLst>
          </c:dPt>
          <c:dPt>
            <c:idx val="7"/>
            <c:invertIfNegative val="0"/>
            <c:bubble3D val="0"/>
            <c:spPr>
              <a:solidFill>
                <a:schemeClr val="accent6">
                  <a:lumMod val="75000"/>
                </a:schemeClr>
              </a:solidFill>
            </c:spPr>
            <c:extLst>
              <c:ext xmlns:c16="http://schemas.microsoft.com/office/drawing/2014/chart" uri="{C3380CC4-5D6E-409C-BE32-E72D297353CC}">
                <c16:uniqueId val="{0000000F-EF31-461A-9A29-BFB64D91D98B}"/>
              </c:ext>
            </c:extLst>
          </c:dPt>
          <c:dPt>
            <c:idx val="8"/>
            <c:invertIfNegative val="0"/>
            <c:bubble3D val="0"/>
            <c:spPr>
              <a:solidFill>
                <a:srgbClr val="FF0000"/>
              </a:solidFill>
            </c:spPr>
            <c:extLst>
              <c:ext xmlns:c16="http://schemas.microsoft.com/office/drawing/2014/chart" uri="{C3380CC4-5D6E-409C-BE32-E72D297353CC}">
                <c16:uniqueId val="{00000011-EF31-461A-9A29-BFB64D91D98B}"/>
              </c:ext>
            </c:extLst>
          </c:dPt>
          <c:dPt>
            <c:idx val="9"/>
            <c:invertIfNegative val="0"/>
            <c:bubble3D val="0"/>
            <c:spPr>
              <a:solidFill>
                <a:srgbClr val="00B0F0"/>
              </a:solidFill>
            </c:spPr>
            <c:extLst>
              <c:ext xmlns:c16="http://schemas.microsoft.com/office/drawing/2014/chart" uri="{C3380CC4-5D6E-409C-BE32-E72D297353CC}">
                <c16:uniqueId val="{00000013-EF31-461A-9A29-BFB64D91D98B}"/>
              </c:ext>
            </c:extLst>
          </c:dPt>
          <c:dLbls>
            <c:dLbl>
              <c:idx val="0"/>
              <c:layout>
                <c:manualLayout>
                  <c:x val="0"/>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1-461A-9A29-BFB64D91D98B}"/>
                </c:ext>
              </c:extLst>
            </c:dLbl>
            <c:dLbl>
              <c:idx val="1"/>
              <c:layout>
                <c:manualLayout>
                  <c:x val="5.5555555555555558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31-461A-9A29-BFB64D91D98B}"/>
                </c:ext>
              </c:extLst>
            </c:dLbl>
            <c:dLbl>
              <c:idx val="2"/>
              <c:layout>
                <c:manualLayout>
                  <c:x val="5.2636987809712103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31-461A-9A29-BFB64D91D98B}"/>
                </c:ext>
              </c:extLst>
            </c:dLbl>
            <c:dLbl>
              <c:idx val="3"/>
              <c:layout>
                <c:manualLayout>
                  <c:x val="8.3333333333333332E-3"/>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31-461A-9A29-BFB64D91D98B}"/>
                </c:ext>
              </c:extLst>
            </c:dLbl>
            <c:dLbl>
              <c:idx val="5"/>
              <c:layout>
                <c:manualLayout>
                  <c:x val="1.1111111111111112E-2"/>
                  <c:y val="-6.9444444444444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F31-461A-9A29-BFB64D91D98B}"/>
                </c:ext>
              </c:extLst>
            </c:dLbl>
            <c:dLbl>
              <c:idx val="6"/>
              <c:layout>
                <c:manualLayout>
                  <c:x val="1.1111111111111112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F31-461A-9A29-BFB64D91D98B}"/>
                </c:ext>
              </c:extLst>
            </c:dLbl>
            <c:dLbl>
              <c:idx val="7"/>
              <c:layout>
                <c:manualLayout>
                  <c:x val="2.7777777777777779E-3"/>
                  <c:y val="-9.722222222222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F31-461A-9A29-BFB64D91D98B}"/>
                </c:ext>
              </c:extLst>
            </c:dLbl>
            <c:dLbl>
              <c:idx val="8"/>
              <c:layout>
                <c:manualLayout>
                  <c:x val="5.5555555555555558E-3"/>
                  <c:y val="-0.11111111111111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F31-461A-9A29-BFB64D91D98B}"/>
                </c:ext>
              </c:extLst>
            </c:dLbl>
            <c:dLbl>
              <c:idx val="9"/>
              <c:layout>
                <c:manualLayout>
                  <c:x val="8.3333333333333332E-3"/>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F31-461A-9A29-BFB64D91D98B}"/>
                </c:ext>
              </c:extLst>
            </c:dLbl>
            <c:dLbl>
              <c:idx val="10"/>
              <c:layout>
                <c:manualLayout>
                  <c:x val="8.3333333333333332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F31-461A-9A29-BFB64D91D98B}"/>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Sheet4!$G$5:$G$15</c:f>
              <c:strCache>
                <c:ptCount val="11"/>
                <c:pt idx="0">
                  <c:v>Baden</c:v>
                </c:pt>
                <c:pt idx="1">
                  <c:v>Kmnar</c:v>
                </c:pt>
                <c:pt idx="2">
                  <c:v>Hafer</c:v>
                </c:pt>
                <c:pt idx="3">
                  <c:v>Mgaser</c:v>
                </c:pt>
                <c:pt idx="4">
                  <c:v>Dongola</c:v>
                </c:pt>
                <c:pt idx="5">
                  <c:v>Altety</c:v>
                </c:pt>
                <c:pt idx="6">
                  <c:v>Aldem</c:v>
                </c:pt>
                <c:pt idx="7">
                  <c:v>Alselam</c:v>
                </c:pt>
                <c:pt idx="8">
                  <c:v>Grada</c:v>
                </c:pt>
                <c:pt idx="9">
                  <c:v>Algoled</c:v>
                </c:pt>
                <c:pt idx="10">
                  <c:v>Shaikh Sharive</c:v>
                </c:pt>
              </c:strCache>
            </c:strRef>
          </c:cat>
          <c:val>
            <c:numRef>
              <c:f>Sheet4!$H$5:$H$15</c:f>
              <c:numCache>
                <c:formatCode>0%</c:formatCode>
                <c:ptCount val="11"/>
                <c:pt idx="0">
                  <c:v>0.03</c:v>
                </c:pt>
                <c:pt idx="1">
                  <c:v>0.03</c:v>
                </c:pt>
                <c:pt idx="2">
                  <c:v>0.01</c:v>
                </c:pt>
                <c:pt idx="3">
                  <c:v>0.01</c:v>
                </c:pt>
                <c:pt idx="4">
                  <c:v>0.53</c:v>
                </c:pt>
                <c:pt idx="5">
                  <c:v>0.05</c:v>
                </c:pt>
                <c:pt idx="6">
                  <c:v>7.0000000000000007E-2</c:v>
                </c:pt>
                <c:pt idx="7">
                  <c:v>0.12</c:v>
                </c:pt>
                <c:pt idx="8">
                  <c:v>0.06</c:v>
                </c:pt>
                <c:pt idx="9">
                  <c:v>0.06</c:v>
                </c:pt>
                <c:pt idx="10">
                  <c:v>0.03</c:v>
                </c:pt>
              </c:numCache>
            </c:numRef>
          </c:val>
          <c:extLst>
            <c:ext xmlns:c16="http://schemas.microsoft.com/office/drawing/2014/chart" uri="{C3380CC4-5D6E-409C-BE32-E72D297353CC}">
              <c16:uniqueId val="{00000015-EF31-461A-9A29-BFB64D91D98B}"/>
            </c:ext>
          </c:extLst>
        </c:ser>
        <c:dLbls>
          <c:showLegendKey val="0"/>
          <c:showVal val="1"/>
          <c:showCatName val="0"/>
          <c:showSerName val="0"/>
          <c:showPercent val="0"/>
          <c:showBubbleSize val="0"/>
        </c:dLbls>
        <c:gapWidth val="95"/>
        <c:gapDepth val="95"/>
        <c:shape val="pyramid"/>
        <c:axId val="456571224"/>
        <c:axId val="456564560"/>
        <c:axId val="0"/>
      </c:bar3DChart>
      <c:catAx>
        <c:axId val="456571224"/>
        <c:scaling>
          <c:orientation val="minMax"/>
        </c:scaling>
        <c:delete val="0"/>
        <c:axPos val="b"/>
        <c:numFmt formatCode="General" sourceLinked="0"/>
        <c:majorTickMark val="none"/>
        <c:minorTickMark val="none"/>
        <c:tickLblPos val="nextTo"/>
        <c:txPr>
          <a:bodyPr/>
          <a:lstStyle/>
          <a:p>
            <a:pPr>
              <a:defRPr sz="1100" b="1"/>
            </a:pPr>
            <a:endParaRPr lang="en-US"/>
          </a:p>
        </c:txPr>
        <c:crossAx val="456564560"/>
        <c:crosses val="autoZero"/>
        <c:auto val="1"/>
        <c:lblAlgn val="ctr"/>
        <c:lblOffset val="100"/>
        <c:noMultiLvlLbl val="0"/>
      </c:catAx>
      <c:valAx>
        <c:axId val="456564560"/>
        <c:scaling>
          <c:orientation val="minMax"/>
        </c:scaling>
        <c:delete val="1"/>
        <c:axPos val="l"/>
        <c:numFmt formatCode="0%" sourceLinked="1"/>
        <c:majorTickMark val="out"/>
        <c:minorTickMark val="none"/>
        <c:tickLblPos val="nextTo"/>
        <c:crossAx val="4565712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b="1" i="0" baseline="0">
                <a:solidFill>
                  <a:schemeClr val="accent6">
                    <a:lumMod val="75000"/>
                  </a:schemeClr>
                </a:solidFill>
                <a:effectLst/>
                <a:latin typeface="Agency FB" pitchFamily="34" charset="0"/>
              </a:rPr>
              <a:t>History of Blood Donation </a:t>
            </a:r>
            <a:endParaRPr lang="en-US" sz="2000">
              <a:solidFill>
                <a:schemeClr val="accent6">
                  <a:lumMod val="75000"/>
                </a:schemeClr>
              </a:solidFill>
              <a:effectLst/>
              <a:latin typeface="Agency FB" pitchFamily="34"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spPr>
              <a:solidFill>
                <a:schemeClr val="accent4">
                  <a:lumMod val="40000"/>
                  <a:lumOff val="60000"/>
                </a:schemeClr>
              </a:solidFill>
            </c:spPr>
            <c:extLst>
              <c:ext xmlns:c16="http://schemas.microsoft.com/office/drawing/2014/chart" uri="{C3380CC4-5D6E-409C-BE32-E72D297353CC}">
                <c16:uniqueId val="{00000001-F9E7-4E4D-96ED-82999376E008}"/>
              </c:ext>
            </c:extLst>
          </c:dPt>
          <c:dPt>
            <c:idx val="1"/>
            <c:bubble3D val="0"/>
            <c:spPr>
              <a:solidFill>
                <a:schemeClr val="accent3">
                  <a:lumMod val="60000"/>
                  <a:lumOff val="40000"/>
                </a:schemeClr>
              </a:solidFill>
            </c:spPr>
            <c:extLst>
              <c:ext xmlns:c16="http://schemas.microsoft.com/office/drawing/2014/chart" uri="{C3380CC4-5D6E-409C-BE32-E72D297353CC}">
                <c16:uniqueId val="{00000003-F9E7-4E4D-96ED-82999376E008}"/>
              </c:ext>
            </c:extLst>
          </c:dPt>
          <c:dLbls>
            <c:spPr>
              <a:noFill/>
              <a:ln>
                <a:noFill/>
              </a:ln>
              <a:effectLst/>
            </c:spPr>
            <c:txPr>
              <a:bodyPr/>
              <a:lstStyle/>
              <a:p>
                <a:pPr>
                  <a:defRPr sz="16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Sheet4!$E$27:$E$28</c:f>
              <c:strCache>
                <c:ptCount val="2"/>
                <c:pt idx="0">
                  <c:v>Yes</c:v>
                </c:pt>
                <c:pt idx="1">
                  <c:v>No</c:v>
                </c:pt>
              </c:strCache>
            </c:strRef>
          </c:cat>
          <c:val>
            <c:numRef>
              <c:f>Sheet4!$F$27:$F$28</c:f>
              <c:numCache>
                <c:formatCode>0%</c:formatCode>
                <c:ptCount val="2"/>
                <c:pt idx="0">
                  <c:v>0.61</c:v>
                </c:pt>
                <c:pt idx="1">
                  <c:v>0.39</c:v>
                </c:pt>
              </c:numCache>
            </c:numRef>
          </c:val>
          <c:extLst>
            <c:ext xmlns:c16="http://schemas.microsoft.com/office/drawing/2014/chart" uri="{C3380CC4-5D6E-409C-BE32-E72D297353CC}">
              <c16:uniqueId val="{00000004-F9E7-4E4D-96ED-82999376E008}"/>
            </c:ext>
          </c:extLst>
        </c:ser>
        <c:dLbls>
          <c:showLegendKey val="0"/>
          <c:showVal val="0"/>
          <c:showCatName val="0"/>
          <c:showSerName val="0"/>
          <c:showPercent val="1"/>
          <c:showBubbleSize val="0"/>
          <c:showLeaderLines val="1"/>
        </c:dLbls>
      </c:pie3DChart>
    </c:plotArea>
    <c:legend>
      <c:legendPos val="r"/>
      <c:overlay val="0"/>
      <c:txPr>
        <a:bodyPr/>
        <a:lstStyle/>
        <a:p>
          <a:pPr>
            <a:defRPr sz="1400" b="1"/>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gency FB" pitchFamily="34" charset="0"/>
              </a:rPr>
              <a:t>History of </a:t>
            </a:r>
            <a:r>
              <a:rPr lang="en-US" sz="2000">
                <a:solidFill>
                  <a:schemeClr val="accent6">
                    <a:lumMod val="75000"/>
                  </a:schemeClr>
                </a:solidFill>
                <a:latin typeface="Agency FB" pitchFamily="34" charset="0"/>
              </a:rPr>
              <a:t>Tatto or Islamic Higama</a:t>
            </a:r>
          </a:p>
        </c:rich>
      </c:tx>
      <c:overlay val="0"/>
    </c:title>
    <c:autoTitleDeleted val="0"/>
    <c:plotArea>
      <c:layout/>
      <c:doughnutChart>
        <c:varyColors val="1"/>
        <c:ser>
          <c:idx val="0"/>
          <c:order val="0"/>
          <c:explosion val="25"/>
          <c:dPt>
            <c:idx val="0"/>
            <c:bubble3D val="0"/>
            <c:spPr>
              <a:solidFill>
                <a:schemeClr val="accent3">
                  <a:lumMod val="60000"/>
                  <a:lumOff val="40000"/>
                </a:schemeClr>
              </a:solidFill>
            </c:spPr>
            <c:extLst>
              <c:ext xmlns:c16="http://schemas.microsoft.com/office/drawing/2014/chart" uri="{C3380CC4-5D6E-409C-BE32-E72D297353CC}">
                <c16:uniqueId val="{00000001-B3F0-4FBF-87B0-90C0505EAEF8}"/>
              </c:ext>
            </c:extLst>
          </c:dPt>
          <c:dPt>
            <c:idx val="1"/>
            <c:bubble3D val="0"/>
            <c:spPr>
              <a:solidFill>
                <a:schemeClr val="accent6">
                  <a:lumMod val="60000"/>
                  <a:lumOff val="40000"/>
                </a:schemeClr>
              </a:solidFill>
            </c:spPr>
            <c:extLst>
              <c:ext xmlns:c16="http://schemas.microsoft.com/office/drawing/2014/chart" uri="{C3380CC4-5D6E-409C-BE32-E72D297353CC}">
                <c16:uniqueId val="{00000003-B3F0-4FBF-87B0-90C0505EAEF8}"/>
              </c:ext>
            </c:extLst>
          </c:dPt>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Sheet4!$F$33:$F$34</c:f>
              <c:strCache>
                <c:ptCount val="2"/>
                <c:pt idx="0">
                  <c:v>Yes</c:v>
                </c:pt>
                <c:pt idx="1">
                  <c:v>No</c:v>
                </c:pt>
              </c:strCache>
            </c:strRef>
          </c:cat>
          <c:val>
            <c:numRef>
              <c:f>Sheet4!$G$33:$G$34</c:f>
              <c:numCache>
                <c:formatCode>General</c:formatCode>
                <c:ptCount val="2"/>
                <c:pt idx="0">
                  <c:v>2</c:v>
                </c:pt>
                <c:pt idx="1">
                  <c:v>98</c:v>
                </c:pt>
              </c:numCache>
            </c:numRef>
          </c:val>
          <c:extLst>
            <c:ext xmlns:c16="http://schemas.microsoft.com/office/drawing/2014/chart" uri="{C3380CC4-5D6E-409C-BE32-E72D297353CC}">
              <c16:uniqueId val="{00000004-B3F0-4FBF-87B0-90C0505EAEF8}"/>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400" b="1"/>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b="1" i="0" u="none" strike="noStrike" baseline="0">
                <a:solidFill>
                  <a:schemeClr val="accent6">
                    <a:lumMod val="75000"/>
                  </a:schemeClr>
                </a:solidFill>
                <a:effectLst/>
                <a:latin typeface="Agency FB" pitchFamily="34" charset="0"/>
              </a:rPr>
              <a:t>History of Surgery</a:t>
            </a:r>
            <a:r>
              <a:rPr lang="en-US" sz="2400" b="1" i="0" u="none" strike="noStrike" baseline="0">
                <a:solidFill>
                  <a:schemeClr val="accent6">
                    <a:lumMod val="75000"/>
                  </a:schemeClr>
                </a:solidFill>
                <a:latin typeface="Agency FB" pitchFamily="34" charset="0"/>
              </a:rPr>
              <a:t> </a:t>
            </a:r>
            <a:endParaRPr lang="en-US" sz="2400" b="1">
              <a:solidFill>
                <a:schemeClr val="accent6">
                  <a:lumMod val="75000"/>
                </a:schemeClr>
              </a:solidFill>
              <a:latin typeface="Agency FB" pitchFamily="34"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Pt>
            <c:idx val="0"/>
            <c:bubble3D val="0"/>
            <c:spPr>
              <a:solidFill>
                <a:srgbClr val="FF0000"/>
              </a:solidFill>
            </c:spPr>
            <c:extLst>
              <c:ext xmlns:c16="http://schemas.microsoft.com/office/drawing/2014/chart" uri="{C3380CC4-5D6E-409C-BE32-E72D297353CC}">
                <c16:uniqueId val="{00000001-F547-4C78-9C16-83D36B37A163}"/>
              </c:ext>
            </c:extLst>
          </c:dPt>
          <c:dPt>
            <c:idx val="1"/>
            <c:bubble3D val="0"/>
            <c:spPr>
              <a:solidFill>
                <a:schemeClr val="accent3">
                  <a:lumMod val="40000"/>
                  <a:lumOff val="60000"/>
                </a:schemeClr>
              </a:solidFill>
            </c:spPr>
            <c:extLst>
              <c:ext xmlns:c16="http://schemas.microsoft.com/office/drawing/2014/chart" uri="{C3380CC4-5D6E-409C-BE32-E72D297353CC}">
                <c16:uniqueId val="{00000003-F547-4C78-9C16-83D36B37A163}"/>
              </c:ext>
            </c:extLst>
          </c:dPt>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Sheet4!$F$39:$F$40</c:f>
              <c:strCache>
                <c:ptCount val="2"/>
                <c:pt idx="0">
                  <c:v>Yes</c:v>
                </c:pt>
                <c:pt idx="1">
                  <c:v>No</c:v>
                </c:pt>
              </c:strCache>
            </c:strRef>
          </c:cat>
          <c:val>
            <c:numRef>
              <c:f>Sheet4!$G$39:$G$40</c:f>
              <c:numCache>
                <c:formatCode>General</c:formatCode>
                <c:ptCount val="2"/>
                <c:pt idx="0">
                  <c:v>3</c:v>
                </c:pt>
                <c:pt idx="1">
                  <c:v>97</c:v>
                </c:pt>
              </c:numCache>
            </c:numRef>
          </c:val>
          <c:extLst>
            <c:ext xmlns:c16="http://schemas.microsoft.com/office/drawing/2014/chart" uri="{C3380CC4-5D6E-409C-BE32-E72D297353CC}">
              <c16:uniqueId val="{00000004-F547-4C78-9C16-83D36B37A163}"/>
            </c:ext>
          </c:extLst>
        </c:ser>
        <c:dLbls>
          <c:showLegendKey val="0"/>
          <c:showVal val="0"/>
          <c:showCatName val="0"/>
          <c:showSerName val="0"/>
          <c:showPercent val="1"/>
          <c:showBubbleSize val="0"/>
          <c:showLeaderLines val="1"/>
        </c:dLbls>
      </c:pie3DChart>
    </c:plotArea>
    <c:legend>
      <c:legendPos val="r"/>
      <c:overlay val="0"/>
      <c:txPr>
        <a:bodyPr/>
        <a:lstStyle/>
        <a:p>
          <a:pPr>
            <a:defRPr sz="1600" b="1"/>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000" b="1" i="0" u="none" strike="noStrike" baseline="0">
                <a:solidFill>
                  <a:schemeClr val="accent6">
                    <a:lumMod val="75000"/>
                  </a:schemeClr>
                </a:solidFill>
                <a:effectLst/>
                <a:latin typeface="Agency FB" pitchFamily="34" charset="0"/>
              </a:rPr>
              <a:t>History of  Jaundice</a:t>
            </a:r>
            <a:endParaRPr lang="en-US" sz="2000">
              <a:solidFill>
                <a:schemeClr val="accent6">
                  <a:lumMod val="75000"/>
                </a:schemeClr>
              </a:solidFill>
              <a:latin typeface="Agency FB" pitchFamily="34" charset="0"/>
            </a:endParaRPr>
          </a:p>
        </c:rich>
      </c:tx>
      <c:overlay val="0"/>
    </c:title>
    <c:autoTitleDeleted val="0"/>
    <c:plotArea>
      <c:layout/>
      <c:doughnutChart>
        <c:varyColors val="1"/>
        <c:ser>
          <c:idx val="0"/>
          <c:order val="0"/>
          <c:explosion val="25"/>
          <c:dPt>
            <c:idx val="0"/>
            <c:bubble3D val="0"/>
            <c:spPr>
              <a:solidFill>
                <a:schemeClr val="accent6">
                  <a:lumMod val="75000"/>
                </a:schemeClr>
              </a:solidFill>
            </c:spPr>
            <c:extLst>
              <c:ext xmlns:c16="http://schemas.microsoft.com/office/drawing/2014/chart" uri="{C3380CC4-5D6E-409C-BE32-E72D297353CC}">
                <c16:uniqueId val="{00000001-85A1-4820-ADFE-52297A096712}"/>
              </c:ext>
            </c:extLst>
          </c:dPt>
          <c:dPt>
            <c:idx val="1"/>
            <c:bubble3D val="0"/>
            <c:spPr>
              <a:solidFill>
                <a:srgbClr val="92D050"/>
              </a:solidFill>
            </c:spPr>
            <c:extLst>
              <c:ext xmlns:c16="http://schemas.microsoft.com/office/drawing/2014/chart" uri="{C3380CC4-5D6E-409C-BE32-E72D297353CC}">
                <c16:uniqueId val="{00000003-85A1-4820-ADFE-52297A096712}"/>
              </c:ext>
            </c:extLst>
          </c:dPt>
          <c:dLbls>
            <c:spPr>
              <a:noFill/>
              <a:ln>
                <a:noFill/>
              </a:ln>
              <a:effectLst/>
            </c:spPr>
            <c:txPr>
              <a:bodyPr/>
              <a:lstStyle/>
              <a:p>
                <a:pPr>
                  <a:defRPr sz="18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Sheet4!$F$46:$F$47</c:f>
              <c:strCache>
                <c:ptCount val="2"/>
                <c:pt idx="0">
                  <c:v>Yes</c:v>
                </c:pt>
                <c:pt idx="1">
                  <c:v>No</c:v>
                </c:pt>
              </c:strCache>
            </c:strRef>
          </c:cat>
          <c:val>
            <c:numRef>
              <c:f>Sheet4!$G$46:$G$47</c:f>
              <c:numCache>
                <c:formatCode>General</c:formatCode>
                <c:ptCount val="2"/>
                <c:pt idx="0">
                  <c:v>6</c:v>
                </c:pt>
                <c:pt idx="1">
                  <c:v>94</c:v>
                </c:pt>
              </c:numCache>
            </c:numRef>
          </c:val>
          <c:extLst>
            <c:ext xmlns:c16="http://schemas.microsoft.com/office/drawing/2014/chart" uri="{C3380CC4-5D6E-409C-BE32-E72D297353CC}">
              <c16:uniqueId val="{00000004-85A1-4820-ADFE-52297A096712}"/>
            </c:ext>
          </c:extLst>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79654133858267717"/>
          <c:y val="0.48133785360163311"/>
          <c:w val="0.18679199475065617"/>
          <c:h val="0.18984762321376494"/>
        </c:manualLayout>
      </c:layout>
      <c:overlay val="0"/>
      <c:txPr>
        <a:bodyPr/>
        <a:lstStyle/>
        <a:p>
          <a:pPr>
            <a:defRPr sz="1600" b="1"/>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a:solidFill>
                  <a:schemeClr val="accent6">
                    <a:lumMod val="75000"/>
                  </a:schemeClr>
                </a:solidFill>
                <a:latin typeface="Agency FB" pitchFamily="34" charset="0"/>
              </a:rPr>
              <a:t>HBV Test</a:t>
            </a:r>
          </a:p>
        </c:rich>
      </c:tx>
      <c:overlay val="0"/>
    </c:title>
    <c:autoTitleDeleted val="0"/>
    <c:plotArea>
      <c:layout/>
      <c:doughnutChart>
        <c:varyColors val="1"/>
        <c:ser>
          <c:idx val="0"/>
          <c:order val="0"/>
          <c:dPt>
            <c:idx val="0"/>
            <c:bubble3D val="0"/>
            <c:spPr>
              <a:solidFill>
                <a:schemeClr val="accent1">
                  <a:lumMod val="60000"/>
                  <a:lumOff val="40000"/>
                </a:schemeClr>
              </a:solidFill>
            </c:spPr>
            <c:extLst>
              <c:ext xmlns:c16="http://schemas.microsoft.com/office/drawing/2014/chart" uri="{C3380CC4-5D6E-409C-BE32-E72D297353CC}">
                <c16:uniqueId val="{00000001-3DF8-4186-BAC0-C6682CBEBC05}"/>
              </c:ext>
            </c:extLst>
          </c:dPt>
          <c:dPt>
            <c:idx val="1"/>
            <c:bubble3D val="0"/>
            <c:spPr>
              <a:solidFill>
                <a:srgbClr val="FF0000"/>
              </a:solidFill>
            </c:spPr>
            <c:extLst>
              <c:ext xmlns:c16="http://schemas.microsoft.com/office/drawing/2014/chart" uri="{C3380CC4-5D6E-409C-BE32-E72D297353CC}">
                <c16:uniqueId val="{00000003-3DF8-4186-BAC0-C6682CBEBC05}"/>
              </c:ext>
            </c:extLst>
          </c:dPt>
          <c:dLbls>
            <c:spPr>
              <a:noFill/>
              <a:ln>
                <a:noFill/>
              </a:ln>
              <a:effectLst/>
            </c:spPr>
            <c:txPr>
              <a:bodyPr/>
              <a:lstStyle/>
              <a:p>
                <a:pPr>
                  <a:defRPr sz="20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Sheet4!$G$52:$G$53</c:f>
              <c:strCache>
                <c:ptCount val="2"/>
                <c:pt idx="0">
                  <c:v>Negative</c:v>
                </c:pt>
                <c:pt idx="1">
                  <c:v>Positive</c:v>
                </c:pt>
              </c:strCache>
            </c:strRef>
          </c:cat>
          <c:val>
            <c:numRef>
              <c:f>Sheet4!$H$52:$H$53</c:f>
              <c:numCache>
                <c:formatCode>General</c:formatCode>
                <c:ptCount val="2"/>
                <c:pt idx="0">
                  <c:v>93</c:v>
                </c:pt>
                <c:pt idx="1">
                  <c:v>7</c:v>
                </c:pt>
              </c:numCache>
            </c:numRef>
          </c:val>
          <c:extLst>
            <c:ext xmlns:c16="http://schemas.microsoft.com/office/drawing/2014/chart" uri="{C3380CC4-5D6E-409C-BE32-E72D297353CC}">
              <c16:uniqueId val="{00000004-3DF8-4186-BAC0-C6682CBEBC05}"/>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100" b="1"/>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2400">
                <a:solidFill>
                  <a:schemeClr val="accent6">
                    <a:lumMod val="75000"/>
                  </a:schemeClr>
                </a:solidFill>
                <a:latin typeface="Agency FB" pitchFamily="34" charset="0"/>
              </a:rPr>
              <a:t>HCV Test</a:t>
            </a:r>
          </a:p>
        </c:rich>
      </c:tx>
      <c:overlay val="0"/>
    </c:title>
    <c:autoTitleDeleted val="0"/>
    <c:plotArea>
      <c:layout/>
      <c:doughnutChart>
        <c:varyColors val="1"/>
        <c:ser>
          <c:idx val="0"/>
          <c:order val="0"/>
          <c:dPt>
            <c:idx val="0"/>
            <c:bubble3D val="0"/>
            <c:spPr>
              <a:solidFill>
                <a:schemeClr val="accent3">
                  <a:lumMod val="60000"/>
                  <a:lumOff val="40000"/>
                </a:schemeClr>
              </a:solidFill>
            </c:spPr>
            <c:extLst>
              <c:ext xmlns:c16="http://schemas.microsoft.com/office/drawing/2014/chart" uri="{C3380CC4-5D6E-409C-BE32-E72D297353CC}">
                <c16:uniqueId val="{00000001-FB8B-40DC-A672-80D9942598DA}"/>
              </c:ext>
            </c:extLst>
          </c:dPt>
          <c:dLbls>
            <c:spPr>
              <a:noFill/>
              <a:ln>
                <a:noFill/>
              </a:ln>
              <a:effectLst/>
            </c:spPr>
            <c:txPr>
              <a:bodyPr/>
              <a:lstStyle/>
              <a:p>
                <a:pPr>
                  <a:defRPr sz="140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Sheet4!$H$58:$H$59</c:f>
              <c:strCache>
                <c:ptCount val="2"/>
                <c:pt idx="0">
                  <c:v>Negative</c:v>
                </c:pt>
                <c:pt idx="1">
                  <c:v>Positive</c:v>
                </c:pt>
              </c:strCache>
            </c:strRef>
          </c:cat>
          <c:val>
            <c:numRef>
              <c:f>Sheet4!$I$58:$I$59</c:f>
              <c:numCache>
                <c:formatCode>General</c:formatCode>
                <c:ptCount val="2"/>
                <c:pt idx="0">
                  <c:v>100</c:v>
                </c:pt>
                <c:pt idx="1">
                  <c:v>0</c:v>
                </c:pt>
              </c:numCache>
            </c:numRef>
          </c:val>
          <c:extLst>
            <c:ext xmlns:c16="http://schemas.microsoft.com/office/drawing/2014/chart" uri="{C3380CC4-5D6E-409C-BE32-E72D297353CC}">
              <c16:uniqueId val="{00000002-FB8B-40DC-A672-80D9942598DA}"/>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200" b="1"/>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1937</TotalTime>
  <Pages>17</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manuo</dc:creator>
  <cp:lastModifiedBy>Editor GP 005</cp:lastModifiedBy>
  <cp:revision>43</cp:revision>
  <dcterms:created xsi:type="dcterms:W3CDTF">2025-03-08T19:31:00Z</dcterms:created>
  <dcterms:modified xsi:type="dcterms:W3CDTF">2025-04-21T08:09:00Z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8c1d957020e045eaa8d29490cdb59ce4</vt:lpwstr>
  </property>
</Properties>
</file>