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56DAAD" w14:textId="7531836C" w:rsidR="001B6CC0" w:rsidRDefault="001B6CC0"/>
    <w:p w14:paraId="4310117D" w14:textId="3527D744" w:rsidR="001B6CC0" w:rsidRDefault="009E4DB5">
      <w:pPr>
        <w:spacing w:after="0" w:line="360" w:lineRule="auto"/>
        <w:jc w:val="center"/>
        <w:rPr>
          <w:b/>
          <w:lang w:val="en-US"/>
        </w:rPr>
      </w:pPr>
      <w:bookmarkStart w:id="0" w:name="_heading=h.gjdgxs" w:colFirst="0" w:colLast="0"/>
      <w:bookmarkEnd w:id="0"/>
      <w:r w:rsidRPr="009E4DB5">
        <w:rPr>
          <w:b/>
          <w:lang w:val="en-US"/>
        </w:rPr>
        <w:t xml:space="preserve">Management of healthcare-associated infection (HAI) cases with </w:t>
      </w:r>
      <w:proofErr w:type="spellStart"/>
      <w:r w:rsidRPr="009E4DB5">
        <w:rPr>
          <w:b/>
          <w:lang w:val="en-US"/>
        </w:rPr>
        <w:t>neuromeningeal</w:t>
      </w:r>
      <w:proofErr w:type="spellEnd"/>
      <w:r w:rsidRPr="009E4DB5">
        <w:rPr>
          <w:b/>
          <w:lang w:val="en-US"/>
        </w:rPr>
        <w:t xml:space="preserve"> involvement in decentralized areas in Senegal</w:t>
      </w:r>
    </w:p>
    <w:p w14:paraId="3EC1BB80" w14:textId="77777777" w:rsidR="00865771" w:rsidRPr="005C6DAF" w:rsidRDefault="00865771">
      <w:pPr>
        <w:spacing w:after="0" w:line="360" w:lineRule="auto"/>
        <w:jc w:val="center"/>
        <w:rPr>
          <w:b/>
          <w:lang w:val="en-US"/>
        </w:rPr>
      </w:pPr>
    </w:p>
    <w:p w14:paraId="48EB38FA" w14:textId="5AFC2509" w:rsidR="00865771" w:rsidRDefault="00865771" w:rsidP="000000AF">
      <w:pPr>
        <w:pBdr>
          <w:top w:val="nil"/>
          <w:left w:val="nil"/>
          <w:bottom w:val="nil"/>
          <w:right w:val="nil"/>
          <w:between w:val="nil"/>
        </w:pBdr>
        <w:spacing w:after="0" w:line="360" w:lineRule="auto"/>
        <w:ind w:left="360" w:right="4"/>
        <w:rPr>
          <w:color w:val="000000"/>
          <w:sz w:val="14"/>
          <w:szCs w:val="14"/>
          <w:lang w:val="en-US"/>
        </w:rPr>
      </w:pPr>
    </w:p>
    <w:p w14:paraId="16259F8A" w14:textId="77777777" w:rsidR="000035F3" w:rsidRDefault="000035F3" w:rsidP="000000AF">
      <w:pPr>
        <w:pBdr>
          <w:top w:val="nil"/>
          <w:left w:val="nil"/>
          <w:bottom w:val="nil"/>
          <w:right w:val="nil"/>
          <w:between w:val="nil"/>
        </w:pBdr>
        <w:spacing w:after="0" w:line="360" w:lineRule="auto"/>
        <w:ind w:left="360" w:right="4"/>
        <w:rPr>
          <w:color w:val="000000"/>
          <w:sz w:val="14"/>
          <w:szCs w:val="14"/>
          <w:lang w:val="en-US"/>
        </w:rPr>
      </w:pPr>
    </w:p>
    <w:p w14:paraId="248DD5FE" w14:textId="5BA9DF9F" w:rsidR="00865771" w:rsidRPr="00EC0F61" w:rsidRDefault="00865771" w:rsidP="000000AF">
      <w:pPr>
        <w:pBdr>
          <w:top w:val="nil"/>
          <w:left w:val="nil"/>
          <w:bottom w:val="nil"/>
          <w:right w:val="nil"/>
          <w:between w:val="nil"/>
        </w:pBdr>
        <w:spacing w:after="0" w:line="360" w:lineRule="auto"/>
        <w:ind w:left="360" w:right="4"/>
        <w:rPr>
          <w:color w:val="000000"/>
          <w:sz w:val="24"/>
          <w:szCs w:val="24"/>
          <w:lang w:val="en-US"/>
        </w:rPr>
      </w:pPr>
      <w:r w:rsidRPr="00EC0F61">
        <w:rPr>
          <w:color w:val="000000"/>
          <w:sz w:val="24"/>
          <w:szCs w:val="24"/>
          <w:lang w:val="en-US"/>
        </w:rPr>
        <w:t>Abstract</w:t>
      </w:r>
    </w:p>
    <w:p w14:paraId="5A824A5F" w14:textId="77777777" w:rsidR="001B6CC0" w:rsidRPr="005C6DAF" w:rsidRDefault="001B6CC0">
      <w:pPr>
        <w:pBdr>
          <w:top w:val="nil"/>
          <w:left w:val="nil"/>
          <w:bottom w:val="nil"/>
          <w:right w:val="nil"/>
          <w:between w:val="nil"/>
        </w:pBdr>
        <w:spacing w:after="0" w:line="360" w:lineRule="auto"/>
        <w:ind w:left="720" w:right="4"/>
        <w:rPr>
          <w:color w:val="000000"/>
          <w:sz w:val="14"/>
          <w:szCs w:val="14"/>
          <w:lang w:val="en-US"/>
        </w:rPr>
      </w:pPr>
    </w:p>
    <w:p w14:paraId="536BF9B3" w14:textId="108455AC" w:rsidR="001B6CC0" w:rsidRPr="005C6DAF" w:rsidRDefault="005C6DAF">
      <w:pPr>
        <w:spacing w:after="0" w:line="360" w:lineRule="auto"/>
        <w:rPr>
          <w:lang w:val="en-US"/>
        </w:rPr>
      </w:pPr>
      <w:r w:rsidRPr="005C6DAF">
        <w:rPr>
          <w:b/>
          <w:lang w:val="en-US"/>
        </w:rPr>
        <w:t>Introduction:</w:t>
      </w:r>
    </w:p>
    <w:p w14:paraId="70572409" w14:textId="1CF29A56" w:rsidR="001B6CC0" w:rsidRPr="005C6DAF" w:rsidRDefault="009E4DB5">
      <w:pPr>
        <w:spacing w:after="0" w:line="360" w:lineRule="auto"/>
        <w:rPr>
          <w:lang w:val="en-US"/>
        </w:rPr>
      </w:pPr>
      <w:r w:rsidRPr="009E4DB5">
        <w:rPr>
          <w:lang w:val="en-US"/>
        </w:rPr>
        <w:t>Healthcare-associated infections (HAIs) with neurological involvement are rare but constitute an absolute medical emergency. Early diagnosis and the initiation of appropriate antibiotic therapy are major challenges in their management. We report the results of an investigation into 4 cases of postoperative nosocomial meningoencephalitis in a rural area.</w:t>
      </w:r>
    </w:p>
    <w:p w14:paraId="5A0E6F92" w14:textId="77777777" w:rsidR="001B6CC0" w:rsidRPr="005C6DAF" w:rsidRDefault="002A19C8">
      <w:pPr>
        <w:keepNext/>
        <w:keepLines/>
        <w:spacing w:before="200" w:after="0" w:line="360" w:lineRule="auto"/>
        <w:rPr>
          <w:b/>
          <w:color w:val="000000"/>
          <w:lang w:val="en-US"/>
        </w:rPr>
      </w:pPr>
      <w:r w:rsidRPr="005C6DAF">
        <w:rPr>
          <w:b/>
          <w:color w:val="000000"/>
          <w:lang w:val="en-US"/>
        </w:rPr>
        <w:t>Methodology:</w:t>
      </w:r>
    </w:p>
    <w:p w14:paraId="76DB0914" w14:textId="3C77FF9B" w:rsidR="001B6CC0" w:rsidRPr="005C6DAF" w:rsidRDefault="009E4DB5">
      <w:pPr>
        <w:widowControl w:val="0"/>
        <w:spacing w:after="0" w:line="360" w:lineRule="auto"/>
        <w:rPr>
          <w:lang w:val="en-US"/>
        </w:rPr>
      </w:pPr>
      <w:bookmarkStart w:id="1" w:name="_heading=h.30j0zll" w:colFirst="0" w:colLast="0"/>
      <w:bookmarkEnd w:id="1"/>
      <w:r w:rsidRPr="009E4DB5">
        <w:rPr>
          <w:color w:val="000000"/>
          <w:lang w:val="en-US"/>
        </w:rPr>
        <w:t>This is a descriptive observational study involving any patient residing in the study area and treated for nosocomial meningoencephalitis. The exposure factors included recent hospitalization, recent surgery, and obstetric care. The collected data (case notification forms, patient records, and IPC assessment tools) were analyzed using MS Excel® and/or Epi-Info</w:t>
      </w:r>
      <w:r w:rsidRPr="005C6DAF">
        <w:rPr>
          <w:lang w:val="en-US"/>
        </w:rPr>
        <w:t>®.</w:t>
      </w:r>
    </w:p>
    <w:p w14:paraId="4BF84AB0" w14:textId="77777777" w:rsidR="001B6CC0" w:rsidRPr="005C6DAF" w:rsidRDefault="001B6CC0">
      <w:pPr>
        <w:widowControl w:val="0"/>
        <w:spacing w:after="0" w:line="360" w:lineRule="auto"/>
        <w:rPr>
          <w:lang w:val="en-US"/>
        </w:rPr>
      </w:pPr>
    </w:p>
    <w:p w14:paraId="0F5616AF" w14:textId="77777777" w:rsidR="001B6CC0" w:rsidRPr="005C6DAF" w:rsidRDefault="002A19C8">
      <w:pPr>
        <w:widowControl w:val="0"/>
        <w:spacing w:after="0" w:line="360" w:lineRule="auto"/>
        <w:rPr>
          <w:b/>
          <w:lang w:val="en-US"/>
        </w:rPr>
      </w:pPr>
      <w:proofErr w:type="gramStart"/>
      <w:r w:rsidRPr="005C6DAF">
        <w:rPr>
          <w:b/>
          <w:lang w:val="en-US"/>
        </w:rPr>
        <w:t>Results :</w:t>
      </w:r>
      <w:proofErr w:type="gramEnd"/>
    </w:p>
    <w:p w14:paraId="68231AC5" w14:textId="25E8C2E0" w:rsidR="00592459" w:rsidRPr="005C6DAF" w:rsidRDefault="00592459">
      <w:pPr>
        <w:widowControl w:val="0"/>
        <w:spacing w:after="0" w:line="360" w:lineRule="auto"/>
        <w:rPr>
          <w:lang w:val="en-US"/>
        </w:rPr>
      </w:pPr>
      <w:r w:rsidRPr="00592459">
        <w:rPr>
          <w:lang w:val="en-US"/>
        </w:rPr>
        <w:t xml:space="preserve">A total of 69 patients underwent surgical procedures. Four patients who had undergone a low transverse cesarean section developed meningoencephalitis. They were aged 25, 27, 39, and 40 years. </w:t>
      </w:r>
      <w:r w:rsidRPr="005C6DAF">
        <w:rPr>
          <w:lang w:val="en-US"/>
        </w:rPr>
        <w:t>One patient was asthmatic and</w:t>
      </w:r>
      <w:r w:rsidRPr="00592459">
        <w:rPr>
          <w:lang w:val="en-US"/>
        </w:rPr>
        <w:t xml:space="preserve"> </w:t>
      </w:r>
      <w:r>
        <w:rPr>
          <w:lang w:val="en-US"/>
        </w:rPr>
        <w:t xml:space="preserve">had </w:t>
      </w:r>
      <w:r w:rsidRPr="00592459">
        <w:rPr>
          <w:lang w:val="en-US"/>
        </w:rPr>
        <w:t xml:space="preserve">hypertension. The average incubation period was </w:t>
      </w:r>
      <w:r w:rsidRPr="007468C5">
        <w:rPr>
          <w:color w:val="ED7D31" w:themeColor="accent2"/>
          <w:lang w:val="en-US"/>
        </w:rPr>
        <w:t>12</w:t>
      </w:r>
      <w:r w:rsidR="007468C5" w:rsidRPr="007468C5">
        <w:rPr>
          <w:color w:val="ED7D31" w:themeColor="accent2"/>
          <w:lang w:val="en-US"/>
        </w:rPr>
        <w:t>.25</w:t>
      </w:r>
      <w:r w:rsidRPr="007468C5">
        <w:rPr>
          <w:color w:val="ED7D31" w:themeColor="accent2"/>
          <w:lang w:val="en-US"/>
        </w:rPr>
        <w:t xml:space="preserve"> days </w:t>
      </w:r>
      <w:r w:rsidRPr="00592459">
        <w:rPr>
          <w:lang w:val="en-US"/>
        </w:rPr>
        <w:t>[2-20 days]. All four patients presented with meningeal syndrome and impaired consciousness. Seizures and motor deficits were observed in two patients. Cerebrospinal fluid (CSF) analysis suggested a bacterial infection, but no specific pathogen was isolated. However, environmental samples from the direct care area revealed the presence of methicillin-resistant Staphylococcus aureus (MRSA), Klebsiella pneumoniae subspecies, and non-</w:t>
      </w:r>
      <w:proofErr w:type="spellStart"/>
      <w:r w:rsidRPr="00592459">
        <w:rPr>
          <w:lang w:val="en-US"/>
        </w:rPr>
        <w:t>carbapenemase</w:t>
      </w:r>
      <w:proofErr w:type="spellEnd"/>
      <w:r w:rsidRPr="00592459">
        <w:rPr>
          <w:lang w:val="en-US"/>
        </w:rPr>
        <w:t xml:space="preserve">-producing Pseudomonas. Despite early empiric antibiotic therapy and symptomatic treatment, </w:t>
      </w:r>
      <w:r>
        <w:rPr>
          <w:lang w:val="en-US"/>
        </w:rPr>
        <w:t>3</w:t>
      </w:r>
      <w:r w:rsidRPr="00592459">
        <w:rPr>
          <w:lang w:val="en-US"/>
        </w:rPr>
        <w:t xml:space="preserve"> patients died. Therapeutic adjustment based on the antibiogram led to the recovery of one patient. All four infants </w:t>
      </w:r>
      <w:r>
        <w:rPr>
          <w:lang w:val="en-US"/>
        </w:rPr>
        <w:t>are</w:t>
      </w:r>
      <w:r w:rsidRPr="00592459">
        <w:rPr>
          <w:lang w:val="en-US"/>
        </w:rPr>
        <w:t xml:space="preserve"> alive and in good health.</w:t>
      </w:r>
    </w:p>
    <w:p w14:paraId="44B7268E" w14:textId="77777777" w:rsidR="001B6CC0" w:rsidRPr="005C6DAF" w:rsidRDefault="001B6CC0">
      <w:pPr>
        <w:pBdr>
          <w:top w:val="nil"/>
          <w:left w:val="nil"/>
          <w:bottom w:val="nil"/>
          <w:right w:val="nil"/>
          <w:between w:val="nil"/>
        </w:pBdr>
        <w:spacing w:after="0" w:line="360" w:lineRule="auto"/>
        <w:ind w:right="4"/>
        <w:rPr>
          <w:color w:val="000000"/>
          <w:lang w:val="en-US"/>
        </w:rPr>
      </w:pPr>
    </w:p>
    <w:p w14:paraId="414EF0C6" w14:textId="423F92C2" w:rsidR="001B6CC0" w:rsidRPr="005C6DAF" w:rsidRDefault="005C6DAF">
      <w:pPr>
        <w:pBdr>
          <w:top w:val="nil"/>
          <w:left w:val="nil"/>
          <w:bottom w:val="nil"/>
          <w:right w:val="nil"/>
          <w:between w:val="nil"/>
        </w:pBdr>
        <w:spacing w:after="0" w:line="360" w:lineRule="auto"/>
        <w:ind w:right="4"/>
        <w:rPr>
          <w:b/>
          <w:color w:val="000000"/>
          <w:lang w:val="en-US"/>
        </w:rPr>
      </w:pPr>
      <w:r w:rsidRPr="005C6DAF">
        <w:rPr>
          <w:b/>
          <w:color w:val="000000"/>
          <w:lang w:val="en-US"/>
        </w:rPr>
        <w:t>Conclusion:</w:t>
      </w:r>
    </w:p>
    <w:p w14:paraId="0C77B7F2" w14:textId="133A1320" w:rsidR="001B6CC0" w:rsidRPr="005C6DAF" w:rsidRDefault="00242388">
      <w:pPr>
        <w:pBdr>
          <w:top w:val="nil"/>
          <w:left w:val="nil"/>
          <w:bottom w:val="nil"/>
          <w:right w:val="nil"/>
          <w:between w:val="nil"/>
        </w:pBdr>
        <w:spacing w:after="0" w:line="360" w:lineRule="auto"/>
        <w:ind w:right="4"/>
        <w:rPr>
          <w:color w:val="000000"/>
          <w:lang w:val="en-US"/>
        </w:rPr>
      </w:pPr>
      <w:r w:rsidRPr="00242388">
        <w:rPr>
          <w:color w:val="000000"/>
          <w:lang w:val="en-US"/>
        </w:rPr>
        <w:t>We reported four cases of healthcare-associated infections (HAIs) in patients exposed to the same risk factors (low transverse cesarean section in the same operating room, using the same products and anesthetic practices) in a context of non-compliance with infection prevention and control (IPC) measures.</w:t>
      </w:r>
    </w:p>
    <w:p w14:paraId="67D8747C" w14:textId="77777777" w:rsidR="001B6CC0" w:rsidRPr="005C6DAF" w:rsidRDefault="001B6CC0">
      <w:pPr>
        <w:pBdr>
          <w:top w:val="nil"/>
          <w:left w:val="nil"/>
          <w:bottom w:val="nil"/>
          <w:right w:val="nil"/>
          <w:between w:val="nil"/>
        </w:pBdr>
        <w:spacing w:after="0" w:line="360" w:lineRule="auto"/>
        <w:ind w:right="4"/>
        <w:rPr>
          <w:color w:val="000000"/>
          <w:lang w:val="en-US"/>
        </w:rPr>
      </w:pPr>
    </w:p>
    <w:p w14:paraId="75F9B460" w14:textId="336AF69F" w:rsidR="001B6CC0" w:rsidRPr="005C6DAF" w:rsidRDefault="002A19C8">
      <w:pPr>
        <w:pBdr>
          <w:top w:val="nil"/>
          <w:left w:val="nil"/>
          <w:bottom w:val="nil"/>
          <w:right w:val="nil"/>
          <w:between w:val="nil"/>
        </w:pBdr>
        <w:spacing w:after="0" w:line="360" w:lineRule="auto"/>
        <w:ind w:right="4"/>
        <w:rPr>
          <w:color w:val="000000"/>
          <w:lang w:val="en-US"/>
        </w:rPr>
      </w:pPr>
      <w:r w:rsidRPr="005C6DAF">
        <w:rPr>
          <w:b/>
          <w:color w:val="000000"/>
          <w:lang w:val="en-US"/>
        </w:rPr>
        <w:t xml:space="preserve">Keywords: </w:t>
      </w:r>
      <w:r w:rsidR="00242388">
        <w:rPr>
          <w:b/>
          <w:color w:val="000000"/>
          <w:lang w:val="en-US"/>
        </w:rPr>
        <w:t>HAI</w:t>
      </w:r>
      <w:r w:rsidRPr="005C6DAF">
        <w:rPr>
          <w:b/>
          <w:color w:val="000000"/>
          <w:lang w:val="en-US"/>
        </w:rPr>
        <w:t xml:space="preserve">, Meningoencephalitis, Antibiotic therapy, </w:t>
      </w:r>
      <w:r w:rsidR="00242388">
        <w:rPr>
          <w:b/>
          <w:color w:val="000000"/>
          <w:lang w:val="en-US"/>
        </w:rPr>
        <w:t>IPC</w:t>
      </w:r>
    </w:p>
    <w:p w14:paraId="20CF7984" w14:textId="77777777" w:rsidR="001B6CC0" w:rsidRDefault="001B6CC0">
      <w:pPr>
        <w:jc w:val="left"/>
        <w:rPr>
          <w:b/>
          <w:color w:val="000000"/>
          <w:lang w:val="en-US"/>
        </w:rPr>
      </w:pPr>
    </w:p>
    <w:p w14:paraId="0789C655" w14:textId="1551D698" w:rsidR="0045714B" w:rsidRPr="005C6DAF" w:rsidRDefault="0045714B">
      <w:pPr>
        <w:jc w:val="left"/>
        <w:rPr>
          <w:b/>
          <w:color w:val="000000"/>
          <w:lang w:val="en-US"/>
        </w:rPr>
        <w:sectPr w:rsidR="0045714B" w:rsidRPr="005C6DAF">
          <w:headerReference w:type="even" r:id="rId8"/>
          <w:headerReference w:type="default" r:id="rId9"/>
          <w:footerReference w:type="even" r:id="rId10"/>
          <w:footerReference w:type="default" r:id="rId11"/>
          <w:headerReference w:type="first" r:id="rId12"/>
          <w:footerReference w:type="first" r:id="rId13"/>
          <w:pgSz w:w="12240" w:h="15840"/>
          <w:pgMar w:top="1417" w:right="1417" w:bottom="1417" w:left="1417" w:header="720" w:footer="720" w:gutter="0"/>
          <w:pgNumType w:start="1"/>
          <w:cols w:space="720"/>
        </w:sectPr>
      </w:pPr>
    </w:p>
    <w:p w14:paraId="4B8A5D4E" w14:textId="77777777" w:rsidR="001B6CC0" w:rsidRPr="005C6DAF" w:rsidRDefault="002A19C8">
      <w:pPr>
        <w:spacing w:after="0" w:line="360" w:lineRule="auto"/>
        <w:rPr>
          <w:b/>
          <w:lang w:val="en-US"/>
        </w:rPr>
      </w:pPr>
      <w:r w:rsidRPr="005C6DAF">
        <w:rPr>
          <w:b/>
          <w:lang w:val="en-US"/>
        </w:rPr>
        <w:t>Introduction</w:t>
      </w:r>
    </w:p>
    <w:p w14:paraId="162A5C8B" w14:textId="580F18C5" w:rsidR="001B6CC0" w:rsidRPr="005C6DAF" w:rsidRDefault="009B5E6E">
      <w:pPr>
        <w:spacing w:after="0" w:line="360" w:lineRule="auto"/>
        <w:rPr>
          <w:lang w:val="en-US"/>
        </w:rPr>
      </w:pPr>
      <w:r w:rsidRPr="009B5E6E">
        <w:rPr>
          <w:lang w:val="en-US"/>
        </w:rPr>
        <w:t>Meningitis outbreaks occur worldwide, particularly in sub-Saharan Africa. Meningitis can be caused by numerous pathogens, including bacteria, viruses, fungi, and parasites. Bacterial meningitis is especially concerning, with an estimated mortality rate of 1 in 10 people and 1 in 5 experiencing severe complications. These infections can be community-acquired or nosocomial. According to the World Health Organization (WHO), 5 to 10% of hospitalized patients develop nosocomial infections, with a mortality rate of approximately 4%. Healthcare-associated infections (HAIs) contribute to increased direct and indirect healthcare costs [1]. In Africa, the prevalence of HAIs is poorly studied despite their impact on patient safety. It ranges between 10% and 60%, and these infections represent the third leading cause of maternal mortality, the second leading cause of early neonatal mortality, and the primary cause of postoperative morbidity [2]. This prevalence is estimated at 10.9% in Senegal, 12% in Côte d'Ivoire, 10% in Benin, and 14% in Mali [3]. Poor hygiene conditions, lack of staff training, insufficient hygiene resources, and non-compliance with standards could contribute to the emergence of nosocomial infections.</w:t>
      </w:r>
    </w:p>
    <w:p w14:paraId="5C148C36" w14:textId="7D4AC1A4" w:rsidR="009B5E6E" w:rsidRPr="009B5E6E" w:rsidRDefault="009B5E6E" w:rsidP="009B5E6E">
      <w:pPr>
        <w:spacing w:after="0" w:line="360" w:lineRule="auto"/>
        <w:rPr>
          <w:lang w:val="en-US"/>
        </w:rPr>
      </w:pPr>
      <w:r w:rsidRPr="009B5E6E">
        <w:rPr>
          <w:lang w:val="en-US"/>
        </w:rPr>
        <w:t>Nosocomial neuro-meningeal infections are rare, but their morbidity and mortality rates are high. The disease can cause lasting damage, and when it occurs in brain-injured patients in intensive care or postoperatively, the neurological functional prognosis can quickly be at risk, often progressing to septic shock. Thus, healthcare-associated infections (HAIs) with neuro-meningeal involvement are absolute medical emergencies. Early diagnosis and the prompt initiation of appropriate empiric antibiotic therapy are critical for the effective management of these conditions [4].</w:t>
      </w:r>
    </w:p>
    <w:p w14:paraId="446CC88A" w14:textId="013BF472" w:rsidR="001B6CC0" w:rsidRPr="005C6DAF" w:rsidRDefault="009B5E6E" w:rsidP="009B5E6E">
      <w:pPr>
        <w:spacing w:after="0" w:line="360" w:lineRule="auto"/>
        <w:rPr>
          <w:lang w:val="en-US"/>
        </w:rPr>
      </w:pPr>
      <w:r w:rsidRPr="009B5E6E">
        <w:rPr>
          <w:lang w:val="en-US"/>
        </w:rPr>
        <w:t>In Senegal, the first national survey on nosocomial infections, conducted in 2007 by the Directorate General of Health under the Ministry of Health (MOH), revealed that the volume of antimicrobial prescriptions, combined with low hygiene standards observed during care delivery, is the primary cause of the emergence of antimicrobial resistance (AMR) [5</w:t>
      </w:r>
      <w:r w:rsidR="00FF50B1">
        <w:rPr>
          <w:lang w:val="en-US"/>
        </w:rPr>
        <w:t>,16,17</w:t>
      </w:r>
      <w:bookmarkStart w:id="2" w:name="_GoBack"/>
      <w:bookmarkEnd w:id="2"/>
      <w:r w:rsidRPr="009B5E6E">
        <w:rPr>
          <w:lang w:val="en-US"/>
        </w:rPr>
        <w:t>]. The Ministry of Health has established infection control committees (CLIN) in all healthcare facilities in Senegal. These committees play a vital role in overseeing and implementing infection prevention and control (IPC) activities in hospitals. As part of the actions of this committee, we report the findings of an investigation into 04 cases of postoperative nosocomial meningoencephalitis.</w:t>
      </w:r>
    </w:p>
    <w:p w14:paraId="1C562CFA" w14:textId="77777777" w:rsidR="001B6CC0" w:rsidRPr="005C6DAF" w:rsidRDefault="002A19C8">
      <w:pPr>
        <w:spacing w:after="0" w:line="360" w:lineRule="auto"/>
        <w:rPr>
          <w:lang w:val="en-US"/>
        </w:rPr>
      </w:pPr>
      <w:r w:rsidRPr="005C6DAF">
        <w:rPr>
          <w:strike/>
          <w:lang w:val="en-US"/>
        </w:rPr>
        <w:t xml:space="preserve"> </w:t>
      </w:r>
    </w:p>
    <w:p w14:paraId="0186D0FC" w14:textId="249FFDF8" w:rsidR="00F06AF2" w:rsidRPr="00F06AF2" w:rsidRDefault="002A19C8" w:rsidP="00F06AF2">
      <w:pPr>
        <w:spacing w:after="0" w:line="360" w:lineRule="auto"/>
        <w:rPr>
          <w:lang w:val="en-US"/>
        </w:rPr>
      </w:pPr>
      <w:bookmarkStart w:id="3" w:name="_heading=h.1fob9te" w:colFirst="0" w:colLast="0"/>
      <w:bookmarkEnd w:id="3"/>
      <w:r w:rsidRPr="005C6DAF">
        <w:rPr>
          <w:b/>
          <w:lang w:val="en-US"/>
        </w:rPr>
        <w:t>Methodology:</w:t>
      </w:r>
      <w:r w:rsidR="00F06AF2">
        <w:rPr>
          <w:b/>
          <w:lang w:val="en-US"/>
        </w:rPr>
        <w:t xml:space="preserve"> </w:t>
      </w:r>
      <w:r w:rsidR="00F06AF2" w:rsidRPr="00F06AF2">
        <w:rPr>
          <w:lang w:val="en-US"/>
        </w:rPr>
        <w:t>A field investigation was conducted by a multidisciplinary team at a health district level following the notification of a suspected case of nosocomial meningitis. The study population included all patients residing in and receiving care at healthcare facilities (health centers, health posts, or hospitals) within the implicated health district who had undergone surgical procedures between September 1, 2023, and January 16, 2024 (the date of the first notification).</w:t>
      </w:r>
    </w:p>
    <w:p w14:paraId="63A46C4B" w14:textId="4BB2C798" w:rsidR="00F06AF2" w:rsidRPr="00F06AF2" w:rsidRDefault="00F06AF2" w:rsidP="00F06AF2">
      <w:pPr>
        <w:spacing w:after="0" w:line="360" w:lineRule="auto"/>
        <w:rPr>
          <w:lang w:val="en-US"/>
        </w:rPr>
      </w:pPr>
      <w:r w:rsidRPr="00F06AF2">
        <w:rPr>
          <w:lang w:val="en-US"/>
        </w:rPr>
        <w:t xml:space="preserve">A case of nosocomial meningitis was defined as any patient who had undergone surgery and presented with clinical signs and laboratory confirmation consistent with meningitis (cerebrospinal fluid (CSF) leukocyte </w:t>
      </w:r>
      <w:r w:rsidRPr="00F06AF2">
        <w:rPr>
          <w:lang w:val="en-US"/>
        </w:rPr>
        <w:lastRenderedPageBreak/>
        <w:t>count &gt; 5 leukocytes/mm³, with or without the presence of bacteria identified by Gram staining or culture, or a positive result for soluble antigen detection or PCR in the CSF).</w:t>
      </w:r>
    </w:p>
    <w:p w14:paraId="3ACE6C07" w14:textId="23B0AB92" w:rsidR="00F06AF2" w:rsidRPr="00F06AF2" w:rsidRDefault="00F06AF2" w:rsidP="00F06AF2">
      <w:pPr>
        <w:spacing w:after="0" w:line="360" w:lineRule="auto"/>
        <w:rPr>
          <w:lang w:val="en-US"/>
        </w:rPr>
      </w:pPr>
      <w:r w:rsidRPr="00F06AF2">
        <w:rPr>
          <w:lang w:val="en-US"/>
        </w:rPr>
        <w:t>The database was compiled from the review of management tools, active case finding for similar or suspected cases or deaths covering the investigation period, as well as interviews and visits to care units.</w:t>
      </w:r>
    </w:p>
    <w:p w14:paraId="3A7D0139" w14:textId="1C1318F2" w:rsidR="001B6CC0" w:rsidRPr="005C6DAF" w:rsidRDefault="00F06AF2" w:rsidP="00F06AF2">
      <w:pPr>
        <w:spacing w:after="0" w:line="360" w:lineRule="auto"/>
        <w:rPr>
          <w:lang w:val="en-US"/>
        </w:rPr>
      </w:pPr>
      <w:r w:rsidRPr="00F06AF2">
        <w:rPr>
          <w:lang w:val="en-US"/>
        </w:rPr>
        <w:t>We collected various variables, including socio-demographic characteristics, clinical and paraclinical data, as well as exposure factors. The data were compiled and analyzed using MS Excel® and/or Epi-Info®. Ethical considerations were respected throughout the process.</w:t>
      </w:r>
    </w:p>
    <w:p w14:paraId="68A4C657" w14:textId="77777777" w:rsidR="001B6CC0" w:rsidRPr="005C6DAF" w:rsidRDefault="001B6CC0">
      <w:pPr>
        <w:spacing w:after="0" w:line="360" w:lineRule="auto"/>
        <w:rPr>
          <w:lang w:val="en-US"/>
        </w:rPr>
      </w:pPr>
    </w:p>
    <w:p w14:paraId="345A8771" w14:textId="3FCAACBD" w:rsidR="00E31EB4" w:rsidRPr="00E31EB4" w:rsidRDefault="00E31EB4" w:rsidP="00E31EB4">
      <w:pPr>
        <w:spacing w:after="0" w:line="360" w:lineRule="auto"/>
        <w:rPr>
          <w:lang w:val="en-US"/>
        </w:rPr>
      </w:pPr>
      <w:bookmarkStart w:id="4" w:name="_heading=h.3znysh7" w:colFirst="0" w:colLast="0"/>
      <w:bookmarkEnd w:id="4"/>
      <w:r w:rsidRPr="005C6DAF">
        <w:rPr>
          <w:b/>
          <w:lang w:val="en-US"/>
        </w:rPr>
        <w:t>Results:</w:t>
      </w:r>
      <w:r>
        <w:rPr>
          <w:b/>
          <w:lang w:val="en-US"/>
        </w:rPr>
        <w:t xml:space="preserve"> </w:t>
      </w:r>
      <w:r w:rsidRPr="00E31EB4">
        <w:rPr>
          <w:lang w:val="en-US"/>
        </w:rPr>
        <w:t xml:space="preserve">A total of 69 patients underwent surgical procedures in the operating rooms of the implicated health district during the study period. Fourteen suspected cases were identified during the study period. Four (04) patients developed meningoencephalitis, as per the case definition (Table I), following a low transverse cesarean section (CBT). The average incubation period was </w:t>
      </w:r>
      <w:r w:rsidR="007468C5" w:rsidRPr="007468C5">
        <w:rPr>
          <w:color w:val="ED7D31" w:themeColor="accent2"/>
          <w:lang w:val="en-US"/>
        </w:rPr>
        <w:t>12.25 days</w:t>
      </w:r>
      <w:r w:rsidRPr="00E31EB4">
        <w:rPr>
          <w:lang w:val="en-US"/>
        </w:rPr>
        <w:t xml:space="preserve"> [range: 2 to 20 days]. All patients presented with fever, headaches, neck stiffness, and altered consciousness. Seizures were observed in two of the patients. Two of the four patients exhibited motor deficits.</w:t>
      </w:r>
    </w:p>
    <w:p w14:paraId="0B8C36B3" w14:textId="3E6AFE83" w:rsidR="00E31EB4" w:rsidRPr="00E31EB4" w:rsidRDefault="00E31EB4" w:rsidP="00E31EB4">
      <w:pPr>
        <w:spacing w:after="0" w:line="360" w:lineRule="auto"/>
        <w:rPr>
          <w:lang w:val="en-US"/>
        </w:rPr>
      </w:pPr>
      <w:r w:rsidRPr="00E31EB4">
        <w:rPr>
          <w:lang w:val="en-US"/>
        </w:rPr>
        <w:t xml:space="preserve">No pathogen was definitively identified in the blood or cerebrospinal fluid (CSF) samples. In the working environment of the anesthesiologists and intensivists, samples revealed the presence of Staphylococcus </w:t>
      </w:r>
      <w:proofErr w:type="spellStart"/>
      <w:r w:rsidRPr="00E31EB4">
        <w:rPr>
          <w:lang w:val="en-US"/>
        </w:rPr>
        <w:t>haemolyticus</w:t>
      </w:r>
      <w:proofErr w:type="spellEnd"/>
      <w:r w:rsidRPr="00E31EB4">
        <w:rPr>
          <w:lang w:val="en-US"/>
        </w:rPr>
        <w:t xml:space="preserve">, Staphylococcus epidermidis, and </w:t>
      </w:r>
      <w:proofErr w:type="spellStart"/>
      <w:r w:rsidRPr="00E31EB4">
        <w:rPr>
          <w:lang w:val="en-US"/>
        </w:rPr>
        <w:t>Kocuria</w:t>
      </w:r>
      <w:proofErr w:type="spellEnd"/>
      <w:r w:rsidRPr="00E31EB4">
        <w:rPr>
          <w:lang w:val="en-US"/>
        </w:rPr>
        <w:t xml:space="preserve"> </w:t>
      </w:r>
      <w:proofErr w:type="spellStart"/>
      <w:r w:rsidRPr="00E31EB4">
        <w:rPr>
          <w:lang w:val="en-US"/>
        </w:rPr>
        <w:t>kristinae</w:t>
      </w:r>
      <w:proofErr w:type="spellEnd"/>
      <w:r w:rsidRPr="00E31EB4">
        <w:rPr>
          <w:lang w:val="en-US"/>
        </w:rPr>
        <w:t xml:space="preserve">. On the operating table, a strain of </w:t>
      </w:r>
      <w:proofErr w:type="spellStart"/>
      <w:r w:rsidRPr="00E31EB4">
        <w:rPr>
          <w:lang w:val="en-US"/>
        </w:rPr>
        <w:t>Sphingomonas</w:t>
      </w:r>
      <w:proofErr w:type="spellEnd"/>
      <w:r w:rsidRPr="00E31EB4">
        <w:rPr>
          <w:lang w:val="en-US"/>
        </w:rPr>
        <w:t xml:space="preserve"> </w:t>
      </w:r>
      <w:proofErr w:type="spellStart"/>
      <w:r w:rsidRPr="00E31EB4">
        <w:rPr>
          <w:lang w:val="en-US"/>
        </w:rPr>
        <w:t>paucimobilis</w:t>
      </w:r>
      <w:proofErr w:type="spellEnd"/>
      <w:r w:rsidRPr="00E31EB4">
        <w:rPr>
          <w:lang w:val="en-US"/>
        </w:rPr>
        <w:t xml:space="preserve"> (a ubiquitous soil and water bacterium with low virulence but known to cause nosocomial infections) was isolated.</w:t>
      </w:r>
    </w:p>
    <w:p w14:paraId="375C8321" w14:textId="3314C233" w:rsidR="00E31EB4" w:rsidRPr="00E31EB4" w:rsidRDefault="00E31EB4" w:rsidP="00E31EB4">
      <w:pPr>
        <w:spacing w:after="0" w:line="360" w:lineRule="auto"/>
        <w:rPr>
          <w:lang w:val="en-US"/>
        </w:rPr>
      </w:pPr>
      <w:r w:rsidRPr="00E31EB4">
        <w:rPr>
          <w:lang w:val="en-US"/>
        </w:rPr>
        <w:t>In the operating room, methicillin-resistant Staphylococcus aureus (MRSA), non-</w:t>
      </w:r>
      <w:proofErr w:type="spellStart"/>
      <w:r w:rsidRPr="00E31EB4">
        <w:rPr>
          <w:lang w:val="en-US"/>
        </w:rPr>
        <w:t>carbapenemase</w:t>
      </w:r>
      <w:proofErr w:type="spellEnd"/>
      <w:r w:rsidRPr="00E31EB4">
        <w:rPr>
          <w:lang w:val="en-US"/>
        </w:rPr>
        <w:t>-producing Pseudomonas, and Klebsiella pneumoniae subspecies were isolated from the direct care environment, including pre- and postoperative bedding, dressing tables, and the pre-filled anesthesia syringe that was reused multiple times for all four patients.</w:t>
      </w:r>
    </w:p>
    <w:p w14:paraId="13816ED3" w14:textId="1C4F8E5A" w:rsidR="00E31EB4" w:rsidRPr="00E31EB4" w:rsidRDefault="00E31EB4" w:rsidP="00E31EB4">
      <w:pPr>
        <w:spacing w:after="0" w:line="360" w:lineRule="auto"/>
        <w:rPr>
          <w:lang w:val="en-US"/>
        </w:rPr>
      </w:pPr>
      <w:r w:rsidRPr="00E31EB4">
        <w:rPr>
          <w:lang w:val="en-US"/>
        </w:rPr>
        <w:t>In addition to symptomatic and adjuvant treatment, all four patients received empiric antibiotic therapy with a third-generation cephalosporin combined with an aminoglycoside. For the fourth patient, the antibiotic therapy was adjusted based on the antibiogram, with the introduction of vancomycin and imipenem.</w:t>
      </w:r>
    </w:p>
    <w:p w14:paraId="6EBEADA0" w14:textId="4819AEB1" w:rsidR="001B6CC0" w:rsidRPr="005C6DAF" w:rsidRDefault="00E31EB4" w:rsidP="00E31EB4">
      <w:pPr>
        <w:spacing w:after="0" w:line="360" w:lineRule="auto"/>
        <w:rPr>
          <w:lang w:val="en-US"/>
        </w:rPr>
      </w:pPr>
      <w:r w:rsidRPr="00E31EB4">
        <w:rPr>
          <w:lang w:val="en-US"/>
        </w:rPr>
        <w:t>The outcome was marked by the death of the first three patients. The last patient was declared cured after a prolonged hospitalization.</w:t>
      </w:r>
    </w:p>
    <w:p w14:paraId="2417CFCF" w14:textId="77777777" w:rsidR="001B6CC0" w:rsidRPr="005C6DAF" w:rsidRDefault="001B6CC0">
      <w:pPr>
        <w:spacing w:after="0" w:line="360" w:lineRule="auto"/>
        <w:rPr>
          <w:lang w:val="en-US"/>
        </w:rPr>
      </w:pPr>
    </w:p>
    <w:p w14:paraId="408BF544" w14:textId="77777777" w:rsidR="001B6CC0" w:rsidRPr="005C6DAF" w:rsidRDefault="001B6CC0">
      <w:pPr>
        <w:spacing w:after="0" w:line="360" w:lineRule="auto"/>
        <w:rPr>
          <w:lang w:val="en-US"/>
        </w:rPr>
      </w:pPr>
    </w:p>
    <w:p w14:paraId="544D0CF7" w14:textId="77777777" w:rsidR="001B6CC0" w:rsidRPr="005C6DAF" w:rsidRDefault="001B6CC0">
      <w:pPr>
        <w:spacing w:after="0" w:line="360" w:lineRule="auto"/>
        <w:rPr>
          <w:lang w:val="en-US"/>
        </w:rPr>
      </w:pPr>
    </w:p>
    <w:p w14:paraId="2AF742B6" w14:textId="77777777" w:rsidR="001B6CC0" w:rsidRPr="005C6DAF" w:rsidRDefault="001B6CC0">
      <w:pPr>
        <w:spacing w:after="0" w:line="360" w:lineRule="auto"/>
        <w:rPr>
          <w:lang w:val="en-US"/>
        </w:rPr>
      </w:pPr>
    </w:p>
    <w:p w14:paraId="6AC717EE" w14:textId="77777777" w:rsidR="001B6CC0" w:rsidRPr="005C6DAF" w:rsidRDefault="001B6CC0">
      <w:pPr>
        <w:spacing w:after="0" w:line="360" w:lineRule="auto"/>
        <w:rPr>
          <w:lang w:val="en-US"/>
        </w:rPr>
      </w:pPr>
    </w:p>
    <w:p w14:paraId="72EE012A" w14:textId="77777777" w:rsidR="001B6CC0" w:rsidRPr="005C6DAF" w:rsidRDefault="001B6CC0">
      <w:pPr>
        <w:spacing w:after="0" w:line="360" w:lineRule="auto"/>
        <w:rPr>
          <w:lang w:val="en-US"/>
        </w:rPr>
      </w:pPr>
    </w:p>
    <w:p w14:paraId="2FAFA444" w14:textId="77777777" w:rsidR="001B6CC0" w:rsidRPr="005C6DAF" w:rsidRDefault="001B6CC0">
      <w:pPr>
        <w:spacing w:after="0" w:line="360" w:lineRule="auto"/>
        <w:rPr>
          <w:lang w:val="en-US"/>
        </w:rPr>
      </w:pPr>
    </w:p>
    <w:p w14:paraId="115D46A1" w14:textId="77777777" w:rsidR="005C6DAF" w:rsidRDefault="005C6DAF">
      <w:pPr>
        <w:rPr>
          <w:b/>
          <w:color w:val="000000"/>
          <w:lang w:val="en-US"/>
        </w:rPr>
      </w:pPr>
      <w:r>
        <w:rPr>
          <w:b/>
          <w:color w:val="000000"/>
          <w:lang w:val="en-US"/>
        </w:rPr>
        <w:br w:type="page"/>
      </w:r>
    </w:p>
    <w:p w14:paraId="003D8FDC" w14:textId="1BEDEB01" w:rsidR="001B6CC0" w:rsidRPr="005C6DAF" w:rsidRDefault="002A19C8">
      <w:pPr>
        <w:pBdr>
          <w:top w:val="nil"/>
          <w:left w:val="nil"/>
          <w:bottom w:val="nil"/>
          <w:right w:val="nil"/>
          <w:between w:val="nil"/>
        </w:pBdr>
        <w:spacing w:after="0" w:line="360" w:lineRule="auto"/>
        <w:ind w:left="10" w:right="4" w:hanging="10"/>
        <w:jc w:val="center"/>
        <w:rPr>
          <w:color w:val="000000"/>
          <w:lang w:val="en-US"/>
        </w:rPr>
      </w:pPr>
      <w:r w:rsidRPr="005C6DAF">
        <w:rPr>
          <w:b/>
          <w:color w:val="000000"/>
          <w:lang w:val="en-US"/>
        </w:rPr>
        <w:lastRenderedPageBreak/>
        <w:t>Table I: Description of cases of nosocomial meningoencephalitis post CBT</w:t>
      </w:r>
    </w:p>
    <w:tbl>
      <w:tblPr>
        <w:tblStyle w:val="a"/>
        <w:tblW w:w="93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3"/>
        <w:gridCol w:w="1738"/>
        <w:gridCol w:w="1609"/>
        <w:gridCol w:w="1682"/>
        <w:gridCol w:w="1684"/>
      </w:tblGrid>
      <w:tr w:rsidR="001B6CC0" w14:paraId="256192F6" w14:textId="77777777">
        <w:trPr>
          <w:trHeight w:val="336"/>
          <w:jc w:val="center"/>
        </w:trPr>
        <w:tc>
          <w:tcPr>
            <w:tcW w:w="2683" w:type="dxa"/>
            <w:vAlign w:val="center"/>
          </w:tcPr>
          <w:p w14:paraId="54C4A584" w14:textId="77777777" w:rsidR="001B6CC0" w:rsidRDefault="002A19C8">
            <w:pPr>
              <w:spacing w:line="360" w:lineRule="auto"/>
              <w:jc w:val="center"/>
              <w:rPr>
                <w:sz w:val="16"/>
                <w:szCs w:val="16"/>
              </w:rPr>
            </w:pPr>
            <w:r>
              <w:rPr>
                <w:b/>
                <w:sz w:val="16"/>
                <w:szCs w:val="16"/>
              </w:rPr>
              <w:t>Settings</w:t>
            </w:r>
          </w:p>
        </w:tc>
        <w:tc>
          <w:tcPr>
            <w:tcW w:w="6713" w:type="dxa"/>
            <w:gridSpan w:val="4"/>
            <w:vAlign w:val="center"/>
          </w:tcPr>
          <w:p w14:paraId="170E9472" w14:textId="77777777" w:rsidR="001B6CC0" w:rsidRDefault="002A19C8">
            <w:pPr>
              <w:spacing w:line="360" w:lineRule="auto"/>
              <w:jc w:val="center"/>
              <w:rPr>
                <w:b/>
                <w:sz w:val="16"/>
                <w:szCs w:val="16"/>
              </w:rPr>
            </w:pPr>
            <w:r>
              <w:rPr>
                <w:b/>
                <w:sz w:val="16"/>
                <w:szCs w:val="16"/>
              </w:rPr>
              <w:t>Values/</w:t>
            </w:r>
            <w:proofErr w:type="spellStart"/>
            <w:r>
              <w:rPr>
                <w:b/>
                <w:sz w:val="16"/>
                <w:szCs w:val="16"/>
              </w:rPr>
              <w:t>Results</w:t>
            </w:r>
            <w:proofErr w:type="spellEnd"/>
          </w:p>
        </w:tc>
      </w:tr>
      <w:tr w:rsidR="001B6CC0" w14:paraId="68D7D718" w14:textId="77777777">
        <w:trPr>
          <w:trHeight w:val="336"/>
          <w:jc w:val="center"/>
        </w:trPr>
        <w:tc>
          <w:tcPr>
            <w:tcW w:w="2683" w:type="dxa"/>
            <w:vAlign w:val="center"/>
          </w:tcPr>
          <w:p w14:paraId="2B4FAE07" w14:textId="77777777" w:rsidR="001B6CC0" w:rsidRDefault="001B6CC0">
            <w:pPr>
              <w:spacing w:line="360" w:lineRule="auto"/>
              <w:jc w:val="left"/>
              <w:rPr>
                <w:sz w:val="16"/>
                <w:szCs w:val="16"/>
              </w:rPr>
            </w:pPr>
          </w:p>
        </w:tc>
        <w:tc>
          <w:tcPr>
            <w:tcW w:w="1738" w:type="dxa"/>
            <w:vAlign w:val="center"/>
          </w:tcPr>
          <w:p w14:paraId="2AD40109" w14:textId="77777777" w:rsidR="001B6CC0" w:rsidRDefault="002A19C8">
            <w:pPr>
              <w:spacing w:line="360" w:lineRule="auto"/>
              <w:jc w:val="left"/>
              <w:rPr>
                <w:b/>
                <w:sz w:val="16"/>
                <w:szCs w:val="16"/>
              </w:rPr>
            </w:pPr>
            <w:r>
              <w:rPr>
                <w:b/>
                <w:sz w:val="16"/>
                <w:szCs w:val="16"/>
              </w:rPr>
              <w:t>CASE 1</w:t>
            </w:r>
          </w:p>
        </w:tc>
        <w:tc>
          <w:tcPr>
            <w:tcW w:w="1609" w:type="dxa"/>
            <w:vAlign w:val="center"/>
          </w:tcPr>
          <w:p w14:paraId="22387C7B" w14:textId="77777777" w:rsidR="001B6CC0" w:rsidRDefault="002A19C8">
            <w:pPr>
              <w:spacing w:line="360" w:lineRule="auto"/>
              <w:jc w:val="left"/>
              <w:rPr>
                <w:b/>
                <w:sz w:val="16"/>
                <w:szCs w:val="16"/>
              </w:rPr>
            </w:pPr>
            <w:r>
              <w:rPr>
                <w:b/>
                <w:sz w:val="16"/>
                <w:szCs w:val="16"/>
              </w:rPr>
              <w:t>CASE 2</w:t>
            </w:r>
          </w:p>
        </w:tc>
        <w:tc>
          <w:tcPr>
            <w:tcW w:w="1682" w:type="dxa"/>
            <w:vAlign w:val="center"/>
          </w:tcPr>
          <w:p w14:paraId="6C0C35BA" w14:textId="77777777" w:rsidR="001B6CC0" w:rsidRDefault="002A19C8">
            <w:pPr>
              <w:spacing w:line="360" w:lineRule="auto"/>
              <w:jc w:val="left"/>
              <w:rPr>
                <w:b/>
                <w:sz w:val="16"/>
                <w:szCs w:val="16"/>
              </w:rPr>
            </w:pPr>
            <w:r>
              <w:rPr>
                <w:b/>
                <w:sz w:val="16"/>
                <w:szCs w:val="16"/>
              </w:rPr>
              <w:t>CASE 3</w:t>
            </w:r>
          </w:p>
        </w:tc>
        <w:tc>
          <w:tcPr>
            <w:tcW w:w="1684" w:type="dxa"/>
            <w:vAlign w:val="center"/>
          </w:tcPr>
          <w:p w14:paraId="2B75FF82" w14:textId="77777777" w:rsidR="001B6CC0" w:rsidRDefault="002A19C8">
            <w:pPr>
              <w:spacing w:line="360" w:lineRule="auto"/>
              <w:jc w:val="left"/>
              <w:rPr>
                <w:b/>
                <w:sz w:val="16"/>
                <w:szCs w:val="16"/>
              </w:rPr>
            </w:pPr>
            <w:r>
              <w:rPr>
                <w:b/>
                <w:sz w:val="16"/>
                <w:szCs w:val="16"/>
              </w:rPr>
              <w:t>CASE 4</w:t>
            </w:r>
          </w:p>
        </w:tc>
      </w:tr>
      <w:tr w:rsidR="001B6CC0" w14:paraId="43A2CDF2" w14:textId="77777777">
        <w:trPr>
          <w:trHeight w:val="347"/>
          <w:jc w:val="center"/>
        </w:trPr>
        <w:tc>
          <w:tcPr>
            <w:tcW w:w="2683" w:type="dxa"/>
            <w:vAlign w:val="center"/>
          </w:tcPr>
          <w:p w14:paraId="3B63AEC0" w14:textId="77777777" w:rsidR="001B6CC0" w:rsidRDefault="002A19C8">
            <w:pPr>
              <w:spacing w:line="360" w:lineRule="auto"/>
              <w:jc w:val="left"/>
              <w:rPr>
                <w:sz w:val="16"/>
                <w:szCs w:val="16"/>
              </w:rPr>
            </w:pPr>
            <w:r>
              <w:rPr>
                <w:sz w:val="16"/>
                <w:szCs w:val="16"/>
              </w:rPr>
              <w:t xml:space="preserve">Date of </w:t>
            </w:r>
            <w:proofErr w:type="spellStart"/>
            <w:r>
              <w:rPr>
                <w:sz w:val="16"/>
                <w:szCs w:val="16"/>
              </w:rPr>
              <w:t>birth</w:t>
            </w:r>
            <w:proofErr w:type="spellEnd"/>
            <w:r>
              <w:rPr>
                <w:sz w:val="16"/>
                <w:szCs w:val="16"/>
              </w:rPr>
              <w:t>/Age</w:t>
            </w:r>
          </w:p>
        </w:tc>
        <w:tc>
          <w:tcPr>
            <w:tcW w:w="1738" w:type="dxa"/>
            <w:vAlign w:val="center"/>
          </w:tcPr>
          <w:p w14:paraId="7A33DF54" w14:textId="77777777" w:rsidR="001B6CC0" w:rsidRDefault="002A19C8">
            <w:pPr>
              <w:spacing w:line="360" w:lineRule="auto"/>
              <w:jc w:val="left"/>
              <w:rPr>
                <w:sz w:val="16"/>
                <w:szCs w:val="16"/>
              </w:rPr>
            </w:pPr>
            <w:r>
              <w:rPr>
                <w:sz w:val="16"/>
                <w:szCs w:val="16"/>
              </w:rPr>
              <w:t xml:space="preserve">45 </w:t>
            </w:r>
            <w:proofErr w:type="spellStart"/>
            <w:r>
              <w:rPr>
                <w:sz w:val="16"/>
                <w:szCs w:val="16"/>
              </w:rPr>
              <w:t>years</w:t>
            </w:r>
            <w:proofErr w:type="spellEnd"/>
            <w:r>
              <w:rPr>
                <w:sz w:val="16"/>
                <w:szCs w:val="16"/>
              </w:rPr>
              <w:t xml:space="preserve"> </w:t>
            </w:r>
            <w:proofErr w:type="spellStart"/>
            <w:r>
              <w:rPr>
                <w:sz w:val="16"/>
                <w:szCs w:val="16"/>
              </w:rPr>
              <w:t>old</w:t>
            </w:r>
            <w:proofErr w:type="spellEnd"/>
          </w:p>
        </w:tc>
        <w:tc>
          <w:tcPr>
            <w:tcW w:w="1609" w:type="dxa"/>
            <w:vAlign w:val="center"/>
          </w:tcPr>
          <w:p w14:paraId="330B82B7" w14:textId="77777777" w:rsidR="001B6CC0" w:rsidRDefault="002A19C8">
            <w:pPr>
              <w:spacing w:line="360" w:lineRule="auto"/>
              <w:jc w:val="left"/>
              <w:rPr>
                <w:sz w:val="16"/>
                <w:szCs w:val="16"/>
              </w:rPr>
            </w:pPr>
            <w:r>
              <w:rPr>
                <w:sz w:val="16"/>
                <w:szCs w:val="16"/>
              </w:rPr>
              <w:t xml:space="preserve">27 </w:t>
            </w:r>
            <w:proofErr w:type="spellStart"/>
            <w:r>
              <w:rPr>
                <w:sz w:val="16"/>
                <w:szCs w:val="16"/>
              </w:rPr>
              <w:t>years</w:t>
            </w:r>
            <w:proofErr w:type="spellEnd"/>
            <w:r>
              <w:rPr>
                <w:sz w:val="16"/>
                <w:szCs w:val="16"/>
              </w:rPr>
              <w:t xml:space="preserve"> </w:t>
            </w:r>
            <w:proofErr w:type="spellStart"/>
            <w:r>
              <w:rPr>
                <w:sz w:val="16"/>
                <w:szCs w:val="16"/>
              </w:rPr>
              <w:t>old</w:t>
            </w:r>
            <w:proofErr w:type="spellEnd"/>
          </w:p>
        </w:tc>
        <w:tc>
          <w:tcPr>
            <w:tcW w:w="1682" w:type="dxa"/>
            <w:vAlign w:val="center"/>
          </w:tcPr>
          <w:p w14:paraId="5BA28138" w14:textId="77777777" w:rsidR="001B6CC0" w:rsidRDefault="002A19C8">
            <w:pPr>
              <w:spacing w:line="360" w:lineRule="auto"/>
              <w:jc w:val="left"/>
              <w:rPr>
                <w:sz w:val="16"/>
                <w:szCs w:val="16"/>
              </w:rPr>
            </w:pPr>
            <w:r>
              <w:rPr>
                <w:sz w:val="16"/>
                <w:szCs w:val="16"/>
              </w:rPr>
              <w:t xml:space="preserve">39 </w:t>
            </w:r>
            <w:proofErr w:type="spellStart"/>
            <w:r>
              <w:rPr>
                <w:sz w:val="16"/>
                <w:szCs w:val="16"/>
              </w:rPr>
              <w:t>years</w:t>
            </w:r>
            <w:proofErr w:type="spellEnd"/>
            <w:r>
              <w:rPr>
                <w:sz w:val="16"/>
                <w:szCs w:val="16"/>
              </w:rPr>
              <w:t xml:space="preserve"> </w:t>
            </w:r>
            <w:proofErr w:type="spellStart"/>
            <w:r>
              <w:rPr>
                <w:sz w:val="16"/>
                <w:szCs w:val="16"/>
              </w:rPr>
              <w:t>old</w:t>
            </w:r>
            <w:proofErr w:type="spellEnd"/>
          </w:p>
        </w:tc>
        <w:tc>
          <w:tcPr>
            <w:tcW w:w="1684" w:type="dxa"/>
            <w:vAlign w:val="center"/>
          </w:tcPr>
          <w:p w14:paraId="044419EA" w14:textId="77777777" w:rsidR="001B6CC0" w:rsidRDefault="002A19C8">
            <w:pPr>
              <w:spacing w:line="360" w:lineRule="auto"/>
              <w:jc w:val="left"/>
              <w:rPr>
                <w:sz w:val="16"/>
                <w:szCs w:val="16"/>
              </w:rPr>
            </w:pPr>
            <w:r>
              <w:rPr>
                <w:sz w:val="16"/>
                <w:szCs w:val="16"/>
              </w:rPr>
              <w:t xml:space="preserve">25 </w:t>
            </w:r>
            <w:proofErr w:type="spellStart"/>
            <w:r>
              <w:rPr>
                <w:sz w:val="16"/>
                <w:szCs w:val="16"/>
              </w:rPr>
              <w:t>years</w:t>
            </w:r>
            <w:proofErr w:type="spellEnd"/>
            <w:r>
              <w:rPr>
                <w:sz w:val="16"/>
                <w:szCs w:val="16"/>
              </w:rPr>
              <w:t xml:space="preserve"> </w:t>
            </w:r>
            <w:proofErr w:type="spellStart"/>
            <w:r>
              <w:rPr>
                <w:sz w:val="16"/>
                <w:szCs w:val="16"/>
              </w:rPr>
              <w:t>old</w:t>
            </w:r>
            <w:proofErr w:type="spellEnd"/>
          </w:p>
        </w:tc>
      </w:tr>
      <w:tr w:rsidR="001B6CC0" w14:paraId="5A624D83" w14:textId="77777777">
        <w:trPr>
          <w:trHeight w:val="336"/>
          <w:jc w:val="center"/>
        </w:trPr>
        <w:tc>
          <w:tcPr>
            <w:tcW w:w="2683" w:type="dxa"/>
            <w:vAlign w:val="center"/>
          </w:tcPr>
          <w:p w14:paraId="57C38FA2" w14:textId="77777777" w:rsidR="001B6CC0" w:rsidRDefault="002A19C8">
            <w:pPr>
              <w:spacing w:line="360" w:lineRule="auto"/>
              <w:jc w:val="left"/>
              <w:rPr>
                <w:sz w:val="16"/>
                <w:szCs w:val="16"/>
              </w:rPr>
            </w:pPr>
            <w:proofErr w:type="spellStart"/>
            <w:r>
              <w:rPr>
                <w:sz w:val="16"/>
                <w:szCs w:val="16"/>
              </w:rPr>
              <w:t>Sex</w:t>
            </w:r>
            <w:proofErr w:type="spellEnd"/>
          </w:p>
        </w:tc>
        <w:tc>
          <w:tcPr>
            <w:tcW w:w="1738" w:type="dxa"/>
            <w:vAlign w:val="center"/>
          </w:tcPr>
          <w:p w14:paraId="046A2813" w14:textId="77777777" w:rsidR="001B6CC0" w:rsidRDefault="002A19C8">
            <w:pPr>
              <w:spacing w:line="360" w:lineRule="auto"/>
              <w:jc w:val="left"/>
              <w:rPr>
                <w:sz w:val="16"/>
                <w:szCs w:val="16"/>
              </w:rPr>
            </w:pPr>
            <w:r>
              <w:rPr>
                <w:sz w:val="16"/>
                <w:szCs w:val="16"/>
              </w:rPr>
              <w:t>F</w:t>
            </w:r>
          </w:p>
        </w:tc>
        <w:tc>
          <w:tcPr>
            <w:tcW w:w="1609" w:type="dxa"/>
            <w:vAlign w:val="center"/>
          </w:tcPr>
          <w:p w14:paraId="77901BCB" w14:textId="77777777" w:rsidR="001B6CC0" w:rsidRDefault="002A19C8">
            <w:pPr>
              <w:spacing w:line="360" w:lineRule="auto"/>
              <w:jc w:val="left"/>
              <w:rPr>
                <w:sz w:val="16"/>
                <w:szCs w:val="16"/>
              </w:rPr>
            </w:pPr>
            <w:r>
              <w:rPr>
                <w:sz w:val="16"/>
                <w:szCs w:val="16"/>
              </w:rPr>
              <w:t>F</w:t>
            </w:r>
          </w:p>
        </w:tc>
        <w:tc>
          <w:tcPr>
            <w:tcW w:w="1682" w:type="dxa"/>
            <w:vAlign w:val="center"/>
          </w:tcPr>
          <w:p w14:paraId="6E87321B" w14:textId="77777777" w:rsidR="001B6CC0" w:rsidRDefault="002A19C8">
            <w:pPr>
              <w:spacing w:line="360" w:lineRule="auto"/>
              <w:jc w:val="left"/>
              <w:rPr>
                <w:sz w:val="16"/>
                <w:szCs w:val="16"/>
              </w:rPr>
            </w:pPr>
            <w:r>
              <w:rPr>
                <w:sz w:val="16"/>
                <w:szCs w:val="16"/>
              </w:rPr>
              <w:t>F</w:t>
            </w:r>
          </w:p>
        </w:tc>
        <w:tc>
          <w:tcPr>
            <w:tcW w:w="1684" w:type="dxa"/>
            <w:vAlign w:val="center"/>
          </w:tcPr>
          <w:p w14:paraId="539A1D49" w14:textId="77777777" w:rsidR="001B6CC0" w:rsidRDefault="002A19C8">
            <w:pPr>
              <w:spacing w:line="360" w:lineRule="auto"/>
              <w:jc w:val="left"/>
              <w:rPr>
                <w:sz w:val="16"/>
                <w:szCs w:val="16"/>
              </w:rPr>
            </w:pPr>
            <w:r>
              <w:rPr>
                <w:sz w:val="16"/>
                <w:szCs w:val="16"/>
              </w:rPr>
              <w:t>F</w:t>
            </w:r>
          </w:p>
        </w:tc>
      </w:tr>
      <w:tr w:rsidR="001B6CC0" w14:paraId="01A4400F" w14:textId="77777777">
        <w:trPr>
          <w:trHeight w:val="684"/>
          <w:jc w:val="center"/>
        </w:trPr>
        <w:tc>
          <w:tcPr>
            <w:tcW w:w="2683" w:type="dxa"/>
            <w:vAlign w:val="center"/>
          </w:tcPr>
          <w:p w14:paraId="08448C2F" w14:textId="77777777" w:rsidR="001B6CC0" w:rsidRPr="005C6DAF" w:rsidRDefault="002A19C8">
            <w:pPr>
              <w:spacing w:line="360" w:lineRule="auto"/>
              <w:jc w:val="left"/>
              <w:rPr>
                <w:sz w:val="16"/>
                <w:szCs w:val="16"/>
                <w:lang w:val="en-US"/>
              </w:rPr>
            </w:pPr>
            <w:r w:rsidRPr="005C6DAF">
              <w:rPr>
                <w:sz w:val="16"/>
                <w:szCs w:val="16"/>
                <w:lang w:val="en-US"/>
              </w:rPr>
              <w:t>Surgical, medical and obstetric history</w:t>
            </w:r>
          </w:p>
        </w:tc>
        <w:tc>
          <w:tcPr>
            <w:tcW w:w="1738" w:type="dxa"/>
            <w:vAlign w:val="center"/>
          </w:tcPr>
          <w:p w14:paraId="48C2A8A3" w14:textId="029683E5" w:rsidR="001B6CC0" w:rsidRDefault="009872C6">
            <w:pPr>
              <w:spacing w:line="360" w:lineRule="auto"/>
              <w:jc w:val="left"/>
              <w:rPr>
                <w:sz w:val="16"/>
                <w:szCs w:val="16"/>
              </w:rPr>
            </w:pPr>
            <w:r>
              <w:rPr>
                <w:sz w:val="16"/>
                <w:szCs w:val="16"/>
              </w:rPr>
              <w:t>HTA</w:t>
            </w:r>
          </w:p>
        </w:tc>
        <w:tc>
          <w:tcPr>
            <w:tcW w:w="1609" w:type="dxa"/>
            <w:vAlign w:val="center"/>
          </w:tcPr>
          <w:p w14:paraId="6ECC4C94" w14:textId="15087F82" w:rsidR="001B6CC0" w:rsidRDefault="009872C6">
            <w:pPr>
              <w:spacing w:line="360" w:lineRule="auto"/>
              <w:jc w:val="left"/>
              <w:rPr>
                <w:sz w:val="16"/>
                <w:szCs w:val="16"/>
              </w:rPr>
            </w:pPr>
            <w:r>
              <w:rPr>
                <w:sz w:val="16"/>
                <w:szCs w:val="16"/>
              </w:rPr>
              <w:t>None</w:t>
            </w:r>
          </w:p>
        </w:tc>
        <w:tc>
          <w:tcPr>
            <w:tcW w:w="1682" w:type="dxa"/>
            <w:vAlign w:val="center"/>
          </w:tcPr>
          <w:p w14:paraId="2EA2C207" w14:textId="74DF7A02" w:rsidR="001B6CC0" w:rsidRDefault="009872C6">
            <w:pPr>
              <w:spacing w:line="360" w:lineRule="auto"/>
              <w:jc w:val="left"/>
              <w:rPr>
                <w:sz w:val="16"/>
                <w:szCs w:val="16"/>
              </w:rPr>
            </w:pPr>
            <w:r>
              <w:rPr>
                <w:sz w:val="16"/>
                <w:szCs w:val="16"/>
              </w:rPr>
              <w:t>None</w:t>
            </w:r>
          </w:p>
        </w:tc>
        <w:tc>
          <w:tcPr>
            <w:tcW w:w="1684" w:type="dxa"/>
            <w:vAlign w:val="center"/>
          </w:tcPr>
          <w:p w14:paraId="34FA4E8D" w14:textId="3AB08DEB" w:rsidR="001B6CC0" w:rsidRDefault="002A19C8">
            <w:pPr>
              <w:spacing w:line="360" w:lineRule="auto"/>
              <w:jc w:val="left"/>
              <w:rPr>
                <w:sz w:val="16"/>
                <w:szCs w:val="16"/>
              </w:rPr>
            </w:pPr>
            <w:proofErr w:type="spellStart"/>
            <w:r>
              <w:rPr>
                <w:sz w:val="16"/>
                <w:szCs w:val="16"/>
              </w:rPr>
              <w:t>Asthma</w:t>
            </w:r>
            <w:proofErr w:type="spellEnd"/>
          </w:p>
        </w:tc>
      </w:tr>
      <w:tr w:rsidR="001B6CC0" w14:paraId="705145B4" w14:textId="77777777">
        <w:trPr>
          <w:trHeight w:val="347"/>
          <w:jc w:val="center"/>
        </w:trPr>
        <w:tc>
          <w:tcPr>
            <w:tcW w:w="2683" w:type="dxa"/>
            <w:vAlign w:val="center"/>
          </w:tcPr>
          <w:p w14:paraId="153A21D8" w14:textId="77777777" w:rsidR="001B6CC0" w:rsidRDefault="002A19C8">
            <w:pPr>
              <w:spacing w:line="360" w:lineRule="auto"/>
              <w:jc w:val="left"/>
              <w:rPr>
                <w:sz w:val="16"/>
                <w:szCs w:val="16"/>
              </w:rPr>
            </w:pPr>
            <w:r>
              <w:rPr>
                <w:sz w:val="16"/>
                <w:szCs w:val="16"/>
              </w:rPr>
              <w:t>Date of intervention/Care</w:t>
            </w:r>
          </w:p>
        </w:tc>
        <w:tc>
          <w:tcPr>
            <w:tcW w:w="1738" w:type="dxa"/>
            <w:vAlign w:val="center"/>
          </w:tcPr>
          <w:p w14:paraId="72311D41" w14:textId="77777777" w:rsidR="001B6CC0" w:rsidRDefault="002A19C8">
            <w:pPr>
              <w:spacing w:line="360" w:lineRule="auto"/>
              <w:jc w:val="left"/>
              <w:rPr>
                <w:sz w:val="16"/>
                <w:szCs w:val="16"/>
              </w:rPr>
            </w:pPr>
            <w:r>
              <w:rPr>
                <w:sz w:val="16"/>
                <w:szCs w:val="16"/>
              </w:rPr>
              <w:t>12/04/2023</w:t>
            </w:r>
          </w:p>
        </w:tc>
        <w:tc>
          <w:tcPr>
            <w:tcW w:w="1609" w:type="dxa"/>
            <w:vAlign w:val="center"/>
          </w:tcPr>
          <w:p w14:paraId="613C3E62" w14:textId="77777777" w:rsidR="001B6CC0" w:rsidRDefault="002A19C8">
            <w:pPr>
              <w:spacing w:line="360" w:lineRule="auto"/>
              <w:jc w:val="left"/>
              <w:rPr>
                <w:sz w:val="16"/>
                <w:szCs w:val="16"/>
              </w:rPr>
            </w:pPr>
            <w:r>
              <w:rPr>
                <w:sz w:val="16"/>
                <w:szCs w:val="16"/>
              </w:rPr>
              <w:t>12/18/2023</w:t>
            </w:r>
          </w:p>
        </w:tc>
        <w:tc>
          <w:tcPr>
            <w:tcW w:w="1682" w:type="dxa"/>
            <w:vAlign w:val="center"/>
          </w:tcPr>
          <w:p w14:paraId="5F323042" w14:textId="77777777" w:rsidR="001B6CC0" w:rsidRDefault="002A19C8">
            <w:pPr>
              <w:spacing w:line="360" w:lineRule="auto"/>
              <w:jc w:val="left"/>
              <w:rPr>
                <w:sz w:val="16"/>
                <w:szCs w:val="16"/>
              </w:rPr>
            </w:pPr>
            <w:r>
              <w:rPr>
                <w:sz w:val="16"/>
                <w:szCs w:val="16"/>
              </w:rPr>
              <w:t>12/21/2023</w:t>
            </w:r>
          </w:p>
        </w:tc>
        <w:tc>
          <w:tcPr>
            <w:tcW w:w="1684" w:type="dxa"/>
            <w:vAlign w:val="center"/>
          </w:tcPr>
          <w:p w14:paraId="23723B14" w14:textId="77777777" w:rsidR="001B6CC0" w:rsidRDefault="002A19C8">
            <w:pPr>
              <w:spacing w:line="360" w:lineRule="auto"/>
              <w:jc w:val="left"/>
              <w:rPr>
                <w:sz w:val="16"/>
                <w:szCs w:val="16"/>
              </w:rPr>
            </w:pPr>
            <w:r>
              <w:rPr>
                <w:sz w:val="16"/>
                <w:szCs w:val="16"/>
              </w:rPr>
              <w:t>12/18/2023</w:t>
            </w:r>
          </w:p>
        </w:tc>
      </w:tr>
      <w:tr w:rsidR="001B6CC0" w14:paraId="5655FCE1" w14:textId="77777777">
        <w:trPr>
          <w:trHeight w:val="336"/>
          <w:jc w:val="center"/>
        </w:trPr>
        <w:tc>
          <w:tcPr>
            <w:tcW w:w="2683" w:type="dxa"/>
            <w:vAlign w:val="center"/>
          </w:tcPr>
          <w:p w14:paraId="78EC099E" w14:textId="77777777" w:rsidR="001B6CC0" w:rsidRDefault="002A19C8">
            <w:pPr>
              <w:spacing w:line="360" w:lineRule="auto"/>
              <w:jc w:val="left"/>
              <w:rPr>
                <w:sz w:val="16"/>
                <w:szCs w:val="16"/>
              </w:rPr>
            </w:pPr>
            <w:r>
              <w:rPr>
                <w:sz w:val="16"/>
                <w:szCs w:val="16"/>
              </w:rPr>
              <w:t xml:space="preserve">Incubation </w:t>
            </w:r>
            <w:proofErr w:type="spellStart"/>
            <w:r>
              <w:rPr>
                <w:sz w:val="16"/>
                <w:szCs w:val="16"/>
              </w:rPr>
              <w:t>period</w:t>
            </w:r>
            <w:proofErr w:type="spellEnd"/>
          </w:p>
        </w:tc>
        <w:tc>
          <w:tcPr>
            <w:tcW w:w="1738" w:type="dxa"/>
            <w:vAlign w:val="center"/>
          </w:tcPr>
          <w:p w14:paraId="1239DCBA" w14:textId="77777777" w:rsidR="001B6CC0" w:rsidRDefault="002A19C8">
            <w:pPr>
              <w:spacing w:line="360" w:lineRule="auto"/>
              <w:jc w:val="left"/>
              <w:rPr>
                <w:sz w:val="16"/>
                <w:szCs w:val="16"/>
              </w:rPr>
            </w:pPr>
            <w:r>
              <w:rPr>
                <w:sz w:val="16"/>
                <w:szCs w:val="16"/>
              </w:rPr>
              <w:t xml:space="preserve">20 </w:t>
            </w:r>
            <w:proofErr w:type="spellStart"/>
            <w:r>
              <w:rPr>
                <w:sz w:val="16"/>
                <w:szCs w:val="16"/>
              </w:rPr>
              <w:t>days</w:t>
            </w:r>
            <w:proofErr w:type="spellEnd"/>
          </w:p>
        </w:tc>
        <w:tc>
          <w:tcPr>
            <w:tcW w:w="1609" w:type="dxa"/>
            <w:vAlign w:val="center"/>
          </w:tcPr>
          <w:p w14:paraId="50D57574" w14:textId="77777777" w:rsidR="001B6CC0" w:rsidRDefault="002A19C8">
            <w:pPr>
              <w:spacing w:line="360" w:lineRule="auto"/>
              <w:jc w:val="left"/>
              <w:rPr>
                <w:sz w:val="16"/>
                <w:szCs w:val="16"/>
              </w:rPr>
            </w:pPr>
            <w:r>
              <w:rPr>
                <w:sz w:val="16"/>
                <w:szCs w:val="16"/>
              </w:rPr>
              <w:t xml:space="preserve">02 </w:t>
            </w:r>
            <w:proofErr w:type="spellStart"/>
            <w:r>
              <w:rPr>
                <w:sz w:val="16"/>
                <w:szCs w:val="16"/>
              </w:rPr>
              <w:t>days</w:t>
            </w:r>
            <w:proofErr w:type="spellEnd"/>
          </w:p>
        </w:tc>
        <w:tc>
          <w:tcPr>
            <w:tcW w:w="1682" w:type="dxa"/>
            <w:vAlign w:val="center"/>
          </w:tcPr>
          <w:p w14:paraId="2807D196" w14:textId="77777777" w:rsidR="001B6CC0" w:rsidRDefault="002A19C8">
            <w:pPr>
              <w:spacing w:line="360" w:lineRule="auto"/>
              <w:jc w:val="left"/>
              <w:rPr>
                <w:sz w:val="16"/>
                <w:szCs w:val="16"/>
              </w:rPr>
            </w:pPr>
            <w:r>
              <w:rPr>
                <w:sz w:val="16"/>
                <w:szCs w:val="16"/>
              </w:rPr>
              <w:t xml:space="preserve">18 </w:t>
            </w:r>
            <w:proofErr w:type="spellStart"/>
            <w:r>
              <w:rPr>
                <w:sz w:val="16"/>
                <w:szCs w:val="16"/>
              </w:rPr>
              <w:t>days</w:t>
            </w:r>
            <w:proofErr w:type="spellEnd"/>
          </w:p>
        </w:tc>
        <w:tc>
          <w:tcPr>
            <w:tcW w:w="1684" w:type="dxa"/>
            <w:vAlign w:val="center"/>
          </w:tcPr>
          <w:p w14:paraId="4F00374A" w14:textId="77777777" w:rsidR="001B6CC0" w:rsidRDefault="002A19C8">
            <w:pPr>
              <w:spacing w:line="360" w:lineRule="auto"/>
              <w:jc w:val="left"/>
              <w:rPr>
                <w:sz w:val="16"/>
                <w:szCs w:val="16"/>
              </w:rPr>
            </w:pPr>
            <w:r>
              <w:rPr>
                <w:sz w:val="16"/>
                <w:szCs w:val="16"/>
              </w:rPr>
              <w:t xml:space="preserve">09 </w:t>
            </w:r>
            <w:proofErr w:type="spellStart"/>
            <w:r>
              <w:rPr>
                <w:sz w:val="16"/>
                <w:szCs w:val="16"/>
              </w:rPr>
              <w:t>days</w:t>
            </w:r>
            <w:proofErr w:type="spellEnd"/>
          </w:p>
        </w:tc>
      </w:tr>
      <w:tr w:rsidR="001B6CC0" w14:paraId="6A018F8F" w14:textId="77777777">
        <w:trPr>
          <w:trHeight w:val="1125"/>
          <w:jc w:val="center"/>
        </w:trPr>
        <w:tc>
          <w:tcPr>
            <w:tcW w:w="2683" w:type="dxa"/>
            <w:vAlign w:val="center"/>
          </w:tcPr>
          <w:p w14:paraId="3BD32C44" w14:textId="77777777" w:rsidR="001B6CC0" w:rsidRDefault="002A19C8">
            <w:pPr>
              <w:spacing w:line="360" w:lineRule="auto"/>
              <w:jc w:val="left"/>
              <w:rPr>
                <w:sz w:val="16"/>
                <w:szCs w:val="16"/>
              </w:rPr>
            </w:pPr>
            <w:r>
              <w:rPr>
                <w:sz w:val="16"/>
                <w:szCs w:val="16"/>
              </w:rPr>
              <w:t xml:space="preserve">Description of </w:t>
            </w:r>
            <w:proofErr w:type="spellStart"/>
            <w:r>
              <w:rPr>
                <w:sz w:val="16"/>
                <w:szCs w:val="16"/>
              </w:rPr>
              <w:t>symptoms</w:t>
            </w:r>
            <w:proofErr w:type="spellEnd"/>
          </w:p>
        </w:tc>
        <w:tc>
          <w:tcPr>
            <w:tcW w:w="1738" w:type="dxa"/>
            <w:vAlign w:val="center"/>
          </w:tcPr>
          <w:p w14:paraId="2F55EF17" w14:textId="77777777" w:rsidR="001B6CC0" w:rsidRDefault="002A19C8">
            <w:pPr>
              <w:spacing w:line="360" w:lineRule="auto"/>
              <w:jc w:val="left"/>
              <w:rPr>
                <w:sz w:val="16"/>
                <w:szCs w:val="16"/>
              </w:rPr>
            </w:pPr>
            <w:r>
              <w:rPr>
                <w:sz w:val="16"/>
                <w:szCs w:val="16"/>
              </w:rPr>
              <w:t>-</w:t>
            </w:r>
            <w:proofErr w:type="spellStart"/>
            <w:r>
              <w:rPr>
                <w:sz w:val="16"/>
                <w:szCs w:val="16"/>
              </w:rPr>
              <w:t>Meningeal</w:t>
            </w:r>
            <w:proofErr w:type="spellEnd"/>
            <w:r>
              <w:rPr>
                <w:sz w:val="16"/>
                <w:szCs w:val="16"/>
              </w:rPr>
              <w:t xml:space="preserve"> syndrome</w:t>
            </w:r>
          </w:p>
          <w:p w14:paraId="0EC21CA6" w14:textId="34268A3D" w:rsidR="001B6CC0" w:rsidRDefault="002A19C8">
            <w:pPr>
              <w:spacing w:line="360" w:lineRule="auto"/>
              <w:jc w:val="left"/>
              <w:rPr>
                <w:sz w:val="16"/>
                <w:szCs w:val="16"/>
              </w:rPr>
            </w:pPr>
            <w:r>
              <w:rPr>
                <w:sz w:val="16"/>
                <w:szCs w:val="16"/>
              </w:rPr>
              <w:t>-</w:t>
            </w:r>
            <w:r w:rsidR="00C705F1" w:rsidRPr="00B323FA">
              <w:rPr>
                <w:sz w:val="16"/>
                <w:szCs w:val="16"/>
                <w:lang w:val="en-US"/>
              </w:rPr>
              <w:t>Drowsiness</w:t>
            </w:r>
          </w:p>
          <w:p w14:paraId="47D1D73C" w14:textId="755617FE" w:rsidR="001B6CC0" w:rsidRDefault="002A19C8">
            <w:pPr>
              <w:spacing w:line="360" w:lineRule="auto"/>
              <w:jc w:val="left"/>
              <w:rPr>
                <w:sz w:val="16"/>
                <w:szCs w:val="16"/>
              </w:rPr>
            </w:pPr>
            <w:r>
              <w:rPr>
                <w:sz w:val="16"/>
                <w:szCs w:val="16"/>
              </w:rPr>
              <w:t>-</w:t>
            </w:r>
            <w:r w:rsidR="00C705F1">
              <w:rPr>
                <w:sz w:val="16"/>
                <w:szCs w:val="16"/>
              </w:rPr>
              <w:t>Fever :</w:t>
            </w:r>
            <w:r>
              <w:rPr>
                <w:sz w:val="16"/>
                <w:szCs w:val="16"/>
              </w:rPr>
              <w:t xml:space="preserve"> 38.5°</w:t>
            </w:r>
          </w:p>
        </w:tc>
        <w:tc>
          <w:tcPr>
            <w:tcW w:w="1609" w:type="dxa"/>
            <w:vAlign w:val="center"/>
          </w:tcPr>
          <w:p w14:paraId="583AE4D9" w14:textId="77777777" w:rsidR="001B6CC0" w:rsidRDefault="002A19C8">
            <w:pPr>
              <w:spacing w:line="360" w:lineRule="auto"/>
              <w:jc w:val="left"/>
              <w:rPr>
                <w:sz w:val="16"/>
                <w:szCs w:val="16"/>
              </w:rPr>
            </w:pPr>
            <w:r>
              <w:rPr>
                <w:sz w:val="16"/>
                <w:szCs w:val="16"/>
              </w:rPr>
              <w:t>-Syndrome</w:t>
            </w:r>
          </w:p>
          <w:p w14:paraId="666A40AE" w14:textId="77777777" w:rsidR="001B6CC0" w:rsidRDefault="002A19C8">
            <w:pPr>
              <w:spacing w:line="360" w:lineRule="auto"/>
              <w:jc w:val="left"/>
              <w:rPr>
                <w:sz w:val="16"/>
                <w:szCs w:val="16"/>
              </w:rPr>
            </w:pPr>
            <w:proofErr w:type="spellStart"/>
            <w:r>
              <w:rPr>
                <w:sz w:val="16"/>
                <w:szCs w:val="16"/>
              </w:rPr>
              <w:t>Meninges</w:t>
            </w:r>
            <w:proofErr w:type="spellEnd"/>
          </w:p>
          <w:p w14:paraId="154049FA" w14:textId="2EA2F5D2" w:rsidR="001B6CC0" w:rsidRDefault="002A19C8">
            <w:pPr>
              <w:spacing w:line="360" w:lineRule="auto"/>
              <w:jc w:val="left"/>
              <w:rPr>
                <w:sz w:val="16"/>
                <w:szCs w:val="16"/>
              </w:rPr>
            </w:pPr>
            <w:r>
              <w:rPr>
                <w:sz w:val="16"/>
                <w:szCs w:val="16"/>
              </w:rPr>
              <w:t>-</w:t>
            </w:r>
            <w:r w:rsidR="00C705F1" w:rsidRPr="00B323FA">
              <w:rPr>
                <w:sz w:val="16"/>
                <w:szCs w:val="16"/>
                <w:lang w:val="en-US"/>
              </w:rPr>
              <w:t>Drowsiness</w:t>
            </w:r>
          </w:p>
          <w:p w14:paraId="5E62AB79" w14:textId="77777777" w:rsidR="001B6CC0" w:rsidRDefault="002A19C8">
            <w:pPr>
              <w:spacing w:line="360" w:lineRule="auto"/>
              <w:jc w:val="left"/>
              <w:rPr>
                <w:sz w:val="16"/>
                <w:szCs w:val="16"/>
              </w:rPr>
            </w:pPr>
            <w:r>
              <w:rPr>
                <w:sz w:val="16"/>
                <w:szCs w:val="16"/>
              </w:rPr>
              <w:t>-Convulsion</w:t>
            </w:r>
          </w:p>
          <w:p w14:paraId="0A592EE1" w14:textId="08E8F5C5" w:rsidR="001B6CC0" w:rsidRDefault="002A19C8">
            <w:pPr>
              <w:spacing w:line="360" w:lineRule="auto"/>
              <w:jc w:val="left"/>
              <w:rPr>
                <w:sz w:val="16"/>
                <w:szCs w:val="16"/>
              </w:rPr>
            </w:pPr>
            <w:r>
              <w:rPr>
                <w:sz w:val="16"/>
                <w:szCs w:val="16"/>
              </w:rPr>
              <w:t>-</w:t>
            </w:r>
            <w:r w:rsidR="00C705F1">
              <w:rPr>
                <w:sz w:val="16"/>
                <w:szCs w:val="16"/>
              </w:rPr>
              <w:t>Fever :</w:t>
            </w:r>
            <w:r>
              <w:rPr>
                <w:sz w:val="16"/>
                <w:szCs w:val="16"/>
              </w:rPr>
              <w:t xml:space="preserve"> 38.2°</w:t>
            </w:r>
          </w:p>
        </w:tc>
        <w:tc>
          <w:tcPr>
            <w:tcW w:w="1682" w:type="dxa"/>
            <w:vAlign w:val="center"/>
          </w:tcPr>
          <w:p w14:paraId="1A683320" w14:textId="77777777" w:rsidR="001B6CC0" w:rsidRDefault="002A19C8">
            <w:pPr>
              <w:spacing w:line="360" w:lineRule="auto"/>
              <w:jc w:val="left"/>
              <w:rPr>
                <w:sz w:val="16"/>
                <w:szCs w:val="16"/>
              </w:rPr>
            </w:pPr>
            <w:r>
              <w:rPr>
                <w:sz w:val="16"/>
                <w:szCs w:val="16"/>
              </w:rPr>
              <w:t>-</w:t>
            </w:r>
            <w:proofErr w:type="spellStart"/>
            <w:r>
              <w:rPr>
                <w:sz w:val="16"/>
                <w:szCs w:val="16"/>
              </w:rPr>
              <w:t>Meningeal</w:t>
            </w:r>
            <w:proofErr w:type="spellEnd"/>
            <w:r>
              <w:rPr>
                <w:sz w:val="16"/>
                <w:szCs w:val="16"/>
              </w:rPr>
              <w:t xml:space="preserve"> syndrome</w:t>
            </w:r>
          </w:p>
          <w:p w14:paraId="2A7E0DBF" w14:textId="77777777" w:rsidR="001B6CC0" w:rsidRDefault="002A19C8">
            <w:pPr>
              <w:spacing w:line="360" w:lineRule="auto"/>
              <w:jc w:val="left"/>
              <w:rPr>
                <w:sz w:val="16"/>
                <w:szCs w:val="16"/>
              </w:rPr>
            </w:pPr>
            <w:r>
              <w:rPr>
                <w:sz w:val="16"/>
                <w:szCs w:val="16"/>
              </w:rPr>
              <w:t>-Fever: 38.5°</w:t>
            </w:r>
          </w:p>
        </w:tc>
        <w:tc>
          <w:tcPr>
            <w:tcW w:w="1684" w:type="dxa"/>
            <w:vAlign w:val="center"/>
          </w:tcPr>
          <w:p w14:paraId="40E217ED" w14:textId="77777777" w:rsidR="001B6CC0" w:rsidRDefault="002A19C8">
            <w:pPr>
              <w:spacing w:line="360" w:lineRule="auto"/>
              <w:jc w:val="left"/>
              <w:rPr>
                <w:sz w:val="16"/>
                <w:szCs w:val="16"/>
              </w:rPr>
            </w:pPr>
            <w:r>
              <w:rPr>
                <w:sz w:val="16"/>
                <w:szCs w:val="16"/>
              </w:rPr>
              <w:t>-</w:t>
            </w:r>
            <w:proofErr w:type="spellStart"/>
            <w:r>
              <w:rPr>
                <w:sz w:val="16"/>
                <w:szCs w:val="16"/>
              </w:rPr>
              <w:t>Meningeal</w:t>
            </w:r>
            <w:proofErr w:type="spellEnd"/>
            <w:r>
              <w:rPr>
                <w:sz w:val="16"/>
                <w:szCs w:val="16"/>
              </w:rPr>
              <w:t xml:space="preserve"> syndrome</w:t>
            </w:r>
          </w:p>
          <w:p w14:paraId="3CBCBA23" w14:textId="77777777" w:rsidR="001B6CC0" w:rsidRDefault="002A19C8">
            <w:pPr>
              <w:spacing w:line="360" w:lineRule="auto"/>
              <w:jc w:val="left"/>
              <w:rPr>
                <w:sz w:val="16"/>
                <w:szCs w:val="16"/>
              </w:rPr>
            </w:pPr>
            <w:r>
              <w:rPr>
                <w:sz w:val="16"/>
                <w:szCs w:val="16"/>
              </w:rPr>
              <w:t>-</w:t>
            </w:r>
            <w:proofErr w:type="spellStart"/>
            <w:r>
              <w:rPr>
                <w:sz w:val="16"/>
                <w:szCs w:val="16"/>
              </w:rPr>
              <w:t>Intracranial</w:t>
            </w:r>
            <w:proofErr w:type="spellEnd"/>
            <w:r>
              <w:rPr>
                <w:sz w:val="16"/>
                <w:szCs w:val="16"/>
              </w:rPr>
              <w:t xml:space="preserve"> hypertension</w:t>
            </w:r>
          </w:p>
          <w:p w14:paraId="2F3D9ECB" w14:textId="77777777" w:rsidR="001B6CC0" w:rsidRDefault="002A19C8">
            <w:pPr>
              <w:spacing w:line="360" w:lineRule="auto"/>
              <w:jc w:val="left"/>
              <w:rPr>
                <w:sz w:val="16"/>
                <w:szCs w:val="16"/>
              </w:rPr>
            </w:pPr>
            <w:r>
              <w:rPr>
                <w:sz w:val="16"/>
                <w:szCs w:val="16"/>
              </w:rPr>
              <w:t>-</w:t>
            </w:r>
            <w:proofErr w:type="spellStart"/>
            <w:r>
              <w:rPr>
                <w:sz w:val="16"/>
                <w:szCs w:val="16"/>
              </w:rPr>
              <w:t>Infectious</w:t>
            </w:r>
            <w:proofErr w:type="spellEnd"/>
            <w:r>
              <w:rPr>
                <w:sz w:val="16"/>
                <w:szCs w:val="16"/>
              </w:rPr>
              <w:t xml:space="preserve"> syndrome</w:t>
            </w:r>
          </w:p>
        </w:tc>
      </w:tr>
      <w:tr w:rsidR="001B6CC0" w14:paraId="3E03F021" w14:textId="77777777">
        <w:trPr>
          <w:trHeight w:val="347"/>
          <w:jc w:val="center"/>
        </w:trPr>
        <w:tc>
          <w:tcPr>
            <w:tcW w:w="2683" w:type="dxa"/>
            <w:vAlign w:val="center"/>
          </w:tcPr>
          <w:p w14:paraId="58ED5B88" w14:textId="77777777" w:rsidR="001B6CC0" w:rsidRDefault="002A19C8">
            <w:pPr>
              <w:spacing w:line="360" w:lineRule="auto"/>
              <w:jc w:val="left"/>
              <w:rPr>
                <w:sz w:val="16"/>
                <w:szCs w:val="16"/>
              </w:rPr>
            </w:pPr>
            <w:r>
              <w:rPr>
                <w:sz w:val="16"/>
                <w:szCs w:val="16"/>
              </w:rPr>
              <w:t xml:space="preserve">Direct </w:t>
            </w:r>
            <w:proofErr w:type="spellStart"/>
            <w:r>
              <w:rPr>
                <w:sz w:val="16"/>
                <w:szCs w:val="16"/>
              </w:rPr>
              <w:t>examination</w:t>
            </w:r>
            <w:proofErr w:type="spellEnd"/>
          </w:p>
        </w:tc>
        <w:tc>
          <w:tcPr>
            <w:tcW w:w="1738" w:type="dxa"/>
            <w:vAlign w:val="center"/>
          </w:tcPr>
          <w:p w14:paraId="24DD508B" w14:textId="77777777" w:rsidR="001B6CC0" w:rsidRDefault="002A19C8">
            <w:pPr>
              <w:spacing w:line="360" w:lineRule="auto"/>
              <w:jc w:val="left"/>
              <w:rPr>
                <w:sz w:val="16"/>
                <w:szCs w:val="16"/>
              </w:rPr>
            </w:pPr>
            <w:proofErr w:type="spellStart"/>
            <w:r>
              <w:rPr>
                <w:sz w:val="16"/>
                <w:szCs w:val="16"/>
              </w:rPr>
              <w:t>Negative</w:t>
            </w:r>
            <w:proofErr w:type="spellEnd"/>
          </w:p>
        </w:tc>
        <w:tc>
          <w:tcPr>
            <w:tcW w:w="1609" w:type="dxa"/>
            <w:vAlign w:val="center"/>
          </w:tcPr>
          <w:p w14:paraId="596799B2" w14:textId="77777777" w:rsidR="001B6CC0" w:rsidRDefault="002A19C8">
            <w:pPr>
              <w:spacing w:line="360" w:lineRule="auto"/>
              <w:jc w:val="left"/>
              <w:rPr>
                <w:sz w:val="16"/>
                <w:szCs w:val="16"/>
              </w:rPr>
            </w:pPr>
            <w:proofErr w:type="spellStart"/>
            <w:r>
              <w:rPr>
                <w:sz w:val="16"/>
                <w:szCs w:val="16"/>
              </w:rPr>
              <w:t>Negative</w:t>
            </w:r>
            <w:proofErr w:type="spellEnd"/>
          </w:p>
        </w:tc>
        <w:tc>
          <w:tcPr>
            <w:tcW w:w="1682" w:type="dxa"/>
            <w:vAlign w:val="center"/>
          </w:tcPr>
          <w:p w14:paraId="76801A27" w14:textId="77777777" w:rsidR="001B6CC0" w:rsidRDefault="002A19C8">
            <w:pPr>
              <w:spacing w:line="360" w:lineRule="auto"/>
              <w:jc w:val="left"/>
              <w:rPr>
                <w:sz w:val="16"/>
                <w:szCs w:val="16"/>
              </w:rPr>
            </w:pPr>
            <w:r>
              <w:rPr>
                <w:sz w:val="16"/>
                <w:szCs w:val="16"/>
              </w:rPr>
              <w:t xml:space="preserve">Not </w:t>
            </w:r>
            <w:proofErr w:type="spellStart"/>
            <w:r>
              <w:rPr>
                <w:sz w:val="16"/>
                <w:szCs w:val="16"/>
              </w:rPr>
              <w:t>done</w:t>
            </w:r>
            <w:proofErr w:type="spellEnd"/>
          </w:p>
        </w:tc>
        <w:tc>
          <w:tcPr>
            <w:tcW w:w="1684" w:type="dxa"/>
            <w:vAlign w:val="center"/>
          </w:tcPr>
          <w:p w14:paraId="2B7837DD" w14:textId="77777777" w:rsidR="001B6CC0" w:rsidRDefault="002A19C8">
            <w:pPr>
              <w:spacing w:line="360" w:lineRule="auto"/>
              <w:jc w:val="left"/>
              <w:rPr>
                <w:sz w:val="16"/>
                <w:szCs w:val="16"/>
              </w:rPr>
            </w:pPr>
            <w:proofErr w:type="spellStart"/>
            <w:r>
              <w:rPr>
                <w:sz w:val="16"/>
                <w:szCs w:val="16"/>
              </w:rPr>
              <w:t>Negative</w:t>
            </w:r>
            <w:proofErr w:type="spellEnd"/>
          </w:p>
        </w:tc>
      </w:tr>
      <w:tr w:rsidR="001B6CC0" w14:paraId="0421CBA9" w14:textId="77777777">
        <w:trPr>
          <w:trHeight w:val="347"/>
          <w:jc w:val="center"/>
        </w:trPr>
        <w:tc>
          <w:tcPr>
            <w:tcW w:w="2683" w:type="dxa"/>
            <w:vAlign w:val="center"/>
          </w:tcPr>
          <w:p w14:paraId="381FE978" w14:textId="77777777" w:rsidR="001B6CC0" w:rsidRDefault="002A19C8">
            <w:pPr>
              <w:spacing w:line="360" w:lineRule="auto"/>
              <w:jc w:val="left"/>
              <w:rPr>
                <w:sz w:val="16"/>
                <w:szCs w:val="16"/>
              </w:rPr>
            </w:pPr>
            <w:r>
              <w:rPr>
                <w:sz w:val="16"/>
                <w:szCs w:val="16"/>
              </w:rPr>
              <w:t>PCR</w:t>
            </w:r>
          </w:p>
        </w:tc>
        <w:tc>
          <w:tcPr>
            <w:tcW w:w="1738" w:type="dxa"/>
            <w:vAlign w:val="center"/>
          </w:tcPr>
          <w:p w14:paraId="3B4C855F" w14:textId="77777777" w:rsidR="001B6CC0" w:rsidRDefault="002A19C8">
            <w:pPr>
              <w:spacing w:line="360" w:lineRule="auto"/>
              <w:jc w:val="left"/>
              <w:rPr>
                <w:sz w:val="16"/>
                <w:szCs w:val="16"/>
              </w:rPr>
            </w:pPr>
            <w:proofErr w:type="spellStart"/>
            <w:r>
              <w:rPr>
                <w:sz w:val="16"/>
                <w:szCs w:val="16"/>
              </w:rPr>
              <w:t>Negative</w:t>
            </w:r>
            <w:proofErr w:type="spellEnd"/>
          </w:p>
        </w:tc>
        <w:tc>
          <w:tcPr>
            <w:tcW w:w="1609" w:type="dxa"/>
            <w:vAlign w:val="center"/>
          </w:tcPr>
          <w:p w14:paraId="01A5731E" w14:textId="77777777" w:rsidR="001B6CC0" w:rsidRDefault="002A19C8">
            <w:pPr>
              <w:spacing w:line="360" w:lineRule="auto"/>
              <w:jc w:val="left"/>
              <w:rPr>
                <w:sz w:val="16"/>
                <w:szCs w:val="16"/>
              </w:rPr>
            </w:pPr>
            <w:proofErr w:type="spellStart"/>
            <w:r>
              <w:rPr>
                <w:sz w:val="16"/>
                <w:szCs w:val="16"/>
              </w:rPr>
              <w:t>Negative</w:t>
            </w:r>
            <w:proofErr w:type="spellEnd"/>
          </w:p>
        </w:tc>
        <w:tc>
          <w:tcPr>
            <w:tcW w:w="1682" w:type="dxa"/>
            <w:vAlign w:val="center"/>
          </w:tcPr>
          <w:p w14:paraId="433E0510" w14:textId="77777777" w:rsidR="001B6CC0" w:rsidRDefault="002A19C8">
            <w:pPr>
              <w:spacing w:line="360" w:lineRule="auto"/>
              <w:jc w:val="left"/>
              <w:rPr>
                <w:sz w:val="16"/>
                <w:szCs w:val="16"/>
              </w:rPr>
            </w:pPr>
            <w:r>
              <w:rPr>
                <w:sz w:val="16"/>
                <w:szCs w:val="16"/>
              </w:rPr>
              <w:t xml:space="preserve">Not </w:t>
            </w:r>
            <w:proofErr w:type="spellStart"/>
            <w:r>
              <w:rPr>
                <w:sz w:val="16"/>
                <w:szCs w:val="16"/>
              </w:rPr>
              <w:t>done</w:t>
            </w:r>
            <w:proofErr w:type="spellEnd"/>
          </w:p>
        </w:tc>
        <w:tc>
          <w:tcPr>
            <w:tcW w:w="1684" w:type="dxa"/>
            <w:vAlign w:val="center"/>
          </w:tcPr>
          <w:p w14:paraId="3D551560" w14:textId="77777777" w:rsidR="001B6CC0" w:rsidRDefault="002A19C8">
            <w:pPr>
              <w:spacing w:line="360" w:lineRule="auto"/>
              <w:jc w:val="left"/>
              <w:rPr>
                <w:sz w:val="16"/>
                <w:szCs w:val="16"/>
              </w:rPr>
            </w:pPr>
            <w:proofErr w:type="spellStart"/>
            <w:r>
              <w:rPr>
                <w:sz w:val="16"/>
                <w:szCs w:val="16"/>
              </w:rPr>
              <w:t>Negative</w:t>
            </w:r>
            <w:proofErr w:type="spellEnd"/>
          </w:p>
        </w:tc>
      </w:tr>
      <w:tr w:rsidR="001B6CC0" w14:paraId="3CD079E5" w14:textId="77777777">
        <w:trPr>
          <w:trHeight w:val="347"/>
          <w:jc w:val="center"/>
        </w:trPr>
        <w:tc>
          <w:tcPr>
            <w:tcW w:w="2683" w:type="dxa"/>
            <w:vAlign w:val="center"/>
          </w:tcPr>
          <w:p w14:paraId="1F8EC652" w14:textId="77777777" w:rsidR="001B6CC0" w:rsidRDefault="002A19C8">
            <w:pPr>
              <w:spacing w:line="360" w:lineRule="auto"/>
              <w:jc w:val="left"/>
              <w:rPr>
                <w:sz w:val="16"/>
                <w:szCs w:val="16"/>
              </w:rPr>
            </w:pPr>
            <w:r>
              <w:rPr>
                <w:sz w:val="16"/>
                <w:szCs w:val="16"/>
              </w:rPr>
              <w:t>Culture</w:t>
            </w:r>
          </w:p>
        </w:tc>
        <w:tc>
          <w:tcPr>
            <w:tcW w:w="1738" w:type="dxa"/>
            <w:vAlign w:val="center"/>
          </w:tcPr>
          <w:p w14:paraId="435B0CE8" w14:textId="77777777" w:rsidR="001B6CC0" w:rsidRDefault="002A19C8">
            <w:pPr>
              <w:spacing w:line="360" w:lineRule="auto"/>
              <w:jc w:val="left"/>
              <w:rPr>
                <w:sz w:val="16"/>
                <w:szCs w:val="16"/>
              </w:rPr>
            </w:pPr>
            <w:proofErr w:type="spellStart"/>
            <w:r>
              <w:rPr>
                <w:sz w:val="16"/>
                <w:szCs w:val="16"/>
              </w:rPr>
              <w:t>Negative</w:t>
            </w:r>
            <w:proofErr w:type="spellEnd"/>
          </w:p>
        </w:tc>
        <w:tc>
          <w:tcPr>
            <w:tcW w:w="1609" w:type="dxa"/>
            <w:vAlign w:val="center"/>
          </w:tcPr>
          <w:p w14:paraId="170B074F" w14:textId="77777777" w:rsidR="001B6CC0" w:rsidRDefault="002A19C8">
            <w:pPr>
              <w:spacing w:line="360" w:lineRule="auto"/>
              <w:jc w:val="left"/>
              <w:rPr>
                <w:sz w:val="16"/>
                <w:szCs w:val="16"/>
              </w:rPr>
            </w:pPr>
            <w:proofErr w:type="spellStart"/>
            <w:r>
              <w:rPr>
                <w:sz w:val="16"/>
                <w:szCs w:val="16"/>
              </w:rPr>
              <w:t>Negative</w:t>
            </w:r>
            <w:proofErr w:type="spellEnd"/>
          </w:p>
        </w:tc>
        <w:tc>
          <w:tcPr>
            <w:tcW w:w="1682" w:type="dxa"/>
            <w:vAlign w:val="center"/>
          </w:tcPr>
          <w:p w14:paraId="1D24322D" w14:textId="77777777" w:rsidR="001B6CC0" w:rsidRDefault="002A19C8">
            <w:pPr>
              <w:spacing w:line="360" w:lineRule="auto"/>
              <w:jc w:val="left"/>
              <w:rPr>
                <w:sz w:val="16"/>
                <w:szCs w:val="16"/>
              </w:rPr>
            </w:pPr>
            <w:r>
              <w:rPr>
                <w:sz w:val="16"/>
                <w:szCs w:val="16"/>
              </w:rPr>
              <w:t xml:space="preserve">Not </w:t>
            </w:r>
            <w:proofErr w:type="spellStart"/>
            <w:r>
              <w:rPr>
                <w:sz w:val="16"/>
                <w:szCs w:val="16"/>
              </w:rPr>
              <w:t>done</w:t>
            </w:r>
            <w:proofErr w:type="spellEnd"/>
          </w:p>
        </w:tc>
        <w:tc>
          <w:tcPr>
            <w:tcW w:w="1684" w:type="dxa"/>
            <w:vAlign w:val="center"/>
          </w:tcPr>
          <w:p w14:paraId="10A59EF9" w14:textId="77777777" w:rsidR="001B6CC0" w:rsidRDefault="002A19C8">
            <w:pPr>
              <w:spacing w:line="360" w:lineRule="auto"/>
              <w:jc w:val="left"/>
              <w:rPr>
                <w:sz w:val="16"/>
                <w:szCs w:val="16"/>
              </w:rPr>
            </w:pPr>
            <w:proofErr w:type="spellStart"/>
            <w:r>
              <w:rPr>
                <w:sz w:val="16"/>
                <w:szCs w:val="16"/>
              </w:rPr>
              <w:t>Negative</w:t>
            </w:r>
            <w:proofErr w:type="spellEnd"/>
          </w:p>
        </w:tc>
      </w:tr>
      <w:tr w:rsidR="001B6CC0" w14:paraId="35006B8E" w14:textId="77777777">
        <w:trPr>
          <w:trHeight w:val="347"/>
          <w:jc w:val="center"/>
        </w:trPr>
        <w:tc>
          <w:tcPr>
            <w:tcW w:w="2683" w:type="dxa"/>
            <w:vAlign w:val="center"/>
          </w:tcPr>
          <w:p w14:paraId="24E10BF4" w14:textId="77777777" w:rsidR="001B6CC0" w:rsidRDefault="002A19C8">
            <w:pPr>
              <w:spacing w:line="360" w:lineRule="auto"/>
              <w:jc w:val="left"/>
              <w:rPr>
                <w:sz w:val="16"/>
                <w:szCs w:val="16"/>
              </w:rPr>
            </w:pPr>
            <w:proofErr w:type="spellStart"/>
            <w:r>
              <w:rPr>
                <w:sz w:val="16"/>
                <w:szCs w:val="16"/>
              </w:rPr>
              <w:t>Antibiotic</w:t>
            </w:r>
            <w:proofErr w:type="spellEnd"/>
            <w:r>
              <w:rPr>
                <w:sz w:val="16"/>
                <w:szCs w:val="16"/>
              </w:rPr>
              <w:t xml:space="preserve"> </w:t>
            </w:r>
            <w:proofErr w:type="spellStart"/>
            <w:r>
              <w:rPr>
                <w:sz w:val="16"/>
                <w:szCs w:val="16"/>
              </w:rPr>
              <w:t>treatment</w:t>
            </w:r>
            <w:proofErr w:type="spellEnd"/>
          </w:p>
        </w:tc>
        <w:tc>
          <w:tcPr>
            <w:tcW w:w="1738" w:type="dxa"/>
            <w:vAlign w:val="center"/>
          </w:tcPr>
          <w:p w14:paraId="6894473C" w14:textId="77777777" w:rsidR="001B6CC0" w:rsidRDefault="002A19C8">
            <w:pPr>
              <w:spacing w:line="360" w:lineRule="auto"/>
              <w:jc w:val="left"/>
              <w:rPr>
                <w:sz w:val="16"/>
                <w:szCs w:val="16"/>
              </w:rPr>
            </w:pPr>
            <w:r>
              <w:rPr>
                <w:sz w:val="16"/>
                <w:szCs w:val="16"/>
              </w:rPr>
              <w:t>Ceftriaxone</w:t>
            </w:r>
          </w:p>
          <w:p w14:paraId="1B7DC076" w14:textId="77777777" w:rsidR="001B6CC0" w:rsidRDefault="002A19C8">
            <w:pPr>
              <w:spacing w:line="360" w:lineRule="auto"/>
              <w:jc w:val="left"/>
              <w:rPr>
                <w:sz w:val="16"/>
                <w:szCs w:val="16"/>
              </w:rPr>
            </w:pPr>
            <w:proofErr w:type="spellStart"/>
            <w:r>
              <w:rPr>
                <w:sz w:val="16"/>
                <w:szCs w:val="16"/>
              </w:rPr>
              <w:t>Gentamicin</w:t>
            </w:r>
            <w:proofErr w:type="spellEnd"/>
          </w:p>
        </w:tc>
        <w:tc>
          <w:tcPr>
            <w:tcW w:w="1609" w:type="dxa"/>
            <w:vAlign w:val="center"/>
          </w:tcPr>
          <w:p w14:paraId="424D256A" w14:textId="77777777" w:rsidR="001B6CC0" w:rsidRDefault="002A19C8">
            <w:pPr>
              <w:spacing w:line="360" w:lineRule="auto"/>
              <w:jc w:val="left"/>
              <w:rPr>
                <w:sz w:val="16"/>
                <w:szCs w:val="16"/>
              </w:rPr>
            </w:pPr>
            <w:r>
              <w:rPr>
                <w:sz w:val="16"/>
                <w:szCs w:val="16"/>
              </w:rPr>
              <w:t>Ceftriaxone</w:t>
            </w:r>
          </w:p>
          <w:p w14:paraId="24A13657" w14:textId="77777777" w:rsidR="001B6CC0" w:rsidRDefault="002A19C8">
            <w:pPr>
              <w:spacing w:line="360" w:lineRule="auto"/>
              <w:jc w:val="left"/>
              <w:rPr>
                <w:sz w:val="16"/>
                <w:szCs w:val="16"/>
              </w:rPr>
            </w:pPr>
            <w:proofErr w:type="spellStart"/>
            <w:r>
              <w:rPr>
                <w:sz w:val="16"/>
                <w:szCs w:val="16"/>
              </w:rPr>
              <w:t>Gentamicin</w:t>
            </w:r>
            <w:proofErr w:type="spellEnd"/>
          </w:p>
        </w:tc>
        <w:tc>
          <w:tcPr>
            <w:tcW w:w="1682" w:type="dxa"/>
            <w:vAlign w:val="center"/>
          </w:tcPr>
          <w:p w14:paraId="57AE717C" w14:textId="77777777" w:rsidR="001B6CC0" w:rsidRDefault="002A19C8">
            <w:pPr>
              <w:spacing w:line="360" w:lineRule="auto"/>
              <w:jc w:val="left"/>
              <w:rPr>
                <w:sz w:val="16"/>
                <w:szCs w:val="16"/>
              </w:rPr>
            </w:pPr>
            <w:proofErr w:type="spellStart"/>
            <w:r>
              <w:rPr>
                <w:sz w:val="16"/>
                <w:szCs w:val="16"/>
              </w:rPr>
              <w:t>Death</w:t>
            </w:r>
            <w:proofErr w:type="spellEnd"/>
            <w:r>
              <w:rPr>
                <w:sz w:val="16"/>
                <w:szCs w:val="16"/>
              </w:rPr>
              <w:t xml:space="preserve"> on </w:t>
            </w:r>
            <w:proofErr w:type="spellStart"/>
            <w:r>
              <w:rPr>
                <w:sz w:val="16"/>
                <w:szCs w:val="16"/>
              </w:rPr>
              <w:t>arrival</w:t>
            </w:r>
            <w:proofErr w:type="spellEnd"/>
          </w:p>
        </w:tc>
        <w:tc>
          <w:tcPr>
            <w:tcW w:w="1684" w:type="dxa"/>
            <w:vAlign w:val="center"/>
          </w:tcPr>
          <w:p w14:paraId="5A447FA2" w14:textId="77777777" w:rsidR="001B6CC0" w:rsidRDefault="002A19C8">
            <w:pPr>
              <w:spacing w:line="360" w:lineRule="auto"/>
              <w:jc w:val="left"/>
              <w:rPr>
                <w:sz w:val="16"/>
                <w:szCs w:val="16"/>
              </w:rPr>
            </w:pPr>
            <w:r>
              <w:rPr>
                <w:sz w:val="16"/>
                <w:szCs w:val="16"/>
              </w:rPr>
              <w:t>Ceftriaxone</w:t>
            </w:r>
          </w:p>
          <w:p w14:paraId="10E13EAC" w14:textId="77777777" w:rsidR="001B6CC0" w:rsidRDefault="002A19C8">
            <w:pPr>
              <w:spacing w:line="360" w:lineRule="auto"/>
              <w:jc w:val="left"/>
              <w:rPr>
                <w:sz w:val="16"/>
                <w:szCs w:val="16"/>
              </w:rPr>
            </w:pPr>
            <w:proofErr w:type="spellStart"/>
            <w:r>
              <w:rPr>
                <w:sz w:val="16"/>
                <w:szCs w:val="16"/>
              </w:rPr>
              <w:t>Gentamicin</w:t>
            </w:r>
            <w:proofErr w:type="spellEnd"/>
          </w:p>
          <w:p w14:paraId="2C2E17A4" w14:textId="77777777" w:rsidR="001B6CC0" w:rsidRDefault="002A19C8">
            <w:pPr>
              <w:spacing w:line="360" w:lineRule="auto"/>
              <w:jc w:val="left"/>
              <w:rPr>
                <w:sz w:val="16"/>
                <w:szCs w:val="16"/>
              </w:rPr>
            </w:pPr>
            <w:proofErr w:type="spellStart"/>
            <w:r>
              <w:rPr>
                <w:sz w:val="16"/>
                <w:szCs w:val="16"/>
              </w:rPr>
              <w:t>Ampicillin</w:t>
            </w:r>
            <w:proofErr w:type="spellEnd"/>
          </w:p>
          <w:p w14:paraId="7F4DA92B" w14:textId="77777777" w:rsidR="001B6CC0" w:rsidRDefault="002A19C8">
            <w:pPr>
              <w:spacing w:line="360" w:lineRule="auto"/>
              <w:jc w:val="left"/>
              <w:rPr>
                <w:sz w:val="16"/>
                <w:szCs w:val="16"/>
              </w:rPr>
            </w:pPr>
            <w:proofErr w:type="spellStart"/>
            <w:r>
              <w:rPr>
                <w:sz w:val="16"/>
                <w:szCs w:val="16"/>
              </w:rPr>
              <w:t>Vancomycin</w:t>
            </w:r>
            <w:proofErr w:type="spellEnd"/>
          </w:p>
          <w:p w14:paraId="615FD878" w14:textId="77777777" w:rsidR="001B6CC0" w:rsidRDefault="002A19C8">
            <w:pPr>
              <w:spacing w:line="360" w:lineRule="auto"/>
              <w:jc w:val="left"/>
              <w:rPr>
                <w:sz w:val="16"/>
                <w:szCs w:val="16"/>
              </w:rPr>
            </w:pPr>
            <w:proofErr w:type="spellStart"/>
            <w:r>
              <w:rPr>
                <w:sz w:val="16"/>
                <w:szCs w:val="16"/>
              </w:rPr>
              <w:t>Imipenem</w:t>
            </w:r>
            <w:proofErr w:type="spellEnd"/>
          </w:p>
        </w:tc>
      </w:tr>
      <w:tr w:rsidR="001B6CC0" w14:paraId="1051D662" w14:textId="77777777">
        <w:trPr>
          <w:trHeight w:val="347"/>
          <w:jc w:val="center"/>
        </w:trPr>
        <w:tc>
          <w:tcPr>
            <w:tcW w:w="2683" w:type="dxa"/>
            <w:vAlign w:val="center"/>
          </w:tcPr>
          <w:p w14:paraId="6C2AF901" w14:textId="3D14E3C2" w:rsidR="001B6CC0" w:rsidRPr="00B740F1" w:rsidRDefault="004A5D4D">
            <w:pPr>
              <w:spacing w:line="360" w:lineRule="auto"/>
              <w:jc w:val="left"/>
              <w:rPr>
                <w:sz w:val="16"/>
                <w:szCs w:val="16"/>
                <w:lang w:val="en-US"/>
              </w:rPr>
            </w:pPr>
            <w:r w:rsidRPr="00B740F1">
              <w:rPr>
                <w:sz w:val="16"/>
                <w:szCs w:val="16"/>
                <w:lang w:val="en-US"/>
              </w:rPr>
              <w:t>Outcome</w:t>
            </w:r>
          </w:p>
        </w:tc>
        <w:tc>
          <w:tcPr>
            <w:tcW w:w="1738" w:type="dxa"/>
            <w:vAlign w:val="center"/>
          </w:tcPr>
          <w:p w14:paraId="479F9413" w14:textId="77777777" w:rsidR="001B6CC0" w:rsidRDefault="002A19C8">
            <w:pPr>
              <w:spacing w:line="360" w:lineRule="auto"/>
              <w:jc w:val="left"/>
              <w:rPr>
                <w:sz w:val="16"/>
                <w:szCs w:val="16"/>
              </w:rPr>
            </w:pPr>
            <w:proofErr w:type="spellStart"/>
            <w:r>
              <w:rPr>
                <w:sz w:val="16"/>
                <w:szCs w:val="16"/>
              </w:rPr>
              <w:t>Death</w:t>
            </w:r>
            <w:proofErr w:type="spellEnd"/>
          </w:p>
        </w:tc>
        <w:tc>
          <w:tcPr>
            <w:tcW w:w="1609" w:type="dxa"/>
            <w:vAlign w:val="center"/>
          </w:tcPr>
          <w:p w14:paraId="5000685B" w14:textId="77777777" w:rsidR="001B6CC0" w:rsidRDefault="002A19C8">
            <w:pPr>
              <w:spacing w:line="360" w:lineRule="auto"/>
              <w:jc w:val="left"/>
              <w:rPr>
                <w:sz w:val="16"/>
                <w:szCs w:val="16"/>
              </w:rPr>
            </w:pPr>
            <w:proofErr w:type="spellStart"/>
            <w:r>
              <w:rPr>
                <w:sz w:val="16"/>
                <w:szCs w:val="16"/>
              </w:rPr>
              <w:t>Death</w:t>
            </w:r>
            <w:proofErr w:type="spellEnd"/>
          </w:p>
        </w:tc>
        <w:tc>
          <w:tcPr>
            <w:tcW w:w="1682" w:type="dxa"/>
            <w:vAlign w:val="center"/>
          </w:tcPr>
          <w:p w14:paraId="3AB04187" w14:textId="77777777" w:rsidR="001B6CC0" w:rsidRDefault="002A19C8">
            <w:pPr>
              <w:spacing w:line="360" w:lineRule="auto"/>
              <w:jc w:val="left"/>
              <w:rPr>
                <w:sz w:val="16"/>
                <w:szCs w:val="16"/>
              </w:rPr>
            </w:pPr>
            <w:proofErr w:type="spellStart"/>
            <w:r>
              <w:rPr>
                <w:sz w:val="16"/>
                <w:szCs w:val="16"/>
              </w:rPr>
              <w:t>Death</w:t>
            </w:r>
            <w:proofErr w:type="spellEnd"/>
          </w:p>
        </w:tc>
        <w:tc>
          <w:tcPr>
            <w:tcW w:w="1684" w:type="dxa"/>
            <w:vAlign w:val="center"/>
          </w:tcPr>
          <w:p w14:paraId="16CEA30D" w14:textId="77777777" w:rsidR="001B6CC0" w:rsidRDefault="002A19C8">
            <w:pPr>
              <w:spacing w:line="360" w:lineRule="auto"/>
              <w:jc w:val="left"/>
              <w:rPr>
                <w:sz w:val="16"/>
                <w:szCs w:val="16"/>
              </w:rPr>
            </w:pPr>
            <w:r>
              <w:rPr>
                <w:sz w:val="16"/>
                <w:szCs w:val="16"/>
              </w:rPr>
              <w:t>Alive</w:t>
            </w:r>
          </w:p>
        </w:tc>
      </w:tr>
      <w:tr w:rsidR="001B6CC0" w14:paraId="04F02E11" w14:textId="77777777">
        <w:trPr>
          <w:trHeight w:val="528"/>
          <w:jc w:val="center"/>
        </w:trPr>
        <w:tc>
          <w:tcPr>
            <w:tcW w:w="2683" w:type="dxa"/>
            <w:vAlign w:val="center"/>
          </w:tcPr>
          <w:p w14:paraId="2E9A2AF8" w14:textId="77777777" w:rsidR="001B6CC0" w:rsidRPr="005C6DAF" w:rsidRDefault="002A19C8">
            <w:pPr>
              <w:spacing w:line="360" w:lineRule="auto"/>
              <w:jc w:val="left"/>
              <w:rPr>
                <w:sz w:val="16"/>
                <w:szCs w:val="16"/>
                <w:lang w:val="en-US"/>
              </w:rPr>
            </w:pPr>
            <w:r w:rsidRPr="005C6DAF">
              <w:rPr>
                <w:sz w:val="16"/>
                <w:szCs w:val="16"/>
                <w:lang w:val="en-US"/>
              </w:rPr>
              <w:t>Concept of obstetric care in the period</w:t>
            </w:r>
          </w:p>
        </w:tc>
        <w:tc>
          <w:tcPr>
            <w:tcW w:w="1738" w:type="dxa"/>
            <w:vAlign w:val="center"/>
          </w:tcPr>
          <w:p w14:paraId="6B6F3CDD" w14:textId="77777777" w:rsidR="001B6CC0" w:rsidRDefault="002A19C8">
            <w:pPr>
              <w:spacing w:line="360" w:lineRule="auto"/>
              <w:jc w:val="left"/>
              <w:rPr>
                <w:sz w:val="16"/>
                <w:szCs w:val="16"/>
              </w:rPr>
            </w:pPr>
            <w:proofErr w:type="spellStart"/>
            <w:r>
              <w:rPr>
                <w:sz w:val="16"/>
                <w:szCs w:val="16"/>
              </w:rPr>
              <w:t>Surgical</w:t>
            </w:r>
            <w:proofErr w:type="spellEnd"/>
            <w:r>
              <w:rPr>
                <w:sz w:val="16"/>
                <w:szCs w:val="16"/>
              </w:rPr>
              <w:t xml:space="preserve"> </w:t>
            </w:r>
            <w:proofErr w:type="spellStart"/>
            <w:r>
              <w:rPr>
                <w:sz w:val="16"/>
                <w:szCs w:val="16"/>
              </w:rPr>
              <w:t>wound</w:t>
            </w:r>
            <w:proofErr w:type="spellEnd"/>
            <w:r>
              <w:rPr>
                <w:sz w:val="16"/>
                <w:szCs w:val="16"/>
              </w:rPr>
              <w:t xml:space="preserve"> dressing</w:t>
            </w:r>
          </w:p>
        </w:tc>
        <w:tc>
          <w:tcPr>
            <w:tcW w:w="1609" w:type="dxa"/>
            <w:vAlign w:val="center"/>
          </w:tcPr>
          <w:p w14:paraId="257EE325" w14:textId="77777777" w:rsidR="001B6CC0" w:rsidRDefault="002A19C8">
            <w:pPr>
              <w:spacing w:line="360" w:lineRule="auto"/>
              <w:jc w:val="left"/>
              <w:rPr>
                <w:sz w:val="16"/>
                <w:szCs w:val="16"/>
              </w:rPr>
            </w:pPr>
            <w:proofErr w:type="spellStart"/>
            <w:r>
              <w:rPr>
                <w:sz w:val="16"/>
                <w:szCs w:val="16"/>
              </w:rPr>
              <w:t>Surgical</w:t>
            </w:r>
            <w:proofErr w:type="spellEnd"/>
            <w:r>
              <w:rPr>
                <w:sz w:val="16"/>
                <w:szCs w:val="16"/>
              </w:rPr>
              <w:t xml:space="preserve"> </w:t>
            </w:r>
            <w:proofErr w:type="spellStart"/>
            <w:r>
              <w:rPr>
                <w:sz w:val="16"/>
                <w:szCs w:val="16"/>
              </w:rPr>
              <w:t>wound</w:t>
            </w:r>
            <w:proofErr w:type="spellEnd"/>
            <w:r>
              <w:rPr>
                <w:sz w:val="16"/>
                <w:szCs w:val="16"/>
              </w:rPr>
              <w:t xml:space="preserve"> dressing</w:t>
            </w:r>
          </w:p>
        </w:tc>
        <w:tc>
          <w:tcPr>
            <w:tcW w:w="1682" w:type="dxa"/>
            <w:vAlign w:val="center"/>
          </w:tcPr>
          <w:p w14:paraId="0FDCDBD6" w14:textId="77777777" w:rsidR="001B6CC0" w:rsidRDefault="002A19C8">
            <w:pPr>
              <w:spacing w:line="360" w:lineRule="auto"/>
              <w:jc w:val="left"/>
              <w:rPr>
                <w:sz w:val="16"/>
                <w:szCs w:val="16"/>
              </w:rPr>
            </w:pPr>
            <w:proofErr w:type="spellStart"/>
            <w:r>
              <w:rPr>
                <w:sz w:val="16"/>
                <w:szCs w:val="16"/>
              </w:rPr>
              <w:t>Surgical</w:t>
            </w:r>
            <w:proofErr w:type="spellEnd"/>
            <w:r>
              <w:rPr>
                <w:sz w:val="16"/>
                <w:szCs w:val="16"/>
              </w:rPr>
              <w:t xml:space="preserve"> </w:t>
            </w:r>
            <w:proofErr w:type="spellStart"/>
            <w:r>
              <w:rPr>
                <w:sz w:val="16"/>
                <w:szCs w:val="16"/>
              </w:rPr>
              <w:t>wound</w:t>
            </w:r>
            <w:proofErr w:type="spellEnd"/>
            <w:r>
              <w:rPr>
                <w:sz w:val="16"/>
                <w:szCs w:val="16"/>
              </w:rPr>
              <w:t xml:space="preserve"> dressing</w:t>
            </w:r>
          </w:p>
        </w:tc>
        <w:tc>
          <w:tcPr>
            <w:tcW w:w="1684" w:type="dxa"/>
            <w:vAlign w:val="center"/>
          </w:tcPr>
          <w:p w14:paraId="26EA489B" w14:textId="77777777" w:rsidR="001B6CC0" w:rsidRDefault="002A19C8">
            <w:pPr>
              <w:spacing w:line="360" w:lineRule="auto"/>
              <w:jc w:val="left"/>
              <w:rPr>
                <w:sz w:val="16"/>
                <w:szCs w:val="16"/>
              </w:rPr>
            </w:pPr>
            <w:proofErr w:type="spellStart"/>
            <w:r>
              <w:rPr>
                <w:sz w:val="16"/>
                <w:szCs w:val="16"/>
              </w:rPr>
              <w:t>Surgical</w:t>
            </w:r>
            <w:proofErr w:type="spellEnd"/>
            <w:r>
              <w:rPr>
                <w:sz w:val="16"/>
                <w:szCs w:val="16"/>
              </w:rPr>
              <w:t xml:space="preserve"> </w:t>
            </w:r>
            <w:proofErr w:type="spellStart"/>
            <w:r>
              <w:rPr>
                <w:sz w:val="16"/>
                <w:szCs w:val="16"/>
              </w:rPr>
              <w:t>wound</w:t>
            </w:r>
            <w:proofErr w:type="spellEnd"/>
            <w:r>
              <w:rPr>
                <w:sz w:val="16"/>
                <w:szCs w:val="16"/>
              </w:rPr>
              <w:t xml:space="preserve"> dressing</w:t>
            </w:r>
          </w:p>
        </w:tc>
      </w:tr>
      <w:tr w:rsidR="001B6CC0" w14:paraId="7CA8AAEA" w14:textId="77777777">
        <w:trPr>
          <w:trHeight w:val="343"/>
          <w:jc w:val="center"/>
        </w:trPr>
        <w:tc>
          <w:tcPr>
            <w:tcW w:w="2683" w:type="dxa"/>
            <w:vAlign w:val="center"/>
          </w:tcPr>
          <w:p w14:paraId="0D23E7CB" w14:textId="7581D9C1" w:rsidR="001B6CC0" w:rsidRPr="009872C6" w:rsidRDefault="009872C6">
            <w:pPr>
              <w:spacing w:line="360" w:lineRule="auto"/>
              <w:jc w:val="left"/>
              <w:rPr>
                <w:sz w:val="16"/>
                <w:szCs w:val="16"/>
                <w:lang w:val="en-US"/>
              </w:rPr>
            </w:pPr>
            <w:r w:rsidRPr="009872C6">
              <w:rPr>
                <w:sz w:val="16"/>
                <w:szCs w:val="16"/>
                <w:lang w:val="en-US"/>
              </w:rPr>
              <w:t>Recent hospitalization history</w:t>
            </w:r>
          </w:p>
        </w:tc>
        <w:tc>
          <w:tcPr>
            <w:tcW w:w="1738" w:type="dxa"/>
            <w:vAlign w:val="center"/>
          </w:tcPr>
          <w:p w14:paraId="35801144" w14:textId="77777777" w:rsidR="001B6CC0" w:rsidRDefault="002A19C8">
            <w:pPr>
              <w:spacing w:line="360" w:lineRule="auto"/>
              <w:jc w:val="left"/>
              <w:rPr>
                <w:sz w:val="16"/>
                <w:szCs w:val="16"/>
              </w:rPr>
            </w:pPr>
            <w:r>
              <w:rPr>
                <w:sz w:val="16"/>
                <w:szCs w:val="16"/>
              </w:rPr>
              <w:t>YES</w:t>
            </w:r>
          </w:p>
        </w:tc>
        <w:tc>
          <w:tcPr>
            <w:tcW w:w="1609" w:type="dxa"/>
            <w:vAlign w:val="center"/>
          </w:tcPr>
          <w:p w14:paraId="0D23323A" w14:textId="77777777" w:rsidR="001B6CC0" w:rsidRDefault="002A19C8">
            <w:pPr>
              <w:spacing w:line="360" w:lineRule="auto"/>
              <w:jc w:val="left"/>
              <w:rPr>
                <w:sz w:val="16"/>
                <w:szCs w:val="16"/>
              </w:rPr>
            </w:pPr>
            <w:r>
              <w:rPr>
                <w:sz w:val="16"/>
                <w:szCs w:val="16"/>
              </w:rPr>
              <w:t>YES</w:t>
            </w:r>
          </w:p>
        </w:tc>
        <w:tc>
          <w:tcPr>
            <w:tcW w:w="1682" w:type="dxa"/>
            <w:vAlign w:val="center"/>
          </w:tcPr>
          <w:p w14:paraId="1A4A8A5A" w14:textId="77777777" w:rsidR="001B6CC0" w:rsidRDefault="002A19C8">
            <w:pPr>
              <w:spacing w:line="360" w:lineRule="auto"/>
              <w:jc w:val="left"/>
              <w:rPr>
                <w:sz w:val="16"/>
                <w:szCs w:val="16"/>
              </w:rPr>
            </w:pPr>
            <w:r>
              <w:rPr>
                <w:sz w:val="16"/>
                <w:szCs w:val="16"/>
              </w:rPr>
              <w:t>YES</w:t>
            </w:r>
          </w:p>
        </w:tc>
        <w:tc>
          <w:tcPr>
            <w:tcW w:w="1684" w:type="dxa"/>
            <w:vAlign w:val="center"/>
          </w:tcPr>
          <w:p w14:paraId="38AA69C6" w14:textId="77777777" w:rsidR="001B6CC0" w:rsidRDefault="002A19C8">
            <w:pPr>
              <w:spacing w:line="360" w:lineRule="auto"/>
              <w:jc w:val="left"/>
              <w:rPr>
                <w:sz w:val="16"/>
                <w:szCs w:val="16"/>
              </w:rPr>
            </w:pPr>
            <w:r>
              <w:rPr>
                <w:sz w:val="16"/>
                <w:szCs w:val="16"/>
              </w:rPr>
              <w:t>YES</w:t>
            </w:r>
          </w:p>
        </w:tc>
      </w:tr>
      <w:tr w:rsidR="001B6CC0" w14:paraId="10DA9600" w14:textId="77777777">
        <w:trPr>
          <w:trHeight w:val="684"/>
          <w:jc w:val="center"/>
        </w:trPr>
        <w:tc>
          <w:tcPr>
            <w:tcW w:w="2683" w:type="dxa"/>
            <w:vAlign w:val="center"/>
          </w:tcPr>
          <w:p w14:paraId="6DB1D8FA" w14:textId="77777777" w:rsidR="001B6CC0" w:rsidRPr="005C6DAF" w:rsidRDefault="002A19C8">
            <w:pPr>
              <w:spacing w:line="360" w:lineRule="auto"/>
              <w:jc w:val="left"/>
              <w:rPr>
                <w:sz w:val="16"/>
                <w:szCs w:val="16"/>
                <w:lang w:val="en-US"/>
              </w:rPr>
            </w:pPr>
            <w:r w:rsidRPr="005C6DAF">
              <w:rPr>
                <w:sz w:val="16"/>
                <w:szCs w:val="16"/>
                <w:lang w:val="en-US"/>
              </w:rPr>
              <w:t>Notion of recent surgery and type of surgery</w:t>
            </w:r>
          </w:p>
        </w:tc>
        <w:tc>
          <w:tcPr>
            <w:tcW w:w="1738" w:type="dxa"/>
            <w:vAlign w:val="center"/>
          </w:tcPr>
          <w:p w14:paraId="5ADDE654" w14:textId="77777777" w:rsidR="001B6CC0" w:rsidRDefault="002A19C8">
            <w:pPr>
              <w:spacing w:line="360" w:lineRule="auto"/>
              <w:jc w:val="left"/>
              <w:rPr>
                <w:sz w:val="16"/>
                <w:szCs w:val="16"/>
              </w:rPr>
            </w:pPr>
            <w:r>
              <w:rPr>
                <w:sz w:val="16"/>
                <w:szCs w:val="16"/>
              </w:rPr>
              <w:t xml:space="preserve">Cognitive </w:t>
            </w:r>
            <w:proofErr w:type="spellStart"/>
            <w:r>
              <w:rPr>
                <w:sz w:val="16"/>
                <w:szCs w:val="16"/>
              </w:rPr>
              <w:t>behavioral</w:t>
            </w:r>
            <w:proofErr w:type="spellEnd"/>
            <w:r>
              <w:rPr>
                <w:sz w:val="16"/>
                <w:szCs w:val="16"/>
              </w:rPr>
              <w:t xml:space="preserve"> </w:t>
            </w:r>
            <w:proofErr w:type="spellStart"/>
            <w:r>
              <w:rPr>
                <w:sz w:val="16"/>
                <w:szCs w:val="16"/>
              </w:rPr>
              <w:t>therapy</w:t>
            </w:r>
            <w:proofErr w:type="spellEnd"/>
          </w:p>
        </w:tc>
        <w:tc>
          <w:tcPr>
            <w:tcW w:w="1609" w:type="dxa"/>
            <w:vAlign w:val="center"/>
          </w:tcPr>
          <w:p w14:paraId="0DDA19EF" w14:textId="77777777" w:rsidR="001B6CC0" w:rsidRDefault="002A19C8">
            <w:pPr>
              <w:spacing w:line="360" w:lineRule="auto"/>
              <w:jc w:val="left"/>
              <w:rPr>
                <w:sz w:val="16"/>
                <w:szCs w:val="16"/>
              </w:rPr>
            </w:pPr>
            <w:r>
              <w:rPr>
                <w:sz w:val="16"/>
                <w:szCs w:val="16"/>
              </w:rPr>
              <w:t xml:space="preserve">Cognitive </w:t>
            </w:r>
            <w:proofErr w:type="spellStart"/>
            <w:r>
              <w:rPr>
                <w:sz w:val="16"/>
                <w:szCs w:val="16"/>
              </w:rPr>
              <w:t>behavioral</w:t>
            </w:r>
            <w:proofErr w:type="spellEnd"/>
            <w:r>
              <w:rPr>
                <w:sz w:val="16"/>
                <w:szCs w:val="16"/>
              </w:rPr>
              <w:t xml:space="preserve"> </w:t>
            </w:r>
            <w:proofErr w:type="spellStart"/>
            <w:r>
              <w:rPr>
                <w:sz w:val="16"/>
                <w:szCs w:val="16"/>
              </w:rPr>
              <w:t>therapy</w:t>
            </w:r>
            <w:proofErr w:type="spellEnd"/>
          </w:p>
        </w:tc>
        <w:tc>
          <w:tcPr>
            <w:tcW w:w="1682" w:type="dxa"/>
            <w:vAlign w:val="center"/>
          </w:tcPr>
          <w:p w14:paraId="03218B24" w14:textId="77777777" w:rsidR="001B6CC0" w:rsidRDefault="002A19C8">
            <w:pPr>
              <w:spacing w:line="360" w:lineRule="auto"/>
              <w:jc w:val="left"/>
              <w:rPr>
                <w:sz w:val="16"/>
                <w:szCs w:val="16"/>
              </w:rPr>
            </w:pPr>
            <w:r>
              <w:rPr>
                <w:sz w:val="16"/>
                <w:szCs w:val="16"/>
              </w:rPr>
              <w:t xml:space="preserve">Cognitive </w:t>
            </w:r>
            <w:proofErr w:type="spellStart"/>
            <w:r>
              <w:rPr>
                <w:sz w:val="16"/>
                <w:szCs w:val="16"/>
              </w:rPr>
              <w:t>behavioral</w:t>
            </w:r>
            <w:proofErr w:type="spellEnd"/>
            <w:r>
              <w:rPr>
                <w:sz w:val="16"/>
                <w:szCs w:val="16"/>
              </w:rPr>
              <w:t xml:space="preserve"> </w:t>
            </w:r>
            <w:proofErr w:type="spellStart"/>
            <w:r>
              <w:rPr>
                <w:sz w:val="16"/>
                <w:szCs w:val="16"/>
              </w:rPr>
              <w:t>therapy</w:t>
            </w:r>
            <w:proofErr w:type="spellEnd"/>
          </w:p>
        </w:tc>
        <w:tc>
          <w:tcPr>
            <w:tcW w:w="1684" w:type="dxa"/>
            <w:vAlign w:val="center"/>
          </w:tcPr>
          <w:p w14:paraId="38E3A916" w14:textId="77777777" w:rsidR="001B6CC0" w:rsidRDefault="002A19C8">
            <w:pPr>
              <w:spacing w:line="360" w:lineRule="auto"/>
              <w:jc w:val="left"/>
              <w:rPr>
                <w:sz w:val="16"/>
                <w:szCs w:val="16"/>
              </w:rPr>
            </w:pPr>
            <w:r>
              <w:rPr>
                <w:sz w:val="16"/>
                <w:szCs w:val="16"/>
              </w:rPr>
              <w:t xml:space="preserve">Cognitive </w:t>
            </w:r>
            <w:proofErr w:type="spellStart"/>
            <w:r>
              <w:rPr>
                <w:sz w:val="16"/>
                <w:szCs w:val="16"/>
              </w:rPr>
              <w:t>behavioral</w:t>
            </w:r>
            <w:proofErr w:type="spellEnd"/>
            <w:r>
              <w:rPr>
                <w:sz w:val="16"/>
                <w:szCs w:val="16"/>
              </w:rPr>
              <w:t xml:space="preserve"> </w:t>
            </w:r>
            <w:proofErr w:type="spellStart"/>
            <w:r>
              <w:rPr>
                <w:sz w:val="16"/>
                <w:szCs w:val="16"/>
              </w:rPr>
              <w:t>therapy</w:t>
            </w:r>
            <w:proofErr w:type="spellEnd"/>
          </w:p>
        </w:tc>
      </w:tr>
    </w:tbl>
    <w:p w14:paraId="2CB942C9" w14:textId="77777777" w:rsidR="001B6CC0" w:rsidRDefault="001B6CC0">
      <w:pPr>
        <w:spacing w:after="0" w:line="360" w:lineRule="auto"/>
        <w:jc w:val="center"/>
        <w:rPr>
          <w:b/>
        </w:rPr>
      </w:pPr>
      <w:bookmarkStart w:id="5" w:name="_heading=h.2et92p0" w:colFirst="0" w:colLast="0"/>
      <w:bookmarkEnd w:id="5"/>
    </w:p>
    <w:p w14:paraId="5A43E91E" w14:textId="77777777" w:rsidR="001B6CC0" w:rsidRDefault="001B6CC0">
      <w:pPr>
        <w:spacing w:after="0" w:line="360" w:lineRule="auto"/>
        <w:jc w:val="center"/>
        <w:rPr>
          <w:b/>
        </w:rPr>
      </w:pPr>
    </w:p>
    <w:p w14:paraId="7A530467" w14:textId="77777777" w:rsidR="001B6CC0" w:rsidRDefault="001B6CC0">
      <w:pPr>
        <w:spacing w:after="0" w:line="360" w:lineRule="auto"/>
        <w:jc w:val="center"/>
        <w:rPr>
          <w:b/>
        </w:rPr>
      </w:pPr>
    </w:p>
    <w:p w14:paraId="5DDCE1D2" w14:textId="77777777" w:rsidR="001B6CC0" w:rsidRDefault="001B6CC0">
      <w:pPr>
        <w:spacing w:after="0" w:line="360" w:lineRule="auto"/>
        <w:jc w:val="center"/>
        <w:rPr>
          <w:b/>
        </w:rPr>
      </w:pPr>
    </w:p>
    <w:p w14:paraId="7DD01F9C" w14:textId="77777777" w:rsidR="001B6CC0" w:rsidRDefault="001B6CC0">
      <w:pPr>
        <w:spacing w:after="0" w:line="360" w:lineRule="auto"/>
        <w:jc w:val="center"/>
        <w:rPr>
          <w:b/>
        </w:rPr>
      </w:pPr>
    </w:p>
    <w:p w14:paraId="34599A36" w14:textId="77777777" w:rsidR="001B6CC0" w:rsidRDefault="001B6CC0">
      <w:pPr>
        <w:spacing w:after="0" w:line="360" w:lineRule="auto"/>
        <w:jc w:val="center"/>
        <w:rPr>
          <w:b/>
        </w:rPr>
      </w:pPr>
    </w:p>
    <w:p w14:paraId="6C7DCAE1" w14:textId="77777777" w:rsidR="001B6CC0" w:rsidRDefault="001B6CC0">
      <w:pPr>
        <w:spacing w:after="0" w:line="360" w:lineRule="auto"/>
        <w:jc w:val="center"/>
        <w:rPr>
          <w:b/>
        </w:rPr>
      </w:pPr>
    </w:p>
    <w:p w14:paraId="30DCFB99" w14:textId="77777777" w:rsidR="001B6CC0" w:rsidRDefault="001B6CC0">
      <w:pPr>
        <w:spacing w:after="0" w:line="360" w:lineRule="auto"/>
        <w:jc w:val="center"/>
        <w:rPr>
          <w:b/>
        </w:rPr>
      </w:pPr>
    </w:p>
    <w:p w14:paraId="28ACD8C0" w14:textId="77777777" w:rsidR="001B6CC0" w:rsidRDefault="001B6CC0">
      <w:pPr>
        <w:spacing w:after="0" w:line="360" w:lineRule="auto"/>
        <w:jc w:val="center"/>
        <w:rPr>
          <w:b/>
        </w:rPr>
      </w:pPr>
    </w:p>
    <w:p w14:paraId="0A04121F" w14:textId="77777777" w:rsidR="001B6CC0" w:rsidRDefault="001B6CC0">
      <w:pPr>
        <w:spacing w:after="0" w:line="360" w:lineRule="auto"/>
        <w:jc w:val="center"/>
        <w:rPr>
          <w:b/>
        </w:rPr>
      </w:pPr>
    </w:p>
    <w:p w14:paraId="5937F6F8" w14:textId="77777777" w:rsidR="001B6CC0" w:rsidRDefault="001B6CC0">
      <w:pPr>
        <w:spacing w:after="0" w:line="360" w:lineRule="auto"/>
        <w:jc w:val="center"/>
        <w:rPr>
          <w:b/>
        </w:rPr>
      </w:pPr>
    </w:p>
    <w:p w14:paraId="530A5B6A" w14:textId="77777777" w:rsidR="001B6CC0" w:rsidRDefault="001B6CC0">
      <w:pPr>
        <w:spacing w:after="0" w:line="360" w:lineRule="auto"/>
        <w:jc w:val="center"/>
        <w:rPr>
          <w:b/>
        </w:rPr>
      </w:pPr>
    </w:p>
    <w:p w14:paraId="4F61CABF" w14:textId="0F668208" w:rsidR="001B6CC0" w:rsidRDefault="002A19C8">
      <w:pPr>
        <w:spacing w:after="0" w:line="360" w:lineRule="auto"/>
      </w:pPr>
      <w:r>
        <w:rPr>
          <w:b/>
        </w:rPr>
        <w:lastRenderedPageBreak/>
        <w:t>Discussion</w:t>
      </w:r>
      <w:r w:rsidR="007468C5">
        <w:rPr>
          <w:b/>
        </w:rPr>
        <w:t xml:space="preserve"> </w:t>
      </w:r>
      <w:r>
        <w:t>:</w:t>
      </w:r>
    </w:p>
    <w:p w14:paraId="4112961B" w14:textId="27725CFA" w:rsidR="00C23886" w:rsidRPr="00C23886" w:rsidRDefault="00C23886" w:rsidP="00C23886">
      <w:pPr>
        <w:spacing w:after="0" w:line="360" w:lineRule="auto"/>
        <w:rPr>
          <w:lang w:val="en-US"/>
        </w:rPr>
      </w:pPr>
      <w:r w:rsidRPr="00C23886">
        <w:rPr>
          <w:lang w:val="en-US"/>
        </w:rPr>
        <w:t>After spinal anesthesia, the incidence of infectious complications is extremely low in the literature, ranging from one to seven per 100,000 procedures [6]. Among these complications, meningitis and epidural abscesses are the most frequently reported. This incidence may have been overestimated due to cases of aseptic meningitis [6]. The occurrence of healthcare-associated infections (HAIs) with neuro-meningeal involvement following spinal anesthesia is a rare event, with an estimated incidence of less than 4.5 cases per 100,000 procedures [7]. We report a series of 4 cases of nosocomial meningoencephalitis following cesarean sections.</w:t>
      </w:r>
    </w:p>
    <w:p w14:paraId="2E5D14CE" w14:textId="769D6632" w:rsidR="00C23886" w:rsidRPr="00C23886" w:rsidRDefault="00C23886" w:rsidP="00C23886">
      <w:pPr>
        <w:spacing w:after="0" w:line="360" w:lineRule="auto"/>
        <w:rPr>
          <w:lang w:val="en-US"/>
        </w:rPr>
      </w:pPr>
      <w:r w:rsidRPr="00C23886">
        <w:rPr>
          <w:lang w:val="en-US"/>
        </w:rPr>
        <w:t xml:space="preserve">In our patients, the average incubation period was </w:t>
      </w:r>
      <w:r w:rsidR="007468C5" w:rsidRPr="007468C5">
        <w:rPr>
          <w:color w:val="ED7D31" w:themeColor="accent2"/>
          <w:lang w:val="en-US"/>
        </w:rPr>
        <w:t>12.25 days</w:t>
      </w:r>
      <w:r w:rsidRPr="00C23886">
        <w:rPr>
          <w:lang w:val="en-US"/>
        </w:rPr>
        <w:t xml:space="preserve"> [range: 2–20]. Shorter incubation periods have been reported in studies by Nabil </w:t>
      </w:r>
      <w:proofErr w:type="spellStart"/>
      <w:r w:rsidRPr="00C23886">
        <w:rPr>
          <w:lang w:val="en-US"/>
        </w:rPr>
        <w:t>Frikha</w:t>
      </w:r>
      <w:proofErr w:type="spellEnd"/>
      <w:r w:rsidRPr="00C23886">
        <w:rPr>
          <w:lang w:val="en-US"/>
        </w:rPr>
        <w:t xml:space="preserve"> in Tunisia (4 to 6 hours) [5], Muzein in Morocco (6 hours) [10], and </w:t>
      </w:r>
      <w:proofErr w:type="spellStart"/>
      <w:r w:rsidRPr="00C23886">
        <w:rPr>
          <w:lang w:val="en-US"/>
        </w:rPr>
        <w:t>Mouchrif</w:t>
      </w:r>
      <w:proofErr w:type="spellEnd"/>
      <w:r w:rsidRPr="00C23886">
        <w:rPr>
          <w:lang w:val="en-US"/>
        </w:rPr>
        <w:t xml:space="preserve"> in Tunisia (26 hours) [7].</w:t>
      </w:r>
    </w:p>
    <w:p w14:paraId="7DC4C8F9" w14:textId="374C395E" w:rsidR="00C23886" w:rsidRPr="00C23886" w:rsidRDefault="00C23886" w:rsidP="00C23886">
      <w:pPr>
        <w:spacing w:after="0" w:line="360" w:lineRule="auto"/>
        <w:rPr>
          <w:lang w:val="en-US"/>
        </w:rPr>
      </w:pPr>
      <w:r w:rsidRPr="00C23886">
        <w:rPr>
          <w:lang w:val="en-US"/>
        </w:rPr>
        <w:t xml:space="preserve">The clinical symptoms of meningitis following spinal anesthesia are quite consistent. The combination of headaches, hyperthermia, frank meningeal signs, and possibly altered consciousness after spinal anesthesia should immediately raise suspicion of meningitis and prompt a diagnostic lumbar puncture [8]. All our patients presented with the same symptoms described in the literature, including meningeal syndrome (100%) and fever (100%). Two patients experienced drowsiness, seizures (50%), and one patient had intracranial hypertension (25%). Similar symptoms were described by the </w:t>
      </w:r>
      <w:proofErr w:type="spellStart"/>
      <w:r w:rsidRPr="00C23886">
        <w:rPr>
          <w:lang w:val="en-US"/>
        </w:rPr>
        <w:t>Valdoleiros</w:t>
      </w:r>
      <w:proofErr w:type="spellEnd"/>
      <w:r w:rsidRPr="00C23886">
        <w:rPr>
          <w:lang w:val="en-US"/>
        </w:rPr>
        <w:t xml:space="preserve"> team, who reported fever (90%), seizures (15.7%), and focal deficits (7.1%) (hemiparesis). Meningoencephalitis can complicate into sepsis and lead to neurological sequelae, which may be permanent.</w:t>
      </w:r>
    </w:p>
    <w:p w14:paraId="31B2F186" w14:textId="3B1F354A" w:rsidR="00C23886" w:rsidRPr="00C23886" w:rsidRDefault="00C23886" w:rsidP="00C23886">
      <w:pPr>
        <w:spacing w:after="0" w:line="360" w:lineRule="auto"/>
        <w:rPr>
          <w:lang w:val="en-US"/>
        </w:rPr>
      </w:pPr>
      <w:r w:rsidRPr="00C23886">
        <w:rPr>
          <w:lang w:val="en-US"/>
        </w:rPr>
        <w:t xml:space="preserve">We noted 03 deaths out of 04 in our study. No sequelae were observed in the last patient. The Tunisian study by </w:t>
      </w:r>
      <w:proofErr w:type="spellStart"/>
      <w:r w:rsidRPr="00C23886">
        <w:rPr>
          <w:lang w:val="en-US"/>
        </w:rPr>
        <w:t>Frikha</w:t>
      </w:r>
      <w:proofErr w:type="spellEnd"/>
      <w:r w:rsidRPr="00C23886">
        <w:rPr>
          <w:lang w:val="en-US"/>
        </w:rPr>
        <w:t xml:space="preserve"> [9] reported no sequelae in their study. However, in a prospective study conducted in the Netherlands on acute bacterial meningitis between October 1998 and April 2002, among the sequelae, hemiparesis was found in 4%, quadriparesis in 1%, and aphasia in 2% of cases [10].</w:t>
      </w:r>
    </w:p>
    <w:p w14:paraId="4556CE59" w14:textId="2F286108" w:rsidR="00C23886" w:rsidRPr="00C23886" w:rsidRDefault="00C23886" w:rsidP="00C23886">
      <w:pPr>
        <w:spacing w:after="0" w:line="360" w:lineRule="auto"/>
        <w:rPr>
          <w:lang w:val="en-US"/>
        </w:rPr>
      </w:pPr>
      <w:r w:rsidRPr="00C23886">
        <w:rPr>
          <w:lang w:val="en-US"/>
        </w:rPr>
        <w:t xml:space="preserve">CSF analysis indicated meningitis with elevated protein levels, glucose levels, and significant neutrophilic pleocytosis. Direct examination was negative. Similar findings were reported by </w:t>
      </w:r>
      <w:proofErr w:type="spellStart"/>
      <w:r w:rsidRPr="00C23886">
        <w:rPr>
          <w:lang w:val="en-US"/>
        </w:rPr>
        <w:t>Frikha</w:t>
      </w:r>
      <w:proofErr w:type="spellEnd"/>
      <w:r w:rsidRPr="00C23886">
        <w:rPr>
          <w:lang w:val="en-US"/>
        </w:rPr>
        <w:t xml:space="preserve"> in Tunisia [9]. All our blood and CSF cultures were negative. The </w:t>
      </w:r>
      <w:proofErr w:type="spellStart"/>
      <w:r w:rsidRPr="00C23886">
        <w:rPr>
          <w:lang w:val="en-US"/>
        </w:rPr>
        <w:t>Valdoleiros</w:t>
      </w:r>
      <w:proofErr w:type="spellEnd"/>
      <w:r w:rsidRPr="00C23886">
        <w:rPr>
          <w:lang w:val="en-US"/>
        </w:rPr>
        <w:t xml:space="preserve"> team, however, reported 12.9% positive cultures [11]. Molecular biology testing by PCR on the CSF was negative. The detection of bacterial 16S ribosomal RNA in the CSF has a relatively good negative predictive value. However, in </w:t>
      </w:r>
      <w:proofErr w:type="spellStart"/>
      <w:r w:rsidRPr="00C23886">
        <w:rPr>
          <w:lang w:val="en-US"/>
        </w:rPr>
        <w:t>Zarrouk's</w:t>
      </w:r>
      <w:proofErr w:type="spellEnd"/>
      <w:r w:rsidRPr="00C23886">
        <w:rPr>
          <w:lang w:val="en-US"/>
        </w:rPr>
        <w:t xml:space="preserve"> study of 5 postoperative bacterial meningitis cases confirmed by culture, PCR was negative in 3 cases, partly due to a low inoculum [12].</w:t>
      </w:r>
    </w:p>
    <w:p w14:paraId="1286DA0B" w14:textId="304055CD" w:rsidR="00C23886" w:rsidRPr="00C23886" w:rsidRDefault="00C23886" w:rsidP="00C23886">
      <w:pPr>
        <w:spacing w:after="0" w:line="360" w:lineRule="auto"/>
        <w:rPr>
          <w:lang w:val="en-US"/>
        </w:rPr>
      </w:pPr>
      <w:r w:rsidRPr="00C23886">
        <w:rPr>
          <w:lang w:val="en-US"/>
        </w:rPr>
        <w:t>An epidemiological investigation involving multidisciplinary stakeholders was conducted on 69 surgeries performed, with 14 suspected cases. The investigation included interviews, evaluation of care practices, and a field study with environmental sampling in the patient care environment. Environmental investigation revealed the presence of Klebsiella pneumoniae subspecies and non-</w:t>
      </w:r>
      <w:proofErr w:type="spellStart"/>
      <w:r w:rsidRPr="00C23886">
        <w:rPr>
          <w:lang w:val="en-US"/>
        </w:rPr>
        <w:t>carbapenemase</w:t>
      </w:r>
      <w:proofErr w:type="spellEnd"/>
      <w:r w:rsidRPr="00C23886">
        <w:rPr>
          <w:lang w:val="en-US"/>
        </w:rPr>
        <w:t>-producing Pseudomonas, for which one of our patients was treated.</w:t>
      </w:r>
    </w:p>
    <w:p w14:paraId="539A78E4" w14:textId="3036D551" w:rsidR="00C23886" w:rsidRPr="00C23886" w:rsidRDefault="00C23886" w:rsidP="00C23886">
      <w:pPr>
        <w:spacing w:after="0" w:line="360" w:lineRule="auto"/>
        <w:rPr>
          <w:lang w:val="en-US"/>
        </w:rPr>
      </w:pPr>
      <w:r w:rsidRPr="00C23886">
        <w:rPr>
          <w:lang w:val="en-US"/>
        </w:rPr>
        <w:t>An Egyptian series reported 8 cases of Pseudomonas aeruginosa meningitis following spinal anesthesia. The most frequently identified pathogens are usually Gram-positive cocci, primarily staphylococci or alpha-hemolytic streptococci, most often of the salivarius type [13].</w:t>
      </w:r>
    </w:p>
    <w:p w14:paraId="681CB41E" w14:textId="77777777" w:rsidR="00C23886" w:rsidRPr="00C23886" w:rsidRDefault="00C23886" w:rsidP="00C23886">
      <w:pPr>
        <w:spacing w:after="0" w:line="360" w:lineRule="auto"/>
        <w:rPr>
          <w:lang w:val="en-US"/>
        </w:rPr>
      </w:pPr>
      <w:r w:rsidRPr="00C23886">
        <w:rPr>
          <w:lang w:val="en-US"/>
        </w:rPr>
        <w:lastRenderedPageBreak/>
        <w:t>Hamza reports that one of the potential entry points exploited by pathogens is the non-compliance with infection prevention and control measures, such as inadequate hand hygiene, ineffective sterilization, insufficient disinfection, and inadequate aseptic techniques [14]. Other possible causes include hematogenous spread in septicemic patients or those with asymptomatic bacteremia due to microscopic bleeding during spinal anesthesia administration or contamination in the medication or equipment used [15].</w:t>
      </w:r>
    </w:p>
    <w:p w14:paraId="2CD5CFEB" w14:textId="77777777" w:rsidR="001B6CC0" w:rsidRPr="005C6DAF" w:rsidRDefault="001B6CC0">
      <w:pPr>
        <w:spacing w:after="0" w:line="360" w:lineRule="auto"/>
        <w:rPr>
          <w:color w:val="C55911"/>
          <w:lang w:val="en-US"/>
        </w:rPr>
      </w:pPr>
    </w:p>
    <w:p w14:paraId="21964077" w14:textId="324F7E59" w:rsidR="001B6CC0" w:rsidRDefault="002A19C8">
      <w:pPr>
        <w:pBdr>
          <w:top w:val="nil"/>
          <w:left w:val="nil"/>
          <w:bottom w:val="nil"/>
          <w:right w:val="nil"/>
          <w:between w:val="nil"/>
        </w:pBdr>
        <w:spacing w:after="0" w:line="360" w:lineRule="auto"/>
        <w:ind w:right="4"/>
        <w:rPr>
          <w:bCs/>
          <w:color w:val="000000"/>
          <w:lang w:val="en-US"/>
        </w:rPr>
      </w:pPr>
      <w:r w:rsidRPr="005C6DAF">
        <w:rPr>
          <w:b/>
          <w:color w:val="000000"/>
          <w:lang w:val="en-US"/>
        </w:rPr>
        <w:t xml:space="preserve">Conclusion: </w:t>
      </w:r>
      <w:r w:rsidR="00C23886" w:rsidRPr="00C23886">
        <w:rPr>
          <w:bCs/>
          <w:color w:val="000000"/>
          <w:lang w:val="en-US"/>
        </w:rPr>
        <w:t>We reported four cases of healthcare-associated infections (HAIs) in patients exposed to the same risk factors (low transverse cesarean section in the same operating room, using the same products and anesthetic practices) in a context of non-compliance with infection prevention and control (IPC) measures.</w:t>
      </w:r>
    </w:p>
    <w:p w14:paraId="2EAEE550" w14:textId="06A004C2" w:rsidR="0005659D" w:rsidRDefault="0005659D">
      <w:pPr>
        <w:pBdr>
          <w:top w:val="nil"/>
          <w:left w:val="nil"/>
          <w:bottom w:val="nil"/>
          <w:right w:val="nil"/>
          <w:between w:val="nil"/>
        </w:pBdr>
        <w:spacing w:after="0" w:line="360" w:lineRule="auto"/>
        <w:ind w:right="4"/>
        <w:rPr>
          <w:bCs/>
          <w:color w:val="000000"/>
          <w:lang w:val="en-US"/>
        </w:rPr>
      </w:pPr>
    </w:p>
    <w:p w14:paraId="43E34006" w14:textId="001BECD7" w:rsidR="0005659D" w:rsidRDefault="0005659D">
      <w:pPr>
        <w:pBdr>
          <w:top w:val="nil"/>
          <w:left w:val="nil"/>
          <w:bottom w:val="nil"/>
          <w:right w:val="nil"/>
          <w:between w:val="nil"/>
        </w:pBdr>
        <w:spacing w:after="0" w:line="360" w:lineRule="auto"/>
        <w:ind w:right="4"/>
        <w:rPr>
          <w:bCs/>
          <w:color w:val="000000"/>
          <w:lang w:val="en-US"/>
        </w:rPr>
      </w:pPr>
    </w:p>
    <w:p w14:paraId="6E255DCA" w14:textId="77777777" w:rsidR="0005659D" w:rsidRPr="009C5487" w:rsidRDefault="0005659D" w:rsidP="0005659D">
      <w:pPr>
        <w:rPr>
          <w:rFonts w:ascii="Calibri" w:eastAsia="Calibri" w:hAnsi="Calibri" w:cs="Times New Roman"/>
          <w:kern w:val="2"/>
          <w:highlight w:val="yellow"/>
          <w:lang w:val="en-US"/>
        </w:rPr>
      </w:pPr>
      <w:bookmarkStart w:id="6" w:name="_Hlk193540946"/>
      <w:bookmarkStart w:id="7" w:name="_Hlk180402183"/>
      <w:bookmarkStart w:id="8" w:name="_Hlk183680988"/>
      <w:r w:rsidRPr="009C5487">
        <w:rPr>
          <w:rFonts w:ascii="Calibri" w:eastAsia="Calibri" w:hAnsi="Calibri" w:cs="Times New Roman"/>
          <w:kern w:val="2"/>
          <w:highlight w:val="yellow"/>
          <w:lang w:val="en-US"/>
        </w:rPr>
        <w:t>Disclaimer (Artificial intelligence)</w:t>
      </w:r>
    </w:p>
    <w:p w14:paraId="57A2DE7C" w14:textId="77777777" w:rsidR="0005659D" w:rsidRDefault="0005659D" w:rsidP="007468C5">
      <w:pPr>
        <w:spacing w:after="0" w:line="360" w:lineRule="auto"/>
        <w:rPr>
          <w:rFonts w:ascii="Calibri" w:eastAsia="Calibri" w:hAnsi="Calibri" w:cs="Times New Roman"/>
          <w:color w:val="ED7D31" w:themeColor="accent2"/>
          <w:kern w:val="2"/>
          <w:lang w:val="en-US"/>
        </w:rPr>
      </w:pPr>
      <w:r w:rsidRPr="007468C5">
        <w:rPr>
          <w:rFonts w:ascii="Calibri" w:eastAsia="Calibri" w:hAnsi="Calibri" w:cs="Times New Roman"/>
          <w:color w:val="ED7D31" w:themeColor="accent2"/>
          <w:kern w:val="2"/>
          <w:lang w:val="en-US"/>
        </w:rPr>
        <w:t xml:space="preserve">Author(s) hereby declare that NO generative AI technologies such as Large Language Models (ChatGPT, COPILOT, etc.) and text-to-image generators have been used during the writing or editing of this manuscript. </w:t>
      </w:r>
    </w:p>
    <w:p w14:paraId="253C3810" w14:textId="77777777" w:rsidR="007468C5" w:rsidRPr="007468C5" w:rsidRDefault="007468C5" w:rsidP="007468C5">
      <w:pPr>
        <w:spacing w:after="0" w:line="360" w:lineRule="auto"/>
        <w:rPr>
          <w:rFonts w:ascii="Calibri" w:eastAsia="Calibri" w:hAnsi="Calibri" w:cs="Times New Roman"/>
          <w:color w:val="ED7D31" w:themeColor="accent2"/>
          <w:kern w:val="2"/>
          <w:lang w:val="en-US"/>
        </w:rPr>
      </w:pPr>
    </w:p>
    <w:bookmarkEnd w:id="6"/>
    <w:bookmarkEnd w:id="7"/>
    <w:bookmarkEnd w:id="8"/>
    <w:p w14:paraId="4A59B298" w14:textId="77777777" w:rsidR="0005659D" w:rsidRPr="00C23886" w:rsidRDefault="0005659D">
      <w:pPr>
        <w:pBdr>
          <w:top w:val="nil"/>
          <w:left w:val="nil"/>
          <w:bottom w:val="nil"/>
          <w:right w:val="nil"/>
          <w:between w:val="nil"/>
        </w:pBdr>
        <w:spacing w:after="0" w:line="360" w:lineRule="auto"/>
        <w:ind w:right="4"/>
        <w:rPr>
          <w:bCs/>
          <w:color w:val="000000"/>
          <w:lang w:val="en-US"/>
        </w:rPr>
      </w:pPr>
    </w:p>
    <w:p w14:paraId="0DB54ABE" w14:textId="77777777" w:rsidR="001B6CC0" w:rsidRDefault="002A19C8">
      <w:pPr>
        <w:spacing w:after="0" w:line="360" w:lineRule="auto"/>
        <w:rPr>
          <w:b/>
        </w:rPr>
      </w:pPr>
      <w:proofErr w:type="spellStart"/>
      <w:proofErr w:type="gramStart"/>
      <w:r>
        <w:rPr>
          <w:b/>
        </w:rPr>
        <w:t>References</w:t>
      </w:r>
      <w:proofErr w:type="spellEnd"/>
      <w:r>
        <w:rPr>
          <w:b/>
        </w:rPr>
        <w:t>:</w:t>
      </w:r>
      <w:proofErr w:type="gramEnd"/>
    </w:p>
    <w:p w14:paraId="76AD13CE" w14:textId="77777777" w:rsidR="007468C5" w:rsidRPr="00EB4097" w:rsidRDefault="007468C5" w:rsidP="007468C5">
      <w:pPr>
        <w:numPr>
          <w:ilvl w:val="0"/>
          <w:numId w:val="2"/>
        </w:numPr>
        <w:pBdr>
          <w:top w:val="nil"/>
          <w:left w:val="nil"/>
          <w:bottom w:val="nil"/>
          <w:right w:val="nil"/>
          <w:between w:val="nil"/>
        </w:pBdr>
        <w:spacing w:after="0" w:line="360" w:lineRule="auto"/>
        <w:ind w:right="4"/>
        <w:rPr>
          <w:color w:val="ED7D31" w:themeColor="accent2"/>
          <w:lang w:val="en-US"/>
        </w:rPr>
      </w:pPr>
      <w:r w:rsidRPr="00EB4097">
        <w:rPr>
          <w:color w:val="ED7D31" w:themeColor="accent2"/>
          <w:lang w:val="en-US"/>
        </w:rPr>
        <w:t>Diallo M. Berry H. Yattara M. Problems of prevention and control of nosocomial infections at the DONKA national hospital. International conference on prevention and control of infections. https://www.icpic.com/images/2011/RIPAQS.pdf</w:t>
      </w:r>
    </w:p>
    <w:p w14:paraId="68DDC7D6" w14:textId="77777777" w:rsidR="007468C5" w:rsidRPr="00EB4097" w:rsidRDefault="007468C5" w:rsidP="007468C5">
      <w:pPr>
        <w:numPr>
          <w:ilvl w:val="0"/>
          <w:numId w:val="2"/>
        </w:numPr>
        <w:pBdr>
          <w:top w:val="nil"/>
          <w:left w:val="nil"/>
          <w:bottom w:val="nil"/>
          <w:right w:val="nil"/>
          <w:between w:val="nil"/>
        </w:pBdr>
        <w:spacing w:after="0" w:line="360" w:lineRule="auto"/>
        <w:rPr>
          <w:color w:val="ED7D31" w:themeColor="accent2"/>
          <w:lang w:val="en-US"/>
        </w:rPr>
      </w:pPr>
      <w:r w:rsidRPr="00EB4097">
        <w:rPr>
          <w:color w:val="ED7D31" w:themeColor="accent2"/>
          <w:lang w:val="en-US"/>
        </w:rPr>
        <w:t>Victor, KK Assessment of knowledge and application of measures to prevent nosocomial infections in the infectious diseases department of CHU DE POINT – G. Bamako: University of Science, Techniques and Technologies of Bamako. 2019 [These]. https://www.bibliosante.ml/bitstream/handle/123456789/3740/19P121.pdf?sequence=1&amp;isAllowed=y</w:t>
      </w:r>
    </w:p>
    <w:p w14:paraId="1F483C47" w14:textId="77777777" w:rsidR="007468C5" w:rsidRPr="005C6DAF" w:rsidRDefault="007468C5" w:rsidP="007468C5">
      <w:pPr>
        <w:numPr>
          <w:ilvl w:val="0"/>
          <w:numId w:val="2"/>
        </w:numPr>
        <w:pBdr>
          <w:top w:val="nil"/>
          <w:left w:val="nil"/>
          <w:bottom w:val="nil"/>
          <w:right w:val="nil"/>
          <w:between w:val="nil"/>
        </w:pBdr>
        <w:spacing w:after="0" w:line="360" w:lineRule="auto"/>
        <w:ind w:right="4"/>
        <w:rPr>
          <w:color w:val="000000"/>
          <w:lang w:val="en-US"/>
        </w:rPr>
      </w:pPr>
      <w:r w:rsidRPr="005C6DAF">
        <w:rPr>
          <w:color w:val="000000"/>
          <w:lang w:val="en-US"/>
        </w:rPr>
        <w:t xml:space="preserve">Diallo HA, Traoré Y., Diallo S. Audit of infection prevention and control (IPC) practices in public hospitals in Mali: the case of the CSREF of DIRE. Vol. 02 No 25 (June 2021) - Revue </w:t>
      </w:r>
      <w:proofErr w:type="spellStart"/>
      <w:r w:rsidRPr="005C6DAF">
        <w:rPr>
          <w:color w:val="000000"/>
          <w:lang w:val="en-US"/>
        </w:rPr>
        <w:t>Malienne</w:t>
      </w:r>
      <w:proofErr w:type="spellEnd"/>
      <w:r w:rsidRPr="005C6DAF">
        <w:rPr>
          <w:color w:val="000000"/>
          <w:lang w:val="en-US"/>
        </w:rPr>
        <w:t xml:space="preserve"> de Science et de Technologie – ISSN 1987-1031</w:t>
      </w:r>
      <w:r>
        <w:rPr>
          <w:color w:val="000000"/>
          <w:lang w:val="en-US"/>
        </w:rPr>
        <w:t xml:space="preserve">. </w:t>
      </w:r>
      <w:r w:rsidRPr="00EB4097">
        <w:rPr>
          <w:color w:val="000000"/>
          <w:lang w:val="en-US"/>
        </w:rPr>
        <w:t>https://revues.ml/index.php/rmst/article/view/2199/1505</w:t>
      </w:r>
    </w:p>
    <w:p w14:paraId="313D39F9" w14:textId="77777777" w:rsidR="007468C5" w:rsidRPr="00E81851" w:rsidRDefault="007468C5" w:rsidP="007468C5">
      <w:pPr>
        <w:numPr>
          <w:ilvl w:val="0"/>
          <w:numId w:val="2"/>
        </w:numPr>
        <w:pBdr>
          <w:top w:val="nil"/>
          <w:left w:val="nil"/>
          <w:bottom w:val="nil"/>
          <w:right w:val="nil"/>
          <w:between w:val="nil"/>
        </w:pBdr>
        <w:spacing w:after="0" w:line="360" w:lineRule="auto"/>
        <w:ind w:right="4"/>
        <w:rPr>
          <w:color w:val="ED7D31" w:themeColor="accent2"/>
          <w:lang w:val="en-US"/>
        </w:rPr>
      </w:pPr>
      <w:r w:rsidRPr="00E81851">
        <w:rPr>
          <w:color w:val="ED7D31" w:themeColor="accent2"/>
          <w:lang w:val="en-US"/>
        </w:rPr>
        <w:t xml:space="preserve">Li A. Nosocomial neuro-meningeal infections in the neurosurgical environment: effectiveness of the implementation of a probabilistic antibiotic therapy protocol adapted to the ecology of the department. Human medicine and pathology. 2017. </w:t>
      </w:r>
      <w:r w:rsidRPr="00E81851">
        <w:rPr>
          <w:color w:val="ED7D31" w:themeColor="accent2"/>
        </w:rPr>
        <w:t>dumas-01683997</w:t>
      </w:r>
    </w:p>
    <w:p w14:paraId="14E5D88E" w14:textId="77777777" w:rsidR="007468C5" w:rsidRPr="005C6DAF" w:rsidRDefault="007468C5" w:rsidP="007468C5">
      <w:pPr>
        <w:numPr>
          <w:ilvl w:val="0"/>
          <w:numId w:val="2"/>
        </w:numPr>
        <w:pBdr>
          <w:top w:val="nil"/>
          <w:left w:val="nil"/>
          <w:bottom w:val="nil"/>
          <w:right w:val="nil"/>
          <w:between w:val="nil"/>
        </w:pBdr>
        <w:spacing w:after="0" w:line="360" w:lineRule="auto"/>
        <w:ind w:right="4"/>
        <w:rPr>
          <w:color w:val="000000"/>
          <w:lang w:val="en-US"/>
        </w:rPr>
      </w:pPr>
      <w:r w:rsidRPr="005C6DAF">
        <w:rPr>
          <w:color w:val="000000"/>
          <w:lang w:val="en-US"/>
        </w:rPr>
        <w:t>Management Sciences for Health (MSH). Strengthening the hospital infection control program in Senegal. https://msh.org/fr/story/strengthening-the-hospital-infection-control-program-in-senegal/</w:t>
      </w:r>
    </w:p>
    <w:p w14:paraId="50B183EB" w14:textId="77777777" w:rsidR="007468C5" w:rsidRPr="005C6DAF" w:rsidRDefault="007468C5" w:rsidP="007468C5">
      <w:pPr>
        <w:numPr>
          <w:ilvl w:val="0"/>
          <w:numId w:val="2"/>
        </w:numPr>
        <w:pBdr>
          <w:top w:val="nil"/>
          <w:left w:val="nil"/>
          <w:bottom w:val="nil"/>
          <w:right w:val="nil"/>
          <w:between w:val="nil"/>
        </w:pBdr>
        <w:spacing w:after="0" w:line="360" w:lineRule="auto"/>
        <w:ind w:right="4"/>
        <w:rPr>
          <w:color w:val="000000"/>
          <w:lang w:val="en-US"/>
        </w:rPr>
      </w:pPr>
      <w:proofErr w:type="spellStart"/>
      <w:r w:rsidRPr="005C6DAF">
        <w:rPr>
          <w:color w:val="000000"/>
          <w:lang w:val="en-US"/>
        </w:rPr>
        <w:lastRenderedPageBreak/>
        <w:t>Cu</w:t>
      </w:r>
      <w:r w:rsidRPr="008B712B">
        <w:rPr>
          <w:color w:val="000000"/>
          <w:highlight w:val="yellow"/>
          <w:lang w:val="en-US"/>
        </w:rPr>
        <w:t>villon</w:t>
      </w:r>
      <w:proofErr w:type="spellEnd"/>
      <w:r w:rsidRPr="008B712B">
        <w:rPr>
          <w:color w:val="000000"/>
          <w:highlight w:val="yellow"/>
          <w:lang w:val="en-US"/>
        </w:rPr>
        <w:t xml:space="preserve"> P., Boisson C., Sotto A., </w:t>
      </w:r>
      <w:proofErr w:type="spellStart"/>
      <w:r w:rsidRPr="008B712B">
        <w:rPr>
          <w:color w:val="000000"/>
          <w:highlight w:val="yellow"/>
          <w:lang w:val="en-US"/>
        </w:rPr>
        <w:t>Ripart</w:t>
      </w:r>
      <w:proofErr w:type="spellEnd"/>
      <w:r w:rsidRPr="008B712B">
        <w:rPr>
          <w:color w:val="000000"/>
          <w:highlight w:val="yellow"/>
          <w:lang w:val="en-US"/>
        </w:rPr>
        <w:t xml:space="preserve"> J. Spinal anesthesia and epidural anesthesia in the febrile or infected patient. The Practitioner in Anesthesia Resuscitation, Volume 13, Number 6, 2009, Pages 411-417. ISSN1279-7960,</w:t>
      </w:r>
      <w:hyperlink r:id="rId14">
        <w:r w:rsidRPr="008B712B">
          <w:rPr>
            <w:color w:val="000000"/>
            <w:highlight w:val="yellow"/>
            <w:lang w:val="en-US"/>
          </w:rPr>
          <w:t>https://doi.org/10.1016/j.pratan.2009.11.002</w:t>
        </w:r>
      </w:hyperlink>
    </w:p>
    <w:p w14:paraId="451EC163" w14:textId="77777777" w:rsidR="007468C5" w:rsidRPr="008B712B" w:rsidRDefault="007468C5" w:rsidP="007468C5">
      <w:pPr>
        <w:numPr>
          <w:ilvl w:val="0"/>
          <w:numId w:val="2"/>
        </w:numPr>
        <w:pBdr>
          <w:top w:val="nil"/>
          <w:left w:val="nil"/>
          <w:bottom w:val="nil"/>
          <w:right w:val="nil"/>
          <w:between w:val="nil"/>
        </w:pBdr>
        <w:spacing w:after="0" w:line="360" w:lineRule="auto"/>
        <w:rPr>
          <w:color w:val="000000"/>
          <w:highlight w:val="yellow"/>
          <w:lang w:val="en-US"/>
        </w:rPr>
      </w:pPr>
      <w:proofErr w:type="spellStart"/>
      <w:r w:rsidRPr="008B712B">
        <w:rPr>
          <w:color w:val="000000"/>
          <w:highlight w:val="yellow"/>
          <w:lang w:val="en-US"/>
        </w:rPr>
        <w:t>Mouchrif</w:t>
      </w:r>
      <w:proofErr w:type="spellEnd"/>
      <w:r w:rsidRPr="008B712B">
        <w:rPr>
          <w:color w:val="000000"/>
          <w:highlight w:val="yellow"/>
          <w:lang w:val="en-US"/>
        </w:rPr>
        <w:t xml:space="preserve"> I, </w:t>
      </w:r>
      <w:proofErr w:type="spellStart"/>
      <w:r w:rsidRPr="008B712B">
        <w:rPr>
          <w:color w:val="000000"/>
          <w:highlight w:val="yellow"/>
          <w:lang w:val="en-US"/>
        </w:rPr>
        <w:t>Berdaii</w:t>
      </w:r>
      <w:proofErr w:type="spellEnd"/>
      <w:r w:rsidRPr="008B712B">
        <w:rPr>
          <w:color w:val="000000"/>
          <w:highlight w:val="yellow"/>
          <w:lang w:val="en-US"/>
        </w:rPr>
        <w:t xml:space="preserve"> A, Labib I, </w:t>
      </w:r>
      <w:proofErr w:type="spellStart"/>
      <w:r w:rsidRPr="008B712B">
        <w:rPr>
          <w:color w:val="000000"/>
          <w:highlight w:val="yellow"/>
          <w:lang w:val="en-US"/>
        </w:rPr>
        <w:t>Harrandou</w:t>
      </w:r>
      <w:proofErr w:type="spellEnd"/>
      <w:r w:rsidRPr="008B712B">
        <w:rPr>
          <w:color w:val="000000"/>
          <w:highlight w:val="yellow"/>
          <w:lang w:val="en-US"/>
        </w:rPr>
        <w:t xml:space="preserve"> M. Meningitis after spinal anesthesia. Pan </w:t>
      </w:r>
      <w:proofErr w:type="spellStart"/>
      <w:r w:rsidRPr="008B712B">
        <w:rPr>
          <w:color w:val="000000"/>
          <w:highlight w:val="yellow"/>
          <w:lang w:val="en-US"/>
        </w:rPr>
        <w:t>Afr</w:t>
      </w:r>
      <w:proofErr w:type="spellEnd"/>
      <w:r w:rsidRPr="008B712B">
        <w:rPr>
          <w:color w:val="000000"/>
          <w:highlight w:val="yellow"/>
          <w:lang w:val="en-US"/>
        </w:rPr>
        <w:t xml:space="preserve"> Med J. 2016 Jun </w:t>
      </w:r>
      <w:proofErr w:type="gramStart"/>
      <w:r w:rsidRPr="008B712B">
        <w:rPr>
          <w:color w:val="000000"/>
          <w:highlight w:val="yellow"/>
          <w:lang w:val="en-US"/>
        </w:rPr>
        <w:t>10;24:139</w:t>
      </w:r>
      <w:proofErr w:type="gramEnd"/>
      <w:r w:rsidRPr="008B712B">
        <w:rPr>
          <w:color w:val="000000"/>
          <w:highlight w:val="yellow"/>
          <w:lang w:val="en-US"/>
        </w:rPr>
        <w:t xml:space="preserve">. French. </w:t>
      </w:r>
      <w:proofErr w:type="spellStart"/>
      <w:r w:rsidRPr="008B712B">
        <w:rPr>
          <w:color w:val="000000"/>
          <w:highlight w:val="yellow"/>
          <w:lang w:val="en-US"/>
        </w:rPr>
        <w:t>doi</w:t>
      </w:r>
      <w:proofErr w:type="spellEnd"/>
      <w:r w:rsidRPr="008B712B">
        <w:rPr>
          <w:color w:val="000000"/>
          <w:highlight w:val="yellow"/>
          <w:lang w:val="en-US"/>
        </w:rPr>
        <w:t>: 10.11604/pamj.2016.24.139.8390. PMID: 27642477; PMCID: PMC5012821.</w:t>
      </w:r>
    </w:p>
    <w:p w14:paraId="47EDC5D6" w14:textId="77777777" w:rsidR="007468C5" w:rsidRDefault="007468C5" w:rsidP="007468C5">
      <w:pPr>
        <w:numPr>
          <w:ilvl w:val="0"/>
          <w:numId w:val="2"/>
        </w:numPr>
        <w:pBdr>
          <w:top w:val="nil"/>
          <w:left w:val="nil"/>
          <w:bottom w:val="nil"/>
          <w:right w:val="nil"/>
          <w:between w:val="nil"/>
        </w:pBdr>
        <w:spacing w:after="0" w:line="360" w:lineRule="auto"/>
        <w:rPr>
          <w:color w:val="000000"/>
        </w:rPr>
      </w:pPr>
      <w:proofErr w:type="spellStart"/>
      <w:r w:rsidRPr="005C6DAF">
        <w:rPr>
          <w:color w:val="000000"/>
          <w:lang w:val="en-US"/>
        </w:rPr>
        <w:t>Gorce</w:t>
      </w:r>
      <w:proofErr w:type="spellEnd"/>
      <w:r w:rsidRPr="005C6DAF">
        <w:rPr>
          <w:color w:val="000000"/>
          <w:lang w:val="en-US"/>
        </w:rPr>
        <w:t xml:space="preserve"> P., Varlet C., Ouaknine B., </w:t>
      </w:r>
      <w:proofErr w:type="spellStart"/>
      <w:r w:rsidRPr="005C6DAF">
        <w:rPr>
          <w:color w:val="000000"/>
          <w:lang w:val="en-US"/>
        </w:rPr>
        <w:t>Pourriat</w:t>
      </w:r>
      <w:proofErr w:type="spellEnd"/>
      <w:r w:rsidRPr="005C6DAF">
        <w:rPr>
          <w:color w:val="000000"/>
          <w:lang w:val="en-US"/>
        </w:rPr>
        <w:t xml:space="preserve"> JL Meningitis after spinal locoregional </w:t>
      </w:r>
      <w:proofErr w:type="spellStart"/>
      <w:r w:rsidRPr="005C6DAF">
        <w:rPr>
          <w:color w:val="000000"/>
          <w:lang w:val="en-US"/>
        </w:rPr>
        <w:t>anesthesia.</w:t>
      </w:r>
      <w:hyperlink r:id="rId15">
        <w:r w:rsidRPr="005C6DAF">
          <w:rPr>
            <w:color w:val="000000"/>
            <w:lang w:val="en-US"/>
          </w:rPr>
          <w:t>https</w:t>
        </w:r>
        <w:proofErr w:type="spellEnd"/>
        <w:r w:rsidRPr="005C6DAF">
          <w:rPr>
            <w:color w:val="000000"/>
            <w:lang w:val="en-US"/>
          </w:rPr>
          <w:t>://doi.org/10.1016/S0750-7658(00)00237-9</w:t>
        </w:r>
      </w:hyperlink>
      <w:r w:rsidRPr="005C6DAF">
        <w:rPr>
          <w:color w:val="000000"/>
          <w:lang w:val="en-US"/>
        </w:rPr>
        <w:t>.</w:t>
      </w:r>
      <w:hyperlink r:id="rId16">
        <w:r w:rsidRPr="005C6DAF">
          <w:rPr>
            <w:color w:val="000000"/>
            <w:lang w:val="en-US"/>
          </w:rPr>
          <w:t>French Annals of Anesthesia and Resuscitation</w:t>
        </w:r>
      </w:hyperlink>
      <w:r w:rsidRPr="005C6DAF">
        <w:rPr>
          <w:color w:val="000000"/>
          <w:lang w:val="en-US"/>
        </w:rPr>
        <w:t>.</w:t>
      </w:r>
      <w:hyperlink r:id="rId17">
        <w:r>
          <w:rPr>
            <w:color w:val="000000"/>
          </w:rPr>
          <w:t xml:space="preserve">Volume 19, </w:t>
        </w:r>
        <w:proofErr w:type="spellStart"/>
        <w:r>
          <w:rPr>
            <w:color w:val="000000"/>
          </w:rPr>
          <w:t>number</w:t>
        </w:r>
        <w:proofErr w:type="spellEnd"/>
        <w:r>
          <w:rPr>
            <w:color w:val="000000"/>
          </w:rPr>
          <w:t xml:space="preserve"> 5</w:t>
        </w:r>
      </w:hyperlink>
      <w:r>
        <w:rPr>
          <w:color w:val="000000"/>
        </w:rPr>
        <w:t>, May 2000, pages 375-381</w:t>
      </w:r>
    </w:p>
    <w:p w14:paraId="07CB788A" w14:textId="77777777" w:rsidR="007468C5" w:rsidRPr="008B712B" w:rsidRDefault="007468C5" w:rsidP="007468C5">
      <w:pPr>
        <w:numPr>
          <w:ilvl w:val="0"/>
          <w:numId w:val="2"/>
        </w:numPr>
        <w:pBdr>
          <w:top w:val="nil"/>
          <w:left w:val="nil"/>
          <w:bottom w:val="nil"/>
          <w:right w:val="nil"/>
          <w:between w:val="nil"/>
        </w:pBdr>
        <w:spacing w:after="0" w:line="360" w:lineRule="auto"/>
        <w:ind w:right="4"/>
        <w:rPr>
          <w:color w:val="000000"/>
          <w:highlight w:val="yellow"/>
        </w:rPr>
      </w:pPr>
      <w:proofErr w:type="spellStart"/>
      <w:r w:rsidRPr="008B712B">
        <w:rPr>
          <w:color w:val="000000"/>
          <w:highlight w:val="yellow"/>
          <w:lang w:val="en-US"/>
        </w:rPr>
        <w:t>Frikha</w:t>
      </w:r>
      <w:proofErr w:type="spellEnd"/>
      <w:r w:rsidRPr="008B712B">
        <w:rPr>
          <w:color w:val="000000"/>
          <w:highlight w:val="yellow"/>
          <w:lang w:val="en-US"/>
        </w:rPr>
        <w:t xml:space="preserve"> N., </w:t>
      </w:r>
      <w:proofErr w:type="spellStart"/>
      <w:r w:rsidRPr="008B712B">
        <w:rPr>
          <w:color w:val="000000"/>
          <w:highlight w:val="yellow"/>
          <w:lang w:val="en-US"/>
        </w:rPr>
        <w:t>Kaouch</w:t>
      </w:r>
      <w:proofErr w:type="spellEnd"/>
      <w:r w:rsidRPr="008B712B">
        <w:rPr>
          <w:color w:val="000000"/>
          <w:highlight w:val="yellow"/>
          <w:lang w:val="en-US"/>
        </w:rPr>
        <w:t xml:space="preserve"> N., Gargouri F., </w:t>
      </w:r>
      <w:proofErr w:type="spellStart"/>
      <w:r w:rsidRPr="008B712B">
        <w:rPr>
          <w:color w:val="000000"/>
          <w:highlight w:val="yellow"/>
          <w:lang w:val="en-US"/>
        </w:rPr>
        <w:t>Ouerghi</w:t>
      </w:r>
      <w:proofErr w:type="spellEnd"/>
      <w:r w:rsidRPr="008B712B">
        <w:rPr>
          <w:color w:val="000000"/>
          <w:highlight w:val="yellow"/>
          <w:lang w:val="en-US"/>
        </w:rPr>
        <w:t xml:space="preserve"> S., Ben Ammar MS Meningitis after spinal anesthesia. </w:t>
      </w:r>
      <w:proofErr w:type="spellStart"/>
      <w:r w:rsidRPr="008B712B">
        <w:rPr>
          <w:color w:val="000000"/>
          <w:highlight w:val="yellow"/>
        </w:rPr>
        <w:t>Tunisia</w:t>
      </w:r>
      <w:proofErr w:type="spellEnd"/>
      <w:r w:rsidRPr="008B712B">
        <w:rPr>
          <w:color w:val="000000"/>
          <w:highlight w:val="yellow"/>
        </w:rPr>
        <w:t xml:space="preserve"> </w:t>
      </w:r>
      <w:proofErr w:type="spellStart"/>
      <w:r w:rsidRPr="008B712B">
        <w:rPr>
          <w:color w:val="000000"/>
          <w:highlight w:val="yellow"/>
        </w:rPr>
        <w:t>Medical</w:t>
      </w:r>
      <w:proofErr w:type="spellEnd"/>
      <w:r w:rsidRPr="008B712B">
        <w:rPr>
          <w:color w:val="000000"/>
          <w:highlight w:val="yellow"/>
        </w:rPr>
        <w:t xml:space="preserve"> - 2014; Vol 92 (n°04): 278-282</w:t>
      </w:r>
    </w:p>
    <w:p w14:paraId="23DBF8C9" w14:textId="77777777" w:rsidR="007468C5" w:rsidRPr="008B712B" w:rsidRDefault="007468C5" w:rsidP="007468C5">
      <w:pPr>
        <w:numPr>
          <w:ilvl w:val="0"/>
          <w:numId w:val="2"/>
        </w:numPr>
        <w:pBdr>
          <w:top w:val="nil"/>
          <w:left w:val="nil"/>
          <w:bottom w:val="nil"/>
          <w:right w:val="nil"/>
          <w:between w:val="nil"/>
        </w:pBdr>
        <w:spacing w:after="0" w:line="360" w:lineRule="auto"/>
        <w:rPr>
          <w:color w:val="000000"/>
          <w:highlight w:val="yellow"/>
        </w:rPr>
      </w:pPr>
      <w:r w:rsidRPr="008B712B">
        <w:rPr>
          <w:color w:val="000000"/>
          <w:highlight w:val="yellow"/>
          <w:lang w:val="en-US"/>
        </w:rPr>
        <w:t xml:space="preserve">Van de Beek D, de Gans J, </w:t>
      </w:r>
      <w:proofErr w:type="spellStart"/>
      <w:r w:rsidRPr="008B712B">
        <w:rPr>
          <w:color w:val="000000"/>
          <w:highlight w:val="yellow"/>
          <w:lang w:val="en-US"/>
        </w:rPr>
        <w:t>Spanjaard</w:t>
      </w:r>
      <w:proofErr w:type="spellEnd"/>
      <w:r w:rsidRPr="008B712B">
        <w:rPr>
          <w:color w:val="000000"/>
          <w:highlight w:val="yellow"/>
          <w:lang w:val="en-US"/>
        </w:rPr>
        <w:t xml:space="preserve"> L, </w:t>
      </w:r>
      <w:proofErr w:type="spellStart"/>
      <w:r w:rsidRPr="008B712B">
        <w:rPr>
          <w:color w:val="000000"/>
          <w:highlight w:val="yellow"/>
          <w:lang w:val="en-US"/>
        </w:rPr>
        <w:t>Weisfelt</w:t>
      </w:r>
      <w:proofErr w:type="spellEnd"/>
      <w:r w:rsidRPr="008B712B">
        <w:rPr>
          <w:color w:val="000000"/>
          <w:highlight w:val="yellow"/>
          <w:lang w:val="en-US"/>
        </w:rPr>
        <w:t xml:space="preserve"> M, </w:t>
      </w:r>
      <w:proofErr w:type="spellStart"/>
      <w:r w:rsidRPr="008B712B">
        <w:rPr>
          <w:color w:val="000000"/>
          <w:highlight w:val="yellow"/>
          <w:lang w:val="en-US"/>
        </w:rPr>
        <w:t>Reitsma</w:t>
      </w:r>
      <w:proofErr w:type="spellEnd"/>
      <w:r w:rsidRPr="008B712B">
        <w:rPr>
          <w:color w:val="000000"/>
          <w:highlight w:val="yellow"/>
          <w:lang w:val="en-US"/>
        </w:rPr>
        <w:t xml:space="preserve"> JB, Vermeulen M: Clinical and prognostic factors in adults with bacterial meningitis. </w:t>
      </w:r>
      <w:r w:rsidRPr="008B712B">
        <w:rPr>
          <w:color w:val="000000"/>
          <w:highlight w:val="yellow"/>
        </w:rPr>
        <w:t xml:space="preserve">N </w:t>
      </w:r>
      <w:proofErr w:type="spellStart"/>
      <w:r w:rsidRPr="008B712B">
        <w:rPr>
          <w:color w:val="000000"/>
          <w:highlight w:val="yellow"/>
        </w:rPr>
        <w:t>Engl</w:t>
      </w:r>
      <w:proofErr w:type="spellEnd"/>
      <w:r w:rsidRPr="008B712B">
        <w:rPr>
          <w:color w:val="000000"/>
          <w:highlight w:val="yellow"/>
        </w:rPr>
        <w:t xml:space="preserve"> J Med 2004;351:1849–59</w:t>
      </w:r>
    </w:p>
    <w:p w14:paraId="48E408C4" w14:textId="77777777" w:rsidR="007468C5" w:rsidRPr="008B712B" w:rsidRDefault="007468C5" w:rsidP="007468C5">
      <w:pPr>
        <w:numPr>
          <w:ilvl w:val="0"/>
          <w:numId w:val="2"/>
        </w:numPr>
        <w:pBdr>
          <w:top w:val="nil"/>
          <w:left w:val="nil"/>
          <w:bottom w:val="nil"/>
          <w:right w:val="nil"/>
          <w:between w:val="nil"/>
        </w:pBdr>
        <w:spacing w:after="0" w:line="360" w:lineRule="auto"/>
        <w:rPr>
          <w:color w:val="000000"/>
          <w:highlight w:val="yellow"/>
          <w:lang w:val="en-US"/>
        </w:rPr>
      </w:pPr>
      <w:proofErr w:type="spellStart"/>
      <w:r w:rsidRPr="008B712B">
        <w:rPr>
          <w:color w:val="000000"/>
          <w:highlight w:val="yellow"/>
          <w:lang w:val="en-US"/>
        </w:rPr>
        <w:t>Valdoleiros</w:t>
      </w:r>
      <w:proofErr w:type="spellEnd"/>
      <w:r w:rsidRPr="008B712B">
        <w:rPr>
          <w:color w:val="000000"/>
          <w:highlight w:val="yellow"/>
          <w:lang w:val="en-US"/>
        </w:rPr>
        <w:t xml:space="preserve"> SR, </w:t>
      </w:r>
      <w:proofErr w:type="spellStart"/>
      <w:r w:rsidRPr="008B712B">
        <w:rPr>
          <w:color w:val="000000"/>
          <w:highlight w:val="yellow"/>
          <w:lang w:val="en-US"/>
        </w:rPr>
        <w:t>Torrão</w:t>
      </w:r>
      <w:proofErr w:type="spellEnd"/>
      <w:r w:rsidRPr="008B712B">
        <w:rPr>
          <w:color w:val="000000"/>
          <w:highlight w:val="yellow"/>
          <w:lang w:val="en-US"/>
        </w:rPr>
        <w:t xml:space="preserve"> C, Freitas LS, Mano D, Gonçalves C, Teixeira C. Nosocomial meningitis in intensive care: a 10-year retrospective study and literature review. Acute Critical Care. Feb 2022;37(1):61–70. </w:t>
      </w:r>
      <w:proofErr w:type="spellStart"/>
      <w:r w:rsidRPr="008B712B">
        <w:rPr>
          <w:color w:val="000000"/>
          <w:highlight w:val="yellow"/>
          <w:lang w:val="en-US"/>
        </w:rPr>
        <w:t>doi</w:t>
      </w:r>
      <w:proofErr w:type="spellEnd"/>
      <w:r w:rsidRPr="008B712B">
        <w:rPr>
          <w:color w:val="000000"/>
          <w:highlight w:val="yellow"/>
          <w:lang w:val="en-US"/>
        </w:rPr>
        <w:t xml:space="preserve">: 10.4266/acc.2021.01151. </w:t>
      </w:r>
      <w:proofErr w:type="spellStart"/>
      <w:r w:rsidRPr="008B712B">
        <w:rPr>
          <w:color w:val="000000"/>
          <w:highlight w:val="yellow"/>
          <w:lang w:val="en-US"/>
        </w:rPr>
        <w:t>Epub</w:t>
      </w:r>
      <w:proofErr w:type="spellEnd"/>
      <w:r w:rsidRPr="008B712B">
        <w:rPr>
          <w:color w:val="000000"/>
          <w:highlight w:val="yellow"/>
          <w:lang w:val="en-US"/>
        </w:rPr>
        <w:t xml:space="preserve"> 2022 Jan 26. PMID: 35081705; PMCID: PMC8918708.</w:t>
      </w:r>
    </w:p>
    <w:p w14:paraId="6F31278F" w14:textId="77777777" w:rsidR="007468C5" w:rsidRPr="008B712B" w:rsidRDefault="007468C5" w:rsidP="007468C5">
      <w:pPr>
        <w:numPr>
          <w:ilvl w:val="0"/>
          <w:numId w:val="2"/>
        </w:numPr>
        <w:pBdr>
          <w:top w:val="nil"/>
          <w:left w:val="nil"/>
          <w:bottom w:val="nil"/>
          <w:right w:val="nil"/>
          <w:between w:val="nil"/>
        </w:pBdr>
        <w:spacing w:after="0" w:line="360" w:lineRule="auto"/>
        <w:rPr>
          <w:color w:val="000000"/>
          <w:highlight w:val="yellow"/>
        </w:rPr>
      </w:pPr>
      <w:proofErr w:type="spellStart"/>
      <w:r w:rsidRPr="008B712B">
        <w:rPr>
          <w:color w:val="000000"/>
          <w:highlight w:val="yellow"/>
          <w:lang w:val="en-US"/>
        </w:rPr>
        <w:t>Zarrouk</w:t>
      </w:r>
      <w:proofErr w:type="spellEnd"/>
      <w:r w:rsidRPr="008B712B">
        <w:rPr>
          <w:color w:val="000000"/>
          <w:highlight w:val="yellow"/>
          <w:lang w:val="en-US"/>
        </w:rPr>
        <w:t xml:space="preserve"> V, </w:t>
      </w:r>
      <w:proofErr w:type="spellStart"/>
      <w:r w:rsidRPr="008B712B">
        <w:rPr>
          <w:color w:val="000000"/>
          <w:highlight w:val="yellow"/>
          <w:lang w:val="en-US"/>
        </w:rPr>
        <w:t>Leflon-Guibout</w:t>
      </w:r>
      <w:proofErr w:type="spellEnd"/>
      <w:r w:rsidRPr="008B712B">
        <w:rPr>
          <w:color w:val="000000"/>
          <w:highlight w:val="yellow"/>
          <w:lang w:val="en-US"/>
        </w:rPr>
        <w:t xml:space="preserve"> V, </w:t>
      </w:r>
      <w:proofErr w:type="spellStart"/>
      <w:r w:rsidRPr="008B712B">
        <w:rPr>
          <w:color w:val="000000"/>
          <w:highlight w:val="yellow"/>
          <w:lang w:val="en-US"/>
        </w:rPr>
        <w:t>Robineaux</w:t>
      </w:r>
      <w:proofErr w:type="spellEnd"/>
      <w:r w:rsidRPr="008B712B">
        <w:rPr>
          <w:color w:val="000000"/>
          <w:highlight w:val="yellow"/>
          <w:lang w:val="en-US"/>
        </w:rPr>
        <w:t xml:space="preserve"> S, </w:t>
      </w:r>
      <w:proofErr w:type="spellStart"/>
      <w:r w:rsidRPr="008B712B">
        <w:rPr>
          <w:color w:val="000000"/>
          <w:highlight w:val="yellow"/>
          <w:lang w:val="en-US"/>
        </w:rPr>
        <w:t>Kalamarides</w:t>
      </w:r>
      <w:proofErr w:type="spellEnd"/>
      <w:r w:rsidRPr="008B712B">
        <w:rPr>
          <w:color w:val="000000"/>
          <w:highlight w:val="yellow"/>
          <w:lang w:val="en-US"/>
        </w:rPr>
        <w:t xml:space="preserve"> M, Nicolas-</w:t>
      </w:r>
      <w:proofErr w:type="spellStart"/>
      <w:r w:rsidRPr="008B712B">
        <w:rPr>
          <w:color w:val="000000"/>
          <w:highlight w:val="yellow"/>
          <w:lang w:val="en-US"/>
        </w:rPr>
        <w:t>Chanoine</w:t>
      </w:r>
      <w:proofErr w:type="spellEnd"/>
      <w:r w:rsidRPr="008B712B">
        <w:rPr>
          <w:color w:val="000000"/>
          <w:highlight w:val="yellow"/>
          <w:lang w:val="en-US"/>
        </w:rPr>
        <w:t xml:space="preserve"> MH, </w:t>
      </w:r>
      <w:proofErr w:type="spellStart"/>
      <w:r w:rsidRPr="008B712B">
        <w:rPr>
          <w:color w:val="000000"/>
          <w:highlight w:val="yellow"/>
          <w:lang w:val="en-US"/>
        </w:rPr>
        <w:t>Sterkers</w:t>
      </w:r>
      <w:proofErr w:type="spellEnd"/>
      <w:r w:rsidRPr="008B712B">
        <w:rPr>
          <w:color w:val="000000"/>
          <w:highlight w:val="yellow"/>
          <w:lang w:val="en-US"/>
        </w:rPr>
        <w:t xml:space="preserve"> O, </w:t>
      </w:r>
      <w:proofErr w:type="spellStart"/>
      <w:r w:rsidRPr="008B712B">
        <w:rPr>
          <w:color w:val="000000"/>
          <w:highlight w:val="yellow"/>
          <w:lang w:val="en-US"/>
        </w:rPr>
        <w:t>Fantin</w:t>
      </w:r>
      <w:proofErr w:type="spellEnd"/>
      <w:r w:rsidRPr="008B712B">
        <w:rPr>
          <w:color w:val="000000"/>
          <w:highlight w:val="yellow"/>
          <w:lang w:val="en-US"/>
        </w:rPr>
        <w:t xml:space="preserve"> B. Broad-spectrum 16s </w:t>
      </w:r>
      <w:proofErr w:type="spellStart"/>
      <w:r w:rsidRPr="008B712B">
        <w:rPr>
          <w:color w:val="000000"/>
          <w:highlight w:val="yellow"/>
          <w:lang w:val="en-US"/>
        </w:rPr>
        <w:t>rrna</w:t>
      </w:r>
      <w:proofErr w:type="spellEnd"/>
      <w:r w:rsidRPr="008B712B">
        <w:rPr>
          <w:color w:val="000000"/>
          <w:highlight w:val="yellow"/>
          <w:lang w:val="en-US"/>
        </w:rPr>
        <w:t xml:space="preserve"> PCR with cerebrospinal fluid may be unreliable for the management of postoperative aseptic meningitis.</w:t>
      </w:r>
      <w:hyperlink r:id="rId18">
        <w:r w:rsidRPr="008B712B">
          <w:rPr>
            <w:color w:val="0563C1"/>
            <w:highlight w:val="yellow"/>
            <w:u w:val="single"/>
          </w:rPr>
          <w:t>J Clin Microbiol</w:t>
        </w:r>
      </w:hyperlink>
      <w:r w:rsidRPr="008B712B">
        <w:rPr>
          <w:color w:val="000000"/>
          <w:highlight w:val="yellow"/>
        </w:rPr>
        <w:t>2010;48:3331-3333</w:t>
      </w:r>
    </w:p>
    <w:p w14:paraId="4BC7896B" w14:textId="77777777" w:rsidR="007468C5" w:rsidRPr="00E81851" w:rsidRDefault="007468C5" w:rsidP="007468C5">
      <w:pPr>
        <w:numPr>
          <w:ilvl w:val="0"/>
          <w:numId w:val="2"/>
        </w:numPr>
        <w:pBdr>
          <w:top w:val="nil"/>
          <w:left w:val="nil"/>
          <w:bottom w:val="nil"/>
          <w:right w:val="nil"/>
          <w:between w:val="nil"/>
        </w:pBdr>
        <w:spacing w:after="0" w:line="360" w:lineRule="auto"/>
        <w:rPr>
          <w:color w:val="ED7D31" w:themeColor="accent2"/>
          <w:lang w:val="en-US"/>
        </w:rPr>
      </w:pPr>
      <w:r w:rsidRPr="00E81851">
        <w:rPr>
          <w:color w:val="ED7D31" w:themeColor="accent2"/>
          <w:lang w:val="en-US"/>
        </w:rPr>
        <w:t xml:space="preserve">Ferré F., </w:t>
      </w:r>
      <w:proofErr w:type="spellStart"/>
      <w:r w:rsidRPr="00E81851">
        <w:rPr>
          <w:color w:val="ED7D31" w:themeColor="accent2"/>
          <w:lang w:val="en-US"/>
        </w:rPr>
        <w:t>Minville</w:t>
      </w:r>
      <w:proofErr w:type="spellEnd"/>
      <w:r w:rsidRPr="00E81851">
        <w:rPr>
          <w:color w:val="ED7D31" w:themeColor="accent2"/>
          <w:lang w:val="en-US"/>
        </w:rPr>
        <w:t xml:space="preserve"> V., </w:t>
      </w:r>
      <w:proofErr w:type="spellStart"/>
      <w:r w:rsidRPr="00E81851">
        <w:rPr>
          <w:color w:val="ED7D31" w:themeColor="accent2"/>
          <w:lang w:val="en-US"/>
        </w:rPr>
        <w:t>Zetlaoui</w:t>
      </w:r>
      <w:proofErr w:type="spellEnd"/>
      <w:r w:rsidRPr="00E81851">
        <w:rPr>
          <w:color w:val="ED7D31" w:themeColor="accent2"/>
          <w:lang w:val="en-US"/>
        </w:rPr>
        <w:t xml:space="preserve"> P.</w:t>
      </w:r>
      <w:r w:rsidRPr="00E81851">
        <w:rPr>
          <w:rFonts w:ascii="Cambria Math" w:eastAsia="Cambria Math" w:hAnsi="Cambria Math" w:cs="Cambria Math"/>
          <w:color w:val="ED7D31" w:themeColor="accent2"/>
          <w:lang w:val="en-US"/>
        </w:rPr>
        <w:t>‐</w:t>
      </w:r>
      <w:r w:rsidRPr="00E81851">
        <w:rPr>
          <w:color w:val="ED7D31" w:themeColor="accent2"/>
          <w:lang w:val="en-US"/>
        </w:rPr>
        <w:t>J. 53rd National Congress of Anesthesia Physicians. The Essentials 2011. https://www.yumpu.com/fr/document/read/4420663/rachianesthesie</w:t>
      </w:r>
    </w:p>
    <w:p w14:paraId="40EF9A13" w14:textId="77777777" w:rsidR="007468C5" w:rsidRPr="00E81851" w:rsidRDefault="007468C5" w:rsidP="007468C5">
      <w:pPr>
        <w:numPr>
          <w:ilvl w:val="0"/>
          <w:numId w:val="2"/>
        </w:numPr>
        <w:pBdr>
          <w:top w:val="nil"/>
          <w:left w:val="nil"/>
          <w:bottom w:val="nil"/>
          <w:right w:val="nil"/>
          <w:between w:val="nil"/>
        </w:pBdr>
        <w:spacing w:after="0" w:line="360" w:lineRule="auto"/>
        <w:ind w:right="4"/>
        <w:rPr>
          <w:color w:val="ED7D31" w:themeColor="accent2"/>
          <w:lang w:val="en-US"/>
        </w:rPr>
      </w:pPr>
      <w:r w:rsidRPr="00E81851">
        <w:rPr>
          <w:color w:val="ED7D31" w:themeColor="accent2"/>
          <w:lang w:val="en-US"/>
        </w:rPr>
        <w:t>Hamza R. Epidemiology of healthcare-associated infections. Tunisian Journal of Infectiology - January 2010, Vol.4: 1 – 4. https://www.infectiologie.org.tn/pdf_ppt_docs/revues/1-2010/epidemiologie.pdf</w:t>
      </w:r>
    </w:p>
    <w:p w14:paraId="42F69A54" w14:textId="13950A75" w:rsidR="007468C5" w:rsidRPr="00FF50B1" w:rsidRDefault="007468C5" w:rsidP="007468C5">
      <w:pPr>
        <w:numPr>
          <w:ilvl w:val="0"/>
          <w:numId w:val="2"/>
        </w:numPr>
        <w:pBdr>
          <w:top w:val="nil"/>
          <w:left w:val="nil"/>
          <w:bottom w:val="nil"/>
          <w:right w:val="nil"/>
          <w:between w:val="nil"/>
        </w:pBdr>
        <w:spacing w:after="0" w:line="360" w:lineRule="auto"/>
        <w:ind w:right="4"/>
        <w:rPr>
          <w:color w:val="000000"/>
          <w:lang w:val="en-US"/>
        </w:rPr>
      </w:pPr>
      <w:proofErr w:type="spellStart"/>
      <w:r w:rsidRPr="00E81851">
        <w:rPr>
          <w:color w:val="000000"/>
          <w:lang w:val="en-US"/>
        </w:rPr>
        <w:t>Muzien</w:t>
      </w:r>
      <w:proofErr w:type="spellEnd"/>
      <w:r w:rsidRPr="00E81851">
        <w:rPr>
          <w:color w:val="000000"/>
          <w:lang w:val="en-US"/>
        </w:rPr>
        <w:t xml:space="preserve"> SJ. Bacterial meningitis without pyrexia after spinal </w:t>
      </w:r>
      <w:proofErr w:type="spellStart"/>
      <w:r w:rsidRPr="00E81851">
        <w:rPr>
          <w:color w:val="000000"/>
          <w:lang w:val="en-US"/>
        </w:rPr>
        <w:t>anesthasia</w:t>
      </w:r>
      <w:proofErr w:type="spellEnd"/>
      <w:r w:rsidRPr="00E81851">
        <w:rPr>
          <w:color w:val="000000"/>
          <w:lang w:val="en-US"/>
        </w:rPr>
        <w:t xml:space="preserve"> for caesarean section: A case report. Int J Surg Case Rep. 2021 </w:t>
      </w:r>
      <w:proofErr w:type="gramStart"/>
      <w:r w:rsidRPr="00E81851">
        <w:rPr>
          <w:color w:val="000000"/>
          <w:lang w:val="en-US"/>
        </w:rPr>
        <w:t>Nov;88:106582</w:t>
      </w:r>
      <w:proofErr w:type="gramEnd"/>
      <w:r w:rsidRPr="00E81851">
        <w:rPr>
          <w:color w:val="000000"/>
          <w:lang w:val="en-US"/>
        </w:rPr>
        <w:t xml:space="preserve">. </w:t>
      </w:r>
      <w:proofErr w:type="spellStart"/>
      <w:r w:rsidRPr="00E81851">
        <w:rPr>
          <w:color w:val="000000"/>
          <w:lang w:val="en-US"/>
        </w:rPr>
        <w:t>doi</w:t>
      </w:r>
      <w:proofErr w:type="spellEnd"/>
      <w:r w:rsidRPr="00E81851">
        <w:rPr>
          <w:color w:val="000000"/>
          <w:lang w:val="en-US"/>
        </w:rPr>
        <w:t xml:space="preserve">: 10.1016/j.ijscr.2021.106582. </w:t>
      </w:r>
      <w:proofErr w:type="spellStart"/>
      <w:r w:rsidRPr="00E81851">
        <w:rPr>
          <w:color w:val="000000"/>
          <w:lang w:val="en-US"/>
        </w:rPr>
        <w:t>Epub</w:t>
      </w:r>
      <w:proofErr w:type="spellEnd"/>
      <w:r w:rsidRPr="00E81851">
        <w:rPr>
          <w:color w:val="000000"/>
          <w:lang w:val="en-US"/>
        </w:rPr>
        <w:t xml:space="preserve"> 2021 Nov 6. </w:t>
      </w:r>
      <w:proofErr w:type="gramStart"/>
      <w:r w:rsidRPr="00E81851">
        <w:rPr>
          <w:color w:val="000000"/>
        </w:rPr>
        <w:t>PMID:</w:t>
      </w:r>
      <w:proofErr w:type="gramEnd"/>
      <w:r w:rsidRPr="00E81851">
        <w:rPr>
          <w:color w:val="000000"/>
        </w:rPr>
        <w:t xml:space="preserve"> 34753101; PMCID: PMC8585651.</w:t>
      </w:r>
    </w:p>
    <w:p w14:paraId="57BEEA91" w14:textId="53EC88AC" w:rsidR="00FF50B1" w:rsidRDefault="00FF50B1" w:rsidP="007468C5">
      <w:pPr>
        <w:numPr>
          <w:ilvl w:val="0"/>
          <w:numId w:val="2"/>
        </w:numPr>
        <w:pBdr>
          <w:top w:val="nil"/>
          <w:left w:val="nil"/>
          <w:bottom w:val="nil"/>
          <w:right w:val="nil"/>
          <w:between w:val="nil"/>
        </w:pBdr>
        <w:spacing w:after="0" w:line="360" w:lineRule="auto"/>
        <w:ind w:right="4"/>
        <w:rPr>
          <w:color w:val="000000"/>
          <w:lang w:val="en-US"/>
        </w:rPr>
      </w:pPr>
      <w:proofErr w:type="spellStart"/>
      <w:r w:rsidRPr="00FF50B1">
        <w:rPr>
          <w:color w:val="000000"/>
          <w:lang w:val="en-US"/>
        </w:rPr>
        <w:t>Busl</w:t>
      </w:r>
      <w:proofErr w:type="spellEnd"/>
      <w:r w:rsidRPr="00FF50B1">
        <w:rPr>
          <w:color w:val="000000"/>
          <w:lang w:val="en-US"/>
        </w:rPr>
        <w:t>, K. M. (2019). Healthcare-associated infections in the neurocritical care unit. Current neurology and neuroscience reports, 19, 1-10.</w:t>
      </w:r>
    </w:p>
    <w:p w14:paraId="3443FF8F" w14:textId="4629CE8A" w:rsidR="00FF50B1" w:rsidRDefault="00FF50B1" w:rsidP="007468C5">
      <w:pPr>
        <w:numPr>
          <w:ilvl w:val="0"/>
          <w:numId w:val="2"/>
        </w:numPr>
        <w:pBdr>
          <w:top w:val="nil"/>
          <w:left w:val="nil"/>
          <w:bottom w:val="nil"/>
          <w:right w:val="nil"/>
          <w:between w:val="nil"/>
        </w:pBdr>
        <w:spacing w:after="0" w:line="360" w:lineRule="auto"/>
        <w:ind w:right="4"/>
        <w:rPr>
          <w:color w:val="000000"/>
          <w:lang w:val="en-US"/>
        </w:rPr>
      </w:pPr>
      <w:proofErr w:type="spellStart"/>
      <w:r w:rsidRPr="00FF50B1">
        <w:rPr>
          <w:color w:val="000000"/>
          <w:lang w:val="en-US"/>
        </w:rPr>
        <w:t>Abulhasan</w:t>
      </w:r>
      <w:proofErr w:type="spellEnd"/>
      <w:r w:rsidRPr="00FF50B1">
        <w:rPr>
          <w:color w:val="000000"/>
          <w:lang w:val="en-US"/>
        </w:rPr>
        <w:t xml:space="preserve">, Y. B., Rachel, S. P., </w:t>
      </w:r>
      <w:proofErr w:type="spellStart"/>
      <w:r w:rsidRPr="00FF50B1">
        <w:rPr>
          <w:color w:val="000000"/>
          <w:lang w:val="en-US"/>
        </w:rPr>
        <w:t>Châtillon</w:t>
      </w:r>
      <w:proofErr w:type="spellEnd"/>
      <w:r w:rsidRPr="00FF50B1">
        <w:rPr>
          <w:color w:val="000000"/>
          <w:lang w:val="en-US"/>
        </w:rPr>
        <w:t xml:space="preserve">-Angle, M. O., </w:t>
      </w:r>
      <w:proofErr w:type="spellStart"/>
      <w:r w:rsidRPr="00FF50B1">
        <w:rPr>
          <w:color w:val="000000"/>
          <w:lang w:val="en-US"/>
        </w:rPr>
        <w:t>Alabdulraheem</w:t>
      </w:r>
      <w:proofErr w:type="spellEnd"/>
      <w:r w:rsidRPr="00FF50B1">
        <w:rPr>
          <w:color w:val="000000"/>
          <w:lang w:val="en-US"/>
        </w:rPr>
        <w:t xml:space="preserve">, N., Schiller, I., </w:t>
      </w:r>
      <w:proofErr w:type="spellStart"/>
      <w:r w:rsidRPr="00FF50B1">
        <w:rPr>
          <w:color w:val="000000"/>
          <w:lang w:val="en-US"/>
        </w:rPr>
        <w:t>Dendukuri</w:t>
      </w:r>
      <w:proofErr w:type="spellEnd"/>
      <w:r w:rsidRPr="00FF50B1">
        <w:rPr>
          <w:color w:val="000000"/>
          <w:lang w:val="en-US"/>
        </w:rPr>
        <w:t xml:space="preserve">, N., ... &amp; </w:t>
      </w:r>
      <w:proofErr w:type="spellStart"/>
      <w:r w:rsidRPr="00FF50B1">
        <w:rPr>
          <w:color w:val="000000"/>
          <w:lang w:val="en-US"/>
        </w:rPr>
        <w:t>Frenette</w:t>
      </w:r>
      <w:proofErr w:type="spellEnd"/>
      <w:r w:rsidRPr="00FF50B1">
        <w:rPr>
          <w:color w:val="000000"/>
          <w:lang w:val="en-US"/>
        </w:rPr>
        <w:t>, C. (2018). Healthcare-associated infections in the neurological intensive care unit: results of a 6-year surveillance study at a major tertiary care center. American journal of infection control, 46(6), 656-662.</w:t>
      </w:r>
    </w:p>
    <w:p w14:paraId="4CE567C9" w14:textId="77777777" w:rsidR="00FF50B1" w:rsidRPr="005C6DAF" w:rsidRDefault="00FF50B1" w:rsidP="00FF50B1">
      <w:pPr>
        <w:pBdr>
          <w:top w:val="nil"/>
          <w:left w:val="nil"/>
          <w:bottom w:val="nil"/>
          <w:right w:val="nil"/>
          <w:between w:val="nil"/>
        </w:pBdr>
        <w:spacing w:after="0" w:line="360" w:lineRule="auto"/>
        <w:ind w:left="780" w:right="4"/>
        <w:rPr>
          <w:color w:val="000000"/>
          <w:lang w:val="en-US"/>
        </w:rPr>
      </w:pPr>
    </w:p>
    <w:p w14:paraId="202FF3BD" w14:textId="7EFACD90" w:rsidR="001B6CC0" w:rsidRPr="005C6DAF" w:rsidRDefault="001B6CC0" w:rsidP="007468C5">
      <w:pPr>
        <w:pBdr>
          <w:top w:val="nil"/>
          <w:left w:val="nil"/>
          <w:bottom w:val="nil"/>
          <w:right w:val="nil"/>
          <w:between w:val="nil"/>
        </w:pBdr>
        <w:spacing w:after="0" w:line="360" w:lineRule="auto"/>
        <w:ind w:left="420" w:right="4"/>
        <w:rPr>
          <w:color w:val="000000"/>
          <w:lang w:val="en-US"/>
        </w:rPr>
      </w:pPr>
    </w:p>
    <w:sectPr w:rsidR="001B6CC0" w:rsidRPr="005C6DAF">
      <w:type w:val="continuous"/>
      <w:pgSz w:w="12240" w:h="15840"/>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894C08" w14:textId="77777777" w:rsidR="00993408" w:rsidRDefault="00993408" w:rsidP="000035F3">
      <w:pPr>
        <w:spacing w:after="0" w:line="240" w:lineRule="auto"/>
      </w:pPr>
      <w:r>
        <w:separator/>
      </w:r>
    </w:p>
  </w:endnote>
  <w:endnote w:type="continuationSeparator" w:id="0">
    <w:p w14:paraId="63275D54" w14:textId="77777777" w:rsidR="00993408" w:rsidRDefault="00993408" w:rsidP="00003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CB78130-3D87-41AF-96E7-3D328828F684}"/>
    <w:embedBold r:id="rId2" w:fontKey="{89BA17D6-0683-4EE3-90C8-C3B4EF0E281C}"/>
    <w:embedItalic r:id="rId3" w:fontKey="{13A8B954-2125-4CC5-B63C-46BF81BAA83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F66B8E1E-33BE-4D8D-BAF4-7629C15D81E2}"/>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5" w:fontKey="{6672142C-119E-49CE-B7D1-DF43DA6CB7A4}"/>
  </w:font>
  <w:font w:name="Georgia">
    <w:panose1 w:val="02040502050405020303"/>
    <w:charset w:val="00"/>
    <w:family w:val="roman"/>
    <w:pitch w:val="variable"/>
    <w:sig w:usb0="00000287" w:usb1="00000000" w:usb2="00000000" w:usb3="00000000" w:csb0="0000009F" w:csb1="00000000"/>
    <w:embedRegular r:id="rId6" w:fontKey="{51C986CB-16DD-44BB-A1F5-913030278258}"/>
    <w:embedItalic r:id="rId7" w:fontKey="{D9C885CD-3192-447F-ACA0-0F7CA0D7B0A9}"/>
  </w:font>
  <w:font w:name="Cambria Math">
    <w:panose1 w:val="02040503050406030204"/>
    <w:charset w:val="00"/>
    <w:family w:val="roman"/>
    <w:pitch w:val="variable"/>
    <w:sig w:usb0="E00006FF" w:usb1="420024FF" w:usb2="02000000" w:usb3="00000000" w:csb0="0000019F" w:csb1="00000000"/>
    <w:embedRegular r:id="rId8" w:fontKey="{EBA30028-5E78-4FB3-89DC-4B9B28C8CD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779AD" w14:textId="77777777" w:rsidR="000035F3" w:rsidRDefault="000035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9A009" w14:textId="77777777" w:rsidR="000035F3" w:rsidRDefault="000035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474AE" w14:textId="77777777" w:rsidR="000035F3" w:rsidRDefault="000035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39506" w14:textId="77777777" w:rsidR="00993408" w:rsidRDefault="00993408" w:rsidP="000035F3">
      <w:pPr>
        <w:spacing w:after="0" w:line="240" w:lineRule="auto"/>
      </w:pPr>
      <w:r>
        <w:separator/>
      </w:r>
    </w:p>
  </w:footnote>
  <w:footnote w:type="continuationSeparator" w:id="0">
    <w:p w14:paraId="4E0AB956" w14:textId="77777777" w:rsidR="00993408" w:rsidRDefault="00993408" w:rsidP="000035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F1421" w14:textId="717051D7" w:rsidR="000035F3" w:rsidRDefault="00FF50B1">
    <w:pPr>
      <w:pStyle w:val="Header"/>
    </w:pPr>
    <w:r>
      <w:rPr>
        <w:noProof/>
      </w:rPr>
      <w:pict w14:anchorId="799202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477829" o:spid="_x0000_s1026" type="#_x0000_t136" style="position:absolute;left:0;text-align:left;margin-left:0;margin-top:0;width:596.7pt;height:66.3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84840" w14:textId="673D9873" w:rsidR="000035F3" w:rsidRDefault="00FF50B1">
    <w:pPr>
      <w:pStyle w:val="Header"/>
    </w:pPr>
    <w:r>
      <w:rPr>
        <w:noProof/>
      </w:rPr>
      <w:pict w14:anchorId="539DC9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477830" o:spid="_x0000_s1027" type="#_x0000_t136" style="position:absolute;left:0;text-align:left;margin-left:0;margin-top:0;width:596.7pt;height:66.3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144C4" w14:textId="4903AC17" w:rsidR="000035F3" w:rsidRDefault="00FF50B1">
    <w:pPr>
      <w:pStyle w:val="Header"/>
    </w:pPr>
    <w:r>
      <w:rPr>
        <w:noProof/>
      </w:rPr>
      <w:pict w14:anchorId="40C10C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477828" o:spid="_x0000_s1025" type="#_x0000_t136" style="position:absolute;left:0;text-align:left;margin-left:0;margin-top:0;width:596.7pt;height:66.3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76ACE"/>
    <w:multiLevelType w:val="multilevel"/>
    <w:tmpl w:val="59EAF91E"/>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 w15:restartNumberingAfterBreak="0">
    <w:nsid w:val="1F245D59"/>
    <w:multiLevelType w:val="multilevel"/>
    <w:tmpl w:val="E676B9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CC0"/>
    <w:rsid w:val="000000AF"/>
    <w:rsid w:val="000035F3"/>
    <w:rsid w:val="0005659D"/>
    <w:rsid w:val="000715D5"/>
    <w:rsid w:val="0016408E"/>
    <w:rsid w:val="001B6133"/>
    <w:rsid w:val="001B6CC0"/>
    <w:rsid w:val="001F3D8A"/>
    <w:rsid w:val="00242388"/>
    <w:rsid w:val="002A19C8"/>
    <w:rsid w:val="00417A13"/>
    <w:rsid w:val="00430A5B"/>
    <w:rsid w:val="0045714B"/>
    <w:rsid w:val="00487DA5"/>
    <w:rsid w:val="004A5D4D"/>
    <w:rsid w:val="0050729F"/>
    <w:rsid w:val="00545D0E"/>
    <w:rsid w:val="00592459"/>
    <w:rsid w:val="005C6DAF"/>
    <w:rsid w:val="006269F2"/>
    <w:rsid w:val="007468C5"/>
    <w:rsid w:val="0080703A"/>
    <w:rsid w:val="00837FA1"/>
    <w:rsid w:val="0084645D"/>
    <w:rsid w:val="00854DE9"/>
    <w:rsid w:val="00865771"/>
    <w:rsid w:val="008B712B"/>
    <w:rsid w:val="008D087D"/>
    <w:rsid w:val="009872C6"/>
    <w:rsid w:val="00993408"/>
    <w:rsid w:val="009B5E6E"/>
    <w:rsid w:val="009E4DB5"/>
    <w:rsid w:val="00A01850"/>
    <w:rsid w:val="00B323FA"/>
    <w:rsid w:val="00B740F1"/>
    <w:rsid w:val="00C141AA"/>
    <w:rsid w:val="00C227A3"/>
    <w:rsid w:val="00C23886"/>
    <w:rsid w:val="00C705F1"/>
    <w:rsid w:val="00C94475"/>
    <w:rsid w:val="00CE7972"/>
    <w:rsid w:val="00D52C76"/>
    <w:rsid w:val="00DB16B4"/>
    <w:rsid w:val="00E31EB4"/>
    <w:rsid w:val="00EC0F61"/>
    <w:rsid w:val="00F00510"/>
    <w:rsid w:val="00F06AF2"/>
    <w:rsid w:val="00FF50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9B49E"/>
  <w15:docId w15:val="{9746CC49-9F8F-43E4-89EE-C15B79231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fr-FR" w:eastAsia="fr-F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4926"/>
  </w:style>
  <w:style w:type="paragraph" w:styleId="Heading1">
    <w:name w:val="heading 1"/>
    <w:next w:val="Normal"/>
    <w:link w:val="Heading1Char"/>
    <w:uiPriority w:val="9"/>
    <w:qFormat/>
    <w:rsid w:val="00FD52B6"/>
    <w:pPr>
      <w:keepNext/>
      <w:keepLines/>
      <w:ind w:left="10" w:hanging="10"/>
      <w:outlineLvl w:val="0"/>
    </w:pPr>
    <w:rPr>
      <w:rFonts w:eastAsia="Calibri" w:cs="Calibri"/>
      <w:b/>
      <w:color w:val="000000"/>
      <w:sz w:val="24"/>
    </w:rPr>
  </w:style>
  <w:style w:type="paragraph" w:styleId="Heading2">
    <w:name w:val="heading 2"/>
    <w:basedOn w:val="Normal"/>
    <w:next w:val="Normal"/>
    <w:link w:val="Heading2Char"/>
    <w:uiPriority w:val="9"/>
    <w:semiHidden/>
    <w:unhideWhenUsed/>
    <w:qFormat/>
    <w:rsid w:val="00FD52B6"/>
    <w:pPr>
      <w:keepNext/>
      <w:keepLines/>
      <w:spacing w:before="200" w:after="0"/>
      <w:ind w:left="10" w:right="4" w:hanging="10"/>
      <w:outlineLvl w:val="1"/>
    </w:pPr>
    <w:rPr>
      <w:rFonts w:eastAsiaTheme="majorEastAsia" w:cstheme="majorBidi"/>
      <w:b/>
      <w:bCs/>
      <w:sz w:val="24"/>
      <w:szCs w:val="26"/>
    </w:rPr>
  </w:style>
  <w:style w:type="paragraph" w:styleId="Heading3">
    <w:name w:val="heading 3"/>
    <w:basedOn w:val="Normal"/>
    <w:next w:val="Normal"/>
    <w:link w:val="Heading3Char"/>
    <w:uiPriority w:val="9"/>
    <w:semiHidden/>
    <w:unhideWhenUsed/>
    <w:qFormat/>
    <w:rsid w:val="00FD52B6"/>
    <w:pPr>
      <w:keepNext/>
      <w:keepLines/>
      <w:spacing w:before="200" w:after="0"/>
      <w:ind w:left="10" w:right="4" w:hanging="10"/>
      <w:outlineLvl w:val="2"/>
    </w:pPr>
    <w:rPr>
      <w:rFonts w:eastAsiaTheme="majorEastAsia" w:cstheme="majorBidi"/>
      <w:b/>
      <w:bCs/>
      <w:sz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qFormat/>
    <w:rsid w:val="00FD52B6"/>
    <w:rPr>
      <w:rFonts w:ascii="Arial" w:eastAsia="Calibri" w:hAnsi="Arial" w:cs="Calibri"/>
      <w:b/>
      <w:color w:val="000000"/>
      <w:sz w:val="24"/>
      <w:lang w:val="fr-FR" w:eastAsia="fr-FR"/>
    </w:rPr>
  </w:style>
  <w:style w:type="character" w:customStyle="1" w:styleId="Heading2Char">
    <w:name w:val="Heading 2 Char"/>
    <w:basedOn w:val="DefaultParagraphFont"/>
    <w:link w:val="Heading2"/>
    <w:uiPriority w:val="9"/>
    <w:qFormat/>
    <w:rsid w:val="00FD52B6"/>
    <w:rPr>
      <w:rFonts w:ascii="Arial" w:eastAsiaTheme="majorEastAsia" w:hAnsi="Arial" w:cstheme="majorBidi"/>
      <w:b/>
      <w:bCs/>
      <w:sz w:val="24"/>
      <w:szCs w:val="26"/>
      <w:lang w:val="fr-FR" w:eastAsia="fr-FR"/>
    </w:rPr>
  </w:style>
  <w:style w:type="character" w:customStyle="1" w:styleId="Heading3Char">
    <w:name w:val="Heading 3 Char"/>
    <w:basedOn w:val="DefaultParagraphFont"/>
    <w:link w:val="Heading3"/>
    <w:uiPriority w:val="9"/>
    <w:qFormat/>
    <w:rsid w:val="00FD52B6"/>
    <w:rPr>
      <w:rFonts w:ascii="Arial" w:eastAsiaTheme="majorEastAsia" w:hAnsi="Arial" w:cstheme="majorBidi"/>
      <w:b/>
      <w:bCs/>
      <w:sz w:val="24"/>
      <w:lang w:val="fr-FR" w:eastAsia="fr-FR"/>
    </w:rPr>
  </w:style>
  <w:style w:type="character" w:styleId="Hyperlink">
    <w:name w:val="Hyperlink"/>
    <w:basedOn w:val="DefaultParagraphFont"/>
    <w:uiPriority w:val="99"/>
    <w:unhideWhenUsed/>
    <w:qFormat/>
    <w:rsid w:val="00FD52B6"/>
    <w:rPr>
      <w:color w:val="0563C1" w:themeColor="hyperlink"/>
      <w:u w:val="single"/>
    </w:rPr>
  </w:style>
  <w:style w:type="character" w:styleId="FootnoteReference">
    <w:name w:val="footnote reference"/>
    <w:basedOn w:val="DefaultParagraphFont"/>
    <w:uiPriority w:val="99"/>
    <w:semiHidden/>
    <w:unhideWhenUsed/>
    <w:qFormat/>
    <w:rsid w:val="00FD52B6"/>
    <w:rPr>
      <w:vertAlign w:val="superscript"/>
    </w:rPr>
  </w:style>
  <w:style w:type="character" w:styleId="Strong">
    <w:name w:val="Strong"/>
    <w:uiPriority w:val="22"/>
    <w:qFormat/>
    <w:rsid w:val="00FD52B6"/>
    <w:rPr>
      <w:b/>
      <w:bCs/>
    </w:rPr>
  </w:style>
  <w:style w:type="character" w:styleId="CommentReference">
    <w:name w:val="annotation reference"/>
    <w:basedOn w:val="DefaultParagraphFont"/>
    <w:uiPriority w:val="99"/>
    <w:semiHidden/>
    <w:unhideWhenUsed/>
    <w:qFormat/>
    <w:rsid w:val="00FD52B6"/>
    <w:rPr>
      <w:sz w:val="16"/>
      <w:szCs w:val="16"/>
    </w:rPr>
  </w:style>
  <w:style w:type="paragraph" w:styleId="FootnoteText">
    <w:name w:val="footnote text"/>
    <w:basedOn w:val="Normal"/>
    <w:link w:val="FootnoteTextChar"/>
    <w:uiPriority w:val="99"/>
    <w:semiHidden/>
    <w:unhideWhenUsed/>
    <w:qFormat/>
    <w:rsid w:val="00FD52B6"/>
    <w:pPr>
      <w:spacing w:after="0" w:line="240" w:lineRule="auto"/>
      <w:ind w:left="10" w:right="4" w:hanging="10"/>
    </w:pPr>
    <w:rPr>
      <w:rFonts w:ascii="Calibri" w:eastAsia="Calibri" w:hAnsi="Calibri" w:cs="Calibri"/>
      <w:color w:val="000000"/>
    </w:rPr>
  </w:style>
  <w:style w:type="character" w:customStyle="1" w:styleId="FootnoteTextChar">
    <w:name w:val="Footnote Text Char"/>
    <w:basedOn w:val="DefaultParagraphFont"/>
    <w:link w:val="FootnoteText"/>
    <w:uiPriority w:val="99"/>
    <w:semiHidden/>
    <w:qFormat/>
    <w:rsid w:val="00FD52B6"/>
    <w:rPr>
      <w:rFonts w:ascii="Calibri" w:eastAsia="Calibri" w:hAnsi="Calibri" w:cs="Calibri"/>
      <w:color w:val="000000"/>
      <w:sz w:val="20"/>
      <w:szCs w:val="20"/>
      <w:lang w:val="fr-FR" w:eastAsia="fr-FR"/>
    </w:rPr>
  </w:style>
  <w:style w:type="paragraph" w:styleId="CommentText">
    <w:name w:val="annotation text"/>
    <w:basedOn w:val="Normal"/>
    <w:link w:val="CommentTextChar"/>
    <w:uiPriority w:val="99"/>
    <w:semiHidden/>
    <w:unhideWhenUsed/>
    <w:qFormat/>
    <w:rsid w:val="00FD52B6"/>
    <w:pPr>
      <w:spacing w:line="240" w:lineRule="auto"/>
    </w:pPr>
  </w:style>
  <w:style w:type="character" w:customStyle="1" w:styleId="CommentTextChar">
    <w:name w:val="Comment Text Char"/>
    <w:basedOn w:val="DefaultParagraphFont"/>
    <w:link w:val="CommentText"/>
    <w:uiPriority w:val="99"/>
    <w:semiHidden/>
    <w:qFormat/>
    <w:rsid w:val="00FD52B6"/>
    <w:rPr>
      <w:sz w:val="20"/>
      <w:szCs w:val="20"/>
    </w:rPr>
  </w:style>
  <w:style w:type="paragraph" w:styleId="CommentSubject">
    <w:name w:val="annotation subject"/>
    <w:basedOn w:val="CommentText"/>
    <w:next w:val="CommentText"/>
    <w:link w:val="CommentSubjectChar"/>
    <w:uiPriority w:val="99"/>
    <w:semiHidden/>
    <w:unhideWhenUsed/>
    <w:rsid w:val="00FD52B6"/>
    <w:pPr>
      <w:spacing w:after="159"/>
      <w:ind w:left="10" w:right="4" w:hanging="10"/>
    </w:pPr>
    <w:rPr>
      <w:rFonts w:ascii="Calibri" w:eastAsia="Calibri" w:hAnsi="Calibri" w:cs="Calibri"/>
      <w:b/>
      <w:bCs/>
      <w:color w:val="000000"/>
    </w:rPr>
  </w:style>
  <w:style w:type="character" w:customStyle="1" w:styleId="CommentSubjectChar">
    <w:name w:val="Comment Subject Char"/>
    <w:basedOn w:val="CommentTextChar"/>
    <w:link w:val="CommentSubject"/>
    <w:uiPriority w:val="99"/>
    <w:semiHidden/>
    <w:qFormat/>
    <w:rsid w:val="00FD52B6"/>
    <w:rPr>
      <w:rFonts w:ascii="Calibri" w:eastAsia="Calibri" w:hAnsi="Calibri" w:cs="Calibri"/>
      <w:b/>
      <w:bCs/>
      <w:color w:val="000000"/>
      <w:sz w:val="20"/>
      <w:szCs w:val="20"/>
      <w:lang w:val="fr-FR" w:eastAsia="fr-FR"/>
    </w:rPr>
  </w:style>
  <w:style w:type="paragraph" w:styleId="Caption">
    <w:name w:val="caption"/>
    <w:basedOn w:val="Normal"/>
    <w:next w:val="Normal"/>
    <w:uiPriority w:val="35"/>
    <w:unhideWhenUsed/>
    <w:qFormat/>
    <w:rsid w:val="00442725"/>
    <w:pPr>
      <w:spacing w:before="120" w:after="320" w:line="240" w:lineRule="auto"/>
      <w:ind w:left="10" w:right="4" w:hanging="10"/>
    </w:pPr>
    <w:rPr>
      <w:rFonts w:eastAsia="Calibri" w:cs="Calibri"/>
      <w:b/>
      <w:iCs/>
      <w:color w:val="000000" w:themeColor="text1"/>
      <w:szCs w:val="18"/>
    </w:rPr>
  </w:style>
  <w:style w:type="paragraph" w:styleId="BalloonText">
    <w:name w:val="Balloon Text"/>
    <w:basedOn w:val="Normal"/>
    <w:link w:val="BalloonTextChar"/>
    <w:uiPriority w:val="99"/>
    <w:semiHidden/>
    <w:unhideWhenUsed/>
    <w:qFormat/>
    <w:rsid w:val="00FD52B6"/>
    <w:pPr>
      <w:spacing w:after="0" w:line="240" w:lineRule="auto"/>
      <w:ind w:left="10" w:right="4" w:hanging="10"/>
    </w:pPr>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qFormat/>
    <w:rsid w:val="00FD52B6"/>
    <w:rPr>
      <w:rFonts w:ascii="Segoe UI" w:eastAsia="Calibri" w:hAnsi="Segoe UI" w:cs="Segoe UI"/>
      <w:color w:val="000000"/>
      <w:sz w:val="18"/>
      <w:szCs w:val="18"/>
      <w:lang w:val="fr-FR" w:eastAsia="fr-FR"/>
    </w:rPr>
  </w:style>
  <w:style w:type="paragraph" w:styleId="TOC3">
    <w:name w:val="toc 3"/>
    <w:basedOn w:val="Normal"/>
    <w:next w:val="Normal"/>
    <w:uiPriority w:val="39"/>
    <w:unhideWhenUsed/>
    <w:rsid w:val="00FD52B6"/>
    <w:pPr>
      <w:spacing w:after="100"/>
      <w:ind w:left="480" w:right="4" w:hanging="10"/>
    </w:pPr>
    <w:rPr>
      <w:rFonts w:ascii="Calibri" w:eastAsia="Calibri" w:hAnsi="Calibri" w:cs="Calibri"/>
      <w:color w:val="000000"/>
      <w:sz w:val="24"/>
    </w:rPr>
  </w:style>
  <w:style w:type="paragraph" w:styleId="NormalWeb">
    <w:name w:val="Normal (Web)"/>
    <w:basedOn w:val="Normal"/>
    <w:uiPriority w:val="99"/>
    <w:unhideWhenUsed/>
    <w:qFormat/>
    <w:rsid w:val="00FD52B6"/>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qFormat/>
    <w:rsid w:val="00FD52B6"/>
    <w:pPr>
      <w:tabs>
        <w:tab w:val="center" w:pos="4536"/>
        <w:tab w:val="right" w:pos="9072"/>
      </w:tabs>
      <w:spacing w:after="0" w:line="240" w:lineRule="auto"/>
      <w:ind w:left="10" w:right="4" w:hanging="10"/>
    </w:pPr>
    <w:rPr>
      <w:rFonts w:ascii="Calibri" w:eastAsia="Calibri" w:hAnsi="Calibri" w:cs="Calibri"/>
      <w:color w:val="000000"/>
      <w:sz w:val="24"/>
    </w:rPr>
  </w:style>
  <w:style w:type="character" w:customStyle="1" w:styleId="FooterChar">
    <w:name w:val="Footer Char"/>
    <w:basedOn w:val="DefaultParagraphFont"/>
    <w:link w:val="Footer"/>
    <w:uiPriority w:val="99"/>
    <w:qFormat/>
    <w:rsid w:val="00FD52B6"/>
    <w:rPr>
      <w:rFonts w:ascii="Calibri" w:eastAsia="Calibri" w:hAnsi="Calibri" w:cs="Calibri"/>
      <w:color w:val="000000"/>
      <w:sz w:val="24"/>
      <w:lang w:val="fr-FR" w:eastAsia="fr-FR"/>
    </w:rPr>
  </w:style>
  <w:style w:type="paragraph" w:styleId="Header">
    <w:name w:val="header"/>
    <w:basedOn w:val="Normal"/>
    <w:link w:val="HeaderChar"/>
    <w:qFormat/>
    <w:rsid w:val="00FD52B6"/>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qFormat/>
    <w:rsid w:val="00FD52B6"/>
    <w:rPr>
      <w:rFonts w:ascii="Times New Roman" w:eastAsia="Times New Roman" w:hAnsi="Times New Roman" w:cs="Times New Roman"/>
      <w:sz w:val="24"/>
      <w:szCs w:val="24"/>
      <w:lang w:val="fr-FR"/>
    </w:rPr>
  </w:style>
  <w:style w:type="paragraph" w:styleId="TOC2">
    <w:name w:val="toc 2"/>
    <w:basedOn w:val="Normal"/>
    <w:next w:val="Normal"/>
    <w:uiPriority w:val="39"/>
    <w:unhideWhenUsed/>
    <w:qFormat/>
    <w:rsid w:val="00FD52B6"/>
    <w:pPr>
      <w:spacing w:after="100"/>
      <w:ind w:left="240" w:right="4" w:hanging="10"/>
    </w:pPr>
    <w:rPr>
      <w:rFonts w:ascii="Calibri" w:eastAsia="Calibri" w:hAnsi="Calibri" w:cs="Calibri"/>
      <w:color w:val="000000"/>
      <w:sz w:val="24"/>
    </w:rPr>
  </w:style>
  <w:style w:type="paragraph" w:styleId="TableofFigures">
    <w:name w:val="table of figures"/>
    <w:basedOn w:val="Normal"/>
    <w:next w:val="Normal"/>
    <w:uiPriority w:val="99"/>
    <w:unhideWhenUsed/>
    <w:qFormat/>
    <w:rsid w:val="00FD52B6"/>
    <w:pPr>
      <w:spacing w:after="0"/>
      <w:ind w:left="480" w:right="4" w:hanging="480"/>
    </w:pPr>
    <w:rPr>
      <w:rFonts w:eastAsia="Calibri" w:cstheme="minorHAnsi"/>
      <w:b/>
      <w:bCs/>
      <w:color w:val="000000"/>
    </w:rPr>
  </w:style>
  <w:style w:type="paragraph" w:styleId="TOC1">
    <w:name w:val="toc 1"/>
    <w:basedOn w:val="Normal"/>
    <w:next w:val="Normal"/>
    <w:uiPriority w:val="39"/>
    <w:unhideWhenUsed/>
    <w:qFormat/>
    <w:rsid w:val="00FD52B6"/>
    <w:pPr>
      <w:spacing w:after="100"/>
      <w:ind w:right="4" w:hanging="10"/>
    </w:pPr>
    <w:rPr>
      <w:rFonts w:ascii="Calibri" w:eastAsia="Calibri" w:hAnsi="Calibri" w:cs="Calibri"/>
      <w:color w:val="000000"/>
      <w:sz w:val="24"/>
    </w:rPr>
  </w:style>
  <w:style w:type="paragraph" w:styleId="ListParagraph">
    <w:name w:val="List Paragraph"/>
    <w:basedOn w:val="Normal"/>
    <w:link w:val="ListParagraphChar"/>
    <w:uiPriority w:val="34"/>
    <w:qFormat/>
    <w:rsid w:val="00FD52B6"/>
    <w:pPr>
      <w:spacing w:after="159"/>
      <w:ind w:left="720" w:right="4" w:hanging="10"/>
      <w:contextualSpacing/>
    </w:pPr>
    <w:rPr>
      <w:rFonts w:ascii="Calibri" w:eastAsia="Calibri" w:hAnsi="Calibri" w:cs="Calibri"/>
      <w:color w:val="000000"/>
      <w:sz w:val="24"/>
    </w:rPr>
  </w:style>
  <w:style w:type="table" w:styleId="TableGrid">
    <w:name w:val="Table Grid"/>
    <w:basedOn w:val="TableNormal"/>
    <w:uiPriority w:val="39"/>
    <w:qFormat/>
    <w:rsid w:val="00FD52B6"/>
    <w:pPr>
      <w:spacing w:after="0" w:line="240" w:lineRule="auto"/>
    </w:pPr>
    <w:rPr>
      <w:rFonts w:ascii="Times New Roman" w:eastAsia="SimSun" w:hAnsi="Times New Roman"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994995210msonormal">
    <w:name w:val="yiv7994995210msonormal"/>
    <w:basedOn w:val="Normal"/>
    <w:qFormat/>
    <w:rsid w:val="00FD52B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D52B6"/>
    <w:pPr>
      <w:spacing w:after="0" w:line="240" w:lineRule="auto"/>
      <w:ind w:left="10" w:right="4" w:hanging="10"/>
    </w:pPr>
    <w:rPr>
      <w:rFonts w:ascii="Calibri" w:eastAsia="Calibri" w:hAnsi="Calibri" w:cs="Calibri"/>
      <w:color w:val="000000"/>
      <w:sz w:val="24"/>
    </w:rPr>
  </w:style>
  <w:style w:type="table" w:customStyle="1" w:styleId="Grilledutableau1">
    <w:name w:val="Grille du tableau1"/>
    <w:basedOn w:val="TableNormal"/>
    <w:uiPriority w:val="39"/>
    <w:qFormat/>
    <w:rsid w:val="00FD52B6"/>
    <w:pPr>
      <w:spacing w:after="0" w:line="240" w:lineRule="auto"/>
    </w:pPr>
    <w:rPr>
      <w:rFonts w:ascii="Times New Roman" w:eastAsia="Calibri" w:hAnsi="Times New Roman" w:cs="Times New Roman"/>
      <w:bCs/>
      <w:sz w:val="24"/>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uiPriority w:val="39"/>
    <w:qFormat/>
    <w:rsid w:val="00FD52B6"/>
    <w:pPr>
      <w:spacing w:after="0" w:line="240" w:lineRule="auto"/>
    </w:pPr>
    <w:rPr>
      <w:rFonts w:ascii="Times New Roman" w:eastAsia="Calibri" w:hAnsi="Times New Roman" w:cs="Times New Roman"/>
      <w:bCs/>
      <w:sz w:val="24"/>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FD52B6"/>
    <w:rPr>
      <w:rFonts w:ascii="Calibri" w:eastAsia="Calibri" w:hAnsi="Calibri" w:cs="Calibri"/>
      <w:color w:val="000000"/>
      <w:sz w:val="24"/>
      <w:lang w:val="fr-FR" w:eastAsia="fr-FR"/>
    </w:rPr>
  </w:style>
  <w:style w:type="table" w:customStyle="1" w:styleId="TableNormal2">
    <w:name w:val="Table Normal2"/>
    <w:uiPriority w:val="2"/>
    <w:semiHidden/>
    <w:unhideWhenUsed/>
    <w:qFormat/>
    <w:rsid w:val="00FD52B6"/>
    <w:pPr>
      <w:widowControl w:val="0"/>
      <w:autoSpaceDE w:val="0"/>
      <w:autoSpaceDN w:val="0"/>
      <w:spacing w:after="0" w:line="240" w:lineRule="auto"/>
    </w:pPr>
    <w:rPr>
      <w:rFonts w:ascii="Calibri" w:eastAsia="Calibri" w:hAnsi="Calibri" w:cs="Times New Roman"/>
    </w:rPr>
    <w:tblPr>
      <w:tblCellMar>
        <w:top w:w="0" w:type="dxa"/>
        <w:left w:w="0" w:type="dxa"/>
        <w:bottom w:w="0" w:type="dxa"/>
        <w:right w:w="0" w:type="dxa"/>
      </w:tblCellMar>
    </w:tblPr>
  </w:style>
  <w:style w:type="table" w:customStyle="1" w:styleId="TableNormal10">
    <w:name w:val="Table Normal1"/>
    <w:uiPriority w:val="2"/>
    <w:semiHidden/>
    <w:unhideWhenUsed/>
    <w:qFormat/>
    <w:rsid w:val="00FD52B6"/>
    <w:pPr>
      <w:widowControl w:val="0"/>
      <w:autoSpaceDE w:val="0"/>
      <w:autoSpaceDN w:val="0"/>
      <w:spacing w:after="0" w:line="240" w:lineRule="auto"/>
    </w:pPr>
    <w:tblPr>
      <w:tblCellMar>
        <w:top w:w="0" w:type="dxa"/>
        <w:left w:w="0" w:type="dxa"/>
        <w:bottom w:w="0" w:type="dxa"/>
        <w:right w:w="0" w:type="dxa"/>
      </w:tblCellMar>
    </w:tblPr>
  </w:style>
  <w:style w:type="paragraph" w:customStyle="1" w:styleId="TableParagraph">
    <w:name w:val="Table Paragraph"/>
    <w:basedOn w:val="Normal"/>
    <w:uiPriority w:val="1"/>
    <w:qFormat/>
    <w:rsid w:val="00FD52B6"/>
    <w:pPr>
      <w:widowControl w:val="0"/>
      <w:autoSpaceDE w:val="0"/>
      <w:autoSpaceDN w:val="0"/>
      <w:spacing w:before="1" w:after="0" w:line="240" w:lineRule="auto"/>
      <w:ind w:left="110"/>
    </w:pPr>
    <w:rPr>
      <w:rFonts w:ascii="Calibri" w:eastAsia="Calibri" w:hAnsi="Calibri" w:cs="Calibri"/>
    </w:rPr>
  </w:style>
  <w:style w:type="table" w:customStyle="1" w:styleId="TableNormal20">
    <w:name w:val="Table Normal2"/>
    <w:uiPriority w:val="2"/>
    <w:semiHidden/>
    <w:unhideWhenUsed/>
    <w:qFormat/>
    <w:rsid w:val="00FD52B6"/>
    <w:pPr>
      <w:widowControl w:val="0"/>
      <w:autoSpaceDE w:val="0"/>
      <w:autoSpaceDN w:val="0"/>
      <w:spacing w:after="0" w:line="240" w:lineRule="auto"/>
    </w:pPr>
    <w:rPr>
      <w:rFonts w:ascii="Calibri" w:eastAsia="Calibri" w:hAnsi="Calibri" w:cs="Times New Roman"/>
    </w:rPr>
    <w:tblPr>
      <w:tblCellMar>
        <w:top w:w="0" w:type="dxa"/>
        <w:left w:w="0" w:type="dxa"/>
        <w:bottom w:w="0" w:type="dxa"/>
        <w:right w:w="0" w:type="dxa"/>
      </w:tblCellMar>
    </w:tblPr>
  </w:style>
  <w:style w:type="table" w:customStyle="1" w:styleId="TableNormal3">
    <w:name w:val="Table Normal3"/>
    <w:uiPriority w:val="2"/>
    <w:semiHidden/>
    <w:unhideWhenUsed/>
    <w:qFormat/>
    <w:rsid w:val="00FD52B6"/>
    <w:pPr>
      <w:widowControl w:val="0"/>
      <w:autoSpaceDE w:val="0"/>
      <w:autoSpaceDN w:val="0"/>
      <w:spacing w:after="0" w:line="240" w:lineRule="auto"/>
    </w:pPr>
    <w:tblPr>
      <w:tblCellMar>
        <w:top w:w="0" w:type="dxa"/>
        <w:left w:w="0" w:type="dxa"/>
        <w:bottom w:w="0" w:type="dxa"/>
        <w:right w:w="0" w:type="dxa"/>
      </w:tblCellMar>
    </w:tblPr>
  </w:style>
  <w:style w:type="table" w:customStyle="1" w:styleId="TableNormal4">
    <w:name w:val="Table Normal4"/>
    <w:uiPriority w:val="2"/>
    <w:semiHidden/>
    <w:unhideWhenUsed/>
    <w:qFormat/>
    <w:rsid w:val="00FD52B6"/>
    <w:pPr>
      <w:widowControl w:val="0"/>
      <w:autoSpaceDE w:val="0"/>
      <w:autoSpaceDN w:val="0"/>
      <w:spacing w:after="0" w:line="240" w:lineRule="auto"/>
    </w:pPr>
    <w:tblPr>
      <w:tblCellMar>
        <w:top w:w="0" w:type="dxa"/>
        <w:left w:w="0" w:type="dxa"/>
        <w:bottom w:w="0" w:type="dxa"/>
        <w:right w:w="0" w:type="dxa"/>
      </w:tblCellMar>
    </w:tblPr>
  </w:style>
  <w:style w:type="table" w:customStyle="1" w:styleId="TableNormal5">
    <w:name w:val="Table Normal5"/>
    <w:uiPriority w:val="2"/>
    <w:semiHidden/>
    <w:unhideWhenUsed/>
    <w:qFormat/>
    <w:rsid w:val="00FD52B6"/>
    <w:pPr>
      <w:widowControl w:val="0"/>
      <w:autoSpaceDE w:val="0"/>
      <w:autoSpaceDN w:val="0"/>
      <w:spacing w:after="0" w:line="240" w:lineRule="auto"/>
    </w:pPr>
    <w:tblPr>
      <w:tblCellMar>
        <w:top w:w="0" w:type="dxa"/>
        <w:left w:w="0" w:type="dxa"/>
        <w:bottom w:w="0" w:type="dxa"/>
        <w:right w:w="0" w:type="dxa"/>
      </w:tblCellMar>
    </w:tblPr>
  </w:style>
  <w:style w:type="paragraph" w:customStyle="1" w:styleId="En-ttedetabledesmatires1">
    <w:name w:val="En-tête de table des matières1"/>
    <w:basedOn w:val="Heading1"/>
    <w:next w:val="Normal"/>
    <w:uiPriority w:val="39"/>
    <w:unhideWhenUsed/>
    <w:qFormat/>
    <w:rsid w:val="00FD52B6"/>
    <w:pPr>
      <w:spacing w:before="240" w:after="0"/>
      <w:ind w:left="0" w:firstLine="0"/>
      <w:outlineLvl w:val="9"/>
    </w:pPr>
    <w:rPr>
      <w:rFonts w:asciiTheme="majorHAnsi" w:eastAsiaTheme="majorEastAsia" w:hAnsiTheme="majorHAnsi" w:cstheme="majorBidi"/>
      <w:b w:val="0"/>
      <w:color w:val="2E74B5" w:themeColor="accent1" w:themeShade="BF"/>
      <w:sz w:val="32"/>
      <w:szCs w:val="32"/>
    </w:rPr>
  </w:style>
  <w:style w:type="paragraph" w:styleId="Revision">
    <w:name w:val="Revision"/>
    <w:hidden/>
    <w:uiPriority w:val="99"/>
    <w:unhideWhenUsed/>
    <w:rsid w:val="00FD52B6"/>
    <w:pPr>
      <w:spacing w:after="0" w:line="240" w:lineRule="auto"/>
    </w:pPr>
    <w:rPr>
      <w:rFonts w:ascii="Calibri" w:eastAsia="Calibri" w:hAnsi="Calibri" w:cs="Calibri"/>
      <w:color w:val="000000"/>
      <w:sz w:val="24"/>
    </w:rPr>
  </w:style>
  <w:style w:type="character" w:customStyle="1" w:styleId="Mentionnonrsolue1">
    <w:name w:val="Mention non résolue1"/>
    <w:basedOn w:val="DefaultParagraphFont"/>
    <w:uiPriority w:val="99"/>
    <w:semiHidden/>
    <w:unhideWhenUsed/>
    <w:rsid w:val="008B3592"/>
    <w:rPr>
      <w:color w:val="605E5C"/>
      <w:shd w:val="clear" w:color="auto" w:fill="E1DFDD"/>
    </w:rPr>
  </w:style>
  <w:style w:type="character" w:customStyle="1" w:styleId="Mentionnonrsolue2">
    <w:name w:val="Mention non résolue2"/>
    <w:basedOn w:val="DefaultParagraphFont"/>
    <w:uiPriority w:val="99"/>
    <w:semiHidden/>
    <w:unhideWhenUsed/>
    <w:rsid w:val="00214E2F"/>
    <w:rPr>
      <w:color w:val="605E5C"/>
      <w:shd w:val="clear" w:color="auto" w:fill="E1DFDD"/>
    </w:rPr>
  </w:style>
  <w:style w:type="character" w:customStyle="1" w:styleId="Mentionnonrsolue3">
    <w:name w:val="Mention non résolue3"/>
    <w:basedOn w:val="DefaultParagraphFont"/>
    <w:uiPriority w:val="99"/>
    <w:semiHidden/>
    <w:unhideWhenUsed/>
    <w:rsid w:val="00E77A2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rPr>
      <w:rFonts w:ascii="Times New Roman" w:eastAsia="Times New Roman" w:hAnsi="Times New Roman"/>
    </w:rPr>
    <w:tblPr>
      <w:tblStyleRowBandSize w:val="1"/>
      <w:tblStyleColBandSize w:val="1"/>
      <w:tblCellMar>
        <w:left w:w="108" w:type="dxa"/>
        <w:right w:w="108" w:type="dxa"/>
      </w:tblCellMar>
    </w:tblPr>
  </w:style>
  <w:style w:type="character" w:customStyle="1" w:styleId="UnresolvedMention1">
    <w:name w:val="Unresolved Mention1"/>
    <w:basedOn w:val="DefaultParagraphFont"/>
    <w:uiPriority w:val="99"/>
    <w:semiHidden/>
    <w:unhideWhenUsed/>
    <w:rsid w:val="00854D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0283473">
      <w:bodyDiv w:val="1"/>
      <w:marLeft w:val="0"/>
      <w:marRight w:val="0"/>
      <w:marTop w:val="0"/>
      <w:marBottom w:val="0"/>
      <w:divBdr>
        <w:top w:val="none" w:sz="0" w:space="0" w:color="auto"/>
        <w:left w:val="none" w:sz="0" w:space="0" w:color="auto"/>
        <w:bottom w:val="none" w:sz="0" w:space="0" w:color="auto"/>
        <w:right w:val="none" w:sz="0" w:space="0" w:color="auto"/>
      </w:divBdr>
      <w:divsChild>
        <w:div w:id="755596170">
          <w:marLeft w:val="0"/>
          <w:marRight w:val="0"/>
          <w:marTop w:val="100"/>
          <w:marBottom w:val="100"/>
          <w:divBdr>
            <w:top w:val="none" w:sz="0" w:space="0" w:color="auto"/>
            <w:left w:val="none" w:sz="0" w:space="0" w:color="auto"/>
            <w:bottom w:val="none" w:sz="0" w:space="0" w:color="auto"/>
            <w:right w:val="none" w:sz="0" w:space="0" w:color="auto"/>
          </w:divBdr>
          <w:divsChild>
            <w:div w:id="110318479">
              <w:marLeft w:val="0"/>
              <w:marRight w:val="0"/>
              <w:marTop w:val="0"/>
              <w:marBottom w:val="0"/>
              <w:divBdr>
                <w:top w:val="none" w:sz="0" w:space="0" w:color="auto"/>
                <w:left w:val="none" w:sz="0" w:space="0" w:color="auto"/>
                <w:bottom w:val="none" w:sz="0" w:space="0" w:color="auto"/>
                <w:right w:val="none" w:sz="0" w:space="0" w:color="auto"/>
              </w:divBdr>
              <w:divsChild>
                <w:div w:id="168867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5372">
      <w:bodyDiv w:val="1"/>
      <w:marLeft w:val="0"/>
      <w:marRight w:val="0"/>
      <w:marTop w:val="0"/>
      <w:marBottom w:val="0"/>
      <w:divBdr>
        <w:top w:val="none" w:sz="0" w:space="0" w:color="auto"/>
        <w:left w:val="none" w:sz="0" w:space="0" w:color="auto"/>
        <w:bottom w:val="none" w:sz="0" w:space="0" w:color="auto"/>
        <w:right w:val="none" w:sz="0" w:space="0" w:color="auto"/>
      </w:divBdr>
      <w:divsChild>
        <w:div w:id="1945768870">
          <w:marLeft w:val="0"/>
          <w:marRight w:val="0"/>
          <w:marTop w:val="100"/>
          <w:marBottom w:val="100"/>
          <w:divBdr>
            <w:top w:val="none" w:sz="0" w:space="0" w:color="auto"/>
            <w:left w:val="none" w:sz="0" w:space="0" w:color="auto"/>
            <w:bottom w:val="none" w:sz="0" w:space="0" w:color="auto"/>
            <w:right w:val="none" w:sz="0" w:space="0" w:color="auto"/>
          </w:divBdr>
          <w:divsChild>
            <w:div w:id="99838062">
              <w:marLeft w:val="0"/>
              <w:marRight w:val="0"/>
              <w:marTop w:val="0"/>
              <w:marBottom w:val="0"/>
              <w:divBdr>
                <w:top w:val="none" w:sz="0" w:space="0" w:color="auto"/>
                <w:left w:val="none" w:sz="0" w:space="0" w:color="auto"/>
                <w:bottom w:val="none" w:sz="0" w:space="0" w:color="auto"/>
                <w:right w:val="none" w:sz="0" w:space="0" w:color="auto"/>
              </w:divBdr>
              <w:divsChild>
                <w:div w:id="1479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ncbi.nlm.nih.gov/pmc/articles/PMC293773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sciencedirect.com/journal/annales-francaises-danesthesie-et-de-reanimation/vol/19/issue/5" TargetMode="External"/><Relationship Id="rId2" Type="http://schemas.openxmlformats.org/officeDocument/2006/relationships/numbering" Target="numbering.xml"/><Relationship Id="rId16" Type="http://schemas.openxmlformats.org/officeDocument/2006/relationships/hyperlink" Target="https://www.sciencedirect.com/journal/annales-francaises-danesthesie-et-de-reanimati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016/S0750-7658(00)00237-9"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1016/j.pratan.2009.11.00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cU4G6DIBRS7uXuXCOG4/xHS0uA==">CgMxLjAyCGguZ2pkZ3hzMgloLjMwajB6bGwyCWguMWZvYjl0ZTIJaC4zem55c2g3MgloLjJldDkycDAyCGgudHlqY3d0OAByITF4OE13LV9DVExPOVhkdUcxaDRTR2ZaNjNZQ2QxUnVXYQ==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2732</Words>
  <Characters>15573</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SDI PC New 16</cp:lastModifiedBy>
  <cp:revision>6</cp:revision>
  <dcterms:created xsi:type="dcterms:W3CDTF">2025-03-26T14:11:00Z</dcterms:created>
  <dcterms:modified xsi:type="dcterms:W3CDTF">2025-03-28T11:21:00Z</dcterms:modified>
</cp:coreProperties>
</file>