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20C95" w14:textId="22707E1E" w:rsidR="00F242A0" w:rsidRPr="0072602B" w:rsidRDefault="0072602B">
      <w:pPr>
        <w:autoSpaceDE w:val="0"/>
        <w:autoSpaceDN w:val="0"/>
        <w:adjustRightInd w:val="0"/>
        <w:spacing w:after="0" w:line="360" w:lineRule="auto"/>
        <w:jc w:val="both"/>
        <w:rPr>
          <w:rFonts w:ascii="Times New Roman" w:hAnsi="Times New Roman" w:cs="Times New Roman"/>
          <w:b/>
          <w:sz w:val="28"/>
          <w:szCs w:val="24"/>
        </w:rPr>
      </w:pPr>
      <w:r w:rsidRPr="0072602B">
        <w:rPr>
          <w:rFonts w:ascii="Times New Roman" w:hAnsi="Times New Roman" w:cs="Times New Roman"/>
          <w:b/>
          <w:sz w:val="28"/>
          <w:szCs w:val="24"/>
          <w:highlight w:val="yellow"/>
        </w:rPr>
        <w:t>Analysis of Co-infection patterns and their relationship with Blood Types and Hemoglobin Genotypes among Subjects in River states of Nigeria</w:t>
      </w:r>
      <w:r w:rsidRPr="0072602B">
        <w:rPr>
          <w:rFonts w:ascii="Times New Roman" w:hAnsi="Times New Roman" w:cs="Times New Roman"/>
          <w:b/>
          <w:sz w:val="28"/>
          <w:szCs w:val="24"/>
        </w:rPr>
        <w:t xml:space="preserve">  </w:t>
      </w:r>
    </w:p>
    <w:p w14:paraId="5EDAE9C7" w14:textId="77777777" w:rsidR="00F242A0" w:rsidRDefault="00F242A0">
      <w:pPr>
        <w:autoSpaceDE w:val="0"/>
        <w:autoSpaceDN w:val="0"/>
        <w:adjustRightInd w:val="0"/>
        <w:spacing w:after="0" w:line="360" w:lineRule="auto"/>
        <w:jc w:val="both"/>
        <w:rPr>
          <w:rFonts w:ascii="Times New Roman" w:hAnsi="Times New Roman" w:cs="Times New Roman"/>
          <w:b/>
          <w:sz w:val="24"/>
          <w:szCs w:val="24"/>
        </w:rPr>
      </w:pPr>
    </w:p>
    <w:p w14:paraId="51BB676C" w14:textId="77777777" w:rsidR="00326E8C" w:rsidRDefault="00326E8C">
      <w:pPr>
        <w:autoSpaceDE w:val="0"/>
        <w:autoSpaceDN w:val="0"/>
        <w:adjustRightInd w:val="0"/>
        <w:spacing w:after="0" w:line="360" w:lineRule="auto"/>
        <w:jc w:val="both"/>
        <w:rPr>
          <w:rFonts w:ascii="Times New Roman" w:hAnsi="Times New Roman" w:cs="Times New Roman"/>
          <w:b/>
          <w:sz w:val="24"/>
          <w:szCs w:val="24"/>
        </w:rPr>
      </w:pPr>
    </w:p>
    <w:p w14:paraId="0F4753AF" w14:textId="77777777" w:rsidR="00F242A0" w:rsidRDefault="004A190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3E6212A0" w14:textId="77777777" w:rsidR="00F242A0" w:rsidRDefault="004A190B">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This study investigated </w:t>
      </w:r>
      <w:r>
        <w:rPr>
          <w:rFonts w:ascii="Times New Roman" w:hAnsi="Times New Roman" w:cs="Times New Roman"/>
          <w:bCs/>
        </w:rPr>
        <w:t xml:space="preserve">the correlation of infections and phenotypic distribution of common blood types and </w:t>
      </w:r>
      <w:proofErr w:type="spellStart"/>
      <w:r>
        <w:rPr>
          <w:rFonts w:ascii="Times New Roman" w:hAnsi="Times New Roman" w:cs="Times New Roman"/>
          <w:bCs/>
        </w:rPr>
        <w:t>haemoglobin</w:t>
      </w:r>
      <w:proofErr w:type="spellEnd"/>
      <w:r>
        <w:rPr>
          <w:rFonts w:ascii="Times New Roman" w:hAnsi="Times New Roman" w:cs="Times New Roman"/>
          <w:bCs/>
        </w:rPr>
        <w:t xml:space="preserve"> genotypes among subjects in Rivers State</w:t>
      </w:r>
      <w:r>
        <w:rPr>
          <w:rFonts w:ascii="Times New Roman" w:hAnsi="Times New Roman" w:cs="Times New Roman"/>
        </w:rPr>
        <w:t xml:space="preserve">, Nigeria. The aim was to assess genetic traits influencing health outcomes and infection susceptibility within this population. Specifically, the objectives were to analyze the distribution of ABO and Rh blood types, investigate </w:t>
      </w:r>
      <w:proofErr w:type="spellStart"/>
      <w:r>
        <w:rPr>
          <w:rFonts w:ascii="Times New Roman" w:hAnsi="Times New Roman" w:cs="Times New Roman"/>
        </w:rPr>
        <w:t>haemoglobin</w:t>
      </w:r>
      <w:proofErr w:type="spellEnd"/>
      <w:r>
        <w:rPr>
          <w:rFonts w:ascii="Times New Roman" w:hAnsi="Times New Roman" w:cs="Times New Roman"/>
        </w:rPr>
        <w:t xml:space="preserve"> genotypes, and explore associations with HIV, HBsAg, and Tuberculosis infections. A cross-sectional study design was employed, enrolling 392 subjects from December 2023 to February 2024 at the University of Port Harcourt Teaching Hospital (UPTH). Blood samples were collected and analyzed for ABO and Rh blood types, </w:t>
      </w:r>
      <w:proofErr w:type="spellStart"/>
      <w:r>
        <w:rPr>
          <w:rFonts w:ascii="Times New Roman" w:hAnsi="Times New Roman" w:cs="Times New Roman"/>
        </w:rPr>
        <w:t>haemoglobin</w:t>
      </w:r>
      <w:proofErr w:type="spellEnd"/>
      <w:r>
        <w:rPr>
          <w:rFonts w:ascii="Times New Roman" w:hAnsi="Times New Roman" w:cs="Times New Roman"/>
        </w:rPr>
        <w:t xml:space="preserve"> genotypes, and infection markers. The data were analyzed using descriptive statistics, Chi-square association tests, and correlation analysis. Results revealed a </w:t>
      </w:r>
      <w:r w:rsidRPr="00FB00F2">
        <w:rPr>
          <w:rFonts w:ascii="Times New Roman" w:hAnsi="Times New Roman" w:cs="Times New Roman"/>
          <w:highlight w:val="yellow"/>
        </w:rPr>
        <w:t xml:space="preserve">predominant distribution of blood types O+ (52.0%) and A+ (26.0%) within the study population. </w:t>
      </w:r>
      <w:proofErr w:type="spellStart"/>
      <w:r w:rsidRPr="00FB00F2">
        <w:rPr>
          <w:rFonts w:ascii="Times New Roman" w:hAnsi="Times New Roman" w:cs="Times New Roman"/>
          <w:highlight w:val="yellow"/>
        </w:rPr>
        <w:t>Haemoglobin</w:t>
      </w:r>
      <w:proofErr w:type="spellEnd"/>
      <w:r w:rsidRPr="00FB00F2">
        <w:rPr>
          <w:rFonts w:ascii="Times New Roman" w:hAnsi="Times New Roman" w:cs="Times New Roman"/>
          <w:highlight w:val="yellow"/>
        </w:rPr>
        <w:t xml:space="preserve"> genotype AA was prevalent (75.8%), with no observed SS variants. Significant associations were found between sex and </w:t>
      </w:r>
      <w:proofErr w:type="spellStart"/>
      <w:r w:rsidRPr="00FB00F2">
        <w:rPr>
          <w:rFonts w:ascii="Times New Roman" w:hAnsi="Times New Roman" w:cs="Times New Roman"/>
          <w:highlight w:val="yellow"/>
        </w:rPr>
        <w:t>haemoglobin</w:t>
      </w:r>
      <w:proofErr w:type="spellEnd"/>
      <w:r w:rsidRPr="00FB00F2">
        <w:rPr>
          <w:rFonts w:ascii="Times New Roman" w:hAnsi="Times New Roman" w:cs="Times New Roman"/>
          <w:highlight w:val="yellow"/>
        </w:rPr>
        <w:t xml:space="preserve"> genotypes (χ² = 29.820, p = 0.00), indicating sex as a determinant factor. The lack</w:t>
      </w:r>
      <w:r>
        <w:rPr>
          <w:rFonts w:ascii="Times New Roman" w:hAnsi="Times New Roman" w:cs="Times New Roman"/>
        </w:rPr>
        <w:t xml:space="preserve"> of significant associations between demographic variables and blood group phenotypes suggests complex genetic determinants. Correlation analysis demonstrated significant positive relationships between HIV and HBsAg (r = 0.352, p = 0.000), as well as between HIV and Tuberculosis (r = 0.282, p = 0.000), underscoring the need for co-infection monitoring. These findings highlight the importance of genetic factors in infection susceptibility and health outcomes. Understanding these relationships has implications for public health interventions and clinical practice. Further research is recommended to elucidate underlying mechanisms and explore additional genetic markers influencing susceptibility to infections in this population. This study contributes to the broader understanding of genetic epidemiology and informs targeted healthcare strategies to improve health outcomes in Rivers State, Nigeria.</w:t>
      </w:r>
    </w:p>
    <w:p w14:paraId="53716ADA" w14:textId="77777777" w:rsidR="00F242A0" w:rsidRDefault="00F242A0">
      <w:pPr>
        <w:autoSpaceDE w:val="0"/>
        <w:autoSpaceDN w:val="0"/>
        <w:adjustRightInd w:val="0"/>
        <w:spacing w:after="0"/>
        <w:jc w:val="both"/>
        <w:rPr>
          <w:rFonts w:ascii="Times New Roman" w:hAnsi="Times New Roman" w:cs="Times New Roman"/>
          <w:sz w:val="24"/>
          <w:szCs w:val="24"/>
        </w:rPr>
      </w:pPr>
      <w:bookmarkStart w:id="0" w:name="_GoBack"/>
      <w:bookmarkEnd w:id="0"/>
    </w:p>
    <w:p w14:paraId="411D0829" w14:textId="77777777" w:rsidR="00F242A0" w:rsidRDefault="004A190B">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b/>
          <w:sz w:val="24"/>
          <w:szCs w:val="24"/>
        </w:rPr>
        <w:t xml:space="preserve">Keywords: </w:t>
      </w:r>
      <w:r>
        <w:rPr>
          <w:rFonts w:ascii="Times New Roman" w:hAnsi="Times New Roman" w:cs="Times New Roman"/>
          <w:i/>
          <w:sz w:val="24"/>
          <w:szCs w:val="24"/>
        </w:rPr>
        <w:t xml:space="preserve">Blood Types, Genetic Epidemiology, </w:t>
      </w:r>
      <w:proofErr w:type="spellStart"/>
      <w:r>
        <w:rPr>
          <w:rFonts w:ascii="Times New Roman" w:hAnsi="Times New Roman" w:cs="Times New Roman"/>
          <w:i/>
          <w:sz w:val="24"/>
          <w:szCs w:val="24"/>
        </w:rPr>
        <w:t>Haemoglobin</w:t>
      </w:r>
      <w:proofErr w:type="spellEnd"/>
      <w:r>
        <w:rPr>
          <w:rFonts w:ascii="Times New Roman" w:hAnsi="Times New Roman" w:cs="Times New Roman"/>
          <w:i/>
          <w:sz w:val="24"/>
          <w:szCs w:val="24"/>
        </w:rPr>
        <w:t xml:space="preserve"> Genotypes, Infection Susceptibility, Phenotypic Distribution</w:t>
      </w:r>
    </w:p>
    <w:p w14:paraId="11CED401" w14:textId="77777777" w:rsidR="00F242A0" w:rsidRDefault="00F242A0">
      <w:pPr>
        <w:autoSpaceDE w:val="0"/>
        <w:autoSpaceDN w:val="0"/>
        <w:adjustRightInd w:val="0"/>
        <w:spacing w:after="0"/>
        <w:jc w:val="both"/>
        <w:rPr>
          <w:rFonts w:ascii="Times New Roman" w:hAnsi="Times New Roman" w:cs="Times New Roman"/>
          <w:i/>
          <w:sz w:val="24"/>
          <w:szCs w:val="24"/>
        </w:rPr>
      </w:pPr>
    </w:p>
    <w:p w14:paraId="46A7EC4D" w14:textId="77777777" w:rsidR="00F242A0" w:rsidRDefault="00F242A0">
      <w:pPr>
        <w:autoSpaceDE w:val="0"/>
        <w:autoSpaceDN w:val="0"/>
        <w:adjustRightInd w:val="0"/>
        <w:spacing w:after="0"/>
        <w:jc w:val="both"/>
        <w:rPr>
          <w:rFonts w:ascii="Times New Roman" w:hAnsi="Times New Roman" w:cs="Times New Roman"/>
          <w:i/>
          <w:sz w:val="24"/>
          <w:szCs w:val="24"/>
        </w:rPr>
      </w:pPr>
    </w:p>
    <w:p w14:paraId="332119D2" w14:textId="77777777" w:rsidR="00F242A0" w:rsidRDefault="00F242A0">
      <w:pPr>
        <w:autoSpaceDE w:val="0"/>
        <w:autoSpaceDN w:val="0"/>
        <w:adjustRightInd w:val="0"/>
        <w:spacing w:after="0"/>
        <w:jc w:val="both"/>
        <w:rPr>
          <w:rFonts w:ascii="Times New Roman" w:hAnsi="Times New Roman" w:cs="Times New Roman"/>
          <w:i/>
          <w:sz w:val="24"/>
          <w:szCs w:val="24"/>
        </w:rPr>
      </w:pPr>
    </w:p>
    <w:p w14:paraId="17E84A95"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INTRODUCTION</w:t>
      </w:r>
    </w:p>
    <w:p w14:paraId="4581FFEF"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The study of human genetics, particularly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has been a subject of interest for many years due to their significant implications for health outcomes. Blood types, classified under the ABO and Rh systems, are genetic traits that vary significantly among different populations. The ABO system categorizes blood into four types: A, B, AB, and O, based on the presence or absence of certain antigens on the surface of red blood cells [1][2]. The Rh system, on the other hand, classifies blood as either Rh positive or Rh negative, depending on the presence or absence of the Rh antigen [3]. The distribution of these blood types is influenced by various factors, including but not limited to geography, ethnicity, and genetic drift. Blood type O is the most common worldwide, but its prevalence varies from region to region [1]. In contrast,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a protein in red blood cells, binds oxygen in the lungs and releases it to body cells </w:t>
      </w:r>
      <w:r>
        <w:rPr>
          <w:rFonts w:ascii="Times New Roman" w:hAnsi="Times New Roman" w:cs="Times New Roman"/>
          <w:sz w:val="24"/>
          <w:szCs w:val="24"/>
        </w:rPr>
        <w:lastRenderedPageBreak/>
        <w:t xml:space="preserve">as blood travels throughout the body. Variants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such as S and C, can be detrimental to health when inherited [4].</w:t>
      </w:r>
    </w:p>
    <w:p w14:paraId="27444A71"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The relationship between genotypic and phenotypic traits and susceptibility to infections is a complex area of study. Certain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have been associated with varying degrees of susceptibility or resistance to specific infections. For instance, individuals with blood type O are speculated to be less susceptible to severe malaria compared to those with other blood types [5][6][7].</w:t>
      </w:r>
    </w:p>
    <w:p w14:paraId="01E8A9FF" w14:textId="702443B5"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In Rivers State, Nigeria, the primary aim of this research is to explore the genetic traits that influence health outcomes. This region presents a unique context due to its specific demographic and health profile, making this research particularly relevant. Specifically, the research will assess and compare the phenotypic distribution of common blood types in the local population. Furthermore, </w:t>
      </w:r>
      <w:r w:rsidRPr="003449DD">
        <w:rPr>
          <w:rFonts w:ascii="Times New Roman" w:hAnsi="Times New Roman" w:cs="Times New Roman"/>
          <w:sz w:val="24"/>
          <w:szCs w:val="24"/>
          <w:highlight w:val="yellow"/>
        </w:rPr>
        <w:t xml:space="preserve">it will investigate and compare the demographic distribution of </w:t>
      </w:r>
      <w:proofErr w:type="spellStart"/>
      <w:r w:rsidRPr="003449DD">
        <w:rPr>
          <w:rFonts w:ascii="Times New Roman" w:hAnsi="Times New Roman" w:cs="Times New Roman"/>
          <w:sz w:val="24"/>
          <w:szCs w:val="24"/>
          <w:highlight w:val="yellow"/>
        </w:rPr>
        <w:t>haemoglobin</w:t>
      </w:r>
      <w:proofErr w:type="spellEnd"/>
      <w:r w:rsidRPr="003449DD">
        <w:rPr>
          <w:rFonts w:ascii="Times New Roman" w:hAnsi="Times New Roman" w:cs="Times New Roman"/>
          <w:sz w:val="24"/>
          <w:szCs w:val="24"/>
          <w:highlight w:val="yellow"/>
        </w:rPr>
        <w:t xml:space="preserve"> genotypes</w:t>
      </w:r>
      <w:r w:rsidR="003449DD" w:rsidRPr="003449DD">
        <w:rPr>
          <w:rFonts w:ascii="Times New Roman" w:hAnsi="Times New Roman" w:cs="Times New Roman"/>
          <w:sz w:val="24"/>
          <w:szCs w:val="24"/>
          <w:highlight w:val="yellow"/>
        </w:rPr>
        <w:t xml:space="preserve"> [31,32]</w:t>
      </w:r>
      <w:r w:rsidRPr="003449DD">
        <w:rPr>
          <w:rFonts w:ascii="Times New Roman" w:hAnsi="Times New Roman" w:cs="Times New Roman"/>
          <w:sz w:val="24"/>
          <w:szCs w:val="24"/>
          <w:highlight w:val="yellow"/>
        </w:rPr>
        <w:t>. These investigations are crucial as they can provide valuable insights into the health status of the</w:t>
      </w:r>
      <w:r>
        <w:rPr>
          <w:rFonts w:ascii="Times New Roman" w:hAnsi="Times New Roman" w:cs="Times New Roman"/>
          <w:sz w:val="24"/>
          <w:szCs w:val="24"/>
        </w:rPr>
        <w:t xml:space="preserve"> populace and inform medical interventions and public health policies. Additionally, this research will explore the relationship between certain infections and genotypic/phenotypic traits. Specifically, the research will focus on HIV, a virus that attacks the immune system; Tuberculosis (TB), a contagious bacterial infection that primarily affects the lungs; and HBsAg (Hepatitis B Surface Antigen), a protein on the surface of the hepatitis B virus indicating an active hepatitis B infection [8][9][10].</w:t>
      </w:r>
    </w:p>
    <w:p w14:paraId="55CE400D"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Understanding these relationships can contribute significantly to the development of targeted prevention and treatment strategies for these infections. The findings of this research could have profound implications for public health policies and medical practices in the region. By shedding light on the genetic factors that influence susceptibility to infections, this research could guide the development of more effective public health interventions, potentially reducing the burden of disease in Rivers State and contributing to improved health outcomes for the population.</w:t>
      </w:r>
    </w:p>
    <w:p w14:paraId="647C1734" w14:textId="77777777" w:rsidR="00F242A0" w:rsidRDefault="00F242A0">
      <w:pPr>
        <w:spacing w:after="80"/>
        <w:jc w:val="both"/>
        <w:rPr>
          <w:rFonts w:ascii="Times New Roman" w:hAnsi="Times New Roman" w:cs="Times New Roman"/>
          <w:b/>
          <w:sz w:val="24"/>
          <w:szCs w:val="24"/>
        </w:rPr>
      </w:pPr>
    </w:p>
    <w:p w14:paraId="63DF73A3" w14:textId="3A465A7C"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MATERIALS AND METHOD</w:t>
      </w:r>
    </w:p>
    <w:p w14:paraId="0E6424E9"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Study Area</w:t>
      </w:r>
    </w:p>
    <w:p w14:paraId="32E8B951"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This study was conducted at the University of Port Harcourt Teaching Hospital (UPTH), a premier teaching healthcare institution located in the heart of Port Harcourt, the vibrant capital city of Rivers State, Nigeria [11]. UPTH stands out as a beacon of advanced medical care, providing an extensive array of specialized health services to the community. The strategic placement of UPTH within this bustling metropolis enables it to cater to a wide-ranging patient demographic, encompassing individuals from various backgrounds and regions within Rivers State. This diversity is particularly beneficial for the study, as it ensures a comprehensive representation of the population’s phenotypic and genotypic traits. The hospital’s role as a central healthcare hub attracts patients from all corners of the state, offering a unique opportunity to observe and analyze the correlation between blood types,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and susceptibility to infections such as HIV, HBsAg, and TB within a well-represented demographic cross-section</w:t>
      </w:r>
    </w:p>
    <w:p w14:paraId="251A1485"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lastRenderedPageBreak/>
        <w:t>Study Design</w:t>
      </w:r>
    </w:p>
    <w:p w14:paraId="7491FFB7"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This cross-sectional study was designed to evaluate the phenotypic distribution of common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as well as their correlation with certain infections among subjects in Rivers State. From December 2023 to February 2024, a total of 392 subjects suspected of having varying susceptibilities to infections such as HIV, HBsAg, and TB were enrolled. Blood samples were systematically collected from each </w:t>
      </w:r>
      <w:r w:rsidRPr="003449DD">
        <w:rPr>
          <w:rFonts w:ascii="Times New Roman" w:hAnsi="Times New Roman" w:cs="Times New Roman"/>
          <w:sz w:val="24"/>
          <w:szCs w:val="24"/>
          <w:highlight w:val="yellow"/>
        </w:rPr>
        <w:t xml:space="preserve">participant to perform comprehensive examinations for ABO and Rh blood types, </w:t>
      </w:r>
      <w:proofErr w:type="spellStart"/>
      <w:r w:rsidRPr="003449DD">
        <w:rPr>
          <w:rFonts w:ascii="Times New Roman" w:hAnsi="Times New Roman" w:cs="Times New Roman"/>
          <w:sz w:val="24"/>
          <w:szCs w:val="24"/>
          <w:highlight w:val="yellow"/>
        </w:rPr>
        <w:t>haemoglobin</w:t>
      </w:r>
      <w:proofErr w:type="spellEnd"/>
      <w:r w:rsidRPr="003449DD">
        <w:rPr>
          <w:rFonts w:ascii="Times New Roman" w:hAnsi="Times New Roman" w:cs="Times New Roman"/>
          <w:sz w:val="24"/>
          <w:szCs w:val="24"/>
          <w:highlight w:val="yellow"/>
        </w:rPr>
        <w:t xml:space="preserve"> genotypes, and the aforementioned infections. Additionally, sputum samples were systematically</w:t>
      </w:r>
      <w:r>
        <w:rPr>
          <w:rFonts w:ascii="Times New Roman" w:hAnsi="Times New Roman" w:cs="Times New Roman"/>
          <w:sz w:val="24"/>
          <w:szCs w:val="24"/>
        </w:rPr>
        <w:t xml:space="preserve"> collected for TB examinations,</w:t>
      </w:r>
    </w:p>
    <w:p w14:paraId="200C01AC"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b/>
          <w:sz w:val="24"/>
          <w:szCs w:val="24"/>
        </w:rPr>
        <w:t>Sampling Method</w:t>
      </w:r>
    </w:p>
    <w:p w14:paraId="07A8F66F"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The sampling method employed in this study was a simple random sampling technique, which is a fundamental approach to ensure unbiased selection. Instead of a binary numbering system, participants were subjected to a coin toss to determine their inclusion in the study. Each potential participant was assigned a coin flip, with the outcome of ‘heads’ signifying inclusion in the study sample, and ‘tails’ indicating exclusion. This method provided a clear and straightforward mechanism for participant selection, maintaining the integrity of the random sampling process.</w:t>
      </w:r>
    </w:p>
    <w:p w14:paraId="7802B6B8"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 Measures</w:t>
      </w:r>
    </w:p>
    <w:p w14:paraId="1B28AC1A"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Processing of Sputum Samples for Culture:</w:t>
      </w:r>
    </w:p>
    <w:p w14:paraId="025F33A5"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The processing of sputum samples for culture was meticulously carried out using the N-Acetyl-L-Cysteine (NALC)-NaOH method [12]. Initially, 4% NaOH and 2.9% Sodium citrate were prepared and sterilized separately. These reagents were then mixed in equal volumes to create the working solution. To this, 1 gram of NALC was added freshly. An equal volume of the NALC-NaOH solution was then added to the sputum samples, which were gently mixed by inversion and subsequently vortexed for 30 seconds. The mixture was allowed to stand for 15 minutes, with intermittent mixing to ensure proper lysis of the sputum. Following this, the content was neutralized using phosphate-buffered saline (PBS) at a pH of 6.8. The samples were then centrifuged at 3000xg for 15 minutes. After discarding the supernatant, the pellet was resuspended in 2 ml of PBS. Finally, 3 drops of the resuspended sample were inoculated into the Lowenstein-Jensen media in duplicate and incubated at 37°C for 8 weeks to allow for the growth and identification of mycobacteria.</w:t>
      </w:r>
    </w:p>
    <w:p w14:paraId="194CFE63"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ABO, Rh Grouping &amp; Hb Genotyping </w:t>
      </w:r>
    </w:p>
    <w:p w14:paraId="39C7CD58"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The determination of ABO blood groups and Rh factor was conducted using the standard agglutination technique [13]. Blood samples were collected in EDTA tubes and centrifuged at 2500xg for 5 minutes to separate plasma from erythrocytes. The erythrocyte layer was washed three times with saline to remove the plasma completely. Two drops of the test erythrocytes were mixed with one drop of anti-A, anti-B, and anti-D sera, respectively, on a glass slide. The slides were gently rocked to observe agglutination, indicating the presence of corresponding antigens.</w:t>
      </w:r>
    </w:p>
    <w:p w14:paraId="411D8E59"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analysis, the alkaline denaturation method was utilized [14]. Hemolysates were prepared by mixing 2 ml of blood with an equal volume of distilled water, </w:t>
      </w:r>
      <w:r>
        <w:rPr>
          <w:rFonts w:ascii="Times New Roman" w:hAnsi="Times New Roman" w:cs="Times New Roman"/>
          <w:sz w:val="24"/>
          <w:szCs w:val="24"/>
        </w:rPr>
        <w:lastRenderedPageBreak/>
        <w:t xml:space="preserve">followed by centrifugation at 3000xg for 5 minutes. The clear supernatant was treated with an alkaline solution and incubated at room temperature for 20 minutes. The degree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denaturation was measured spectrophotometrically at 540 nm. The absorbance values were used to determine the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based on established reference standards.</w:t>
      </w:r>
    </w:p>
    <w:p w14:paraId="25EABCF5"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These procedures were performed under stringent laboratory conditions to ensure the accuracy and reliability of the blood typing and genotyping, which are critical for the subsequent correlation analysis with infection rates among the study subjects.</w:t>
      </w:r>
    </w:p>
    <w:p w14:paraId="395FC790"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HIV and HBsAg screening</w:t>
      </w:r>
    </w:p>
    <w:p w14:paraId="2A77C0DF" w14:textId="77777777" w:rsidR="00F242A0" w:rsidRPr="003449DD" w:rsidRDefault="004A190B">
      <w:pPr>
        <w:spacing w:after="80"/>
        <w:jc w:val="both"/>
        <w:rPr>
          <w:rFonts w:ascii="Times New Roman" w:hAnsi="Times New Roman" w:cs="Times New Roman"/>
          <w:sz w:val="24"/>
          <w:szCs w:val="24"/>
          <w:highlight w:val="yellow"/>
        </w:rPr>
      </w:pPr>
      <w:r>
        <w:rPr>
          <w:rFonts w:ascii="Times New Roman" w:hAnsi="Times New Roman" w:cs="Times New Roman"/>
          <w:sz w:val="24"/>
          <w:szCs w:val="24"/>
        </w:rPr>
        <w:t xml:space="preserve">The screening for Human Immunodeficiency Virus (HIV) was conducted using the recommended serological testing methods [15]. Individuals were screened using a combination of antibody tests, antigen/antibody tests, and nucleic acid tests (NAT). Blood samples were collected either by venipuncture or finger prick, and oral fluid swabs were also utilized for some tests. The antibody tests detect antibodies to HIV in the blood or oral fluid and can take 23 to 90 days post-exposure to identify HIV antibodies. Antigen/antibody tests look for both HIV antibodies and antigens, providing a quicker diagnosis. NATs detect the actual </w:t>
      </w:r>
      <w:r w:rsidRPr="003449DD">
        <w:rPr>
          <w:rFonts w:ascii="Times New Roman" w:hAnsi="Times New Roman" w:cs="Times New Roman"/>
          <w:sz w:val="24"/>
          <w:szCs w:val="24"/>
          <w:highlight w:val="yellow"/>
        </w:rPr>
        <w:t>virus in the blood and are used in cases where early infection is suspected or for confirmation of infection status.</w:t>
      </w:r>
    </w:p>
    <w:p w14:paraId="4F2EF185" w14:textId="77777777" w:rsidR="00F242A0" w:rsidRDefault="004A190B">
      <w:pPr>
        <w:spacing w:after="80"/>
        <w:jc w:val="both"/>
        <w:rPr>
          <w:rFonts w:ascii="Times New Roman" w:hAnsi="Times New Roman" w:cs="Times New Roman"/>
          <w:sz w:val="24"/>
          <w:szCs w:val="24"/>
        </w:rPr>
      </w:pPr>
      <w:r w:rsidRPr="003449DD">
        <w:rPr>
          <w:rFonts w:ascii="Times New Roman" w:hAnsi="Times New Roman" w:cs="Times New Roman"/>
          <w:sz w:val="24"/>
          <w:szCs w:val="24"/>
          <w:highlight w:val="yellow"/>
        </w:rPr>
        <w:t>HBsAg Screening Measures for Hepatitis B surface antigen (HBsAg) screening, the Centers for Disease Control and Prevention (CDC) recommends the use of the triple panel test, which includes HBsAg, antibody to hepatitis B surface antigen (anti-HBs), and</w:t>
      </w:r>
      <w:r>
        <w:rPr>
          <w:rFonts w:ascii="Times New Roman" w:hAnsi="Times New Roman" w:cs="Times New Roman"/>
          <w:sz w:val="24"/>
          <w:szCs w:val="24"/>
        </w:rPr>
        <w:t xml:space="preserve"> total antibody to hepatitis B core antigen (total anti-HBc) [16]. This comprehensive approach ensures the detection of current infection, past or resolved infection, and immunity due to vaccination. The screening process involves collecting blood samples and testing for these markers to determine the hepatitis B infection status of an individual.</w:t>
      </w:r>
    </w:p>
    <w:p w14:paraId="56F4523B"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Data Analysis</w:t>
      </w:r>
    </w:p>
    <w:p w14:paraId="7603963E"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Descriptive statistics were employed to summarize the phenotypic distribution of ABO and Rh blood types, as well as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within the study population. The results are presented as percentages. The Chi-square test was utilized to determine the associations between these phenotypic distributions and various socio-demographic variables. An alpha (α) level of 0.05 was set as the threshold for significance, where p-values less than 0.05 were considered indicative of statistically significant results. Correlation coefficients were calculated to explore the relationships between infections (HIV, HBsAg, and Tuberculosis) and genetic/phenotypic traits (Hb Genotype and Blood Group).</w:t>
      </w:r>
    </w:p>
    <w:p w14:paraId="02A7CF8C"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Ethical Consideration  </w:t>
      </w:r>
    </w:p>
    <w:p w14:paraId="7AD1ED9F"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Ethical approval for this study was obtained from the Ethics Committee of the University of Port Harcourt Teaching Hospital (UPTH) prior to its initiation. Informed written consent was also procured from each participant, ensuring they were fully apprised of the study’s objectives, potential risks, and benefits. This consent process affirmed the participants’ voluntary agreement to partake in the study, thereby respecting and upholding the ethical principle of autonomy.</w:t>
      </w:r>
    </w:p>
    <w:p w14:paraId="6295DCB5" w14:textId="77777777" w:rsidR="00F242A0" w:rsidRDefault="00F242A0">
      <w:pPr>
        <w:spacing w:after="80"/>
        <w:jc w:val="both"/>
        <w:rPr>
          <w:rFonts w:ascii="Times New Roman" w:hAnsi="Times New Roman" w:cs="Times New Roman"/>
          <w:b/>
          <w:sz w:val="24"/>
          <w:szCs w:val="24"/>
        </w:rPr>
      </w:pPr>
    </w:p>
    <w:p w14:paraId="2A40E48C" w14:textId="5C6FD7E7" w:rsidR="00F242A0" w:rsidRDefault="004A190B">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RESULTS</w:t>
      </w:r>
      <w:r w:rsidR="003449DD">
        <w:rPr>
          <w:rFonts w:ascii="Times New Roman" w:hAnsi="Times New Roman" w:cs="Times New Roman"/>
          <w:b/>
          <w:sz w:val="24"/>
          <w:szCs w:val="24"/>
        </w:rPr>
        <w:t xml:space="preserve"> AND DISCUSSION</w:t>
      </w:r>
    </w:p>
    <w:p w14:paraId="168C8BB4" w14:textId="77777777" w:rsidR="00F242A0" w:rsidRDefault="004A190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Phenotypic Distribution of ABO and Rh Blood Types by Demographics</w:t>
      </w:r>
    </w:p>
    <w:p w14:paraId="28D83EC0" w14:textId="77777777" w:rsidR="00F242A0" w:rsidRDefault="004A190B">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Table 1: Crosstab showing Distribution of ABO and Rh Blood Types in the Study Population </w:t>
      </w:r>
    </w:p>
    <w:tbl>
      <w:tblPr>
        <w:tblStyle w:val="TableGrid"/>
        <w:tblW w:w="10261" w:type="dxa"/>
        <w:tblInd w:w="-3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1092"/>
        <w:gridCol w:w="1094"/>
        <w:gridCol w:w="1094"/>
        <w:gridCol w:w="1094"/>
        <w:gridCol w:w="1084"/>
        <w:gridCol w:w="1084"/>
        <w:gridCol w:w="1084"/>
        <w:gridCol w:w="1124"/>
      </w:tblGrid>
      <w:tr w:rsidR="00F242A0" w14:paraId="234CA071" w14:textId="77777777">
        <w:trPr>
          <w:trHeight w:val="273"/>
        </w:trPr>
        <w:tc>
          <w:tcPr>
            <w:tcW w:w="1442" w:type="dxa"/>
            <w:tcBorders>
              <w:top w:val="single" w:sz="4" w:space="0" w:color="auto"/>
              <w:bottom w:val="single" w:sz="4" w:space="0" w:color="auto"/>
            </w:tcBorders>
          </w:tcPr>
          <w:p w14:paraId="0AEC14BC"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Demographics</w:t>
            </w:r>
          </w:p>
        </w:tc>
        <w:tc>
          <w:tcPr>
            <w:tcW w:w="1101" w:type="dxa"/>
            <w:tcBorders>
              <w:top w:val="single" w:sz="4" w:space="0" w:color="auto"/>
              <w:bottom w:val="single" w:sz="4" w:space="0" w:color="auto"/>
            </w:tcBorders>
          </w:tcPr>
          <w:p w14:paraId="1DE420A1"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tc>
        <w:tc>
          <w:tcPr>
            <w:tcW w:w="1102" w:type="dxa"/>
            <w:tcBorders>
              <w:top w:val="single" w:sz="4" w:space="0" w:color="auto"/>
              <w:bottom w:val="single" w:sz="4" w:space="0" w:color="auto"/>
            </w:tcBorders>
          </w:tcPr>
          <w:p w14:paraId="53C47A08"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O+</w:t>
            </w:r>
          </w:p>
        </w:tc>
        <w:tc>
          <w:tcPr>
            <w:tcW w:w="1102" w:type="dxa"/>
            <w:tcBorders>
              <w:top w:val="single" w:sz="4" w:space="0" w:color="auto"/>
              <w:bottom w:val="single" w:sz="4" w:space="0" w:color="auto"/>
            </w:tcBorders>
          </w:tcPr>
          <w:p w14:paraId="338A71EE"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tc>
        <w:tc>
          <w:tcPr>
            <w:tcW w:w="1102" w:type="dxa"/>
            <w:tcBorders>
              <w:top w:val="single" w:sz="4" w:space="0" w:color="auto"/>
              <w:bottom w:val="single" w:sz="4" w:space="0" w:color="auto"/>
            </w:tcBorders>
          </w:tcPr>
          <w:p w14:paraId="614175F3"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AB+</w:t>
            </w:r>
          </w:p>
        </w:tc>
        <w:tc>
          <w:tcPr>
            <w:tcW w:w="1102" w:type="dxa"/>
            <w:tcBorders>
              <w:top w:val="single" w:sz="4" w:space="0" w:color="auto"/>
              <w:bottom w:val="single" w:sz="4" w:space="0" w:color="auto"/>
            </w:tcBorders>
          </w:tcPr>
          <w:p w14:paraId="2756D7DA"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O-</w:t>
            </w:r>
          </w:p>
        </w:tc>
        <w:tc>
          <w:tcPr>
            <w:tcW w:w="1102" w:type="dxa"/>
            <w:tcBorders>
              <w:top w:val="single" w:sz="4" w:space="0" w:color="auto"/>
              <w:bottom w:val="single" w:sz="4" w:space="0" w:color="auto"/>
            </w:tcBorders>
          </w:tcPr>
          <w:p w14:paraId="49A3813D"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tc>
        <w:tc>
          <w:tcPr>
            <w:tcW w:w="1102" w:type="dxa"/>
            <w:tcBorders>
              <w:top w:val="single" w:sz="4" w:space="0" w:color="auto"/>
              <w:bottom w:val="single" w:sz="4" w:space="0" w:color="auto"/>
            </w:tcBorders>
          </w:tcPr>
          <w:p w14:paraId="20A1E019"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tc>
        <w:tc>
          <w:tcPr>
            <w:tcW w:w="1106" w:type="dxa"/>
            <w:tcBorders>
              <w:top w:val="single" w:sz="4" w:space="0" w:color="auto"/>
              <w:bottom w:val="single" w:sz="4" w:space="0" w:color="auto"/>
            </w:tcBorders>
          </w:tcPr>
          <w:p w14:paraId="7D1ED7E0" w14:textId="77777777" w:rsidR="00F242A0" w:rsidRDefault="004A190B">
            <w:pPr>
              <w:autoSpaceDE w:val="0"/>
              <w:autoSpaceDN w:val="0"/>
              <w:adjustRightInd w:val="0"/>
              <w:spacing w:after="0" w:line="240" w:lineRule="auto"/>
              <w:rPr>
                <w:rFonts w:ascii="Times New Roman" w:hAnsi="Times New Roman" w:cs="Times New Roman"/>
                <w:b/>
                <w:color w:val="000000"/>
                <w:sz w:val="21"/>
                <w:szCs w:val="21"/>
              </w:rPr>
            </w:pPr>
            <w:r>
              <w:rPr>
                <w:rFonts w:ascii="Times New Roman" w:hAnsi="Times New Roman" w:cs="Times New Roman"/>
                <w:b/>
                <w:color w:val="000000"/>
                <w:sz w:val="21"/>
                <w:szCs w:val="21"/>
              </w:rPr>
              <w:t>Total</w:t>
            </w:r>
          </w:p>
        </w:tc>
      </w:tr>
      <w:tr w:rsidR="00F242A0" w14:paraId="4F892F3D" w14:textId="77777777">
        <w:trPr>
          <w:trHeight w:val="289"/>
        </w:trPr>
        <w:tc>
          <w:tcPr>
            <w:tcW w:w="1442" w:type="dxa"/>
            <w:tcBorders>
              <w:top w:val="single" w:sz="4" w:space="0" w:color="auto"/>
            </w:tcBorders>
          </w:tcPr>
          <w:p w14:paraId="4DB3D076"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Age (Years)</w:t>
            </w:r>
          </w:p>
        </w:tc>
        <w:tc>
          <w:tcPr>
            <w:tcW w:w="1101" w:type="dxa"/>
            <w:tcBorders>
              <w:top w:val="single" w:sz="4" w:space="0" w:color="auto"/>
            </w:tcBorders>
          </w:tcPr>
          <w:p w14:paraId="06512EAA"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7377E388"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5960C5F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7096EAB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68B68C5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3E322817"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2538CF5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Borders>
              <w:top w:val="single" w:sz="4" w:space="0" w:color="auto"/>
            </w:tcBorders>
          </w:tcPr>
          <w:p w14:paraId="0F767C3F"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7C86DC02" w14:textId="77777777">
        <w:trPr>
          <w:trHeight w:val="638"/>
        </w:trPr>
        <w:tc>
          <w:tcPr>
            <w:tcW w:w="1442" w:type="dxa"/>
          </w:tcPr>
          <w:p w14:paraId="5CE61365"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Less than 40</w:t>
            </w:r>
          </w:p>
        </w:tc>
        <w:tc>
          <w:tcPr>
            <w:tcW w:w="1101" w:type="dxa"/>
          </w:tcPr>
          <w:p w14:paraId="0182FA8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76 (25.2%)</w:t>
            </w:r>
          </w:p>
        </w:tc>
        <w:tc>
          <w:tcPr>
            <w:tcW w:w="1102" w:type="dxa"/>
          </w:tcPr>
          <w:p w14:paraId="18D2226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158 (52.5%)</w:t>
            </w:r>
          </w:p>
        </w:tc>
        <w:tc>
          <w:tcPr>
            <w:tcW w:w="1102" w:type="dxa"/>
          </w:tcPr>
          <w:p w14:paraId="507D971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38 (12.6%)</w:t>
            </w:r>
          </w:p>
        </w:tc>
        <w:tc>
          <w:tcPr>
            <w:tcW w:w="1102" w:type="dxa"/>
          </w:tcPr>
          <w:p w14:paraId="7D1A270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14 (4.7%)</w:t>
            </w:r>
          </w:p>
        </w:tc>
        <w:tc>
          <w:tcPr>
            <w:tcW w:w="1102" w:type="dxa"/>
          </w:tcPr>
          <w:p w14:paraId="6F574B3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 (3.3%)</w:t>
            </w:r>
          </w:p>
        </w:tc>
        <w:tc>
          <w:tcPr>
            <w:tcW w:w="1102" w:type="dxa"/>
          </w:tcPr>
          <w:p w14:paraId="02ECA47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 (1.3%)</w:t>
            </w:r>
          </w:p>
        </w:tc>
        <w:tc>
          <w:tcPr>
            <w:tcW w:w="1102" w:type="dxa"/>
          </w:tcPr>
          <w:p w14:paraId="4B6F3BD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(0.3%)</w:t>
            </w:r>
          </w:p>
        </w:tc>
        <w:tc>
          <w:tcPr>
            <w:tcW w:w="1106" w:type="dxa"/>
          </w:tcPr>
          <w:p w14:paraId="05572DD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301 (100.0%)</w:t>
            </w:r>
          </w:p>
        </w:tc>
      </w:tr>
      <w:tr w:rsidR="00F242A0" w14:paraId="0B8E54F3" w14:textId="77777777">
        <w:trPr>
          <w:trHeight w:val="638"/>
        </w:trPr>
        <w:tc>
          <w:tcPr>
            <w:tcW w:w="1442" w:type="dxa"/>
          </w:tcPr>
          <w:p w14:paraId="5CB3346F"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40 and Above</w:t>
            </w:r>
          </w:p>
        </w:tc>
        <w:tc>
          <w:tcPr>
            <w:tcW w:w="1101" w:type="dxa"/>
          </w:tcPr>
          <w:p w14:paraId="61EF5BF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26 (28.6%)</w:t>
            </w:r>
          </w:p>
        </w:tc>
        <w:tc>
          <w:tcPr>
            <w:tcW w:w="1102" w:type="dxa"/>
          </w:tcPr>
          <w:p w14:paraId="36A8042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(50.5%)</w:t>
            </w:r>
          </w:p>
        </w:tc>
        <w:tc>
          <w:tcPr>
            <w:tcW w:w="1102" w:type="dxa"/>
          </w:tcPr>
          <w:p w14:paraId="66B4E5F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 (8.8%)</w:t>
            </w:r>
          </w:p>
        </w:tc>
        <w:tc>
          <w:tcPr>
            <w:tcW w:w="1102" w:type="dxa"/>
          </w:tcPr>
          <w:p w14:paraId="44E7611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(3.3%)</w:t>
            </w:r>
          </w:p>
        </w:tc>
        <w:tc>
          <w:tcPr>
            <w:tcW w:w="1102" w:type="dxa"/>
          </w:tcPr>
          <w:p w14:paraId="7B839A5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(2.2%)</w:t>
            </w:r>
          </w:p>
        </w:tc>
        <w:tc>
          <w:tcPr>
            <w:tcW w:w="1102" w:type="dxa"/>
          </w:tcPr>
          <w:p w14:paraId="02C4312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(5.5%)</w:t>
            </w:r>
          </w:p>
        </w:tc>
        <w:tc>
          <w:tcPr>
            <w:tcW w:w="1102" w:type="dxa"/>
          </w:tcPr>
          <w:p w14:paraId="3B9D83D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(1.1%)</w:t>
            </w:r>
          </w:p>
        </w:tc>
        <w:tc>
          <w:tcPr>
            <w:tcW w:w="1106" w:type="dxa"/>
          </w:tcPr>
          <w:p w14:paraId="24D7F2E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91 (100.0%)</w:t>
            </w:r>
          </w:p>
        </w:tc>
      </w:tr>
      <w:tr w:rsidR="00F242A0" w14:paraId="60D76F33" w14:textId="77777777">
        <w:trPr>
          <w:trHeight w:val="653"/>
        </w:trPr>
        <w:tc>
          <w:tcPr>
            <w:tcW w:w="1442" w:type="dxa"/>
          </w:tcPr>
          <w:p w14:paraId="6E5D9743"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Total </w:t>
            </w:r>
          </w:p>
        </w:tc>
        <w:tc>
          <w:tcPr>
            <w:tcW w:w="1101" w:type="dxa"/>
          </w:tcPr>
          <w:p w14:paraId="1780CCE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434121DE"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34BD0FB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54111063"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2DAE7A3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19923D36"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1A42F5D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15DD2B6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r w:rsidR="00F242A0" w14:paraId="70AC5FF7" w14:textId="77777777">
        <w:trPr>
          <w:trHeight w:val="273"/>
        </w:trPr>
        <w:tc>
          <w:tcPr>
            <w:tcW w:w="1442" w:type="dxa"/>
          </w:tcPr>
          <w:p w14:paraId="43D1F4BC"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Education</w:t>
            </w:r>
          </w:p>
        </w:tc>
        <w:tc>
          <w:tcPr>
            <w:tcW w:w="1101" w:type="dxa"/>
          </w:tcPr>
          <w:p w14:paraId="68A697C7"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5A199212"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2205A225"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D2A249B"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64CB2CD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6185235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BA92FD2"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Pr>
          <w:p w14:paraId="349C711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5BB0C8F5" w14:textId="77777777">
        <w:trPr>
          <w:trHeight w:val="273"/>
        </w:trPr>
        <w:tc>
          <w:tcPr>
            <w:tcW w:w="1442" w:type="dxa"/>
          </w:tcPr>
          <w:p w14:paraId="1FEA7F4B"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Educated</w:t>
            </w:r>
          </w:p>
        </w:tc>
        <w:tc>
          <w:tcPr>
            <w:tcW w:w="1101" w:type="dxa"/>
          </w:tcPr>
          <w:p w14:paraId="02221DC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99 (26.5%)</w:t>
            </w:r>
          </w:p>
        </w:tc>
        <w:tc>
          <w:tcPr>
            <w:tcW w:w="1102" w:type="dxa"/>
          </w:tcPr>
          <w:p w14:paraId="71DCA08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193 (51.6%)</w:t>
            </w:r>
          </w:p>
        </w:tc>
        <w:tc>
          <w:tcPr>
            <w:tcW w:w="1102" w:type="dxa"/>
          </w:tcPr>
          <w:p w14:paraId="38080B7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44 (11.8%)</w:t>
            </w:r>
          </w:p>
        </w:tc>
        <w:tc>
          <w:tcPr>
            <w:tcW w:w="1102" w:type="dxa"/>
          </w:tcPr>
          <w:p w14:paraId="27AD386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 (4.0%)</w:t>
            </w:r>
          </w:p>
        </w:tc>
        <w:tc>
          <w:tcPr>
            <w:tcW w:w="1102" w:type="dxa"/>
          </w:tcPr>
          <w:p w14:paraId="3B590B7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(3.2%)</w:t>
            </w:r>
          </w:p>
        </w:tc>
        <w:tc>
          <w:tcPr>
            <w:tcW w:w="1102" w:type="dxa"/>
          </w:tcPr>
          <w:p w14:paraId="621A152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(2.4%)</w:t>
            </w:r>
          </w:p>
        </w:tc>
        <w:tc>
          <w:tcPr>
            <w:tcW w:w="1102" w:type="dxa"/>
          </w:tcPr>
          <w:p w14:paraId="1DAB0843"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4568AC8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374 (100.0%)</w:t>
            </w:r>
          </w:p>
        </w:tc>
      </w:tr>
      <w:tr w:rsidR="00F242A0" w14:paraId="7F5BF484" w14:textId="77777777">
        <w:trPr>
          <w:trHeight w:val="273"/>
        </w:trPr>
        <w:tc>
          <w:tcPr>
            <w:tcW w:w="1442" w:type="dxa"/>
          </w:tcPr>
          <w:p w14:paraId="281A4522"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Uneducated</w:t>
            </w:r>
          </w:p>
        </w:tc>
        <w:tc>
          <w:tcPr>
            <w:tcW w:w="1101" w:type="dxa"/>
          </w:tcPr>
          <w:p w14:paraId="12DAF2E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(16.7%)</w:t>
            </w:r>
          </w:p>
        </w:tc>
        <w:tc>
          <w:tcPr>
            <w:tcW w:w="1102" w:type="dxa"/>
          </w:tcPr>
          <w:p w14:paraId="74A67C8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11 (61.1%)</w:t>
            </w:r>
          </w:p>
        </w:tc>
        <w:tc>
          <w:tcPr>
            <w:tcW w:w="1102" w:type="dxa"/>
          </w:tcPr>
          <w:p w14:paraId="32047913"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(11.1%)</w:t>
            </w:r>
          </w:p>
        </w:tc>
        <w:tc>
          <w:tcPr>
            <w:tcW w:w="1102" w:type="dxa"/>
          </w:tcPr>
          <w:p w14:paraId="70A5978E"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(11.1%)</w:t>
            </w:r>
          </w:p>
        </w:tc>
        <w:tc>
          <w:tcPr>
            <w:tcW w:w="1102" w:type="dxa"/>
          </w:tcPr>
          <w:p w14:paraId="1BB411A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2" w:type="dxa"/>
          </w:tcPr>
          <w:p w14:paraId="66152ED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2" w:type="dxa"/>
          </w:tcPr>
          <w:p w14:paraId="55B2064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6" w:type="dxa"/>
          </w:tcPr>
          <w:p w14:paraId="29A6CEE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18 (100.0%)</w:t>
            </w:r>
          </w:p>
        </w:tc>
      </w:tr>
      <w:tr w:rsidR="00F242A0" w14:paraId="311D0E95" w14:textId="77777777">
        <w:trPr>
          <w:trHeight w:val="273"/>
        </w:trPr>
        <w:tc>
          <w:tcPr>
            <w:tcW w:w="1442" w:type="dxa"/>
          </w:tcPr>
          <w:p w14:paraId="05C0572E"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3EDD307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469A0EC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1F35498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5A51743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01E51F9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4DFA2FC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1209026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7EACF61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p w14:paraId="4C6A9D3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r>
      <w:tr w:rsidR="00F242A0" w14:paraId="62F212AB" w14:textId="77777777">
        <w:trPr>
          <w:trHeight w:val="273"/>
        </w:trPr>
        <w:tc>
          <w:tcPr>
            <w:tcW w:w="1442" w:type="dxa"/>
          </w:tcPr>
          <w:p w14:paraId="42C5434B"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Sex</w:t>
            </w:r>
          </w:p>
        </w:tc>
        <w:tc>
          <w:tcPr>
            <w:tcW w:w="1101" w:type="dxa"/>
          </w:tcPr>
          <w:p w14:paraId="24B373E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1373499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8DA7D9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011201DA"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2ADDA77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146D6A1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48B3FF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Pr>
          <w:p w14:paraId="2D20EB5D"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6FC0F5A9" w14:textId="77777777">
        <w:trPr>
          <w:trHeight w:val="289"/>
        </w:trPr>
        <w:tc>
          <w:tcPr>
            <w:tcW w:w="1442" w:type="dxa"/>
          </w:tcPr>
          <w:p w14:paraId="7BC319B0"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Male</w:t>
            </w:r>
          </w:p>
        </w:tc>
        <w:tc>
          <w:tcPr>
            <w:tcW w:w="1101" w:type="dxa"/>
          </w:tcPr>
          <w:p w14:paraId="06BD608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37 (24.0%)</w:t>
            </w:r>
          </w:p>
        </w:tc>
        <w:tc>
          <w:tcPr>
            <w:tcW w:w="1102" w:type="dxa"/>
          </w:tcPr>
          <w:p w14:paraId="2A2D3B5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82 (53.2%)</w:t>
            </w:r>
          </w:p>
        </w:tc>
        <w:tc>
          <w:tcPr>
            <w:tcW w:w="1102" w:type="dxa"/>
          </w:tcPr>
          <w:p w14:paraId="24495A36"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(4.5%)</w:t>
            </w:r>
          </w:p>
        </w:tc>
        <w:tc>
          <w:tcPr>
            <w:tcW w:w="1102" w:type="dxa"/>
          </w:tcPr>
          <w:p w14:paraId="2D167D8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(7.8%)</w:t>
            </w:r>
          </w:p>
        </w:tc>
        <w:tc>
          <w:tcPr>
            <w:tcW w:w="1102" w:type="dxa"/>
          </w:tcPr>
          <w:p w14:paraId="52DB129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(4.5%)</w:t>
            </w:r>
          </w:p>
        </w:tc>
        <w:tc>
          <w:tcPr>
            <w:tcW w:w="1102" w:type="dxa"/>
          </w:tcPr>
          <w:p w14:paraId="3965F81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 (5.2%)</w:t>
            </w:r>
          </w:p>
        </w:tc>
        <w:tc>
          <w:tcPr>
            <w:tcW w:w="1102" w:type="dxa"/>
          </w:tcPr>
          <w:p w14:paraId="17EA4E4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(0.6%)</w:t>
            </w:r>
          </w:p>
        </w:tc>
        <w:tc>
          <w:tcPr>
            <w:tcW w:w="1106" w:type="dxa"/>
          </w:tcPr>
          <w:p w14:paraId="12CA238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154 (100.0%)</w:t>
            </w:r>
          </w:p>
        </w:tc>
      </w:tr>
      <w:tr w:rsidR="00F242A0" w14:paraId="11C431A5" w14:textId="77777777">
        <w:trPr>
          <w:trHeight w:val="289"/>
        </w:trPr>
        <w:tc>
          <w:tcPr>
            <w:tcW w:w="1442" w:type="dxa"/>
          </w:tcPr>
          <w:p w14:paraId="589D4084"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Female</w:t>
            </w:r>
          </w:p>
        </w:tc>
        <w:tc>
          <w:tcPr>
            <w:tcW w:w="1101" w:type="dxa"/>
          </w:tcPr>
          <w:p w14:paraId="23C0E5F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65 (27.3%</w:t>
            </w:r>
          </w:p>
        </w:tc>
        <w:tc>
          <w:tcPr>
            <w:tcW w:w="1102" w:type="dxa"/>
          </w:tcPr>
          <w:p w14:paraId="3A43F32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122 (51.3%)</w:t>
            </w:r>
          </w:p>
        </w:tc>
        <w:tc>
          <w:tcPr>
            <w:tcW w:w="1102" w:type="dxa"/>
          </w:tcPr>
          <w:p w14:paraId="5BD4DE23"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39 (16.4%) </w:t>
            </w:r>
          </w:p>
        </w:tc>
        <w:tc>
          <w:tcPr>
            <w:tcW w:w="1102" w:type="dxa"/>
          </w:tcPr>
          <w:p w14:paraId="105AC7E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(2.1%)</w:t>
            </w:r>
          </w:p>
        </w:tc>
        <w:tc>
          <w:tcPr>
            <w:tcW w:w="1102" w:type="dxa"/>
          </w:tcPr>
          <w:p w14:paraId="05B46F1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(2.1%)</w:t>
            </w:r>
          </w:p>
        </w:tc>
        <w:tc>
          <w:tcPr>
            <w:tcW w:w="1102" w:type="dxa"/>
          </w:tcPr>
          <w:p w14:paraId="7616B4B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(0.4%)</w:t>
            </w:r>
          </w:p>
        </w:tc>
        <w:tc>
          <w:tcPr>
            <w:tcW w:w="1102" w:type="dxa"/>
          </w:tcPr>
          <w:p w14:paraId="601F0DB8"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(0.4%)</w:t>
            </w:r>
          </w:p>
        </w:tc>
        <w:tc>
          <w:tcPr>
            <w:tcW w:w="1106" w:type="dxa"/>
          </w:tcPr>
          <w:p w14:paraId="225E2BD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238 (100.0%)</w:t>
            </w:r>
          </w:p>
        </w:tc>
      </w:tr>
      <w:tr w:rsidR="00F242A0" w14:paraId="44C67F11" w14:textId="77777777">
        <w:trPr>
          <w:trHeight w:val="289"/>
        </w:trPr>
        <w:tc>
          <w:tcPr>
            <w:tcW w:w="1442" w:type="dxa"/>
          </w:tcPr>
          <w:p w14:paraId="2EB14150"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612360A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253F77D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204 </w:t>
            </w:r>
            <w:r>
              <w:rPr>
                <w:rFonts w:ascii="Times New Roman" w:hAnsi="Times New Roman" w:cs="Times New Roman"/>
                <w:color w:val="000000"/>
                <w:sz w:val="21"/>
                <w:szCs w:val="21"/>
              </w:rPr>
              <w:br/>
            </w:r>
            <w:r>
              <w:rPr>
                <w:rFonts w:ascii="Times New Roman" w:hAnsi="Times New Roman" w:cs="Times New Roman"/>
                <w:color w:val="000000"/>
                <w:sz w:val="21"/>
                <w:szCs w:val="21"/>
              </w:rPr>
              <w:br/>
              <w:t>(52.0%)</w:t>
            </w:r>
          </w:p>
        </w:tc>
        <w:tc>
          <w:tcPr>
            <w:tcW w:w="1102" w:type="dxa"/>
          </w:tcPr>
          <w:p w14:paraId="0EE4CA5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7A3372F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22CFA97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13A4BB0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31A8E1D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36ED32E6"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r w:rsidR="00F242A0" w14:paraId="779C86CD" w14:textId="77777777">
        <w:trPr>
          <w:trHeight w:val="289"/>
        </w:trPr>
        <w:tc>
          <w:tcPr>
            <w:tcW w:w="1442" w:type="dxa"/>
          </w:tcPr>
          <w:p w14:paraId="0E057D08"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Marital Status</w:t>
            </w:r>
          </w:p>
        </w:tc>
        <w:tc>
          <w:tcPr>
            <w:tcW w:w="1101" w:type="dxa"/>
          </w:tcPr>
          <w:p w14:paraId="039A44D2"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504EE682"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7DEDE83B"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2AF32BED"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4DE8ECC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7BCF70CA"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6026FCED"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6" w:type="dxa"/>
          </w:tcPr>
          <w:p w14:paraId="52C2009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r>
      <w:tr w:rsidR="00F242A0" w14:paraId="066AB184" w14:textId="77777777">
        <w:trPr>
          <w:trHeight w:val="289"/>
        </w:trPr>
        <w:tc>
          <w:tcPr>
            <w:tcW w:w="1442" w:type="dxa"/>
          </w:tcPr>
          <w:p w14:paraId="4AEC554B"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Married</w:t>
            </w:r>
          </w:p>
        </w:tc>
        <w:tc>
          <w:tcPr>
            <w:tcW w:w="1101" w:type="dxa"/>
          </w:tcPr>
          <w:p w14:paraId="6790EA9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48 (24.2%)</w:t>
            </w:r>
          </w:p>
        </w:tc>
        <w:tc>
          <w:tcPr>
            <w:tcW w:w="1102" w:type="dxa"/>
          </w:tcPr>
          <w:p w14:paraId="3D84CCF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(51.5%)</w:t>
            </w:r>
          </w:p>
        </w:tc>
        <w:tc>
          <w:tcPr>
            <w:tcW w:w="1102" w:type="dxa"/>
          </w:tcPr>
          <w:p w14:paraId="2AB71FD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27 (13.6%)</w:t>
            </w:r>
          </w:p>
        </w:tc>
        <w:tc>
          <w:tcPr>
            <w:tcW w:w="1102" w:type="dxa"/>
          </w:tcPr>
          <w:p w14:paraId="4E4CDF88"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 (3.0%)</w:t>
            </w:r>
          </w:p>
        </w:tc>
        <w:tc>
          <w:tcPr>
            <w:tcW w:w="1102" w:type="dxa"/>
          </w:tcPr>
          <w:p w14:paraId="7628443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(3.5%)</w:t>
            </w:r>
          </w:p>
        </w:tc>
        <w:tc>
          <w:tcPr>
            <w:tcW w:w="1102" w:type="dxa"/>
          </w:tcPr>
          <w:p w14:paraId="01CEBE3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 (3.0%)</w:t>
            </w:r>
          </w:p>
        </w:tc>
        <w:tc>
          <w:tcPr>
            <w:tcW w:w="1102" w:type="dxa"/>
          </w:tcPr>
          <w:p w14:paraId="736406B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(1.0%)</w:t>
            </w:r>
          </w:p>
        </w:tc>
        <w:tc>
          <w:tcPr>
            <w:tcW w:w="1106" w:type="dxa"/>
          </w:tcPr>
          <w:p w14:paraId="5F637AC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198</w:t>
            </w:r>
          </w:p>
        </w:tc>
      </w:tr>
      <w:tr w:rsidR="00F242A0" w14:paraId="62B5257C" w14:textId="77777777">
        <w:trPr>
          <w:trHeight w:val="289"/>
        </w:trPr>
        <w:tc>
          <w:tcPr>
            <w:tcW w:w="1442" w:type="dxa"/>
          </w:tcPr>
          <w:p w14:paraId="4628BA6B"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Unmarried</w:t>
            </w:r>
          </w:p>
        </w:tc>
        <w:tc>
          <w:tcPr>
            <w:tcW w:w="1101" w:type="dxa"/>
          </w:tcPr>
          <w:p w14:paraId="23846DD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54 (27.8%) </w:t>
            </w:r>
            <w:r>
              <w:rPr>
                <w:rFonts w:ascii="Times New Roman" w:hAnsi="Times New Roman" w:cs="Times New Roman"/>
                <w:color w:val="000000"/>
                <w:sz w:val="21"/>
                <w:szCs w:val="21"/>
              </w:rPr>
              <w:br/>
            </w:r>
          </w:p>
        </w:tc>
        <w:tc>
          <w:tcPr>
            <w:tcW w:w="1102" w:type="dxa"/>
          </w:tcPr>
          <w:p w14:paraId="2A75C7B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(52.6%)</w:t>
            </w:r>
          </w:p>
        </w:tc>
        <w:tc>
          <w:tcPr>
            <w:tcW w:w="1102" w:type="dxa"/>
          </w:tcPr>
          <w:p w14:paraId="037A7FD6"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 (9.8%)</w:t>
            </w:r>
          </w:p>
        </w:tc>
        <w:tc>
          <w:tcPr>
            <w:tcW w:w="1102" w:type="dxa"/>
          </w:tcPr>
          <w:p w14:paraId="0D86E08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11 (5.7%)</w:t>
            </w:r>
          </w:p>
        </w:tc>
        <w:tc>
          <w:tcPr>
            <w:tcW w:w="1102" w:type="dxa"/>
          </w:tcPr>
          <w:p w14:paraId="0A5F6B5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(2.6%)</w:t>
            </w:r>
          </w:p>
        </w:tc>
        <w:tc>
          <w:tcPr>
            <w:tcW w:w="1102" w:type="dxa"/>
          </w:tcPr>
          <w:p w14:paraId="09A59E1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(1.5%)</w:t>
            </w:r>
          </w:p>
        </w:tc>
        <w:tc>
          <w:tcPr>
            <w:tcW w:w="1102" w:type="dxa"/>
          </w:tcPr>
          <w:p w14:paraId="31AF3FC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6" w:type="dxa"/>
          </w:tcPr>
          <w:p w14:paraId="2B2FC56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194 (100.0%)</w:t>
            </w:r>
          </w:p>
        </w:tc>
      </w:tr>
      <w:tr w:rsidR="00F242A0" w14:paraId="3D3B34DF" w14:textId="77777777">
        <w:trPr>
          <w:trHeight w:val="289"/>
        </w:trPr>
        <w:tc>
          <w:tcPr>
            <w:tcW w:w="1442" w:type="dxa"/>
          </w:tcPr>
          <w:p w14:paraId="5A6BE5CE"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785BEEE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79E99A7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11D7B30E"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1AFCE24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728073A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44E10B8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0883453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2F03BB7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bl>
    <w:p w14:paraId="23681FC9" w14:textId="77777777" w:rsidR="00F242A0" w:rsidRDefault="00F242A0">
      <w:pPr>
        <w:autoSpaceDE w:val="0"/>
        <w:autoSpaceDN w:val="0"/>
        <w:adjustRightInd w:val="0"/>
        <w:spacing w:after="0" w:line="400" w:lineRule="atLeast"/>
        <w:rPr>
          <w:rFonts w:ascii="Times New Roman" w:hAnsi="Times New Roman" w:cs="Times New Roman"/>
          <w:b/>
          <w:sz w:val="24"/>
          <w:szCs w:val="24"/>
        </w:rPr>
      </w:pPr>
    </w:p>
    <w:p w14:paraId="6C983483" w14:textId="77777777" w:rsidR="00F242A0" w:rsidRDefault="00F242A0">
      <w:pPr>
        <w:autoSpaceDE w:val="0"/>
        <w:autoSpaceDN w:val="0"/>
        <w:adjustRightInd w:val="0"/>
        <w:spacing w:after="0" w:line="400" w:lineRule="atLeast"/>
        <w:rPr>
          <w:rFonts w:ascii="Times New Roman" w:hAnsi="Times New Roman" w:cs="Times New Roman"/>
          <w:b/>
          <w:sz w:val="24"/>
          <w:szCs w:val="24"/>
        </w:rPr>
      </w:pPr>
    </w:p>
    <w:p w14:paraId="26238545" w14:textId="77777777" w:rsidR="00F242A0" w:rsidRDefault="004A190B">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b/>
          <w:sz w:val="24"/>
          <w:szCs w:val="24"/>
        </w:rPr>
        <w:t xml:space="preserve">Demographic Distribution of </w:t>
      </w:r>
      <w:proofErr w:type="spellStart"/>
      <w:r>
        <w:rPr>
          <w:rFonts w:ascii="Times New Roman" w:hAnsi="Times New Roman" w:cs="Times New Roman"/>
          <w:b/>
          <w:sz w:val="24"/>
          <w:szCs w:val="24"/>
        </w:rPr>
        <w:t>Haemoglobin</w:t>
      </w:r>
      <w:proofErr w:type="spellEnd"/>
      <w:r>
        <w:rPr>
          <w:rFonts w:ascii="Times New Roman" w:hAnsi="Times New Roman" w:cs="Times New Roman"/>
          <w:b/>
          <w:sz w:val="24"/>
          <w:szCs w:val="24"/>
        </w:rPr>
        <w:t xml:space="preserve"> Genotype </w:t>
      </w:r>
    </w:p>
    <w:p w14:paraId="3BBC6F53" w14:textId="77777777" w:rsidR="00F242A0" w:rsidRDefault="004A190B">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Table 2: Demographic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in the Study Population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867"/>
        <w:gridCol w:w="2407"/>
        <w:gridCol w:w="1316"/>
        <w:gridCol w:w="1874"/>
      </w:tblGrid>
      <w:tr w:rsidR="00F242A0" w14:paraId="2AE5C7FD" w14:textId="77777777">
        <w:tc>
          <w:tcPr>
            <w:tcW w:w="1915" w:type="dxa"/>
            <w:tcBorders>
              <w:top w:val="single" w:sz="4" w:space="0" w:color="auto"/>
              <w:bottom w:val="nil"/>
            </w:tcBorders>
          </w:tcPr>
          <w:p w14:paraId="47079307" w14:textId="77777777" w:rsidR="00F242A0" w:rsidRDefault="004A190B">
            <w:pPr>
              <w:autoSpaceDE w:val="0"/>
              <w:autoSpaceDN w:val="0"/>
              <w:adjustRightInd w:val="0"/>
              <w:spacing w:after="0"/>
              <w:rPr>
                <w:rFonts w:ascii="Times New Roman" w:hAnsi="Times New Roman" w:cs="Times New Roman"/>
                <w:b/>
              </w:rPr>
            </w:pPr>
            <w:r>
              <w:rPr>
                <w:rFonts w:ascii="Times New Roman" w:hAnsi="Times New Roman" w:cs="Times New Roman"/>
                <w:b/>
              </w:rPr>
              <w:t>Demographics</w:t>
            </w:r>
          </w:p>
        </w:tc>
        <w:tc>
          <w:tcPr>
            <w:tcW w:w="1915" w:type="dxa"/>
            <w:tcBorders>
              <w:top w:val="single" w:sz="4" w:space="0" w:color="auto"/>
              <w:bottom w:val="single" w:sz="4" w:space="0" w:color="auto"/>
            </w:tcBorders>
          </w:tcPr>
          <w:p w14:paraId="08A03F26" w14:textId="77777777" w:rsidR="00F242A0" w:rsidRDefault="004A190B">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Normal Hb</w:t>
            </w:r>
          </w:p>
        </w:tc>
        <w:tc>
          <w:tcPr>
            <w:tcW w:w="3830" w:type="dxa"/>
            <w:gridSpan w:val="2"/>
            <w:tcBorders>
              <w:top w:val="single" w:sz="4" w:space="0" w:color="auto"/>
              <w:bottom w:val="nil"/>
            </w:tcBorders>
          </w:tcPr>
          <w:p w14:paraId="06A352D9" w14:textId="77777777" w:rsidR="00F242A0" w:rsidRDefault="004A190B">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 xml:space="preserve">           </w:t>
            </w:r>
            <w:proofErr w:type="spellStart"/>
            <w:r>
              <w:rPr>
                <w:rFonts w:ascii="Times New Roman" w:hAnsi="Times New Roman" w:cs="Times New Roman"/>
                <w:b/>
                <w:color w:val="000000"/>
              </w:rPr>
              <w:t>Haemoglobin</w:t>
            </w:r>
            <w:proofErr w:type="spellEnd"/>
            <w:r>
              <w:rPr>
                <w:rFonts w:ascii="Times New Roman" w:hAnsi="Times New Roman" w:cs="Times New Roman"/>
                <w:b/>
                <w:color w:val="000000"/>
              </w:rPr>
              <w:t xml:space="preserve"> Variants</w:t>
            </w:r>
          </w:p>
        </w:tc>
        <w:tc>
          <w:tcPr>
            <w:tcW w:w="1916" w:type="dxa"/>
            <w:tcBorders>
              <w:top w:val="single" w:sz="4" w:space="0" w:color="auto"/>
              <w:bottom w:val="nil"/>
            </w:tcBorders>
          </w:tcPr>
          <w:p w14:paraId="42AE1198" w14:textId="77777777" w:rsidR="00F242A0" w:rsidRDefault="004A190B">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Total</w:t>
            </w:r>
          </w:p>
        </w:tc>
      </w:tr>
      <w:tr w:rsidR="00F242A0" w14:paraId="23EA8B34" w14:textId="77777777">
        <w:tc>
          <w:tcPr>
            <w:tcW w:w="1915" w:type="dxa"/>
            <w:tcBorders>
              <w:top w:val="nil"/>
              <w:bottom w:val="single" w:sz="4" w:space="0" w:color="auto"/>
            </w:tcBorders>
          </w:tcPr>
          <w:p w14:paraId="4C361199" w14:textId="77777777" w:rsidR="00F242A0" w:rsidRDefault="00F242A0">
            <w:pPr>
              <w:autoSpaceDE w:val="0"/>
              <w:autoSpaceDN w:val="0"/>
              <w:adjustRightInd w:val="0"/>
              <w:spacing w:after="0"/>
              <w:rPr>
                <w:rFonts w:ascii="Times New Roman" w:hAnsi="Times New Roman" w:cs="Times New Roman"/>
                <w:b/>
              </w:rPr>
            </w:pPr>
          </w:p>
        </w:tc>
        <w:tc>
          <w:tcPr>
            <w:tcW w:w="1915" w:type="dxa"/>
            <w:tcBorders>
              <w:top w:val="single" w:sz="4" w:space="0" w:color="auto"/>
              <w:bottom w:val="single" w:sz="4" w:space="0" w:color="auto"/>
            </w:tcBorders>
          </w:tcPr>
          <w:p w14:paraId="514DE882" w14:textId="77777777" w:rsidR="00F242A0" w:rsidRDefault="004A190B">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AA</w:t>
            </w:r>
          </w:p>
        </w:tc>
        <w:tc>
          <w:tcPr>
            <w:tcW w:w="2488" w:type="dxa"/>
            <w:tcBorders>
              <w:top w:val="nil"/>
              <w:bottom w:val="single" w:sz="4" w:space="0" w:color="auto"/>
            </w:tcBorders>
          </w:tcPr>
          <w:p w14:paraId="34DD9978" w14:textId="77777777" w:rsidR="00F242A0" w:rsidRDefault="004A190B">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 xml:space="preserve">               AS</w:t>
            </w:r>
          </w:p>
        </w:tc>
        <w:tc>
          <w:tcPr>
            <w:tcW w:w="1342" w:type="dxa"/>
            <w:tcBorders>
              <w:top w:val="single" w:sz="4" w:space="0" w:color="auto"/>
              <w:bottom w:val="single" w:sz="4" w:space="0" w:color="auto"/>
            </w:tcBorders>
          </w:tcPr>
          <w:p w14:paraId="34556D0E" w14:textId="77777777" w:rsidR="00F242A0" w:rsidRDefault="004A190B">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SS</w:t>
            </w:r>
          </w:p>
        </w:tc>
        <w:tc>
          <w:tcPr>
            <w:tcW w:w="1916" w:type="dxa"/>
            <w:tcBorders>
              <w:top w:val="nil"/>
              <w:bottom w:val="single" w:sz="4" w:space="0" w:color="auto"/>
            </w:tcBorders>
          </w:tcPr>
          <w:p w14:paraId="4C459178" w14:textId="77777777" w:rsidR="00F242A0" w:rsidRDefault="00F242A0">
            <w:pPr>
              <w:autoSpaceDE w:val="0"/>
              <w:autoSpaceDN w:val="0"/>
              <w:adjustRightInd w:val="0"/>
              <w:spacing w:after="0"/>
              <w:rPr>
                <w:rFonts w:ascii="Times New Roman" w:hAnsi="Times New Roman" w:cs="Times New Roman"/>
                <w:b/>
                <w:color w:val="000000"/>
              </w:rPr>
            </w:pPr>
          </w:p>
        </w:tc>
      </w:tr>
      <w:tr w:rsidR="00F242A0" w14:paraId="3679274E" w14:textId="77777777">
        <w:tc>
          <w:tcPr>
            <w:tcW w:w="1915" w:type="dxa"/>
            <w:tcBorders>
              <w:top w:val="single" w:sz="4" w:space="0" w:color="auto"/>
              <w:bottom w:val="nil"/>
            </w:tcBorders>
            <w:vAlign w:val="center"/>
          </w:tcPr>
          <w:p w14:paraId="77EAFEDD" w14:textId="77777777" w:rsidR="00F242A0" w:rsidRDefault="004A190B">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b/>
                <w:bCs/>
                <w:color w:val="000000"/>
              </w:rPr>
              <w:t>Age</w:t>
            </w:r>
          </w:p>
        </w:tc>
        <w:tc>
          <w:tcPr>
            <w:tcW w:w="1915" w:type="dxa"/>
            <w:tcBorders>
              <w:top w:val="single" w:sz="4" w:space="0" w:color="auto"/>
              <w:bottom w:val="nil"/>
            </w:tcBorders>
          </w:tcPr>
          <w:p w14:paraId="0D404E3D" w14:textId="77777777" w:rsidR="00F242A0" w:rsidRDefault="00F242A0">
            <w:pPr>
              <w:autoSpaceDE w:val="0"/>
              <w:autoSpaceDN w:val="0"/>
              <w:adjustRightInd w:val="0"/>
              <w:spacing w:after="0"/>
              <w:ind w:left="60" w:right="60"/>
              <w:jc w:val="center"/>
              <w:rPr>
                <w:rFonts w:ascii="Times New Roman" w:hAnsi="Times New Roman" w:cs="Times New Roman"/>
                <w:color w:val="000000"/>
              </w:rPr>
            </w:pPr>
          </w:p>
        </w:tc>
        <w:tc>
          <w:tcPr>
            <w:tcW w:w="2488" w:type="dxa"/>
            <w:tcBorders>
              <w:top w:val="single" w:sz="4" w:space="0" w:color="auto"/>
              <w:bottom w:val="nil"/>
            </w:tcBorders>
          </w:tcPr>
          <w:p w14:paraId="770627A3"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c>
          <w:tcPr>
            <w:tcW w:w="1342" w:type="dxa"/>
            <w:tcBorders>
              <w:top w:val="single" w:sz="4" w:space="0" w:color="auto"/>
              <w:bottom w:val="nil"/>
            </w:tcBorders>
          </w:tcPr>
          <w:p w14:paraId="422BA23C" w14:textId="77777777" w:rsidR="00F242A0" w:rsidRDefault="00F242A0">
            <w:pPr>
              <w:autoSpaceDE w:val="0"/>
              <w:autoSpaceDN w:val="0"/>
              <w:adjustRightInd w:val="0"/>
              <w:spacing w:after="0"/>
              <w:ind w:right="60"/>
              <w:jc w:val="center"/>
              <w:rPr>
                <w:rFonts w:ascii="Times New Roman" w:hAnsi="Times New Roman" w:cs="Times New Roman"/>
                <w:color w:val="000000"/>
              </w:rPr>
            </w:pPr>
          </w:p>
        </w:tc>
        <w:tc>
          <w:tcPr>
            <w:tcW w:w="1916" w:type="dxa"/>
            <w:tcBorders>
              <w:top w:val="single" w:sz="4" w:space="0" w:color="auto"/>
              <w:bottom w:val="nil"/>
            </w:tcBorders>
          </w:tcPr>
          <w:p w14:paraId="1EFBA1C1"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r>
      <w:tr w:rsidR="00F242A0" w14:paraId="53EBE494" w14:textId="77777777">
        <w:tc>
          <w:tcPr>
            <w:tcW w:w="1915" w:type="dxa"/>
            <w:tcBorders>
              <w:top w:val="nil"/>
            </w:tcBorders>
            <w:vAlign w:val="center"/>
          </w:tcPr>
          <w:p w14:paraId="60E5AC08" w14:textId="77777777" w:rsidR="00F242A0" w:rsidRDefault="004A190B">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color w:val="000000"/>
              </w:rPr>
              <w:lastRenderedPageBreak/>
              <w:t>Less than 40years</w:t>
            </w:r>
          </w:p>
        </w:tc>
        <w:tc>
          <w:tcPr>
            <w:tcW w:w="1915" w:type="dxa"/>
            <w:tcBorders>
              <w:top w:val="nil"/>
            </w:tcBorders>
          </w:tcPr>
          <w:p w14:paraId="6605A0CC"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228 (75.7%)</w:t>
            </w:r>
          </w:p>
        </w:tc>
        <w:tc>
          <w:tcPr>
            <w:tcW w:w="2488" w:type="dxa"/>
            <w:tcBorders>
              <w:top w:val="nil"/>
            </w:tcBorders>
          </w:tcPr>
          <w:p w14:paraId="00F68F8D"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73 (24.3%)</w:t>
            </w:r>
          </w:p>
        </w:tc>
        <w:tc>
          <w:tcPr>
            <w:tcW w:w="1342" w:type="dxa"/>
            <w:tcBorders>
              <w:top w:val="nil"/>
            </w:tcBorders>
          </w:tcPr>
          <w:p w14:paraId="0DEDB4BF"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Borders>
              <w:top w:val="nil"/>
            </w:tcBorders>
          </w:tcPr>
          <w:p w14:paraId="733BB06B"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301 (100.0%)</w:t>
            </w:r>
          </w:p>
        </w:tc>
      </w:tr>
      <w:tr w:rsidR="00F242A0" w14:paraId="48A4A24F" w14:textId="77777777">
        <w:tc>
          <w:tcPr>
            <w:tcW w:w="1915" w:type="dxa"/>
            <w:vAlign w:val="center"/>
          </w:tcPr>
          <w:p w14:paraId="1BACF2FC" w14:textId="77777777" w:rsidR="00F242A0" w:rsidRDefault="004A190B">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color w:val="000000"/>
              </w:rPr>
              <w:t>40years and Above</w:t>
            </w:r>
          </w:p>
        </w:tc>
        <w:tc>
          <w:tcPr>
            <w:tcW w:w="1915" w:type="dxa"/>
          </w:tcPr>
          <w:p w14:paraId="54F272A1"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69 (75.8%)</w:t>
            </w:r>
          </w:p>
        </w:tc>
        <w:tc>
          <w:tcPr>
            <w:tcW w:w="2488" w:type="dxa"/>
          </w:tcPr>
          <w:p w14:paraId="74247675"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22 (24.2%)</w:t>
            </w:r>
          </w:p>
        </w:tc>
        <w:tc>
          <w:tcPr>
            <w:tcW w:w="1342" w:type="dxa"/>
          </w:tcPr>
          <w:p w14:paraId="35E15CE4"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21B5705F"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91 (100.0%)</w:t>
            </w:r>
          </w:p>
        </w:tc>
      </w:tr>
      <w:tr w:rsidR="00F242A0" w14:paraId="27DE3C7C" w14:textId="77777777">
        <w:tc>
          <w:tcPr>
            <w:tcW w:w="1915" w:type="dxa"/>
          </w:tcPr>
          <w:p w14:paraId="6EF39A92"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127DC622"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7E26B9D3"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 xml:space="preserve">95 (24.2%) </w:t>
            </w:r>
          </w:p>
        </w:tc>
        <w:tc>
          <w:tcPr>
            <w:tcW w:w="1342" w:type="dxa"/>
          </w:tcPr>
          <w:p w14:paraId="2EB3CBB0"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4299F87A"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6A9E0AC7" w14:textId="77777777">
        <w:tc>
          <w:tcPr>
            <w:tcW w:w="1915" w:type="dxa"/>
          </w:tcPr>
          <w:p w14:paraId="13C3248F" w14:textId="77777777" w:rsidR="00F242A0" w:rsidRDefault="004A190B">
            <w:pPr>
              <w:autoSpaceDE w:val="0"/>
              <w:autoSpaceDN w:val="0"/>
              <w:adjustRightInd w:val="0"/>
              <w:spacing w:after="0"/>
              <w:rPr>
                <w:rFonts w:ascii="Times New Roman" w:hAnsi="Times New Roman" w:cs="Times New Roman"/>
                <w:b/>
              </w:rPr>
            </w:pPr>
            <w:r>
              <w:rPr>
                <w:rFonts w:ascii="Times New Roman" w:hAnsi="Times New Roman" w:cs="Times New Roman"/>
                <w:b/>
              </w:rPr>
              <w:t>Sex</w:t>
            </w:r>
          </w:p>
        </w:tc>
        <w:tc>
          <w:tcPr>
            <w:tcW w:w="1915" w:type="dxa"/>
          </w:tcPr>
          <w:p w14:paraId="405E4EAD" w14:textId="77777777" w:rsidR="00F242A0" w:rsidRDefault="00F242A0">
            <w:pPr>
              <w:autoSpaceDE w:val="0"/>
              <w:autoSpaceDN w:val="0"/>
              <w:adjustRightInd w:val="0"/>
              <w:spacing w:after="0"/>
              <w:jc w:val="center"/>
              <w:rPr>
                <w:rFonts w:ascii="Times New Roman" w:hAnsi="Times New Roman" w:cs="Times New Roman"/>
              </w:rPr>
            </w:pPr>
          </w:p>
        </w:tc>
        <w:tc>
          <w:tcPr>
            <w:tcW w:w="2488" w:type="dxa"/>
          </w:tcPr>
          <w:p w14:paraId="7CFD1CAF" w14:textId="77777777" w:rsidR="00F242A0" w:rsidRDefault="00F242A0">
            <w:pPr>
              <w:autoSpaceDE w:val="0"/>
              <w:autoSpaceDN w:val="0"/>
              <w:adjustRightInd w:val="0"/>
              <w:spacing w:after="0"/>
              <w:rPr>
                <w:rFonts w:ascii="Times New Roman" w:hAnsi="Times New Roman" w:cs="Times New Roman"/>
              </w:rPr>
            </w:pPr>
          </w:p>
        </w:tc>
        <w:tc>
          <w:tcPr>
            <w:tcW w:w="1342" w:type="dxa"/>
          </w:tcPr>
          <w:p w14:paraId="15425D9D" w14:textId="77777777" w:rsidR="00F242A0" w:rsidRDefault="00F242A0">
            <w:pPr>
              <w:autoSpaceDE w:val="0"/>
              <w:autoSpaceDN w:val="0"/>
              <w:adjustRightInd w:val="0"/>
              <w:spacing w:after="0"/>
              <w:jc w:val="center"/>
              <w:rPr>
                <w:rFonts w:ascii="Times New Roman" w:hAnsi="Times New Roman" w:cs="Times New Roman"/>
              </w:rPr>
            </w:pPr>
          </w:p>
        </w:tc>
        <w:tc>
          <w:tcPr>
            <w:tcW w:w="1916" w:type="dxa"/>
          </w:tcPr>
          <w:p w14:paraId="2E0E0336" w14:textId="77777777" w:rsidR="00F242A0" w:rsidRDefault="00F242A0">
            <w:pPr>
              <w:autoSpaceDE w:val="0"/>
              <w:autoSpaceDN w:val="0"/>
              <w:adjustRightInd w:val="0"/>
              <w:spacing w:after="0"/>
              <w:rPr>
                <w:rFonts w:ascii="Times New Roman" w:hAnsi="Times New Roman" w:cs="Times New Roman"/>
              </w:rPr>
            </w:pPr>
          </w:p>
        </w:tc>
      </w:tr>
      <w:tr w:rsidR="00F242A0" w14:paraId="046D3077" w14:textId="77777777">
        <w:tc>
          <w:tcPr>
            <w:tcW w:w="1915" w:type="dxa"/>
          </w:tcPr>
          <w:p w14:paraId="4C105E2B"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rPr>
              <w:t>Male</w:t>
            </w:r>
          </w:p>
        </w:tc>
        <w:tc>
          <w:tcPr>
            <w:tcW w:w="1915" w:type="dxa"/>
          </w:tcPr>
          <w:p w14:paraId="2AF96459"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113 (73.4%)</w:t>
            </w:r>
          </w:p>
        </w:tc>
        <w:tc>
          <w:tcPr>
            <w:tcW w:w="2488" w:type="dxa"/>
          </w:tcPr>
          <w:p w14:paraId="3C8B842C"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41 (26.6%)</w:t>
            </w:r>
          </w:p>
        </w:tc>
        <w:tc>
          <w:tcPr>
            <w:tcW w:w="1342" w:type="dxa"/>
          </w:tcPr>
          <w:p w14:paraId="4F5A5DA8"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8C7CF6B"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154 (100.0%)</w:t>
            </w:r>
          </w:p>
        </w:tc>
      </w:tr>
      <w:tr w:rsidR="00F242A0" w14:paraId="36349E91" w14:textId="77777777">
        <w:tc>
          <w:tcPr>
            <w:tcW w:w="1915" w:type="dxa"/>
          </w:tcPr>
          <w:p w14:paraId="6BE8EA9E"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rPr>
              <w:t>Female</w:t>
            </w:r>
          </w:p>
        </w:tc>
        <w:tc>
          <w:tcPr>
            <w:tcW w:w="1915" w:type="dxa"/>
          </w:tcPr>
          <w:p w14:paraId="617DA1BD"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184 (77.3%)</w:t>
            </w:r>
          </w:p>
        </w:tc>
        <w:tc>
          <w:tcPr>
            <w:tcW w:w="2488" w:type="dxa"/>
          </w:tcPr>
          <w:p w14:paraId="2BB2B0B2"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54 (22.7%)</w:t>
            </w:r>
          </w:p>
        </w:tc>
        <w:tc>
          <w:tcPr>
            <w:tcW w:w="1342" w:type="dxa"/>
          </w:tcPr>
          <w:p w14:paraId="013158C3"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D26D7E0"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238 (100.0%)</w:t>
            </w:r>
          </w:p>
        </w:tc>
      </w:tr>
      <w:tr w:rsidR="00F242A0" w14:paraId="3909C280" w14:textId="77777777">
        <w:tc>
          <w:tcPr>
            <w:tcW w:w="1915" w:type="dxa"/>
          </w:tcPr>
          <w:p w14:paraId="1BB3FF17"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634DC3BC"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395AEDD8"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(22.7%)</w:t>
            </w:r>
          </w:p>
        </w:tc>
        <w:tc>
          <w:tcPr>
            <w:tcW w:w="1342" w:type="dxa"/>
          </w:tcPr>
          <w:p w14:paraId="70635C8B"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2EE241F9"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050134C9" w14:textId="77777777">
        <w:tc>
          <w:tcPr>
            <w:tcW w:w="1915" w:type="dxa"/>
          </w:tcPr>
          <w:p w14:paraId="4677888F" w14:textId="77777777" w:rsidR="00F242A0" w:rsidRDefault="004A190B">
            <w:pPr>
              <w:autoSpaceDE w:val="0"/>
              <w:autoSpaceDN w:val="0"/>
              <w:adjustRightInd w:val="0"/>
              <w:spacing w:after="0"/>
              <w:rPr>
                <w:rFonts w:ascii="Times New Roman" w:hAnsi="Times New Roman" w:cs="Times New Roman"/>
                <w:b/>
              </w:rPr>
            </w:pPr>
            <w:r>
              <w:rPr>
                <w:rFonts w:ascii="Times New Roman" w:hAnsi="Times New Roman" w:cs="Times New Roman"/>
                <w:b/>
              </w:rPr>
              <w:t>Marital Status</w:t>
            </w:r>
          </w:p>
        </w:tc>
        <w:tc>
          <w:tcPr>
            <w:tcW w:w="1915" w:type="dxa"/>
          </w:tcPr>
          <w:p w14:paraId="72BEAA8A" w14:textId="77777777" w:rsidR="00F242A0" w:rsidRDefault="00F242A0">
            <w:pPr>
              <w:autoSpaceDE w:val="0"/>
              <w:autoSpaceDN w:val="0"/>
              <w:adjustRightInd w:val="0"/>
              <w:spacing w:after="0"/>
              <w:jc w:val="center"/>
              <w:rPr>
                <w:rFonts w:ascii="Times New Roman" w:hAnsi="Times New Roman" w:cs="Times New Roman"/>
              </w:rPr>
            </w:pPr>
          </w:p>
        </w:tc>
        <w:tc>
          <w:tcPr>
            <w:tcW w:w="2488" w:type="dxa"/>
          </w:tcPr>
          <w:p w14:paraId="17A1731C" w14:textId="77777777" w:rsidR="00F242A0" w:rsidRDefault="00F242A0">
            <w:pPr>
              <w:autoSpaceDE w:val="0"/>
              <w:autoSpaceDN w:val="0"/>
              <w:adjustRightInd w:val="0"/>
              <w:spacing w:after="0"/>
              <w:rPr>
                <w:rFonts w:ascii="Times New Roman" w:hAnsi="Times New Roman" w:cs="Times New Roman"/>
              </w:rPr>
            </w:pPr>
          </w:p>
        </w:tc>
        <w:tc>
          <w:tcPr>
            <w:tcW w:w="1342" w:type="dxa"/>
          </w:tcPr>
          <w:p w14:paraId="27C9C021" w14:textId="77777777" w:rsidR="00F242A0" w:rsidRDefault="00F242A0">
            <w:pPr>
              <w:autoSpaceDE w:val="0"/>
              <w:autoSpaceDN w:val="0"/>
              <w:adjustRightInd w:val="0"/>
              <w:spacing w:after="0"/>
              <w:jc w:val="center"/>
              <w:rPr>
                <w:rFonts w:ascii="Times New Roman" w:hAnsi="Times New Roman" w:cs="Times New Roman"/>
              </w:rPr>
            </w:pPr>
          </w:p>
        </w:tc>
        <w:tc>
          <w:tcPr>
            <w:tcW w:w="1916" w:type="dxa"/>
          </w:tcPr>
          <w:p w14:paraId="01DC8C5B" w14:textId="77777777" w:rsidR="00F242A0" w:rsidRDefault="00F242A0">
            <w:pPr>
              <w:autoSpaceDE w:val="0"/>
              <w:autoSpaceDN w:val="0"/>
              <w:adjustRightInd w:val="0"/>
              <w:spacing w:after="0"/>
              <w:rPr>
                <w:rFonts w:ascii="Times New Roman" w:hAnsi="Times New Roman" w:cs="Times New Roman"/>
              </w:rPr>
            </w:pPr>
          </w:p>
        </w:tc>
      </w:tr>
      <w:tr w:rsidR="00F242A0" w14:paraId="1536B698" w14:textId="77777777">
        <w:tc>
          <w:tcPr>
            <w:tcW w:w="1915" w:type="dxa"/>
          </w:tcPr>
          <w:p w14:paraId="1A52BF91"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rPr>
              <w:t>Married</w:t>
            </w:r>
          </w:p>
        </w:tc>
        <w:tc>
          <w:tcPr>
            <w:tcW w:w="1915" w:type="dxa"/>
          </w:tcPr>
          <w:p w14:paraId="738BDF27"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149 (75.3%)</w:t>
            </w:r>
          </w:p>
        </w:tc>
        <w:tc>
          <w:tcPr>
            <w:tcW w:w="2488" w:type="dxa"/>
          </w:tcPr>
          <w:p w14:paraId="57FCC2AE"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49 (24.7%)</w:t>
            </w:r>
          </w:p>
        </w:tc>
        <w:tc>
          <w:tcPr>
            <w:tcW w:w="1342" w:type="dxa"/>
          </w:tcPr>
          <w:p w14:paraId="16C577D6"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3093126D"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198 (100.0%)</w:t>
            </w:r>
          </w:p>
        </w:tc>
      </w:tr>
      <w:tr w:rsidR="00F242A0" w14:paraId="0A3DEE85" w14:textId="77777777">
        <w:tc>
          <w:tcPr>
            <w:tcW w:w="1915" w:type="dxa"/>
          </w:tcPr>
          <w:p w14:paraId="6F079445"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rPr>
              <w:t>Unmarried</w:t>
            </w:r>
          </w:p>
        </w:tc>
        <w:tc>
          <w:tcPr>
            <w:tcW w:w="1915" w:type="dxa"/>
          </w:tcPr>
          <w:p w14:paraId="10D01DF8"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148 (76.3%)</w:t>
            </w:r>
          </w:p>
        </w:tc>
        <w:tc>
          <w:tcPr>
            <w:tcW w:w="2488" w:type="dxa"/>
          </w:tcPr>
          <w:p w14:paraId="1B1A7329"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46 (23.7%)</w:t>
            </w:r>
          </w:p>
        </w:tc>
        <w:tc>
          <w:tcPr>
            <w:tcW w:w="1342" w:type="dxa"/>
          </w:tcPr>
          <w:p w14:paraId="60C0AAFC"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A6C5D23"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194 (100.0%)</w:t>
            </w:r>
          </w:p>
        </w:tc>
      </w:tr>
      <w:tr w:rsidR="00F242A0" w14:paraId="76ED49D5" w14:textId="77777777">
        <w:tc>
          <w:tcPr>
            <w:tcW w:w="1915" w:type="dxa"/>
          </w:tcPr>
          <w:p w14:paraId="04F41FE3"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24780A74"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2C35C674"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(24.2%)</w:t>
            </w:r>
          </w:p>
        </w:tc>
        <w:tc>
          <w:tcPr>
            <w:tcW w:w="1342" w:type="dxa"/>
          </w:tcPr>
          <w:p w14:paraId="260B2077"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13E94448"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3449CA53" w14:textId="77777777">
        <w:tc>
          <w:tcPr>
            <w:tcW w:w="1915" w:type="dxa"/>
          </w:tcPr>
          <w:p w14:paraId="08365BC1" w14:textId="77777777" w:rsidR="00F242A0" w:rsidRDefault="004A190B">
            <w:pPr>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Education</w:t>
            </w:r>
          </w:p>
        </w:tc>
        <w:tc>
          <w:tcPr>
            <w:tcW w:w="1915" w:type="dxa"/>
          </w:tcPr>
          <w:p w14:paraId="286AB9D4" w14:textId="77777777" w:rsidR="00F242A0" w:rsidRDefault="00F242A0">
            <w:pPr>
              <w:autoSpaceDE w:val="0"/>
              <w:autoSpaceDN w:val="0"/>
              <w:adjustRightInd w:val="0"/>
              <w:spacing w:after="0"/>
              <w:ind w:left="60" w:right="60"/>
              <w:jc w:val="center"/>
              <w:rPr>
                <w:rFonts w:ascii="Times New Roman" w:hAnsi="Times New Roman" w:cs="Times New Roman"/>
                <w:color w:val="000000"/>
              </w:rPr>
            </w:pPr>
          </w:p>
        </w:tc>
        <w:tc>
          <w:tcPr>
            <w:tcW w:w="2488" w:type="dxa"/>
          </w:tcPr>
          <w:p w14:paraId="2167D521"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c>
          <w:tcPr>
            <w:tcW w:w="1342" w:type="dxa"/>
          </w:tcPr>
          <w:p w14:paraId="27682809" w14:textId="77777777" w:rsidR="00F242A0" w:rsidRDefault="00F242A0">
            <w:pPr>
              <w:autoSpaceDE w:val="0"/>
              <w:autoSpaceDN w:val="0"/>
              <w:adjustRightInd w:val="0"/>
              <w:spacing w:after="0"/>
              <w:ind w:right="60"/>
              <w:jc w:val="center"/>
              <w:rPr>
                <w:rFonts w:ascii="Times New Roman" w:hAnsi="Times New Roman" w:cs="Times New Roman"/>
                <w:color w:val="000000"/>
              </w:rPr>
            </w:pPr>
          </w:p>
        </w:tc>
        <w:tc>
          <w:tcPr>
            <w:tcW w:w="1916" w:type="dxa"/>
          </w:tcPr>
          <w:p w14:paraId="61D49AF6"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r>
      <w:tr w:rsidR="00F242A0" w14:paraId="2369367A" w14:textId="77777777">
        <w:tc>
          <w:tcPr>
            <w:tcW w:w="1915" w:type="dxa"/>
          </w:tcPr>
          <w:p w14:paraId="0DE3AEC4" w14:textId="77777777" w:rsidR="00F242A0" w:rsidRDefault="004A190B">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Educated</w:t>
            </w:r>
          </w:p>
        </w:tc>
        <w:tc>
          <w:tcPr>
            <w:tcW w:w="1915" w:type="dxa"/>
          </w:tcPr>
          <w:p w14:paraId="72B45C28"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285 (76.2%)</w:t>
            </w:r>
          </w:p>
        </w:tc>
        <w:tc>
          <w:tcPr>
            <w:tcW w:w="2488" w:type="dxa"/>
          </w:tcPr>
          <w:p w14:paraId="0C406B43"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89 (23.8%)</w:t>
            </w:r>
          </w:p>
        </w:tc>
        <w:tc>
          <w:tcPr>
            <w:tcW w:w="1342" w:type="dxa"/>
          </w:tcPr>
          <w:p w14:paraId="1E5F9F37"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56BCB75"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374 (100.0%)</w:t>
            </w:r>
          </w:p>
        </w:tc>
      </w:tr>
      <w:tr w:rsidR="00F242A0" w14:paraId="13C27566" w14:textId="77777777">
        <w:tc>
          <w:tcPr>
            <w:tcW w:w="1915" w:type="dxa"/>
          </w:tcPr>
          <w:p w14:paraId="165B9A2C" w14:textId="77777777" w:rsidR="00F242A0" w:rsidRDefault="004A190B">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Uneducated</w:t>
            </w:r>
          </w:p>
        </w:tc>
        <w:tc>
          <w:tcPr>
            <w:tcW w:w="1915" w:type="dxa"/>
          </w:tcPr>
          <w:p w14:paraId="53365822"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12 (66.7%)</w:t>
            </w:r>
          </w:p>
        </w:tc>
        <w:tc>
          <w:tcPr>
            <w:tcW w:w="2488" w:type="dxa"/>
          </w:tcPr>
          <w:p w14:paraId="66DFFB7F"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6 (33.3%)</w:t>
            </w:r>
          </w:p>
        </w:tc>
        <w:tc>
          <w:tcPr>
            <w:tcW w:w="1342" w:type="dxa"/>
          </w:tcPr>
          <w:p w14:paraId="39C02D99"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1CA22718"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18 (100.0%)</w:t>
            </w:r>
          </w:p>
        </w:tc>
      </w:tr>
      <w:tr w:rsidR="00F242A0" w14:paraId="55B4284B" w14:textId="77777777">
        <w:tc>
          <w:tcPr>
            <w:tcW w:w="1915" w:type="dxa"/>
          </w:tcPr>
          <w:p w14:paraId="261E8DF1" w14:textId="77777777" w:rsidR="00F242A0" w:rsidRDefault="004A190B">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Total Examined</w:t>
            </w:r>
          </w:p>
        </w:tc>
        <w:tc>
          <w:tcPr>
            <w:tcW w:w="1915" w:type="dxa"/>
          </w:tcPr>
          <w:p w14:paraId="7D381FC1"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6D271AB5"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(24.2%)</w:t>
            </w:r>
          </w:p>
        </w:tc>
        <w:tc>
          <w:tcPr>
            <w:tcW w:w="1342" w:type="dxa"/>
          </w:tcPr>
          <w:p w14:paraId="10388BAA"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6452C09D"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bl>
    <w:p w14:paraId="7B7A963E"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28E2AFED"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1B83E40D" w14:textId="77777777" w:rsidR="00F242A0" w:rsidRDefault="004A190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3: Demographics and Blood Group Phenotypes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1671"/>
        <w:gridCol w:w="769"/>
        <w:gridCol w:w="1794"/>
        <w:gridCol w:w="1946"/>
      </w:tblGrid>
      <w:tr w:rsidR="00F242A0" w14:paraId="4A37751E" w14:textId="77777777">
        <w:tc>
          <w:tcPr>
            <w:tcW w:w="3258" w:type="dxa"/>
            <w:tcBorders>
              <w:top w:val="single" w:sz="4" w:space="0" w:color="auto"/>
              <w:bottom w:val="single" w:sz="4" w:space="0" w:color="auto"/>
            </w:tcBorders>
          </w:tcPr>
          <w:p w14:paraId="2DD08F1B"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Demographics</w:t>
            </w:r>
          </w:p>
        </w:tc>
        <w:tc>
          <w:tcPr>
            <w:tcW w:w="1710" w:type="dxa"/>
            <w:tcBorders>
              <w:top w:val="single" w:sz="4" w:space="0" w:color="auto"/>
              <w:bottom w:val="single" w:sz="4" w:space="0" w:color="auto"/>
            </w:tcBorders>
          </w:tcPr>
          <w:p w14:paraId="350EC41E"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Chi Square</w:t>
            </w:r>
          </w:p>
        </w:tc>
        <w:tc>
          <w:tcPr>
            <w:tcW w:w="784" w:type="dxa"/>
            <w:tcBorders>
              <w:top w:val="single" w:sz="4" w:space="0" w:color="auto"/>
              <w:bottom w:val="single" w:sz="4" w:space="0" w:color="auto"/>
            </w:tcBorders>
          </w:tcPr>
          <w:p w14:paraId="12868D6A"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Df</w:t>
            </w:r>
          </w:p>
        </w:tc>
        <w:tc>
          <w:tcPr>
            <w:tcW w:w="1843" w:type="dxa"/>
            <w:tcBorders>
              <w:top w:val="single" w:sz="4" w:space="0" w:color="auto"/>
              <w:bottom w:val="single" w:sz="4" w:space="0" w:color="auto"/>
            </w:tcBorders>
          </w:tcPr>
          <w:p w14:paraId="4EEBDF2B"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p-value</w:t>
            </w:r>
          </w:p>
        </w:tc>
        <w:tc>
          <w:tcPr>
            <w:tcW w:w="1981" w:type="dxa"/>
            <w:tcBorders>
              <w:top w:val="single" w:sz="4" w:space="0" w:color="auto"/>
              <w:bottom w:val="single" w:sz="4" w:space="0" w:color="auto"/>
            </w:tcBorders>
          </w:tcPr>
          <w:p w14:paraId="49DD4F49"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Remark</w:t>
            </w:r>
          </w:p>
        </w:tc>
      </w:tr>
      <w:tr w:rsidR="00F242A0" w14:paraId="0EFA753E" w14:textId="77777777">
        <w:tc>
          <w:tcPr>
            <w:tcW w:w="3258" w:type="dxa"/>
            <w:tcBorders>
              <w:top w:val="single" w:sz="4" w:space="0" w:color="auto"/>
            </w:tcBorders>
          </w:tcPr>
          <w:p w14:paraId="4C94D252"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Age</w:t>
            </w:r>
          </w:p>
        </w:tc>
        <w:tc>
          <w:tcPr>
            <w:tcW w:w="1710" w:type="dxa"/>
            <w:tcBorders>
              <w:top w:val="single" w:sz="4" w:space="0" w:color="auto"/>
            </w:tcBorders>
          </w:tcPr>
          <w:p w14:paraId="04556624"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784" w:type="dxa"/>
            <w:tcBorders>
              <w:top w:val="single" w:sz="4" w:space="0" w:color="auto"/>
            </w:tcBorders>
          </w:tcPr>
          <w:p w14:paraId="5B3C1817"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Borders>
              <w:top w:val="single" w:sz="4" w:space="0" w:color="auto"/>
            </w:tcBorders>
          </w:tcPr>
          <w:p w14:paraId="2B752038"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0.99</w:t>
            </w:r>
          </w:p>
        </w:tc>
        <w:tc>
          <w:tcPr>
            <w:tcW w:w="1981" w:type="dxa"/>
            <w:tcBorders>
              <w:top w:val="single" w:sz="4" w:space="0" w:color="auto"/>
            </w:tcBorders>
          </w:tcPr>
          <w:p w14:paraId="4761D378"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19465043" w14:textId="77777777">
        <w:tc>
          <w:tcPr>
            <w:tcW w:w="3258" w:type="dxa"/>
          </w:tcPr>
          <w:p w14:paraId="39708C69"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Sex</w:t>
            </w:r>
          </w:p>
        </w:tc>
        <w:tc>
          <w:tcPr>
            <w:tcW w:w="1710" w:type="dxa"/>
          </w:tcPr>
          <w:p w14:paraId="2DC77D86"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.788</w:t>
            </w:r>
          </w:p>
        </w:tc>
        <w:tc>
          <w:tcPr>
            <w:tcW w:w="784" w:type="dxa"/>
          </w:tcPr>
          <w:p w14:paraId="59274E4D"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53F3CAE5"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0.38</w:t>
            </w:r>
          </w:p>
        </w:tc>
        <w:tc>
          <w:tcPr>
            <w:tcW w:w="1981" w:type="dxa"/>
          </w:tcPr>
          <w:p w14:paraId="4ABB94BF"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5B26CA24" w14:textId="77777777">
        <w:tc>
          <w:tcPr>
            <w:tcW w:w="3258" w:type="dxa"/>
          </w:tcPr>
          <w:p w14:paraId="3981CAE5"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Marital Status</w:t>
            </w:r>
          </w:p>
        </w:tc>
        <w:tc>
          <w:tcPr>
            <w:tcW w:w="1710" w:type="dxa"/>
          </w:tcPr>
          <w:p w14:paraId="435181A4"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.057</w:t>
            </w:r>
          </w:p>
        </w:tc>
        <w:tc>
          <w:tcPr>
            <w:tcW w:w="784" w:type="dxa"/>
          </w:tcPr>
          <w:p w14:paraId="28E7513D"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4D2450C6"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0.81</w:t>
            </w:r>
          </w:p>
        </w:tc>
        <w:tc>
          <w:tcPr>
            <w:tcW w:w="1981" w:type="dxa"/>
          </w:tcPr>
          <w:p w14:paraId="053B9DF1"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13843264" w14:textId="77777777">
        <w:tc>
          <w:tcPr>
            <w:tcW w:w="3258" w:type="dxa"/>
          </w:tcPr>
          <w:p w14:paraId="7A25ABA1"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Education</w:t>
            </w:r>
          </w:p>
        </w:tc>
        <w:tc>
          <w:tcPr>
            <w:tcW w:w="1710" w:type="dxa"/>
          </w:tcPr>
          <w:p w14:paraId="1236368D"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.851</w:t>
            </w:r>
          </w:p>
        </w:tc>
        <w:tc>
          <w:tcPr>
            <w:tcW w:w="784" w:type="dxa"/>
          </w:tcPr>
          <w:p w14:paraId="44D78AD3"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1BF5A50F"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0.36</w:t>
            </w:r>
          </w:p>
        </w:tc>
        <w:tc>
          <w:tcPr>
            <w:tcW w:w="1981" w:type="dxa"/>
          </w:tcPr>
          <w:p w14:paraId="39C9F336"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bl>
    <w:p w14:paraId="518DDCA7"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4A56C098" w14:textId="77777777" w:rsidR="00F242A0" w:rsidRDefault="004A190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4: Demographics and </w:t>
      </w:r>
      <w:proofErr w:type="spellStart"/>
      <w:r>
        <w:rPr>
          <w:rFonts w:ascii="Times New Roman" w:hAnsi="Times New Roman" w:cs="Times New Roman"/>
          <w:bCs/>
          <w:color w:val="000000"/>
          <w:sz w:val="24"/>
          <w:szCs w:val="24"/>
        </w:rPr>
        <w:t>Haemoglobin</w:t>
      </w:r>
      <w:proofErr w:type="spellEnd"/>
      <w:r>
        <w:rPr>
          <w:rFonts w:ascii="Times New Roman" w:hAnsi="Times New Roman" w:cs="Times New Roman"/>
          <w:bCs/>
          <w:color w:val="000000"/>
          <w:sz w:val="24"/>
          <w:szCs w:val="24"/>
        </w:rPr>
        <w:t xml:space="preserve"> Genotype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1675"/>
        <w:gridCol w:w="769"/>
        <w:gridCol w:w="1792"/>
        <w:gridCol w:w="1944"/>
      </w:tblGrid>
      <w:tr w:rsidR="00F242A0" w14:paraId="60B5E8C9" w14:textId="77777777">
        <w:tc>
          <w:tcPr>
            <w:tcW w:w="3258" w:type="dxa"/>
            <w:tcBorders>
              <w:top w:val="single" w:sz="4" w:space="0" w:color="auto"/>
              <w:bottom w:val="single" w:sz="4" w:space="0" w:color="auto"/>
            </w:tcBorders>
          </w:tcPr>
          <w:p w14:paraId="7D275D75" w14:textId="77777777" w:rsidR="00F242A0" w:rsidRDefault="004A190B">
            <w:pPr>
              <w:autoSpaceDE w:val="0"/>
              <w:autoSpaceDN w:val="0"/>
              <w:adjustRightInd w:val="0"/>
              <w:spacing w:after="80" w:line="240" w:lineRule="auto"/>
              <w:rPr>
                <w:rFonts w:ascii="Times New Roman" w:hAnsi="Times New Roman" w:cs="Times New Roman"/>
                <w:b/>
              </w:rPr>
            </w:pPr>
            <w:r>
              <w:rPr>
                <w:rFonts w:ascii="Times New Roman" w:hAnsi="Times New Roman" w:cs="Times New Roman"/>
                <w:b/>
              </w:rPr>
              <w:t>Demographics</w:t>
            </w:r>
          </w:p>
        </w:tc>
        <w:tc>
          <w:tcPr>
            <w:tcW w:w="1710" w:type="dxa"/>
            <w:tcBorders>
              <w:top w:val="single" w:sz="4" w:space="0" w:color="auto"/>
              <w:bottom w:val="single" w:sz="4" w:space="0" w:color="auto"/>
            </w:tcBorders>
          </w:tcPr>
          <w:p w14:paraId="6A395454" w14:textId="77777777" w:rsidR="00F242A0" w:rsidRDefault="004A190B">
            <w:pPr>
              <w:autoSpaceDE w:val="0"/>
              <w:autoSpaceDN w:val="0"/>
              <w:adjustRightInd w:val="0"/>
              <w:spacing w:after="80" w:line="240" w:lineRule="auto"/>
              <w:jc w:val="center"/>
              <w:rPr>
                <w:rFonts w:ascii="Times New Roman" w:hAnsi="Times New Roman" w:cs="Times New Roman"/>
                <w:b/>
              </w:rPr>
            </w:pPr>
            <w:r>
              <w:rPr>
                <w:rFonts w:ascii="Times New Roman" w:hAnsi="Times New Roman" w:cs="Times New Roman"/>
                <w:b/>
              </w:rPr>
              <w:t>Chi Square</w:t>
            </w:r>
          </w:p>
        </w:tc>
        <w:tc>
          <w:tcPr>
            <w:tcW w:w="784" w:type="dxa"/>
            <w:tcBorders>
              <w:top w:val="single" w:sz="4" w:space="0" w:color="auto"/>
              <w:bottom w:val="single" w:sz="4" w:space="0" w:color="auto"/>
            </w:tcBorders>
          </w:tcPr>
          <w:p w14:paraId="3464FA0D" w14:textId="77777777" w:rsidR="00F242A0" w:rsidRDefault="004A190B">
            <w:pPr>
              <w:autoSpaceDE w:val="0"/>
              <w:autoSpaceDN w:val="0"/>
              <w:adjustRightInd w:val="0"/>
              <w:spacing w:after="80" w:line="240" w:lineRule="auto"/>
              <w:jc w:val="center"/>
              <w:rPr>
                <w:rFonts w:ascii="Times New Roman" w:hAnsi="Times New Roman" w:cs="Times New Roman"/>
                <w:b/>
              </w:rPr>
            </w:pPr>
            <w:r>
              <w:rPr>
                <w:rFonts w:ascii="Times New Roman" w:hAnsi="Times New Roman" w:cs="Times New Roman"/>
                <w:b/>
              </w:rPr>
              <w:t>Df</w:t>
            </w:r>
          </w:p>
        </w:tc>
        <w:tc>
          <w:tcPr>
            <w:tcW w:w="1843" w:type="dxa"/>
            <w:tcBorders>
              <w:top w:val="single" w:sz="4" w:space="0" w:color="auto"/>
              <w:bottom w:val="single" w:sz="4" w:space="0" w:color="auto"/>
            </w:tcBorders>
          </w:tcPr>
          <w:p w14:paraId="20D98EE7" w14:textId="77777777" w:rsidR="00F242A0" w:rsidRDefault="004A190B">
            <w:pPr>
              <w:autoSpaceDE w:val="0"/>
              <w:autoSpaceDN w:val="0"/>
              <w:adjustRightInd w:val="0"/>
              <w:spacing w:after="80" w:line="240" w:lineRule="auto"/>
              <w:jc w:val="center"/>
              <w:rPr>
                <w:rFonts w:ascii="Times New Roman" w:hAnsi="Times New Roman" w:cs="Times New Roman"/>
                <w:b/>
              </w:rPr>
            </w:pPr>
            <w:r>
              <w:rPr>
                <w:rFonts w:ascii="Times New Roman" w:hAnsi="Times New Roman" w:cs="Times New Roman"/>
                <w:b/>
              </w:rPr>
              <w:t>p-value</w:t>
            </w:r>
          </w:p>
        </w:tc>
        <w:tc>
          <w:tcPr>
            <w:tcW w:w="1981" w:type="dxa"/>
            <w:tcBorders>
              <w:top w:val="single" w:sz="4" w:space="0" w:color="auto"/>
              <w:bottom w:val="single" w:sz="4" w:space="0" w:color="auto"/>
            </w:tcBorders>
          </w:tcPr>
          <w:p w14:paraId="554C0703" w14:textId="77777777" w:rsidR="00F242A0" w:rsidRDefault="004A190B">
            <w:pPr>
              <w:autoSpaceDE w:val="0"/>
              <w:autoSpaceDN w:val="0"/>
              <w:adjustRightInd w:val="0"/>
              <w:spacing w:after="80" w:line="240" w:lineRule="auto"/>
              <w:rPr>
                <w:rFonts w:ascii="Times New Roman" w:hAnsi="Times New Roman" w:cs="Times New Roman"/>
                <w:b/>
              </w:rPr>
            </w:pPr>
            <w:r>
              <w:rPr>
                <w:rFonts w:ascii="Times New Roman" w:hAnsi="Times New Roman" w:cs="Times New Roman"/>
                <w:b/>
              </w:rPr>
              <w:t>Remark</w:t>
            </w:r>
          </w:p>
        </w:tc>
      </w:tr>
      <w:tr w:rsidR="00F242A0" w14:paraId="60E9613D" w14:textId="77777777">
        <w:tc>
          <w:tcPr>
            <w:tcW w:w="3258" w:type="dxa"/>
            <w:tcBorders>
              <w:top w:val="single" w:sz="4" w:space="0" w:color="auto"/>
            </w:tcBorders>
          </w:tcPr>
          <w:p w14:paraId="3DB05A09" w14:textId="77777777" w:rsidR="00F242A0" w:rsidRDefault="004A190B">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Age</w:t>
            </w:r>
          </w:p>
        </w:tc>
        <w:tc>
          <w:tcPr>
            <w:tcW w:w="1710" w:type="dxa"/>
            <w:tcBorders>
              <w:top w:val="single" w:sz="4" w:space="0" w:color="auto"/>
            </w:tcBorders>
          </w:tcPr>
          <w:p w14:paraId="317ADE24"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7.892</w:t>
            </w:r>
          </w:p>
        </w:tc>
        <w:tc>
          <w:tcPr>
            <w:tcW w:w="784" w:type="dxa"/>
            <w:tcBorders>
              <w:top w:val="single" w:sz="4" w:space="0" w:color="auto"/>
            </w:tcBorders>
          </w:tcPr>
          <w:p w14:paraId="51A8E0DF"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Borders>
              <w:top w:val="single" w:sz="4" w:space="0" w:color="auto"/>
            </w:tcBorders>
          </w:tcPr>
          <w:p w14:paraId="56C7A407"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0.25</w:t>
            </w:r>
          </w:p>
        </w:tc>
        <w:tc>
          <w:tcPr>
            <w:tcW w:w="1981" w:type="dxa"/>
            <w:tcBorders>
              <w:top w:val="single" w:sz="4" w:space="0" w:color="auto"/>
            </w:tcBorders>
          </w:tcPr>
          <w:p w14:paraId="43EC724A"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r w:rsidR="00F242A0" w14:paraId="0CC3EBCB" w14:textId="77777777">
        <w:tc>
          <w:tcPr>
            <w:tcW w:w="3258" w:type="dxa"/>
          </w:tcPr>
          <w:p w14:paraId="744451A0" w14:textId="77777777" w:rsidR="00F242A0" w:rsidRDefault="004A190B">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Sex</w:t>
            </w:r>
          </w:p>
        </w:tc>
        <w:tc>
          <w:tcPr>
            <w:tcW w:w="1710" w:type="dxa"/>
          </w:tcPr>
          <w:p w14:paraId="7BFC599D"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29.820</w:t>
            </w:r>
          </w:p>
        </w:tc>
        <w:tc>
          <w:tcPr>
            <w:tcW w:w="784" w:type="dxa"/>
          </w:tcPr>
          <w:p w14:paraId="1B06CADB"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6EA0FFE8"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981" w:type="dxa"/>
          </w:tcPr>
          <w:p w14:paraId="31866B02"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Significant</w:t>
            </w:r>
          </w:p>
        </w:tc>
      </w:tr>
      <w:tr w:rsidR="00F242A0" w14:paraId="3BF02E46" w14:textId="77777777">
        <w:tc>
          <w:tcPr>
            <w:tcW w:w="3258" w:type="dxa"/>
          </w:tcPr>
          <w:p w14:paraId="533989D6" w14:textId="77777777" w:rsidR="00F242A0" w:rsidRDefault="004A190B">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Marital Status</w:t>
            </w:r>
          </w:p>
        </w:tc>
        <w:tc>
          <w:tcPr>
            <w:tcW w:w="1710" w:type="dxa"/>
          </w:tcPr>
          <w:p w14:paraId="6169AE55"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6.508</w:t>
            </w:r>
          </w:p>
        </w:tc>
        <w:tc>
          <w:tcPr>
            <w:tcW w:w="784" w:type="dxa"/>
          </w:tcPr>
          <w:p w14:paraId="2E51D9AF"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1518CA25"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0.37</w:t>
            </w:r>
          </w:p>
        </w:tc>
        <w:tc>
          <w:tcPr>
            <w:tcW w:w="1981" w:type="dxa"/>
          </w:tcPr>
          <w:p w14:paraId="730FB06D"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r w:rsidR="00F242A0" w14:paraId="2F73FBC0" w14:textId="77777777">
        <w:tc>
          <w:tcPr>
            <w:tcW w:w="3258" w:type="dxa"/>
          </w:tcPr>
          <w:p w14:paraId="082C03D5" w14:textId="77777777" w:rsidR="00F242A0" w:rsidRDefault="004A190B">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Education</w:t>
            </w:r>
          </w:p>
        </w:tc>
        <w:tc>
          <w:tcPr>
            <w:tcW w:w="1710" w:type="dxa"/>
          </w:tcPr>
          <w:p w14:paraId="1B9BB209"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4.042</w:t>
            </w:r>
          </w:p>
        </w:tc>
        <w:tc>
          <w:tcPr>
            <w:tcW w:w="784" w:type="dxa"/>
          </w:tcPr>
          <w:p w14:paraId="3F09CAD4"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75B6EC65"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0.67</w:t>
            </w:r>
          </w:p>
        </w:tc>
        <w:tc>
          <w:tcPr>
            <w:tcW w:w="1981" w:type="dxa"/>
          </w:tcPr>
          <w:p w14:paraId="0597E68A"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bl>
    <w:p w14:paraId="0F8DB065"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49B4DCA5" w14:textId="77777777" w:rsidR="00F242A0" w:rsidRDefault="00F242A0">
      <w:pPr>
        <w:autoSpaceDE w:val="0"/>
        <w:autoSpaceDN w:val="0"/>
        <w:adjustRightInd w:val="0"/>
        <w:spacing w:after="0" w:line="240" w:lineRule="auto"/>
        <w:rPr>
          <w:rFonts w:ascii="Times New Roman" w:hAnsi="Times New Roman" w:cs="Times New Roman"/>
          <w:sz w:val="24"/>
          <w:szCs w:val="24"/>
        </w:rPr>
      </w:pPr>
    </w:p>
    <w:tbl>
      <w:tblPr>
        <w:tblW w:w="9016" w:type="dxa"/>
        <w:tblCellMar>
          <w:left w:w="0" w:type="dxa"/>
          <w:right w:w="0" w:type="dxa"/>
        </w:tblCellMar>
        <w:tblLook w:val="04A0" w:firstRow="1" w:lastRow="0" w:firstColumn="1" w:lastColumn="0" w:noHBand="0" w:noVBand="1"/>
      </w:tblPr>
      <w:tblGrid>
        <w:gridCol w:w="6"/>
        <w:gridCol w:w="1331"/>
        <w:gridCol w:w="2446"/>
        <w:gridCol w:w="1074"/>
        <w:gridCol w:w="1243"/>
        <w:gridCol w:w="1257"/>
        <w:gridCol w:w="976"/>
        <w:gridCol w:w="683"/>
      </w:tblGrid>
      <w:tr w:rsidR="00F242A0" w14:paraId="16AAFAD6" w14:textId="77777777">
        <w:trPr>
          <w:cantSplit/>
          <w:trHeight w:val="213"/>
        </w:trPr>
        <w:tc>
          <w:tcPr>
            <w:tcW w:w="0" w:type="auto"/>
            <w:gridSpan w:val="8"/>
            <w:tcBorders>
              <w:bottom w:val="single" w:sz="4" w:space="0" w:color="auto"/>
            </w:tcBorders>
            <w:shd w:val="clear" w:color="auto" w:fill="FFFFFF"/>
          </w:tcPr>
          <w:p w14:paraId="3A818A7F" w14:textId="7BE5466C"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b/>
                <w:bCs/>
                <w:color w:val="000000"/>
              </w:rPr>
              <w:t>Table</w:t>
            </w:r>
            <w:r w:rsidR="00382D39">
              <w:rPr>
                <w:rFonts w:ascii="Times New Roman" w:hAnsi="Times New Roman" w:cs="Times New Roman"/>
                <w:b/>
                <w:bCs/>
                <w:color w:val="000000"/>
              </w:rPr>
              <w:t xml:space="preserve"> 5</w:t>
            </w:r>
            <w:r>
              <w:rPr>
                <w:rFonts w:ascii="Times New Roman" w:hAnsi="Times New Roman" w:cs="Times New Roman"/>
                <w:b/>
                <w:bCs/>
                <w:color w:val="000000"/>
              </w:rPr>
              <w:t>: Correlations showing relationship between Infections and Genetic/Phenotypic Identity (</w:t>
            </w:r>
            <w:r>
              <w:rPr>
                <w:rFonts w:ascii="Times New Roman" w:hAnsi="Times New Roman" w:cs="Times New Roman"/>
                <w:color w:val="000000"/>
              </w:rPr>
              <w:t>Hb Genotype and Blood Group)</w:t>
            </w:r>
          </w:p>
        </w:tc>
      </w:tr>
      <w:tr w:rsidR="00F242A0" w14:paraId="3DB93E4C" w14:textId="77777777">
        <w:trPr>
          <w:cantSplit/>
          <w:trHeight w:val="294"/>
        </w:trPr>
        <w:tc>
          <w:tcPr>
            <w:tcW w:w="3639" w:type="dxa"/>
            <w:gridSpan w:val="3"/>
            <w:tcBorders>
              <w:top w:val="single" w:sz="4" w:space="0" w:color="auto"/>
            </w:tcBorders>
            <w:shd w:val="clear" w:color="auto" w:fill="FFFFFF"/>
          </w:tcPr>
          <w:p w14:paraId="3865AF45" w14:textId="77777777" w:rsidR="00F242A0" w:rsidRDefault="004A190B">
            <w:pPr>
              <w:autoSpaceDE w:val="0"/>
              <w:autoSpaceDN w:val="0"/>
              <w:adjustRightInd w:val="0"/>
              <w:spacing w:after="0" w:line="240" w:lineRule="auto"/>
              <w:rPr>
                <w:rFonts w:ascii="Times New Roman" w:hAnsi="Times New Roman" w:cs="Times New Roman"/>
              </w:rPr>
            </w:pPr>
            <w:r>
              <w:rPr>
                <w:rFonts w:ascii="Times New Roman" w:hAnsi="Times New Roman" w:cs="Times New Roman"/>
              </w:rPr>
              <w:t>Variables     Statistics</w:t>
            </w:r>
          </w:p>
        </w:tc>
        <w:tc>
          <w:tcPr>
            <w:tcW w:w="951" w:type="dxa"/>
            <w:tcBorders>
              <w:top w:val="single" w:sz="4" w:space="0" w:color="auto"/>
              <w:bottom w:val="single" w:sz="4" w:space="0" w:color="auto"/>
            </w:tcBorders>
            <w:shd w:val="clear" w:color="auto" w:fill="FFFFFF"/>
          </w:tcPr>
          <w:p w14:paraId="3001C78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HIV</w:t>
            </w:r>
          </w:p>
        </w:tc>
        <w:tc>
          <w:tcPr>
            <w:tcW w:w="1093" w:type="dxa"/>
            <w:tcBorders>
              <w:top w:val="single" w:sz="4" w:space="0" w:color="auto"/>
              <w:bottom w:val="single" w:sz="4" w:space="0" w:color="auto"/>
            </w:tcBorders>
            <w:shd w:val="clear" w:color="auto" w:fill="FFFFFF"/>
          </w:tcPr>
          <w:p w14:paraId="4F4F66B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HBsAg</w:t>
            </w:r>
          </w:p>
        </w:tc>
        <w:tc>
          <w:tcPr>
            <w:tcW w:w="0" w:type="auto"/>
            <w:tcBorders>
              <w:top w:val="single" w:sz="4" w:space="0" w:color="auto"/>
              <w:bottom w:val="single" w:sz="4" w:space="0" w:color="auto"/>
            </w:tcBorders>
            <w:shd w:val="clear" w:color="auto" w:fill="FFFFFF"/>
          </w:tcPr>
          <w:p w14:paraId="342580C8"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Tuberculosis</w:t>
            </w:r>
          </w:p>
        </w:tc>
        <w:tc>
          <w:tcPr>
            <w:tcW w:w="0" w:type="auto"/>
            <w:tcBorders>
              <w:top w:val="single" w:sz="4" w:space="0" w:color="auto"/>
              <w:bottom w:val="single" w:sz="4" w:space="0" w:color="auto"/>
            </w:tcBorders>
            <w:shd w:val="clear" w:color="auto" w:fill="FFFFFF"/>
          </w:tcPr>
          <w:p w14:paraId="1DCA58D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Hb Genotype</w:t>
            </w:r>
          </w:p>
        </w:tc>
        <w:tc>
          <w:tcPr>
            <w:tcW w:w="0" w:type="auto"/>
            <w:tcBorders>
              <w:top w:val="single" w:sz="4" w:space="0" w:color="auto"/>
              <w:bottom w:val="single" w:sz="4" w:space="0" w:color="auto"/>
            </w:tcBorders>
            <w:shd w:val="clear" w:color="auto" w:fill="FFFFFF"/>
          </w:tcPr>
          <w:p w14:paraId="76BFF8D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Blood Group</w:t>
            </w:r>
          </w:p>
        </w:tc>
      </w:tr>
      <w:tr w:rsidR="00F242A0" w14:paraId="2C959879" w14:textId="77777777">
        <w:trPr>
          <w:cantSplit/>
          <w:trHeight w:val="229"/>
        </w:trPr>
        <w:tc>
          <w:tcPr>
            <w:tcW w:w="0" w:type="auto"/>
            <w:vMerge w:val="restart"/>
            <w:shd w:val="clear" w:color="auto" w:fill="FFFFFF"/>
            <w:vAlign w:val="center"/>
          </w:tcPr>
          <w:p w14:paraId="0697B178" w14:textId="77777777" w:rsidR="00F242A0" w:rsidRDefault="00F242A0">
            <w:pPr>
              <w:autoSpaceDE w:val="0"/>
              <w:autoSpaceDN w:val="0"/>
              <w:adjustRightInd w:val="0"/>
              <w:spacing w:after="0" w:line="240" w:lineRule="auto"/>
              <w:ind w:right="60"/>
              <w:rPr>
                <w:rFonts w:ascii="Times New Roman" w:hAnsi="Times New Roman" w:cs="Times New Roman"/>
                <w:color w:val="000000"/>
              </w:rPr>
            </w:pPr>
          </w:p>
        </w:tc>
        <w:tc>
          <w:tcPr>
            <w:tcW w:w="0" w:type="auto"/>
            <w:vMerge w:val="restart"/>
            <w:tcBorders>
              <w:top w:val="single" w:sz="4" w:space="0" w:color="auto"/>
            </w:tcBorders>
            <w:shd w:val="clear" w:color="auto" w:fill="FFFFFF"/>
            <w:vAlign w:val="center"/>
          </w:tcPr>
          <w:p w14:paraId="0480037E"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HIV</w:t>
            </w:r>
          </w:p>
        </w:tc>
        <w:tc>
          <w:tcPr>
            <w:tcW w:w="2250" w:type="dxa"/>
            <w:tcBorders>
              <w:top w:val="single" w:sz="4" w:space="0" w:color="auto"/>
            </w:tcBorders>
            <w:shd w:val="clear" w:color="auto" w:fill="FFFFFF"/>
            <w:vAlign w:val="center"/>
          </w:tcPr>
          <w:p w14:paraId="3E12A368"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tcBorders>
              <w:top w:val="single" w:sz="4" w:space="0" w:color="auto"/>
            </w:tcBorders>
            <w:shd w:val="clear" w:color="auto" w:fill="FFFFFF"/>
          </w:tcPr>
          <w:p w14:paraId="6C13B42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1093" w:type="dxa"/>
            <w:tcBorders>
              <w:top w:val="single" w:sz="4" w:space="0" w:color="auto"/>
            </w:tcBorders>
            <w:shd w:val="clear" w:color="auto" w:fill="FFFFFF"/>
          </w:tcPr>
          <w:p w14:paraId="4AF43C06"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.352</w:t>
            </w:r>
            <w:r>
              <w:rPr>
                <w:rFonts w:ascii="Times New Roman" w:hAnsi="Times New Roman" w:cs="Times New Roman"/>
                <w:color w:val="000000"/>
                <w:vertAlign w:val="superscript"/>
              </w:rPr>
              <w:t>**</w:t>
            </w:r>
          </w:p>
        </w:tc>
        <w:tc>
          <w:tcPr>
            <w:tcW w:w="0" w:type="auto"/>
            <w:tcBorders>
              <w:top w:val="single" w:sz="4" w:space="0" w:color="auto"/>
            </w:tcBorders>
            <w:shd w:val="clear" w:color="auto" w:fill="FFFFFF"/>
          </w:tcPr>
          <w:p w14:paraId="16AFA10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.282</w:t>
            </w:r>
            <w:r>
              <w:rPr>
                <w:rFonts w:ascii="Times New Roman" w:hAnsi="Times New Roman" w:cs="Times New Roman"/>
                <w:color w:val="000000"/>
                <w:vertAlign w:val="superscript"/>
              </w:rPr>
              <w:t>**</w:t>
            </w:r>
          </w:p>
        </w:tc>
        <w:tc>
          <w:tcPr>
            <w:tcW w:w="0" w:type="auto"/>
            <w:tcBorders>
              <w:top w:val="single" w:sz="4" w:space="0" w:color="auto"/>
            </w:tcBorders>
            <w:shd w:val="clear" w:color="auto" w:fill="FFFFFF"/>
          </w:tcPr>
          <w:p w14:paraId="6AC04946"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-.002</w:t>
            </w:r>
          </w:p>
        </w:tc>
        <w:tc>
          <w:tcPr>
            <w:tcW w:w="0" w:type="auto"/>
            <w:tcBorders>
              <w:top w:val="single" w:sz="4" w:space="0" w:color="auto"/>
            </w:tcBorders>
            <w:shd w:val="clear" w:color="auto" w:fill="FFFFFF"/>
          </w:tcPr>
          <w:p w14:paraId="6DC7FF2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-.046</w:t>
            </w:r>
          </w:p>
        </w:tc>
      </w:tr>
      <w:tr w:rsidR="00F242A0" w14:paraId="63C46346" w14:textId="77777777">
        <w:trPr>
          <w:cantSplit/>
          <w:trHeight w:val="262"/>
        </w:trPr>
        <w:tc>
          <w:tcPr>
            <w:tcW w:w="0" w:type="auto"/>
            <w:vMerge/>
            <w:shd w:val="clear" w:color="auto" w:fill="FFFFFF"/>
            <w:vAlign w:val="center"/>
          </w:tcPr>
          <w:p w14:paraId="0207311A"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8F36F6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5E06EFFC"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4B316E4A"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1093" w:type="dxa"/>
            <w:shd w:val="clear" w:color="auto" w:fill="FFFFFF"/>
          </w:tcPr>
          <w:p w14:paraId="4260DB42"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0" w:type="auto"/>
            <w:shd w:val="clear" w:color="auto" w:fill="FFFFFF"/>
          </w:tcPr>
          <w:p w14:paraId="18C84CA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0" w:type="auto"/>
            <w:shd w:val="clear" w:color="auto" w:fill="FFFFFF"/>
          </w:tcPr>
          <w:p w14:paraId="5731FFD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.971</w:t>
            </w:r>
          </w:p>
        </w:tc>
        <w:tc>
          <w:tcPr>
            <w:tcW w:w="0" w:type="auto"/>
            <w:shd w:val="clear" w:color="auto" w:fill="FFFFFF"/>
          </w:tcPr>
          <w:p w14:paraId="3431563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.362</w:t>
            </w:r>
          </w:p>
        </w:tc>
      </w:tr>
      <w:tr w:rsidR="00F242A0" w14:paraId="45B1EB8D" w14:textId="77777777">
        <w:trPr>
          <w:cantSplit/>
          <w:trHeight w:val="278"/>
        </w:trPr>
        <w:tc>
          <w:tcPr>
            <w:tcW w:w="0" w:type="auto"/>
            <w:vMerge/>
            <w:shd w:val="clear" w:color="auto" w:fill="FFFFFF"/>
            <w:vAlign w:val="center"/>
          </w:tcPr>
          <w:p w14:paraId="00216D98"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1D7608A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5437D859"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7D73AE16"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59EA877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155AC0D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5A5845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49D32EA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6DC791BE" w14:textId="77777777">
        <w:trPr>
          <w:cantSplit/>
          <w:trHeight w:val="278"/>
        </w:trPr>
        <w:tc>
          <w:tcPr>
            <w:tcW w:w="0" w:type="auto"/>
            <w:vMerge/>
            <w:shd w:val="clear" w:color="auto" w:fill="FFFFFF"/>
            <w:vAlign w:val="center"/>
          </w:tcPr>
          <w:p w14:paraId="55A6581D"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698F2CD8"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HBsAg</w:t>
            </w:r>
          </w:p>
        </w:tc>
        <w:tc>
          <w:tcPr>
            <w:tcW w:w="2250" w:type="dxa"/>
            <w:shd w:val="clear" w:color="auto" w:fill="FFFFFF"/>
            <w:vAlign w:val="center"/>
          </w:tcPr>
          <w:p w14:paraId="34B85248"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1E3958A5"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.352</w:t>
            </w:r>
            <w:r>
              <w:rPr>
                <w:rFonts w:ascii="Times New Roman" w:hAnsi="Times New Roman" w:cs="Times New Roman"/>
                <w:color w:val="000000"/>
                <w:vertAlign w:val="superscript"/>
              </w:rPr>
              <w:t>**</w:t>
            </w:r>
          </w:p>
        </w:tc>
        <w:tc>
          <w:tcPr>
            <w:tcW w:w="1093" w:type="dxa"/>
            <w:shd w:val="clear" w:color="auto" w:fill="FFFFFF"/>
          </w:tcPr>
          <w:p w14:paraId="190A662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3EFE4A4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.125</w:t>
            </w:r>
            <w:r>
              <w:rPr>
                <w:rFonts w:ascii="Times New Roman" w:hAnsi="Times New Roman" w:cs="Times New Roman"/>
                <w:color w:val="000000"/>
                <w:vertAlign w:val="superscript"/>
              </w:rPr>
              <w:t>*</w:t>
            </w:r>
          </w:p>
        </w:tc>
        <w:tc>
          <w:tcPr>
            <w:tcW w:w="0" w:type="auto"/>
            <w:shd w:val="clear" w:color="auto" w:fill="FFFFFF"/>
          </w:tcPr>
          <w:p w14:paraId="3C734FC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-.143</w:t>
            </w:r>
            <w:r>
              <w:rPr>
                <w:rFonts w:ascii="Times New Roman" w:hAnsi="Times New Roman" w:cs="Times New Roman"/>
                <w:color w:val="000000"/>
                <w:vertAlign w:val="superscript"/>
              </w:rPr>
              <w:t>**</w:t>
            </w:r>
          </w:p>
        </w:tc>
        <w:tc>
          <w:tcPr>
            <w:tcW w:w="0" w:type="auto"/>
            <w:shd w:val="clear" w:color="auto" w:fill="FFFFFF"/>
          </w:tcPr>
          <w:p w14:paraId="2EC8F0B8"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-.047</w:t>
            </w:r>
          </w:p>
        </w:tc>
      </w:tr>
      <w:tr w:rsidR="00F242A0" w14:paraId="100820B8" w14:textId="77777777">
        <w:trPr>
          <w:cantSplit/>
          <w:trHeight w:val="262"/>
        </w:trPr>
        <w:tc>
          <w:tcPr>
            <w:tcW w:w="0" w:type="auto"/>
            <w:vMerge/>
            <w:shd w:val="clear" w:color="auto" w:fill="FFFFFF"/>
            <w:vAlign w:val="center"/>
          </w:tcPr>
          <w:p w14:paraId="1C2F0A2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53A4613D"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6433456A"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1DFACEB3"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093" w:type="dxa"/>
            <w:shd w:val="clear" w:color="auto" w:fill="FFFFFF"/>
          </w:tcPr>
          <w:p w14:paraId="39D85EAD"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3CB4EEC9"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.013</w:t>
            </w:r>
          </w:p>
        </w:tc>
        <w:tc>
          <w:tcPr>
            <w:tcW w:w="0" w:type="auto"/>
            <w:shd w:val="clear" w:color="auto" w:fill="FFFFFF"/>
          </w:tcPr>
          <w:p w14:paraId="043969F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.005</w:t>
            </w:r>
          </w:p>
        </w:tc>
        <w:tc>
          <w:tcPr>
            <w:tcW w:w="0" w:type="auto"/>
            <w:shd w:val="clear" w:color="auto" w:fill="FFFFFF"/>
          </w:tcPr>
          <w:p w14:paraId="29A3E80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.353</w:t>
            </w:r>
          </w:p>
        </w:tc>
      </w:tr>
      <w:tr w:rsidR="00F242A0" w14:paraId="70CA8786" w14:textId="77777777">
        <w:trPr>
          <w:cantSplit/>
          <w:trHeight w:val="262"/>
        </w:trPr>
        <w:tc>
          <w:tcPr>
            <w:tcW w:w="0" w:type="auto"/>
            <w:vMerge/>
            <w:shd w:val="clear" w:color="auto" w:fill="FFFFFF"/>
            <w:vAlign w:val="center"/>
          </w:tcPr>
          <w:p w14:paraId="22DBE8B8"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97BA552"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78229C2"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6788D1B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06E14174"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0A98C3EE"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21A12B33"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3F02FDA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1BE1D8A4" w14:textId="77777777">
        <w:trPr>
          <w:cantSplit/>
          <w:trHeight w:val="262"/>
        </w:trPr>
        <w:tc>
          <w:tcPr>
            <w:tcW w:w="0" w:type="auto"/>
            <w:vMerge/>
            <w:shd w:val="clear" w:color="auto" w:fill="FFFFFF"/>
            <w:vAlign w:val="center"/>
          </w:tcPr>
          <w:p w14:paraId="24BE09EE"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298FB8D1"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Tuberculosis</w:t>
            </w:r>
          </w:p>
        </w:tc>
        <w:tc>
          <w:tcPr>
            <w:tcW w:w="2250" w:type="dxa"/>
            <w:shd w:val="clear" w:color="auto" w:fill="FFFFFF"/>
            <w:vAlign w:val="center"/>
          </w:tcPr>
          <w:p w14:paraId="09B1FD1A"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0C477363"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.282</w:t>
            </w:r>
            <w:r>
              <w:rPr>
                <w:rFonts w:ascii="Times New Roman" w:hAnsi="Times New Roman" w:cs="Times New Roman"/>
                <w:color w:val="000000"/>
                <w:vertAlign w:val="superscript"/>
              </w:rPr>
              <w:t>**</w:t>
            </w:r>
          </w:p>
        </w:tc>
        <w:tc>
          <w:tcPr>
            <w:tcW w:w="1093" w:type="dxa"/>
            <w:shd w:val="clear" w:color="auto" w:fill="FFFFFF"/>
          </w:tcPr>
          <w:p w14:paraId="2C22657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.125</w:t>
            </w:r>
            <w:r>
              <w:rPr>
                <w:rFonts w:ascii="Times New Roman" w:hAnsi="Times New Roman" w:cs="Times New Roman"/>
                <w:color w:val="000000"/>
                <w:vertAlign w:val="superscript"/>
              </w:rPr>
              <w:t>*</w:t>
            </w:r>
          </w:p>
        </w:tc>
        <w:tc>
          <w:tcPr>
            <w:tcW w:w="0" w:type="auto"/>
            <w:shd w:val="clear" w:color="auto" w:fill="FFFFFF"/>
          </w:tcPr>
          <w:p w14:paraId="3E9C8C62"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16C25DE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.050</w:t>
            </w:r>
          </w:p>
        </w:tc>
        <w:tc>
          <w:tcPr>
            <w:tcW w:w="0" w:type="auto"/>
            <w:shd w:val="clear" w:color="auto" w:fill="FFFFFF"/>
          </w:tcPr>
          <w:p w14:paraId="39981EC9"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r>
      <w:tr w:rsidR="00F242A0" w14:paraId="7BEB7AA3" w14:textId="77777777">
        <w:trPr>
          <w:cantSplit/>
          <w:trHeight w:val="262"/>
        </w:trPr>
        <w:tc>
          <w:tcPr>
            <w:tcW w:w="0" w:type="auto"/>
            <w:vMerge/>
            <w:shd w:val="clear" w:color="auto" w:fill="FFFFFF"/>
            <w:vAlign w:val="center"/>
          </w:tcPr>
          <w:p w14:paraId="4240DA54"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4D049EA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5487511"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07BFF0A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093" w:type="dxa"/>
            <w:shd w:val="clear" w:color="auto" w:fill="FFFFFF"/>
          </w:tcPr>
          <w:p w14:paraId="6981257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.013</w:t>
            </w:r>
          </w:p>
        </w:tc>
        <w:tc>
          <w:tcPr>
            <w:tcW w:w="0" w:type="auto"/>
            <w:shd w:val="clear" w:color="auto" w:fill="FFFFFF"/>
          </w:tcPr>
          <w:p w14:paraId="1A863EEA"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2B2848D6"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.327</w:t>
            </w:r>
          </w:p>
        </w:tc>
        <w:tc>
          <w:tcPr>
            <w:tcW w:w="0" w:type="auto"/>
            <w:shd w:val="clear" w:color="auto" w:fill="FFFFFF"/>
          </w:tcPr>
          <w:p w14:paraId="437F0B9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.244</w:t>
            </w:r>
          </w:p>
        </w:tc>
      </w:tr>
      <w:tr w:rsidR="00F242A0" w14:paraId="0434943A" w14:textId="77777777">
        <w:trPr>
          <w:cantSplit/>
          <w:trHeight w:val="278"/>
        </w:trPr>
        <w:tc>
          <w:tcPr>
            <w:tcW w:w="0" w:type="auto"/>
            <w:vMerge/>
            <w:shd w:val="clear" w:color="auto" w:fill="FFFFFF"/>
            <w:vAlign w:val="center"/>
          </w:tcPr>
          <w:p w14:paraId="13CCAB90"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2DDE7FF7"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BDFF99A"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6A775EB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007A51AE"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6F9C2B98"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5414694"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443D716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3E473011" w14:textId="77777777">
        <w:trPr>
          <w:cantSplit/>
          <w:trHeight w:val="278"/>
        </w:trPr>
        <w:tc>
          <w:tcPr>
            <w:tcW w:w="0" w:type="auto"/>
            <w:vMerge/>
            <w:shd w:val="clear" w:color="auto" w:fill="FFFFFF"/>
            <w:vAlign w:val="center"/>
          </w:tcPr>
          <w:p w14:paraId="702728B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29511446"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Hb Genotype</w:t>
            </w:r>
          </w:p>
        </w:tc>
        <w:tc>
          <w:tcPr>
            <w:tcW w:w="2250" w:type="dxa"/>
            <w:shd w:val="clear" w:color="auto" w:fill="FFFFFF"/>
            <w:vAlign w:val="center"/>
          </w:tcPr>
          <w:p w14:paraId="26839294"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209B06B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-.002</w:t>
            </w:r>
          </w:p>
        </w:tc>
        <w:tc>
          <w:tcPr>
            <w:tcW w:w="1093" w:type="dxa"/>
            <w:shd w:val="clear" w:color="auto" w:fill="FFFFFF"/>
          </w:tcPr>
          <w:p w14:paraId="765E6BB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-.143</w:t>
            </w:r>
            <w:r>
              <w:rPr>
                <w:rFonts w:ascii="Times New Roman" w:hAnsi="Times New Roman" w:cs="Times New Roman"/>
                <w:color w:val="000000"/>
                <w:vertAlign w:val="superscript"/>
              </w:rPr>
              <w:t>**</w:t>
            </w:r>
          </w:p>
        </w:tc>
        <w:tc>
          <w:tcPr>
            <w:tcW w:w="0" w:type="auto"/>
            <w:shd w:val="clear" w:color="auto" w:fill="FFFFFF"/>
          </w:tcPr>
          <w:p w14:paraId="1F57D46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.050</w:t>
            </w:r>
          </w:p>
        </w:tc>
        <w:tc>
          <w:tcPr>
            <w:tcW w:w="0" w:type="auto"/>
            <w:shd w:val="clear" w:color="auto" w:fill="FFFFFF"/>
          </w:tcPr>
          <w:p w14:paraId="077D3E3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6AC90EBC"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r>
      <w:tr w:rsidR="00F242A0" w14:paraId="0F2BB515" w14:textId="77777777">
        <w:trPr>
          <w:cantSplit/>
          <w:trHeight w:val="278"/>
        </w:trPr>
        <w:tc>
          <w:tcPr>
            <w:tcW w:w="0" w:type="auto"/>
            <w:vMerge/>
            <w:shd w:val="clear" w:color="auto" w:fill="FFFFFF"/>
            <w:vAlign w:val="center"/>
          </w:tcPr>
          <w:p w14:paraId="4C0BDA0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7DB96223"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BF6E01C"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590074B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.971</w:t>
            </w:r>
          </w:p>
        </w:tc>
        <w:tc>
          <w:tcPr>
            <w:tcW w:w="1093" w:type="dxa"/>
            <w:shd w:val="clear" w:color="auto" w:fill="FFFFFF"/>
          </w:tcPr>
          <w:p w14:paraId="0189F1C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.005</w:t>
            </w:r>
          </w:p>
        </w:tc>
        <w:tc>
          <w:tcPr>
            <w:tcW w:w="0" w:type="auto"/>
            <w:shd w:val="clear" w:color="auto" w:fill="FFFFFF"/>
          </w:tcPr>
          <w:p w14:paraId="240C8D8C"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.327</w:t>
            </w:r>
          </w:p>
        </w:tc>
        <w:tc>
          <w:tcPr>
            <w:tcW w:w="0" w:type="auto"/>
            <w:shd w:val="clear" w:color="auto" w:fill="FFFFFF"/>
          </w:tcPr>
          <w:p w14:paraId="109F072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3FE3547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.247</w:t>
            </w:r>
          </w:p>
        </w:tc>
      </w:tr>
      <w:tr w:rsidR="00F242A0" w14:paraId="74C83671" w14:textId="77777777">
        <w:trPr>
          <w:cantSplit/>
          <w:trHeight w:val="262"/>
        </w:trPr>
        <w:tc>
          <w:tcPr>
            <w:tcW w:w="0" w:type="auto"/>
            <w:vMerge/>
            <w:shd w:val="clear" w:color="auto" w:fill="FFFFFF"/>
            <w:vAlign w:val="center"/>
          </w:tcPr>
          <w:p w14:paraId="1ACE94A3"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0228F8ED"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78E2490D"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1C197755"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1803A8CF"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F6FD82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60C3360A"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3BFD057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15ED1482" w14:textId="77777777">
        <w:trPr>
          <w:cantSplit/>
          <w:trHeight w:val="262"/>
        </w:trPr>
        <w:tc>
          <w:tcPr>
            <w:tcW w:w="0" w:type="auto"/>
            <w:vMerge/>
            <w:shd w:val="clear" w:color="auto" w:fill="FFFFFF"/>
            <w:vAlign w:val="center"/>
          </w:tcPr>
          <w:p w14:paraId="3FDD896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30EE2EE2"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Blood Group</w:t>
            </w:r>
          </w:p>
        </w:tc>
        <w:tc>
          <w:tcPr>
            <w:tcW w:w="2250" w:type="dxa"/>
            <w:shd w:val="clear" w:color="auto" w:fill="FFFFFF"/>
            <w:vAlign w:val="center"/>
          </w:tcPr>
          <w:p w14:paraId="3C89597C"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7C3ACB86"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-.046</w:t>
            </w:r>
          </w:p>
        </w:tc>
        <w:tc>
          <w:tcPr>
            <w:tcW w:w="1093" w:type="dxa"/>
            <w:shd w:val="clear" w:color="auto" w:fill="FFFFFF"/>
          </w:tcPr>
          <w:p w14:paraId="769EDFF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-.047</w:t>
            </w:r>
          </w:p>
        </w:tc>
        <w:tc>
          <w:tcPr>
            <w:tcW w:w="0" w:type="auto"/>
            <w:shd w:val="clear" w:color="auto" w:fill="FFFFFF"/>
          </w:tcPr>
          <w:p w14:paraId="480221F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c>
          <w:tcPr>
            <w:tcW w:w="0" w:type="auto"/>
            <w:shd w:val="clear" w:color="auto" w:fill="FFFFFF"/>
          </w:tcPr>
          <w:p w14:paraId="14DD5BC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c>
          <w:tcPr>
            <w:tcW w:w="0" w:type="auto"/>
            <w:shd w:val="clear" w:color="auto" w:fill="FFFFFF"/>
          </w:tcPr>
          <w:p w14:paraId="0B173F89"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r>
      <w:tr w:rsidR="00F242A0" w14:paraId="7A32ABB5" w14:textId="77777777">
        <w:trPr>
          <w:cantSplit/>
          <w:trHeight w:val="262"/>
        </w:trPr>
        <w:tc>
          <w:tcPr>
            <w:tcW w:w="0" w:type="auto"/>
            <w:vMerge/>
            <w:shd w:val="clear" w:color="auto" w:fill="FFFFFF"/>
            <w:vAlign w:val="center"/>
          </w:tcPr>
          <w:p w14:paraId="4338795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895098D"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2250" w:type="dxa"/>
            <w:shd w:val="clear" w:color="auto" w:fill="FFFFFF"/>
            <w:vAlign w:val="center"/>
          </w:tcPr>
          <w:p w14:paraId="389C5079"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5FC7FB29"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.362</w:t>
            </w:r>
          </w:p>
        </w:tc>
        <w:tc>
          <w:tcPr>
            <w:tcW w:w="1093" w:type="dxa"/>
            <w:shd w:val="clear" w:color="auto" w:fill="FFFFFF"/>
          </w:tcPr>
          <w:p w14:paraId="15FB3F7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.353</w:t>
            </w:r>
          </w:p>
        </w:tc>
        <w:tc>
          <w:tcPr>
            <w:tcW w:w="0" w:type="auto"/>
            <w:shd w:val="clear" w:color="auto" w:fill="FFFFFF"/>
          </w:tcPr>
          <w:p w14:paraId="62BF985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.244</w:t>
            </w:r>
          </w:p>
        </w:tc>
        <w:tc>
          <w:tcPr>
            <w:tcW w:w="0" w:type="auto"/>
            <w:shd w:val="clear" w:color="auto" w:fill="FFFFFF"/>
          </w:tcPr>
          <w:p w14:paraId="6B43499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.247</w:t>
            </w:r>
          </w:p>
        </w:tc>
        <w:tc>
          <w:tcPr>
            <w:tcW w:w="0" w:type="auto"/>
            <w:shd w:val="clear" w:color="auto" w:fill="FFFFFF"/>
          </w:tcPr>
          <w:p w14:paraId="0F6A4055"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r>
      <w:tr w:rsidR="00F242A0" w14:paraId="5D81F3A2" w14:textId="77777777">
        <w:trPr>
          <w:cantSplit/>
          <w:trHeight w:val="278"/>
        </w:trPr>
        <w:tc>
          <w:tcPr>
            <w:tcW w:w="0" w:type="auto"/>
            <w:vMerge/>
            <w:shd w:val="clear" w:color="auto" w:fill="FFFFFF"/>
            <w:vAlign w:val="center"/>
          </w:tcPr>
          <w:p w14:paraId="04F22CC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tcBorders>
              <w:bottom w:val="single" w:sz="4" w:space="0" w:color="auto"/>
            </w:tcBorders>
            <w:shd w:val="clear" w:color="auto" w:fill="FFFFFF"/>
            <w:vAlign w:val="center"/>
          </w:tcPr>
          <w:p w14:paraId="59AB8E1A"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2250" w:type="dxa"/>
            <w:tcBorders>
              <w:bottom w:val="single" w:sz="4" w:space="0" w:color="auto"/>
            </w:tcBorders>
            <w:shd w:val="clear" w:color="auto" w:fill="FFFFFF"/>
            <w:vAlign w:val="center"/>
          </w:tcPr>
          <w:p w14:paraId="257758CF"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N</w:t>
            </w:r>
          </w:p>
        </w:tc>
        <w:tc>
          <w:tcPr>
            <w:tcW w:w="951" w:type="dxa"/>
            <w:tcBorders>
              <w:bottom w:val="single" w:sz="4" w:space="0" w:color="auto"/>
            </w:tcBorders>
            <w:shd w:val="clear" w:color="auto" w:fill="FFFFFF"/>
          </w:tcPr>
          <w:p w14:paraId="6E96BD1C"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1093" w:type="dxa"/>
            <w:tcBorders>
              <w:bottom w:val="single" w:sz="4" w:space="0" w:color="auto"/>
            </w:tcBorders>
            <w:shd w:val="clear" w:color="auto" w:fill="FFFFFF"/>
          </w:tcPr>
          <w:p w14:paraId="27E1D90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1E50A78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1738D8A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7ADBCE3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r>
      <w:tr w:rsidR="00F242A0" w14:paraId="247C2FD6" w14:textId="77777777">
        <w:trPr>
          <w:cantSplit/>
          <w:trHeight w:val="213"/>
        </w:trPr>
        <w:tc>
          <w:tcPr>
            <w:tcW w:w="0" w:type="auto"/>
            <w:gridSpan w:val="8"/>
            <w:shd w:val="clear" w:color="auto" w:fill="FFFFFF"/>
          </w:tcPr>
          <w:p w14:paraId="5D6C72C7"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 Correlation is significant at the 0.01 level (2-tailed), *. Correlation is significant at the 0.05 level (2-tailed</w:t>
            </w:r>
            <w:proofErr w:type="gramStart"/>
            <w:r>
              <w:rPr>
                <w:rFonts w:ascii="Times New Roman" w:hAnsi="Times New Roman" w:cs="Times New Roman"/>
                <w:color w:val="000000"/>
              </w:rPr>
              <w:t>)..</w:t>
            </w:r>
            <w:proofErr w:type="gramEnd"/>
          </w:p>
        </w:tc>
      </w:tr>
    </w:tbl>
    <w:p w14:paraId="4B43DBAA"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3D4A9E06"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primary objectives of this research were to assess and compare the phenotypic distribution of ABO and Rh Blood Types in the study population by demographics. The most common blood type across all demographics was O+ (52.0%), followed by A+ (26.0%). The least common were B- and AB-, each making up 0.5% of the total. When looking at age demographics, the distribution of blood types was similar for both groups (less than 40, and 40 and above). However, there was a slightly higher percentage of A+ individuals in the 40 and above group (28.6%) compared to the less than 40 group (25.2%). In terms of education, the distribution of blood types was almost identical between the educated and uneducated groups. However, it's important to note that the sample size for the uneducated group was significantly smaller (18 individuals), which may affect the reliability of these results. The distribution of blood types also varied slightly between males and females. Females had a higher percentage of B+ individuals (16.4%) compared to males (4.5%). Conversely, males had a higher percentage of AB+ individuals (7.8%) compared to females (2.1%). These findings contribute and provide valuable insights into the phenotypic distribution of ABO and Rh blood types in Rivers State, Nigeria. Understanding these distributions is crucial for various medical and research purposes, such as blood transfusion services and disease susceptibility studies. The observed distribution of blood types in this study is supported by </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[17], Isah </w:t>
      </w:r>
      <w:r>
        <w:rPr>
          <w:rFonts w:ascii="Times New Roman" w:hAnsi="Times New Roman" w:cs="Times New Roman"/>
          <w:i/>
          <w:sz w:val="24"/>
          <w:szCs w:val="24"/>
        </w:rPr>
        <w:t>et al</w:t>
      </w:r>
      <w:r>
        <w:rPr>
          <w:rFonts w:ascii="Times New Roman" w:hAnsi="Times New Roman" w:cs="Times New Roman"/>
          <w:sz w:val="24"/>
          <w:szCs w:val="24"/>
        </w:rPr>
        <w:t xml:space="preserve"> [18], and </w:t>
      </w: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[19] in their cross-sectional research.  Although the specific percentages vary, the overall trend of a higher prevalence of O and A blood types is consistent across these populations. This consistency strengthens the validity of the findings and suggests that similar genetic and environmental factors may be influencing blood type distribution in these populations. However, further research is needed to confirm these findings and explore the factors contributing to these distributions.</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729D0F63"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Furthermore, a striking uniformity in the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across different demographic categories was observed. The prevalence of the normal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(AA) remains consistently high across all demographics, while the AS variant shows a lower prevalence. Interestingly, the SS variant was not observed in the study population. When examined more closely, subtle differences emerge. The prevalence of AA </w:t>
      </w:r>
      <w:proofErr w:type="spellStart"/>
      <w:r>
        <w:rPr>
          <w:rFonts w:ascii="Times New Roman" w:hAnsi="Times New Roman" w:cs="Times New Roman"/>
          <w:sz w:val="24"/>
          <w:szCs w:val="24"/>
        </w:rPr>
        <w:t>genoptype</w:t>
      </w:r>
      <w:proofErr w:type="spellEnd"/>
      <w:r>
        <w:rPr>
          <w:rFonts w:ascii="Times New Roman" w:hAnsi="Times New Roman" w:cs="Times New Roman"/>
          <w:sz w:val="24"/>
          <w:szCs w:val="24"/>
        </w:rPr>
        <w:t xml:space="preserve"> is slightly higher in females and educated individuals. These variations, although minor, could point to underlying genetic or environmental factors that warrant further investigation. The high prevalence of the   AA genotype and the absence of the SS variant have significant implications for public health planning in Rivers State. These findings suggest that the burden of sickle cell disease, which is associated with the SS variant, may be lower in this population compared to other regions with a higher prevalence of the SS variant. However, the significant presence of the AS variant indicates a considerable proportion of the population are carriers of the sickle cell trait, which could have implications for future generations. While findings of the current study aligns with some previous studies [</w:t>
      </w:r>
      <w:proofErr w:type="gramStart"/>
      <w:r>
        <w:rPr>
          <w:rFonts w:ascii="Times New Roman" w:hAnsi="Times New Roman" w:cs="Times New Roman"/>
          <w:sz w:val="24"/>
          <w:szCs w:val="24"/>
        </w:rPr>
        <w:t>17][</w:t>
      </w:r>
      <w:proofErr w:type="gramEnd"/>
      <w:r>
        <w:rPr>
          <w:rFonts w:ascii="Times New Roman" w:hAnsi="Times New Roman" w:cs="Times New Roman"/>
          <w:sz w:val="24"/>
          <w:szCs w:val="24"/>
        </w:rPr>
        <w:t>18]  in terms of the high prevalence of the AA genotype and the presence of the AS variant, the absence of the SS variant is a divergence. This discrepancy could be due to various factors, including the specific genetic makeup of the Rivers State population, or it could be a result of the study's limitations.</w:t>
      </w:r>
    </w:p>
    <w:p w14:paraId="0E64468C"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Moving on, none of the demographic variables examined—age, sex, marital status, and education—were significantly associated with blood group phenotypes. These findings suggest that within the scope of this study, demographic factors may not play a significant role in determining blood group phenotypes. These findings necessitate a reevaluation of the conventional assumptions regarding the role of demographic variables in determining blood group phenotypes. While age, sex, marital status, and education are commonly presumed to be influential factors, our study suggests a more nuanced relationship. The lack of significant associations observed in this study prompts a reconsideration of the relative importance of these demographic variables in predicting blood group phenotypes. Healthcare practitioners should exercise caution when relying solely on demographic characteristics for clinical decision-making regarding blood group compatibility or disease risk assessment. Moreover, researchers should explore alternative factors beyond demographic parameters to better understand the underlying determinants of blood group phenotypes. This shift in focus may lead to the identification of novel factors contributing to blood group variability and enhance our understanding of individual differences in blood group </w:t>
      </w:r>
      <w:r>
        <w:rPr>
          <w:rFonts w:ascii="Times New Roman" w:hAnsi="Times New Roman" w:cs="Times New Roman"/>
          <w:sz w:val="24"/>
          <w:szCs w:val="24"/>
        </w:rPr>
        <w:lastRenderedPageBreak/>
        <w:t xml:space="preserve">expression. These findings interestingly contradicts several previous studies as observed by </w:t>
      </w: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[19] and Liu </w:t>
      </w:r>
      <w:proofErr w:type="gramStart"/>
      <w:r>
        <w:rPr>
          <w:rFonts w:ascii="Times New Roman" w:hAnsi="Times New Roman" w:cs="Times New Roman"/>
          <w:i/>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 xml:space="preserve">20] that have established significant associations between demographic variables and blood group phenotypes.  </w:t>
      </w:r>
    </w:p>
    <w:p w14:paraId="37F32CD2"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statistical analysis of the relationship between demographic variables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genotypes  provides</w:t>
      </w:r>
      <w:proofErr w:type="gramEnd"/>
      <w:r>
        <w:rPr>
          <w:rFonts w:ascii="Times New Roman" w:hAnsi="Times New Roman" w:cs="Times New Roman"/>
          <w:sz w:val="24"/>
          <w:szCs w:val="24"/>
        </w:rPr>
        <w:t xml:space="preserve"> a compelling narrative on the influence of these variables on genetic traits. The most notable result is the significant association between sex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This finding suggests that sex is a determinant factor in the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The implications of this are multifaceted, affecting clinical approaches to diseases related to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such as sickle cell disease and thalassemia [21]. It also has repercussions for reproductive health, as it could influence genetic counseling for couples and inform public health strategies for screening programs [22][23]. In contrast, age, marital status, and education did not show a significant correlation with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This suggests that other unexplored factors may be at play, and these demographic variables alone are not strong predictors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distribution. When compared with similar studies, these findings align with research that underscores sex differences in genetic traits. Studies have shown variations in hemoglobin levels and related pathologies between males and females, reinforcing the significance of sex as a variable in genetic and epidemiological research [24][25][26][27]. However, this study contrasts with research that points to geographical and ethnic factors as influential, suggesting that the interplay between genetics and demographics is complex and warrants further investigation [28].</w:t>
      </w:r>
    </w:p>
    <w:p w14:paraId="070B4477"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Finally, the correlation analysis between infectious diseases and genetic/phenotypic identity offers a detailed examination of the relationship between various infections and inherent biological traits within a population. The analysis reveals a significant positive correlation between HIV and HBsAg, as well as between HIV and Tuberculosis, suggesting a higher likelihood of co-infections among individuals with HIV. Conversely, the lack of significant correlation between HIV and Hb genotype or blood group suggests that these genetic factors may not influence the susceptibility to HIV within the study population. Similarly, a negative correlation between HBsAg and Hb genotype indicates a potential genetic resistance to HBsAg in certain Hb genotypes.</w:t>
      </w:r>
    </w:p>
    <w:p w14:paraId="564E4A58"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These findings have important implications for public health and clinical practice. The significant correlations suggest that individuals with HIV should be closely monitored for co-infections with </w:t>
      </w:r>
      <w:r>
        <w:rPr>
          <w:rFonts w:ascii="Times New Roman" w:hAnsi="Times New Roman" w:cs="Times New Roman"/>
          <w:sz w:val="24"/>
          <w:szCs w:val="24"/>
        </w:rPr>
        <w:lastRenderedPageBreak/>
        <w:t>HBsAg and Tuberculosis. The negative correlation between HBsAg and Hb genotype could inform targeted screening strategies and personalized treatment plans. Moreover, the absence of correlation between certain infections and genetic traits like blood group could redirect research focus towards other potential genetic markers of susceptibility. Research on the correlation between infections and genetic traits has been extensive. Studies have identified genetic variations that influence the immune response to viral infections, highlighting the role of host genetics in disease susceptibility [29]. Other research has focused on the genetic landscape of immune response to common viral infections, emphasizing the importance of the HLA region in host-virus interactions [30]. These studies support the notion that genetic factors can significantly influence the risk and progression of infectious diseases.</w:t>
      </w:r>
    </w:p>
    <w:p w14:paraId="1486E5E4" w14:textId="77777777" w:rsidR="00F242A0" w:rsidRDefault="00F242A0">
      <w:pPr>
        <w:spacing w:line="360" w:lineRule="auto"/>
        <w:jc w:val="both"/>
        <w:rPr>
          <w:rFonts w:ascii="Times New Roman" w:hAnsi="Times New Roman" w:cs="Times New Roman"/>
          <w:b/>
          <w:sz w:val="24"/>
          <w:szCs w:val="24"/>
        </w:rPr>
      </w:pPr>
    </w:p>
    <w:p w14:paraId="162E2017" w14:textId="77777777" w:rsidR="00F242A0" w:rsidRDefault="00F242A0">
      <w:pPr>
        <w:spacing w:line="360" w:lineRule="auto"/>
        <w:jc w:val="both"/>
        <w:rPr>
          <w:rFonts w:ascii="Times New Roman" w:hAnsi="Times New Roman" w:cs="Times New Roman"/>
          <w:b/>
          <w:sz w:val="24"/>
          <w:szCs w:val="24"/>
        </w:rPr>
      </w:pPr>
    </w:p>
    <w:p w14:paraId="0291D80B" w14:textId="77777777" w:rsidR="00F242A0" w:rsidRDefault="004A190B">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019CEA0" w14:textId="4CFFB82A"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provides valuable insights into the phenotypic distribution of common blood types,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and their correlation with infections among subjects in Rivers State, Nigeria. The findings </w:t>
      </w:r>
      <w:proofErr w:type="gramStart"/>
      <w:r>
        <w:rPr>
          <w:rFonts w:ascii="Times New Roman" w:hAnsi="Times New Roman" w:cs="Times New Roman"/>
          <w:sz w:val="24"/>
          <w:szCs w:val="24"/>
        </w:rPr>
        <w:t>brings</w:t>
      </w:r>
      <w:proofErr w:type="gramEnd"/>
      <w:r>
        <w:rPr>
          <w:rFonts w:ascii="Times New Roman" w:hAnsi="Times New Roman" w:cs="Times New Roman"/>
          <w:sz w:val="24"/>
          <w:szCs w:val="24"/>
        </w:rPr>
        <w:t xml:space="preserve"> to light the importance of understanding genetic traits in influencing health outcomes and susceptibility to infections within a population. The prevalence of blood types O+ and A+ aligns with global trends, while the absence of the SS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suggests a lower burden of sickle cell disease in the study population. Despite minor variations across demographic categories, demographic variables were not significantly associated with blood group phenotypes, highlighting the complexity of genetic determinants. However, sex emerged as a significant determinant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distribution, emphasizing the need for tailored healthcare interventions. The correlation analysis revealed significant associations between HIV and HBsAg, as well as between HIV and Tuberculosis, emphasizing the importance of co-infection monitoring. Conversely, the lack of correlation between certain infections and genetic traits suggests the presence of other factors influencing susceptibility. These findings contribute to the growing body of research on the interplay between genetics, demographics, and infectious diseases, informing targeted public health strategies and personalized clinical interventions. Moving forward, further research is needed to elucidate the underlying mechanisms driving these </w:t>
      </w:r>
      <w:r>
        <w:rPr>
          <w:rFonts w:ascii="Times New Roman" w:hAnsi="Times New Roman" w:cs="Times New Roman"/>
          <w:sz w:val="24"/>
          <w:szCs w:val="24"/>
        </w:rPr>
        <w:lastRenderedPageBreak/>
        <w:t>associations and explore novel genetic markers of susceptibility to infections, ultimately advancing our understanding of human health and disease.</w:t>
      </w:r>
    </w:p>
    <w:p w14:paraId="6B3C79E4" w14:textId="0A1CFD7E" w:rsidR="00852008" w:rsidRDefault="00852008">
      <w:pPr>
        <w:spacing w:line="360" w:lineRule="auto"/>
        <w:jc w:val="both"/>
        <w:rPr>
          <w:rFonts w:ascii="Times New Roman" w:hAnsi="Times New Roman" w:cs="Times New Roman"/>
          <w:b/>
          <w:sz w:val="24"/>
          <w:szCs w:val="24"/>
        </w:rPr>
      </w:pPr>
    </w:p>
    <w:p w14:paraId="6CEA028A" w14:textId="77777777" w:rsidR="00852008" w:rsidRPr="009B7417" w:rsidRDefault="00852008" w:rsidP="00852008">
      <w:pPr>
        <w:rPr>
          <w:rFonts w:ascii="Calibri" w:eastAsia="Calibri" w:hAnsi="Calibri" w:cs="Times New Roman"/>
          <w:b/>
          <w:kern w:val="2"/>
          <w:highlight w:val="yellow"/>
          <w14:ligatures w14:val="standardContextual"/>
        </w:rPr>
      </w:pPr>
      <w:r w:rsidRPr="009B7417">
        <w:rPr>
          <w:rFonts w:ascii="Calibri" w:eastAsia="Calibri" w:hAnsi="Calibri" w:cs="Times New Roman"/>
          <w:b/>
          <w:kern w:val="2"/>
          <w:highlight w:val="yellow"/>
          <w14:ligatures w14:val="standardContextual"/>
        </w:rPr>
        <w:t>Disclaimer (Artificial intelligence)</w:t>
      </w:r>
    </w:p>
    <w:p w14:paraId="68706842"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 xml:space="preserve">Option 1: </w:t>
      </w:r>
    </w:p>
    <w:p w14:paraId="3B5C9D32"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852008">
        <w:rPr>
          <w:rFonts w:ascii="Calibri" w:eastAsia="Calibri" w:hAnsi="Calibri" w:cs="Times New Roman"/>
          <w:kern w:val="2"/>
          <w:highlight w:val="yellow"/>
          <w14:ligatures w14:val="standardContextual"/>
        </w:rPr>
        <w:t>ChatGPT</w:t>
      </w:r>
      <w:proofErr w:type="spellEnd"/>
      <w:r w:rsidRPr="00852008">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6B074C3F"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 xml:space="preserve">Option 2: </w:t>
      </w:r>
    </w:p>
    <w:p w14:paraId="1204F8DD"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CBE005"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Details of the AI usage are given below:</w:t>
      </w:r>
    </w:p>
    <w:p w14:paraId="1F5E0054"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1.</w:t>
      </w:r>
    </w:p>
    <w:p w14:paraId="743F4831"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2.</w:t>
      </w:r>
    </w:p>
    <w:p w14:paraId="3AC16A0D"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3.</w:t>
      </w:r>
    </w:p>
    <w:p w14:paraId="290E3E14" w14:textId="77777777" w:rsidR="00852008" w:rsidRPr="00852008" w:rsidRDefault="00852008" w:rsidP="00852008">
      <w:pPr>
        <w:rPr>
          <w:rFonts w:ascii="Calibri" w:eastAsia="Calibri" w:hAnsi="Calibri" w:cs="Times New Roman"/>
          <w:kern w:val="2"/>
          <w14:ligatures w14:val="standardContextual"/>
        </w:rPr>
      </w:pPr>
    </w:p>
    <w:p w14:paraId="1535805A" w14:textId="77777777" w:rsidR="00852008" w:rsidRDefault="00852008">
      <w:pPr>
        <w:spacing w:line="360" w:lineRule="auto"/>
        <w:jc w:val="both"/>
        <w:rPr>
          <w:rFonts w:ascii="Times New Roman" w:hAnsi="Times New Roman" w:cs="Times New Roman"/>
          <w:b/>
          <w:sz w:val="24"/>
          <w:szCs w:val="24"/>
        </w:rPr>
      </w:pPr>
    </w:p>
    <w:p w14:paraId="6918A58B" w14:textId="77777777" w:rsidR="00F242A0" w:rsidRDefault="004A190B">
      <w:pPr>
        <w:rPr>
          <w:rFonts w:ascii="Times New Roman" w:hAnsi="Times New Roman" w:cs="Times New Roman"/>
          <w:b/>
          <w:sz w:val="24"/>
          <w:szCs w:val="24"/>
        </w:rPr>
      </w:pPr>
      <w:r>
        <w:rPr>
          <w:rFonts w:ascii="Times New Roman" w:hAnsi="Times New Roman" w:cs="Times New Roman"/>
          <w:b/>
          <w:sz w:val="24"/>
          <w:szCs w:val="24"/>
        </w:rPr>
        <w:t>References</w:t>
      </w:r>
    </w:p>
    <w:p w14:paraId="7193B908"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Editors of Encyclopedia Britannica. ABO blood group system | Definition, Blood Type, &amp; ABO Antigens. In: </w:t>
      </w:r>
      <w:proofErr w:type="spellStart"/>
      <w:r>
        <w:rPr>
          <w:rFonts w:ascii="Times New Roman" w:hAnsi="Times New Roman" w:cs="Times New Roman"/>
          <w:sz w:val="24"/>
          <w:szCs w:val="24"/>
        </w:rPr>
        <w:t>Encyclopædia</w:t>
      </w:r>
      <w:proofErr w:type="spellEnd"/>
      <w:r>
        <w:rPr>
          <w:rFonts w:ascii="Times New Roman" w:hAnsi="Times New Roman" w:cs="Times New Roman"/>
          <w:sz w:val="24"/>
          <w:szCs w:val="24"/>
        </w:rPr>
        <w:t xml:space="preserve"> Britannica [Internet]. 2019. Available from: </w:t>
      </w:r>
      <w:hyperlink r:id="rId7" w:history="1">
        <w:r w:rsidR="00F242A0">
          <w:rPr>
            <w:rStyle w:val="Hyperlink"/>
            <w:rFonts w:ascii="Times New Roman" w:hAnsi="Times New Roman" w:cs="Times New Roman"/>
            <w:sz w:val="24"/>
            <w:szCs w:val="24"/>
          </w:rPr>
          <w:t>https://www.britannica.com/science/ABO-blood-group-system</w:t>
        </w:r>
      </w:hyperlink>
    </w:p>
    <w:p w14:paraId="4B2E6B8E" w14:textId="77777777" w:rsidR="00F242A0" w:rsidRDefault="004A190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Waniwaseem</w:t>
      </w:r>
      <w:proofErr w:type="spellEnd"/>
      <w:r>
        <w:rPr>
          <w:rFonts w:ascii="Times New Roman" w:hAnsi="Times New Roman" w:cs="Times New Roman"/>
          <w:sz w:val="24"/>
          <w:szCs w:val="24"/>
        </w:rPr>
        <w:t>. Blood Groups | ABO Blood Group &amp; Rh Blood Group Systems | BYJU’S [Internet]. BYJUS. Available from: https://byjus.com/biology/blood-groups/</w:t>
      </w:r>
    </w:p>
    <w:p w14:paraId="4EE105F8"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‌ABO Blood Group system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 xml:space="preserve">,AB,O and Rh) - </w:t>
      </w:r>
      <w:proofErr w:type="spellStart"/>
      <w:r>
        <w:rPr>
          <w:rFonts w:ascii="Times New Roman" w:hAnsi="Times New Roman" w:cs="Times New Roman"/>
          <w:sz w:val="24"/>
          <w:szCs w:val="24"/>
        </w:rPr>
        <w:t>PathBiology</w:t>
      </w:r>
      <w:proofErr w:type="spellEnd"/>
      <w:r>
        <w:rPr>
          <w:rFonts w:ascii="Times New Roman" w:hAnsi="Times New Roman" w:cs="Times New Roman"/>
          <w:sz w:val="24"/>
          <w:szCs w:val="24"/>
        </w:rPr>
        <w:t xml:space="preserve"> [Internet]. 2023 [cited 2024 May 4]. Available from: https://pathbiology.com/abo-blood-group-system-ababo-and-rh/</w:t>
      </w:r>
    </w:p>
    <w:p w14:paraId="29AEDDB3"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UpToDate [Internet]. www.uptodate.com. Available from: https://www.uptodate.com/contents/hemoglobin-variants-including-hb-c-hb-d-and-hb-e</w:t>
      </w:r>
    </w:p>
    <w:p w14:paraId="347BF75E"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1.How</w:t>
      </w:r>
      <w:proofErr w:type="gramEnd"/>
      <w:r>
        <w:rPr>
          <w:rFonts w:ascii="Times New Roman" w:hAnsi="Times New Roman" w:cs="Times New Roman"/>
          <w:sz w:val="24"/>
          <w:szCs w:val="24"/>
        </w:rPr>
        <w:t xml:space="preserve"> blood group O protects against malaria [Internet]. ScienceDaily. Available from: https://www.sciencedaily.com/releases/2015/03/150309124113.htm</w:t>
      </w:r>
    </w:p>
    <w:p w14:paraId="12CD94BD"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Panda AK, Panda SK, Sahu AN, Tripathy R, Ravindran B, Das BK. Association of ABO blood group with severe falciparum malaria in adults: case control study and meta-analysis. Malaria Journal [Internet]. 2011;10(1):309. Available from: https://www.scienceopen.com/document_file/ed90159b-7ee3-4484-996b-4cec74ce826d/PubMedCentral/ed90159b-7ee3-4484-996b-4cec74ce826d.pdf</w:t>
      </w:r>
    </w:p>
    <w:p w14:paraId="73CFC3FD"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‌Ajayi A. Did you know people with type O blood are less likely to contract malaria? [Internet]. Pulse Nigeria. 2024 [cited 2024 May 4]. Available from: https://www.pulse.ng/lifestyle/did-you-know-people-with-type-o-blood-are-less-likely-to-contract-malaria/eg5e9p5</w:t>
      </w:r>
    </w:p>
    <w:p w14:paraId="049EBCF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‌Ramos B, Ribeiro-Alves M, Pereira T, Jose Henrique </w:t>
      </w:r>
      <w:proofErr w:type="spellStart"/>
      <w:r>
        <w:rPr>
          <w:rFonts w:ascii="Times New Roman" w:hAnsi="Times New Roman" w:cs="Times New Roman"/>
          <w:sz w:val="24"/>
          <w:szCs w:val="24"/>
        </w:rPr>
        <w:t>Pilotto</w:t>
      </w:r>
      <w:proofErr w:type="spellEnd"/>
      <w:r>
        <w:rPr>
          <w:rFonts w:ascii="Times New Roman" w:hAnsi="Times New Roman" w:cs="Times New Roman"/>
          <w:sz w:val="24"/>
          <w:szCs w:val="24"/>
        </w:rPr>
        <w:t xml:space="preserve">, Valeria Cavalcanti Rolla, Carmem B. W. </w:t>
      </w:r>
      <w:proofErr w:type="spellStart"/>
      <w:r>
        <w:rPr>
          <w:rFonts w:ascii="Times New Roman" w:hAnsi="Times New Roman" w:cs="Times New Roman"/>
          <w:sz w:val="24"/>
          <w:szCs w:val="24"/>
        </w:rPr>
        <w:t>Giacoia-Gripp</w:t>
      </w:r>
      <w:proofErr w:type="spellEnd"/>
      <w:r>
        <w:rPr>
          <w:rFonts w:ascii="Times New Roman" w:hAnsi="Times New Roman" w:cs="Times New Roman"/>
          <w:sz w:val="24"/>
          <w:szCs w:val="24"/>
        </w:rPr>
        <w:t>, et al. Clinical and genetic markers associated with tuberculosis, HIV-1 infection, and TB/HIV-immune reconstitution inflammatory syndrome outcomes. BMC Infectious Diseases. 2020 Jan 20;20(1).</w:t>
      </w:r>
    </w:p>
    <w:p w14:paraId="58C52E52"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CDC. TB &amp; HIV Coinfection [Internet]. CDC. 2019. Available from: https://www.cdc.gov/tb/topic/basics/tbhivcoinfection.htm</w:t>
      </w:r>
    </w:p>
    <w:p w14:paraId="1F8ED5A9"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CDC. The Connection between TB and HIV | Pamphlets, Brochures, Booklets| Publications &amp; Products | TB | CDC [Internet]. www.cdc.gov. 2020. Available from: https://www.cdc.gov/tb/publications/pamphlets/tbandhiv_eng.htm</w:t>
      </w:r>
    </w:p>
    <w:p w14:paraId="45A76E04"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UPTH - University of Port Harcourt Teaching Hospital [Internet]. UPTH - University of Port Harcourt Teaching Hospital. Available from: https://upthng.com/</w:t>
      </w:r>
    </w:p>
    <w:p w14:paraId="43345D14"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Verma G. Decontamination Method for Tuberculosis: A Review 1 </w:t>
      </w:r>
      <w:proofErr w:type="spellStart"/>
      <w:r>
        <w:rPr>
          <w:rFonts w:ascii="Times New Roman" w:hAnsi="Times New Roman" w:cs="Times New Roman"/>
          <w:sz w:val="24"/>
          <w:szCs w:val="24"/>
        </w:rPr>
        <w:t>MedDocs</w:t>
      </w:r>
      <w:proofErr w:type="spellEnd"/>
      <w:r>
        <w:rPr>
          <w:rFonts w:ascii="Times New Roman" w:hAnsi="Times New Roman" w:cs="Times New Roman"/>
          <w:sz w:val="24"/>
          <w:szCs w:val="24"/>
        </w:rPr>
        <w:t xml:space="preserve"> Publishers of Creative Commons Attribution 4.0 International License. 2021;4(1):1025. Available from: https://meddocsonline.org/journal-of-tuberculosis/Decontamination-Method-for-Tuberculosis-A-Review.pdf</w:t>
      </w:r>
    </w:p>
    <w:p w14:paraId="4AE3A8F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Faraj T. ABO and Rh Blood Group Systems [Internet]. [cited 2024 May 4]. Available from: https://lecture-notes.tiu.edu.iq/wp-content/uploads/2020/12/W5LabMA2ndImmuno-Dr.-Tola-FARAJ.pdf</w:t>
      </w:r>
    </w:p>
    <w:p w14:paraId="1AD72B96"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‌Blood Genotyping: Blood typing of ABO and HPA | One Lambda [Internet]. Thermo Fisher Scientific. Available from: https://www.thermofisher.com/onelambda/wo/en/transfusion/blood-typing.html</w:t>
      </w:r>
    </w:p>
    <w:p w14:paraId="4BAFD103"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Screening for HIV | Clinicians | HIV | CDC [Internet]. www.cdc.gov. 2021. Available from: https://www.cdc.gov/hiv/clinicians/screening/index.html</w:t>
      </w:r>
    </w:p>
    <w:p w14:paraId="32F250C8"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‌Recommendations for Routine Testing and Follow-up for Chronic Hepatitis B Virus (HBV) Infection | CDC [Internet]. www.cdc.gov. 2019. Available from: https://www.cdc.gov/hepatitis/hbv/HBV-RoutineTesting-Followup.htm</w:t>
      </w:r>
    </w:p>
    <w:p w14:paraId="1511E9B1" w14:textId="77777777" w:rsidR="00F242A0" w:rsidRDefault="004A190B">
      <w:pPr>
        <w:pStyle w:val="ListParagraph"/>
        <w:numPr>
          <w:ilvl w:val="0"/>
          <w:numId w:val="1"/>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A, Bamidele O, </w:t>
      </w:r>
      <w:proofErr w:type="spellStart"/>
      <w:r>
        <w:rPr>
          <w:rFonts w:ascii="Times New Roman" w:hAnsi="Times New Roman" w:cs="Times New Roman"/>
          <w:sz w:val="24"/>
          <w:szCs w:val="24"/>
        </w:rPr>
        <w:t>Amosu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Ugwah</w:t>
      </w:r>
      <w:proofErr w:type="spellEnd"/>
      <w:r>
        <w:rPr>
          <w:rFonts w:ascii="Times New Roman" w:hAnsi="Times New Roman" w:cs="Times New Roman"/>
          <w:sz w:val="24"/>
          <w:szCs w:val="24"/>
        </w:rPr>
        <w:t xml:space="preserve"> G. Distribution of ABO and Rh Blood Groups among Major Ethnic Groups of Medical Students of Madonna University Teaching. Asian Journal of Medical Sciences [Internet]. 2011 [cited 2024 Apr 30];3(3):106–9. Available from: </w:t>
      </w:r>
      <w:hyperlink r:id="rId8" w:history="1">
        <w:r w:rsidR="00F242A0">
          <w:rPr>
            <w:rStyle w:val="Hyperlink"/>
            <w:rFonts w:ascii="Times New Roman" w:hAnsi="Times New Roman" w:cs="Times New Roman"/>
            <w:sz w:val="24"/>
            <w:szCs w:val="24"/>
          </w:rPr>
          <w:t>https://maxwellsci.com/print/ajms/v3-106-109.pdf</w:t>
        </w:r>
      </w:hyperlink>
    </w:p>
    <w:p w14:paraId="6B3EE764"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Isah A, Anosike C, Ogbodo CS, Emeka CO, </w:t>
      </w:r>
      <w:proofErr w:type="spellStart"/>
      <w:r>
        <w:rPr>
          <w:rFonts w:ascii="Times New Roman" w:hAnsi="Times New Roman" w:cs="Times New Roman"/>
          <w:sz w:val="24"/>
          <w:szCs w:val="24"/>
        </w:rPr>
        <w:t>Nworu</w:t>
      </w:r>
      <w:proofErr w:type="spellEnd"/>
      <w:r>
        <w:rPr>
          <w:rFonts w:ascii="Times New Roman" w:hAnsi="Times New Roman" w:cs="Times New Roman"/>
          <w:sz w:val="24"/>
          <w:szCs w:val="24"/>
        </w:rPr>
        <w:t xml:space="preserve"> CS. GENOTYPE AND ABO BLOOD GROUP ASSOCIATION WITH PREVALENCE OF MALARIA AMONG PATIENTS IN UNIVERSITY OF NIGERIA MEDICAL CENTER: A CROSS-SECTIONAL </w:t>
      </w:r>
      <w:r>
        <w:rPr>
          <w:rFonts w:ascii="Times New Roman" w:hAnsi="Times New Roman" w:cs="Times New Roman"/>
          <w:sz w:val="24"/>
          <w:szCs w:val="24"/>
        </w:rPr>
        <w:lastRenderedPageBreak/>
        <w:t>EVALUATION. International Journal of Pharmacy and Pharmaceutical Sciences. 2019 Apr 16;28–32.</w:t>
      </w:r>
    </w:p>
    <w:p w14:paraId="673FDB17" w14:textId="77777777" w:rsidR="00F242A0" w:rsidRDefault="004A190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Dehnavi</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Afshari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Tayefi</w:t>
      </w:r>
      <w:proofErr w:type="spellEnd"/>
      <w:r>
        <w:rPr>
          <w:rFonts w:ascii="Times New Roman" w:hAnsi="Times New Roman" w:cs="Times New Roman"/>
          <w:sz w:val="24"/>
          <w:szCs w:val="24"/>
        </w:rPr>
        <w:t xml:space="preserve"> M. Prevalence of ABO and Rh blood groups and their association with demographic and anthropometric factors in an Iranian population: Mashad study. Eastern Mediterranean Health Journal [Internet]. 2020 Aug 24 [cited 2020 Sep 2];26(8):916–22. Available from: </w:t>
      </w:r>
      <w:hyperlink r:id="rId9" w:history="1">
        <w:r w:rsidR="00F242A0">
          <w:rPr>
            <w:rStyle w:val="Hyperlink"/>
            <w:rFonts w:ascii="Times New Roman" w:hAnsi="Times New Roman" w:cs="Times New Roman"/>
            <w:sz w:val="24"/>
            <w:szCs w:val="24"/>
          </w:rPr>
          <w:t>http://www.emro.who.int/images/stories/emhj/documents/in_press/prevalence_of_abo_and_Rh_blood_groups_and_their_association_with_demographic_and_anthropometric_factors_in_an_iranian_population.pdf?ua=1</w:t>
        </w:r>
      </w:hyperlink>
    </w:p>
    <w:p w14:paraId="17C4F3A0" w14:textId="77777777" w:rsidR="00F242A0" w:rsidRDefault="004A190B">
      <w:pPr>
        <w:pStyle w:val="ListParagraph"/>
        <w:numPr>
          <w:ilvl w:val="0"/>
          <w:numId w:val="1"/>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Liu J, Zhang S, Wang Q, Shen H, Zhang Y, Liu M. Frequencies and ethnic distribution of ABO and </w:t>
      </w:r>
      <w:proofErr w:type="spellStart"/>
      <w:r>
        <w:rPr>
          <w:rFonts w:ascii="Times New Roman" w:hAnsi="Times New Roman" w:cs="Times New Roman"/>
          <w:sz w:val="24"/>
          <w:szCs w:val="24"/>
        </w:rPr>
        <w:t>RhD</w:t>
      </w:r>
      <w:proofErr w:type="spellEnd"/>
      <w:r>
        <w:rPr>
          <w:rFonts w:ascii="Times New Roman" w:hAnsi="Times New Roman" w:cs="Times New Roman"/>
          <w:sz w:val="24"/>
          <w:szCs w:val="24"/>
        </w:rPr>
        <w:t xml:space="preserve"> blood groups in China: a population-based cross-sectional study. BMJ Open [Internet]. 2017 Dec;7(12</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018476. Available from: </w:t>
      </w:r>
      <w:hyperlink r:id="rId10" w:history="1">
        <w:r w:rsidR="00F242A0">
          <w:rPr>
            <w:rStyle w:val="Hyperlink"/>
            <w:rFonts w:ascii="Times New Roman" w:hAnsi="Times New Roman" w:cs="Times New Roman"/>
            <w:sz w:val="24"/>
            <w:szCs w:val="24"/>
          </w:rPr>
          <w:t>https://bmjopen.bmj.com/content/7/12/e018476</w:t>
        </w:r>
      </w:hyperlink>
    </w:p>
    <w:p w14:paraId="79C2F4AC"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Steinberg MH, Forget BG, Higgs DR, Weatherall DJ. Disorders of Hemoglobin: Genetics, Pathophysiology, and Clinical Management. 2nd ed. Cambridge: Cambridge University Press; 2009.</w:t>
      </w:r>
    </w:p>
    <w:p w14:paraId="4731697D"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Harper JC, Sengupta SB. Preimplantation genetic diagnosis: state of the ART 2014. Hum Genet. 2014 Feb;133(2):175-86.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10.1007/s00439-013-1389-4.</w:t>
      </w:r>
    </w:p>
    <w:p w14:paraId="4DA8B5C1" w14:textId="77777777" w:rsidR="00F242A0" w:rsidRDefault="004A190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Andermann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Blancquaert</w:t>
      </w:r>
      <w:proofErr w:type="spellEnd"/>
      <w:r>
        <w:rPr>
          <w:rFonts w:ascii="Times New Roman" w:hAnsi="Times New Roman" w:cs="Times New Roman"/>
          <w:sz w:val="24"/>
          <w:szCs w:val="24"/>
        </w:rPr>
        <w:t xml:space="preserve"> I, Beauchamp S, Déry V. Revisiting Wilson and </w:t>
      </w:r>
      <w:proofErr w:type="spellStart"/>
      <w:r>
        <w:rPr>
          <w:rFonts w:ascii="Times New Roman" w:hAnsi="Times New Roman" w:cs="Times New Roman"/>
          <w:sz w:val="24"/>
          <w:szCs w:val="24"/>
        </w:rPr>
        <w:t>Jungner</w:t>
      </w:r>
      <w:proofErr w:type="spellEnd"/>
      <w:r>
        <w:rPr>
          <w:rFonts w:ascii="Times New Roman" w:hAnsi="Times New Roman" w:cs="Times New Roman"/>
          <w:sz w:val="24"/>
          <w:szCs w:val="24"/>
        </w:rPr>
        <w:t xml:space="preserve"> in the genomic age: a review of screening criteria over the past 40 years. Bull World Health Organ. 2008 Apr;86(4):317-9.</w:t>
      </w:r>
    </w:p>
    <w:p w14:paraId="5C5182AE" w14:textId="77777777" w:rsidR="00F242A0" w:rsidRDefault="004A190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Iannuzzi</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Bacalini</w:t>
      </w:r>
      <w:proofErr w:type="spellEnd"/>
      <w:r>
        <w:rPr>
          <w:rFonts w:ascii="Times New Roman" w:hAnsi="Times New Roman" w:cs="Times New Roman"/>
          <w:sz w:val="24"/>
          <w:szCs w:val="24"/>
        </w:rPr>
        <w:t xml:space="preserve"> MG, </w:t>
      </w:r>
      <w:proofErr w:type="spellStart"/>
      <w:r>
        <w:rPr>
          <w:rFonts w:ascii="Times New Roman" w:hAnsi="Times New Roman" w:cs="Times New Roman"/>
          <w:sz w:val="24"/>
          <w:szCs w:val="24"/>
        </w:rPr>
        <w:t>Franceschi</w:t>
      </w:r>
      <w:proofErr w:type="spellEnd"/>
      <w:r>
        <w:rPr>
          <w:rFonts w:ascii="Times New Roman" w:hAnsi="Times New Roman" w:cs="Times New Roman"/>
          <w:sz w:val="24"/>
          <w:szCs w:val="24"/>
        </w:rPr>
        <w:t xml:space="preserve"> C, Giuliani C. The role of genetics and epigenetics in sex differences in human survival. Genus. 2023 Jan 19;79(1).</w:t>
      </w:r>
    </w:p>
    <w:p w14:paraId="3E0F37A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‌Friar G. Genetic Study Takes Research on Sex Differences to New Heights [Internet]. MIT News | Massachusetts Institute of Technology. 2019. Available from: https://news.mit.edu/2019/genetic-study-takes-sex-differences-research-to-new-heights-0718</w:t>
      </w:r>
    </w:p>
    <w:p w14:paraId="68D812A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Genetic Origins of Sex Differences in Disease [Internet]. medicine.yale.edu. [cited 2024 May 4]. Available from: https://medicine.yale.edu/news-article/the-genetic-origins-of-sex-differences-in-disease/</w:t>
      </w:r>
    </w:p>
    <w:p w14:paraId="4451A2C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 better approach: Studying genetics by accounting for sex differences | ASU News [Internet]. news.asu.edu. [cited 2024 May 4]. Available from: https://news.asu.edu/20230515-better-approach-studying-genetics-accounting-sex-differences</w:t>
      </w:r>
    </w:p>
    <w:p w14:paraId="0ADFB3D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Ali-Khan SE, Krakowski T, Tahir R, Daar AS. The use of race, ethnicity and ancestry in human genetic research. The HUGO Journal [Internet]. 2011 Jul 7 [cited 2019 Oct 24];5(1-4):47–63. Available from: https://www.ncbi.nlm.nih.gov/pmc/articles/PMC3237839/</w:t>
      </w:r>
    </w:p>
    <w:p w14:paraId="43042F3A"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van der Made CI, </w:t>
      </w:r>
      <w:proofErr w:type="spellStart"/>
      <w:r>
        <w:rPr>
          <w:rFonts w:ascii="Times New Roman" w:hAnsi="Times New Roman" w:cs="Times New Roman"/>
          <w:sz w:val="24"/>
          <w:szCs w:val="24"/>
        </w:rPr>
        <w:t>Netea</w:t>
      </w:r>
      <w:proofErr w:type="spellEnd"/>
      <w:r>
        <w:rPr>
          <w:rFonts w:ascii="Times New Roman" w:hAnsi="Times New Roman" w:cs="Times New Roman"/>
          <w:sz w:val="24"/>
          <w:szCs w:val="24"/>
        </w:rPr>
        <w:t xml:space="preserve"> MG, van der </w:t>
      </w:r>
      <w:proofErr w:type="spellStart"/>
      <w:r>
        <w:rPr>
          <w:rFonts w:ascii="Times New Roman" w:hAnsi="Times New Roman" w:cs="Times New Roman"/>
          <w:sz w:val="24"/>
          <w:szCs w:val="24"/>
        </w:rPr>
        <w:t>Veerdonk</w:t>
      </w:r>
      <w:proofErr w:type="spellEnd"/>
      <w:r>
        <w:rPr>
          <w:rFonts w:ascii="Times New Roman" w:hAnsi="Times New Roman" w:cs="Times New Roman"/>
          <w:sz w:val="24"/>
          <w:szCs w:val="24"/>
        </w:rPr>
        <w:t xml:space="preserve"> FL, </w:t>
      </w:r>
      <w:proofErr w:type="spellStart"/>
      <w:r>
        <w:rPr>
          <w:rFonts w:ascii="Times New Roman" w:hAnsi="Times New Roman" w:cs="Times New Roman"/>
          <w:sz w:val="24"/>
          <w:szCs w:val="24"/>
        </w:rPr>
        <w:t>Hoischen</w:t>
      </w:r>
      <w:proofErr w:type="spellEnd"/>
      <w:r>
        <w:rPr>
          <w:rFonts w:ascii="Times New Roman" w:hAnsi="Times New Roman" w:cs="Times New Roman"/>
          <w:sz w:val="24"/>
          <w:szCs w:val="24"/>
        </w:rPr>
        <w:t xml:space="preserve"> A. Clinical implications of host genetic variation and susceptibility to severe or critical COVID-19. Genome Medicine. 2022 Aug 19;14(1).</w:t>
      </w:r>
    </w:p>
    <w:p w14:paraId="1294AD46" w14:textId="3FF49110"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Kachuri</w:t>
      </w:r>
      <w:proofErr w:type="spellEnd"/>
      <w:r>
        <w:rPr>
          <w:rFonts w:ascii="Times New Roman" w:hAnsi="Times New Roman" w:cs="Times New Roman"/>
          <w:sz w:val="24"/>
          <w:szCs w:val="24"/>
        </w:rPr>
        <w:t xml:space="preserve"> L, Francis SS, Morrison ML, Wendt GA, </w:t>
      </w:r>
      <w:proofErr w:type="spellStart"/>
      <w:r>
        <w:rPr>
          <w:rFonts w:ascii="Times New Roman" w:hAnsi="Times New Roman" w:cs="Times New Roman"/>
          <w:sz w:val="24"/>
          <w:szCs w:val="24"/>
        </w:rPr>
        <w:t>Bossé</w:t>
      </w:r>
      <w:proofErr w:type="spellEnd"/>
      <w:r>
        <w:rPr>
          <w:rFonts w:ascii="Times New Roman" w:hAnsi="Times New Roman" w:cs="Times New Roman"/>
          <w:sz w:val="24"/>
          <w:szCs w:val="24"/>
        </w:rPr>
        <w:t xml:space="preserve"> Y, Cavazos TB, et al. The landscape of host genetic factors involved in immune response to common viral infections. Genome Medicine. 2020 Oct 27;12(1).</w:t>
      </w:r>
    </w:p>
    <w:p w14:paraId="246DD7F9" w14:textId="58D8225D" w:rsidR="00E46DAD" w:rsidRPr="00E46DAD" w:rsidRDefault="00E46DAD">
      <w:pPr>
        <w:pStyle w:val="ListParagraph"/>
        <w:numPr>
          <w:ilvl w:val="0"/>
          <w:numId w:val="1"/>
        </w:numPr>
        <w:jc w:val="both"/>
        <w:rPr>
          <w:rFonts w:ascii="Times New Roman" w:hAnsi="Times New Roman" w:cs="Times New Roman"/>
          <w:sz w:val="24"/>
          <w:szCs w:val="24"/>
          <w:highlight w:val="yellow"/>
        </w:rPr>
      </w:pPr>
      <w:proofErr w:type="spellStart"/>
      <w:r w:rsidRPr="00E46DAD">
        <w:rPr>
          <w:rFonts w:ascii="Times New Roman" w:hAnsi="Times New Roman" w:cs="Times New Roman"/>
          <w:sz w:val="24"/>
          <w:szCs w:val="24"/>
          <w:highlight w:val="yellow"/>
        </w:rPr>
        <w:lastRenderedPageBreak/>
        <w:t>Eze</w:t>
      </w:r>
      <w:proofErr w:type="spellEnd"/>
      <w:r w:rsidRPr="00E46DAD">
        <w:rPr>
          <w:rFonts w:ascii="Times New Roman" w:hAnsi="Times New Roman" w:cs="Times New Roman"/>
          <w:sz w:val="24"/>
          <w:szCs w:val="24"/>
          <w:highlight w:val="yellow"/>
        </w:rPr>
        <w:t xml:space="preserve">, R., </w:t>
      </w:r>
      <w:proofErr w:type="spellStart"/>
      <w:r w:rsidRPr="00E46DAD">
        <w:rPr>
          <w:rFonts w:ascii="Times New Roman" w:hAnsi="Times New Roman" w:cs="Times New Roman"/>
          <w:sz w:val="24"/>
          <w:szCs w:val="24"/>
          <w:highlight w:val="yellow"/>
        </w:rPr>
        <w:t>Obeagu</w:t>
      </w:r>
      <w:proofErr w:type="spellEnd"/>
      <w:r w:rsidRPr="00E46DAD">
        <w:rPr>
          <w:rFonts w:ascii="Times New Roman" w:hAnsi="Times New Roman" w:cs="Times New Roman"/>
          <w:sz w:val="24"/>
          <w:szCs w:val="24"/>
          <w:highlight w:val="yellow"/>
        </w:rPr>
        <w:t xml:space="preserve">, E. I., </w:t>
      </w:r>
      <w:proofErr w:type="spellStart"/>
      <w:r w:rsidRPr="00E46DAD">
        <w:rPr>
          <w:rFonts w:ascii="Times New Roman" w:hAnsi="Times New Roman" w:cs="Times New Roman"/>
          <w:sz w:val="24"/>
          <w:szCs w:val="24"/>
          <w:highlight w:val="yellow"/>
        </w:rPr>
        <w:t>Nwakulite</w:t>
      </w:r>
      <w:proofErr w:type="spellEnd"/>
      <w:r w:rsidRPr="00E46DAD">
        <w:rPr>
          <w:rFonts w:ascii="Times New Roman" w:hAnsi="Times New Roman" w:cs="Times New Roman"/>
          <w:sz w:val="24"/>
          <w:szCs w:val="24"/>
          <w:highlight w:val="yellow"/>
        </w:rPr>
        <w:t xml:space="preserve">, A., Vincent, C., </w:t>
      </w:r>
      <w:proofErr w:type="spellStart"/>
      <w:r w:rsidRPr="00E46DAD">
        <w:rPr>
          <w:rFonts w:ascii="Times New Roman" w:hAnsi="Times New Roman" w:cs="Times New Roman"/>
          <w:sz w:val="24"/>
          <w:szCs w:val="24"/>
          <w:highlight w:val="yellow"/>
        </w:rPr>
        <w:t>Ogbodo</w:t>
      </w:r>
      <w:proofErr w:type="spellEnd"/>
      <w:r w:rsidRPr="00E46DAD">
        <w:rPr>
          <w:rFonts w:ascii="Times New Roman" w:hAnsi="Times New Roman" w:cs="Times New Roman"/>
          <w:sz w:val="24"/>
          <w:szCs w:val="24"/>
          <w:highlight w:val="yellow"/>
        </w:rPr>
        <w:t xml:space="preserve">, S. O., </w:t>
      </w:r>
      <w:proofErr w:type="spellStart"/>
      <w:r w:rsidRPr="00E46DAD">
        <w:rPr>
          <w:rFonts w:ascii="Times New Roman" w:hAnsi="Times New Roman" w:cs="Times New Roman"/>
          <w:sz w:val="24"/>
          <w:szCs w:val="24"/>
          <w:highlight w:val="yellow"/>
        </w:rPr>
        <w:t>Ibekwe</w:t>
      </w:r>
      <w:proofErr w:type="spellEnd"/>
      <w:r w:rsidRPr="00E46DAD">
        <w:rPr>
          <w:rFonts w:ascii="Times New Roman" w:hAnsi="Times New Roman" w:cs="Times New Roman"/>
          <w:sz w:val="24"/>
          <w:szCs w:val="24"/>
          <w:highlight w:val="yellow"/>
        </w:rPr>
        <w:t xml:space="preserve">, A. M., Okafor, C. J. and Chukwurah, E. F. (2021) “Frequency of </w:t>
      </w:r>
      <w:proofErr w:type="spellStart"/>
      <w:r w:rsidRPr="00E46DAD">
        <w:rPr>
          <w:rFonts w:ascii="Times New Roman" w:hAnsi="Times New Roman" w:cs="Times New Roman"/>
          <w:sz w:val="24"/>
          <w:szCs w:val="24"/>
          <w:highlight w:val="yellow"/>
        </w:rPr>
        <w:t>Haemoglobin</w:t>
      </w:r>
      <w:proofErr w:type="spellEnd"/>
      <w:r w:rsidRPr="00E46DAD">
        <w:rPr>
          <w:rFonts w:ascii="Times New Roman" w:hAnsi="Times New Roman" w:cs="Times New Roman"/>
          <w:sz w:val="24"/>
          <w:szCs w:val="24"/>
          <w:highlight w:val="yellow"/>
        </w:rPr>
        <w:t xml:space="preserve"> Genotype Variants, ABO and Rh ‘D’ Antigen among Madonna Undergraduates of South East Origin, Nigeria”, Journal of Pharmaceutical Research International, 33(29B), pp. 149–157. </w:t>
      </w:r>
      <w:proofErr w:type="spellStart"/>
      <w:r w:rsidRPr="00E46DAD">
        <w:rPr>
          <w:rFonts w:ascii="Times New Roman" w:hAnsi="Times New Roman" w:cs="Times New Roman"/>
          <w:sz w:val="24"/>
          <w:szCs w:val="24"/>
          <w:highlight w:val="yellow"/>
        </w:rPr>
        <w:t>doi</w:t>
      </w:r>
      <w:proofErr w:type="spellEnd"/>
      <w:r w:rsidRPr="00E46DAD">
        <w:rPr>
          <w:rFonts w:ascii="Times New Roman" w:hAnsi="Times New Roman" w:cs="Times New Roman"/>
          <w:sz w:val="24"/>
          <w:szCs w:val="24"/>
          <w:highlight w:val="yellow"/>
        </w:rPr>
        <w:t>: 10.9734/</w:t>
      </w:r>
      <w:proofErr w:type="spellStart"/>
      <w:r w:rsidRPr="00E46DAD">
        <w:rPr>
          <w:rFonts w:ascii="Times New Roman" w:hAnsi="Times New Roman" w:cs="Times New Roman"/>
          <w:sz w:val="24"/>
          <w:szCs w:val="24"/>
          <w:highlight w:val="yellow"/>
        </w:rPr>
        <w:t>jpri</w:t>
      </w:r>
      <w:proofErr w:type="spellEnd"/>
      <w:r w:rsidRPr="00E46DAD">
        <w:rPr>
          <w:rFonts w:ascii="Times New Roman" w:hAnsi="Times New Roman" w:cs="Times New Roman"/>
          <w:sz w:val="24"/>
          <w:szCs w:val="24"/>
          <w:highlight w:val="yellow"/>
        </w:rPr>
        <w:t xml:space="preserve">/2021/v33i29B31600. </w:t>
      </w:r>
    </w:p>
    <w:p w14:paraId="6D7FAD89" w14:textId="65CF32AE" w:rsidR="00E46DAD" w:rsidRPr="00E46DAD" w:rsidRDefault="00E46DAD">
      <w:pPr>
        <w:pStyle w:val="ListParagraph"/>
        <w:numPr>
          <w:ilvl w:val="0"/>
          <w:numId w:val="1"/>
        </w:numPr>
        <w:jc w:val="both"/>
        <w:rPr>
          <w:rFonts w:ascii="Times New Roman" w:hAnsi="Times New Roman" w:cs="Times New Roman"/>
          <w:sz w:val="24"/>
          <w:szCs w:val="24"/>
          <w:highlight w:val="yellow"/>
        </w:rPr>
      </w:pPr>
      <w:proofErr w:type="spellStart"/>
      <w:r w:rsidRPr="00E46DAD">
        <w:rPr>
          <w:rFonts w:ascii="Times New Roman" w:hAnsi="Times New Roman" w:cs="Times New Roman"/>
          <w:sz w:val="24"/>
          <w:szCs w:val="24"/>
          <w:highlight w:val="yellow"/>
        </w:rPr>
        <w:t>Pennap</w:t>
      </w:r>
      <w:proofErr w:type="spellEnd"/>
      <w:r w:rsidRPr="00E46DAD">
        <w:rPr>
          <w:rFonts w:ascii="Times New Roman" w:hAnsi="Times New Roman" w:cs="Times New Roman"/>
          <w:sz w:val="24"/>
          <w:szCs w:val="24"/>
          <w:highlight w:val="yellow"/>
        </w:rPr>
        <w:t xml:space="preserve">, G. R., E. </w:t>
      </w:r>
      <w:proofErr w:type="spellStart"/>
      <w:r w:rsidRPr="00E46DAD">
        <w:rPr>
          <w:rFonts w:ascii="Times New Roman" w:hAnsi="Times New Roman" w:cs="Times New Roman"/>
          <w:sz w:val="24"/>
          <w:szCs w:val="24"/>
          <w:highlight w:val="yellow"/>
        </w:rPr>
        <w:t>Envoh</w:t>
      </w:r>
      <w:proofErr w:type="spellEnd"/>
      <w:r w:rsidRPr="00E46DAD">
        <w:rPr>
          <w:rFonts w:ascii="Times New Roman" w:hAnsi="Times New Roman" w:cs="Times New Roman"/>
          <w:sz w:val="24"/>
          <w:szCs w:val="24"/>
          <w:highlight w:val="yellow"/>
        </w:rPr>
        <w:t xml:space="preserve">, and I. </w:t>
      </w:r>
      <w:proofErr w:type="spellStart"/>
      <w:r w:rsidRPr="00E46DAD">
        <w:rPr>
          <w:rFonts w:ascii="Times New Roman" w:hAnsi="Times New Roman" w:cs="Times New Roman"/>
          <w:sz w:val="24"/>
          <w:szCs w:val="24"/>
          <w:highlight w:val="yellow"/>
        </w:rPr>
        <w:t>Igbawua</w:t>
      </w:r>
      <w:proofErr w:type="spellEnd"/>
      <w:r w:rsidRPr="00E46DAD">
        <w:rPr>
          <w:rFonts w:ascii="Times New Roman" w:hAnsi="Times New Roman" w:cs="Times New Roman"/>
          <w:sz w:val="24"/>
          <w:szCs w:val="24"/>
          <w:highlight w:val="yellow"/>
        </w:rPr>
        <w:t xml:space="preserve">. 2011. “Frequency Distribution of Hemoglobin Variants, ABO and Rhesus Blood Groups Among Students of African Descent”. Microbiology Research Journal International 1 (2):33-40. </w:t>
      </w:r>
      <w:hyperlink r:id="rId11" w:history="1">
        <w:r w:rsidRPr="00E46DAD">
          <w:rPr>
            <w:rStyle w:val="Hyperlink"/>
            <w:rFonts w:ascii="Times New Roman" w:hAnsi="Times New Roman" w:cs="Times New Roman"/>
            <w:sz w:val="24"/>
            <w:szCs w:val="24"/>
            <w:highlight w:val="yellow"/>
          </w:rPr>
          <w:t>https://doi.org/10.9734/BMRJ/2011/196</w:t>
        </w:r>
      </w:hyperlink>
      <w:r w:rsidRPr="00E46DAD">
        <w:rPr>
          <w:rFonts w:ascii="Times New Roman" w:hAnsi="Times New Roman" w:cs="Times New Roman"/>
          <w:sz w:val="24"/>
          <w:szCs w:val="24"/>
          <w:highlight w:val="yellow"/>
        </w:rPr>
        <w:t xml:space="preserve">. </w:t>
      </w:r>
    </w:p>
    <w:p w14:paraId="6CC80ACD"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sectPr w:rsidR="00F242A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A28E9" w14:textId="77777777" w:rsidR="00C568C8" w:rsidRDefault="00C568C8">
      <w:pPr>
        <w:spacing w:line="240" w:lineRule="auto"/>
      </w:pPr>
      <w:r>
        <w:separator/>
      </w:r>
    </w:p>
  </w:endnote>
  <w:endnote w:type="continuationSeparator" w:id="0">
    <w:p w14:paraId="2263688B" w14:textId="77777777" w:rsidR="00C568C8" w:rsidRDefault="00C56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6E93" w14:textId="77777777" w:rsidR="00326E8C" w:rsidRDefault="0032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29A3" w14:textId="77777777" w:rsidR="00326E8C" w:rsidRDefault="00326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D3F8" w14:textId="77777777" w:rsidR="00326E8C" w:rsidRDefault="0032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F931" w14:textId="77777777" w:rsidR="00C568C8" w:rsidRDefault="00C568C8">
      <w:pPr>
        <w:spacing w:after="0"/>
      </w:pPr>
      <w:r>
        <w:separator/>
      </w:r>
    </w:p>
  </w:footnote>
  <w:footnote w:type="continuationSeparator" w:id="0">
    <w:p w14:paraId="7A01EA23" w14:textId="77777777" w:rsidR="00C568C8" w:rsidRDefault="00C568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A778" w14:textId="278D93DC" w:rsidR="00326E8C" w:rsidRDefault="00C568C8">
    <w:pPr>
      <w:pStyle w:val="Header"/>
    </w:pPr>
    <w:r>
      <w:rPr>
        <w:noProof/>
      </w:rPr>
      <w:pict w14:anchorId="55A14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9D611" w14:textId="2CD77D85" w:rsidR="00326E8C" w:rsidRDefault="00C568C8">
    <w:pPr>
      <w:pStyle w:val="Header"/>
    </w:pPr>
    <w:r>
      <w:rPr>
        <w:noProof/>
      </w:rPr>
      <w:pict w14:anchorId="31232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B0BB" w14:textId="4CA530B4" w:rsidR="00326E8C" w:rsidRDefault="00C568C8">
    <w:pPr>
      <w:pStyle w:val="Header"/>
    </w:pPr>
    <w:r>
      <w:rPr>
        <w:noProof/>
      </w:rPr>
      <w:pict w14:anchorId="77928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A4778C"/>
    <w:multiLevelType w:val="multilevel"/>
    <w:tmpl w:val="7CA477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46"/>
    <w:rsid w:val="00032FC1"/>
    <w:rsid w:val="00041ED1"/>
    <w:rsid w:val="00043DCD"/>
    <w:rsid w:val="00051C75"/>
    <w:rsid w:val="000B2229"/>
    <w:rsid w:val="001033EC"/>
    <w:rsid w:val="00107F3D"/>
    <w:rsid w:val="00141611"/>
    <w:rsid w:val="00193924"/>
    <w:rsid w:val="001D55FA"/>
    <w:rsid w:val="001F6813"/>
    <w:rsid w:val="00244953"/>
    <w:rsid w:val="00290BAA"/>
    <w:rsid w:val="002B3582"/>
    <w:rsid w:val="00317D41"/>
    <w:rsid w:val="00326E8C"/>
    <w:rsid w:val="003271B8"/>
    <w:rsid w:val="003449DD"/>
    <w:rsid w:val="00382D39"/>
    <w:rsid w:val="003C1DC2"/>
    <w:rsid w:val="00467C46"/>
    <w:rsid w:val="004A190B"/>
    <w:rsid w:val="004D57D4"/>
    <w:rsid w:val="00507E24"/>
    <w:rsid w:val="005142E2"/>
    <w:rsid w:val="00523730"/>
    <w:rsid w:val="00537B6C"/>
    <w:rsid w:val="005404D1"/>
    <w:rsid w:val="0054094F"/>
    <w:rsid w:val="0056286E"/>
    <w:rsid w:val="005677A9"/>
    <w:rsid w:val="00572F0B"/>
    <w:rsid w:val="0057546A"/>
    <w:rsid w:val="005D2324"/>
    <w:rsid w:val="006179D8"/>
    <w:rsid w:val="00637D30"/>
    <w:rsid w:val="00653B5A"/>
    <w:rsid w:val="00676F0D"/>
    <w:rsid w:val="00711258"/>
    <w:rsid w:val="00713F67"/>
    <w:rsid w:val="0072602B"/>
    <w:rsid w:val="00740FF2"/>
    <w:rsid w:val="00751ED8"/>
    <w:rsid w:val="007944F2"/>
    <w:rsid w:val="007F5DFC"/>
    <w:rsid w:val="008155A2"/>
    <w:rsid w:val="008300D2"/>
    <w:rsid w:val="00852008"/>
    <w:rsid w:val="00871739"/>
    <w:rsid w:val="00883440"/>
    <w:rsid w:val="008950AC"/>
    <w:rsid w:val="008D17E0"/>
    <w:rsid w:val="0092694D"/>
    <w:rsid w:val="00972F46"/>
    <w:rsid w:val="009A392E"/>
    <w:rsid w:val="009B7417"/>
    <w:rsid w:val="009C6402"/>
    <w:rsid w:val="009D6509"/>
    <w:rsid w:val="009F4F47"/>
    <w:rsid w:val="009F7381"/>
    <w:rsid w:val="00AC6415"/>
    <w:rsid w:val="00AF148E"/>
    <w:rsid w:val="00B138A4"/>
    <w:rsid w:val="00B14E1E"/>
    <w:rsid w:val="00B712D2"/>
    <w:rsid w:val="00B840ED"/>
    <w:rsid w:val="00BC0A83"/>
    <w:rsid w:val="00BF6B41"/>
    <w:rsid w:val="00C050C4"/>
    <w:rsid w:val="00C568C8"/>
    <w:rsid w:val="00C9235D"/>
    <w:rsid w:val="00C97C4C"/>
    <w:rsid w:val="00CB5475"/>
    <w:rsid w:val="00CF181D"/>
    <w:rsid w:val="00D01D58"/>
    <w:rsid w:val="00D0656F"/>
    <w:rsid w:val="00D11B38"/>
    <w:rsid w:val="00D23F17"/>
    <w:rsid w:val="00D3644A"/>
    <w:rsid w:val="00D8404E"/>
    <w:rsid w:val="00D923B7"/>
    <w:rsid w:val="00E273F8"/>
    <w:rsid w:val="00E46DAD"/>
    <w:rsid w:val="00E63C9F"/>
    <w:rsid w:val="00EC7950"/>
    <w:rsid w:val="00ED022A"/>
    <w:rsid w:val="00ED1A75"/>
    <w:rsid w:val="00F0790A"/>
    <w:rsid w:val="00F242A0"/>
    <w:rsid w:val="00F46F12"/>
    <w:rsid w:val="00F5051F"/>
    <w:rsid w:val="00FB00F2"/>
    <w:rsid w:val="00FB247B"/>
    <w:rsid w:val="00FC4D47"/>
    <w:rsid w:val="195924A3"/>
    <w:rsid w:val="79E60322"/>
    <w:rsid w:val="7CB5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A0ADE6"/>
  <w15:docId w15:val="{8710B931-D220-41ED-A722-37596707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style>
  <w:style w:type="character" w:styleId="UnresolvedMention">
    <w:name w:val="Unresolved Mention"/>
    <w:basedOn w:val="DefaultParagraphFont"/>
    <w:uiPriority w:val="99"/>
    <w:semiHidden/>
    <w:unhideWhenUsed/>
    <w:rsid w:val="00382D39"/>
    <w:rPr>
      <w:color w:val="605E5C"/>
      <w:shd w:val="clear" w:color="auto" w:fill="E1DFDD"/>
    </w:rPr>
  </w:style>
  <w:style w:type="paragraph" w:styleId="Header">
    <w:name w:val="header"/>
    <w:basedOn w:val="Normal"/>
    <w:link w:val="HeaderChar"/>
    <w:uiPriority w:val="99"/>
    <w:unhideWhenUsed/>
    <w:rsid w:val="0032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8C"/>
    <w:rPr>
      <w:sz w:val="22"/>
      <w:szCs w:val="22"/>
      <w:lang w:val="en-US" w:eastAsia="en-US"/>
    </w:rPr>
  </w:style>
  <w:style w:type="paragraph" w:styleId="Footer">
    <w:name w:val="footer"/>
    <w:basedOn w:val="Normal"/>
    <w:link w:val="FooterChar"/>
    <w:uiPriority w:val="99"/>
    <w:unhideWhenUsed/>
    <w:rsid w:val="0032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8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72997">
      <w:bodyDiv w:val="1"/>
      <w:marLeft w:val="0"/>
      <w:marRight w:val="0"/>
      <w:marTop w:val="0"/>
      <w:marBottom w:val="0"/>
      <w:divBdr>
        <w:top w:val="none" w:sz="0" w:space="0" w:color="auto"/>
        <w:left w:val="none" w:sz="0" w:space="0" w:color="auto"/>
        <w:bottom w:val="none" w:sz="0" w:space="0" w:color="auto"/>
        <w:right w:val="none" w:sz="0" w:space="0" w:color="auto"/>
      </w:divBdr>
      <w:divsChild>
        <w:div w:id="238752072">
          <w:marLeft w:val="0"/>
          <w:marRight w:val="0"/>
          <w:marTop w:val="0"/>
          <w:marBottom w:val="0"/>
          <w:divBdr>
            <w:top w:val="none" w:sz="0" w:space="0" w:color="auto"/>
            <w:left w:val="none" w:sz="0" w:space="0" w:color="auto"/>
            <w:bottom w:val="none" w:sz="0" w:space="0" w:color="auto"/>
            <w:right w:val="none" w:sz="0" w:space="0" w:color="auto"/>
          </w:divBdr>
          <w:divsChild>
            <w:div w:id="1754551603">
              <w:marLeft w:val="0"/>
              <w:marRight w:val="0"/>
              <w:marTop w:val="0"/>
              <w:marBottom w:val="0"/>
              <w:divBdr>
                <w:top w:val="none" w:sz="0" w:space="0" w:color="auto"/>
                <w:left w:val="none" w:sz="0" w:space="0" w:color="auto"/>
                <w:bottom w:val="none" w:sz="0" w:space="0" w:color="auto"/>
                <w:right w:val="none" w:sz="0" w:space="0" w:color="auto"/>
              </w:divBdr>
              <w:divsChild>
                <w:div w:id="53239610">
                  <w:marLeft w:val="0"/>
                  <w:marRight w:val="0"/>
                  <w:marTop w:val="0"/>
                  <w:marBottom w:val="0"/>
                  <w:divBdr>
                    <w:top w:val="none" w:sz="0" w:space="0" w:color="auto"/>
                    <w:left w:val="none" w:sz="0" w:space="0" w:color="auto"/>
                    <w:bottom w:val="none" w:sz="0" w:space="0" w:color="auto"/>
                    <w:right w:val="none" w:sz="0" w:space="0" w:color="auto"/>
                  </w:divBdr>
                  <w:divsChild>
                    <w:div w:id="10833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0370">
      <w:bodyDiv w:val="1"/>
      <w:marLeft w:val="0"/>
      <w:marRight w:val="0"/>
      <w:marTop w:val="0"/>
      <w:marBottom w:val="0"/>
      <w:divBdr>
        <w:top w:val="none" w:sz="0" w:space="0" w:color="auto"/>
        <w:left w:val="none" w:sz="0" w:space="0" w:color="auto"/>
        <w:bottom w:val="none" w:sz="0" w:space="0" w:color="auto"/>
        <w:right w:val="none" w:sz="0" w:space="0" w:color="auto"/>
      </w:divBdr>
      <w:divsChild>
        <w:div w:id="1175653956">
          <w:marLeft w:val="0"/>
          <w:marRight w:val="0"/>
          <w:marTop w:val="0"/>
          <w:marBottom w:val="0"/>
          <w:divBdr>
            <w:top w:val="none" w:sz="0" w:space="0" w:color="auto"/>
            <w:left w:val="none" w:sz="0" w:space="0" w:color="auto"/>
            <w:bottom w:val="none" w:sz="0" w:space="0" w:color="auto"/>
            <w:right w:val="none" w:sz="0" w:space="0" w:color="auto"/>
          </w:divBdr>
          <w:divsChild>
            <w:div w:id="1234707280">
              <w:marLeft w:val="0"/>
              <w:marRight w:val="0"/>
              <w:marTop w:val="0"/>
              <w:marBottom w:val="0"/>
              <w:divBdr>
                <w:top w:val="none" w:sz="0" w:space="0" w:color="auto"/>
                <w:left w:val="none" w:sz="0" w:space="0" w:color="auto"/>
                <w:bottom w:val="none" w:sz="0" w:space="0" w:color="auto"/>
                <w:right w:val="none" w:sz="0" w:space="0" w:color="auto"/>
              </w:divBdr>
              <w:divsChild>
                <w:div w:id="1637950722">
                  <w:marLeft w:val="0"/>
                  <w:marRight w:val="0"/>
                  <w:marTop w:val="0"/>
                  <w:marBottom w:val="0"/>
                  <w:divBdr>
                    <w:top w:val="none" w:sz="0" w:space="0" w:color="auto"/>
                    <w:left w:val="none" w:sz="0" w:space="0" w:color="auto"/>
                    <w:bottom w:val="none" w:sz="0" w:space="0" w:color="auto"/>
                    <w:right w:val="none" w:sz="0" w:space="0" w:color="auto"/>
                  </w:divBdr>
                  <w:divsChild>
                    <w:div w:id="10370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xwellsci.com/print/ajms/v3-106-109.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science/ABO-blood-group-syste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BMRJ/2011/19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mjopen.bmj.com/content/7/12/e01847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ro.who.int/images/stories/emhj/documents/in_press/prevalence_of_abo_and_Rh_blood_groups_and_their_association_with_demographic_and_anthropometric_factors_in_an_iranian_population.pdf?ua=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5295</Words>
  <Characters>30184</Characters>
  <Application>Microsoft Office Word</Application>
  <DocSecurity>0</DocSecurity>
  <Lines>251</Lines>
  <Paragraphs>70</Paragraphs>
  <ScaleCrop>false</ScaleCrop>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11</cp:revision>
  <dcterms:created xsi:type="dcterms:W3CDTF">2025-01-16T15:35:00Z</dcterms:created>
  <dcterms:modified xsi:type="dcterms:W3CDTF">2025-02-03T09:55:00Z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f317f0a0ddcb0c7b0b49c656eac0994e6faaa482c9cb56c8da8e5506a4d14d14</vt:lpwstr>
  </property>
  <property fmtid="{D5CDD505-2E9C-101B-9397-08002B2CF9AE}" pid="3" name="KSOProductBuildVer">
    <vt:lpwstr>1033-12.2.0.18607</vt:lpwstr>
  </property>
  <property fmtid="{D5CDD505-2E9C-101B-9397-08002B2CF9AE}" pid="4" name="ICV">
    <vt:lpwstr>EED2DEB5450A426BA1C6CA8FB9BEEC30_12</vt:lpwstr>
  </property>
</Properties>
</file>