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39E4B5" w14:textId="55B8F693" w:rsidR="00BC779B" w:rsidRDefault="00BC779B" w:rsidP="00BC779B">
      <w:pPr>
        <w:spacing w:line="360" w:lineRule="auto"/>
        <w:jc w:val="center"/>
        <w:rPr>
          <w:rFonts w:ascii="Arial" w:eastAsia="Times New Roman" w:hAnsi="Arial" w:cs="Arial"/>
          <w:b/>
          <w:sz w:val="36"/>
          <w:szCs w:val="36"/>
        </w:rPr>
      </w:pPr>
    </w:p>
    <w:p w14:paraId="6BDD8686" w14:textId="723EED28" w:rsidR="00BC779B" w:rsidRPr="00D70913" w:rsidRDefault="00BC779B" w:rsidP="00D70913">
      <w:pPr>
        <w:spacing w:line="360" w:lineRule="auto"/>
        <w:jc w:val="center"/>
        <w:rPr>
          <w:rFonts w:ascii="Arial" w:eastAsia="Times New Roman" w:hAnsi="Arial" w:cs="Arial"/>
          <w:b/>
          <w:sz w:val="32"/>
          <w:szCs w:val="32"/>
        </w:rPr>
      </w:pPr>
      <w:r w:rsidRPr="00D70913">
        <w:rPr>
          <w:b/>
          <w:bCs/>
          <w:sz w:val="32"/>
          <w:szCs w:val="32"/>
          <w:highlight w:val="yellow"/>
          <w:lang w:val="en-GB"/>
        </w:rPr>
        <w:t>Efficacy of Eggplant (</w:t>
      </w:r>
      <w:r w:rsidRPr="00D70913">
        <w:rPr>
          <w:b/>
          <w:bCs/>
          <w:i/>
          <w:iCs/>
          <w:sz w:val="32"/>
          <w:szCs w:val="32"/>
          <w:highlight w:val="yellow"/>
          <w:lang w:val="en-GB"/>
        </w:rPr>
        <w:t xml:space="preserve">Solanum </w:t>
      </w:r>
      <w:proofErr w:type="spellStart"/>
      <w:r w:rsidRPr="00D70913">
        <w:rPr>
          <w:b/>
          <w:bCs/>
          <w:i/>
          <w:iCs/>
          <w:sz w:val="32"/>
          <w:szCs w:val="32"/>
          <w:highlight w:val="yellow"/>
          <w:lang w:val="en-GB"/>
        </w:rPr>
        <w:t>melongena</w:t>
      </w:r>
      <w:proofErr w:type="spellEnd"/>
      <w:r w:rsidRPr="00D70913">
        <w:rPr>
          <w:b/>
          <w:bCs/>
          <w:sz w:val="32"/>
          <w:szCs w:val="32"/>
          <w:highlight w:val="yellow"/>
          <w:lang w:val="en-GB"/>
        </w:rPr>
        <w:t xml:space="preserve"> l.)  derived </w:t>
      </w:r>
      <w:proofErr w:type="spellStart"/>
      <w:r w:rsidRPr="00D70913">
        <w:rPr>
          <w:b/>
          <w:bCs/>
          <w:sz w:val="32"/>
          <w:szCs w:val="32"/>
          <w:highlight w:val="yellow"/>
          <w:lang w:val="en-GB"/>
        </w:rPr>
        <w:t>biosorbent</w:t>
      </w:r>
      <w:proofErr w:type="spellEnd"/>
      <w:r w:rsidRPr="00D70913">
        <w:rPr>
          <w:b/>
          <w:bCs/>
          <w:sz w:val="32"/>
          <w:szCs w:val="32"/>
          <w:highlight w:val="yellow"/>
          <w:lang w:val="en-GB"/>
        </w:rPr>
        <w:t xml:space="preserve"> for nitrate removal in simulated water</w:t>
      </w:r>
    </w:p>
    <w:p w14:paraId="00000007" w14:textId="77777777" w:rsidR="00D51113" w:rsidRDefault="00D51113">
      <w:pPr>
        <w:spacing w:line="240" w:lineRule="auto"/>
        <w:jc w:val="center"/>
        <w:rPr>
          <w:rFonts w:ascii="Times New Roman" w:eastAsia="Times New Roman" w:hAnsi="Times New Roman" w:cs="Times New Roman"/>
        </w:rPr>
      </w:pPr>
    </w:p>
    <w:p w14:paraId="0000000A" w14:textId="1FF8B7D7" w:rsidR="00D51113" w:rsidRDefault="00EF1BD8">
      <w:pPr>
        <w:rPr>
          <w:rFonts w:ascii="Times New Roman" w:eastAsia="Times New Roman" w:hAnsi="Times New Roman" w:cs="Times New Roman"/>
        </w:rPr>
      </w:pPr>
      <w:r w:rsidRPr="00EF1BD8">
        <w:rPr>
          <w:rFonts w:ascii="Times New Roman" w:eastAsia="Times New Roman" w:hAnsi="Times New Roman" w:cs="Times New Roman"/>
          <w:noProof/>
          <w:lang w:val="en-US"/>
        </w:rPr>
        <mc:AlternateContent>
          <mc:Choice Requires="wps">
            <w:drawing>
              <wp:inline distT="0" distB="0" distL="0" distR="0" wp14:anchorId="4A65A019" wp14:editId="2AAE1A05">
                <wp:extent cx="5208270" cy="624"/>
                <wp:effectExtent l="0" t="0" r="0" b="0"/>
                <wp:docPr id="1042820757"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8270" cy="62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9609B8C" id="_x0000_t32" coordsize="21600,21600" o:spt="32" o:oned="t" path="m,l21600,21600e" filled="f">
                <v:path arrowok="t" fillok="f" o:connecttype="none"/>
                <o:lock v:ext="edit" shapetype="t"/>
              </v:shapetype>
              <v:shape id="Straight Arrow Connector 2" o:spid="_x0000_s1026" type="#_x0000_t32" style="width:410.1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" strokeweight="1.5pt">
                <w10:anchorlock/>
              </v:shape>
            </w:pict>
          </mc:Fallback>
        </mc:AlternateContent>
      </w:r>
    </w:p>
    <w:p w14:paraId="3E4B291F" w14:textId="0B3A561C" w:rsidR="00C11BDE" w:rsidRDefault="00C11BDE" w:rsidP="00C11BDE">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p w14:paraId="6475605A" w14:textId="77777777" w:rsidR="00C11BDE" w:rsidRPr="00FB3A86" w:rsidRDefault="00C11BDE" w:rsidP="00C11BDE">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2"/>
      </w:tblGrid>
      <w:tr w:rsidR="00C11BDE" w:rsidRPr="001E44FE" w14:paraId="314E9393" w14:textId="77777777" w:rsidTr="00DB053E">
        <w:trPr>
          <w:trHeight w:val="4403"/>
        </w:trPr>
        <w:tc>
          <w:tcPr>
            <w:tcW w:w="9576" w:type="dxa"/>
            <w:shd w:val="clear" w:color="auto" w:fill="F2F2F2"/>
          </w:tcPr>
          <w:p w14:paraId="6B978623" w14:textId="07DFADF5" w:rsidR="00D801D5" w:rsidRPr="00D70913" w:rsidRDefault="006D7BAB" w:rsidP="00D801D5">
            <w:pPr>
              <w:spacing w:line="240" w:lineRule="auto"/>
              <w:ind w:firstLine="720"/>
              <w:jc w:val="both"/>
              <w:rPr>
                <w:rFonts w:ascii="Arial" w:eastAsia="Times New Roman" w:hAnsi="Arial" w:cs="Arial"/>
              </w:rPr>
            </w:pPr>
            <w:r w:rsidRPr="006D7BAB">
              <w:rPr>
                <w:rFonts w:ascii="Arial" w:eastAsia="Calibri" w:hAnsi="Arial" w:cs="Arial"/>
                <w:szCs w:val="22"/>
              </w:rPr>
              <w:t>Water pollution is a serious issue, with industrial waste, agricultural runoff, and urban activities contaminating both surface and groundwater.</w:t>
            </w:r>
            <w:r w:rsidR="00B93D90">
              <w:rPr>
                <w:rFonts w:ascii="Arial" w:eastAsia="Calibri" w:hAnsi="Arial" w:cs="Arial"/>
                <w:szCs w:val="22"/>
              </w:rPr>
              <w:t xml:space="preserve"> </w:t>
            </w:r>
            <w:r w:rsidR="00B93D90" w:rsidRPr="00D70913">
              <w:rPr>
                <w:rFonts w:ascii="Arial" w:eastAsia="Times New Roman" w:hAnsi="Arial" w:cs="Arial"/>
                <w:highlight w:val="yellow"/>
              </w:rPr>
              <w:t>Caused by the extensive application of inorganic fertilizer and animal manure, nitrate levels in water are increasing globally. Humans are exposed to nitrate through water and food, which may lead to birth defects, thyroid diseases, and cancer.</w:t>
            </w:r>
            <w:r w:rsidRPr="006D7BAB">
              <w:rPr>
                <w:rFonts w:ascii="Arial" w:eastAsia="Calibri" w:hAnsi="Arial" w:cs="Arial"/>
                <w:szCs w:val="22"/>
              </w:rPr>
              <w:t xml:space="preserve"> While traditional methods like activated charcoal are effective, researchers continue to explore sustainable alternatives. This study investigated the potential of eggplant (</w:t>
            </w:r>
            <w:r w:rsidRPr="006D7BAB">
              <w:rPr>
                <w:rFonts w:ascii="Arial" w:eastAsia="Calibri" w:hAnsi="Arial" w:cs="Arial"/>
                <w:i/>
                <w:szCs w:val="22"/>
              </w:rPr>
              <w:t xml:space="preserve">Solanum </w:t>
            </w:r>
            <w:proofErr w:type="spellStart"/>
            <w:r w:rsidRPr="006D7BAB">
              <w:rPr>
                <w:rFonts w:ascii="Arial" w:eastAsia="Calibri" w:hAnsi="Arial" w:cs="Arial"/>
                <w:i/>
                <w:szCs w:val="22"/>
              </w:rPr>
              <w:t>melongena</w:t>
            </w:r>
            <w:proofErr w:type="spellEnd"/>
            <w:r w:rsidRPr="006D7BAB">
              <w:rPr>
                <w:rFonts w:ascii="Arial" w:eastAsia="Calibri" w:hAnsi="Arial" w:cs="Arial"/>
                <w:i/>
                <w:szCs w:val="22"/>
              </w:rPr>
              <w:t xml:space="preserve"> L.</w:t>
            </w:r>
            <w:r w:rsidRPr="006D7BAB">
              <w:rPr>
                <w:rFonts w:ascii="Arial" w:eastAsia="Calibri" w:hAnsi="Arial" w:cs="Arial"/>
                <w:szCs w:val="22"/>
              </w:rPr>
              <w:t xml:space="preserve">) as a </w:t>
            </w:r>
            <w:proofErr w:type="spellStart"/>
            <w:r w:rsidRPr="006D7BAB">
              <w:rPr>
                <w:rFonts w:ascii="Arial" w:eastAsia="Calibri" w:hAnsi="Arial" w:cs="Arial"/>
                <w:szCs w:val="22"/>
              </w:rPr>
              <w:t>biosorbent</w:t>
            </w:r>
            <w:proofErr w:type="spellEnd"/>
            <w:r w:rsidRPr="006D7BAB">
              <w:rPr>
                <w:rFonts w:ascii="Arial" w:eastAsia="Calibri" w:hAnsi="Arial" w:cs="Arial"/>
                <w:szCs w:val="22"/>
              </w:rPr>
              <w:t xml:space="preserve"> for nitrate removal compared to conventional activated charcoal. Specifically, this research aimed to determine the efficiency of eggplant-derived </w:t>
            </w:r>
            <w:proofErr w:type="spellStart"/>
            <w:r w:rsidRPr="006D7BAB">
              <w:rPr>
                <w:rFonts w:ascii="Arial" w:eastAsia="Calibri" w:hAnsi="Arial" w:cs="Arial"/>
                <w:szCs w:val="22"/>
              </w:rPr>
              <w:t>biosorbents</w:t>
            </w:r>
            <w:proofErr w:type="spellEnd"/>
            <w:r w:rsidRPr="006D7BAB">
              <w:rPr>
                <w:rFonts w:ascii="Arial" w:eastAsia="Calibri" w:hAnsi="Arial" w:cs="Arial"/>
                <w:szCs w:val="22"/>
              </w:rPr>
              <w:t xml:space="preserve"> in nitrate </w:t>
            </w:r>
            <w:r w:rsidR="00CB3336" w:rsidRPr="006D7BAB">
              <w:rPr>
                <w:rFonts w:ascii="Arial" w:eastAsia="Calibri" w:hAnsi="Arial" w:cs="Arial"/>
                <w:szCs w:val="22"/>
              </w:rPr>
              <w:t>removal and</w:t>
            </w:r>
            <w:r w:rsidRPr="006D7BAB">
              <w:rPr>
                <w:rFonts w:ascii="Arial" w:eastAsia="Calibri" w:hAnsi="Arial" w:cs="Arial"/>
                <w:szCs w:val="22"/>
              </w:rPr>
              <w:t xml:space="preserve"> evaluate the impact of varying doses and contact times on adsorption capacity. Research methods such as batch adsorption experiments, preparation of potassium nitrate solutions as simulated contaminated water, and optimization of </w:t>
            </w:r>
            <w:proofErr w:type="spellStart"/>
            <w:r w:rsidRPr="006D7BAB">
              <w:rPr>
                <w:rFonts w:ascii="Arial" w:eastAsia="Calibri" w:hAnsi="Arial" w:cs="Arial"/>
                <w:szCs w:val="22"/>
              </w:rPr>
              <w:t>biosorbent</w:t>
            </w:r>
            <w:proofErr w:type="spellEnd"/>
            <w:r w:rsidRPr="006D7BAB">
              <w:rPr>
                <w:rFonts w:ascii="Arial" w:eastAsia="Calibri" w:hAnsi="Arial" w:cs="Arial"/>
                <w:szCs w:val="22"/>
              </w:rPr>
              <w:t xml:space="preserve"> dosage were employed to evaluate the efficiency of eggplant-derived </w:t>
            </w:r>
            <w:proofErr w:type="spellStart"/>
            <w:r w:rsidRPr="006D7BAB">
              <w:rPr>
                <w:rFonts w:ascii="Arial" w:eastAsia="Calibri" w:hAnsi="Arial" w:cs="Arial"/>
                <w:szCs w:val="22"/>
              </w:rPr>
              <w:t>biosorbents</w:t>
            </w:r>
            <w:proofErr w:type="spellEnd"/>
            <w:r w:rsidRPr="006D7BAB">
              <w:rPr>
                <w:rFonts w:ascii="Arial" w:eastAsia="Calibri" w:hAnsi="Arial" w:cs="Arial"/>
                <w:szCs w:val="22"/>
              </w:rPr>
              <w:t xml:space="preserve"> in nitrate removal. </w:t>
            </w:r>
            <w:r w:rsidR="00D801D5" w:rsidRPr="00D70913">
              <w:rPr>
                <w:rFonts w:ascii="Arial" w:eastAsia="Times New Roman" w:hAnsi="Arial" w:cs="Arial"/>
                <w:highlight w:val="yellow"/>
              </w:rPr>
              <w:t>The use of quantitative experimental design permitted the execution of controlled tests under well-defined conditions, increasing the scientific accuracy of the study endeavor.</w:t>
            </w:r>
          </w:p>
          <w:p w14:paraId="4D903BAF" w14:textId="44030F85" w:rsidR="00C11BDE" w:rsidRPr="00BA1B01" w:rsidRDefault="006D7BAB" w:rsidP="00D70913">
            <w:pPr>
              <w:spacing w:line="240" w:lineRule="auto"/>
              <w:ind w:firstLine="720"/>
              <w:jc w:val="both"/>
            </w:pPr>
            <w:r w:rsidRPr="006D7BAB">
              <w:rPr>
                <w:rFonts w:ascii="Arial" w:eastAsia="Calibri" w:hAnsi="Arial" w:cs="Arial"/>
                <w:szCs w:val="22"/>
              </w:rPr>
              <w:t xml:space="preserve">Results showed that activated carbon achieved higher nitrate removal efficiency (80–90%) than eggplant </w:t>
            </w:r>
            <w:proofErr w:type="spellStart"/>
            <w:r w:rsidRPr="006D7BAB">
              <w:rPr>
                <w:rFonts w:ascii="Arial" w:eastAsia="Calibri" w:hAnsi="Arial" w:cs="Arial"/>
                <w:szCs w:val="22"/>
              </w:rPr>
              <w:t>biosorbents</w:t>
            </w:r>
            <w:proofErr w:type="spellEnd"/>
            <w:r w:rsidRPr="006D7BAB">
              <w:rPr>
                <w:rFonts w:ascii="Arial" w:eastAsia="Calibri" w:hAnsi="Arial" w:cs="Arial"/>
                <w:szCs w:val="22"/>
              </w:rPr>
              <w:t xml:space="preserve"> (40–50%), primarily due to its greater porosity and abundance of active functional groups. However, eggplant </w:t>
            </w:r>
            <w:proofErr w:type="spellStart"/>
            <w:r w:rsidRPr="006D7BAB">
              <w:rPr>
                <w:rFonts w:ascii="Arial" w:eastAsia="Calibri" w:hAnsi="Arial" w:cs="Arial"/>
                <w:szCs w:val="22"/>
              </w:rPr>
              <w:t>biosorbent</w:t>
            </w:r>
            <w:proofErr w:type="spellEnd"/>
            <w:r w:rsidRPr="006D7BAB">
              <w:rPr>
                <w:rFonts w:ascii="Arial" w:eastAsia="Calibri" w:hAnsi="Arial" w:cs="Arial"/>
                <w:szCs w:val="22"/>
              </w:rPr>
              <w:t xml:space="preserve"> demonstrated its capability as an eco-friendly alternative, with production costs approximately 65% lower than activated carbon. </w:t>
            </w:r>
            <w:r w:rsidR="00D801D5" w:rsidRPr="00D70913">
              <w:rPr>
                <w:rFonts w:ascii="Arial" w:eastAsia="Times New Roman" w:hAnsi="Arial" w:cs="Arial"/>
                <w:highlight w:val="yellow"/>
              </w:rPr>
              <w:t xml:space="preserve">This affordability stems from the usage of agricultural waste, positioning eggplant </w:t>
            </w:r>
            <w:proofErr w:type="spellStart"/>
            <w:r w:rsidR="00D801D5" w:rsidRPr="00D70913">
              <w:rPr>
                <w:rFonts w:ascii="Arial" w:eastAsia="Times New Roman" w:hAnsi="Arial" w:cs="Arial"/>
                <w:highlight w:val="yellow"/>
              </w:rPr>
              <w:t>biosorbents</w:t>
            </w:r>
            <w:proofErr w:type="spellEnd"/>
            <w:r w:rsidR="00D801D5" w:rsidRPr="00D70913">
              <w:rPr>
                <w:rFonts w:ascii="Arial" w:eastAsia="Times New Roman" w:hAnsi="Arial" w:cs="Arial"/>
                <w:highlight w:val="yellow"/>
              </w:rPr>
              <w:t xml:space="preserve"> as an accessible and sustainable alternative for water treatment in resource-limited settings.</w:t>
            </w:r>
            <w:r w:rsidR="00D801D5">
              <w:rPr>
                <w:rFonts w:ascii="Arial" w:eastAsia="Times New Roman" w:hAnsi="Arial" w:cs="Arial"/>
                <w:sz w:val="20"/>
                <w:szCs w:val="20"/>
              </w:rPr>
              <w:t xml:space="preserve"> </w:t>
            </w:r>
            <w:r w:rsidRPr="006D7BAB">
              <w:rPr>
                <w:rFonts w:ascii="Arial" w:eastAsia="Calibri" w:hAnsi="Arial" w:cs="Arial"/>
                <w:szCs w:val="22"/>
              </w:rPr>
              <w:t xml:space="preserve">Statistical analysis indicated that experimental conditions such as dose and contact time significantly influenced nitrate adsorption for both materials. Despite lower adsorption efficiency (0.08-0.2 mg/g for eggplant and 0.32-0.36 mg/g for activated carbon), eggplant </w:t>
            </w:r>
            <w:proofErr w:type="spellStart"/>
            <w:r w:rsidRPr="006D7BAB">
              <w:rPr>
                <w:rFonts w:ascii="Arial" w:eastAsia="Calibri" w:hAnsi="Arial" w:cs="Arial"/>
                <w:szCs w:val="22"/>
              </w:rPr>
              <w:t>biosorbents</w:t>
            </w:r>
            <w:proofErr w:type="spellEnd"/>
            <w:r w:rsidRPr="006D7BAB">
              <w:rPr>
                <w:rFonts w:ascii="Arial" w:eastAsia="Calibri" w:hAnsi="Arial" w:cs="Arial"/>
                <w:szCs w:val="22"/>
              </w:rPr>
              <w:t xml:space="preserve"> present potential as a sustainable alternative for activated carbon.  Further optimization, including </w:t>
            </w:r>
            <w:r w:rsidRPr="006D7BAB">
              <w:rPr>
                <w:rFonts w:ascii="Arial" w:eastAsia="Calibri" w:hAnsi="Arial" w:cs="Arial"/>
                <w:szCs w:val="22"/>
              </w:rPr>
              <w:lastRenderedPageBreak/>
              <w:t xml:space="preserve">chemical or thermal modifications, is recommended to enhance their performance and adsorption for broader applications. </w:t>
            </w:r>
          </w:p>
        </w:tc>
      </w:tr>
    </w:tbl>
    <w:p w14:paraId="63E4E75C" w14:textId="77777777" w:rsidR="006D7BAB" w:rsidRDefault="006D7BAB" w:rsidP="006D7BAB">
      <w:pPr>
        <w:spacing w:line="240" w:lineRule="auto"/>
        <w:rPr>
          <w:rFonts w:ascii="Arial" w:eastAsia="Times New Roman" w:hAnsi="Arial" w:cs="Arial"/>
          <w:i/>
          <w:sz w:val="20"/>
          <w:szCs w:val="20"/>
        </w:rPr>
      </w:pPr>
    </w:p>
    <w:p w14:paraId="00000018" w14:textId="0A7ADF8D" w:rsidR="00D51113" w:rsidRPr="00EF1BD8" w:rsidRDefault="000D71C5">
      <w:pPr>
        <w:spacing w:line="480" w:lineRule="auto"/>
        <w:rPr>
          <w:rFonts w:ascii="Arial" w:eastAsia="Times New Roman" w:hAnsi="Arial" w:cs="Arial"/>
          <w:sz w:val="20"/>
          <w:szCs w:val="20"/>
        </w:rPr>
      </w:pPr>
      <w:r w:rsidRPr="00FE377D">
        <w:rPr>
          <w:rFonts w:ascii="Arial" w:eastAsia="Times New Roman" w:hAnsi="Arial" w:cs="Arial"/>
          <w:b/>
          <w:i/>
          <w:sz w:val="20"/>
          <w:szCs w:val="20"/>
        </w:rPr>
        <w:t>Keywords:</w:t>
      </w:r>
      <w:r w:rsidRPr="006D7BAB">
        <w:rPr>
          <w:rFonts w:ascii="Arial" w:eastAsia="Times New Roman" w:hAnsi="Arial" w:cs="Arial"/>
          <w:i/>
          <w:sz w:val="20"/>
          <w:szCs w:val="20"/>
        </w:rPr>
        <w:t xml:space="preserve"> Activated carbon, Adsorption, Eggplant, </w:t>
      </w:r>
      <w:proofErr w:type="spellStart"/>
      <w:r w:rsidRPr="006D7BAB">
        <w:rPr>
          <w:rFonts w:ascii="Arial" w:eastAsia="Times New Roman" w:hAnsi="Arial" w:cs="Arial"/>
          <w:i/>
          <w:sz w:val="20"/>
          <w:szCs w:val="20"/>
        </w:rPr>
        <w:t>Biosorbent</w:t>
      </w:r>
      <w:proofErr w:type="spellEnd"/>
      <w:r w:rsidRPr="006D7BAB">
        <w:rPr>
          <w:rFonts w:ascii="Arial" w:eastAsia="Times New Roman" w:hAnsi="Arial" w:cs="Arial"/>
          <w:i/>
          <w:sz w:val="20"/>
          <w:szCs w:val="20"/>
        </w:rPr>
        <w:t>, Nitrate removal, Water remediation</w:t>
      </w:r>
    </w:p>
    <w:p w14:paraId="00000019" w14:textId="082AC493" w:rsidR="00D51113" w:rsidRPr="006D7BAB" w:rsidRDefault="006D7BAB" w:rsidP="003E45B1">
      <w:pPr>
        <w:spacing w:line="240" w:lineRule="auto"/>
        <w:rPr>
          <w:rFonts w:ascii="Arial" w:eastAsia="Times New Roman" w:hAnsi="Arial" w:cs="Arial"/>
          <w:b/>
          <w:sz w:val="22"/>
          <w:szCs w:val="22"/>
        </w:rPr>
      </w:pPr>
      <w:r w:rsidRPr="006D7BAB">
        <w:rPr>
          <w:rFonts w:ascii="Arial" w:eastAsia="Times New Roman" w:hAnsi="Arial" w:cs="Arial"/>
          <w:b/>
          <w:sz w:val="22"/>
          <w:szCs w:val="22"/>
        </w:rPr>
        <w:t>1. INTRODUCTION</w:t>
      </w:r>
    </w:p>
    <w:p w14:paraId="0000001A" w14:textId="77777777" w:rsidR="00D51113" w:rsidRPr="006D7BAB" w:rsidRDefault="000D71C5" w:rsidP="003E45B1">
      <w:pPr>
        <w:spacing w:line="240" w:lineRule="auto"/>
        <w:ind w:firstLine="720"/>
        <w:jc w:val="both"/>
        <w:rPr>
          <w:rFonts w:ascii="Arial" w:eastAsia="Times New Roman" w:hAnsi="Arial" w:cs="Arial"/>
          <w:sz w:val="20"/>
          <w:szCs w:val="20"/>
        </w:rPr>
      </w:pPr>
      <w:r w:rsidRPr="006D7BAB">
        <w:rPr>
          <w:rFonts w:ascii="Arial" w:eastAsia="Times New Roman" w:hAnsi="Arial" w:cs="Arial"/>
          <w:sz w:val="20"/>
          <w:szCs w:val="20"/>
        </w:rPr>
        <w:t>Life depends on water resources as it plays a critical role in supporting cultivated farmland, sustainability, human consumption, economic development, and environmental systems (Akhtar et al., 2021). Liquid waste, including industrial waste and municipal waste, contributes to the increase of water toxicity, and these wastes are released into surface water, causing infiltration to groundwater through soil and rock formations. The specific types of pollutants and their mechanisms are poorly understood, particularly in developed countries. While research on human activities' impact is limited, awareness of these risks is growing in hydrology and environmental science. Even fertilizer and pesticide use in agriculture, as well as industrial and urban practices, contributes to increased water toxicity (Rehman et al., 2015). Caused by the extensive application of inorganic fertilizer and animal manure, nitrate levels in water are increasing globally. Humans are exposed to nitrate through water and food, which may lead to birth defects, thyroid diseases, and cancer (Patel et al., 2022)</w:t>
      </w:r>
    </w:p>
    <w:p w14:paraId="0000001B" w14:textId="4477372F" w:rsidR="00D51113" w:rsidRPr="006D7BAB" w:rsidRDefault="000D71C5" w:rsidP="003E45B1">
      <w:pPr>
        <w:spacing w:line="240" w:lineRule="auto"/>
        <w:ind w:firstLine="720"/>
        <w:jc w:val="both"/>
        <w:rPr>
          <w:rFonts w:ascii="Arial" w:eastAsia="Times New Roman" w:hAnsi="Arial" w:cs="Arial"/>
          <w:sz w:val="20"/>
          <w:szCs w:val="20"/>
        </w:rPr>
      </w:pPr>
      <w:r w:rsidRPr="006D7BAB">
        <w:rPr>
          <w:rFonts w:ascii="Arial" w:eastAsia="Times New Roman" w:hAnsi="Arial" w:cs="Arial"/>
          <w:sz w:val="20"/>
          <w:szCs w:val="20"/>
        </w:rPr>
        <w:t xml:space="preserve">On an industrial basis, activated carbon is the favored traditional material, it is widely utilized to adsorb contaminants from drinking water sources, such as groundwater, rivers, lakes, and reservoirs, as well as </w:t>
      </w:r>
      <w:r w:rsidR="00D54562" w:rsidRPr="00D70913">
        <w:rPr>
          <w:rFonts w:ascii="Arial" w:eastAsia="Times New Roman" w:hAnsi="Arial" w:cs="Arial"/>
          <w:sz w:val="20"/>
          <w:szCs w:val="20"/>
          <w:highlight w:val="yellow"/>
        </w:rPr>
        <w:t>remove</w:t>
      </w:r>
      <w:r w:rsidR="00D54562" w:rsidRPr="006D7BAB">
        <w:rPr>
          <w:rFonts w:ascii="Arial" w:eastAsia="Times New Roman" w:hAnsi="Arial" w:cs="Arial"/>
          <w:sz w:val="20"/>
          <w:szCs w:val="20"/>
        </w:rPr>
        <w:t xml:space="preserve"> </w:t>
      </w:r>
      <w:r w:rsidRPr="006D7BAB">
        <w:rPr>
          <w:rFonts w:ascii="Arial" w:eastAsia="Times New Roman" w:hAnsi="Arial" w:cs="Arial"/>
          <w:sz w:val="20"/>
          <w:szCs w:val="20"/>
        </w:rPr>
        <w:t>pollutants from wastewater streams. However, the widespread usage of activated carbon is limited due to its excessive cost (</w:t>
      </w:r>
      <w:proofErr w:type="spellStart"/>
      <w:r w:rsidRPr="006D7BAB">
        <w:rPr>
          <w:rFonts w:ascii="Arial" w:eastAsia="Times New Roman" w:hAnsi="Arial" w:cs="Arial"/>
          <w:sz w:val="20"/>
          <w:szCs w:val="20"/>
        </w:rPr>
        <w:t>Crini</w:t>
      </w:r>
      <w:proofErr w:type="spellEnd"/>
      <w:r w:rsidRPr="006D7BAB">
        <w:rPr>
          <w:rFonts w:ascii="Arial" w:eastAsia="Times New Roman" w:hAnsi="Arial" w:cs="Arial"/>
          <w:sz w:val="20"/>
          <w:szCs w:val="20"/>
        </w:rPr>
        <w:t xml:space="preserve"> et al., 2018). There is a demand for affordable and environmentally friendly technologies for treating water, and adsorption has been introduced as an alternative method for water treatment that has gained popularity as it allows for the least amount of garbage to be disposed of (</w:t>
      </w:r>
      <w:proofErr w:type="spellStart"/>
      <w:r w:rsidRPr="006D7BAB">
        <w:rPr>
          <w:rFonts w:ascii="Arial" w:eastAsia="Times New Roman" w:hAnsi="Arial" w:cs="Arial"/>
          <w:sz w:val="20"/>
          <w:szCs w:val="20"/>
        </w:rPr>
        <w:t>Ukhurebor</w:t>
      </w:r>
      <w:proofErr w:type="spellEnd"/>
      <w:r w:rsidRPr="006D7BAB">
        <w:rPr>
          <w:rFonts w:ascii="Arial" w:eastAsia="Times New Roman" w:hAnsi="Arial" w:cs="Arial"/>
          <w:sz w:val="20"/>
          <w:szCs w:val="20"/>
        </w:rPr>
        <w:t xml:space="preserve"> et al., 2023).</w:t>
      </w:r>
      <w:r w:rsidR="0066501A">
        <w:rPr>
          <w:rFonts w:ascii="Arial" w:eastAsia="Times New Roman" w:hAnsi="Arial" w:cs="Arial"/>
          <w:sz w:val="20"/>
          <w:szCs w:val="20"/>
        </w:rPr>
        <w:t xml:space="preserve"> </w:t>
      </w:r>
      <w:r w:rsidR="0066501A" w:rsidRPr="00D70913">
        <w:rPr>
          <w:rFonts w:ascii="Arial" w:eastAsia="Times New Roman" w:hAnsi="Arial" w:cs="Arial"/>
          <w:sz w:val="20"/>
          <w:szCs w:val="20"/>
          <w:highlight w:val="yellow"/>
        </w:rPr>
        <w:t xml:space="preserve">Adsorption holds great promise as it involves removing contaminants from water by adhering them to an adsorbent material. Due to their unique properties and cost-effectiveness, </w:t>
      </w:r>
      <w:proofErr w:type="spellStart"/>
      <w:r w:rsidR="0066501A" w:rsidRPr="00D70913">
        <w:rPr>
          <w:rFonts w:ascii="Arial" w:eastAsia="Times New Roman" w:hAnsi="Arial" w:cs="Arial"/>
          <w:sz w:val="20"/>
          <w:szCs w:val="20"/>
          <w:highlight w:val="yellow"/>
        </w:rPr>
        <w:t>biosorbents</w:t>
      </w:r>
      <w:proofErr w:type="spellEnd"/>
      <w:r w:rsidR="0066501A" w:rsidRPr="00D70913">
        <w:rPr>
          <w:rFonts w:ascii="Arial" w:eastAsia="Times New Roman" w:hAnsi="Arial" w:cs="Arial"/>
          <w:sz w:val="20"/>
          <w:szCs w:val="20"/>
          <w:highlight w:val="yellow"/>
        </w:rPr>
        <w:t xml:space="preserve"> and magnetic sorbents have emerged as cost-effective and environmentally friendly alternatives to conventional adsorbents. </w:t>
      </w:r>
      <w:proofErr w:type="spellStart"/>
      <w:r w:rsidR="0066501A" w:rsidRPr="00D70913">
        <w:rPr>
          <w:rFonts w:ascii="Arial" w:eastAsia="Times New Roman" w:hAnsi="Arial" w:cs="Arial"/>
          <w:sz w:val="20"/>
          <w:szCs w:val="20"/>
          <w:highlight w:val="yellow"/>
        </w:rPr>
        <w:t>Biosorbents</w:t>
      </w:r>
      <w:proofErr w:type="spellEnd"/>
      <w:r w:rsidR="0066501A" w:rsidRPr="00D70913">
        <w:rPr>
          <w:rFonts w:ascii="Arial" w:eastAsia="Times New Roman" w:hAnsi="Arial" w:cs="Arial"/>
          <w:sz w:val="20"/>
          <w:szCs w:val="20"/>
          <w:highlight w:val="yellow"/>
        </w:rPr>
        <w:t xml:space="preserve"> are derived from renewable sources, such as plant-based materials, animal waste, and marine biomass, and </w:t>
      </w:r>
      <w:r w:rsidR="0066501A" w:rsidRPr="00D70913">
        <w:rPr>
          <w:rFonts w:ascii="Arial" w:eastAsia="Times New Roman" w:hAnsi="Arial" w:cs="Arial"/>
          <w:sz w:val="20"/>
          <w:szCs w:val="20"/>
          <w:highlight w:val="yellow"/>
        </w:rPr>
        <w:lastRenderedPageBreak/>
        <w:t>can be easily modified to increase their adsorption capacity, making them versatile and efficient for various pollutants (</w:t>
      </w:r>
      <w:r w:rsidR="00331BE3">
        <w:rPr>
          <w:rFonts w:ascii="Arial" w:eastAsia="Times New Roman" w:hAnsi="Arial" w:cs="Arial"/>
          <w:sz w:val="20"/>
          <w:szCs w:val="20"/>
          <w:highlight w:val="yellow"/>
        </w:rPr>
        <w:t>Osman et al., 2023</w:t>
      </w:r>
      <w:r w:rsidR="002539A7">
        <w:rPr>
          <w:rFonts w:ascii="Arial" w:eastAsia="Times New Roman" w:hAnsi="Arial" w:cs="Arial"/>
          <w:sz w:val="20"/>
          <w:szCs w:val="20"/>
          <w:highlight w:val="yellow"/>
        </w:rPr>
        <w:t>; Chong et al., 2023</w:t>
      </w:r>
      <w:r w:rsidR="0066501A" w:rsidRPr="00D70913">
        <w:rPr>
          <w:rFonts w:ascii="Arial" w:eastAsia="Times New Roman" w:hAnsi="Arial" w:cs="Arial"/>
          <w:sz w:val="20"/>
          <w:szCs w:val="20"/>
          <w:highlight w:val="yellow"/>
        </w:rPr>
        <w:t>).</w:t>
      </w:r>
      <w:r w:rsidR="0066501A">
        <w:rPr>
          <w:rFonts w:ascii="Arial" w:eastAsia="Times New Roman" w:hAnsi="Arial" w:cs="Arial"/>
          <w:sz w:val="20"/>
          <w:szCs w:val="20"/>
        </w:rPr>
        <w:t xml:space="preserve"> </w:t>
      </w:r>
    </w:p>
    <w:p w14:paraId="0000001C" w14:textId="45E408A2" w:rsidR="00D51113" w:rsidRPr="006D7BAB" w:rsidRDefault="000D71C5" w:rsidP="003E45B1">
      <w:pPr>
        <w:spacing w:line="240" w:lineRule="auto"/>
        <w:ind w:firstLine="720"/>
        <w:jc w:val="both"/>
        <w:rPr>
          <w:rFonts w:ascii="Arial" w:eastAsia="Times New Roman" w:hAnsi="Arial" w:cs="Arial"/>
          <w:sz w:val="20"/>
          <w:szCs w:val="20"/>
        </w:rPr>
      </w:pPr>
      <w:r w:rsidRPr="006D7BAB">
        <w:rPr>
          <w:rFonts w:ascii="Arial" w:eastAsia="Times New Roman" w:hAnsi="Arial" w:cs="Arial"/>
          <w:sz w:val="20"/>
          <w:szCs w:val="20"/>
        </w:rPr>
        <w:t xml:space="preserve">Thus, various </w:t>
      </w:r>
      <w:proofErr w:type="spellStart"/>
      <w:r w:rsidRPr="006D7BAB">
        <w:rPr>
          <w:rFonts w:ascii="Arial" w:eastAsia="Times New Roman" w:hAnsi="Arial" w:cs="Arial"/>
          <w:sz w:val="20"/>
          <w:szCs w:val="20"/>
        </w:rPr>
        <w:t>biosorbents</w:t>
      </w:r>
      <w:proofErr w:type="spellEnd"/>
      <w:r w:rsidRPr="006D7BAB">
        <w:rPr>
          <w:rFonts w:ascii="Arial" w:eastAsia="Times New Roman" w:hAnsi="Arial" w:cs="Arial"/>
          <w:sz w:val="20"/>
          <w:szCs w:val="20"/>
        </w:rPr>
        <w:t xml:space="preserve"> have been developed to improve the efficiency of pollutant removal, with microbial </w:t>
      </w:r>
      <w:proofErr w:type="spellStart"/>
      <w:r w:rsidRPr="006D7BAB">
        <w:rPr>
          <w:rFonts w:ascii="Arial" w:eastAsia="Times New Roman" w:hAnsi="Arial" w:cs="Arial"/>
          <w:sz w:val="20"/>
          <w:szCs w:val="20"/>
        </w:rPr>
        <w:t>biosorbents</w:t>
      </w:r>
      <w:proofErr w:type="spellEnd"/>
      <w:r w:rsidRPr="006D7BAB">
        <w:rPr>
          <w:rFonts w:ascii="Arial" w:eastAsia="Times New Roman" w:hAnsi="Arial" w:cs="Arial"/>
          <w:sz w:val="20"/>
          <w:szCs w:val="20"/>
        </w:rPr>
        <w:t xml:space="preserve"> proving more effective at eliminating xenobiotic compounds compared to chemical or physical separation methods while also safeguarding the environment and human health (</w:t>
      </w:r>
      <w:proofErr w:type="spellStart"/>
      <w:r w:rsidRPr="006D7BAB">
        <w:rPr>
          <w:rFonts w:ascii="Arial" w:eastAsia="Times New Roman" w:hAnsi="Arial" w:cs="Arial"/>
          <w:sz w:val="20"/>
          <w:szCs w:val="20"/>
        </w:rPr>
        <w:t>Adewuyi</w:t>
      </w:r>
      <w:proofErr w:type="spellEnd"/>
      <w:r w:rsidRPr="006D7BAB">
        <w:rPr>
          <w:rFonts w:ascii="Arial" w:eastAsia="Times New Roman" w:hAnsi="Arial" w:cs="Arial"/>
          <w:sz w:val="20"/>
          <w:szCs w:val="20"/>
        </w:rPr>
        <w:t xml:space="preserve">, 2020; </w:t>
      </w:r>
      <w:proofErr w:type="spellStart"/>
      <w:r w:rsidRPr="006D7BAB">
        <w:rPr>
          <w:rFonts w:ascii="Arial" w:eastAsia="Times New Roman" w:hAnsi="Arial" w:cs="Arial"/>
          <w:sz w:val="20"/>
          <w:szCs w:val="20"/>
        </w:rPr>
        <w:t>Bradu</w:t>
      </w:r>
      <w:proofErr w:type="spellEnd"/>
      <w:r w:rsidRPr="006D7BAB">
        <w:rPr>
          <w:rFonts w:ascii="Arial" w:eastAsia="Times New Roman" w:hAnsi="Arial" w:cs="Arial"/>
          <w:sz w:val="20"/>
          <w:szCs w:val="20"/>
        </w:rPr>
        <w:t xml:space="preserve"> et al., 2022). Plant biomass, particularly those with higher root/shoot ratios, has shown promise in ecological restoration due to its adaptability (Qi et al., 2019). Among </w:t>
      </w:r>
      <w:proofErr w:type="spellStart"/>
      <w:r w:rsidRPr="006D7BAB">
        <w:rPr>
          <w:rFonts w:ascii="Arial" w:eastAsia="Times New Roman" w:hAnsi="Arial" w:cs="Arial"/>
          <w:sz w:val="20"/>
          <w:szCs w:val="20"/>
        </w:rPr>
        <w:t>biosorbents</w:t>
      </w:r>
      <w:proofErr w:type="spellEnd"/>
      <w:r w:rsidRPr="006D7BAB">
        <w:rPr>
          <w:rFonts w:ascii="Arial" w:eastAsia="Times New Roman" w:hAnsi="Arial" w:cs="Arial"/>
          <w:sz w:val="20"/>
          <w:szCs w:val="20"/>
        </w:rPr>
        <w:t xml:space="preserve">, agricultural waste products, such as sugarcane bagasse powder, rice husk ash, and waste fruit peel powders, have gained attention for their availability and high adsorption capacities, especially in fluoride removal (Garg et al., 2021).  </w:t>
      </w:r>
      <w:r w:rsidR="00760861" w:rsidRPr="00D70913">
        <w:rPr>
          <w:rFonts w:ascii="Arial" w:eastAsia="Times New Roman" w:hAnsi="Arial" w:cs="Arial"/>
          <w:sz w:val="20"/>
          <w:szCs w:val="20"/>
          <w:highlight w:val="yellow"/>
        </w:rPr>
        <w:t xml:space="preserve">Their wide adaptation is due to </w:t>
      </w:r>
      <w:r w:rsidR="00852A91">
        <w:rPr>
          <w:rFonts w:ascii="Arial" w:eastAsia="Times New Roman" w:hAnsi="Arial" w:cs="Arial"/>
          <w:sz w:val="20"/>
          <w:szCs w:val="20"/>
          <w:highlight w:val="yellow"/>
        </w:rPr>
        <w:t xml:space="preserve">the </w:t>
      </w:r>
      <w:r w:rsidR="00760861" w:rsidRPr="00D70913">
        <w:rPr>
          <w:rFonts w:ascii="Arial" w:eastAsia="Times New Roman" w:hAnsi="Arial" w:cs="Arial"/>
          <w:sz w:val="20"/>
          <w:szCs w:val="20"/>
          <w:highlight w:val="yellow"/>
        </w:rPr>
        <w:t xml:space="preserve">environmental benefits of recycling waste and high adsorption capacities for the removal of heavy metals from wastewater. </w:t>
      </w:r>
      <w:r w:rsidR="00852A91" w:rsidRPr="00D70913">
        <w:rPr>
          <w:rFonts w:ascii="Arial" w:eastAsia="Times New Roman" w:hAnsi="Arial" w:cs="Arial"/>
          <w:sz w:val="20"/>
          <w:szCs w:val="20"/>
          <w:highlight w:val="yellow"/>
        </w:rPr>
        <w:t>Clay is also a natural material that is equivalent or better to other low-cost adsorbents, which can be used to remove heavy metals such as Zn, Cr, Cu, Pb, and Co from wastewater (</w:t>
      </w:r>
      <w:proofErr w:type="spellStart"/>
      <w:r w:rsidR="0061333E" w:rsidRPr="0061333E">
        <w:rPr>
          <w:rFonts w:ascii="Arial" w:eastAsia="Times New Roman" w:hAnsi="Arial" w:cs="Arial"/>
          <w:sz w:val="20"/>
          <w:szCs w:val="20"/>
          <w:highlight w:val="yellow"/>
        </w:rPr>
        <w:t>Alsulaili</w:t>
      </w:r>
      <w:proofErr w:type="spellEnd"/>
      <w:r w:rsidR="0061333E">
        <w:rPr>
          <w:rFonts w:ascii="Arial" w:eastAsia="Times New Roman" w:hAnsi="Arial" w:cs="Arial"/>
          <w:sz w:val="20"/>
          <w:szCs w:val="20"/>
          <w:highlight w:val="yellow"/>
        </w:rPr>
        <w:t xml:space="preserve"> et al., 2023</w:t>
      </w:r>
      <w:r w:rsidR="00852A91" w:rsidRPr="00D70913">
        <w:rPr>
          <w:rFonts w:ascii="Arial" w:eastAsia="Times New Roman" w:hAnsi="Arial" w:cs="Arial"/>
          <w:sz w:val="20"/>
          <w:szCs w:val="20"/>
          <w:highlight w:val="yellow"/>
        </w:rPr>
        <w:t>).</w:t>
      </w:r>
      <w:r w:rsidR="00852A91">
        <w:rPr>
          <w:rFonts w:ascii="Arial" w:eastAsia="Times New Roman" w:hAnsi="Arial" w:cs="Arial"/>
          <w:sz w:val="20"/>
          <w:szCs w:val="20"/>
        </w:rPr>
        <w:t xml:space="preserve"> </w:t>
      </w:r>
      <w:r w:rsidRPr="006D7BAB">
        <w:rPr>
          <w:rFonts w:ascii="Arial" w:eastAsia="Times New Roman" w:hAnsi="Arial" w:cs="Arial"/>
          <w:sz w:val="20"/>
          <w:szCs w:val="20"/>
        </w:rPr>
        <w:t xml:space="preserve">A study using X-ray computed tomography by </w:t>
      </w:r>
      <w:proofErr w:type="spellStart"/>
      <w:r w:rsidRPr="006D7BAB">
        <w:rPr>
          <w:rFonts w:ascii="Arial" w:eastAsia="Times New Roman" w:hAnsi="Arial" w:cs="Arial"/>
          <w:sz w:val="20"/>
          <w:szCs w:val="20"/>
        </w:rPr>
        <w:t>Nugraha</w:t>
      </w:r>
      <w:proofErr w:type="spellEnd"/>
      <w:r w:rsidRPr="006D7BAB">
        <w:rPr>
          <w:rFonts w:ascii="Arial" w:eastAsia="Times New Roman" w:hAnsi="Arial" w:cs="Arial"/>
          <w:sz w:val="20"/>
          <w:szCs w:val="20"/>
        </w:rPr>
        <w:t xml:space="preserve"> et al. (2019) revealed that eggplant, with an average porosity of 41.8%, outperformed other evaluated fruits and vegetables, such as turnip and apple. This high porosity suggests eggplant’s potential as a valuable yet underutilized </w:t>
      </w:r>
      <w:proofErr w:type="spellStart"/>
      <w:r w:rsidRPr="006D7BAB">
        <w:rPr>
          <w:rFonts w:ascii="Arial" w:eastAsia="Times New Roman" w:hAnsi="Arial" w:cs="Arial"/>
          <w:sz w:val="20"/>
          <w:szCs w:val="20"/>
        </w:rPr>
        <w:t>biosorbent</w:t>
      </w:r>
      <w:proofErr w:type="spellEnd"/>
      <w:r w:rsidRPr="006D7BAB">
        <w:rPr>
          <w:rFonts w:ascii="Arial" w:eastAsia="Times New Roman" w:hAnsi="Arial" w:cs="Arial"/>
          <w:sz w:val="20"/>
          <w:szCs w:val="20"/>
        </w:rPr>
        <w:t xml:space="preserve"> for various applications. </w:t>
      </w:r>
      <w:proofErr w:type="spellStart"/>
      <w:r w:rsidRPr="006D7BAB">
        <w:rPr>
          <w:rFonts w:ascii="Arial" w:eastAsia="Times New Roman" w:hAnsi="Arial" w:cs="Arial"/>
          <w:sz w:val="20"/>
          <w:szCs w:val="20"/>
        </w:rPr>
        <w:t>Umaña</w:t>
      </w:r>
      <w:proofErr w:type="spellEnd"/>
      <w:r w:rsidRPr="006D7BAB">
        <w:rPr>
          <w:rFonts w:ascii="Arial" w:eastAsia="Times New Roman" w:hAnsi="Arial" w:cs="Arial"/>
          <w:sz w:val="20"/>
          <w:szCs w:val="20"/>
        </w:rPr>
        <w:t xml:space="preserve"> et al. (2022) further confirmed eggplant’s superior porosity (0.641) compared to apple and beetroot, making it a promising candidate for biosorption applications.</w:t>
      </w:r>
      <w:r w:rsidR="008B244B">
        <w:rPr>
          <w:rFonts w:ascii="Arial" w:eastAsia="Times New Roman" w:hAnsi="Arial" w:cs="Arial"/>
          <w:sz w:val="20"/>
          <w:szCs w:val="20"/>
        </w:rPr>
        <w:t xml:space="preserve"> </w:t>
      </w:r>
      <w:r w:rsidR="00BC5E6F" w:rsidRPr="00D70913">
        <w:rPr>
          <w:rFonts w:ascii="Arial" w:eastAsia="Times New Roman" w:hAnsi="Arial" w:cs="Arial"/>
          <w:i/>
          <w:iCs/>
          <w:sz w:val="20"/>
          <w:szCs w:val="20"/>
          <w:highlight w:val="yellow"/>
        </w:rPr>
        <w:t xml:space="preserve">Solanum </w:t>
      </w:r>
      <w:proofErr w:type="spellStart"/>
      <w:r w:rsidR="00BC5E6F" w:rsidRPr="00D70913">
        <w:rPr>
          <w:rFonts w:ascii="Arial" w:eastAsia="Times New Roman" w:hAnsi="Arial" w:cs="Arial"/>
          <w:i/>
          <w:iCs/>
          <w:sz w:val="20"/>
          <w:szCs w:val="20"/>
          <w:highlight w:val="yellow"/>
        </w:rPr>
        <w:t>melongena</w:t>
      </w:r>
      <w:proofErr w:type="spellEnd"/>
      <w:r w:rsidR="00BC5E6F" w:rsidRPr="00D70913">
        <w:rPr>
          <w:rFonts w:ascii="Arial" w:eastAsia="Times New Roman" w:hAnsi="Arial" w:cs="Arial"/>
          <w:sz w:val="20"/>
          <w:szCs w:val="20"/>
          <w:highlight w:val="yellow"/>
        </w:rPr>
        <w:t xml:space="preserve"> (eggplant) is an annual plant that is extensively produced in China. The stalk of </w:t>
      </w:r>
      <w:r w:rsidR="00BC5E6F" w:rsidRPr="00D70913">
        <w:rPr>
          <w:rFonts w:ascii="Arial" w:eastAsia="Times New Roman" w:hAnsi="Arial" w:cs="Arial"/>
          <w:i/>
          <w:iCs/>
          <w:sz w:val="20"/>
          <w:szCs w:val="20"/>
          <w:highlight w:val="yellow"/>
        </w:rPr>
        <w:t xml:space="preserve">Solanum </w:t>
      </w:r>
      <w:proofErr w:type="spellStart"/>
      <w:r w:rsidR="00BC5E6F" w:rsidRPr="00D70913">
        <w:rPr>
          <w:rFonts w:ascii="Arial" w:eastAsia="Times New Roman" w:hAnsi="Arial" w:cs="Arial"/>
          <w:i/>
          <w:iCs/>
          <w:sz w:val="20"/>
          <w:szCs w:val="20"/>
          <w:highlight w:val="yellow"/>
        </w:rPr>
        <w:t>melongena</w:t>
      </w:r>
      <w:proofErr w:type="spellEnd"/>
      <w:r w:rsidR="00BC5E6F" w:rsidRPr="00D70913">
        <w:rPr>
          <w:rFonts w:ascii="Arial" w:eastAsia="Times New Roman" w:hAnsi="Arial" w:cs="Arial"/>
          <w:sz w:val="20"/>
          <w:szCs w:val="20"/>
          <w:highlight w:val="yellow"/>
        </w:rPr>
        <w:t xml:space="preserve"> is often discarded and this results in environmental challenges (</w:t>
      </w:r>
      <w:proofErr w:type="spellStart"/>
      <w:r w:rsidR="002C029A" w:rsidRPr="002C029A">
        <w:rPr>
          <w:rFonts w:ascii="Arial" w:eastAsia="Times New Roman" w:hAnsi="Arial" w:cs="Arial"/>
          <w:sz w:val="20"/>
          <w:szCs w:val="20"/>
          <w:highlight w:val="yellow"/>
        </w:rPr>
        <w:t>Amaku</w:t>
      </w:r>
      <w:proofErr w:type="spellEnd"/>
      <w:r w:rsidR="002C029A">
        <w:rPr>
          <w:rFonts w:ascii="Arial" w:eastAsia="Times New Roman" w:hAnsi="Arial" w:cs="Arial"/>
          <w:sz w:val="20"/>
          <w:szCs w:val="20"/>
          <w:highlight w:val="yellow"/>
        </w:rPr>
        <w:t xml:space="preserve"> </w:t>
      </w:r>
      <w:r w:rsidR="002C029A" w:rsidRPr="002C029A">
        <w:rPr>
          <w:rFonts w:ascii="Arial" w:eastAsia="Times New Roman" w:hAnsi="Arial" w:cs="Arial"/>
          <w:sz w:val="20"/>
          <w:szCs w:val="20"/>
          <w:highlight w:val="yellow"/>
        </w:rPr>
        <w:t xml:space="preserve">&amp; </w:t>
      </w:r>
      <w:proofErr w:type="spellStart"/>
      <w:r w:rsidR="002C029A" w:rsidRPr="002C029A">
        <w:rPr>
          <w:rFonts w:ascii="Arial" w:eastAsia="Times New Roman" w:hAnsi="Arial" w:cs="Arial"/>
          <w:sz w:val="20"/>
          <w:szCs w:val="20"/>
          <w:highlight w:val="yellow"/>
        </w:rPr>
        <w:t>Taziwa</w:t>
      </w:r>
      <w:proofErr w:type="spellEnd"/>
      <w:r w:rsidR="002C029A" w:rsidRPr="002C029A">
        <w:rPr>
          <w:rFonts w:ascii="Arial" w:eastAsia="Times New Roman" w:hAnsi="Arial" w:cs="Arial"/>
          <w:sz w:val="20"/>
          <w:szCs w:val="20"/>
          <w:highlight w:val="yellow"/>
        </w:rPr>
        <w:t>, 2024</w:t>
      </w:r>
      <w:r w:rsidR="00BC5E6F" w:rsidRPr="00D70913">
        <w:rPr>
          <w:rFonts w:ascii="Arial" w:eastAsia="Times New Roman" w:hAnsi="Arial" w:cs="Arial"/>
          <w:sz w:val="20"/>
          <w:szCs w:val="20"/>
          <w:highlight w:val="yellow"/>
        </w:rPr>
        <w:t>).</w:t>
      </w:r>
      <w:r w:rsidR="00BC5E6F">
        <w:rPr>
          <w:rFonts w:ascii="Arial" w:eastAsia="Times New Roman" w:hAnsi="Arial" w:cs="Arial"/>
          <w:sz w:val="20"/>
          <w:szCs w:val="20"/>
        </w:rPr>
        <w:t xml:space="preserve"> </w:t>
      </w:r>
      <w:r w:rsidRPr="006D7BAB">
        <w:rPr>
          <w:rFonts w:ascii="Arial" w:eastAsia="Times New Roman" w:hAnsi="Arial" w:cs="Arial"/>
          <w:sz w:val="20"/>
          <w:szCs w:val="20"/>
        </w:rPr>
        <w:t xml:space="preserve">Despite the emerging studies about eggplant peel as </w:t>
      </w:r>
      <w:proofErr w:type="spellStart"/>
      <w:r w:rsidR="00D54562" w:rsidRPr="00D70913">
        <w:rPr>
          <w:rFonts w:ascii="Arial" w:eastAsia="Times New Roman" w:hAnsi="Arial" w:cs="Arial"/>
          <w:sz w:val="20"/>
          <w:szCs w:val="20"/>
          <w:highlight w:val="yellow"/>
        </w:rPr>
        <w:t>biosorbent</w:t>
      </w:r>
      <w:proofErr w:type="spellEnd"/>
      <w:r w:rsidRPr="006D7BAB">
        <w:rPr>
          <w:rFonts w:ascii="Arial" w:eastAsia="Times New Roman" w:hAnsi="Arial" w:cs="Arial"/>
          <w:sz w:val="20"/>
          <w:szCs w:val="20"/>
        </w:rPr>
        <w:t xml:space="preserve">, there is indeed a lack of comprehensive data on the use of the whole fruit of eggplant as a </w:t>
      </w:r>
      <w:proofErr w:type="spellStart"/>
      <w:r w:rsidRPr="006D7BAB">
        <w:rPr>
          <w:rFonts w:ascii="Arial" w:eastAsia="Times New Roman" w:hAnsi="Arial" w:cs="Arial"/>
          <w:sz w:val="20"/>
          <w:szCs w:val="20"/>
        </w:rPr>
        <w:t>biosorbent</w:t>
      </w:r>
      <w:proofErr w:type="spellEnd"/>
      <w:r w:rsidRPr="006D7BAB">
        <w:rPr>
          <w:rFonts w:ascii="Arial" w:eastAsia="Times New Roman" w:hAnsi="Arial" w:cs="Arial"/>
          <w:sz w:val="20"/>
          <w:szCs w:val="20"/>
        </w:rPr>
        <w:t xml:space="preserve">. The majority of the research, similar to the study by </w:t>
      </w:r>
      <w:proofErr w:type="spellStart"/>
      <w:r w:rsidRPr="006D7BAB">
        <w:rPr>
          <w:rFonts w:ascii="Arial" w:eastAsia="Times New Roman" w:hAnsi="Arial" w:cs="Arial"/>
          <w:sz w:val="20"/>
          <w:szCs w:val="20"/>
        </w:rPr>
        <w:t>Ramazanoğlu</w:t>
      </w:r>
      <w:proofErr w:type="spellEnd"/>
      <w:r w:rsidRPr="006D7BAB">
        <w:rPr>
          <w:rFonts w:ascii="Arial" w:eastAsia="Times New Roman" w:hAnsi="Arial" w:cs="Arial"/>
          <w:sz w:val="20"/>
          <w:szCs w:val="20"/>
        </w:rPr>
        <w:t xml:space="preserve"> et al. (2022), focuses on using eggplant peels as </w:t>
      </w:r>
      <w:proofErr w:type="spellStart"/>
      <w:r w:rsidRPr="006D7BAB">
        <w:rPr>
          <w:rFonts w:ascii="Arial" w:eastAsia="Times New Roman" w:hAnsi="Arial" w:cs="Arial"/>
          <w:sz w:val="20"/>
          <w:szCs w:val="20"/>
        </w:rPr>
        <w:t>biosorbents</w:t>
      </w:r>
      <w:proofErr w:type="spellEnd"/>
      <w:r w:rsidRPr="006D7BAB">
        <w:rPr>
          <w:rFonts w:ascii="Arial" w:eastAsia="Times New Roman" w:hAnsi="Arial" w:cs="Arial"/>
          <w:sz w:val="20"/>
          <w:szCs w:val="20"/>
        </w:rPr>
        <w:t xml:space="preserve"> for heavy metal removal. This study details the preparation and effectiveness of eggplant peels and stalks in removing Co²</w:t>
      </w:r>
      <w:r w:rsidRPr="006D7BAB">
        <w:rPr>
          <w:rFonts w:ascii="Cambria Math" w:eastAsia="Times New Roman" w:hAnsi="Cambria Math" w:cs="Cambria Math"/>
          <w:sz w:val="20"/>
          <w:szCs w:val="20"/>
        </w:rPr>
        <w:t>⁺</w:t>
      </w:r>
      <w:r w:rsidRPr="006D7BAB">
        <w:rPr>
          <w:rFonts w:ascii="Arial" w:eastAsia="Times New Roman" w:hAnsi="Arial" w:cs="Arial"/>
          <w:sz w:val="20"/>
          <w:szCs w:val="20"/>
        </w:rPr>
        <w:t>, Ni²</w:t>
      </w:r>
      <w:r w:rsidRPr="006D7BAB">
        <w:rPr>
          <w:rFonts w:ascii="Cambria Math" w:eastAsia="Times New Roman" w:hAnsi="Cambria Math" w:cs="Cambria Math"/>
          <w:sz w:val="20"/>
          <w:szCs w:val="20"/>
        </w:rPr>
        <w:t>⁺</w:t>
      </w:r>
      <w:r w:rsidRPr="006D7BAB">
        <w:rPr>
          <w:rFonts w:ascii="Arial" w:eastAsia="Times New Roman" w:hAnsi="Arial" w:cs="Arial"/>
          <w:sz w:val="20"/>
          <w:szCs w:val="20"/>
        </w:rPr>
        <w:t>, and Cu²</w:t>
      </w:r>
      <w:r w:rsidRPr="006D7BAB">
        <w:rPr>
          <w:rFonts w:ascii="Cambria Math" w:eastAsia="Times New Roman" w:hAnsi="Cambria Math" w:cs="Cambria Math"/>
          <w:sz w:val="20"/>
          <w:szCs w:val="20"/>
        </w:rPr>
        <w:t>⁺</w:t>
      </w:r>
      <w:r w:rsidRPr="006D7BAB">
        <w:rPr>
          <w:rFonts w:ascii="Arial" w:eastAsia="Times New Roman" w:hAnsi="Arial" w:cs="Arial"/>
          <w:sz w:val="20"/>
          <w:szCs w:val="20"/>
        </w:rPr>
        <w:t xml:space="preserve"> ions from water. In another study, treated eggplant peel was used as an adsorbent to remove Pb²</w:t>
      </w:r>
      <w:r w:rsidRPr="006D7BAB">
        <w:rPr>
          <w:rFonts w:ascii="Cambria Math" w:eastAsia="Times New Roman" w:hAnsi="Cambria Math" w:cs="Cambria Math"/>
          <w:sz w:val="20"/>
          <w:szCs w:val="20"/>
        </w:rPr>
        <w:t>⁺</w:t>
      </w:r>
      <w:r w:rsidRPr="006D7BAB">
        <w:rPr>
          <w:rFonts w:ascii="Arial" w:eastAsia="Times New Roman" w:hAnsi="Arial" w:cs="Arial"/>
          <w:sz w:val="20"/>
          <w:szCs w:val="20"/>
        </w:rPr>
        <w:t xml:space="preserve"> from an aqueous solution, and experiments were performed to investigate the effect of contact time, pH, adsorbent dose, solute concentrations, and temperature (</w:t>
      </w:r>
      <w:proofErr w:type="spellStart"/>
      <w:r w:rsidRPr="006D7BAB">
        <w:rPr>
          <w:rFonts w:ascii="Arial" w:eastAsia="Times New Roman" w:hAnsi="Arial" w:cs="Arial"/>
          <w:sz w:val="20"/>
          <w:szCs w:val="20"/>
        </w:rPr>
        <w:t>Darvanjooghi</w:t>
      </w:r>
      <w:proofErr w:type="spellEnd"/>
      <w:r w:rsidRPr="006D7BAB">
        <w:rPr>
          <w:rFonts w:ascii="Arial" w:eastAsia="Times New Roman" w:hAnsi="Arial" w:cs="Arial"/>
          <w:sz w:val="20"/>
          <w:szCs w:val="20"/>
        </w:rPr>
        <w:t xml:space="preserve"> et al., 2018).  The study of Patel et al. (2022) revealed that a low-cost </w:t>
      </w:r>
      <w:proofErr w:type="spellStart"/>
      <w:r w:rsidRPr="006D7BAB">
        <w:rPr>
          <w:rFonts w:ascii="Arial" w:eastAsia="Times New Roman" w:hAnsi="Arial" w:cs="Arial"/>
          <w:sz w:val="20"/>
          <w:szCs w:val="20"/>
        </w:rPr>
        <w:t>biosorbent</w:t>
      </w:r>
      <w:proofErr w:type="spellEnd"/>
      <w:r w:rsidRPr="006D7BAB">
        <w:rPr>
          <w:rFonts w:ascii="Arial" w:eastAsia="Times New Roman" w:hAnsi="Arial" w:cs="Arial"/>
          <w:sz w:val="20"/>
          <w:szCs w:val="20"/>
        </w:rPr>
        <w:t xml:space="preserve"> effectively removes methylene blue dye from aqueous solutions under specific pH, sorbent dose, and contact time conditions. Furthermore, there were specific parameters to follow to get the correct ratio of the </w:t>
      </w:r>
      <w:proofErr w:type="spellStart"/>
      <w:r w:rsidRPr="006D7BAB">
        <w:rPr>
          <w:rFonts w:ascii="Arial" w:eastAsia="Times New Roman" w:hAnsi="Arial" w:cs="Arial"/>
          <w:sz w:val="20"/>
          <w:szCs w:val="20"/>
        </w:rPr>
        <w:t>biosorbents</w:t>
      </w:r>
      <w:proofErr w:type="spellEnd"/>
      <w:r w:rsidRPr="006D7BAB">
        <w:rPr>
          <w:rFonts w:ascii="Arial" w:eastAsia="Times New Roman" w:hAnsi="Arial" w:cs="Arial"/>
          <w:sz w:val="20"/>
          <w:szCs w:val="20"/>
        </w:rPr>
        <w:t>.</w:t>
      </w:r>
    </w:p>
    <w:p w14:paraId="0000001D" w14:textId="77777777" w:rsidR="00D51113" w:rsidRPr="006D7BAB" w:rsidRDefault="000D71C5" w:rsidP="003E45B1">
      <w:pPr>
        <w:spacing w:line="240" w:lineRule="auto"/>
        <w:ind w:firstLine="720"/>
        <w:jc w:val="both"/>
        <w:rPr>
          <w:rFonts w:ascii="Arial" w:eastAsia="Times New Roman" w:hAnsi="Arial" w:cs="Arial"/>
          <w:sz w:val="20"/>
          <w:szCs w:val="20"/>
        </w:rPr>
      </w:pPr>
      <w:r w:rsidRPr="006D7BAB">
        <w:rPr>
          <w:rFonts w:ascii="Arial" w:eastAsia="Times New Roman" w:hAnsi="Arial" w:cs="Arial"/>
          <w:sz w:val="20"/>
          <w:szCs w:val="20"/>
        </w:rPr>
        <w:t xml:space="preserve">Thus, this study focuses on the development of eggplant-based </w:t>
      </w:r>
      <w:proofErr w:type="spellStart"/>
      <w:r w:rsidRPr="006D7BAB">
        <w:rPr>
          <w:rFonts w:ascii="Arial" w:eastAsia="Times New Roman" w:hAnsi="Arial" w:cs="Arial"/>
          <w:sz w:val="20"/>
          <w:szCs w:val="20"/>
        </w:rPr>
        <w:t>biosorbents</w:t>
      </w:r>
      <w:proofErr w:type="spellEnd"/>
      <w:r w:rsidRPr="006D7BAB">
        <w:rPr>
          <w:rFonts w:ascii="Arial" w:eastAsia="Times New Roman" w:hAnsi="Arial" w:cs="Arial"/>
          <w:sz w:val="20"/>
          <w:szCs w:val="20"/>
        </w:rPr>
        <w:t xml:space="preserve">. Given the limited existing literature and less established data on eggplant-derived biosorption, this study aims to determine the efficiency of eggplant as a </w:t>
      </w:r>
      <w:proofErr w:type="spellStart"/>
      <w:r w:rsidRPr="006D7BAB">
        <w:rPr>
          <w:rFonts w:ascii="Arial" w:eastAsia="Times New Roman" w:hAnsi="Arial" w:cs="Arial"/>
          <w:sz w:val="20"/>
          <w:szCs w:val="20"/>
        </w:rPr>
        <w:t>biosorbent</w:t>
      </w:r>
      <w:proofErr w:type="spellEnd"/>
      <w:r w:rsidRPr="006D7BAB">
        <w:rPr>
          <w:rFonts w:ascii="Arial" w:eastAsia="Times New Roman" w:hAnsi="Arial" w:cs="Arial"/>
          <w:sz w:val="20"/>
          <w:szCs w:val="20"/>
        </w:rPr>
        <w:t xml:space="preserve"> compared to conventional soil remediation. It also seeks to identify the parameters that need to be considered to ensure the effectiveness and durability of the materials.</w:t>
      </w:r>
    </w:p>
    <w:p w14:paraId="1E3E9901" w14:textId="77777777" w:rsidR="00CB3336" w:rsidRPr="006D7BAB" w:rsidRDefault="00CB3336" w:rsidP="003E45B1">
      <w:pPr>
        <w:spacing w:line="240" w:lineRule="auto"/>
        <w:rPr>
          <w:rFonts w:ascii="Arial" w:eastAsia="Times New Roman" w:hAnsi="Arial" w:cs="Arial"/>
          <w:sz w:val="22"/>
          <w:szCs w:val="22"/>
        </w:rPr>
      </w:pPr>
    </w:p>
    <w:p w14:paraId="0000001F" w14:textId="47271881" w:rsidR="00D51113" w:rsidRPr="006D7BAB" w:rsidRDefault="006D7BAB" w:rsidP="003E45B1">
      <w:pPr>
        <w:spacing w:line="240" w:lineRule="auto"/>
        <w:rPr>
          <w:rFonts w:ascii="Arial" w:eastAsia="Times New Roman" w:hAnsi="Arial" w:cs="Arial"/>
          <w:b/>
          <w:sz w:val="22"/>
          <w:szCs w:val="22"/>
        </w:rPr>
      </w:pPr>
      <w:r w:rsidRPr="006D7BAB">
        <w:rPr>
          <w:rFonts w:ascii="Arial" w:eastAsia="Times New Roman" w:hAnsi="Arial" w:cs="Arial"/>
          <w:b/>
          <w:sz w:val="22"/>
          <w:szCs w:val="22"/>
        </w:rPr>
        <w:t>2. MATERIALS AND METHODS</w:t>
      </w:r>
    </w:p>
    <w:p w14:paraId="00000020" w14:textId="4329481B" w:rsidR="00D51113" w:rsidRPr="006D7BAB" w:rsidRDefault="006D7BAB" w:rsidP="003E45B1">
      <w:pPr>
        <w:spacing w:line="240" w:lineRule="auto"/>
        <w:rPr>
          <w:rFonts w:ascii="Arial" w:eastAsia="Times New Roman" w:hAnsi="Arial" w:cs="Arial"/>
          <w:b/>
          <w:iCs/>
          <w:sz w:val="22"/>
          <w:szCs w:val="22"/>
        </w:rPr>
      </w:pPr>
      <w:r w:rsidRPr="006D7BAB">
        <w:rPr>
          <w:rFonts w:ascii="Arial" w:eastAsia="Times New Roman" w:hAnsi="Arial" w:cs="Arial"/>
          <w:b/>
          <w:iCs/>
          <w:sz w:val="22"/>
          <w:szCs w:val="22"/>
        </w:rPr>
        <w:t>2.1 Research Design</w:t>
      </w:r>
    </w:p>
    <w:p w14:paraId="777A2BC3" w14:textId="582C1BCC" w:rsidR="00CB3336" w:rsidRPr="006D7BAB" w:rsidRDefault="000D71C5" w:rsidP="00CB3336">
      <w:pPr>
        <w:spacing w:line="240" w:lineRule="auto"/>
        <w:ind w:firstLine="720"/>
        <w:jc w:val="both"/>
        <w:rPr>
          <w:rFonts w:ascii="Arial" w:eastAsia="Times New Roman" w:hAnsi="Arial" w:cs="Arial"/>
          <w:sz w:val="20"/>
          <w:szCs w:val="20"/>
        </w:rPr>
      </w:pPr>
      <w:r w:rsidRPr="006D7BAB">
        <w:rPr>
          <w:rFonts w:ascii="Arial" w:eastAsia="Times New Roman" w:hAnsi="Arial" w:cs="Arial"/>
          <w:sz w:val="20"/>
          <w:szCs w:val="20"/>
        </w:rPr>
        <w:t xml:space="preserve">This study employed a research and development (R&amp;D) approach with a quantitative experimental research design to thoroughly investigate the viability of eggplant as a </w:t>
      </w:r>
      <w:proofErr w:type="spellStart"/>
      <w:r w:rsidRPr="006D7BAB">
        <w:rPr>
          <w:rFonts w:ascii="Arial" w:eastAsia="Times New Roman" w:hAnsi="Arial" w:cs="Arial"/>
          <w:sz w:val="20"/>
          <w:szCs w:val="20"/>
        </w:rPr>
        <w:t>biosorbent</w:t>
      </w:r>
      <w:proofErr w:type="spellEnd"/>
      <w:r w:rsidRPr="006D7BAB">
        <w:rPr>
          <w:rFonts w:ascii="Arial" w:eastAsia="Times New Roman" w:hAnsi="Arial" w:cs="Arial"/>
          <w:sz w:val="20"/>
          <w:szCs w:val="20"/>
        </w:rPr>
        <w:t xml:space="preserve"> material. The development of the </w:t>
      </w:r>
      <w:proofErr w:type="spellStart"/>
      <w:r w:rsidRPr="006D7BAB">
        <w:rPr>
          <w:rFonts w:ascii="Arial" w:eastAsia="Times New Roman" w:hAnsi="Arial" w:cs="Arial"/>
          <w:sz w:val="20"/>
          <w:szCs w:val="20"/>
        </w:rPr>
        <w:t>biosorbents</w:t>
      </w:r>
      <w:proofErr w:type="spellEnd"/>
      <w:r w:rsidRPr="006D7BAB">
        <w:rPr>
          <w:rFonts w:ascii="Arial" w:eastAsia="Times New Roman" w:hAnsi="Arial" w:cs="Arial"/>
          <w:sz w:val="20"/>
          <w:szCs w:val="20"/>
        </w:rPr>
        <w:t xml:space="preserve"> was processed and prepared during the research and development phase using drying and treatment methods of eggplant. The experiment was controlled for </w:t>
      </w:r>
      <w:proofErr w:type="spellStart"/>
      <w:r w:rsidR="00D54562" w:rsidRPr="00D70913">
        <w:rPr>
          <w:rFonts w:ascii="Arial" w:eastAsia="Times New Roman" w:hAnsi="Arial" w:cs="Arial"/>
          <w:sz w:val="20"/>
          <w:szCs w:val="20"/>
          <w:highlight w:val="yellow"/>
        </w:rPr>
        <w:t>biosorbent</w:t>
      </w:r>
      <w:proofErr w:type="spellEnd"/>
      <w:r w:rsidR="00D54562" w:rsidRPr="006D7BAB">
        <w:rPr>
          <w:rFonts w:ascii="Arial" w:eastAsia="Times New Roman" w:hAnsi="Arial" w:cs="Arial"/>
          <w:sz w:val="20"/>
          <w:szCs w:val="20"/>
        </w:rPr>
        <w:t xml:space="preserve"> </w:t>
      </w:r>
      <w:r w:rsidRPr="006D7BAB">
        <w:rPr>
          <w:rFonts w:ascii="Arial" w:eastAsia="Times New Roman" w:hAnsi="Arial" w:cs="Arial"/>
          <w:sz w:val="20"/>
          <w:szCs w:val="20"/>
        </w:rPr>
        <w:t xml:space="preserve">efficiency under these different conditions, time contact, pH level, and adsorbent dose. Quantitative data was gathered, statistically examined, and compared with other conventional adsorbent's effectiveness. To validate the performance of the </w:t>
      </w:r>
      <w:proofErr w:type="spellStart"/>
      <w:r w:rsidRPr="006D7BAB">
        <w:rPr>
          <w:rFonts w:ascii="Arial" w:eastAsia="Times New Roman" w:hAnsi="Arial" w:cs="Arial"/>
          <w:sz w:val="20"/>
          <w:szCs w:val="20"/>
        </w:rPr>
        <w:t>biosorbent</w:t>
      </w:r>
      <w:proofErr w:type="spellEnd"/>
      <w:r w:rsidRPr="006D7BAB">
        <w:rPr>
          <w:rFonts w:ascii="Arial" w:eastAsia="Times New Roman" w:hAnsi="Arial" w:cs="Arial"/>
          <w:sz w:val="20"/>
          <w:szCs w:val="20"/>
        </w:rPr>
        <w:t xml:space="preserve"> material, a set of observations was conducted to monitor and assess the </w:t>
      </w:r>
      <w:r w:rsidRPr="006D7BAB">
        <w:rPr>
          <w:rFonts w:ascii="Arial" w:eastAsia="Times New Roman" w:hAnsi="Arial" w:cs="Arial"/>
          <w:sz w:val="20"/>
          <w:szCs w:val="20"/>
        </w:rPr>
        <w:lastRenderedPageBreak/>
        <w:t>adsorption capacity in the testing environment. The use of quantitative experimental design permitted the execution of controlled tests under well-defined conditions, increasing the scientific accuracy of the study endeavor.</w:t>
      </w:r>
    </w:p>
    <w:p w14:paraId="00000022" w14:textId="0CD02D33" w:rsidR="00D51113" w:rsidRPr="006D7BAB" w:rsidRDefault="006D7BAB" w:rsidP="003E45B1">
      <w:pPr>
        <w:spacing w:line="240" w:lineRule="auto"/>
        <w:jc w:val="both"/>
        <w:rPr>
          <w:rFonts w:ascii="Arial" w:eastAsia="Times New Roman" w:hAnsi="Arial" w:cs="Arial"/>
          <w:b/>
          <w:iCs/>
          <w:sz w:val="22"/>
          <w:szCs w:val="22"/>
        </w:rPr>
      </w:pPr>
      <w:r w:rsidRPr="006D7BAB">
        <w:rPr>
          <w:rFonts w:ascii="Arial" w:eastAsia="Times New Roman" w:hAnsi="Arial" w:cs="Arial"/>
          <w:b/>
          <w:iCs/>
          <w:sz w:val="22"/>
          <w:szCs w:val="22"/>
        </w:rPr>
        <w:t>2.2 Sample Collection and Preparation of the Specimen and Materials</w:t>
      </w:r>
    </w:p>
    <w:p w14:paraId="61F68EEC" w14:textId="34BA92C3" w:rsidR="00CB3336" w:rsidRPr="006D7BAB" w:rsidRDefault="000D71C5" w:rsidP="00CB3336">
      <w:pPr>
        <w:spacing w:line="240" w:lineRule="auto"/>
        <w:ind w:firstLine="720"/>
        <w:jc w:val="both"/>
        <w:rPr>
          <w:rFonts w:ascii="Arial" w:eastAsia="Times New Roman" w:hAnsi="Arial" w:cs="Arial"/>
          <w:sz w:val="20"/>
          <w:szCs w:val="20"/>
        </w:rPr>
      </w:pPr>
      <w:r w:rsidRPr="006D7BAB">
        <w:rPr>
          <w:rFonts w:ascii="Arial" w:eastAsia="Times New Roman" w:hAnsi="Arial" w:cs="Arial"/>
          <w:sz w:val="20"/>
          <w:szCs w:val="20"/>
        </w:rPr>
        <w:t>This study utilized the following materials: 2 kg of rejected Eggplant (</w:t>
      </w:r>
      <w:r w:rsidRPr="006D7BAB">
        <w:rPr>
          <w:rFonts w:ascii="Arial" w:eastAsia="Times New Roman" w:hAnsi="Arial" w:cs="Arial"/>
          <w:i/>
          <w:sz w:val="20"/>
          <w:szCs w:val="20"/>
        </w:rPr>
        <w:t xml:space="preserve">Solanum </w:t>
      </w:r>
      <w:proofErr w:type="spellStart"/>
      <w:r w:rsidRPr="006D7BAB">
        <w:rPr>
          <w:rFonts w:ascii="Arial" w:eastAsia="Times New Roman" w:hAnsi="Arial" w:cs="Arial"/>
          <w:i/>
          <w:sz w:val="20"/>
          <w:szCs w:val="20"/>
        </w:rPr>
        <w:t>melongena</w:t>
      </w:r>
      <w:proofErr w:type="spellEnd"/>
      <w:r w:rsidRPr="006D7BAB">
        <w:rPr>
          <w:rFonts w:ascii="Arial" w:eastAsia="Times New Roman" w:hAnsi="Arial" w:cs="Arial"/>
          <w:i/>
          <w:sz w:val="20"/>
          <w:szCs w:val="20"/>
        </w:rPr>
        <w:t xml:space="preserve"> </w:t>
      </w:r>
      <w:r w:rsidRPr="006D7BAB">
        <w:rPr>
          <w:rFonts w:ascii="Arial" w:eastAsia="Times New Roman" w:hAnsi="Arial" w:cs="Arial"/>
          <w:sz w:val="20"/>
          <w:szCs w:val="20"/>
        </w:rPr>
        <w:t>L.), sodium hydroxide (NaOH) to treat the biomass, and activated carbon as the conventional method for water treatment. In this study, eggplants were collected from the Local Public Market; other materials like sodium hydroxide (NaOH), activated carbon, and potassium nitrate (KNO</w:t>
      </w:r>
      <w:r w:rsidRPr="006D7BAB">
        <w:rPr>
          <w:rFonts w:ascii="Arial" w:eastAsia="Times New Roman" w:hAnsi="Arial" w:cs="Arial"/>
          <w:sz w:val="20"/>
          <w:szCs w:val="20"/>
          <w:vertAlign w:val="subscript"/>
        </w:rPr>
        <w:t>3</w:t>
      </w:r>
      <w:r w:rsidRPr="006D7BAB">
        <w:rPr>
          <w:rFonts w:ascii="Arial" w:eastAsia="Times New Roman" w:hAnsi="Arial" w:cs="Arial"/>
          <w:sz w:val="20"/>
          <w:szCs w:val="20"/>
        </w:rPr>
        <w:t>) were sourced from local providers.</w:t>
      </w:r>
    </w:p>
    <w:p w14:paraId="00000024" w14:textId="274F329E" w:rsidR="00D51113" w:rsidRPr="003E45B1" w:rsidRDefault="006D7BAB" w:rsidP="003E45B1">
      <w:pPr>
        <w:spacing w:line="240" w:lineRule="auto"/>
        <w:jc w:val="both"/>
        <w:rPr>
          <w:rFonts w:ascii="Arial" w:eastAsia="Times New Roman" w:hAnsi="Arial" w:cs="Arial"/>
          <w:b/>
          <w:iCs/>
          <w:sz w:val="20"/>
          <w:szCs w:val="20"/>
        </w:rPr>
      </w:pPr>
      <w:r w:rsidRPr="003E45B1">
        <w:rPr>
          <w:rFonts w:ascii="Arial" w:eastAsia="Times New Roman" w:hAnsi="Arial" w:cs="Arial"/>
          <w:b/>
          <w:iCs/>
          <w:sz w:val="20"/>
          <w:szCs w:val="20"/>
        </w:rPr>
        <w:t>2.</w:t>
      </w:r>
      <w:r w:rsidR="003E45B1" w:rsidRPr="003E45B1">
        <w:rPr>
          <w:rFonts w:ascii="Arial" w:eastAsia="Times New Roman" w:hAnsi="Arial" w:cs="Arial"/>
          <w:b/>
          <w:iCs/>
          <w:sz w:val="20"/>
          <w:szCs w:val="20"/>
        </w:rPr>
        <w:t>2.1</w:t>
      </w:r>
      <w:r w:rsidRPr="003E45B1">
        <w:rPr>
          <w:rFonts w:ascii="Arial" w:eastAsia="Times New Roman" w:hAnsi="Arial" w:cs="Arial"/>
          <w:b/>
          <w:iCs/>
          <w:sz w:val="20"/>
          <w:szCs w:val="20"/>
        </w:rPr>
        <w:t xml:space="preserve"> Preparation of Eggplant (</w:t>
      </w:r>
      <w:r w:rsidRPr="00D70913">
        <w:rPr>
          <w:rFonts w:ascii="Arial" w:eastAsia="Times New Roman" w:hAnsi="Arial" w:cs="Arial"/>
          <w:b/>
          <w:i/>
          <w:sz w:val="20"/>
          <w:szCs w:val="20"/>
        </w:rPr>
        <w:t xml:space="preserve">Solanum </w:t>
      </w:r>
      <w:proofErr w:type="spellStart"/>
      <w:r w:rsidRPr="00D70913">
        <w:rPr>
          <w:rFonts w:ascii="Arial" w:eastAsia="Times New Roman" w:hAnsi="Arial" w:cs="Arial"/>
          <w:b/>
          <w:i/>
          <w:sz w:val="20"/>
          <w:szCs w:val="20"/>
        </w:rPr>
        <w:t>melongena</w:t>
      </w:r>
      <w:proofErr w:type="spellEnd"/>
      <w:r w:rsidRPr="003E45B1">
        <w:rPr>
          <w:rFonts w:ascii="Arial" w:eastAsia="Times New Roman" w:hAnsi="Arial" w:cs="Arial"/>
          <w:b/>
          <w:iCs/>
          <w:sz w:val="20"/>
          <w:szCs w:val="20"/>
        </w:rPr>
        <w:t xml:space="preserve"> L.) pretreated with Sodium Hydroxide</w:t>
      </w:r>
    </w:p>
    <w:p w14:paraId="53D26EE5" w14:textId="749D254B" w:rsidR="00CB3336" w:rsidRPr="00CB3336" w:rsidRDefault="000D71C5" w:rsidP="003E45B1">
      <w:pPr>
        <w:spacing w:line="240" w:lineRule="auto"/>
        <w:jc w:val="both"/>
        <w:rPr>
          <w:rFonts w:ascii="Arial" w:eastAsia="Times New Roman" w:hAnsi="Arial" w:cs="Arial"/>
          <w:sz w:val="20"/>
          <w:szCs w:val="20"/>
        </w:rPr>
      </w:pPr>
      <w:r w:rsidRPr="006D7BAB">
        <w:rPr>
          <w:rFonts w:ascii="Arial" w:eastAsia="Times New Roman" w:hAnsi="Arial" w:cs="Arial"/>
          <w:sz w:val="20"/>
          <w:szCs w:val="20"/>
        </w:rPr>
        <w:tab/>
        <w:t xml:space="preserve">In this study, the process of mixing eggplant waste and sodium hydroxide solution went as follows: First, the 2 kilos of Eggplant waste were chopped into 10-20mm pieces; the eggplants were washed with distilled water to remove dust particles on the surface of the prepared adsorbent.  Secondly, 40 g NaOH pellets were dissolved in 1000 mL distilled water to create a 1 M NaOH solution, and then the waste eggplant was immersed </w:t>
      </w:r>
      <w:r w:rsidR="00E16AE7" w:rsidRPr="00D70913">
        <w:rPr>
          <w:rFonts w:ascii="Arial" w:eastAsia="Times New Roman" w:hAnsi="Arial" w:cs="Arial"/>
          <w:sz w:val="20"/>
          <w:szCs w:val="20"/>
          <w:highlight w:val="yellow"/>
        </w:rPr>
        <w:t>in</w:t>
      </w:r>
      <w:r w:rsidR="00E16AE7" w:rsidRPr="006D7BAB">
        <w:rPr>
          <w:rFonts w:ascii="Arial" w:eastAsia="Times New Roman" w:hAnsi="Arial" w:cs="Arial"/>
          <w:sz w:val="20"/>
          <w:szCs w:val="20"/>
        </w:rPr>
        <w:t xml:space="preserve"> </w:t>
      </w:r>
      <w:r w:rsidRPr="006D7BAB">
        <w:rPr>
          <w:rFonts w:ascii="Arial" w:eastAsia="Times New Roman" w:hAnsi="Arial" w:cs="Arial"/>
          <w:sz w:val="20"/>
          <w:szCs w:val="20"/>
        </w:rPr>
        <w:t xml:space="preserve">it for 72 hours at room temperature. Next, they were heated to 105˚C in the air dryer for 4 hours. Lastly, the heated eggplant was grounded by a blender put through a 100-mesh sieve; this method of preparation was adopted and modified from a similar study done by </w:t>
      </w:r>
      <w:proofErr w:type="spellStart"/>
      <w:r w:rsidRPr="006D7BAB">
        <w:rPr>
          <w:rFonts w:ascii="Arial" w:eastAsia="Times New Roman" w:hAnsi="Arial" w:cs="Arial"/>
          <w:sz w:val="20"/>
          <w:szCs w:val="20"/>
        </w:rPr>
        <w:t>Darvanjooghi</w:t>
      </w:r>
      <w:proofErr w:type="spellEnd"/>
      <w:r w:rsidRPr="006D7BAB">
        <w:rPr>
          <w:rFonts w:ascii="Arial" w:eastAsia="Times New Roman" w:hAnsi="Arial" w:cs="Arial"/>
          <w:sz w:val="20"/>
          <w:szCs w:val="20"/>
        </w:rPr>
        <w:t xml:space="preserve"> et al. (2018).</w:t>
      </w:r>
    </w:p>
    <w:p w14:paraId="00000026" w14:textId="4059FDEA" w:rsidR="00D51113" w:rsidRPr="003E45B1" w:rsidRDefault="003E45B1" w:rsidP="003E45B1">
      <w:pPr>
        <w:spacing w:line="240" w:lineRule="auto"/>
        <w:jc w:val="both"/>
        <w:rPr>
          <w:rFonts w:ascii="Arial" w:eastAsia="Times New Roman" w:hAnsi="Arial" w:cs="Arial"/>
          <w:b/>
          <w:iCs/>
          <w:sz w:val="20"/>
          <w:szCs w:val="20"/>
        </w:rPr>
      </w:pPr>
      <w:r w:rsidRPr="003E45B1">
        <w:rPr>
          <w:rFonts w:ascii="Arial" w:eastAsia="Times New Roman" w:hAnsi="Arial" w:cs="Arial"/>
          <w:b/>
          <w:iCs/>
          <w:sz w:val="20"/>
          <w:szCs w:val="20"/>
        </w:rPr>
        <w:t>2.2.2 Preparation of Simulated Contaminated Water</w:t>
      </w:r>
    </w:p>
    <w:p w14:paraId="093EDAEE" w14:textId="1E14C57B" w:rsidR="00CB3336" w:rsidRPr="006D7BAB" w:rsidRDefault="000D71C5" w:rsidP="003E45B1">
      <w:pPr>
        <w:spacing w:line="240" w:lineRule="auto"/>
        <w:jc w:val="both"/>
        <w:rPr>
          <w:rFonts w:ascii="Arial" w:eastAsia="Times New Roman" w:hAnsi="Arial" w:cs="Arial"/>
          <w:sz w:val="20"/>
          <w:szCs w:val="20"/>
        </w:rPr>
      </w:pPr>
      <w:r w:rsidRPr="006D7BAB">
        <w:rPr>
          <w:rFonts w:ascii="Arial" w:eastAsia="Times New Roman" w:hAnsi="Arial" w:cs="Arial"/>
          <w:sz w:val="20"/>
          <w:szCs w:val="20"/>
        </w:rPr>
        <w:tab/>
        <w:t>To prepare the nitrate solution, 5 g of potassium nitrate (KNO</w:t>
      </w:r>
      <w:r w:rsidRPr="006D7BAB">
        <w:rPr>
          <w:rFonts w:ascii="Cambria Math" w:eastAsia="Times New Roman" w:hAnsi="Cambria Math" w:cs="Cambria Math"/>
          <w:sz w:val="20"/>
          <w:szCs w:val="20"/>
        </w:rPr>
        <w:t>₃</w:t>
      </w:r>
      <w:r w:rsidRPr="006D7BAB">
        <w:rPr>
          <w:rFonts w:ascii="Arial" w:eastAsia="Times New Roman" w:hAnsi="Arial" w:cs="Arial"/>
          <w:sz w:val="20"/>
          <w:szCs w:val="20"/>
        </w:rPr>
        <w:t xml:space="preserve">) was dissolved in 1 L of distilled water to create a 1000 mg/L nitrate stock solution. The pH of the solution is crucial for effective biosorption. For most biosorption processes involving heavy metals and inorganic pollutants, an optimal pH range is typically around 7. The pH level regulator will be used to adjust the pH level either higher or lower. </w:t>
      </w:r>
    </w:p>
    <w:p w14:paraId="00000028" w14:textId="776CC510" w:rsidR="00D51113" w:rsidRPr="003E45B1" w:rsidRDefault="006D7BAB" w:rsidP="003E45B1">
      <w:pPr>
        <w:spacing w:line="240" w:lineRule="auto"/>
        <w:jc w:val="both"/>
        <w:rPr>
          <w:rFonts w:ascii="Arial" w:eastAsia="Times New Roman" w:hAnsi="Arial" w:cs="Arial"/>
          <w:b/>
          <w:iCs/>
          <w:sz w:val="22"/>
          <w:szCs w:val="22"/>
        </w:rPr>
      </w:pPr>
      <w:r w:rsidRPr="003E45B1">
        <w:rPr>
          <w:rFonts w:ascii="Arial" w:eastAsia="Times New Roman" w:hAnsi="Arial" w:cs="Arial"/>
          <w:b/>
          <w:iCs/>
          <w:sz w:val="22"/>
          <w:szCs w:val="22"/>
        </w:rPr>
        <w:t>2.</w:t>
      </w:r>
      <w:r w:rsidR="003E45B1" w:rsidRPr="003E45B1">
        <w:rPr>
          <w:rFonts w:ascii="Arial" w:eastAsia="Times New Roman" w:hAnsi="Arial" w:cs="Arial"/>
          <w:b/>
          <w:iCs/>
          <w:sz w:val="22"/>
          <w:szCs w:val="22"/>
        </w:rPr>
        <w:t xml:space="preserve">3 </w:t>
      </w:r>
      <w:r w:rsidRPr="003E45B1">
        <w:rPr>
          <w:rFonts w:ascii="Arial" w:eastAsia="Times New Roman" w:hAnsi="Arial" w:cs="Arial"/>
          <w:b/>
          <w:iCs/>
          <w:sz w:val="22"/>
          <w:szCs w:val="22"/>
        </w:rPr>
        <w:t>Data Gathering Procedure</w:t>
      </w:r>
    </w:p>
    <w:p w14:paraId="00000029" w14:textId="39814233" w:rsidR="00D51113" w:rsidRPr="006D7BAB" w:rsidRDefault="000D71C5" w:rsidP="003E45B1">
      <w:pPr>
        <w:spacing w:line="240" w:lineRule="auto"/>
        <w:jc w:val="both"/>
        <w:rPr>
          <w:rFonts w:ascii="Arial" w:eastAsia="Times New Roman" w:hAnsi="Arial" w:cs="Arial"/>
          <w:sz w:val="20"/>
          <w:szCs w:val="20"/>
        </w:rPr>
      </w:pPr>
      <w:r w:rsidRPr="006D7BAB">
        <w:rPr>
          <w:rFonts w:ascii="Arial" w:eastAsia="Times New Roman" w:hAnsi="Arial" w:cs="Arial"/>
          <w:sz w:val="20"/>
          <w:szCs w:val="20"/>
        </w:rPr>
        <w:tab/>
        <w:t xml:space="preserve">A batch experimental process was used to investigate the effects of various conditions on biosorption efficiency. A series of 250 mL glass flasks containing 200 mL of nitrate solution were prepared. These flasks were maintained at a specific pH level and a designated dosage of eggplant-derived </w:t>
      </w:r>
      <w:proofErr w:type="spellStart"/>
      <w:r w:rsidRPr="006D7BAB">
        <w:rPr>
          <w:rFonts w:ascii="Arial" w:eastAsia="Times New Roman" w:hAnsi="Arial" w:cs="Arial"/>
          <w:sz w:val="20"/>
          <w:szCs w:val="20"/>
        </w:rPr>
        <w:t>biosorbent</w:t>
      </w:r>
      <w:proofErr w:type="spellEnd"/>
      <w:r w:rsidRPr="006D7BAB">
        <w:rPr>
          <w:rFonts w:ascii="Arial" w:eastAsia="Times New Roman" w:hAnsi="Arial" w:cs="Arial"/>
          <w:sz w:val="20"/>
          <w:szCs w:val="20"/>
        </w:rPr>
        <w:t xml:space="preserve"> over a defined time frame. The experiments were conducted in two batches, varying key variables to assess their impacts on biosorption efficiency.</w:t>
      </w:r>
    </w:p>
    <w:p w14:paraId="0000002A" w14:textId="67F87F81" w:rsidR="00D51113" w:rsidRPr="006D7BAB" w:rsidRDefault="000D71C5" w:rsidP="003E45B1">
      <w:pPr>
        <w:spacing w:line="240" w:lineRule="auto"/>
        <w:ind w:firstLine="720"/>
        <w:jc w:val="both"/>
        <w:rPr>
          <w:rFonts w:ascii="Arial" w:eastAsia="Times New Roman" w:hAnsi="Arial" w:cs="Arial"/>
          <w:sz w:val="20"/>
          <w:szCs w:val="20"/>
        </w:rPr>
      </w:pPr>
      <w:r w:rsidRPr="006D7BAB">
        <w:rPr>
          <w:rFonts w:ascii="Arial" w:eastAsia="Times New Roman" w:hAnsi="Arial" w:cs="Arial"/>
          <w:sz w:val="20"/>
          <w:szCs w:val="20"/>
        </w:rPr>
        <w:t xml:space="preserve">The parameters include exposure times of 12 hours to determine the optimal duration for maximal adsorption at the </w:t>
      </w:r>
      <w:proofErr w:type="gramStart"/>
      <w:r w:rsidRPr="006D7BAB">
        <w:rPr>
          <w:rFonts w:ascii="Arial" w:eastAsia="Times New Roman" w:hAnsi="Arial" w:cs="Arial"/>
          <w:sz w:val="20"/>
          <w:szCs w:val="20"/>
        </w:rPr>
        <w:t>7 pH</w:t>
      </w:r>
      <w:proofErr w:type="gramEnd"/>
      <w:r w:rsidRPr="006D7BAB">
        <w:rPr>
          <w:rFonts w:ascii="Arial" w:eastAsia="Times New Roman" w:hAnsi="Arial" w:cs="Arial"/>
          <w:sz w:val="20"/>
          <w:szCs w:val="20"/>
        </w:rPr>
        <w:t xml:space="preserve"> level. Additionally, two </w:t>
      </w:r>
      <w:proofErr w:type="spellStart"/>
      <w:r w:rsidRPr="006D7BAB">
        <w:rPr>
          <w:rFonts w:ascii="Arial" w:eastAsia="Times New Roman" w:hAnsi="Arial" w:cs="Arial"/>
          <w:sz w:val="20"/>
          <w:szCs w:val="20"/>
        </w:rPr>
        <w:t>biosorbent</w:t>
      </w:r>
      <w:proofErr w:type="spellEnd"/>
      <w:r w:rsidRPr="006D7BAB">
        <w:rPr>
          <w:rFonts w:ascii="Arial" w:eastAsia="Times New Roman" w:hAnsi="Arial" w:cs="Arial"/>
          <w:sz w:val="20"/>
          <w:szCs w:val="20"/>
        </w:rPr>
        <w:t xml:space="preserve"> dosages—1 gram and 0.5 gram—were added to simulated water. To calculate the removal efficiency, samples were tested before and after by Colorimetric Brucine. This method detects and quantifies the concentrations of nitrate in the solutions, allowing for the determination of removal efficiency by comparing the concentration of nitrate in the untreated solution with that in the treated solution, expressed as a percentage of removal.</w:t>
      </w:r>
    </w:p>
    <w:p w14:paraId="0000002B" w14:textId="25771FC8" w:rsidR="00D51113" w:rsidRPr="006D7BAB" w:rsidRDefault="000D71C5" w:rsidP="003E45B1">
      <w:pPr>
        <w:spacing w:line="240" w:lineRule="auto"/>
        <w:ind w:firstLine="720"/>
        <w:jc w:val="both"/>
        <w:rPr>
          <w:rFonts w:ascii="Arial" w:eastAsia="Times New Roman" w:hAnsi="Arial" w:cs="Arial"/>
          <w:sz w:val="20"/>
          <w:szCs w:val="20"/>
        </w:rPr>
      </w:pPr>
      <w:r w:rsidRPr="006D7BAB">
        <w:rPr>
          <w:rFonts w:ascii="Arial" w:eastAsia="Times New Roman" w:hAnsi="Arial" w:cs="Arial"/>
          <w:sz w:val="20"/>
          <w:szCs w:val="20"/>
        </w:rPr>
        <w:t xml:space="preserve">The effectiveness of the </w:t>
      </w:r>
      <w:proofErr w:type="spellStart"/>
      <w:r w:rsidRPr="006D7BAB">
        <w:rPr>
          <w:rFonts w:ascii="Arial" w:eastAsia="Times New Roman" w:hAnsi="Arial" w:cs="Arial"/>
          <w:sz w:val="20"/>
          <w:szCs w:val="20"/>
        </w:rPr>
        <w:t>biosorbent</w:t>
      </w:r>
      <w:proofErr w:type="spellEnd"/>
      <w:r w:rsidRPr="006D7BAB">
        <w:rPr>
          <w:rFonts w:ascii="Arial" w:eastAsia="Times New Roman" w:hAnsi="Arial" w:cs="Arial"/>
          <w:sz w:val="20"/>
          <w:szCs w:val="20"/>
        </w:rPr>
        <w:t xml:space="preserve"> in removing contaminants from the simulated water was evaluated based on variations in </w:t>
      </w:r>
      <w:proofErr w:type="spellStart"/>
      <w:r w:rsidRPr="006D7BAB">
        <w:rPr>
          <w:rFonts w:ascii="Arial" w:eastAsia="Times New Roman" w:hAnsi="Arial" w:cs="Arial"/>
          <w:sz w:val="20"/>
          <w:szCs w:val="20"/>
        </w:rPr>
        <w:t>biosorbent</w:t>
      </w:r>
      <w:proofErr w:type="spellEnd"/>
      <w:r w:rsidRPr="006D7BAB">
        <w:rPr>
          <w:rFonts w:ascii="Arial" w:eastAsia="Times New Roman" w:hAnsi="Arial" w:cs="Arial"/>
          <w:sz w:val="20"/>
          <w:szCs w:val="20"/>
        </w:rPr>
        <w:t xml:space="preserve"> dosage. The adsorption capacity was calculated through:</w:t>
      </w:r>
    </w:p>
    <w:p w14:paraId="0000002C" w14:textId="7C88516D" w:rsidR="00D51113" w:rsidRDefault="006D7BAB" w:rsidP="003E45B1">
      <w:pPr>
        <w:spacing w:line="240" w:lineRule="auto"/>
        <w:jc w:val="both"/>
        <w:rPr>
          <w:rFonts w:ascii="Arial" w:eastAsia="Times New Roman" w:hAnsi="Arial" w:cs="Arial"/>
          <w:sz w:val="20"/>
          <w:szCs w:val="20"/>
        </w:rPr>
      </w:pPr>
      <w:r w:rsidRPr="006D7BAB">
        <w:rPr>
          <w:rFonts w:ascii="Arial" w:hAnsi="Arial" w:cs="Arial"/>
          <w:noProof/>
          <w:sz w:val="20"/>
          <w:szCs w:val="20"/>
        </w:rPr>
        <w:drawing>
          <wp:anchor distT="114300" distB="114300" distL="114300" distR="114300" simplePos="0" relativeHeight="251658240" behindDoc="0" locked="0" layoutInCell="1" hidden="0" allowOverlap="1" wp14:anchorId="480146D5" wp14:editId="42085E3E">
            <wp:simplePos x="0" y="0"/>
            <wp:positionH relativeFrom="column">
              <wp:posOffset>2238375</wp:posOffset>
            </wp:positionH>
            <wp:positionV relativeFrom="paragraph">
              <wp:posOffset>124461</wp:posOffset>
            </wp:positionV>
            <wp:extent cx="1295400" cy="381000"/>
            <wp:effectExtent l="0" t="0" r="0" b="0"/>
            <wp:wrapNone/>
            <wp:docPr id="5"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8"/>
                    <a:srcRect/>
                    <a:stretch>
                      <a:fillRect/>
                    </a:stretch>
                  </pic:blipFill>
                  <pic:spPr>
                    <a:xfrm>
                      <a:off x="0" y="0"/>
                      <a:ext cx="1295400" cy="381000"/>
                    </a:xfrm>
                    <a:prstGeom prst="rect">
                      <a:avLst/>
                    </a:prstGeom>
                    <a:ln/>
                  </pic:spPr>
                </pic:pic>
              </a:graphicData>
            </a:graphic>
            <wp14:sizeRelH relativeFrom="margin">
              <wp14:pctWidth>0</wp14:pctWidth>
            </wp14:sizeRelH>
            <wp14:sizeRelV relativeFrom="margin">
              <wp14:pctHeight>0</wp14:pctHeight>
            </wp14:sizeRelV>
          </wp:anchor>
        </w:drawing>
      </w:r>
    </w:p>
    <w:p w14:paraId="794D8500" w14:textId="42E9F4DB" w:rsidR="006D7BAB" w:rsidRPr="006D7BAB" w:rsidRDefault="006D7BAB" w:rsidP="003E45B1">
      <w:pPr>
        <w:spacing w:line="240" w:lineRule="auto"/>
        <w:jc w:val="both"/>
        <w:rPr>
          <w:rFonts w:ascii="Arial" w:eastAsia="Times New Roman" w:hAnsi="Arial" w:cs="Arial"/>
          <w:sz w:val="20"/>
          <w:szCs w:val="20"/>
        </w:rPr>
      </w:pPr>
    </w:p>
    <w:p w14:paraId="0000002D" w14:textId="77777777" w:rsidR="00D51113" w:rsidRPr="006D7BAB" w:rsidRDefault="000D71C5" w:rsidP="003E45B1">
      <w:pPr>
        <w:spacing w:line="240" w:lineRule="auto"/>
        <w:jc w:val="both"/>
        <w:rPr>
          <w:rFonts w:ascii="Arial" w:eastAsia="Times New Roman" w:hAnsi="Arial" w:cs="Arial"/>
          <w:sz w:val="20"/>
          <w:szCs w:val="20"/>
        </w:rPr>
      </w:pPr>
      <w:proofErr w:type="spellStart"/>
      <w:r w:rsidRPr="006D7BAB">
        <w:rPr>
          <w:rFonts w:ascii="Arial" w:eastAsia="Times New Roman" w:hAnsi="Arial" w:cs="Arial"/>
          <w:sz w:val="20"/>
          <w:szCs w:val="20"/>
        </w:rPr>
        <w:t>qe</w:t>
      </w:r>
      <w:proofErr w:type="spellEnd"/>
      <w:r w:rsidRPr="006D7BAB">
        <w:rPr>
          <w:rFonts w:ascii="Arial" w:eastAsia="Times New Roman" w:hAnsi="Arial" w:cs="Arial"/>
          <w:sz w:val="20"/>
          <w:szCs w:val="20"/>
        </w:rPr>
        <w:t xml:space="preserve"> = Amount of adsorbate adsorbed per unit mass of adsorbent at equilibrium (mg/g).</w:t>
      </w:r>
    </w:p>
    <w:p w14:paraId="0000002E" w14:textId="460D751F" w:rsidR="00D51113" w:rsidRPr="006D7BAB" w:rsidRDefault="000D71C5" w:rsidP="003E45B1">
      <w:pPr>
        <w:spacing w:line="240" w:lineRule="auto"/>
        <w:jc w:val="both"/>
        <w:rPr>
          <w:rFonts w:ascii="Arial" w:eastAsia="Times New Roman" w:hAnsi="Arial" w:cs="Arial"/>
          <w:sz w:val="20"/>
          <w:szCs w:val="20"/>
        </w:rPr>
      </w:pPr>
      <w:r w:rsidRPr="006D7BAB">
        <w:rPr>
          <w:rFonts w:ascii="Arial" w:eastAsia="Times New Roman" w:hAnsi="Arial" w:cs="Arial"/>
          <w:sz w:val="20"/>
          <w:szCs w:val="20"/>
        </w:rPr>
        <w:lastRenderedPageBreak/>
        <w:t>C1 = Initial concentration of the adsorbate in the solution (mg/L).</w:t>
      </w:r>
    </w:p>
    <w:p w14:paraId="0000002F" w14:textId="517A5FE7" w:rsidR="00D51113" w:rsidRPr="006D7BAB" w:rsidRDefault="000D71C5" w:rsidP="003E45B1">
      <w:pPr>
        <w:spacing w:line="240" w:lineRule="auto"/>
        <w:jc w:val="both"/>
        <w:rPr>
          <w:rFonts w:ascii="Arial" w:eastAsia="Times New Roman" w:hAnsi="Arial" w:cs="Arial"/>
          <w:sz w:val="20"/>
          <w:szCs w:val="20"/>
        </w:rPr>
      </w:pPr>
      <w:r w:rsidRPr="006D7BAB">
        <w:rPr>
          <w:rFonts w:ascii="Arial" w:eastAsia="Times New Roman" w:hAnsi="Arial" w:cs="Arial"/>
          <w:sz w:val="20"/>
          <w:szCs w:val="20"/>
        </w:rPr>
        <w:t>Ce =Equilibrium concentration of the adsorbate in the solution after adsorption (mg/L).</w:t>
      </w:r>
    </w:p>
    <w:p w14:paraId="00000030" w14:textId="440FC69B" w:rsidR="00D51113" w:rsidRPr="006D7BAB" w:rsidRDefault="000D71C5" w:rsidP="003E45B1">
      <w:pPr>
        <w:spacing w:line="240" w:lineRule="auto"/>
        <w:jc w:val="both"/>
        <w:rPr>
          <w:rFonts w:ascii="Arial" w:eastAsia="Times New Roman" w:hAnsi="Arial" w:cs="Arial"/>
          <w:sz w:val="20"/>
          <w:szCs w:val="20"/>
        </w:rPr>
      </w:pPr>
      <w:r w:rsidRPr="006D7BAB">
        <w:rPr>
          <w:rFonts w:ascii="Arial" w:eastAsia="Times New Roman" w:hAnsi="Arial" w:cs="Arial"/>
          <w:sz w:val="20"/>
          <w:szCs w:val="20"/>
        </w:rPr>
        <w:t>V = Volume of the solution (L).</w:t>
      </w:r>
    </w:p>
    <w:p w14:paraId="00000031" w14:textId="52F9BFC0" w:rsidR="00D51113" w:rsidRPr="006D7BAB" w:rsidRDefault="000D71C5" w:rsidP="003E45B1">
      <w:pPr>
        <w:spacing w:line="240" w:lineRule="auto"/>
        <w:jc w:val="both"/>
        <w:rPr>
          <w:rFonts w:ascii="Arial" w:eastAsia="Times New Roman" w:hAnsi="Arial" w:cs="Arial"/>
          <w:sz w:val="20"/>
          <w:szCs w:val="20"/>
        </w:rPr>
      </w:pPr>
      <w:r w:rsidRPr="006D7BAB">
        <w:rPr>
          <w:rFonts w:ascii="Arial" w:eastAsia="Times New Roman" w:hAnsi="Arial" w:cs="Arial"/>
          <w:sz w:val="20"/>
          <w:szCs w:val="20"/>
        </w:rPr>
        <w:t>M = Mass of the adsorbent used (g).</w:t>
      </w:r>
    </w:p>
    <w:p w14:paraId="35B26588" w14:textId="1ECC1035" w:rsidR="003E45B1" w:rsidRDefault="000D71C5" w:rsidP="003E45B1">
      <w:pPr>
        <w:spacing w:after="240" w:line="240" w:lineRule="auto"/>
        <w:ind w:right="-360" w:firstLine="720"/>
        <w:jc w:val="both"/>
        <w:rPr>
          <w:rFonts w:ascii="Arial" w:eastAsia="Times New Roman" w:hAnsi="Arial" w:cs="Arial"/>
          <w:sz w:val="20"/>
          <w:szCs w:val="20"/>
        </w:rPr>
      </w:pPr>
      <w:r w:rsidRPr="006D7BAB">
        <w:rPr>
          <w:rFonts w:ascii="Arial" w:eastAsia="Times New Roman" w:hAnsi="Arial" w:cs="Arial"/>
          <w:sz w:val="20"/>
          <w:szCs w:val="20"/>
        </w:rPr>
        <w:t xml:space="preserve">To calculate the removal efficiency of the </w:t>
      </w:r>
      <w:proofErr w:type="spellStart"/>
      <w:r w:rsidRPr="006D7BAB">
        <w:rPr>
          <w:rFonts w:ascii="Arial" w:eastAsia="Times New Roman" w:hAnsi="Arial" w:cs="Arial"/>
          <w:sz w:val="20"/>
          <w:szCs w:val="20"/>
        </w:rPr>
        <w:t>biosorbent</w:t>
      </w:r>
      <w:proofErr w:type="spellEnd"/>
      <w:r w:rsidRPr="006D7BAB">
        <w:rPr>
          <w:rFonts w:ascii="Arial" w:eastAsia="Times New Roman" w:hAnsi="Arial" w:cs="Arial"/>
          <w:sz w:val="20"/>
          <w:szCs w:val="20"/>
        </w:rPr>
        <w:t>, the following formula was used:</w:t>
      </w:r>
    </w:p>
    <w:p w14:paraId="4867D756" w14:textId="77777777" w:rsidR="003E45B1" w:rsidRPr="006D7BAB" w:rsidRDefault="003E45B1" w:rsidP="003E45B1">
      <w:pPr>
        <w:spacing w:after="240" w:line="240" w:lineRule="auto"/>
        <w:ind w:right="-360" w:firstLine="720"/>
        <w:jc w:val="both"/>
        <w:rPr>
          <w:rFonts w:ascii="Arial" w:eastAsia="Times New Roman" w:hAnsi="Arial" w:cs="Arial"/>
          <w:sz w:val="20"/>
          <w:szCs w:val="20"/>
        </w:rPr>
      </w:pPr>
    </w:p>
    <w:p w14:paraId="57F70D37" w14:textId="4ED6D280" w:rsidR="006D7BAB" w:rsidRDefault="006D7BAB" w:rsidP="003E45B1">
      <w:pPr>
        <w:spacing w:before="240" w:after="240" w:line="240" w:lineRule="auto"/>
        <w:jc w:val="center"/>
        <w:rPr>
          <w:rFonts w:ascii="Arial" w:eastAsia="Times New Roman" w:hAnsi="Arial" w:cs="Arial"/>
          <w:sz w:val="20"/>
          <w:szCs w:val="20"/>
        </w:rPr>
      </w:pPr>
    </w:p>
    <w:p w14:paraId="23A645E4" w14:textId="2C4306F2" w:rsidR="006D7BAB" w:rsidRDefault="006D7BAB" w:rsidP="003E45B1">
      <w:pPr>
        <w:spacing w:before="240" w:after="240" w:line="240" w:lineRule="auto"/>
        <w:rPr>
          <w:rFonts w:ascii="Arial" w:eastAsia="Times New Roman" w:hAnsi="Arial" w:cs="Arial"/>
          <w:sz w:val="20"/>
          <w:szCs w:val="20"/>
        </w:rPr>
      </w:pPr>
      <w:r w:rsidRPr="006D7BAB">
        <w:rPr>
          <w:rFonts w:ascii="Arial" w:eastAsia="Times New Roman" w:hAnsi="Arial" w:cs="Arial"/>
          <w:noProof/>
          <w:sz w:val="20"/>
          <w:szCs w:val="20"/>
        </w:rPr>
        <w:drawing>
          <wp:anchor distT="0" distB="0" distL="114300" distR="114300" simplePos="0" relativeHeight="251659264" behindDoc="0" locked="0" layoutInCell="1" allowOverlap="1" wp14:anchorId="74073221" wp14:editId="06A255D4">
            <wp:simplePos x="0" y="0"/>
            <wp:positionH relativeFrom="column">
              <wp:posOffset>2095500</wp:posOffset>
            </wp:positionH>
            <wp:positionV relativeFrom="paragraph">
              <wp:posOffset>-485775</wp:posOffset>
            </wp:positionV>
            <wp:extent cx="1485900" cy="352425"/>
            <wp:effectExtent l="0" t="0" r="0" b="9525"/>
            <wp:wrapNone/>
            <wp:docPr id="6"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1485900" cy="352425"/>
                    </a:xfrm>
                    <a:prstGeom prst="rect">
                      <a:avLst/>
                    </a:prstGeom>
                    <a:ln/>
                  </pic:spPr>
                </pic:pic>
              </a:graphicData>
            </a:graphic>
          </wp:anchor>
        </w:drawing>
      </w:r>
      <w:r w:rsidRPr="006D7BAB">
        <w:rPr>
          <w:rFonts w:ascii="Arial" w:eastAsia="Times New Roman" w:hAnsi="Arial" w:cs="Arial"/>
          <w:i/>
          <w:sz w:val="20"/>
          <w:szCs w:val="20"/>
        </w:rPr>
        <w:t>C</w:t>
      </w:r>
      <w:r w:rsidRPr="006D7BAB">
        <w:rPr>
          <w:rFonts w:ascii="Arial" w:eastAsia="Times New Roman" w:hAnsi="Arial" w:cs="Arial"/>
          <w:sz w:val="20"/>
          <w:szCs w:val="20"/>
        </w:rPr>
        <w:t>i = Initial concentration of the contaminant (mg/L)</w:t>
      </w:r>
    </w:p>
    <w:p w14:paraId="6A47B5E5" w14:textId="4AA32D3B" w:rsidR="00EF1BD8" w:rsidRDefault="000D71C5" w:rsidP="00CB3336">
      <w:pPr>
        <w:spacing w:before="240" w:after="240" w:line="240" w:lineRule="auto"/>
        <w:rPr>
          <w:rFonts w:ascii="Arial" w:eastAsia="Times New Roman" w:hAnsi="Arial" w:cs="Arial"/>
          <w:sz w:val="20"/>
          <w:szCs w:val="20"/>
        </w:rPr>
      </w:pPr>
      <w:r w:rsidRPr="006D7BAB">
        <w:rPr>
          <w:rFonts w:ascii="Arial" w:eastAsia="Times New Roman" w:hAnsi="Arial" w:cs="Arial"/>
          <w:i/>
          <w:sz w:val="20"/>
          <w:szCs w:val="20"/>
        </w:rPr>
        <w:t>Ce</w:t>
      </w:r>
      <w:r w:rsidRPr="006D7BAB">
        <w:rPr>
          <w:rFonts w:ascii="Arial" w:eastAsia="Times New Roman" w:hAnsi="Arial" w:cs="Arial"/>
          <w:sz w:val="20"/>
          <w:szCs w:val="20"/>
        </w:rPr>
        <w:t xml:space="preserve"> = Final concentration of the contaminant after treatment (mg/L)</w:t>
      </w:r>
    </w:p>
    <w:p w14:paraId="6C3F90EB" w14:textId="77777777" w:rsidR="00EF1BD8" w:rsidRPr="00CB3336" w:rsidRDefault="00EF1BD8" w:rsidP="00CB3336">
      <w:pPr>
        <w:spacing w:before="240" w:after="240" w:line="240" w:lineRule="auto"/>
        <w:rPr>
          <w:rFonts w:ascii="Arial" w:eastAsia="Times New Roman" w:hAnsi="Arial" w:cs="Arial"/>
          <w:sz w:val="20"/>
          <w:szCs w:val="20"/>
        </w:rPr>
      </w:pPr>
    </w:p>
    <w:p w14:paraId="24ED247C" w14:textId="389D6417" w:rsidR="00CB3336" w:rsidRPr="003E45B1" w:rsidRDefault="003E45B1" w:rsidP="00912D31">
      <w:pPr>
        <w:spacing w:line="240" w:lineRule="auto"/>
        <w:rPr>
          <w:rFonts w:ascii="Arial" w:eastAsia="Times New Roman" w:hAnsi="Arial" w:cs="Arial"/>
          <w:b/>
          <w:sz w:val="22"/>
          <w:szCs w:val="22"/>
        </w:rPr>
      </w:pPr>
      <w:r w:rsidRPr="003E45B1">
        <w:rPr>
          <w:rFonts w:ascii="Arial" w:eastAsia="Times New Roman" w:hAnsi="Arial" w:cs="Arial"/>
          <w:b/>
          <w:sz w:val="22"/>
          <w:szCs w:val="22"/>
        </w:rPr>
        <w:t>3. RESULTS AND DISCUSSION</w:t>
      </w:r>
    </w:p>
    <w:p w14:paraId="00000039" w14:textId="0ACAE4DA" w:rsidR="00D51113" w:rsidRPr="003E45B1" w:rsidRDefault="003E45B1" w:rsidP="00912D31">
      <w:pPr>
        <w:spacing w:line="240" w:lineRule="auto"/>
        <w:rPr>
          <w:rFonts w:ascii="Arial" w:eastAsia="Times New Roman" w:hAnsi="Arial" w:cs="Arial"/>
          <w:b/>
          <w:iCs/>
          <w:sz w:val="22"/>
          <w:szCs w:val="22"/>
        </w:rPr>
      </w:pPr>
      <w:r w:rsidRPr="003E45B1">
        <w:rPr>
          <w:rFonts w:ascii="Arial" w:eastAsia="Times New Roman" w:hAnsi="Arial" w:cs="Arial"/>
          <w:b/>
          <w:iCs/>
          <w:sz w:val="22"/>
          <w:szCs w:val="22"/>
        </w:rPr>
        <w:t xml:space="preserve">3.1 Adsorption Capacity of Eggplant (Solanum </w:t>
      </w:r>
      <w:proofErr w:type="spellStart"/>
      <w:r w:rsidRPr="003E45B1">
        <w:rPr>
          <w:rFonts w:ascii="Arial" w:eastAsia="Times New Roman" w:hAnsi="Arial" w:cs="Arial"/>
          <w:b/>
          <w:iCs/>
          <w:sz w:val="22"/>
          <w:szCs w:val="22"/>
        </w:rPr>
        <w:t>melongena</w:t>
      </w:r>
      <w:proofErr w:type="spellEnd"/>
      <w:r w:rsidRPr="003E45B1">
        <w:rPr>
          <w:rFonts w:ascii="Arial" w:eastAsia="Times New Roman" w:hAnsi="Arial" w:cs="Arial"/>
          <w:b/>
          <w:iCs/>
          <w:sz w:val="22"/>
          <w:szCs w:val="22"/>
        </w:rPr>
        <w:t xml:space="preserve"> L.) </w:t>
      </w:r>
      <w:proofErr w:type="spellStart"/>
      <w:r w:rsidRPr="003E45B1">
        <w:rPr>
          <w:rFonts w:ascii="Arial" w:eastAsia="Times New Roman" w:hAnsi="Arial" w:cs="Arial"/>
          <w:b/>
          <w:iCs/>
          <w:sz w:val="22"/>
          <w:szCs w:val="22"/>
        </w:rPr>
        <w:t>Biosorbent</w:t>
      </w:r>
      <w:proofErr w:type="spellEnd"/>
      <w:r w:rsidRPr="003E45B1">
        <w:rPr>
          <w:rFonts w:ascii="Arial" w:eastAsia="Times New Roman" w:hAnsi="Arial" w:cs="Arial"/>
          <w:b/>
          <w:iCs/>
          <w:sz w:val="22"/>
          <w:szCs w:val="22"/>
        </w:rPr>
        <w:t xml:space="preserve"> Compared to Activated Carbon</w:t>
      </w:r>
    </w:p>
    <w:tbl>
      <w:tblPr>
        <w:tblStyle w:val="a3"/>
        <w:tblpPr w:leftFromText="180" w:rightFromText="180" w:vertAnchor="text" w:horzAnchor="margin" w:tblpXSpec="center" w:tblpY="498"/>
        <w:tblW w:w="7513" w:type="dxa"/>
        <w:tblLayout w:type="fixed"/>
        <w:tblLook w:val="0400" w:firstRow="0" w:lastRow="0" w:firstColumn="0" w:lastColumn="0" w:noHBand="0" w:noVBand="1"/>
      </w:tblPr>
      <w:tblGrid>
        <w:gridCol w:w="1701"/>
        <w:gridCol w:w="1560"/>
        <w:gridCol w:w="1275"/>
        <w:gridCol w:w="1276"/>
        <w:gridCol w:w="1701"/>
      </w:tblGrid>
      <w:tr w:rsidR="00EF1BD8" w14:paraId="5D4A3EFD" w14:textId="77777777" w:rsidTr="00EF1BD8">
        <w:trPr>
          <w:trHeight w:val="547"/>
        </w:trPr>
        <w:tc>
          <w:tcPr>
            <w:tcW w:w="1701" w:type="dxa"/>
            <w:tcBorders>
              <w:top w:val="single" w:sz="8" w:space="0" w:color="000000"/>
              <w:bottom w:val="single" w:sz="8" w:space="0" w:color="000000"/>
            </w:tcBorders>
            <w:tcMar>
              <w:top w:w="0" w:type="dxa"/>
              <w:left w:w="115" w:type="dxa"/>
              <w:bottom w:w="0" w:type="dxa"/>
              <w:right w:w="115" w:type="dxa"/>
            </w:tcMar>
            <w:vAlign w:val="center"/>
          </w:tcPr>
          <w:p w14:paraId="3C0866C7"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b/>
                <w:sz w:val="20"/>
                <w:szCs w:val="20"/>
              </w:rPr>
              <w:t>Sample</w:t>
            </w:r>
          </w:p>
        </w:tc>
        <w:tc>
          <w:tcPr>
            <w:tcW w:w="1560" w:type="dxa"/>
            <w:tcBorders>
              <w:top w:val="single" w:sz="8" w:space="0" w:color="000000"/>
              <w:bottom w:val="single" w:sz="8" w:space="0" w:color="000000"/>
            </w:tcBorders>
            <w:tcMar>
              <w:top w:w="0" w:type="dxa"/>
              <w:left w:w="115" w:type="dxa"/>
              <w:bottom w:w="0" w:type="dxa"/>
              <w:right w:w="115" w:type="dxa"/>
            </w:tcMar>
            <w:vAlign w:val="center"/>
          </w:tcPr>
          <w:p w14:paraId="295BAD3F"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b/>
                <w:sz w:val="20"/>
                <w:szCs w:val="20"/>
              </w:rPr>
              <w:t>Adsorbent Dose (g)</w:t>
            </w:r>
          </w:p>
        </w:tc>
        <w:tc>
          <w:tcPr>
            <w:tcW w:w="1275" w:type="dxa"/>
            <w:tcBorders>
              <w:top w:val="single" w:sz="8" w:space="0" w:color="000000"/>
              <w:bottom w:val="single" w:sz="8" w:space="0" w:color="000000"/>
            </w:tcBorders>
            <w:tcMar>
              <w:top w:w="0" w:type="dxa"/>
              <w:left w:w="115" w:type="dxa"/>
              <w:bottom w:w="0" w:type="dxa"/>
              <w:right w:w="115" w:type="dxa"/>
            </w:tcMar>
            <w:vAlign w:val="center"/>
          </w:tcPr>
          <w:p w14:paraId="3D121245"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b/>
                <w:sz w:val="20"/>
                <w:szCs w:val="20"/>
              </w:rPr>
              <w:t>Contact Time (h)</w:t>
            </w:r>
          </w:p>
        </w:tc>
        <w:tc>
          <w:tcPr>
            <w:tcW w:w="1276" w:type="dxa"/>
            <w:tcBorders>
              <w:top w:val="single" w:sz="8" w:space="0" w:color="000000"/>
              <w:bottom w:val="single" w:sz="8" w:space="0" w:color="000000"/>
            </w:tcBorders>
            <w:tcMar>
              <w:top w:w="0" w:type="dxa"/>
              <w:left w:w="115" w:type="dxa"/>
              <w:bottom w:w="0" w:type="dxa"/>
              <w:right w:w="115" w:type="dxa"/>
            </w:tcMar>
            <w:vAlign w:val="center"/>
          </w:tcPr>
          <w:p w14:paraId="7953A65F"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b/>
                <w:sz w:val="20"/>
                <w:szCs w:val="20"/>
              </w:rPr>
              <w:t>Remaining Nitrate (mg/L)</w:t>
            </w:r>
          </w:p>
        </w:tc>
        <w:tc>
          <w:tcPr>
            <w:tcW w:w="1701" w:type="dxa"/>
            <w:tcBorders>
              <w:top w:val="single" w:sz="8" w:space="0" w:color="000000"/>
              <w:bottom w:val="single" w:sz="8" w:space="0" w:color="000000"/>
            </w:tcBorders>
            <w:tcMar>
              <w:top w:w="0" w:type="dxa"/>
              <w:left w:w="115" w:type="dxa"/>
              <w:bottom w:w="0" w:type="dxa"/>
              <w:right w:w="115" w:type="dxa"/>
            </w:tcMar>
            <w:vAlign w:val="center"/>
          </w:tcPr>
          <w:p w14:paraId="19228B64"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b/>
                <w:sz w:val="20"/>
                <w:szCs w:val="20"/>
              </w:rPr>
              <w:t>Adsorption Capacity (mg/g)</w:t>
            </w:r>
          </w:p>
        </w:tc>
      </w:tr>
      <w:tr w:rsidR="00EF1BD8" w14:paraId="60A11BB9" w14:textId="77777777" w:rsidTr="00EF1BD8">
        <w:trPr>
          <w:trHeight w:val="393"/>
        </w:trPr>
        <w:tc>
          <w:tcPr>
            <w:tcW w:w="1701" w:type="dxa"/>
            <w:tcBorders>
              <w:top w:val="single" w:sz="8" w:space="0" w:color="000000"/>
            </w:tcBorders>
            <w:tcMar>
              <w:top w:w="0" w:type="dxa"/>
              <w:left w:w="115" w:type="dxa"/>
              <w:bottom w:w="0" w:type="dxa"/>
              <w:right w:w="115" w:type="dxa"/>
            </w:tcMar>
            <w:vAlign w:val="center"/>
          </w:tcPr>
          <w:p w14:paraId="045F4A94"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sz w:val="20"/>
                <w:szCs w:val="20"/>
              </w:rPr>
              <w:t xml:space="preserve">B1 Eggplant </w:t>
            </w:r>
            <w:proofErr w:type="spellStart"/>
            <w:r w:rsidRPr="003E45B1">
              <w:rPr>
                <w:rFonts w:ascii="Arial" w:eastAsia="Times New Roman" w:hAnsi="Arial" w:cs="Arial"/>
                <w:sz w:val="20"/>
                <w:szCs w:val="20"/>
              </w:rPr>
              <w:t>Biosorbent</w:t>
            </w:r>
            <w:proofErr w:type="spellEnd"/>
          </w:p>
        </w:tc>
        <w:tc>
          <w:tcPr>
            <w:tcW w:w="1560" w:type="dxa"/>
            <w:tcBorders>
              <w:top w:val="single" w:sz="8" w:space="0" w:color="000000"/>
            </w:tcBorders>
            <w:tcMar>
              <w:top w:w="0" w:type="dxa"/>
              <w:left w:w="115" w:type="dxa"/>
              <w:bottom w:w="0" w:type="dxa"/>
              <w:right w:w="115" w:type="dxa"/>
            </w:tcMar>
            <w:vAlign w:val="center"/>
          </w:tcPr>
          <w:p w14:paraId="56BCBB00"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sz w:val="20"/>
                <w:szCs w:val="20"/>
              </w:rPr>
              <w:t>1</w:t>
            </w:r>
          </w:p>
        </w:tc>
        <w:tc>
          <w:tcPr>
            <w:tcW w:w="1275" w:type="dxa"/>
            <w:tcBorders>
              <w:top w:val="single" w:sz="8" w:space="0" w:color="000000"/>
            </w:tcBorders>
            <w:tcMar>
              <w:top w:w="0" w:type="dxa"/>
              <w:left w:w="115" w:type="dxa"/>
              <w:bottom w:w="0" w:type="dxa"/>
              <w:right w:w="115" w:type="dxa"/>
            </w:tcMar>
            <w:vAlign w:val="center"/>
          </w:tcPr>
          <w:p w14:paraId="215EC16C"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sz w:val="20"/>
                <w:szCs w:val="20"/>
              </w:rPr>
              <w:t>12</w:t>
            </w:r>
          </w:p>
        </w:tc>
        <w:tc>
          <w:tcPr>
            <w:tcW w:w="1276" w:type="dxa"/>
            <w:tcBorders>
              <w:top w:val="single" w:sz="8" w:space="0" w:color="000000"/>
            </w:tcBorders>
            <w:tcMar>
              <w:top w:w="0" w:type="dxa"/>
              <w:left w:w="115" w:type="dxa"/>
              <w:bottom w:w="0" w:type="dxa"/>
              <w:right w:w="115" w:type="dxa"/>
            </w:tcMar>
            <w:vAlign w:val="center"/>
          </w:tcPr>
          <w:p w14:paraId="4B2F1E95"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sz w:val="20"/>
                <w:szCs w:val="20"/>
              </w:rPr>
              <w:t>0.6</w:t>
            </w:r>
          </w:p>
        </w:tc>
        <w:tc>
          <w:tcPr>
            <w:tcW w:w="1701" w:type="dxa"/>
            <w:tcBorders>
              <w:top w:val="single" w:sz="8" w:space="0" w:color="000000"/>
            </w:tcBorders>
            <w:tcMar>
              <w:top w:w="0" w:type="dxa"/>
              <w:left w:w="115" w:type="dxa"/>
              <w:bottom w:w="0" w:type="dxa"/>
              <w:right w:w="115" w:type="dxa"/>
            </w:tcMar>
            <w:vAlign w:val="center"/>
          </w:tcPr>
          <w:p w14:paraId="69B50581"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sz w:val="20"/>
                <w:szCs w:val="20"/>
              </w:rPr>
              <w:t>0.08</w:t>
            </w:r>
          </w:p>
        </w:tc>
      </w:tr>
      <w:tr w:rsidR="00EF1BD8" w14:paraId="60AFCE5F" w14:textId="77777777" w:rsidTr="00EF1BD8">
        <w:trPr>
          <w:trHeight w:val="493"/>
        </w:trPr>
        <w:tc>
          <w:tcPr>
            <w:tcW w:w="1701" w:type="dxa"/>
            <w:tcBorders>
              <w:bottom w:val="single" w:sz="4" w:space="0" w:color="000000"/>
            </w:tcBorders>
            <w:tcMar>
              <w:top w:w="0" w:type="dxa"/>
              <w:left w:w="115" w:type="dxa"/>
              <w:bottom w:w="0" w:type="dxa"/>
              <w:right w:w="115" w:type="dxa"/>
            </w:tcMar>
            <w:vAlign w:val="center"/>
          </w:tcPr>
          <w:p w14:paraId="1FB17DB2"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sz w:val="20"/>
                <w:szCs w:val="20"/>
              </w:rPr>
              <w:t xml:space="preserve">B2 Eggplant </w:t>
            </w:r>
            <w:proofErr w:type="spellStart"/>
            <w:r w:rsidRPr="003E45B1">
              <w:rPr>
                <w:rFonts w:ascii="Arial" w:eastAsia="Times New Roman" w:hAnsi="Arial" w:cs="Arial"/>
                <w:sz w:val="20"/>
                <w:szCs w:val="20"/>
              </w:rPr>
              <w:t>Biosorbent</w:t>
            </w:r>
            <w:proofErr w:type="spellEnd"/>
          </w:p>
        </w:tc>
        <w:tc>
          <w:tcPr>
            <w:tcW w:w="1560" w:type="dxa"/>
            <w:tcBorders>
              <w:bottom w:val="single" w:sz="4" w:space="0" w:color="000000"/>
            </w:tcBorders>
            <w:tcMar>
              <w:top w:w="0" w:type="dxa"/>
              <w:left w:w="115" w:type="dxa"/>
              <w:bottom w:w="0" w:type="dxa"/>
              <w:right w:w="115" w:type="dxa"/>
            </w:tcMar>
            <w:vAlign w:val="center"/>
          </w:tcPr>
          <w:p w14:paraId="772FE84F"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sz w:val="20"/>
                <w:szCs w:val="20"/>
              </w:rPr>
              <w:t>0.5</w:t>
            </w:r>
          </w:p>
        </w:tc>
        <w:tc>
          <w:tcPr>
            <w:tcW w:w="1275" w:type="dxa"/>
            <w:tcBorders>
              <w:bottom w:val="single" w:sz="4" w:space="0" w:color="000000"/>
            </w:tcBorders>
            <w:tcMar>
              <w:top w:w="0" w:type="dxa"/>
              <w:left w:w="115" w:type="dxa"/>
              <w:bottom w:w="0" w:type="dxa"/>
              <w:right w:w="115" w:type="dxa"/>
            </w:tcMar>
            <w:vAlign w:val="center"/>
          </w:tcPr>
          <w:p w14:paraId="03F005F4"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sz w:val="20"/>
                <w:szCs w:val="20"/>
              </w:rPr>
              <w:t>12</w:t>
            </w:r>
          </w:p>
        </w:tc>
        <w:tc>
          <w:tcPr>
            <w:tcW w:w="1276" w:type="dxa"/>
            <w:tcBorders>
              <w:bottom w:val="single" w:sz="4" w:space="0" w:color="000000"/>
            </w:tcBorders>
            <w:tcMar>
              <w:top w:w="0" w:type="dxa"/>
              <w:left w:w="115" w:type="dxa"/>
              <w:bottom w:w="0" w:type="dxa"/>
              <w:right w:w="115" w:type="dxa"/>
            </w:tcMar>
            <w:vAlign w:val="center"/>
          </w:tcPr>
          <w:p w14:paraId="2A2120CF"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sz w:val="20"/>
                <w:szCs w:val="20"/>
              </w:rPr>
              <w:t>0.5</w:t>
            </w:r>
          </w:p>
        </w:tc>
        <w:tc>
          <w:tcPr>
            <w:tcW w:w="1701" w:type="dxa"/>
            <w:tcBorders>
              <w:bottom w:val="single" w:sz="4" w:space="0" w:color="000000"/>
            </w:tcBorders>
            <w:tcMar>
              <w:top w:w="0" w:type="dxa"/>
              <w:left w:w="115" w:type="dxa"/>
              <w:bottom w:w="0" w:type="dxa"/>
              <w:right w:w="115" w:type="dxa"/>
            </w:tcMar>
            <w:vAlign w:val="center"/>
          </w:tcPr>
          <w:p w14:paraId="53F45D65"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sz w:val="20"/>
                <w:szCs w:val="20"/>
              </w:rPr>
              <w:t>0.2</w:t>
            </w:r>
          </w:p>
        </w:tc>
      </w:tr>
      <w:tr w:rsidR="00EF1BD8" w14:paraId="28B464C1" w14:textId="77777777" w:rsidTr="00EF1BD8">
        <w:trPr>
          <w:trHeight w:val="509"/>
        </w:trPr>
        <w:tc>
          <w:tcPr>
            <w:tcW w:w="1701" w:type="dxa"/>
            <w:tcBorders>
              <w:top w:val="single" w:sz="4" w:space="0" w:color="000000"/>
            </w:tcBorders>
            <w:tcMar>
              <w:top w:w="0" w:type="dxa"/>
              <w:left w:w="115" w:type="dxa"/>
              <w:bottom w:w="0" w:type="dxa"/>
              <w:right w:w="115" w:type="dxa"/>
            </w:tcMar>
            <w:vAlign w:val="center"/>
          </w:tcPr>
          <w:p w14:paraId="538CF4D1"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sz w:val="20"/>
                <w:szCs w:val="20"/>
              </w:rPr>
              <w:t>D1 Activated Charcoal</w:t>
            </w:r>
          </w:p>
        </w:tc>
        <w:tc>
          <w:tcPr>
            <w:tcW w:w="1560" w:type="dxa"/>
            <w:tcBorders>
              <w:top w:val="single" w:sz="4" w:space="0" w:color="000000"/>
            </w:tcBorders>
            <w:tcMar>
              <w:top w:w="0" w:type="dxa"/>
              <w:left w:w="115" w:type="dxa"/>
              <w:bottom w:w="0" w:type="dxa"/>
              <w:right w:w="115" w:type="dxa"/>
            </w:tcMar>
            <w:vAlign w:val="center"/>
          </w:tcPr>
          <w:p w14:paraId="6198DBC0"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sz w:val="20"/>
                <w:szCs w:val="20"/>
              </w:rPr>
              <w:t>1</w:t>
            </w:r>
          </w:p>
        </w:tc>
        <w:tc>
          <w:tcPr>
            <w:tcW w:w="1275" w:type="dxa"/>
            <w:tcBorders>
              <w:top w:val="single" w:sz="4" w:space="0" w:color="000000"/>
            </w:tcBorders>
            <w:tcMar>
              <w:top w:w="0" w:type="dxa"/>
              <w:left w:w="115" w:type="dxa"/>
              <w:bottom w:w="0" w:type="dxa"/>
              <w:right w:w="115" w:type="dxa"/>
            </w:tcMar>
            <w:vAlign w:val="center"/>
          </w:tcPr>
          <w:p w14:paraId="40334F2F"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sz w:val="20"/>
                <w:szCs w:val="20"/>
              </w:rPr>
              <w:t>12</w:t>
            </w:r>
          </w:p>
        </w:tc>
        <w:tc>
          <w:tcPr>
            <w:tcW w:w="1276" w:type="dxa"/>
            <w:tcBorders>
              <w:top w:val="single" w:sz="4" w:space="0" w:color="000000"/>
            </w:tcBorders>
            <w:tcMar>
              <w:top w:w="0" w:type="dxa"/>
              <w:left w:w="115" w:type="dxa"/>
              <w:bottom w:w="0" w:type="dxa"/>
              <w:right w:w="115" w:type="dxa"/>
            </w:tcMar>
            <w:vAlign w:val="center"/>
          </w:tcPr>
          <w:p w14:paraId="0B719046"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sz w:val="20"/>
                <w:szCs w:val="20"/>
              </w:rPr>
              <w:t>0.1</w:t>
            </w:r>
          </w:p>
        </w:tc>
        <w:tc>
          <w:tcPr>
            <w:tcW w:w="1701" w:type="dxa"/>
            <w:tcBorders>
              <w:top w:val="single" w:sz="4" w:space="0" w:color="000000"/>
            </w:tcBorders>
            <w:tcMar>
              <w:top w:w="0" w:type="dxa"/>
              <w:left w:w="115" w:type="dxa"/>
              <w:bottom w:w="0" w:type="dxa"/>
              <w:right w:w="115" w:type="dxa"/>
            </w:tcMar>
            <w:vAlign w:val="center"/>
          </w:tcPr>
          <w:p w14:paraId="1EB88AE0"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sz w:val="20"/>
                <w:szCs w:val="20"/>
              </w:rPr>
              <w:t>0.36</w:t>
            </w:r>
          </w:p>
        </w:tc>
      </w:tr>
      <w:tr w:rsidR="00EF1BD8" w14:paraId="69FF2F5C" w14:textId="77777777" w:rsidTr="00EF1BD8">
        <w:trPr>
          <w:trHeight w:val="509"/>
        </w:trPr>
        <w:tc>
          <w:tcPr>
            <w:tcW w:w="1701" w:type="dxa"/>
            <w:tcBorders>
              <w:bottom w:val="single" w:sz="4" w:space="0" w:color="000000"/>
            </w:tcBorders>
            <w:tcMar>
              <w:top w:w="0" w:type="dxa"/>
              <w:left w:w="115" w:type="dxa"/>
              <w:bottom w:w="0" w:type="dxa"/>
              <w:right w:w="115" w:type="dxa"/>
            </w:tcMar>
            <w:vAlign w:val="center"/>
          </w:tcPr>
          <w:p w14:paraId="2B8A0E7D"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sz w:val="20"/>
                <w:szCs w:val="20"/>
              </w:rPr>
              <w:t>D2 Activated Charcoal</w:t>
            </w:r>
          </w:p>
        </w:tc>
        <w:tc>
          <w:tcPr>
            <w:tcW w:w="1560" w:type="dxa"/>
            <w:tcBorders>
              <w:bottom w:val="single" w:sz="4" w:space="0" w:color="000000"/>
            </w:tcBorders>
            <w:tcMar>
              <w:top w:w="0" w:type="dxa"/>
              <w:left w:w="115" w:type="dxa"/>
              <w:bottom w:w="0" w:type="dxa"/>
              <w:right w:w="115" w:type="dxa"/>
            </w:tcMar>
            <w:vAlign w:val="center"/>
          </w:tcPr>
          <w:p w14:paraId="6A5AAB19"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sz w:val="20"/>
                <w:szCs w:val="20"/>
              </w:rPr>
              <w:t>0.5</w:t>
            </w:r>
          </w:p>
        </w:tc>
        <w:tc>
          <w:tcPr>
            <w:tcW w:w="1275" w:type="dxa"/>
            <w:tcBorders>
              <w:bottom w:val="single" w:sz="4" w:space="0" w:color="000000"/>
            </w:tcBorders>
            <w:tcMar>
              <w:top w:w="0" w:type="dxa"/>
              <w:left w:w="115" w:type="dxa"/>
              <w:bottom w:w="0" w:type="dxa"/>
              <w:right w:w="115" w:type="dxa"/>
            </w:tcMar>
            <w:vAlign w:val="center"/>
          </w:tcPr>
          <w:p w14:paraId="3362C82E"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sz w:val="20"/>
                <w:szCs w:val="20"/>
              </w:rPr>
              <w:t>12</w:t>
            </w:r>
          </w:p>
        </w:tc>
        <w:tc>
          <w:tcPr>
            <w:tcW w:w="1276" w:type="dxa"/>
            <w:tcBorders>
              <w:bottom w:val="single" w:sz="4" w:space="0" w:color="000000"/>
            </w:tcBorders>
            <w:tcMar>
              <w:top w:w="0" w:type="dxa"/>
              <w:left w:w="115" w:type="dxa"/>
              <w:bottom w:w="0" w:type="dxa"/>
              <w:right w:w="115" w:type="dxa"/>
            </w:tcMar>
            <w:vAlign w:val="center"/>
          </w:tcPr>
          <w:p w14:paraId="6FA66E57"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sz w:val="20"/>
                <w:szCs w:val="20"/>
              </w:rPr>
              <w:t>0.2</w:t>
            </w:r>
          </w:p>
        </w:tc>
        <w:tc>
          <w:tcPr>
            <w:tcW w:w="1701" w:type="dxa"/>
            <w:tcBorders>
              <w:bottom w:val="single" w:sz="4" w:space="0" w:color="000000"/>
            </w:tcBorders>
            <w:tcMar>
              <w:top w:w="0" w:type="dxa"/>
              <w:left w:w="115" w:type="dxa"/>
              <w:bottom w:w="0" w:type="dxa"/>
              <w:right w:w="115" w:type="dxa"/>
            </w:tcMar>
            <w:vAlign w:val="center"/>
          </w:tcPr>
          <w:p w14:paraId="5EE3F371"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sz w:val="20"/>
                <w:szCs w:val="20"/>
              </w:rPr>
              <w:t>0.32</w:t>
            </w:r>
          </w:p>
        </w:tc>
      </w:tr>
    </w:tbl>
    <w:p w14:paraId="0000003A" w14:textId="197A8388" w:rsidR="00D51113" w:rsidRPr="003E45B1" w:rsidRDefault="000D71C5" w:rsidP="00912D31">
      <w:pPr>
        <w:spacing w:line="240" w:lineRule="auto"/>
        <w:rPr>
          <w:rFonts w:ascii="Arial" w:eastAsia="Times New Roman" w:hAnsi="Arial" w:cs="Arial"/>
          <w:b/>
          <w:iCs/>
          <w:sz w:val="20"/>
          <w:szCs w:val="20"/>
        </w:rPr>
      </w:pPr>
      <w:r w:rsidRPr="003E45B1">
        <w:rPr>
          <w:rFonts w:ascii="Arial" w:eastAsia="Times New Roman" w:hAnsi="Arial" w:cs="Arial"/>
          <w:b/>
          <w:iCs/>
          <w:sz w:val="20"/>
          <w:szCs w:val="20"/>
        </w:rPr>
        <w:t>Table 1.</w:t>
      </w:r>
      <w:r w:rsidR="00980B35" w:rsidRPr="00980B35">
        <w:t xml:space="preserve"> </w:t>
      </w:r>
      <w:r w:rsidR="00980B35" w:rsidRPr="00980B35">
        <w:rPr>
          <w:rFonts w:ascii="Arial" w:eastAsia="Times New Roman" w:hAnsi="Arial" w:cs="Arial"/>
          <w:b/>
          <w:iCs/>
          <w:sz w:val="20"/>
          <w:szCs w:val="20"/>
        </w:rPr>
        <w:t xml:space="preserve">Adsorption Performance of Eggplant </w:t>
      </w:r>
      <w:proofErr w:type="spellStart"/>
      <w:r w:rsidR="00980B35" w:rsidRPr="00980B35">
        <w:rPr>
          <w:rFonts w:ascii="Arial" w:eastAsia="Times New Roman" w:hAnsi="Arial" w:cs="Arial"/>
          <w:b/>
          <w:iCs/>
          <w:sz w:val="20"/>
          <w:szCs w:val="20"/>
        </w:rPr>
        <w:t>Biosorbent</w:t>
      </w:r>
      <w:proofErr w:type="spellEnd"/>
      <w:r w:rsidR="00980B35" w:rsidRPr="00980B35">
        <w:rPr>
          <w:rFonts w:ascii="Arial" w:eastAsia="Times New Roman" w:hAnsi="Arial" w:cs="Arial"/>
          <w:b/>
          <w:iCs/>
          <w:sz w:val="20"/>
          <w:szCs w:val="20"/>
        </w:rPr>
        <w:t xml:space="preserve"> and Activated Carbon</w:t>
      </w:r>
    </w:p>
    <w:p w14:paraId="00000055" w14:textId="77777777" w:rsidR="00D51113" w:rsidRPr="00912D31" w:rsidRDefault="000D71C5" w:rsidP="00912D31">
      <w:pPr>
        <w:spacing w:before="240" w:after="240" w:line="240" w:lineRule="auto"/>
        <w:ind w:firstLine="720"/>
        <w:jc w:val="both"/>
        <w:rPr>
          <w:rFonts w:ascii="Arial" w:eastAsia="Times New Roman" w:hAnsi="Arial" w:cs="Arial"/>
          <w:sz w:val="20"/>
          <w:szCs w:val="20"/>
        </w:rPr>
      </w:pPr>
      <w:r w:rsidRPr="00912D31">
        <w:rPr>
          <w:rFonts w:ascii="Arial" w:eastAsia="Times New Roman" w:hAnsi="Arial" w:cs="Arial"/>
          <w:sz w:val="20"/>
          <w:szCs w:val="20"/>
        </w:rPr>
        <w:t>Table 1 presents the adsorption capacity of eggplant (</w:t>
      </w:r>
      <w:r w:rsidRPr="00912D31">
        <w:rPr>
          <w:rFonts w:ascii="Arial" w:eastAsia="Times New Roman" w:hAnsi="Arial" w:cs="Arial"/>
          <w:i/>
          <w:sz w:val="20"/>
          <w:szCs w:val="20"/>
        </w:rPr>
        <w:t xml:space="preserve">Solanum </w:t>
      </w:r>
      <w:proofErr w:type="spellStart"/>
      <w:r w:rsidRPr="00912D31">
        <w:rPr>
          <w:rFonts w:ascii="Arial" w:eastAsia="Times New Roman" w:hAnsi="Arial" w:cs="Arial"/>
          <w:i/>
          <w:sz w:val="20"/>
          <w:szCs w:val="20"/>
        </w:rPr>
        <w:t>melongena</w:t>
      </w:r>
      <w:proofErr w:type="spellEnd"/>
      <w:r w:rsidRPr="00912D31">
        <w:rPr>
          <w:rFonts w:ascii="Arial" w:eastAsia="Times New Roman" w:hAnsi="Arial" w:cs="Arial"/>
          <w:i/>
          <w:sz w:val="20"/>
          <w:szCs w:val="20"/>
        </w:rPr>
        <w:t xml:space="preserve"> L.</w:t>
      </w:r>
      <w:r w:rsidRPr="00912D31">
        <w:rPr>
          <w:rFonts w:ascii="Arial" w:eastAsia="Times New Roman" w:hAnsi="Arial" w:cs="Arial"/>
          <w:sz w:val="20"/>
          <w:szCs w:val="20"/>
        </w:rPr>
        <w:t xml:space="preserve">) </w:t>
      </w:r>
      <w:proofErr w:type="spellStart"/>
      <w:r w:rsidRPr="00912D31">
        <w:rPr>
          <w:rFonts w:ascii="Arial" w:eastAsia="Times New Roman" w:hAnsi="Arial" w:cs="Arial"/>
          <w:sz w:val="20"/>
          <w:szCs w:val="20"/>
        </w:rPr>
        <w:t>biosorbent</w:t>
      </w:r>
      <w:proofErr w:type="spellEnd"/>
      <w:r w:rsidRPr="00912D31">
        <w:rPr>
          <w:rFonts w:ascii="Arial" w:eastAsia="Times New Roman" w:hAnsi="Arial" w:cs="Arial"/>
          <w:sz w:val="20"/>
          <w:szCs w:val="20"/>
        </w:rPr>
        <w:t xml:space="preserve"> in comparison to activated carbon. The table includes data on the adsorbent dose, contact time, remaining nitrate concentration, and adsorption capacity for different samples: B1 and B2 (eggplant </w:t>
      </w:r>
      <w:proofErr w:type="spellStart"/>
      <w:r w:rsidRPr="00912D31">
        <w:rPr>
          <w:rFonts w:ascii="Arial" w:eastAsia="Times New Roman" w:hAnsi="Arial" w:cs="Arial"/>
          <w:sz w:val="20"/>
          <w:szCs w:val="20"/>
        </w:rPr>
        <w:t>biosorbent</w:t>
      </w:r>
      <w:proofErr w:type="spellEnd"/>
      <w:r w:rsidRPr="00912D31">
        <w:rPr>
          <w:rFonts w:ascii="Arial" w:eastAsia="Times New Roman" w:hAnsi="Arial" w:cs="Arial"/>
          <w:sz w:val="20"/>
          <w:szCs w:val="20"/>
        </w:rPr>
        <w:t xml:space="preserve">) and D1 and D2 (activated charcoal). The eggplant </w:t>
      </w:r>
      <w:proofErr w:type="spellStart"/>
      <w:r w:rsidRPr="00912D31">
        <w:rPr>
          <w:rFonts w:ascii="Arial" w:eastAsia="Times New Roman" w:hAnsi="Arial" w:cs="Arial"/>
          <w:sz w:val="20"/>
          <w:szCs w:val="20"/>
        </w:rPr>
        <w:t>biosorbent</w:t>
      </w:r>
      <w:proofErr w:type="spellEnd"/>
      <w:r w:rsidRPr="00912D31">
        <w:rPr>
          <w:rFonts w:ascii="Arial" w:eastAsia="Times New Roman" w:hAnsi="Arial" w:cs="Arial"/>
          <w:sz w:val="20"/>
          <w:szCs w:val="20"/>
        </w:rPr>
        <w:t xml:space="preserve"> and activated charcoal were tested at doses of 1 g (B1, D1) and 0.5 g (B2, D2). The contact time for all samples was standardized at 12 hours. Results show that eggplant </w:t>
      </w:r>
      <w:proofErr w:type="spellStart"/>
      <w:r w:rsidRPr="00912D31">
        <w:rPr>
          <w:rFonts w:ascii="Arial" w:eastAsia="Times New Roman" w:hAnsi="Arial" w:cs="Arial"/>
          <w:sz w:val="20"/>
          <w:szCs w:val="20"/>
        </w:rPr>
        <w:t>biosorbent</w:t>
      </w:r>
      <w:proofErr w:type="spellEnd"/>
      <w:r w:rsidRPr="00912D31">
        <w:rPr>
          <w:rFonts w:ascii="Arial" w:eastAsia="Times New Roman" w:hAnsi="Arial" w:cs="Arial"/>
          <w:sz w:val="20"/>
          <w:szCs w:val="20"/>
        </w:rPr>
        <w:t xml:space="preserve"> (B1 and B2) retained higher nitrate concentrations (0.6 mg/L for B1 and 0.5 mg/L for B2) compared to activated carbon (0.1 mg/L for D1 and 0.2 mg/L for D2), indicating a higher effectivity of nitrate removal using activated charcoal. Activated charcoal demonstrates a much higher adsorption capacity (0.36 mg/g for D1 and 0.32 mg/g for D2) compared to the eggplant </w:t>
      </w:r>
      <w:proofErr w:type="spellStart"/>
      <w:r w:rsidRPr="00912D31">
        <w:rPr>
          <w:rFonts w:ascii="Arial" w:eastAsia="Times New Roman" w:hAnsi="Arial" w:cs="Arial"/>
          <w:sz w:val="20"/>
          <w:szCs w:val="20"/>
        </w:rPr>
        <w:t>biosorbent</w:t>
      </w:r>
      <w:proofErr w:type="spellEnd"/>
      <w:r w:rsidRPr="00912D31">
        <w:rPr>
          <w:rFonts w:ascii="Arial" w:eastAsia="Times New Roman" w:hAnsi="Arial" w:cs="Arial"/>
          <w:sz w:val="20"/>
          <w:szCs w:val="20"/>
        </w:rPr>
        <w:t xml:space="preserve"> (0.08 mg/g for B1 and 0.2 mg/g for B2), making it more effective in nitrate removal. </w:t>
      </w:r>
      <w:r w:rsidRPr="00912D31">
        <w:rPr>
          <w:rFonts w:ascii="Arial" w:eastAsia="Times New Roman" w:hAnsi="Arial" w:cs="Arial"/>
          <w:sz w:val="20"/>
          <w:szCs w:val="20"/>
        </w:rPr>
        <w:lastRenderedPageBreak/>
        <w:t xml:space="preserve">This is likely due to its greater porosity, larger surface area, and specialized functional groups designed for adsorption, as noted by </w:t>
      </w:r>
      <w:proofErr w:type="spellStart"/>
      <w:r w:rsidRPr="00912D31">
        <w:rPr>
          <w:rFonts w:ascii="Arial" w:eastAsia="Times New Roman" w:hAnsi="Arial" w:cs="Arial"/>
          <w:sz w:val="20"/>
          <w:szCs w:val="20"/>
        </w:rPr>
        <w:t>Crini</w:t>
      </w:r>
      <w:proofErr w:type="spellEnd"/>
      <w:r w:rsidRPr="00912D31">
        <w:rPr>
          <w:rFonts w:ascii="Arial" w:eastAsia="Times New Roman" w:hAnsi="Arial" w:cs="Arial"/>
          <w:sz w:val="20"/>
          <w:szCs w:val="20"/>
        </w:rPr>
        <w:t xml:space="preserve"> et al. (2018) and Patel et al. (2022). </w:t>
      </w:r>
    </w:p>
    <w:p w14:paraId="00000056" w14:textId="62EB9131" w:rsidR="00D51113" w:rsidRPr="00912D31" w:rsidRDefault="000D71C5" w:rsidP="00912D31">
      <w:pPr>
        <w:spacing w:before="240" w:after="240" w:line="240" w:lineRule="auto"/>
        <w:ind w:firstLine="720"/>
        <w:jc w:val="both"/>
        <w:rPr>
          <w:rFonts w:ascii="Arial" w:eastAsia="Times New Roman" w:hAnsi="Arial" w:cs="Arial"/>
          <w:sz w:val="20"/>
          <w:szCs w:val="20"/>
        </w:rPr>
      </w:pPr>
      <w:r w:rsidRPr="00912D31">
        <w:rPr>
          <w:rFonts w:ascii="Arial" w:eastAsia="Times New Roman" w:hAnsi="Arial" w:cs="Arial"/>
          <w:sz w:val="20"/>
          <w:szCs w:val="20"/>
        </w:rPr>
        <w:t xml:space="preserve">In contrast, the eggplant </w:t>
      </w:r>
      <w:proofErr w:type="spellStart"/>
      <w:r w:rsidRPr="00912D31">
        <w:rPr>
          <w:rFonts w:ascii="Arial" w:eastAsia="Times New Roman" w:hAnsi="Arial" w:cs="Arial"/>
          <w:sz w:val="20"/>
          <w:szCs w:val="20"/>
        </w:rPr>
        <w:t>biosorbent’s</w:t>
      </w:r>
      <w:proofErr w:type="spellEnd"/>
      <w:r w:rsidRPr="00912D31">
        <w:rPr>
          <w:rFonts w:ascii="Arial" w:eastAsia="Times New Roman" w:hAnsi="Arial" w:cs="Arial"/>
          <w:sz w:val="20"/>
          <w:szCs w:val="20"/>
        </w:rPr>
        <w:t xml:space="preserve"> lower adsorption capacity may be due to its smaller surface area, reduced porosity, and fewer active binding sites compared to activated charcoal. The structural limitations of eggplant </w:t>
      </w:r>
      <w:proofErr w:type="spellStart"/>
      <w:r w:rsidRPr="00912D31">
        <w:rPr>
          <w:rFonts w:ascii="Arial" w:eastAsia="Times New Roman" w:hAnsi="Arial" w:cs="Arial"/>
          <w:sz w:val="20"/>
          <w:szCs w:val="20"/>
        </w:rPr>
        <w:t>biosorbents</w:t>
      </w:r>
      <w:proofErr w:type="spellEnd"/>
      <w:r w:rsidRPr="00912D31">
        <w:rPr>
          <w:rFonts w:ascii="Arial" w:eastAsia="Times New Roman" w:hAnsi="Arial" w:cs="Arial"/>
          <w:sz w:val="20"/>
          <w:szCs w:val="20"/>
        </w:rPr>
        <w:t xml:space="preserve"> are aligned with the findings of </w:t>
      </w:r>
      <w:proofErr w:type="spellStart"/>
      <w:r w:rsidRPr="00912D31">
        <w:rPr>
          <w:rFonts w:ascii="Arial" w:eastAsia="Times New Roman" w:hAnsi="Arial" w:cs="Arial"/>
          <w:sz w:val="20"/>
          <w:szCs w:val="20"/>
        </w:rPr>
        <w:t>Umaña</w:t>
      </w:r>
      <w:proofErr w:type="spellEnd"/>
      <w:r w:rsidRPr="00912D31">
        <w:rPr>
          <w:rFonts w:ascii="Arial" w:eastAsia="Times New Roman" w:hAnsi="Arial" w:cs="Arial"/>
          <w:sz w:val="20"/>
          <w:szCs w:val="20"/>
        </w:rPr>
        <w:t xml:space="preserve"> et al. (2022) who noted that the porosity of eggplant (0.641) is promising but requires further optimization to compete with activated carbon​. Despite these limitations, the eggplant </w:t>
      </w:r>
      <w:proofErr w:type="spellStart"/>
      <w:r w:rsidRPr="00912D31">
        <w:rPr>
          <w:rFonts w:ascii="Arial" w:eastAsia="Times New Roman" w:hAnsi="Arial" w:cs="Arial"/>
          <w:sz w:val="20"/>
          <w:szCs w:val="20"/>
        </w:rPr>
        <w:t>biosorbent</w:t>
      </w:r>
      <w:proofErr w:type="spellEnd"/>
      <w:r w:rsidRPr="00912D31">
        <w:rPr>
          <w:rFonts w:ascii="Arial" w:eastAsia="Times New Roman" w:hAnsi="Arial" w:cs="Arial"/>
          <w:sz w:val="20"/>
          <w:szCs w:val="20"/>
        </w:rPr>
        <w:t xml:space="preserve"> demonstrated notable performance at a lower dose (B2, 0.5 g), with an adsorption capacity of 0.2 mg/g, which is consistent with studies showing the potential of </w:t>
      </w:r>
      <w:proofErr w:type="spellStart"/>
      <w:r w:rsidRPr="00912D31">
        <w:rPr>
          <w:rFonts w:ascii="Arial" w:eastAsia="Times New Roman" w:hAnsi="Arial" w:cs="Arial"/>
          <w:sz w:val="20"/>
          <w:szCs w:val="20"/>
        </w:rPr>
        <w:t>biosorbents</w:t>
      </w:r>
      <w:proofErr w:type="spellEnd"/>
      <w:r w:rsidRPr="00912D31">
        <w:rPr>
          <w:rFonts w:ascii="Arial" w:eastAsia="Times New Roman" w:hAnsi="Arial" w:cs="Arial"/>
          <w:sz w:val="20"/>
          <w:szCs w:val="20"/>
        </w:rPr>
        <w:t xml:space="preserve"> derived from agricultural waste products for adsorption applications (</w:t>
      </w:r>
      <w:proofErr w:type="spellStart"/>
      <w:r w:rsidRPr="00912D31">
        <w:rPr>
          <w:rFonts w:ascii="Arial" w:eastAsia="Times New Roman" w:hAnsi="Arial" w:cs="Arial"/>
          <w:sz w:val="20"/>
          <w:szCs w:val="20"/>
        </w:rPr>
        <w:t>Nugraha</w:t>
      </w:r>
      <w:proofErr w:type="spellEnd"/>
      <w:r w:rsidRPr="00912D31">
        <w:rPr>
          <w:rFonts w:ascii="Arial" w:eastAsia="Times New Roman" w:hAnsi="Arial" w:cs="Arial"/>
          <w:sz w:val="20"/>
          <w:szCs w:val="20"/>
        </w:rPr>
        <w:t xml:space="preserve"> et al., 2019; </w:t>
      </w:r>
      <w:proofErr w:type="spellStart"/>
      <w:r w:rsidRPr="00912D31">
        <w:rPr>
          <w:rFonts w:ascii="Arial" w:eastAsia="Times New Roman" w:hAnsi="Arial" w:cs="Arial"/>
          <w:sz w:val="20"/>
          <w:szCs w:val="20"/>
        </w:rPr>
        <w:t>Dirvanjooghi</w:t>
      </w:r>
      <w:proofErr w:type="spellEnd"/>
      <w:r w:rsidRPr="00912D31">
        <w:rPr>
          <w:rFonts w:ascii="Arial" w:eastAsia="Times New Roman" w:hAnsi="Arial" w:cs="Arial"/>
          <w:sz w:val="20"/>
          <w:szCs w:val="20"/>
        </w:rPr>
        <w:t xml:space="preserve"> et al., 2018)​.</w:t>
      </w:r>
    </w:p>
    <w:p w14:paraId="00000057" w14:textId="77777777" w:rsidR="00D51113" w:rsidRPr="00912D31" w:rsidRDefault="000D71C5" w:rsidP="00912D31">
      <w:pPr>
        <w:spacing w:before="240" w:after="240" w:line="240" w:lineRule="auto"/>
        <w:ind w:firstLine="720"/>
        <w:jc w:val="both"/>
        <w:rPr>
          <w:rFonts w:ascii="Arial" w:eastAsia="Times New Roman" w:hAnsi="Arial" w:cs="Arial"/>
          <w:sz w:val="20"/>
          <w:szCs w:val="20"/>
        </w:rPr>
      </w:pPr>
      <w:r w:rsidRPr="00912D31">
        <w:rPr>
          <w:rFonts w:ascii="Arial" w:eastAsia="Times New Roman" w:hAnsi="Arial" w:cs="Arial"/>
          <w:sz w:val="20"/>
          <w:szCs w:val="20"/>
        </w:rPr>
        <w:t xml:space="preserve">The chemical composition of eggplant, including hydroxyl and carboxyl groups, contributes to its adsorption capabilities, although its lower efficiency compared to activated carbon suggests that modifications are required. Studies by Song et al. (2017) and Patel et al. (2022) highlight how chemical treatments, such as sodium hydroxide, enhance the physical and chemical properties of </w:t>
      </w:r>
      <w:proofErr w:type="spellStart"/>
      <w:r w:rsidRPr="00912D31">
        <w:rPr>
          <w:rFonts w:ascii="Arial" w:eastAsia="Times New Roman" w:hAnsi="Arial" w:cs="Arial"/>
          <w:sz w:val="20"/>
          <w:szCs w:val="20"/>
        </w:rPr>
        <w:t>biosorbents</w:t>
      </w:r>
      <w:proofErr w:type="spellEnd"/>
      <w:r w:rsidRPr="00912D31">
        <w:rPr>
          <w:rFonts w:ascii="Arial" w:eastAsia="Times New Roman" w:hAnsi="Arial" w:cs="Arial"/>
          <w:sz w:val="20"/>
          <w:szCs w:val="20"/>
        </w:rPr>
        <w:t xml:space="preserve">, improving both adsorption capacity and efficiency​. </w:t>
      </w:r>
    </w:p>
    <w:p w14:paraId="3A4B6B0C" w14:textId="710B19B5" w:rsidR="00CB3336" w:rsidRPr="00CB3336" w:rsidRDefault="000D71C5" w:rsidP="00CB3336">
      <w:pPr>
        <w:spacing w:before="240" w:after="240" w:line="240" w:lineRule="auto"/>
        <w:ind w:firstLine="720"/>
        <w:jc w:val="both"/>
        <w:rPr>
          <w:rFonts w:ascii="Arial" w:eastAsia="Times New Roman" w:hAnsi="Arial" w:cs="Arial"/>
          <w:sz w:val="20"/>
          <w:szCs w:val="20"/>
        </w:rPr>
      </w:pPr>
      <w:r w:rsidRPr="00912D31">
        <w:rPr>
          <w:rFonts w:ascii="Arial" w:eastAsia="Times New Roman" w:hAnsi="Arial" w:cs="Arial"/>
          <w:sz w:val="20"/>
          <w:szCs w:val="20"/>
        </w:rPr>
        <w:t xml:space="preserve">Furthermore, research by </w:t>
      </w:r>
      <w:proofErr w:type="spellStart"/>
      <w:r w:rsidRPr="00912D31">
        <w:rPr>
          <w:rFonts w:ascii="Arial" w:eastAsia="Times New Roman" w:hAnsi="Arial" w:cs="Arial"/>
          <w:sz w:val="20"/>
          <w:szCs w:val="20"/>
        </w:rPr>
        <w:t>Golie</w:t>
      </w:r>
      <w:proofErr w:type="spellEnd"/>
      <w:r w:rsidRPr="00912D31">
        <w:rPr>
          <w:rFonts w:ascii="Arial" w:eastAsia="Times New Roman" w:hAnsi="Arial" w:cs="Arial"/>
          <w:sz w:val="20"/>
          <w:szCs w:val="20"/>
        </w:rPr>
        <w:t xml:space="preserve"> &amp; </w:t>
      </w:r>
      <w:proofErr w:type="spellStart"/>
      <w:r w:rsidRPr="00912D31">
        <w:rPr>
          <w:rFonts w:ascii="Arial" w:eastAsia="Times New Roman" w:hAnsi="Arial" w:cs="Arial"/>
          <w:sz w:val="20"/>
          <w:szCs w:val="20"/>
        </w:rPr>
        <w:t>Upadhyayula</w:t>
      </w:r>
      <w:proofErr w:type="spellEnd"/>
      <w:r w:rsidRPr="00912D31">
        <w:rPr>
          <w:rFonts w:ascii="Arial" w:eastAsia="Times New Roman" w:hAnsi="Arial" w:cs="Arial"/>
          <w:sz w:val="20"/>
          <w:szCs w:val="20"/>
        </w:rPr>
        <w:t xml:space="preserve"> (2017) suggests that adjusting factors like pH and adsorbent dose can enhance biosorption efficiency, making it an important consideration for future applications. Additionally, eggplant </w:t>
      </w:r>
      <w:proofErr w:type="spellStart"/>
      <w:r w:rsidRPr="00912D31">
        <w:rPr>
          <w:rFonts w:ascii="Arial" w:eastAsia="Times New Roman" w:hAnsi="Arial" w:cs="Arial"/>
          <w:sz w:val="20"/>
          <w:szCs w:val="20"/>
        </w:rPr>
        <w:t>biosorbents</w:t>
      </w:r>
      <w:proofErr w:type="spellEnd"/>
      <w:r w:rsidRPr="00912D31">
        <w:rPr>
          <w:rFonts w:ascii="Arial" w:eastAsia="Times New Roman" w:hAnsi="Arial" w:cs="Arial"/>
          <w:sz w:val="20"/>
          <w:szCs w:val="20"/>
        </w:rPr>
        <w:t xml:space="preserve">' eco-friendly and sustainable nature makes them a promising alternative to traditional water treatment methods. </w:t>
      </w:r>
      <w:proofErr w:type="spellStart"/>
      <w:r w:rsidRPr="00912D31">
        <w:rPr>
          <w:rFonts w:ascii="Arial" w:eastAsia="Times New Roman" w:hAnsi="Arial" w:cs="Arial"/>
          <w:sz w:val="20"/>
          <w:szCs w:val="20"/>
        </w:rPr>
        <w:t>Biosorbents</w:t>
      </w:r>
      <w:proofErr w:type="spellEnd"/>
      <w:r w:rsidRPr="00912D31">
        <w:rPr>
          <w:rFonts w:ascii="Arial" w:eastAsia="Times New Roman" w:hAnsi="Arial" w:cs="Arial"/>
          <w:sz w:val="20"/>
          <w:szCs w:val="20"/>
        </w:rPr>
        <w:t xml:space="preserve"> derived from plant-based waste materials, such as eggplant, are increasingly being recognized as viable options due to their accessibility, biodegradability, and environmental benefits, as emphasized by studies of Qi et al. (2019) and </w:t>
      </w:r>
      <w:proofErr w:type="spellStart"/>
      <w:r w:rsidRPr="00912D31">
        <w:rPr>
          <w:rFonts w:ascii="Arial" w:eastAsia="Times New Roman" w:hAnsi="Arial" w:cs="Arial"/>
          <w:sz w:val="20"/>
          <w:szCs w:val="20"/>
        </w:rPr>
        <w:t>Georgin</w:t>
      </w:r>
      <w:proofErr w:type="spellEnd"/>
      <w:r w:rsidRPr="00912D31">
        <w:rPr>
          <w:rFonts w:ascii="Arial" w:eastAsia="Times New Roman" w:hAnsi="Arial" w:cs="Arial"/>
          <w:sz w:val="20"/>
          <w:szCs w:val="20"/>
        </w:rPr>
        <w:t xml:space="preserve"> et al. (2023)</w:t>
      </w:r>
      <w:r w:rsidR="001F04EC">
        <w:rPr>
          <w:rFonts w:ascii="Arial" w:eastAsia="Times New Roman" w:hAnsi="Arial" w:cs="Arial"/>
          <w:sz w:val="20"/>
          <w:szCs w:val="20"/>
        </w:rPr>
        <w:t xml:space="preserve">. </w:t>
      </w:r>
      <w:r w:rsidRPr="00912D31">
        <w:rPr>
          <w:rFonts w:ascii="Arial" w:eastAsia="Times New Roman" w:hAnsi="Arial" w:cs="Arial"/>
          <w:sz w:val="20"/>
          <w:szCs w:val="20"/>
        </w:rPr>
        <w:t xml:space="preserve">Although activated carbon remains the standard in adsorption processes, enhancing eggplant-based </w:t>
      </w:r>
      <w:proofErr w:type="spellStart"/>
      <w:r w:rsidRPr="00912D31">
        <w:rPr>
          <w:rFonts w:ascii="Arial" w:eastAsia="Times New Roman" w:hAnsi="Arial" w:cs="Arial"/>
          <w:sz w:val="20"/>
          <w:szCs w:val="20"/>
        </w:rPr>
        <w:t>biosorbents</w:t>
      </w:r>
      <w:proofErr w:type="spellEnd"/>
      <w:r w:rsidRPr="00912D31">
        <w:rPr>
          <w:rFonts w:ascii="Arial" w:eastAsia="Times New Roman" w:hAnsi="Arial" w:cs="Arial"/>
          <w:sz w:val="20"/>
          <w:szCs w:val="20"/>
        </w:rPr>
        <w:t xml:space="preserve"> through surface modifications and advanced treatments could make them more effective. This emphasizes the importance of further studies focusing on improving the adsorption performance and economic viability of eggplant </w:t>
      </w:r>
      <w:proofErr w:type="spellStart"/>
      <w:r w:rsidRPr="00912D31">
        <w:rPr>
          <w:rFonts w:ascii="Arial" w:eastAsia="Times New Roman" w:hAnsi="Arial" w:cs="Arial"/>
          <w:sz w:val="20"/>
          <w:szCs w:val="20"/>
        </w:rPr>
        <w:t>biosorbents</w:t>
      </w:r>
      <w:proofErr w:type="spellEnd"/>
      <w:r w:rsidRPr="00912D31">
        <w:rPr>
          <w:rFonts w:ascii="Arial" w:eastAsia="Times New Roman" w:hAnsi="Arial" w:cs="Arial"/>
          <w:sz w:val="20"/>
          <w:szCs w:val="20"/>
        </w:rPr>
        <w:t>.</w:t>
      </w:r>
    </w:p>
    <w:p w14:paraId="00000059" w14:textId="67BB7F2B" w:rsidR="00D51113" w:rsidRPr="00912D31" w:rsidRDefault="00912D31" w:rsidP="00912D31">
      <w:pPr>
        <w:spacing w:line="240" w:lineRule="auto"/>
        <w:rPr>
          <w:rFonts w:ascii="Arial" w:eastAsia="Times New Roman" w:hAnsi="Arial" w:cs="Arial"/>
          <w:b/>
          <w:iCs/>
          <w:sz w:val="22"/>
          <w:szCs w:val="22"/>
        </w:rPr>
      </w:pPr>
      <w:r w:rsidRPr="00912D31">
        <w:rPr>
          <w:rFonts w:ascii="Arial" w:eastAsia="Times New Roman" w:hAnsi="Arial" w:cs="Arial"/>
          <w:b/>
          <w:iCs/>
          <w:sz w:val="22"/>
          <w:szCs w:val="22"/>
        </w:rPr>
        <w:t xml:space="preserve">3.2 Influence of Adsorbent Dose of Eggplant </w:t>
      </w:r>
      <w:proofErr w:type="spellStart"/>
      <w:r w:rsidRPr="00912D31">
        <w:rPr>
          <w:rFonts w:ascii="Arial" w:eastAsia="Times New Roman" w:hAnsi="Arial" w:cs="Arial"/>
          <w:b/>
          <w:iCs/>
          <w:sz w:val="22"/>
          <w:szCs w:val="22"/>
        </w:rPr>
        <w:t>Biosorbents</w:t>
      </w:r>
      <w:proofErr w:type="spellEnd"/>
      <w:r w:rsidRPr="00912D31">
        <w:rPr>
          <w:rFonts w:ascii="Arial" w:eastAsia="Times New Roman" w:hAnsi="Arial" w:cs="Arial"/>
          <w:b/>
          <w:iCs/>
          <w:sz w:val="22"/>
          <w:szCs w:val="22"/>
        </w:rPr>
        <w:t xml:space="preserve"> on Nitrate Removal Efficiency Compared to Activated Carbon</w:t>
      </w:r>
    </w:p>
    <w:p w14:paraId="0000005A" w14:textId="4519AF9A" w:rsidR="00D51113" w:rsidRPr="00912D31" w:rsidRDefault="000D71C5" w:rsidP="00912D31">
      <w:pPr>
        <w:spacing w:line="240" w:lineRule="auto"/>
        <w:rPr>
          <w:rFonts w:ascii="Arial" w:eastAsia="Times New Roman" w:hAnsi="Arial" w:cs="Arial"/>
          <w:b/>
          <w:iCs/>
          <w:sz w:val="20"/>
          <w:szCs w:val="20"/>
        </w:rPr>
      </w:pPr>
      <w:r w:rsidRPr="00912D31">
        <w:rPr>
          <w:rFonts w:ascii="Arial" w:eastAsia="Times New Roman" w:hAnsi="Arial" w:cs="Arial"/>
          <w:b/>
          <w:iCs/>
          <w:sz w:val="20"/>
          <w:szCs w:val="20"/>
        </w:rPr>
        <w:t>Table 2.</w:t>
      </w:r>
      <w:r w:rsidR="00980B35">
        <w:rPr>
          <w:rFonts w:ascii="Arial" w:eastAsia="Times New Roman" w:hAnsi="Arial" w:cs="Arial"/>
          <w:b/>
          <w:iCs/>
          <w:sz w:val="20"/>
          <w:szCs w:val="20"/>
        </w:rPr>
        <w:t xml:space="preserve"> </w:t>
      </w:r>
      <w:r w:rsidR="00980B35" w:rsidRPr="00980B35">
        <w:rPr>
          <w:rFonts w:ascii="Arial" w:eastAsia="Times New Roman" w:hAnsi="Arial" w:cs="Arial"/>
          <w:b/>
          <w:iCs/>
          <w:sz w:val="20"/>
          <w:szCs w:val="20"/>
        </w:rPr>
        <w:t xml:space="preserve">Effect of Adsorbent Dose on Nitrate Removal Using Eggplant </w:t>
      </w:r>
      <w:proofErr w:type="spellStart"/>
      <w:r w:rsidR="00980B35" w:rsidRPr="00980B35">
        <w:rPr>
          <w:rFonts w:ascii="Arial" w:eastAsia="Times New Roman" w:hAnsi="Arial" w:cs="Arial"/>
          <w:b/>
          <w:iCs/>
          <w:sz w:val="20"/>
          <w:szCs w:val="20"/>
        </w:rPr>
        <w:t>Biosorbents</w:t>
      </w:r>
      <w:proofErr w:type="spellEnd"/>
      <w:r w:rsidR="00980B35" w:rsidRPr="00980B35">
        <w:rPr>
          <w:rFonts w:ascii="Arial" w:eastAsia="Times New Roman" w:hAnsi="Arial" w:cs="Arial"/>
          <w:b/>
          <w:iCs/>
          <w:sz w:val="20"/>
          <w:szCs w:val="20"/>
        </w:rPr>
        <w:t xml:space="preserve"> and Activated Carbon</w:t>
      </w:r>
    </w:p>
    <w:tbl>
      <w:tblPr>
        <w:tblStyle w:val="a4"/>
        <w:tblW w:w="7938" w:type="dxa"/>
        <w:tblLayout w:type="fixed"/>
        <w:tblLook w:val="0400" w:firstRow="0" w:lastRow="0" w:firstColumn="0" w:lastColumn="0" w:noHBand="0" w:noVBand="1"/>
      </w:tblPr>
      <w:tblGrid>
        <w:gridCol w:w="1215"/>
        <w:gridCol w:w="1620"/>
        <w:gridCol w:w="1276"/>
        <w:gridCol w:w="2268"/>
        <w:gridCol w:w="1559"/>
      </w:tblGrid>
      <w:tr w:rsidR="00D51113" w14:paraId="5466C5EE" w14:textId="77777777" w:rsidTr="00EF1BD8">
        <w:trPr>
          <w:trHeight w:val="881"/>
        </w:trPr>
        <w:tc>
          <w:tcPr>
            <w:tcW w:w="1215" w:type="dxa"/>
            <w:tcBorders>
              <w:top w:val="single" w:sz="4" w:space="0" w:color="000000"/>
              <w:bottom w:val="single" w:sz="4" w:space="0" w:color="000000"/>
            </w:tcBorders>
            <w:tcMar>
              <w:top w:w="0" w:type="dxa"/>
              <w:left w:w="115" w:type="dxa"/>
              <w:bottom w:w="0" w:type="dxa"/>
              <w:right w:w="115" w:type="dxa"/>
            </w:tcMar>
            <w:vAlign w:val="center"/>
          </w:tcPr>
          <w:p w14:paraId="0000005B" w14:textId="77777777" w:rsidR="00D51113" w:rsidRPr="00912D31" w:rsidRDefault="000D71C5" w:rsidP="00912D31">
            <w:pPr>
              <w:spacing w:line="240" w:lineRule="auto"/>
              <w:jc w:val="center"/>
              <w:rPr>
                <w:rFonts w:ascii="Arial" w:eastAsia="Times New Roman" w:hAnsi="Arial" w:cs="Arial"/>
                <w:sz w:val="20"/>
                <w:szCs w:val="20"/>
              </w:rPr>
            </w:pPr>
            <w:r w:rsidRPr="00912D31">
              <w:rPr>
                <w:rFonts w:ascii="Arial" w:eastAsia="Times New Roman" w:hAnsi="Arial" w:cs="Arial"/>
                <w:b/>
                <w:sz w:val="20"/>
                <w:szCs w:val="20"/>
              </w:rPr>
              <w:t>Sample</w:t>
            </w:r>
          </w:p>
        </w:tc>
        <w:tc>
          <w:tcPr>
            <w:tcW w:w="1620" w:type="dxa"/>
            <w:tcBorders>
              <w:top w:val="single" w:sz="4" w:space="0" w:color="000000"/>
              <w:bottom w:val="single" w:sz="4" w:space="0" w:color="000000"/>
            </w:tcBorders>
            <w:tcMar>
              <w:top w:w="0" w:type="dxa"/>
              <w:left w:w="115" w:type="dxa"/>
              <w:bottom w:w="0" w:type="dxa"/>
              <w:right w:w="115" w:type="dxa"/>
            </w:tcMar>
            <w:vAlign w:val="center"/>
          </w:tcPr>
          <w:p w14:paraId="0000005C" w14:textId="77777777" w:rsidR="00D51113" w:rsidRPr="00912D31" w:rsidRDefault="000D71C5" w:rsidP="00912D31">
            <w:pPr>
              <w:spacing w:line="240" w:lineRule="auto"/>
              <w:jc w:val="center"/>
              <w:rPr>
                <w:rFonts w:ascii="Arial" w:eastAsia="Times New Roman" w:hAnsi="Arial" w:cs="Arial"/>
                <w:sz w:val="20"/>
                <w:szCs w:val="20"/>
              </w:rPr>
            </w:pPr>
            <w:r w:rsidRPr="00912D31">
              <w:rPr>
                <w:rFonts w:ascii="Arial" w:eastAsia="Times New Roman" w:hAnsi="Arial" w:cs="Arial"/>
                <w:b/>
                <w:sz w:val="20"/>
                <w:szCs w:val="20"/>
              </w:rPr>
              <w:t>Adsorbent Type</w:t>
            </w:r>
          </w:p>
        </w:tc>
        <w:tc>
          <w:tcPr>
            <w:tcW w:w="1276" w:type="dxa"/>
            <w:tcBorders>
              <w:top w:val="single" w:sz="4" w:space="0" w:color="000000"/>
              <w:bottom w:val="single" w:sz="4" w:space="0" w:color="000000"/>
            </w:tcBorders>
            <w:tcMar>
              <w:top w:w="0" w:type="dxa"/>
              <w:left w:w="115" w:type="dxa"/>
              <w:bottom w:w="0" w:type="dxa"/>
              <w:right w:w="115" w:type="dxa"/>
            </w:tcMar>
            <w:vAlign w:val="center"/>
          </w:tcPr>
          <w:p w14:paraId="0000005D" w14:textId="77777777" w:rsidR="00D51113" w:rsidRPr="00912D31" w:rsidRDefault="000D71C5" w:rsidP="00912D31">
            <w:pPr>
              <w:spacing w:line="240" w:lineRule="auto"/>
              <w:jc w:val="center"/>
              <w:rPr>
                <w:rFonts w:ascii="Arial" w:eastAsia="Times New Roman" w:hAnsi="Arial" w:cs="Arial"/>
                <w:sz w:val="20"/>
                <w:szCs w:val="20"/>
              </w:rPr>
            </w:pPr>
            <w:r w:rsidRPr="00912D31">
              <w:rPr>
                <w:rFonts w:ascii="Arial" w:eastAsia="Times New Roman" w:hAnsi="Arial" w:cs="Arial"/>
                <w:b/>
                <w:sz w:val="20"/>
                <w:szCs w:val="20"/>
              </w:rPr>
              <w:t>Dose (g)</w:t>
            </w:r>
          </w:p>
        </w:tc>
        <w:tc>
          <w:tcPr>
            <w:tcW w:w="2268" w:type="dxa"/>
            <w:tcBorders>
              <w:top w:val="single" w:sz="4" w:space="0" w:color="000000"/>
              <w:bottom w:val="single" w:sz="4" w:space="0" w:color="000000"/>
            </w:tcBorders>
            <w:tcMar>
              <w:top w:w="0" w:type="dxa"/>
              <w:left w:w="115" w:type="dxa"/>
              <w:bottom w:w="0" w:type="dxa"/>
              <w:right w:w="115" w:type="dxa"/>
            </w:tcMar>
            <w:vAlign w:val="center"/>
          </w:tcPr>
          <w:p w14:paraId="0000005E" w14:textId="77777777" w:rsidR="00D51113" w:rsidRPr="00912D31" w:rsidRDefault="000D71C5" w:rsidP="00912D31">
            <w:pPr>
              <w:spacing w:line="240" w:lineRule="auto"/>
              <w:jc w:val="center"/>
              <w:rPr>
                <w:rFonts w:ascii="Arial" w:eastAsia="Times New Roman" w:hAnsi="Arial" w:cs="Arial"/>
                <w:sz w:val="20"/>
                <w:szCs w:val="20"/>
              </w:rPr>
            </w:pPr>
            <w:r w:rsidRPr="00912D31">
              <w:rPr>
                <w:rFonts w:ascii="Arial" w:eastAsia="Times New Roman" w:hAnsi="Arial" w:cs="Arial"/>
                <w:b/>
                <w:sz w:val="20"/>
                <w:szCs w:val="20"/>
              </w:rPr>
              <w:t>Remaining Nitrate (mg/L)</w:t>
            </w:r>
          </w:p>
        </w:tc>
        <w:tc>
          <w:tcPr>
            <w:tcW w:w="1559" w:type="dxa"/>
            <w:tcBorders>
              <w:top w:val="single" w:sz="4" w:space="0" w:color="000000"/>
              <w:bottom w:val="single" w:sz="4" w:space="0" w:color="000000"/>
            </w:tcBorders>
            <w:tcMar>
              <w:top w:w="0" w:type="dxa"/>
              <w:left w:w="115" w:type="dxa"/>
              <w:bottom w:w="0" w:type="dxa"/>
              <w:right w:w="115" w:type="dxa"/>
            </w:tcMar>
            <w:vAlign w:val="center"/>
          </w:tcPr>
          <w:p w14:paraId="0000005F" w14:textId="77777777" w:rsidR="00D51113" w:rsidRPr="00912D31" w:rsidRDefault="000D71C5" w:rsidP="00912D31">
            <w:pPr>
              <w:spacing w:line="240" w:lineRule="auto"/>
              <w:jc w:val="center"/>
              <w:rPr>
                <w:rFonts w:ascii="Arial" w:eastAsia="Times New Roman" w:hAnsi="Arial" w:cs="Arial"/>
                <w:sz w:val="20"/>
                <w:szCs w:val="20"/>
              </w:rPr>
            </w:pPr>
            <w:r w:rsidRPr="00912D31">
              <w:rPr>
                <w:rFonts w:ascii="Arial" w:eastAsia="Times New Roman" w:hAnsi="Arial" w:cs="Arial"/>
                <w:b/>
                <w:sz w:val="20"/>
                <w:szCs w:val="20"/>
              </w:rPr>
              <w:t>Removal Efficiency (%)</w:t>
            </w:r>
          </w:p>
        </w:tc>
      </w:tr>
      <w:tr w:rsidR="00D51113" w14:paraId="05C40D70" w14:textId="77777777" w:rsidTr="00EF1BD8">
        <w:trPr>
          <w:trHeight w:val="345"/>
        </w:trPr>
        <w:tc>
          <w:tcPr>
            <w:tcW w:w="1215" w:type="dxa"/>
            <w:tcBorders>
              <w:top w:val="single" w:sz="4" w:space="0" w:color="000000"/>
            </w:tcBorders>
            <w:tcMar>
              <w:top w:w="0" w:type="dxa"/>
              <w:left w:w="115" w:type="dxa"/>
              <w:bottom w:w="0" w:type="dxa"/>
              <w:right w:w="115" w:type="dxa"/>
            </w:tcMar>
            <w:vAlign w:val="center"/>
          </w:tcPr>
          <w:p w14:paraId="00000060" w14:textId="77777777" w:rsidR="00D51113" w:rsidRPr="00912D31" w:rsidRDefault="000D71C5" w:rsidP="00912D31">
            <w:pPr>
              <w:spacing w:after="0" w:line="240" w:lineRule="auto"/>
              <w:jc w:val="center"/>
              <w:rPr>
                <w:rFonts w:ascii="Arial" w:eastAsia="Times New Roman" w:hAnsi="Arial" w:cs="Arial"/>
                <w:sz w:val="20"/>
                <w:szCs w:val="20"/>
              </w:rPr>
            </w:pPr>
            <w:r w:rsidRPr="00912D31">
              <w:rPr>
                <w:rFonts w:ascii="Arial" w:eastAsia="Times New Roman" w:hAnsi="Arial" w:cs="Arial"/>
                <w:b/>
                <w:sz w:val="20"/>
                <w:szCs w:val="20"/>
              </w:rPr>
              <w:t>B1</w:t>
            </w:r>
          </w:p>
        </w:tc>
        <w:tc>
          <w:tcPr>
            <w:tcW w:w="1620" w:type="dxa"/>
            <w:tcBorders>
              <w:top w:val="single" w:sz="4" w:space="0" w:color="000000"/>
            </w:tcBorders>
            <w:tcMar>
              <w:top w:w="0" w:type="dxa"/>
              <w:left w:w="115" w:type="dxa"/>
              <w:bottom w:w="0" w:type="dxa"/>
              <w:right w:w="115" w:type="dxa"/>
            </w:tcMar>
            <w:vAlign w:val="center"/>
          </w:tcPr>
          <w:p w14:paraId="00000061" w14:textId="77777777" w:rsidR="00D51113" w:rsidRPr="00912D31" w:rsidRDefault="000D71C5" w:rsidP="00912D31">
            <w:pPr>
              <w:spacing w:after="0" w:line="240" w:lineRule="auto"/>
              <w:jc w:val="center"/>
              <w:rPr>
                <w:rFonts w:ascii="Arial" w:eastAsia="Times New Roman" w:hAnsi="Arial" w:cs="Arial"/>
                <w:sz w:val="20"/>
                <w:szCs w:val="20"/>
              </w:rPr>
            </w:pPr>
            <w:r w:rsidRPr="00912D31">
              <w:rPr>
                <w:rFonts w:ascii="Arial" w:eastAsia="Times New Roman" w:hAnsi="Arial" w:cs="Arial"/>
                <w:sz w:val="20"/>
                <w:szCs w:val="20"/>
              </w:rPr>
              <w:t xml:space="preserve">Eggplant </w:t>
            </w:r>
            <w:proofErr w:type="spellStart"/>
            <w:r w:rsidRPr="00912D31">
              <w:rPr>
                <w:rFonts w:ascii="Arial" w:eastAsia="Times New Roman" w:hAnsi="Arial" w:cs="Arial"/>
                <w:sz w:val="20"/>
                <w:szCs w:val="20"/>
              </w:rPr>
              <w:t>Biosorbent</w:t>
            </w:r>
            <w:proofErr w:type="spellEnd"/>
          </w:p>
        </w:tc>
        <w:tc>
          <w:tcPr>
            <w:tcW w:w="1276" w:type="dxa"/>
            <w:tcBorders>
              <w:top w:val="single" w:sz="4" w:space="0" w:color="000000"/>
            </w:tcBorders>
            <w:tcMar>
              <w:top w:w="0" w:type="dxa"/>
              <w:left w:w="115" w:type="dxa"/>
              <w:bottom w:w="0" w:type="dxa"/>
              <w:right w:w="115" w:type="dxa"/>
            </w:tcMar>
            <w:vAlign w:val="center"/>
          </w:tcPr>
          <w:p w14:paraId="00000062" w14:textId="77777777" w:rsidR="00D51113" w:rsidRPr="00912D31" w:rsidRDefault="000D71C5" w:rsidP="00912D31">
            <w:pPr>
              <w:spacing w:after="0" w:line="240" w:lineRule="auto"/>
              <w:jc w:val="center"/>
              <w:rPr>
                <w:rFonts w:ascii="Arial" w:eastAsia="Times New Roman" w:hAnsi="Arial" w:cs="Arial"/>
                <w:sz w:val="20"/>
                <w:szCs w:val="20"/>
              </w:rPr>
            </w:pPr>
            <w:r w:rsidRPr="00912D31">
              <w:rPr>
                <w:rFonts w:ascii="Arial" w:eastAsia="Times New Roman" w:hAnsi="Arial" w:cs="Arial"/>
                <w:sz w:val="20"/>
                <w:szCs w:val="20"/>
              </w:rPr>
              <w:t>1</w:t>
            </w:r>
          </w:p>
        </w:tc>
        <w:tc>
          <w:tcPr>
            <w:tcW w:w="2268" w:type="dxa"/>
            <w:tcBorders>
              <w:top w:val="single" w:sz="4" w:space="0" w:color="000000"/>
            </w:tcBorders>
            <w:tcMar>
              <w:top w:w="0" w:type="dxa"/>
              <w:left w:w="115" w:type="dxa"/>
              <w:bottom w:w="0" w:type="dxa"/>
              <w:right w:w="115" w:type="dxa"/>
            </w:tcMar>
            <w:vAlign w:val="center"/>
          </w:tcPr>
          <w:p w14:paraId="00000063" w14:textId="77777777" w:rsidR="00D51113" w:rsidRPr="00912D31" w:rsidRDefault="000D71C5" w:rsidP="00912D31">
            <w:pPr>
              <w:spacing w:after="0" w:line="240" w:lineRule="auto"/>
              <w:jc w:val="center"/>
              <w:rPr>
                <w:rFonts w:ascii="Arial" w:eastAsia="Times New Roman" w:hAnsi="Arial" w:cs="Arial"/>
                <w:sz w:val="20"/>
                <w:szCs w:val="20"/>
              </w:rPr>
            </w:pPr>
            <w:r w:rsidRPr="00912D31">
              <w:rPr>
                <w:rFonts w:ascii="Arial" w:eastAsia="Times New Roman" w:hAnsi="Arial" w:cs="Arial"/>
                <w:sz w:val="20"/>
                <w:szCs w:val="20"/>
              </w:rPr>
              <w:t>0.6</w:t>
            </w:r>
          </w:p>
        </w:tc>
        <w:tc>
          <w:tcPr>
            <w:tcW w:w="1559" w:type="dxa"/>
            <w:tcBorders>
              <w:top w:val="single" w:sz="4" w:space="0" w:color="000000"/>
            </w:tcBorders>
            <w:tcMar>
              <w:top w:w="0" w:type="dxa"/>
              <w:left w:w="115" w:type="dxa"/>
              <w:bottom w:w="0" w:type="dxa"/>
              <w:right w:w="115" w:type="dxa"/>
            </w:tcMar>
            <w:vAlign w:val="center"/>
          </w:tcPr>
          <w:p w14:paraId="00000064" w14:textId="77777777" w:rsidR="00D51113" w:rsidRPr="00912D31" w:rsidRDefault="000D71C5" w:rsidP="00912D31">
            <w:pPr>
              <w:spacing w:after="0" w:line="240" w:lineRule="auto"/>
              <w:jc w:val="center"/>
              <w:rPr>
                <w:rFonts w:ascii="Arial" w:eastAsia="Times New Roman" w:hAnsi="Arial" w:cs="Arial"/>
                <w:sz w:val="20"/>
                <w:szCs w:val="20"/>
              </w:rPr>
            </w:pPr>
            <w:r w:rsidRPr="00912D31">
              <w:rPr>
                <w:rFonts w:ascii="Arial" w:eastAsia="Times New Roman" w:hAnsi="Arial" w:cs="Arial"/>
                <w:sz w:val="20"/>
                <w:szCs w:val="20"/>
              </w:rPr>
              <w:t>40</w:t>
            </w:r>
          </w:p>
        </w:tc>
      </w:tr>
      <w:tr w:rsidR="00D51113" w14:paraId="4D442A39" w14:textId="77777777" w:rsidTr="00EF1BD8">
        <w:trPr>
          <w:trHeight w:val="285"/>
        </w:trPr>
        <w:tc>
          <w:tcPr>
            <w:tcW w:w="1215" w:type="dxa"/>
            <w:tcMar>
              <w:top w:w="0" w:type="dxa"/>
              <w:left w:w="115" w:type="dxa"/>
              <w:bottom w:w="0" w:type="dxa"/>
              <w:right w:w="115" w:type="dxa"/>
            </w:tcMar>
            <w:vAlign w:val="center"/>
          </w:tcPr>
          <w:p w14:paraId="00000065" w14:textId="77777777" w:rsidR="00D51113" w:rsidRPr="00912D31" w:rsidRDefault="000D71C5" w:rsidP="00912D31">
            <w:pPr>
              <w:spacing w:after="0" w:line="240" w:lineRule="auto"/>
              <w:jc w:val="center"/>
              <w:rPr>
                <w:rFonts w:ascii="Arial" w:eastAsia="Times New Roman" w:hAnsi="Arial" w:cs="Arial"/>
                <w:sz w:val="20"/>
                <w:szCs w:val="20"/>
              </w:rPr>
            </w:pPr>
            <w:r w:rsidRPr="00912D31">
              <w:rPr>
                <w:rFonts w:ascii="Arial" w:eastAsia="Times New Roman" w:hAnsi="Arial" w:cs="Arial"/>
                <w:b/>
                <w:sz w:val="20"/>
                <w:szCs w:val="20"/>
              </w:rPr>
              <w:t>B2</w:t>
            </w:r>
          </w:p>
        </w:tc>
        <w:tc>
          <w:tcPr>
            <w:tcW w:w="1620" w:type="dxa"/>
            <w:tcMar>
              <w:top w:w="0" w:type="dxa"/>
              <w:left w:w="115" w:type="dxa"/>
              <w:bottom w:w="0" w:type="dxa"/>
              <w:right w:w="115" w:type="dxa"/>
            </w:tcMar>
            <w:vAlign w:val="center"/>
          </w:tcPr>
          <w:p w14:paraId="00000066" w14:textId="77777777" w:rsidR="00D51113" w:rsidRPr="00912D31" w:rsidRDefault="000D71C5" w:rsidP="00912D31">
            <w:pPr>
              <w:spacing w:after="0" w:line="240" w:lineRule="auto"/>
              <w:jc w:val="center"/>
              <w:rPr>
                <w:rFonts w:ascii="Arial" w:eastAsia="Times New Roman" w:hAnsi="Arial" w:cs="Arial"/>
                <w:sz w:val="20"/>
                <w:szCs w:val="20"/>
              </w:rPr>
            </w:pPr>
            <w:r w:rsidRPr="00912D31">
              <w:rPr>
                <w:rFonts w:ascii="Arial" w:eastAsia="Times New Roman" w:hAnsi="Arial" w:cs="Arial"/>
                <w:sz w:val="20"/>
                <w:szCs w:val="20"/>
              </w:rPr>
              <w:t xml:space="preserve">Eggplant </w:t>
            </w:r>
            <w:proofErr w:type="spellStart"/>
            <w:r w:rsidRPr="00912D31">
              <w:rPr>
                <w:rFonts w:ascii="Arial" w:eastAsia="Times New Roman" w:hAnsi="Arial" w:cs="Arial"/>
                <w:sz w:val="20"/>
                <w:szCs w:val="20"/>
              </w:rPr>
              <w:t>Biosorbent</w:t>
            </w:r>
            <w:proofErr w:type="spellEnd"/>
          </w:p>
        </w:tc>
        <w:tc>
          <w:tcPr>
            <w:tcW w:w="1276" w:type="dxa"/>
            <w:tcMar>
              <w:top w:w="0" w:type="dxa"/>
              <w:left w:w="115" w:type="dxa"/>
              <w:bottom w:w="0" w:type="dxa"/>
              <w:right w:w="115" w:type="dxa"/>
            </w:tcMar>
            <w:vAlign w:val="center"/>
          </w:tcPr>
          <w:p w14:paraId="00000067" w14:textId="77777777" w:rsidR="00D51113" w:rsidRPr="00912D31" w:rsidRDefault="000D71C5" w:rsidP="00912D31">
            <w:pPr>
              <w:spacing w:after="0" w:line="240" w:lineRule="auto"/>
              <w:jc w:val="center"/>
              <w:rPr>
                <w:rFonts w:ascii="Arial" w:eastAsia="Times New Roman" w:hAnsi="Arial" w:cs="Arial"/>
                <w:sz w:val="20"/>
                <w:szCs w:val="20"/>
              </w:rPr>
            </w:pPr>
            <w:r w:rsidRPr="00912D31">
              <w:rPr>
                <w:rFonts w:ascii="Arial" w:eastAsia="Times New Roman" w:hAnsi="Arial" w:cs="Arial"/>
                <w:sz w:val="20"/>
                <w:szCs w:val="20"/>
              </w:rPr>
              <w:t>0.5</w:t>
            </w:r>
          </w:p>
        </w:tc>
        <w:tc>
          <w:tcPr>
            <w:tcW w:w="2268" w:type="dxa"/>
            <w:tcMar>
              <w:top w:w="0" w:type="dxa"/>
              <w:left w:w="115" w:type="dxa"/>
              <w:bottom w:w="0" w:type="dxa"/>
              <w:right w:w="115" w:type="dxa"/>
            </w:tcMar>
            <w:vAlign w:val="center"/>
          </w:tcPr>
          <w:p w14:paraId="00000068" w14:textId="77777777" w:rsidR="00D51113" w:rsidRPr="00912D31" w:rsidRDefault="000D71C5" w:rsidP="00912D31">
            <w:pPr>
              <w:spacing w:after="0" w:line="240" w:lineRule="auto"/>
              <w:jc w:val="center"/>
              <w:rPr>
                <w:rFonts w:ascii="Arial" w:eastAsia="Times New Roman" w:hAnsi="Arial" w:cs="Arial"/>
                <w:sz w:val="20"/>
                <w:szCs w:val="20"/>
              </w:rPr>
            </w:pPr>
            <w:r w:rsidRPr="00912D31">
              <w:rPr>
                <w:rFonts w:ascii="Arial" w:eastAsia="Times New Roman" w:hAnsi="Arial" w:cs="Arial"/>
                <w:sz w:val="20"/>
                <w:szCs w:val="20"/>
              </w:rPr>
              <w:t>0.5</w:t>
            </w:r>
          </w:p>
        </w:tc>
        <w:tc>
          <w:tcPr>
            <w:tcW w:w="1559" w:type="dxa"/>
            <w:tcMar>
              <w:top w:w="0" w:type="dxa"/>
              <w:left w:w="115" w:type="dxa"/>
              <w:bottom w:w="0" w:type="dxa"/>
              <w:right w:w="115" w:type="dxa"/>
            </w:tcMar>
            <w:vAlign w:val="center"/>
          </w:tcPr>
          <w:p w14:paraId="00000069" w14:textId="77777777" w:rsidR="00D51113" w:rsidRPr="00912D31" w:rsidRDefault="000D71C5" w:rsidP="00912D31">
            <w:pPr>
              <w:spacing w:after="0" w:line="240" w:lineRule="auto"/>
              <w:jc w:val="center"/>
              <w:rPr>
                <w:rFonts w:ascii="Arial" w:eastAsia="Times New Roman" w:hAnsi="Arial" w:cs="Arial"/>
                <w:sz w:val="20"/>
                <w:szCs w:val="20"/>
              </w:rPr>
            </w:pPr>
            <w:r w:rsidRPr="00912D31">
              <w:rPr>
                <w:rFonts w:ascii="Arial" w:eastAsia="Times New Roman" w:hAnsi="Arial" w:cs="Arial"/>
                <w:sz w:val="20"/>
                <w:szCs w:val="20"/>
              </w:rPr>
              <w:t>50</w:t>
            </w:r>
          </w:p>
        </w:tc>
      </w:tr>
      <w:tr w:rsidR="00D51113" w14:paraId="4B14B0D0" w14:textId="77777777" w:rsidTr="00EF1BD8">
        <w:trPr>
          <w:trHeight w:val="587"/>
        </w:trPr>
        <w:tc>
          <w:tcPr>
            <w:tcW w:w="1215" w:type="dxa"/>
            <w:tcMar>
              <w:top w:w="0" w:type="dxa"/>
              <w:left w:w="115" w:type="dxa"/>
              <w:bottom w:w="0" w:type="dxa"/>
              <w:right w:w="115" w:type="dxa"/>
            </w:tcMar>
            <w:vAlign w:val="center"/>
          </w:tcPr>
          <w:p w14:paraId="0000006A" w14:textId="77777777" w:rsidR="00D51113" w:rsidRPr="00912D31" w:rsidRDefault="000D71C5" w:rsidP="00912D31">
            <w:pPr>
              <w:spacing w:after="0" w:line="240" w:lineRule="auto"/>
              <w:jc w:val="center"/>
              <w:rPr>
                <w:rFonts w:ascii="Arial" w:eastAsia="Times New Roman" w:hAnsi="Arial" w:cs="Arial"/>
                <w:sz w:val="20"/>
                <w:szCs w:val="20"/>
              </w:rPr>
            </w:pPr>
            <w:r w:rsidRPr="00912D31">
              <w:rPr>
                <w:rFonts w:ascii="Arial" w:eastAsia="Times New Roman" w:hAnsi="Arial" w:cs="Arial"/>
                <w:b/>
                <w:sz w:val="20"/>
                <w:szCs w:val="20"/>
              </w:rPr>
              <w:t>D1</w:t>
            </w:r>
          </w:p>
        </w:tc>
        <w:tc>
          <w:tcPr>
            <w:tcW w:w="1620" w:type="dxa"/>
            <w:tcMar>
              <w:top w:w="0" w:type="dxa"/>
              <w:left w:w="115" w:type="dxa"/>
              <w:bottom w:w="0" w:type="dxa"/>
              <w:right w:w="115" w:type="dxa"/>
            </w:tcMar>
            <w:vAlign w:val="center"/>
          </w:tcPr>
          <w:p w14:paraId="0000006B" w14:textId="77777777" w:rsidR="00D51113" w:rsidRPr="00912D31" w:rsidRDefault="000D71C5" w:rsidP="00912D31">
            <w:pPr>
              <w:spacing w:after="0" w:line="240" w:lineRule="auto"/>
              <w:jc w:val="center"/>
              <w:rPr>
                <w:rFonts w:ascii="Arial" w:eastAsia="Times New Roman" w:hAnsi="Arial" w:cs="Arial"/>
                <w:sz w:val="20"/>
                <w:szCs w:val="20"/>
              </w:rPr>
            </w:pPr>
            <w:r w:rsidRPr="00912D31">
              <w:rPr>
                <w:rFonts w:ascii="Arial" w:eastAsia="Times New Roman" w:hAnsi="Arial" w:cs="Arial"/>
                <w:sz w:val="20"/>
                <w:szCs w:val="20"/>
              </w:rPr>
              <w:t>Conventional (Activated C)</w:t>
            </w:r>
          </w:p>
        </w:tc>
        <w:tc>
          <w:tcPr>
            <w:tcW w:w="1276" w:type="dxa"/>
            <w:tcMar>
              <w:top w:w="0" w:type="dxa"/>
              <w:left w:w="115" w:type="dxa"/>
              <w:bottom w:w="0" w:type="dxa"/>
              <w:right w:w="115" w:type="dxa"/>
            </w:tcMar>
            <w:vAlign w:val="center"/>
          </w:tcPr>
          <w:p w14:paraId="0000006C" w14:textId="77777777" w:rsidR="00D51113" w:rsidRPr="00912D31" w:rsidRDefault="000D71C5" w:rsidP="00912D31">
            <w:pPr>
              <w:spacing w:after="0" w:line="240" w:lineRule="auto"/>
              <w:jc w:val="center"/>
              <w:rPr>
                <w:rFonts w:ascii="Arial" w:eastAsia="Times New Roman" w:hAnsi="Arial" w:cs="Arial"/>
                <w:sz w:val="20"/>
                <w:szCs w:val="20"/>
              </w:rPr>
            </w:pPr>
            <w:r w:rsidRPr="00912D31">
              <w:rPr>
                <w:rFonts w:ascii="Arial" w:eastAsia="Times New Roman" w:hAnsi="Arial" w:cs="Arial"/>
                <w:sz w:val="20"/>
                <w:szCs w:val="20"/>
              </w:rPr>
              <w:t>1</w:t>
            </w:r>
          </w:p>
        </w:tc>
        <w:tc>
          <w:tcPr>
            <w:tcW w:w="2268" w:type="dxa"/>
            <w:tcMar>
              <w:top w:w="0" w:type="dxa"/>
              <w:left w:w="115" w:type="dxa"/>
              <w:bottom w:w="0" w:type="dxa"/>
              <w:right w:w="115" w:type="dxa"/>
            </w:tcMar>
            <w:vAlign w:val="center"/>
          </w:tcPr>
          <w:p w14:paraId="0000006D" w14:textId="77777777" w:rsidR="00D51113" w:rsidRPr="00912D31" w:rsidRDefault="000D71C5" w:rsidP="00912D31">
            <w:pPr>
              <w:spacing w:after="0" w:line="240" w:lineRule="auto"/>
              <w:jc w:val="center"/>
              <w:rPr>
                <w:rFonts w:ascii="Arial" w:eastAsia="Times New Roman" w:hAnsi="Arial" w:cs="Arial"/>
                <w:sz w:val="20"/>
                <w:szCs w:val="20"/>
              </w:rPr>
            </w:pPr>
            <w:r w:rsidRPr="00912D31">
              <w:rPr>
                <w:rFonts w:ascii="Arial" w:eastAsia="Times New Roman" w:hAnsi="Arial" w:cs="Arial"/>
                <w:sz w:val="20"/>
                <w:szCs w:val="20"/>
              </w:rPr>
              <w:t>0.1</w:t>
            </w:r>
          </w:p>
        </w:tc>
        <w:tc>
          <w:tcPr>
            <w:tcW w:w="1559" w:type="dxa"/>
            <w:tcMar>
              <w:top w:w="0" w:type="dxa"/>
              <w:left w:w="115" w:type="dxa"/>
              <w:bottom w:w="0" w:type="dxa"/>
              <w:right w:w="115" w:type="dxa"/>
            </w:tcMar>
            <w:vAlign w:val="center"/>
          </w:tcPr>
          <w:p w14:paraId="0000006E" w14:textId="77777777" w:rsidR="00D51113" w:rsidRPr="00912D31" w:rsidRDefault="000D71C5" w:rsidP="00912D31">
            <w:pPr>
              <w:spacing w:after="0" w:line="240" w:lineRule="auto"/>
              <w:jc w:val="center"/>
              <w:rPr>
                <w:rFonts w:ascii="Arial" w:eastAsia="Times New Roman" w:hAnsi="Arial" w:cs="Arial"/>
                <w:sz w:val="20"/>
                <w:szCs w:val="20"/>
              </w:rPr>
            </w:pPr>
            <w:r w:rsidRPr="00912D31">
              <w:rPr>
                <w:rFonts w:ascii="Arial" w:eastAsia="Times New Roman" w:hAnsi="Arial" w:cs="Arial"/>
                <w:sz w:val="20"/>
                <w:szCs w:val="20"/>
              </w:rPr>
              <w:t>90</w:t>
            </w:r>
          </w:p>
        </w:tc>
      </w:tr>
      <w:tr w:rsidR="00D51113" w14:paraId="73CFE8D0" w14:textId="77777777" w:rsidTr="00EF1BD8">
        <w:trPr>
          <w:trHeight w:val="558"/>
        </w:trPr>
        <w:tc>
          <w:tcPr>
            <w:tcW w:w="1215" w:type="dxa"/>
            <w:tcBorders>
              <w:bottom w:val="single" w:sz="4" w:space="0" w:color="000000"/>
            </w:tcBorders>
            <w:tcMar>
              <w:top w:w="0" w:type="dxa"/>
              <w:left w:w="115" w:type="dxa"/>
              <w:bottom w:w="0" w:type="dxa"/>
              <w:right w:w="115" w:type="dxa"/>
            </w:tcMar>
            <w:vAlign w:val="center"/>
          </w:tcPr>
          <w:p w14:paraId="0000006F" w14:textId="77777777" w:rsidR="00D51113" w:rsidRPr="00912D31" w:rsidRDefault="000D71C5" w:rsidP="00912D31">
            <w:pPr>
              <w:spacing w:after="0" w:line="240" w:lineRule="auto"/>
              <w:jc w:val="center"/>
              <w:rPr>
                <w:rFonts w:ascii="Arial" w:eastAsia="Times New Roman" w:hAnsi="Arial" w:cs="Arial"/>
                <w:sz w:val="20"/>
                <w:szCs w:val="20"/>
              </w:rPr>
            </w:pPr>
            <w:r w:rsidRPr="00912D31">
              <w:rPr>
                <w:rFonts w:ascii="Arial" w:eastAsia="Times New Roman" w:hAnsi="Arial" w:cs="Arial"/>
                <w:b/>
                <w:sz w:val="20"/>
                <w:szCs w:val="20"/>
              </w:rPr>
              <w:t>D2</w:t>
            </w:r>
          </w:p>
        </w:tc>
        <w:tc>
          <w:tcPr>
            <w:tcW w:w="1620" w:type="dxa"/>
            <w:tcBorders>
              <w:bottom w:val="single" w:sz="4" w:space="0" w:color="000000"/>
            </w:tcBorders>
            <w:tcMar>
              <w:top w:w="0" w:type="dxa"/>
              <w:left w:w="115" w:type="dxa"/>
              <w:bottom w:w="0" w:type="dxa"/>
              <w:right w:w="115" w:type="dxa"/>
            </w:tcMar>
            <w:vAlign w:val="center"/>
          </w:tcPr>
          <w:p w14:paraId="00000070" w14:textId="77777777" w:rsidR="00D51113" w:rsidRPr="00912D31" w:rsidRDefault="000D71C5" w:rsidP="00912D31">
            <w:pPr>
              <w:spacing w:after="0" w:line="240" w:lineRule="auto"/>
              <w:jc w:val="center"/>
              <w:rPr>
                <w:rFonts w:ascii="Arial" w:eastAsia="Times New Roman" w:hAnsi="Arial" w:cs="Arial"/>
                <w:sz w:val="20"/>
                <w:szCs w:val="20"/>
              </w:rPr>
            </w:pPr>
            <w:r w:rsidRPr="00912D31">
              <w:rPr>
                <w:rFonts w:ascii="Arial" w:eastAsia="Times New Roman" w:hAnsi="Arial" w:cs="Arial"/>
                <w:sz w:val="20"/>
                <w:szCs w:val="20"/>
              </w:rPr>
              <w:t>Conventional (Activated C)</w:t>
            </w:r>
          </w:p>
        </w:tc>
        <w:tc>
          <w:tcPr>
            <w:tcW w:w="1276" w:type="dxa"/>
            <w:tcBorders>
              <w:bottom w:val="single" w:sz="4" w:space="0" w:color="000000"/>
            </w:tcBorders>
            <w:tcMar>
              <w:top w:w="0" w:type="dxa"/>
              <w:left w:w="115" w:type="dxa"/>
              <w:bottom w:w="0" w:type="dxa"/>
              <w:right w:w="115" w:type="dxa"/>
            </w:tcMar>
            <w:vAlign w:val="center"/>
          </w:tcPr>
          <w:p w14:paraId="00000071" w14:textId="77777777" w:rsidR="00D51113" w:rsidRPr="00912D31" w:rsidRDefault="000D71C5" w:rsidP="00912D31">
            <w:pPr>
              <w:spacing w:after="0" w:line="240" w:lineRule="auto"/>
              <w:jc w:val="center"/>
              <w:rPr>
                <w:rFonts w:ascii="Arial" w:eastAsia="Times New Roman" w:hAnsi="Arial" w:cs="Arial"/>
                <w:sz w:val="20"/>
                <w:szCs w:val="20"/>
              </w:rPr>
            </w:pPr>
            <w:r w:rsidRPr="00912D31">
              <w:rPr>
                <w:rFonts w:ascii="Arial" w:eastAsia="Times New Roman" w:hAnsi="Arial" w:cs="Arial"/>
                <w:sz w:val="20"/>
                <w:szCs w:val="20"/>
              </w:rPr>
              <w:t>0.5</w:t>
            </w:r>
          </w:p>
        </w:tc>
        <w:tc>
          <w:tcPr>
            <w:tcW w:w="2268" w:type="dxa"/>
            <w:tcBorders>
              <w:bottom w:val="single" w:sz="4" w:space="0" w:color="000000"/>
            </w:tcBorders>
            <w:tcMar>
              <w:top w:w="0" w:type="dxa"/>
              <w:left w:w="115" w:type="dxa"/>
              <w:bottom w:w="0" w:type="dxa"/>
              <w:right w:w="115" w:type="dxa"/>
            </w:tcMar>
            <w:vAlign w:val="center"/>
          </w:tcPr>
          <w:p w14:paraId="00000072" w14:textId="77777777" w:rsidR="00D51113" w:rsidRPr="00912D31" w:rsidRDefault="000D71C5" w:rsidP="00912D31">
            <w:pPr>
              <w:spacing w:after="0" w:line="240" w:lineRule="auto"/>
              <w:jc w:val="center"/>
              <w:rPr>
                <w:rFonts w:ascii="Arial" w:eastAsia="Times New Roman" w:hAnsi="Arial" w:cs="Arial"/>
                <w:sz w:val="20"/>
                <w:szCs w:val="20"/>
              </w:rPr>
            </w:pPr>
            <w:r w:rsidRPr="00912D31">
              <w:rPr>
                <w:rFonts w:ascii="Arial" w:eastAsia="Times New Roman" w:hAnsi="Arial" w:cs="Arial"/>
                <w:sz w:val="20"/>
                <w:szCs w:val="20"/>
              </w:rPr>
              <w:t>0.2</w:t>
            </w:r>
          </w:p>
        </w:tc>
        <w:tc>
          <w:tcPr>
            <w:tcW w:w="1559" w:type="dxa"/>
            <w:tcBorders>
              <w:bottom w:val="single" w:sz="4" w:space="0" w:color="000000"/>
            </w:tcBorders>
            <w:tcMar>
              <w:top w:w="0" w:type="dxa"/>
              <w:left w:w="115" w:type="dxa"/>
              <w:bottom w:w="0" w:type="dxa"/>
              <w:right w:w="115" w:type="dxa"/>
            </w:tcMar>
            <w:vAlign w:val="center"/>
          </w:tcPr>
          <w:p w14:paraId="00000073" w14:textId="77777777" w:rsidR="00D51113" w:rsidRPr="00912D31" w:rsidRDefault="000D71C5" w:rsidP="00912D31">
            <w:pPr>
              <w:spacing w:after="0" w:line="240" w:lineRule="auto"/>
              <w:jc w:val="center"/>
              <w:rPr>
                <w:rFonts w:ascii="Arial" w:eastAsia="Times New Roman" w:hAnsi="Arial" w:cs="Arial"/>
                <w:sz w:val="20"/>
                <w:szCs w:val="20"/>
              </w:rPr>
            </w:pPr>
            <w:r w:rsidRPr="00912D31">
              <w:rPr>
                <w:rFonts w:ascii="Arial" w:eastAsia="Times New Roman" w:hAnsi="Arial" w:cs="Arial"/>
                <w:sz w:val="20"/>
                <w:szCs w:val="20"/>
              </w:rPr>
              <w:t>80</w:t>
            </w:r>
          </w:p>
        </w:tc>
      </w:tr>
    </w:tbl>
    <w:p w14:paraId="00000074" w14:textId="77777777" w:rsidR="00D51113" w:rsidRPr="00912D31" w:rsidRDefault="000D71C5" w:rsidP="00CB3336">
      <w:pPr>
        <w:spacing w:before="240" w:after="240" w:line="240" w:lineRule="auto"/>
        <w:ind w:firstLine="720"/>
        <w:jc w:val="both"/>
        <w:rPr>
          <w:rFonts w:ascii="Arial" w:eastAsia="Times New Roman" w:hAnsi="Arial" w:cs="Arial"/>
          <w:sz w:val="20"/>
          <w:szCs w:val="20"/>
        </w:rPr>
      </w:pPr>
      <w:r w:rsidRPr="00912D31">
        <w:rPr>
          <w:rFonts w:ascii="Arial" w:eastAsia="Times New Roman" w:hAnsi="Arial" w:cs="Arial"/>
          <w:sz w:val="20"/>
          <w:szCs w:val="20"/>
        </w:rPr>
        <w:t>Table 2 provides a comparison of the nitrate removal efficiencies of eggplant (</w:t>
      </w:r>
      <w:r w:rsidRPr="00912D31">
        <w:rPr>
          <w:rFonts w:ascii="Arial" w:eastAsia="Times New Roman" w:hAnsi="Arial" w:cs="Arial"/>
          <w:i/>
          <w:sz w:val="20"/>
          <w:szCs w:val="20"/>
        </w:rPr>
        <w:t xml:space="preserve">Solanum </w:t>
      </w:r>
      <w:proofErr w:type="spellStart"/>
      <w:r w:rsidRPr="00912D31">
        <w:rPr>
          <w:rFonts w:ascii="Arial" w:eastAsia="Times New Roman" w:hAnsi="Arial" w:cs="Arial"/>
          <w:i/>
          <w:sz w:val="20"/>
          <w:szCs w:val="20"/>
        </w:rPr>
        <w:t>melongena</w:t>
      </w:r>
      <w:proofErr w:type="spellEnd"/>
      <w:r w:rsidRPr="00912D31">
        <w:rPr>
          <w:rFonts w:ascii="Arial" w:eastAsia="Times New Roman" w:hAnsi="Arial" w:cs="Arial"/>
          <w:i/>
          <w:sz w:val="20"/>
          <w:szCs w:val="20"/>
        </w:rPr>
        <w:t xml:space="preserve"> L.</w:t>
      </w:r>
      <w:r w:rsidRPr="00912D31">
        <w:rPr>
          <w:rFonts w:ascii="Arial" w:eastAsia="Times New Roman" w:hAnsi="Arial" w:cs="Arial"/>
          <w:sz w:val="20"/>
          <w:szCs w:val="20"/>
        </w:rPr>
        <w:t xml:space="preserve">) </w:t>
      </w:r>
      <w:proofErr w:type="spellStart"/>
      <w:r w:rsidRPr="00912D31">
        <w:rPr>
          <w:rFonts w:ascii="Arial" w:eastAsia="Times New Roman" w:hAnsi="Arial" w:cs="Arial"/>
          <w:sz w:val="20"/>
          <w:szCs w:val="20"/>
        </w:rPr>
        <w:t>biosorbent</w:t>
      </w:r>
      <w:proofErr w:type="spellEnd"/>
      <w:r w:rsidRPr="00912D31">
        <w:rPr>
          <w:rFonts w:ascii="Arial" w:eastAsia="Times New Roman" w:hAnsi="Arial" w:cs="Arial"/>
          <w:sz w:val="20"/>
          <w:szCs w:val="20"/>
        </w:rPr>
        <w:t xml:space="preserve"> and activated carbon at different adsorbent doses. The scope of the data focuses on the remaining nitrate concentrations (mg/L) and removal </w:t>
      </w:r>
      <w:r w:rsidRPr="00912D31">
        <w:rPr>
          <w:rFonts w:ascii="Arial" w:eastAsia="Times New Roman" w:hAnsi="Arial" w:cs="Arial"/>
          <w:sz w:val="20"/>
          <w:szCs w:val="20"/>
        </w:rPr>
        <w:lastRenderedPageBreak/>
        <w:t xml:space="preserve">efficiencies (%) at doses of 1 g and 0.5 g, providing insight into how the dose affects performance. This detailed comparison allows for the interpretation of the relative efficiency of each adsorbent type. As shown in the table, activated carbon achieved consistently higher removal efficiencies (90% and 80%) compared to eggplant </w:t>
      </w:r>
      <w:proofErr w:type="spellStart"/>
      <w:r w:rsidRPr="00912D31">
        <w:rPr>
          <w:rFonts w:ascii="Arial" w:eastAsia="Times New Roman" w:hAnsi="Arial" w:cs="Arial"/>
          <w:sz w:val="20"/>
          <w:szCs w:val="20"/>
        </w:rPr>
        <w:t>biosorbent</w:t>
      </w:r>
      <w:proofErr w:type="spellEnd"/>
      <w:r w:rsidRPr="00912D31">
        <w:rPr>
          <w:rFonts w:ascii="Arial" w:eastAsia="Times New Roman" w:hAnsi="Arial" w:cs="Arial"/>
          <w:sz w:val="20"/>
          <w:szCs w:val="20"/>
        </w:rPr>
        <w:t xml:space="preserve"> (40% and 50%). At a dose of 1 g, the eggplant </w:t>
      </w:r>
      <w:proofErr w:type="spellStart"/>
      <w:r w:rsidRPr="00912D31">
        <w:rPr>
          <w:rFonts w:ascii="Arial" w:eastAsia="Times New Roman" w:hAnsi="Arial" w:cs="Arial"/>
          <w:sz w:val="20"/>
          <w:szCs w:val="20"/>
        </w:rPr>
        <w:t>biosorbent</w:t>
      </w:r>
      <w:proofErr w:type="spellEnd"/>
      <w:r w:rsidRPr="00912D31">
        <w:rPr>
          <w:rFonts w:ascii="Arial" w:eastAsia="Times New Roman" w:hAnsi="Arial" w:cs="Arial"/>
          <w:sz w:val="20"/>
          <w:szCs w:val="20"/>
        </w:rPr>
        <w:t xml:space="preserve"> (B1) left a remaining concentration of nitrate of 0.6 mg/L, with a removal efficiency of 40%. Similarly, activated carbon (D1), with the same dosage, achieved a significantly lower remaining nitrate concentration of 0.1 mg/L and a higher removal efficiency of 90%. When the dose was reduced to 0.5 g, the eggplant </w:t>
      </w:r>
      <w:proofErr w:type="spellStart"/>
      <w:r w:rsidRPr="00912D31">
        <w:rPr>
          <w:rFonts w:ascii="Arial" w:eastAsia="Times New Roman" w:hAnsi="Arial" w:cs="Arial"/>
          <w:sz w:val="20"/>
          <w:szCs w:val="20"/>
        </w:rPr>
        <w:t>biosorbent</w:t>
      </w:r>
      <w:proofErr w:type="spellEnd"/>
      <w:r w:rsidRPr="00912D31">
        <w:rPr>
          <w:rFonts w:ascii="Arial" w:eastAsia="Times New Roman" w:hAnsi="Arial" w:cs="Arial"/>
          <w:sz w:val="20"/>
          <w:szCs w:val="20"/>
        </w:rPr>
        <w:t xml:space="preserve"> (B2) showed an improvement, with a remaining nitrate concentration of 0.5 mg/L and a removal efficiency of 50%. Correspondingly, activated carbon (D2) at 0.5 g had a remaining nitrate concentration of 0.2 mg/L and a removal efficiency of 80%. These results suggest that activated carbon is possibly more effective at nitrate adsorption, regardless of dose, while the performance of the eggplant </w:t>
      </w:r>
      <w:proofErr w:type="spellStart"/>
      <w:r w:rsidRPr="00912D31">
        <w:rPr>
          <w:rFonts w:ascii="Arial" w:eastAsia="Times New Roman" w:hAnsi="Arial" w:cs="Arial"/>
          <w:sz w:val="20"/>
          <w:szCs w:val="20"/>
        </w:rPr>
        <w:t>biosorbent</w:t>
      </w:r>
      <w:proofErr w:type="spellEnd"/>
      <w:r w:rsidRPr="00912D31">
        <w:rPr>
          <w:rFonts w:ascii="Arial" w:eastAsia="Times New Roman" w:hAnsi="Arial" w:cs="Arial"/>
          <w:sz w:val="20"/>
          <w:szCs w:val="20"/>
        </w:rPr>
        <w:t xml:space="preserve"> improves as the dose decreases. </w:t>
      </w:r>
    </w:p>
    <w:p w14:paraId="00000075" w14:textId="77777777" w:rsidR="00D51113" w:rsidRPr="00912D31" w:rsidRDefault="00603573" w:rsidP="00912D31">
      <w:pPr>
        <w:spacing w:before="240" w:after="240" w:line="240" w:lineRule="auto"/>
        <w:ind w:firstLine="720"/>
        <w:jc w:val="both"/>
        <w:rPr>
          <w:rFonts w:ascii="Arial" w:eastAsia="Times New Roman" w:hAnsi="Arial" w:cs="Arial"/>
          <w:sz w:val="20"/>
          <w:szCs w:val="20"/>
        </w:rPr>
      </w:pPr>
      <w:sdt>
        <w:sdtPr>
          <w:rPr>
            <w:rFonts w:ascii="Arial" w:hAnsi="Arial" w:cs="Arial"/>
            <w:sz w:val="20"/>
            <w:szCs w:val="20"/>
          </w:rPr>
          <w:tag w:val="goog_rdk_0"/>
          <w:id w:val="1548332984"/>
        </w:sdtPr>
        <w:sdtEndPr/>
        <w:sdtContent/>
      </w:sdt>
      <w:r w:rsidR="000D71C5" w:rsidRPr="00912D31">
        <w:rPr>
          <w:rFonts w:ascii="Arial" w:eastAsia="Times New Roman" w:hAnsi="Arial" w:cs="Arial"/>
          <w:sz w:val="20"/>
          <w:szCs w:val="20"/>
        </w:rPr>
        <w:t xml:space="preserve">The findings indicate that the higher removal efficiency of activated carbon can be attributed to its larger surface area and high porosity, which allow it to adsorb nitrates more effectively (Ahmed et al., 2022; </w:t>
      </w:r>
      <w:proofErr w:type="spellStart"/>
      <w:r w:rsidR="000D71C5" w:rsidRPr="00912D31">
        <w:rPr>
          <w:rFonts w:ascii="Arial" w:eastAsia="Times New Roman" w:hAnsi="Arial" w:cs="Arial"/>
          <w:sz w:val="20"/>
          <w:szCs w:val="20"/>
        </w:rPr>
        <w:t>Emrooz</w:t>
      </w:r>
      <w:proofErr w:type="spellEnd"/>
      <w:r w:rsidR="000D71C5" w:rsidRPr="00912D31">
        <w:rPr>
          <w:rFonts w:ascii="Arial" w:eastAsia="Times New Roman" w:hAnsi="Arial" w:cs="Arial"/>
          <w:sz w:val="20"/>
          <w:szCs w:val="20"/>
        </w:rPr>
        <w:t xml:space="preserve"> et al., 2020). The eggplant </w:t>
      </w:r>
      <w:proofErr w:type="spellStart"/>
      <w:r w:rsidR="000D71C5" w:rsidRPr="00912D31">
        <w:rPr>
          <w:rFonts w:ascii="Arial" w:eastAsia="Times New Roman" w:hAnsi="Arial" w:cs="Arial"/>
          <w:sz w:val="20"/>
          <w:szCs w:val="20"/>
        </w:rPr>
        <w:t>biosorbent</w:t>
      </w:r>
      <w:proofErr w:type="spellEnd"/>
      <w:r w:rsidR="000D71C5" w:rsidRPr="00912D31">
        <w:rPr>
          <w:rFonts w:ascii="Arial" w:eastAsia="Times New Roman" w:hAnsi="Arial" w:cs="Arial"/>
          <w:sz w:val="20"/>
          <w:szCs w:val="20"/>
        </w:rPr>
        <w:t xml:space="preserve">, while less efficient, demonstrates potential as a low-cost and sustainable alternative for removing nitrate. Its improved efficiency at the lower dose may reflect better utilization of its adsorption sites under these conditions. These results suggest that activated carbon is more effective at nitrate adsorption, regardless of dose, while the performance of the eggplant </w:t>
      </w:r>
      <w:proofErr w:type="spellStart"/>
      <w:r w:rsidR="000D71C5" w:rsidRPr="00912D31">
        <w:rPr>
          <w:rFonts w:ascii="Arial" w:eastAsia="Times New Roman" w:hAnsi="Arial" w:cs="Arial"/>
          <w:sz w:val="20"/>
          <w:szCs w:val="20"/>
        </w:rPr>
        <w:t>biosorbent</w:t>
      </w:r>
      <w:proofErr w:type="spellEnd"/>
      <w:r w:rsidR="000D71C5" w:rsidRPr="00912D31">
        <w:rPr>
          <w:rFonts w:ascii="Arial" w:eastAsia="Times New Roman" w:hAnsi="Arial" w:cs="Arial"/>
          <w:sz w:val="20"/>
          <w:szCs w:val="20"/>
        </w:rPr>
        <w:t xml:space="preserve"> improves as the dose decreases. The higher removal efficiency of activated carbon can be linked to its well-developed micro- and mesoporous structure, which enhances adsorption capacity and efficiency (Liu et al., 2022). Additionally, the ability of activated carbon to remove nitrates effectively aligns with findings that emphasize its superior adsorption properties due to a higher density of functional groups (</w:t>
      </w:r>
      <w:proofErr w:type="spellStart"/>
      <w:r w:rsidR="000D71C5" w:rsidRPr="00912D31">
        <w:rPr>
          <w:rFonts w:ascii="Arial" w:eastAsia="Times New Roman" w:hAnsi="Arial" w:cs="Arial"/>
          <w:sz w:val="20"/>
          <w:szCs w:val="20"/>
        </w:rPr>
        <w:t>Nithyanandam</w:t>
      </w:r>
      <w:proofErr w:type="spellEnd"/>
      <w:r w:rsidR="000D71C5" w:rsidRPr="00912D31">
        <w:rPr>
          <w:rFonts w:ascii="Arial" w:eastAsia="Times New Roman" w:hAnsi="Arial" w:cs="Arial"/>
          <w:sz w:val="20"/>
          <w:szCs w:val="20"/>
        </w:rPr>
        <w:t xml:space="preserve"> et al., 2023).</w:t>
      </w:r>
    </w:p>
    <w:p w14:paraId="0BFFF5B1" w14:textId="653ADBF2" w:rsidR="00CB3336" w:rsidRPr="00CB3336" w:rsidRDefault="000D71C5" w:rsidP="00CB3336">
      <w:pPr>
        <w:spacing w:before="240" w:after="240" w:line="240" w:lineRule="auto"/>
        <w:ind w:firstLine="720"/>
        <w:jc w:val="both"/>
        <w:rPr>
          <w:rFonts w:ascii="Arial" w:eastAsia="Times New Roman" w:hAnsi="Arial" w:cs="Arial"/>
          <w:sz w:val="20"/>
          <w:szCs w:val="20"/>
        </w:rPr>
      </w:pPr>
      <w:r w:rsidRPr="00912D31">
        <w:rPr>
          <w:rFonts w:ascii="Arial" w:eastAsia="Times New Roman" w:hAnsi="Arial" w:cs="Arial"/>
          <w:sz w:val="20"/>
          <w:szCs w:val="20"/>
        </w:rPr>
        <w:t xml:space="preserve">The eggplant </w:t>
      </w:r>
      <w:proofErr w:type="spellStart"/>
      <w:r w:rsidRPr="00912D31">
        <w:rPr>
          <w:rFonts w:ascii="Arial" w:eastAsia="Times New Roman" w:hAnsi="Arial" w:cs="Arial"/>
          <w:sz w:val="20"/>
          <w:szCs w:val="20"/>
        </w:rPr>
        <w:t>biosorbent</w:t>
      </w:r>
      <w:proofErr w:type="spellEnd"/>
      <w:r w:rsidRPr="00912D31">
        <w:rPr>
          <w:rFonts w:ascii="Arial" w:eastAsia="Times New Roman" w:hAnsi="Arial" w:cs="Arial"/>
          <w:sz w:val="20"/>
          <w:szCs w:val="20"/>
        </w:rPr>
        <w:t xml:space="preserve">, while less efficient overall, demonstrates significant potential as a low-cost, eco-friendly alternative. Its improved performance at the lower dose may reflect more effective utilization of active adsorption sites under these conditions. This phenomenon is supported by studies such as those by Dey et al. (2021), which highlight how adsorbent dose and its interaction with pollutant molecules influence removal efficiency​. Moreover, the hierarchical pore structure and biochemical composition of eggplant </w:t>
      </w:r>
      <w:proofErr w:type="spellStart"/>
      <w:r w:rsidRPr="00912D31">
        <w:rPr>
          <w:rFonts w:ascii="Arial" w:eastAsia="Times New Roman" w:hAnsi="Arial" w:cs="Arial"/>
          <w:sz w:val="20"/>
          <w:szCs w:val="20"/>
        </w:rPr>
        <w:t>biosorbent</w:t>
      </w:r>
      <w:proofErr w:type="spellEnd"/>
      <w:r w:rsidRPr="00912D31">
        <w:rPr>
          <w:rFonts w:ascii="Arial" w:eastAsia="Times New Roman" w:hAnsi="Arial" w:cs="Arial"/>
          <w:sz w:val="20"/>
          <w:szCs w:val="20"/>
        </w:rPr>
        <w:t xml:space="preserve"> Al-</w:t>
      </w:r>
      <w:proofErr w:type="spellStart"/>
      <w:r w:rsidRPr="00912D31">
        <w:rPr>
          <w:rFonts w:ascii="Arial" w:eastAsia="Times New Roman" w:hAnsi="Arial" w:cs="Arial"/>
          <w:sz w:val="20"/>
          <w:szCs w:val="20"/>
        </w:rPr>
        <w:t>Jaaf</w:t>
      </w:r>
      <w:proofErr w:type="spellEnd"/>
      <w:r w:rsidRPr="00912D31">
        <w:rPr>
          <w:rFonts w:ascii="Arial" w:eastAsia="Times New Roman" w:hAnsi="Arial" w:cs="Arial"/>
          <w:sz w:val="20"/>
          <w:szCs w:val="20"/>
        </w:rPr>
        <w:t xml:space="preserve"> et al. (2022) provide a basis for its nitrate removal capabilities, albeit less competitive than activated carbon​. This highlights the value of activated carbon for nitrate removal but also highlights the potential of eggplant </w:t>
      </w:r>
      <w:proofErr w:type="spellStart"/>
      <w:r w:rsidRPr="00912D31">
        <w:rPr>
          <w:rFonts w:ascii="Arial" w:eastAsia="Times New Roman" w:hAnsi="Arial" w:cs="Arial"/>
          <w:sz w:val="20"/>
          <w:szCs w:val="20"/>
        </w:rPr>
        <w:t>biosorbents</w:t>
      </w:r>
      <w:proofErr w:type="spellEnd"/>
      <w:r w:rsidRPr="00912D31">
        <w:rPr>
          <w:rFonts w:ascii="Arial" w:eastAsia="Times New Roman" w:hAnsi="Arial" w:cs="Arial"/>
          <w:sz w:val="20"/>
          <w:szCs w:val="20"/>
        </w:rPr>
        <w:t xml:space="preserve">. Optimization strategies, such as thermal or chemical modification, have proven to enhance biosorption capacities in other plant-based materials, as shown by Malik et al.​ (2016). </w:t>
      </w:r>
    </w:p>
    <w:p w14:paraId="00000077" w14:textId="3A23686E" w:rsidR="00D51113" w:rsidRPr="00912D31" w:rsidRDefault="00912D31" w:rsidP="00912D31">
      <w:pPr>
        <w:spacing w:before="240" w:after="240" w:line="240" w:lineRule="auto"/>
        <w:jc w:val="both"/>
        <w:rPr>
          <w:rFonts w:ascii="Arial" w:eastAsia="Times New Roman" w:hAnsi="Arial" w:cs="Arial"/>
          <w:b/>
          <w:iCs/>
        </w:rPr>
      </w:pPr>
      <w:r w:rsidRPr="00912D31">
        <w:rPr>
          <w:rFonts w:ascii="Arial" w:eastAsia="Times New Roman" w:hAnsi="Arial" w:cs="Arial"/>
          <w:b/>
          <w:iCs/>
          <w:sz w:val="22"/>
          <w:szCs w:val="22"/>
        </w:rPr>
        <w:t xml:space="preserve">3.3 Adsorption Capacity of Eggplant </w:t>
      </w:r>
      <w:proofErr w:type="spellStart"/>
      <w:r w:rsidRPr="00912D31">
        <w:rPr>
          <w:rFonts w:ascii="Arial" w:eastAsia="Times New Roman" w:hAnsi="Arial" w:cs="Arial"/>
          <w:b/>
          <w:iCs/>
          <w:sz w:val="22"/>
          <w:szCs w:val="22"/>
        </w:rPr>
        <w:t>Biosorbent</w:t>
      </w:r>
      <w:proofErr w:type="spellEnd"/>
      <w:r w:rsidRPr="00912D31">
        <w:rPr>
          <w:rFonts w:ascii="Arial" w:eastAsia="Times New Roman" w:hAnsi="Arial" w:cs="Arial"/>
          <w:b/>
          <w:iCs/>
          <w:sz w:val="22"/>
          <w:szCs w:val="22"/>
        </w:rPr>
        <w:t xml:space="preserve"> Differs from Activated Carbon</w:t>
      </w:r>
    </w:p>
    <w:p w14:paraId="00000078" w14:textId="477C105D" w:rsidR="00D51113" w:rsidRPr="00980B35" w:rsidRDefault="000D71C5" w:rsidP="00912D31">
      <w:pPr>
        <w:spacing w:line="240" w:lineRule="auto"/>
        <w:rPr>
          <w:rFonts w:ascii="Arial" w:eastAsia="Times New Roman" w:hAnsi="Arial" w:cs="Arial"/>
          <w:b/>
          <w:bCs/>
          <w:iCs/>
          <w:sz w:val="20"/>
          <w:szCs w:val="20"/>
        </w:rPr>
      </w:pPr>
      <w:r w:rsidRPr="00912D31">
        <w:rPr>
          <w:rFonts w:ascii="Arial" w:eastAsia="Times New Roman" w:hAnsi="Arial" w:cs="Arial"/>
          <w:b/>
          <w:iCs/>
          <w:sz w:val="20"/>
          <w:szCs w:val="20"/>
        </w:rPr>
        <w:t>Table 3</w:t>
      </w:r>
      <w:r w:rsidRPr="00912D31">
        <w:rPr>
          <w:rFonts w:ascii="Arial" w:eastAsia="Times New Roman" w:hAnsi="Arial" w:cs="Arial"/>
          <w:iCs/>
          <w:sz w:val="20"/>
          <w:szCs w:val="20"/>
        </w:rPr>
        <w:t>.</w:t>
      </w:r>
      <w:r w:rsidR="00980B35">
        <w:rPr>
          <w:rFonts w:ascii="Arial" w:eastAsia="Times New Roman" w:hAnsi="Arial" w:cs="Arial"/>
          <w:iCs/>
          <w:sz w:val="20"/>
          <w:szCs w:val="20"/>
        </w:rPr>
        <w:t xml:space="preserve"> </w:t>
      </w:r>
      <w:r w:rsidR="00980B35" w:rsidRPr="00980B35">
        <w:rPr>
          <w:rFonts w:ascii="Arial" w:eastAsia="Times New Roman" w:hAnsi="Arial" w:cs="Arial"/>
          <w:b/>
          <w:bCs/>
          <w:iCs/>
          <w:sz w:val="20"/>
          <w:szCs w:val="20"/>
        </w:rPr>
        <w:t xml:space="preserve">ANOVA Analysis of Adsorption Capacity of Eggplant </w:t>
      </w:r>
      <w:proofErr w:type="spellStart"/>
      <w:r w:rsidR="00980B35" w:rsidRPr="00980B35">
        <w:rPr>
          <w:rFonts w:ascii="Arial" w:eastAsia="Times New Roman" w:hAnsi="Arial" w:cs="Arial"/>
          <w:b/>
          <w:bCs/>
          <w:iCs/>
          <w:sz w:val="20"/>
          <w:szCs w:val="20"/>
        </w:rPr>
        <w:t>Biosorbent</w:t>
      </w:r>
      <w:proofErr w:type="spellEnd"/>
      <w:r w:rsidR="00980B35" w:rsidRPr="00980B35">
        <w:rPr>
          <w:rFonts w:ascii="Arial" w:eastAsia="Times New Roman" w:hAnsi="Arial" w:cs="Arial"/>
          <w:b/>
          <w:bCs/>
          <w:iCs/>
          <w:sz w:val="20"/>
          <w:szCs w:val="20"/>
        </w:rPr>
        <w:t xml:space="preserve"> and Activated Carbon</w:t>
      </w:r>
    </w:p>
    <w:tbl>
      <w:tblPr>
        <w:tblStyle w:val="a5"/>
        <w:tblW w:w="7938" w:type="dxa"/>
        <w:tblInd w:w="281" w:type="dxa"/>
        <w:tblLayout w:type="fixed"/>
        <w:tblLook w:val="0400" w:firstRow="0" w:lastRow="0" w:firstColumn="0" w:lastColumn="0" w:noHBand="0" w:noVBand="1"/>
      </w:tblPr>
      <w:tblGrid>
        <w:gridCol w:w="1134"/>
        <w:gridCol w:w="1276"/>
        <w:gridCol w:w="567"/>
        <w:gridCol w:w="1134"/>
        <w:gridCol w:w="1134"/>
        <w:gridCol w:w="1134"/>
        <w:gridCol w:w="1559"/>
      </w:tblGrid>
      <w:tr w:rsidR="00D51113" w:rsidRPr="00912D31" w14:paraId="43522CF5" w14:textId="77777777" w:rsidTr="00EF1BD8">
        <w:trPr>
          <w:trHeight w:val="300"/>
        </w:trPr>
        <w:tc>
          <w:tcPr>
            <w:tcW w:w="1134" w:type="dxa"/>
            <w:tcBorders>
              <w:top w:val="single" w:sz="8" w:space="0" w:color="000000"/>
              <w:bottom w:val="single" w:sz="8" w:space="0" w:color="000000"/>
            </w:tcBorders>
            <w:tcMar>
              <w:top w:w="0" w:type="dxa"/>
              <w:left w:w="100" w:type="dxa"/>
              <w:bottom w:w="0" w:type="dxa"/>
              <w:right w:w="100" w:type="dxa"/>
            </w:tcMar>
            <w:vAlign w:val="bottom"/>
          </w:tcPr>
          <w:p w14:paraId="00000079"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b/>
                <w:i/>
                <w:sz w:val="20"/>
                <w:szCs w:val="20"/>
              </w:rPr>
              <w:t>Source of Variation</w:t>
            </w:r>
          </w:p>
        </w:tc>
        <w:tc>
          <w:tcPr>
            <w:tcW w:w="1276" w:type="dxa"/>
            <w:tcBorders>
              <w:top w:val="single" w:sz="8" w:space="0" w:color="000000"/>
              <w:bottom w:val="single" w:sz="8" w:space="0" w:color="000000"/>
            </w:tcBorders>
            <w:tcMar>
              <w:top w:w="0" w:type="dxa"/>
              <w:left w:w="100" w:type="dxa"/>
              <w:bottom w:w="0" w:type="dxa"/>
              <w:right w:w="100" w:type="dxa"/>
            </w:tcMar>
            <w:vAlign w:val="bottom"/>
          </w:tcPr>
          <w:p w14:paraId="0000007A"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b/>
                <w:i/>
                <w:sz w:val="20"/>
                <w:szCs w:val="20"/>
              </w:rPr>
              <w:t>SS</w:t>
            </w:r>
          </w:p>
        </w:tc>
        <w:tc>
          <w:tcPr>
            <w:tcW w:w="567" w:type="dxa"/>
            <w:tcBorders>
              <w:top w:val="single" w:sz="8" w:space="0" w:color="000000"/>
              <w:bottom w:val="single" w:sz="8" w:space="0" w:color="000000"/>
            </w:tcBorders>
            <w:tcMar>
              <w:top w:w="0" w:type="dxa"/>
              <w:left w:w="100" w:type="dxa"/>
              <w:bottom w:w="0" w:type="dxa"/>
              <w:right w:w="100" w:type="dxa"/>
            </w:tcMar>
            <w:vAlign w:val="bottom"/>
          </w:tcPr>
          <w:p w14:paraId="0000007B"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b/>
                <w:i/>
                <w:sz w:val="20"/>
                <w:szCs w:val="20"/>
              </w:rPr>
              <w:t>df</w:t>
            </w:r>
          </w:p>
        </w:tc>
        <w:tc>
          <w:tcPr>
            <w:tcW w:w="1134" w:type="dxa"/>
            <w:tcBorders>
              <w:top w:val="single" w:sz="8" w:space="0" w:color="000000"/>
              <w:bottom w:val="single" w:sz="8" w:space="0" w:color="000000"/>
            </w:tcBorders>
            <w:tcMar>
              <w:top w:w="0" w:type="dxa"/>
              <w:left w:w="100" w:type="dxa"/>
              <w:bottom w:w="0" w:type="dxa"/>
              <w:right w:w="100" w:type="dxa"/>
            </w:tcMar>
            <w:vAlign w:val="bottom"/>
          </w:tcPr>
          <w:p w14:paraId="0000007C"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b/>
                <w:i/>
                <w:sz w:val="20"/>
                <w:szCs w:val="20"/>
              </w:rPr>
              <w:t>MS</w:t>
            </w:r>
          </w:p>
        </w:tc>
        <w:tc>
          <w:tcPr>
            <w:tcW w:w="1134" w:type="dxa"/>
            <w:tcBorders>
              <w:top w:val="single" w:sz="8" w:space="0" w:color="000000"/>
              <w:bottom w:val="single" w:sz="8" w:space="0" w:color="000000"/>
            </w:tcBorders>
            <w:tcMar>
              <w:top w:w="0" w:type="dxa"/>
              <w:left w:w="100" w:type="dxa"/>
              <w:bottom w:w="0" w:type="dxa"/>
              <w:right w:w="100" w:type="dxa"/>
            </w:tcMar>
            <w:vAlign w:val="bottom"/>
          </w:tcPr>
          <w:p w14:paraId="0000007D"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b/>
                <w:i/>
                <w:sz w:val="20"/>
                <w:szCs w:val="20"/>
              </w:rPr>
              <w:t>F</w:t>
            </w:r>
          </w:p>
        </w:tc>
        <w:tc>
          <w:tcPr>
            <w:tcW w:w="1134" w:type="dxa"/>
            <w:tcBorders>
              <w:top w:val="single" w:sz="8" w:space="0" w:color="000000"/>
              <w:bottom w:val="single" w:sz="8" w:space="0" w:color="000000"/>
            </w:tcBorders>
            <w:tcMar>
              <w:top w:w="0" w:type="dxa"/>
              <w:left w:w="100" w:type="dxa"/>
              <w:bottom w:w="0" w:type="dxa"/>
              <w:right w:w="100" w:type="dxa"/>
            </w:tcMar>
            <w:vAlign w:val="bottom"/>
          </w:tcPr>
          <w:p w14:paraId="0000007E"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b/>
                <w:i/>
                <w:sz w:val="20"/>
                <w:szCs w:val="20"/>
              </w:rPr>
              <w:t>p-value</w:t>
            </w:r>
          </w:p>
        </w:tc>
        <w:tc>
          <w:tcPr>
            <w:tcW w:w="1559" w:type="dxa"/>
            <w:tcBorders>
              <w:top w:val="single" w:sz="8" w:space="0" w:color="000000"/>
              <w:bottom w:val="single" w:sz="8" w:space="0" w:color="000000"/>
            </w:tcBorders>
            <w:tcMar>
              <w:top w:w="0" w:type="dxa"/>
              <w:left w:w="100" w:type="dxa"/>
              <w:bottom w:w="0" w:type="dxa"/>
              <w:right w:w="100" w:type="dxa"/>
            </w:tcMar>
            <w:vAlign w:val="bottom"/>
          </w:tcPr>
          <w:p w14:paraId="0000007F"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b/>
                <w:i/>
                <w:sz w:val="20"/>
                <w:szCs w:val="20"/>
              </w:rPr>
              <w:t xml:space="preserve">F </w:t>
            </w:r>
            <w:proofErr w:type="spellStart"/>
            <w:r w:rsidRPr="00912D31">
              <w:rPr>
                <w:rFonts w:ascii="Arial" w:eastAsia="Times New Roman" w:hAnsi="Arial" w:cs="Arial"/>
                <w:b/>
                <w:i/>
                <w:sz w:val="20"/>
                <w:szCs w:val="20"/>
              </w:rPr>
              <w:t>crit</w:t>
            </w:r>
            <w:proofErr w:type="spellEnd"/>
          </w:p>
        </w:tc>
      </w:tr>
      <w:tr w:rsidR="00D51113" w:rsidRPr="00912D31" w14:paraId="42939443" w14:textId="77777777" w:rsidTr="00EF1BD8">
        <w:trPr>
          <w:trHeight w:val="300"/>
        </w:trPr>
        <w:tc>
          <w:tcPr>
            <w:tcW w:w="1134" w:type="dxa"/>
            <w:tcBorders>
              <w:top w:val="single" w:sz="8" w:space="0" w:color="000000"/>
            </w:tcBorders>
            <w:tcMar>
              <w:top w:w="0" w:type="dxa"/>
              <w:left w:w="100" w:type="dxa"/>
              <w:bottom w:w="0" w:type="dxa"/>
              <w:right w:w="100" w:type="dxa"/>
            </w:tcMar>
            <w:vAlign w:val="bottom"/>
          </w:tcPr>
          <w:p w14:paraId="00000080"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Rows</w:t>
            </w:r>
          </w:p>
        </w:tc>
        <w:tc>
          <w:tcPr>
            <w:tcW w:w="1276" w:type="dxa"/>
            <w:tcBorders>
              <w:top w:val="single" w:sz="8" w:space="0" w:color="000000"/>
            </w:tcBorders>
            <w:tcMar>
              <w:top w:w="0" w:type="dxa"/>
              <w:left w:w="100" w:type="dxa"/>
              <w:bottom w:w="0" w:type="dxa"/>
              <w:right w:w="100" w:type="dxa"/>
            </w:tcMar>
            <w:vAlign w:val="bottom"/>
          </w:tcPr>
          <w:p w14:paraId="00000081"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0.063</w:t>
            </w:r>
          </w:p>
        </w:tc>
        <w:tc>
          <w:tcPr>
            <w:tcW w:w="567" w:type="dxa"/>
            <w:tcBorders>
              <w:top w:val="single" w:sz="8" w:space="0" w:color="000000"/>
            </w:tcBorders>
            <w:tcMar>
              <w:top w:w="0" w:type="dxa"/>
              <w:left w:w="100" w:type="dxa"/>
              <w:bottom w:w="0" w:type="dxa"/>
              <w:right w:w="100" w:type="dxa"/>
            </w:tcMar>
            <w:vAlign w:val="bottom"/>
          </w:tcPr>
          <w:p w14:paraId="00000082"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3</w:t>
            </w:r>
          </w:p>
        </w:tc>
        <w:tc>
          <w:tcPr>
            <w:tcW w:w="1134" w:type="dxa"/>
            <w:tcBorders>
              <w:top w:val="single" w:sz="8" w:space="0" w:color="000000"/>
            </w:tcBorders>
            <w:tcMar>
              <w:top w:w="0" w:type="dxa"/>
              <w:left w:w="100" w:type="dxa"/>
              <w:bottom w:w="0" w:type="dxa"/>
              <w:right w:w="100" w:type="dxa"/>
            </w:tcMar>
            <w:vAlign w:val="bottom"/>
          </w:tcPr>
          <w:p w14:paraId="00000083"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0.021</w:t>
            </w:r>
          </w:p>
        </w:tc>
        <w:tc>
          <w:tcPr>
            <w:tcW w:w="1134" w:type="dxa"/>
            <w:tcBorders>
              <w:top w:val="single" w:sz="8" w:space="0" w:color="000000"/>
            </w:tcBorders>
            <w:tcMar>
              <w:top w:w="0" w:type="dxa"/>
              <w:left w:w="100" w:type="dxa"/>
              <w:bottom w:w="0" w:type="dxa"/>
              <w:right w:w="100" w:type="dxa"/>
            </w:tcMar>
            <w:vAlign w:val="bottom"/>
          </w:tcPr>
          <w:p w14:paraId="00000084"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0.466667</w:t>
            </w:r>
          </w:p>
        </w:tc>
        <w:tc>
          <w:tcPr>
            <w:tcW w:w="1134" w:type="dxa"/>
            <w:tcBorders>
              <w:top w:val="single" w:sz="8" w:space="0" w:color="000000"/>
            </w:tcBorders>
            <w:tcMar>
              <w:top w:w="0" w:type="dxa"/>
              <w:left w:w="100" w:type="dxa"/>
              <w:bottom w:w="0" w:type="dxa"/>
              <w:right w:w="100" w:type="dxa"/>
            </w:tcMar>
            <w:vAlign w:val="bottom"/>
          </w:tcPr>
          <w:p w14:paraId="00000085"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0.712702</w:t>
            </w:r>
          </w:p>
        </w:tc>
        <w:tc>
          <w:tcPr>
            <w:tcW w:w="1559" w:type="dxa"/>
            <w:tcBorders>
              <w:top w:val="single" w:sz="8" w:space="0" w:color="000000"/>
            </w:tcBorders>
            <w:tcMar>
              <w:top w:w="0" w:type="dxa"/>
              <w:left w:w="100" w:type="dxa"/>
              <w:bottom w:w="0" w:type="dxa"/>
              <w:right w:w="100" w:type="dxa"/>
            </w:tcMar>
            <w:vAlign w:val="bottom"/>
          </w:tcPr>
          <w:p w14:paraId="00000086"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3.862548</w:t>
            </w:r>
          </w:p>
        </w:tc>
      </w:tr>
      <w:tr w:rsidR="00D51113" w:rsidRPr="00912D31" w14:paraId="32AB9F57" w14:textId="77777777" w:rsidTr="00EF1BD8">
        <w:trPr>
          <w:trHeight w:val="300"/>
        </w:trPr>
        <w:tc>
          <w:tcPr>
            <w:tcW w:w="1134" w:type="dxa"/>
            <w:tcMar>
              <w:top w:w="0" w:type="dxa"/>
              <w:left w:w="100" w:type="dxa"/>
              <w:bottom w:w="0" w:type="dxa"/>
              <w:right w:w="100" w:type="dxa"/>
            </w:tcMar>
            <w:vAlign w:val="bottom"/>
          </w:tcPr>
          <w:p w14:paraId="00000087"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Columns</w:t>
            </w:r>
          </w:p>
        </w:tc>
        <w:tc>
          <w:tcPr>
            <w:tcW w:w="1276" w:type="dxa"/>
            <w:tcMar>
              <w:top w:w="0" w:type="dxa"/>
              <w:left w:w="100" w:type="dxa"/>
              <w:bottom w:w="0" w:type="dxa"/>
              <w:right w:w="100" w:type="dxa"/>
            </w:tcMar>
            <w:vAlign w:val="bottom"/>
          </w:tcPr>
          <w:p w14:paraId="00000088"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401.0148</w:t>
            </w:r>
          </w:p>
        </w:tc>
        <w:tc>
          <w:tcPr>
            <w:tcW w:w="567" w:type="dxa"/>
            <w:tcMar>
              <w:top w:w="0" w:type="dxa"/>
              <w:left w:w="100" w:type="dxa"/>
              <w:bottom w:w="0" w:type="dxa"/>
              <w:right w:w="100" w:type="dxa"/>
            </w:tcMar>
            <w:vAlign w:val="bottom"/>
          </w:tcPr>
          <w:p w14:paraId="00000089"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3</w:t>
            </w:r>
          </w:p>
        </w:tc>
        <w:tc>
          <w:tcPr>
            <w:tcW w:w="1134" w:type="dxa"/>
            <w:tcMar>
              <w:top w:w="0" w:type="dxa"/>
              <w:left w:w="100" w:type="dxa"/>
              <w:bottom w:w="0" w:type="dxa"/>
              <w:right w:w="100" w:type="dxa"/>
            </w:tcMar>
            <w:vAlign w:val="bottom"/>
          </w:tcPr>
          <w:p w14:paraId="0000008A"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133.6716</w:t>
            </w:r>
          </w:p>
        </w:tc>
        <w:tc>
          <w:tcPr>
            <w:tcW w:w="1134" w:type="dxa"/>
            <w:tcMar>
              <w:top w:w="0" w:type="dxa"/>
              <w:left w:w="100" w:type="dxa"/>
              <w:bottom w:w="0" w:type="dxa"/>
              <w:right w:w="100" w:type="dxa"/>
            </w:tcMar>
            <w:vAlign w:val="bottom"/>
          </w:tcPr>
          <w:p w14:paraId="0000008B"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2970.48</w:t>
            </w:r>
          </w:p>
        </w:tc>
        <w:tc>
          <w:tcPr>
            <w:tcW w:w="1134" w:type="dxa"/>
            <w:tcMar>
              <w:top w:w="0" w:type="dxa"/>
              <w:left w:w="100" w:type="dxa"/>
              <w:bottom w:w="0" w:type="dxa"/>
              <w:right w:w="100" w:type="dxa"/>
            </w:tcMar>
            <w:vAlign w:val="bottom"/>
          </w:tcPr>
          <w:p w14:paraId="0000008C"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8.51E-14</w:t>
            </w:r>
          </w:p>
        </w:tc>
        <w:tc>
          <w:tcPr>
            <w:tcW w:w="1559" w:type="dxa"/>
            <w:tcMar>
              <w:top w:w="0" w:type="dxa"/>
              <w:left w:w="100" w:type="dxa"/>
              <w:bottom w:w="0" w:type="dxa"/>
              <w:right w:w="100" w:type="dxa"/>
            </w:tcMar>
            <w:vAlign w:val="bottom"/>
          </w:tcPr>
          <w:p w14:paraId="0000008D"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3.862548</w:t>
            </w:r>
          </w:p>
        </w:tc>
      </w:tr>
      <w:tr w:rsidR="00D51113" w:rsidRPr="00912D31" w14:paraId="7D0C8DA4" w14:textId="77777777" w:rsidTr="00EF1BD8">
        <w:trPr>
          <w:trHeight w:val="300"/>
        </w:trPr>
        <w:tc>
          <w:tcPr>
            <w:tcW w:w="1134" w:type="dxa"/>
            <w:tcMar>
              <w:top w:w="0" w:type="dxa"/>
              <w:left w:w="100" w:type="dxa"/>
              <w:bottom w:w="0" w:type="dxa"/>
              <w:right w:w="100" w:type="dxa"/>
            </w:tcMar>
            <w:vAlign w:val="bottom"/>
          </w:tcPr>
          <w:p w14:paraId="0000008E"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Error</w:t>
            </w:r>
          </w:p>
        </w:tc>
        <w:tc>
          <w:tcPr>
            <w:tcW w:w="1276" w:type="dxa"/>
            <w:tcMar>
              <w:top w:w="0" w:type="dxa"/>
              <w:left w:w="100" w:type="dxa"/>
              <w:bottom w:w="0" w:type="dxa"/>
              <w:right w:w="100" w:type="dxa"/>
            </w:tcMar>
            <w:vAlign w:val="bottom"/>
          </w:tcPr>
          <w:p w14:paraId="0000008F"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0.405</w:t>
            </w:r>
          </w:p>
        </w:tc>
        <w:tc>
          <w:tcPr>
            <w:tcW w:w="567" w:type="dxa"/>
            <w:tcMar>
              <w:top w:w="0" w:type="dxa"/>
              <w:left w:w="100" w:type="dxa"/>
              <w:bottom w:w="0" w:type="dxa"/>
              <w:right w:w="100" w:type="dxa"/>
            </w:tcMar>
            <w:vAlign w:val="bottom"/>
          </w:tcPr>
          <w:p w14:paraId="00000090"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9</w:t>
            </w:r>
          </w:p>
        </w:tc>
        <w:tc>
          <w:tcPr>
            <w:tcW w:w="1134" w:type="dxa"/>
            <w:tcMar>
              <w:top w:w="0" w:type="dxa"/>
              <w:left w:w="100" w:type="dxa"/>
              <w:bottom w:w="0" w:type="dxa"/>
              <w:right w:w="100" w:type="dxa"/>
            </w:tcMar>
            <w:vAlign w:val="bottom"/>
          </w:tcPr>
          <w:p w14:paraId="00000091"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0.045</w:t>
            </w:r>
          </w:p>
        </w:tc>
        <w:tc>
          <w:tcPr>
            <w:tcW w:w="1134" w:type="dxa"/>
            <w:tcMar>
              <w:top w:w="0" w:type="dxa"/>
              <w:left w:w="100" w:type="dxa"/>
              <w:bottom w:w="0" w:type="dxa"/>
              <w:right w:w="100" w:type="dxa"/>
            </w:tcMar>
            <w:vAlign w:val="bottom"/>
          </w:tcPr>
          <w:p w14:paraId="00000092"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 </w:t>
            </w:r>
          </w:p>
        </w:tc>
        <w:tc>
          <w:tcPr>
            <w:tcW w:w="1134" w:type="dxa"/>
            <w:tcMar>
              <w:top w:w="0" w:type="dxa"/>
              <w:left w:w="100" w:type="dxa"/>
              <w:bottom w:w="0" w:type="dxa"/>
              <w:right w:w="100" w:type="dxa"/>
            </w:tcMar>
            <w:vAlign w:val="bottom"/>
          </w:tcPr>
          <w:p w14:paraId="00000093" w14:textId="77777777" w:rsidR="00D51113" w:rsidRPr="00912D31" w:rsidRDefault="00D51113" w:rsidP="00912D31">
            <w:pPr>
              <w:spacing w:after="0" w:line="240" w:lineRule="auto"/>
              <w:rPr>
                <w:rFonts w:ascii="Arial" w:eastAsia="Times New Roman" w:hAnsi="Arial" w:cs="Arial"/>
                <w:sz w:val="20"/>
                <w:szCs w:val="20"/>
              </w:rPr>
            </w:pPr>
          </w:p>
        </w:tc>
        <w:tc>
          <w:tcPr>
            <w:tcW w:w="1559" w:type="dxa"/>
            <w:tcMar>
              <w:top w:w="0" w:type="dxa"/>
              <w:left w:w="100" w:type="dxa"/>
              <w:bottom w:w="0" w:type="dxa"/>
              <w:right w:w="100" w:type="dxa"/>
            </w:tcMar>
            <w:vAlign w:val="bottom"/>
          </w:tcPr>
          <w:p w14:paraId="00000094" w14:textId="77777777" w:rsidR="00D51113" w:rsidRPr="00912D31" w:rsidRDefault="00D51113" w:rsidP="00912D31">
            <w:pPr>
              <w:spacing w:after="0" w:line="240" w:lineRule="auto"/>
              <w:rPr>
                <w:rFonts w:ascii="Arial" w:eastAsia="Times New Roman" w:hAnsi="Arial" w:cs="Arial"/>
                <w:sz w:val="20"/>
                <w:szCs w:val="20"/>
              </w:rPr>
            </w:pPr>
          </w:p>
        </w:tc>
      </w:tr>
      <w:tr w:rsidR="00D51113" w:rsidRPr="00912D31" w14:paraId="65A2BFE4" w14:textId="77777777" w:rsidTr="00EF1BD8">
        <w:trPr>
          <w:trHeight w:val="315"/>
        </w:trPr>
        <w:tc>
          <w:tcPr>
            <w:tcW w:w="1134" w:type="dxa"/>
            <w:tcBorders>
              <w:bottom w:val="single" w:sz="8" w:space="0" w:color="000000"/>
            </w:tcBorders>
            <w:tcMar>
              <w:top w:w="0" w:type="dxa"/>
              <w:left w:w="100" w:type="dxa"/>
              <w:bottom w:w="0" w:type="dxa"/>
              <w:right w:w="100" w:type="dxa"/>
            </w:tcMar>
            <w:vAlign w:val="bottom"/>
          </w:tcPr>
          <w:p w14:paraId="00000095"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Total</w:t>
            </w:r>
          </w:p>
        </w:tc>
        <w:tc>
          <w:tcPr>
            <w:tcW w:w="1276" w:type="dxa"/>
            <w:tcBorders>
              <w:bottom w:val="single" w:sz="8" w:space="0" w:color="000000"/>
            </w:tcBorders>
            <w:tcMar>
              <w:top w:w="0" w:type="dxa"/>
              <w:left w:w="100" w:type="dxa"/>
              <w:bottom w:w="0" w:type="dxa"/>
              <w:right w:w="100" w:type="dxa"/>
            </w:tcMar>
            <w:vAlign w:val="bottom"/>
          </w:tcPr>
          <w:p w14:paraId="00000096"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401.4828</w:t>
            </w:r>
          </w:p>
        </w:tc>
        <w:tc>
          <w:tcPr>
            <w:tcW w:w="567" w:type="dxa"/>
            <w:tcBorders>
              <w:bottom w:val="single" w:sz="8" w:space="0" w:color="000000"/>
            </w:tcBorders>
            <w:tcMar>
              <w:top w:w="0" w:type="dxa"/>
              <w:left w:w="100" w:type="dxa"/>
              <w:bottom w:w="0" w:type="dxa"/>
              <w:right w:w="100" w:type="dxa"/>
            </w:tcMar>
            <w:vAlign w:val="bottom"/>
          </w:tcPr>
          <w:p w14:paraId="00000097"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15</w:t>
            </w:r>
          </w:p>
        </w:tc>
        <w:tc>
          <w:tcPr>
            <w:tcW w:w="1134" w:type="dxa"/>
            <w:tcBorders>
              <w:bottom w:val="single" w:sz="8" w:space="0" w:color="000000"/>
            </w:tcBorders>
            <w:tcMar>
              <w:top w:w="0" w:type="dxa"/>
              <w:left w:w="100" w:type="dxa"/>
              <w:bottom w:w="0" w:type="dxa"/>
              <w:right w:w="100" w:type="dxa"/>
            </w:tcMar>
            <w:vAlign w:val="bottom"/>
          </w:tcPr>
          <w:p w14:paraId="00000098" w14:textId="77777777" w:rsidR="00D51113" w:rsidRPr="00912D31" w:rsidRDefault="00D51113" w:rsidP="00912D31">
            <w:pPr>
              <w:spacing w:after="0" w:line="240" w:lineRule="auto"/>
              <w:rPr>
                <w:rFonts w:ascii="Arial" w:eastAsia="Times New Roman" w:hAnsi="Arial" w:cs="Arial"/>
                <w:sz w:val="20"/>
                <w:szCs w:val="20"/>
              </w:rPr>
            </w:pPr>
          </w:p>
        </w:tc>
        <w:tc>
          <w:tcPr>
            <w:tcW w:w="1134" w:type="dxa"/>
            <w:tcBorders>
              <w:bottom w:val="single" w:sz="8" w:space="0" w:color="000000"/>
            </w:tcBorders>
            <w:tcMar>
              <w:top w:w="0" w:type="dxa"/>
              <w:left w:w="100" w:type="dxa"/>
              <w:bottom w:w="0" w:type="dxa"/>
              <w:right w:w="100" w:type="dxa"/>
            </w:tcMar>
            <w:vAlign w:val="bottom"/>
          </w:tcPr>
          <w:p w14:paraId="00000099" w14:textId="77777777" w:rsidR="00D51113" w:rsidRPr="00912D31" w:rsidRDefault="00D51113" w:rsidP="00912D31">
            <w:pPr>
              <w:spacing w:after="0" w:line="240" w:lineRule="auto"/>
              <w:rPr>
                <w:rFonts w:ascii="Arial" w:eastAsia="Times New Roman" w:hAnsi="Arial" w:cs="Arial"/>
                <w:sz w:val="20"/>
                <w:szCs w:val="20"/>
              </w:rPr>
            </w:pPr>
          </w:p>
        </w:tc>
        <w:tc>
          <w:tcPr>
            <w:tcW w:w="1134" w:type="dxa"/>
            <w:tcBorders>
              <w:bottom w:val="single" w:sz="8" w:space="0" w:color="000000"/>
            </w:tcBorders>
            <w:tcMar>
              <w:top w:w="0" w:type="dxa"/>
              <w:left w:w="100" w:type="dxa"/>
              <w:bottom w:w="0" w:type="dxa"/>
              <w:right w:w="100" w:type="dxa"/>
            </w:tcMar>
            <w:vAlign w:val="bottom"/>
          </w:tcPr>
          <w:p w14:paraId="0000009A" w14:textId="77777777" w:rsidR="00D51113" w:rsidRPr="00912D31" w:rsidRDefault="00D51113" w:rsidP="00912D31">
            <w:pPr>
              <w:spacing w:after="0" w:line="240" w:lineRule="auto"/>
              <w:rPr>
                <w:rFonts w:ascii="Arial" w:eastAsia="Times New Roman" w:hAnsi="Arial" w:cs="Arial"/>
                <w:sz w:val="20"/>
                <w:szCs w:val="20"/>
              </w:rPr>
            </w:pPr>
          </w:p>
        </w:tc>
        <w:tc>
          <w:tcPr>
            <w:tcW w:w="1559" w:type="dxa"/>
            <w:tcBorders>
              <w:bottom w:val="single" w:sz="8" w:space="0" w:color="000000"/>
            </w:tcBorders>
            <w:tcMar>
              <w:top w:w="0" w:type="dxa"/>
              <w:left w:w="100" w:type="dxa"/>
              <w:bottom w:w="0" w:type="dxa"/>
              <w:right w:w="100" w:type="dxa"/>
            </w:tcMar>
            <w:vAlign w:val="bottom"/>
          </w:tcPr>
          <w:p w14:paraId="0000009B" w14:textId="77777777" w:rsidR="00D51113" w:rsidRPr="00912D31" w:rsidRDefault="00D51113" w:rsidP="00912D31">
            <w:pPr>
              <w:spacing w:after="0" w:line="240" w:lineRule="auto"/>
              <w:rPr>
                <w:rFonts w:ascii="Arial" w:eastAsia="Times New Roman" w:hAnsi="Arial" w:cs="Arial"/>
                <w:sz w:val="20"/>
                <w:szCs w:val="20"/>
              </w:rPr>
            </w:pPr>
          </w:p>
        </w:tc>
      </w:tr>
    </w:tbl>
    <w:p w14:paraId="0000009C" w14:textId="77777777" w:rsidR="00D51113" w:rsidRPr="00912D31" w:rsidRDefault="000D71C5" w:rsidP="00912D31">
      <w:pPr>
        <w:spacing w:line="240" w:lineRule="auto"/>
        <w:rPr>
          <w:rFonts w:ascii="Arial" w:eastAsia="Times New Roman" w:hAnsi="Arial" w:cs="Arial"/>
          <w:sz w:val="20"/>
          <w:szCs w:val="20"/>
        </w:rPr>
      </w:pPr>
      <w:r w:rsidRPr="00912D31">
        <w:rPr>
          <w:rFonts w:ascii="Arial" w:eastAsia="Times New Roman" w:hAnsi="Arial" w:cs="Arial"/>
          <w:sz w:val="20"/>
          <w:szCs w:val="20"/>
        </w:rPr>
        <w:tab/>
      </w:r>
      <w:r w:rsidRPr="00912D31">
        <w:rPr>
          <w:rFonts w:ascii="Arial" w:eastAsia="Times New Roman" w:hAnsi="Arial" w:cs="Arial"/>
          <w:sz w:val="20"/>
          <w:szCs w:val="20"/>
        </w:rPr>
        <w:tab/>
      </w:r>
      <w:r w:rsidRPr="00912D31">
        <w:rPr>
          <w:rFonts w:ascii="Arial" w:eastAsia="Times New Roman" w:hAnsi="Arial" w:cs="Arial"/>
          <w:sz w:val="20"/>
          <w:szCs w:val="20"/>
        </w:rPr>
        <w:tab/>
      </w:r>
    </w:p>
    <w:p w14:paraId="0000009D" w14:textId="0D0AD70C" w:rsidR="00D51113" w:rsidRPr="00912D31" w:rsidRDefault="000D71C5" w:rsidP="00912D31">
      <w:pPr>
        <w:spacing w:before="240" w:after="240" w:line="240" w:lineRule="auto"/>
        <w:ind w:right="-80" w:firstLine="720"/>
        <w:jc w:val="both"/>
        <w:rPr>
          <w:rFonts w:ascii="Arial" w:eastAsia="Times New Roman" w:hAnsi="Arial" w:cs="Arial"/>
          <w:sz w:val="20"/>
          <w:szCs w:val="20"/>
        </w:rPr>
      </w:pPr>
      <w:r w:rsidRPr="00912D31">
        <w:rPr>
          <w:rFonts w:ascii="Arial" w:eastAsia="Times New Roman" w:hAnsi="Arial" w:cs="Arial"/>
          <w:sz w:val="20"/>
          <w:szCs w:val="20"/>
        </w:rPr>
        <w:lastRenderedPageBreak/>
        <w:t xml:space="preserve">Table 3 presents ANOVA analysis's findings assessing the eggplant </w:t>
      </w:r>
      <w:proofErr w:type="spellStart"/>
      <w:r w:rsidRPr="00912D31">
        <w:rPr>
          <w:rFonts w:ascii="Arial" w:eastAsia="Times New Roman" w:hAnsi="Arial" w:cs="Arial"/>
          <w:sz w:val="20"/>
          <w:szCs w:val="20"/>
        </w:rPr>
        <w:t>biosorbent's</w:t>
      </w:r>
      <w:proofErr w:type="spellEnd"/>
      <w:r w:rsidRPr="00912D31">
        <w:rPr>
          <w:rFonts w:ascii="Arial" w:eastAsia="Times New Roman" w:hAnsi="Arial" w:cs="Arial"/>
          <w:sz w:val="20"/>
          <w:szCs w:val="20"/>
        </w:rPr>
        <w:t xml:space="preserve"> adsorption ability in relation to activated carbon under various experimental conditions. The row factor, which represents different adsorbent samples, has a calculated F-value of 0.4667, which is much smaller compared to the critical F-value of 3.8625. This suggests that the differences between the rows are not statistically significant and that variations in this factor have no impact on the adsorption capacity. The computed F-value of 2970 for the column factor, on the other hand, is far greater than the critical F-value and most likely relates to experimental circumstances like adsorbent dosage, contact duration, or other treatment factors. The extremely small p-</w:t>
      </w:r>
      <w:r w:rsidR="00980B35" w:rsidRPr="00912D31">
        <w:rPr>
          <w:rFonts w:ascii="Arial" w:eastAsia="Times New Roman" w:hAnsi="Arial" w:cs="Arial"/>
          <w:sz w:val="20"/>
          <w:szCs w:val="20"/>
        </w:rPr>
        <w:t>value (</w:t>
      </w:r>
      <w:r w:rsidRPr="00912D31">
        <w:rPr>
          <w:rFonts w:ascii="Arial" w:eastAsia="Times New Roman" w:hAnsi="Arial" w:cs="Arial"/>
          <w:sz w:val="20"/>
          <w:szCs w:val="20"/>
        </w:rPr>
        <w:t>8.51×E-14) further confirms that the column factor has a highly significant effect on adsorption capacity.</w:t>
      </w:r>
    </w:p>
    <w:p w14:paraId="0000009E" w14:textId="77777777" w:rsidR="00D51113" w:rsidRPr="00912D31" w:rsidRDefault="000D71C5" w:rsidP="00912D31">
      <w:pPr>
        <w:spacing w:before="240" w:after="240" w:line="240" w:lineRule="auto"/>
        <w:ind w:firstLine="720"/>
        <w:jc w:val="both"/>
        <w:rPr>
          <w:rFonts w:ascii="Arial" w:eastAsia="Times New Roman" w:hAnsi="Arial" w:cs="Arial"/>
          <w:sz w:val="20"/>
          <w:szCs w:val="20"/>
        </w:rPr>
      </w:pPr>
      <w:r w:rsidRPr="00912D31">
        <w:rPr>
          <w:rFonts w:ascii="Arial" w:eastAsia="Times New Roman" w:hAnsi="Arial" w:cs="Arial"/>
          <w:sz w:val="20"/>
          <w:szCs w:val="20"/>
        </w:rPr>
        <w:t xml:space="preserve">With a mean square error of 0.045, the error variance is exceptionally low, indicating that the experimental data are reliable and consistent. This finding aligns with studies by </w:t>
      </w:r>
      <w:proofErr w:type="spellStart"/>
      <w:r w:rsidRPr="00912D31">
        <w:rPr>
          <w:rFonts w:ascii="Arial" w:eastAsia="Times New Roman" w:hAnsi="Arial" w:cs="Arial"/>
          <w:sz w:val="20"/>
          <w:szCs w:val="20"/>
        </w:rPr>
        <w:t>Madhogaria</w:t>
      </w:r>
      <w:proofErr w:type="spellEnd"/>
      <w:r w:rsidRPr="00912D31">
        <w:rPr>
          <w:rFonts w:ascii="Arial" w:eastAsia="Times New Roman" w:hAnsi="Arial" w:cs="Arial"/>
          <w:sz w:val="20"/>
          <w:szCs w:val="20"/>
        </w:rPr>
        <w:t xml:space="preserve"> et al. (2024), which emphasize the importance of experimental precision in biosorption research​. The results suggest that variations in adsorption capacity are predominantly driven by changes in experimental settings rather than differences between adsorbents or random error. Similarly, other parallel findings have been observed by </w:t>
      </w:r>
      <w:proofErr w:type="spellStart"/>
      <w:r w:rsidRPr="00912D31">
        <w:rPr>
          <w:rFonts w:ascii="Arial" w:eastAsia="Times New Roman" w:hAnsi="Arial" w:cs="Arial"/>
          <w:sz w:val="20"/>
          <w:szCs w:val="20"/>
        </w:rPr>
        <w:t>Hidyat</w:t>
      </w:r>
      <w:proofErr w:type="spellEnd"/>
      <w:r w:rsidRPr="00912D31">
        <w:rPr>
          <w:rFonts w:ascii="Arial" w:eastAsia="Times New Roman" w:hAnsi="Arial" w:cs="Arial"/>
          <w:sz w:val="20"/>
          <w:szCs w:val="20"/>
        </w:rPr>
        <w:t xml:space="preserve"> et al. (2022), who demonstrated that optimizing variables such as dosage and contact time significantly enhances </w:t>
      </w:r>
      <w:proofErr w:type="spellStart"/>
      <w:r w:rsidRPr="00912D31">
        <w:rPr>
          <w:rFonts w:ascii="Arial" w:eastAsia="Times New Roman" w:hAnsi="Arial" w:cs="Arial"/>
          <w:sz w:val="20"/>
          <w:szCs w:val="20"/>
        </w:rPr>
        <w:t>biosorbent</w:t>
      </w:r>
      <w:proofErr w:type="spellEnd"/>
      <w:r w:rsidRPr="00912D31">
        <w:rPr>
          <w:rFonts w:ascii="Arial" w:eastAsia="Times New Roman" w:hAnsi="Arial" w:cs="Arial"/>
          <w:sz w:val="20"/>
          <w:szCs w:val="20"/>
        </w:rPr>
        <w:t xml:space="preserve"> performance​.</w:t>
      </w:r>
    </w:p>
    <w:p w14:paraId="0000009F" w14:textId="77777777" w:rsidR="00D51113" w:rsidRPr="00912D31" w:rsidRDefault="000D71C5" w:rsidP="00912D31">
      <w:pPr>
        <w:spacing w:before="240" w:after="240" w:line="240" w:lineRule="auto"/>
        <w:ind w:firstLine="720"/>
        <w:jc w:val="both"/>
        <w:rPr>
          <w:rFonts w:ascii="Arial" w:eastAsia="Times New Roman" w:hAnsi="Arial" w:cs="Arial"/>
          <w:sz w:val="20"/>
          <w:szCs w:val="20"/>
        </w:rPr>
      </w:pPr>
      <w:r w:rsidRPr="00912D31">
        <w:rPr>
          <w:rFonts w:ascii="Arial" w:eastAsia="Times New Roman" w:hAnsi="Arial" w:cs="Arial"/>
          <w:sz w:val="20"/>
          <w:szCs w:val="20"/>
        </w:rPr>
        <w:t xml:space="preserve">The critical role of experimental conditions in influencing adsorption aligns with earlier research indicating that factors such as adsorbent dosage and contact time are key to optimizing the biosorption process </w:t>
      </w:r>
      <w:proofErr w:type="spellStart"/>
      <w:r w:rsidRPr="00912D31">
        <w:rPr>
          <w:rFonts w:ascii="Arial" w:eastAsia="Times New Roman" w:hAnsi="Arial" w:cs="Arial"/>
          <w:sz w:val="20"/>
          <w:szCs w:val="20"/>
        </w:rPr>
        <w:t>Kanamarlapudi</w:t>
      </w:r>
      <w:proofErr w:type="spellEnd"/>
      <w:r w:rsidRPr="00912D31">
        <w:rPr>
          <w:rFonts w:ascii="Arial" w:eastAsia="Times New Roman" w:hAnsi="Arial" w:cs="Arial"/>
          <w:sz w:val="20"/>
          <w:szCs w:val="20"/>
        </w:rPr>
        <w:t xml:space="preserve"> et al. (2018). The impact of adsorbent dosage on adsorption is further supported by </w:t>
      </w:r>
      <w:proofErr w:type="spellStart"/>
      <w:r w:rsidRPr="00912D31">
        <w:rPr>
          <w:rFonts w:ascii="Arial" w:eastAsia="Times New Roman" w:hAnsi="Arial" w:cs="Arial"/>
          <w:sz w:val="20"/>
          <w:szCs w:val="20"/>
        </w:rPr>
        <w:t>Battas</w:t>
      </w:r>
      <w:proofErr w:type="spellEnd"/>
      <w:r w:rsidRPr="00912D31">
        <w:rPr>
          <w:rFonts w:ascii="Arial" w:eastAsia="Times New Roman" w:hAnsi="Arial" w:cs="Arial"/>
          <w:sz w:val="20"/>
          <w:szCs w:val="20"/>
        </w:rPr>
        <w:t xml:space="preserve"> et al. (2019), which demonstrated that increasing the adsorbent dose typically enhances pollutant removal. However, excessive dosing may lead to site saturation​. These findings underscore the potential for improving eggplant </w:t>
      </w:r>
      <w:proofErr w:type="spellStart"/>
      <w:r w:rsidRPr="00912D31">
        <w:rPr>
          <w:rFonts w:ascii="Arial" w:eastAsia="Times New Roman" w:hAnsi="Arial" w:cs="Arial"/>
          <w:sz w:val="20"/>
          <w:szCs w:val="20"/>
        </w:rPr>
        <w:t>biosorbent</w:t>
      </w:r>
      <w:proofErr w:type="spellEnd"/>
      <w:r w:rsidRPr="00912D31">
        <w:rPr>
          <w:rFonts w:ascii="Arial" w:eastAsia="Times New Roman" w:hAnsi="Arial" w:cs="Arial"/>
          <w:sz w:val="20"/>
          <w:szCs w:val="20"/>
        </w:rPr>
        <w:t xml:space="preserve"> efficiency through controlled experimentation and parameter optimization.</w:t>
      </w:r>
    </w:p>
    <w:p w14:paraId="000000A0" w14:textId="40EA028A" w:rsidR="00D51113" w:rsidRPr="00912D31" w:rsidRDefault="00912D31" w:rsidP="00912D31">
      <w:pPr>
        <w:spacing w:line="240" w:lineRule="auto"/>
        <w:rPr>
          <w:rFonts w:ascii="Arial" w:eastAsia="Times New Roman" w:hAnsi="Arial" w:cs="Arial"/>
          <w:b/>
          <w:iCs/>
          <w:sz w:val="22"/>
          <w:szCs w:val="22"/>
        </w:rPr>
      </w:pPr>
      <w:r w:rsidRPr="00912D31">
        <w:rPr>
          <w:rFonts w:ascii="Arial" w:eastAsia="Times New Roman" w:hAnsi="Arial" w:cs="Arial"/>
          <w:b/>
          <w:iCs/>
          <w:sz w:val="22"/>
          <w:szCs w:val="22"/>
        </w:rPr>
        <w:t xml:space="preserve">3.4 Influence of Adsorbent Dose of Eggplant </w:t>
      </w:r>
      <w:proofErr w:type="spellStart"/>
      <w:r w:rsidRPr="00912D31">
        <w:rPr>
          <w:rFonts w:ascii="Arial" w:eastAsia="Times New Roman" w:hAnsi="Arial" w:cs="Arial"/>
          <w:b/>
          <w:iCs/>
          <w:sz w:val="22"/>
          <w:szCs w:val="22"/>
        </w:rPr>
        <w:t>Biosorbent</w:t>
      </w:r>
      <w:proofErr w:type="spellEnd"/>
      <w:r w:rsidRPr="00912D31">
        <w:rPr>
          <w:rFonts w:ascii="Arial" w:eastAsia="Times New Roman" w:hAnsi="Arial" w:cs="Arial"/>
          <w:b/>
          <w:iCs/>
          <w:sz w:val="22"/>
          <w:szCs w:val="22"/>
        </w:rPr>
        <w:t xml:space="preserve"> on Nitrate Removal Efficiency Differs from Activated Carbon</w:t>
      </w:r>
    </w:p>
    <w:p w14:paraId="000000A1" w14:textId="0C92A978" w:rsidR="00D51113" w:rsidRPr="00912D31" w:rsidRDefault="000D71C5" w:rsidP="00912D31">
      <w:pPr>
        <w:spacing w:line="240" w:lineRule="auto"/>
        <w:rPr>
          <w:rFonts w:ascii="Arial" w:eastAsia="Times New Roman" w:hAnsi="Arial" w:cs="Arial"/>
          <w:b/>
          <w:iCs/>
          <w:sz w:val="20"/>
          <w:szCs w:val="20"/>
        </w:rPr>
      </w:pPr>
      <w:r w:rsidRPr="00912D31">
        <w:rPr>
          <w:rFonts w:ascii="Arial" w:eastAsia="Times New Roman" w:hAnsi="Arial" w:cs="Arial"/>
          <w:b/>
          <w:iCs/>
          <w:sz w:val="20"/>
          <w:szCs w:val="20"/>
        </w:rPr>
        <w:t>Table 4.</w:t>
      </w:r>
      <w:r w:rsidR="00980B35">
        <w:rPr>
          <w:rFonts w:ascii="Arial" w:eastAsia="Times New Roman" w:hAnsi="Arial" w:cs="Arial"/>
          <w:b/>
          <w:iCs/>
          <w:sz w:val="20"/>
          <w:szCs w:val="20"/>
        </w:rPr>
        <w:t xml:space="preserve"> </w:t>
      </w:r>
      <w:r w:rsidR="00980B35" w:rsidRPr="00980B35">
        <w:rPr>
          <w:rFonts w:ascii="Arial" w:eastAsia="Times New Roman" w:hAnsi="Arial" w:cs="Arial"/>
          <w:b/>
          <w:iCs/>
          <w:sz w:val="20"/>
          <w:szCs w:val="20"/>
        </w:rPr>
        <w:t>ANOVA Analysis of the Influence of Adsorbent Dose on Nitrate Removal Efficiency</w:t>
      </w:r>
    </w:p>
    <w:tbl>
      <w:tblPr>
        <w:tblStyle w:val="a6"/>
        <w:tblpPr w:leftFromText="180" w:rightFromText="180" w:vertAnchor="text" w:horzAnchor="margin" w:tblpXSpec="right" w:tblpY="164"/>
        <w:tblW w:w="7655" w:type="dxa"/>
        <w:tblLayout w:type="fixed"/>
        <w:tblLook w:val="0400" w:firstRow="0" w:lastRow="0" w:firstColumn="0" w:lastColumn="0" w:noHBand="0" w:noVBand="1"/>
      </w:tblPr>
      <w:tblGrid>
        <w:gridCol w:w="1276"/>
        <w:gridCol w:w="1276"/>
        <w:gridCol w:w="567"/>
        <w:gridCol w:w="1134"/>
        <w:gridCol w:w="1134"/>
        <w:gridCol w:w="1134"/>
        <w:gridCol w:w="1134"/>
      </w:tblGrid>
      <w:tr w:rsidR="00D51113" w:rsidRPr="00912D31" w14:paraId="2FA87CA6" w14:textId="77777777" w:rsidTr="00EF1BD8">
        <w:trPr>
          <w:trHeight w:val="300"/>
        </w:trPr>
        <w:tc>
          <w:tcPr>
            <w:tcW w:w="1276" w:type="dxa"/>
            <w:tcBorders>
              <w:top w:val="single" w:sz="8" w:space="0" w:color="000000"/>
              <w:bottom w:val="single" w:sz="8" w:space="0" w:color="000000"/>
            </w:tcBorders>
            <w:tcMar>
              <w:top w:w="0" w:type="dxa"/>
              <w:left w:w="100" w:type="dxa"/>
              <w:bottom w:w="0" w:type="dxa"/>
              <w:right w:w="100" w:type="dxa"/>
            </w:tcMar>
            <w:vAlign w:val="bottom"/>
          </w:tcPr>
          <w:p w14:paraId="000000A2"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b/>
                <w:i/>
                <w:sz w:val="20"/>
                <w:szCs w:val="20"/>
              </w:rPr>
              <w:t>Source of Variation</w:t>
            </w:r>
          </w:p>
        </w:tc>
        <w:tc>
          <w:tcPr>
            <w:tcW w:w="1276" w:type="dxa"/>
            <w:tcBorders>
              <w:top w:val="single" w:sz="8" w:space="0" w:color="000000"/>
              <w:bottom w:val="single" w:sz="8" w:space="0" w:color="000000"/>
            </w:tcBorders>
            <w:tcMar>
              <w:top w:w="0" w:type="dxa"/>
              <w:left w:w="100" w:type="dxa"/>
              <w:bottom w:w="0" w:type="dxa"/>
              <w:right w:w="100" w:type="dxa"/>
            </w:tcMar>
            <w:vAlign w:val="bottom"/>
          </w:tcPr>
          <w:p w14:paraId="000000A3"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b/>
                <w:i/>
                <w:sz w:val="20"/>
                <w:szCs w:val="20"/>
              </w:rPr>
              <w:t>SS</w:t>
            </w:r>
          </w:p>
        </w:tc>
        <w:tc>
          <w:tcPr>
            <w:tcW w:w="567" w:type="dxa"/>
            <w:tcBorders>
              <w:top w:val="single" w:sz="8" w:space="0" w:color="000000"/>
              <w:bottom w:val="single" w:sz="8" w:space="0" w:color="000000"/>
            </w:tcBorders>
            <w:tcMar>
              <w:top w:w="0" w:type="dxa"/>
              <w:left w:w="100" w:type="dxa"/>
              <w:bottom w:w="0" w:type="dxa"/>
              <w:right w:w="100" w:type="dxa"/>
            </w:tcMar>
            <w:vAlign w:val="bottom"/>
          </w:tcPr>
          <w:p w14:paraId="000000A4"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b/>
                <w:i/>
                <w:sz w:val="20"/>
                <w:szCs w:val="20"/>
              </w:rPr>
              <w:t>df</w:t>
            </w:r>
          </w:p>
        </w:tc>
        <w:tc>
          <w:tcPr>
            <w:tcW w:w="1134" w:type="dxa"/>
            <w:tcBorders>
              <w:top w:val="single" w:sz="8" w:space="0" w:color="000000"/>
              <w:bottom w:val="single" w:sz="8" w:space="0" w:color="000000"/>
            </w:tcBorders>
            <w:tcMar>
              <w:top w:w="0" w:type="dxa"/>
              <w:left w:w="100" w:type="dxa"/>
              <w:bottom w:w="0" w:type="dxa"/>
              <w:right w:w="100" w:type="dxa"/>
            </w:tcMar>
            <w:vAlign w:val="bottom"/>
          </w:tcPr>
          <w:p w14:paraId="000000A5"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b/>
                <w:i/>
                <w:sz w:val="20"/>
                <w:szCs w:val="20"/>
              </w:rPr>
              <w:t>MS</w:t>
            </w:r>
          </w:p>
        </w:tc>
        <w:tc>
          <w:tcPr>
            <w:tcW w:w="1134" w:type="dxa"/>
            <w:tcBorders>
              <w:top w:val="single" w:sz="8" w:space="0" w:color="000000"/>
              <w:bottom w:val="single" w:sz="8" w:space="0" w:color="000000"/>
            </w:tcBorders>
            <w:tcMar>
              <w:top w:w="0" w:type="dxa"/>
              <w:left w:w="100" w:type="dxa"/>
              <w:bottom w:w="0" w:type="dxa"/>
              <w:right w:w="100" w:type="dxa"/>
            </w:tcMar>
            <w:vAlign w:val="bottom"/>
          </w:tcPr>
          <w:p w14:paraId="000000A6"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b/>
                <w:i/>
                <w:sz w:val="20"/>
                <w:szCs w:val="20"/>
              </w:rPr>
              <w:t>F</w:t>
            </w:r>
          </w:p>
        </w:tc>
        <w:tc>
          <w:tcPr>
            <w:tcW w:w="1134" w:type="dxa"/>
            <w:tcBorders>
              <w:top w:val="single" w:sz="8" w:space="0" w:color="000000"/>
              <w:bottom w:val="single" w:sz="8" w:space="0" w:color="000000"/>
            </w:tcBorders>
            <w:tcMar>
              <w:top w:w="0" w:type="dxa"/>
              <w:left w:w="100" w:type="dxa"/>
              <w:bottom w:w="0" w:type="dxa"/>
              <w:right w:w="100" w:type="dxa"/>
            </w:tcMar>
            <w:vAlign w:val="bottom"/>
          </w:tcPr>
          <w:p w14:paraId="000000A7"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b/>
                <w:i/>
                <w:sz w:val="20"/>
                <w:szCs w:val="20"/>
              </w:rPr>
              <w:t>p-value</w:t>
            </w:r>
          </w:p>
        </w:tc>
        <w:tc>
          <w:tcPr>
            <w:tcW w:w="1134" w:type="dxa"/>
            <w:tcBorders>
              <w:top w:val="single" w:sz="8" w:space="0" w:color="000000"/>
              <w:bottom w:val="single" w:sz="8" w:space="0" w:color="000000"/>
            </w:tcBorders>
            <w:tcMar>
              <w:top w:w="0" w:type="dxa"/>
              <w:left w:w="100" w:type="dxa"/>
              <w:bottom w:w="0" w:type="dxa"/>
              <w:right w:w="100" w:type="dxa"/>
            </w:tcMar>
            <w:vAlign w:val="bottom"/>
          </w:tcPr>
          <w:p w14:paraId="000000A8"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b/>
                <w:i/>
                <w:sz w:val="20"/>
                <w:szCs w:val="20"/>
              </w:rPr>
              <w:t xml:space="preserve">F </w:t>
            </w:r>
            <w:proofErr w:type="spellStart"/>
            <w:r w:rsidRPr="00912D31">
              <w:rPr>
                <w:rFonts w:ascii="Arial" w:eastAsia="Times New Roman" w:hAnsi="Arial" w:cs="Arial"/>
                <w:b/>
                <w:i/>
                <w:sz w:val="20"/>
                <w:szCs w:val="20"/>
              </w:rPr>
              <w:t>crit</w:t>
            </w:r>
            <w:proofErr w:type="spellEnd"/>
          </w:p>
        </w:tc>
      </w:tr>
      <w:tr w:rsidR="00D51113" w:rsidRPr="00912D31" w14:paraId="6DC2B894" w14:textId="77777777" w:rsidTr="00EF1BD8">
        <w:trPr>
          <w:trHeight w:val="300"/>
        </w:trPr>
        <w:tc>
          <w:tcPr>
            <w:tcW w:w="1276" w:type="dxa"/>
            <w:tcBorders>
              <w:top w:val="single" w:sz="8" w:space="0" w:color="000000"/>
            </w:tcBorders>
            <w:tcMar>
              <w:top w:w="0" w:type="dxa"/>
              <w:left w:w="100" w:type="dxa"/>
              <w:bottom w:w="0" w:type="dxa"/>
              <w:right w:w="100" w:type="dxa"/>
            </w:tcMar>
            <w:vAlign w:val="bottom"/>
          </w:tcPr>
          <w:p w14:paraId="000000A9"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sz w:val="20"/>
                <w:szCs w:val="20"/>
              </w:rPr>
              <w:t>Rows</w:t>
            </w:r>
          </w:p>
        </w:tc>
        <w:tc>
          <w:tcPr>
            <w:tcW w:w="1276" w:type="dxa"/>
            <w:tcBorders>
              <w:top w:val="single" w:sz="8" w:space="0" w:color="000000"/>
            </w:tcBorders>
            <w:tcMar>
              <w:top w:w="0" w:type="dxa"/>
              <w:left w:w="100" w:type="dxa"/>
              <w:bottom w:w="0" w:type="dxa"/>
              <w:right w:w="100" w:type="dxa"/>
            </w:tcMar>
            <w:vAlign w:val="bottom"/>
          </w:tcPr>
          <w:p w14:paraId="000000AA"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sz w:val="20"/>
                <w:szCs w:val="20"/>
              </w:rPr>
              <w:t>555.4733</w:t>
            </w:r>
          </w:p>
        </w:tc>
        <w:tc>
          <w:tcPr>
            <w:tcW w:w="567" w:type="dxa"/>
            <w:tcBorders>
              <w:top w:val="single" w:sz="8" w:space="0" w:color="000000"/>
            </w:tcBorders>
            <w:tcMar>
              <w:top w:w="0" w:type="dxa"/>
              <w:left w:w="100" w:type="dxa"/>
              <w:bottom w:w="0" w:type="dxa"/>
              <w:right w:w="100" w:type="dxa"/>
            </w:tcMar>
            <w:vAlign w:val="bottom"/>
          </w:tcPr>
          <w:p w14:paraId="000000AB"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sz w:val="20"/>
                <w:szCs w:val="20"/>
              </w:rPr>
              <w:t>3</w:t>
            </w:r>
          </w:p>
        </w:tc>
        <w:tc>
          <w:tcPr>
            <w:tcW w:w="1134" w:type="dxa"/>
            <w:tcBorders>
              <w:top w:val="single" w:sz="8" w:space="0" w:color="000000"/>
            </w:tcBorders>
            <w:tcMar>
              <w:top w:w="0" w:type="dxa"/>
              <w:left w:w="100" w:type="dxa"/>
              <w:bottom w:w="0" w:type="dxa"/>
              <w:right w:w="100" w:type="dxa"/>
            </w:tcMar>
            <w:vAlign w:val="bottom"/>
          </w:tcPr>
          <w:p w14:paraId="000000AC"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sz w:val="20"/>
                <w:szCs w:val="20"/>
              </w:rPr>
              <w:t>185.1578</w:t>
            </w:r>
          </w:p>
        </w:tc>
        <w:tc>
          <w:tcPr>
            <w:tcW w:w="1134" w:type="dxa"/>
            <w:tcBorders>
              <w:top w:val="single" w:sz="8" w:space="0" w:color="000000"/>
            </w:tcBorders>
            <w:tcMar>
              <w:top w:w="0" w:type="dxa"/>
              <w:left w:w="100" w:type="dxa"/>
              <w:bottom w:w="0" w:type="dxa"/>
              <w:right w:w="100" w:type="dxa"/>
            </w:tcMar>
            <w:vAlign w:val="bottom"/>
          </w:tcPr>
          <w:p w14:paraId="000000AD"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sz w:val="20"/>
                <w:szCs w:val="20"/>
              </w:rPr>
              <w:t>0.970304</w:t>
            </w:r>
          </w:p>
        </w:tc>
        <w:tc>
          <w:tcPr>
            <w:tcW w:w="1134" w:type="dxa"/>
            <w:tcBorders>
              <w:top w:val="single" w:sz="8" w:space="0" w:color="000000"/>
            </w:tcBorders>
            <w:tcMar>
              <w:top w:w="0" w:type="dxa"/>
              <w:left w:w="100" w:type="dxa"/>
              <w:bottom w:w="0" w:type="dxa"/>
              <w:right w:w="100" w:type="dxa"/>
            </w:tcMar>
            <w:vAlign w:val="bottom"/>
          </w:tcPr>
          <w:p w14:paraId="000000AE"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sz w:val="20"/>
                <w:szCs w:val="20"/>
              </w:rPr>
              <w:t>0.466004</w:t>
            </w:r>
          </w:p>
        </w:tc>
        <w:tc>
          <w:tcPr>
            <w:tcW w:w="1134" w:type="dxa"/>
            <w:tcBorders>
              <w:top w:val="single" w:sz="8" w:space="0" w:color="000000"/>
            </w:tcBorders>
            <w:tcMar>
              <w:top w:w="0" w:type="dxa"/>
              <w:left w:w="100" w:type="dxa"/>
              <w:bottom w:w="0" w:type="dxa"/>
              <w:right w:w="100" w:type="dxa"/>
            </w:tcMar>
            <w:vAlign w:val="bottom"/>
          </w:tcPr>
          <w:p w14:paraId="000000AF"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sz w:val="20"/>
                <w:szCs w:val="20"/>
              </w:rPr>
              <w:t>4.757063</w:t>
            </w:r>
          </w:p>
        </w:tc>
      </w:tr>
      <w:tr w:rsidR="00D51113" w:rsidRPr="00912D31" w14:paraId="62300285" w14:textId="77777777" w:rsidTr="00EF1BD8">
        <w:trPr>
          <w:trHeight w:val="300"/>
        </w:trPr>
        <w:tc>
          <w:tcPr>
            <w:tcW w:w="1276" w:type="dxa"/>
            <w:tcMar>
              <w:top w:w="0" w:type="dxa"/>
              <w:left w:w="100" w:type="dxa"/>
              <w:bottom w:w="0" w:type="dxa"/>
              <w:right w:w="100" w:type="dxa"/>
            </w:tcMar>
            <w:vAlign w:val="bottom"/>
          </w:tcPr>
          <w:p w14:paraId="000000B0"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sz w:val="20"/>
                <w:szCs w:val="20"/>
              </w:rPr>
              <w:t>Columns</w:t>
            </w:r>
          </w:p>
        </w:tc>
        <w:tc>
          <w:tcPr>
            <w:tcW w:w="1276" w:type="dxa"/>
            <w:tcMar>
              <w:top w:w="0" w:type="dxa"/>
              <w:left w:w="100" w:type="dxa"/>
              <w:bottom w:w="0" w:type="dxa"/>
              <w:right w:w="100" w:type="dxa"/>
            </w:tcMar>
            <w:vAlign w:val="bottom"/>
          </w:tcPr>
          <w:p w14:paraId="000000B1"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sz w:val="20"/>
                <w:szCs w:val="20"/>
              </w:rPr>
              <w:t>11077.13</w:t>
            </w:r>
          </w:p>
        </w:tc>
        <w:tc>
          <w:tcPr>
            <w:tcW w:w="567" w:type="dxa"/>
            <w:tcMar>
              <w:top w:w="0" w:type="dxa"/>
              <w:left w:w="100" w:type="dxa"/>
              <w:bottom w:w="0" w:type="dxa"/>
              <w:right w:w="100" w:type="dxa"/>
            </w:tcMar>
            <w:vAlign w:val="bottom"/>
          </w:tcPr>
          <w:p w14:paraId="000000B2"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sz w:val="20"/>
                <w:szCs w:val="20"/>
              </w:rPr>
              <w:t>2</w:t>
            </w:r>
          </w:p>
        </w:tc>
        <w:tc>
          <w:tcPr>
            <w:tcW w:w="1134" w:type="dxa"/>
            <w:tcMar>
              <w:top w:w="0" w:type="dxa"/>
              <w:left w:w="100" w:type="dxa"/>
              <w:bottom w:w="0" w:type="dxa"/>
              <w:right w:w="100" w:type="dxa"/>
            </w:tcMar>
            <w:vAlign w:val="bottom"/>
          </w:tcPr>
          <w:p w14:paraId="000000B3"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sz w:val="20"/>
                <w:szCs w:val="20"/>
              </w:rPr>
              <w:t>5538.563</w:t>
            </w:r>
          </w:p>
        </w:tc>
        <w:tc>
          <w:tcPr>
            <w:tcW w:w="1134" w:type="dxa"/>
            <w:tcMar>
              <w:top w:w="0" w:type="dxa"/>
              <w:left w:w="100" w:type="dxa"/>
              <w:bottom w:w="0" w:type="dxa"/>
              <w:right w:w="100" w:type="dxa"/>
            </w:tcMar>
            <w:vAlign w:val="bottom"/>
          </w:tcPr>
          <w:p w14:paraId="000000B4"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sz w:val="20"/>
                <w:szCs w:val="20"/>
              </w:rPr>
              <w:t>29.02439</w:t>
            </w:r>
          </w:p>
        </w:tc>
        <w:tc>
          <w:tcPr>
            <w:tcW w:w="1134" w:type="dxa"/>
            <w:tcMar>
              <w:top w:w="0" w:type="dxa"/>
              <w:left w:w="100" w:type="dxa"/>
              <w:bottom w:w="0" w:type="dxa"/>
              <w:right w:w="100" w:type="dxa"/>
            </w:tcMar>
            <w:vAlign w:val="bottom"/>
          </w:tcPr>
          <w:p w14:paraId="000000B5"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sz w:val="20"/>
                <w:szCs w:val="20"/>
              </w:rPr>
              <w:t>0.000822</w:t>
            </w:r>
          </w:p>
        </w:tc>
        <w:tc>
          <w:tcPr>
            <w:tcW w:w="1134" w:type="dxa"/>
            <w:tcMar>
              <w:top w:w="0" w:type="dxa"/>
              <w:left w:w="100" w:type="dxa"/>
              <w:bottom w:w="0" w:type="dxa"/>
              <w:right w:w="100" w:type="dxa"/>
            </w:tcMar>
            <w:vAlign w:val="bottom"/>
          </w:tcPr>
          <w:p w14:paraId="000000B6"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sz w:val="20"/>
                <w:szCs w:val="20"/>
              </w:rPr>
              <w:t>5.143253</w:t>
            </w:r>
          </w:p>
        </w:tc>
      </w:tr>
      <w:tr w:rsidR="00D51113" w:rsidRPr="00912D31" w14:paraId="66DD92CA" w14:textId="77777777" w:rsidTr="00EF1BD8">
        <w:trPr>
          <w:trHeight w:val="300"/>
        </w:trPr>
        <w:tc>
          <w:tcPr>
            <w:tcW w:w="1276" w:type="dxa"/>
            <w:tcMar>
              <w:top w:w="0" w:type="dxa"/>
              <w:left w:w="100" w:type="dxa"/>
              <w:bottom w:w="0" w:type="dxa"/>
              <w:right w:w="100" w:type="dxa"/>
            </w:tcMar>
            <w:vAlign w:val="bottom"/>
          </w:tcPr>
          <w:p w14:paraId="000000B7"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sz w:val="20"/>
                <w:szCs w:val="20"/>
              </w:rPr>
              <w:t>Error</w:t>
            </w:r>
          </w:p>
        </w:tc>
        <w:tc>
          <w:tcPr>
            <w:tcW w:w="1276" w:type="dxa"/>
            <w:tcMar>
              <w:top w:w="0" w:type="dxa"/>
              <w:left w:w="100" w:type="dxa"/>
              <w:bottom w:w="0" w:type="dxa"/>
              <w:right w:w="100" w:type="dxa"/>
            </w:tcMar>
            <w:vAlign w:val="bottom"/>
          </w:tcPr>
          <w:p w14:paraId="000000B8"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sz w:val="20"/>
                <w:szCs w:val="20"/>
              </w:rPr>
              <w:t>1144.947</w:t>
            </w:r>
          </w:p>
        </w:tc>
        <w:tc>
          <w:tcPr>
            <w:tcW w:w="567" w:type="dxa"/>
            <w:tcMar>
              <w:top w:w="0" w:type="dxa"/>
              <w:left w:w="100" w:type="dxa"/>
              <w:bottom w:w="0" w:type="dxa"/>
              <w:right w:w="100" w:type="dxa"/>
            </w:tcMar>
            <w:vAlign w:val="bottom"/>
          </w:tcPr>
          <w:p w14:paraId="000000B9"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sz w:val="20"/>
                <w:szCs w:val="20"/>
              </w:rPr>
              <w:t>6</w:t>
            </w:r>
          </w:p>
        </w:tc>
        <w:tc>
          <w:tcPr>
            <w:tcW w:w="1134" w:type="dxa"/>
            <w:tcMar>
              <w:top w:w="0" w:type="dxa"/>
              <w:left w:w="100" w:type="dxa"/>
              <w:bottom w:w="0" w:type="dxa"/>
              <w:right w:w="100" w:type="dxa"/>
            </w:tcMar>
            <w:vAlign w:val="bottom"/>
          </w:tcPr>
          <w:p w14:paraId="000000BA"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sz w:val="20"/>
                <w:szCs w:val="20"/>
              </w:rPr>
              <w:t>190.8244</w:t>
            </w:r>
          </w:p>
        </w:tc>
        <w:tc>
          <w:tcPr>
            <w:tcW w:w="1134" w:type="dxa"/>
            <w:tcMar>
              <w:top w:w="0" w:type="dxa"/>
              <w:left w:w="100" w:type="dxa"/>
              <w:bottom w:w="0" w:type="dxa"/>
              <w:right w:w="100" w:type="dxa"/>
            </w:tcMar>
            <w:vAlign w:val="bottom"/>
          </w:tcPr>
          <w:p w14:paraId="000000BB" w14:textId="77777777" w:rsidR="00D51113" w:rsidRPr="00912D31" w:rsidRDefault="00D51113" w:rsidP="00EF1BD8">
            <w:pPr>
              <w:spacing w:after="0" w:line="240" w:lineRule="auto"/>
              <w:rPr>
                <w:rFonts w:ascii="Arial" w:eastAsia="Times New Roman" w:hAnsi="Arial" w:cs="Arial"/>
                <w:sz w:val="20"/>
                <w:szCs w:val="20"/>
              </w:rPr>
            </w:pPr>
          </w:p>
        </w:tc>
        <w:tc>
          <w:tcPr>
            <w:tcW w:w="1134" w:type="dxa"/>
            <w:tcMar>
              <w:top w:w="0" w:type="dxa"/>
              <w:left w:w="100" w:type="dxa"/>
              <w:bottom w:w="0" w:type="dxa"/>
              <w:right w:w="100" w:type="dxa"/>
            </w:tcMar>
            <w:vAlign w:val="bottom"/>
          </w:tcPr>
          <w:p w14:paraId="000000BC" w14:textId="77777777" w:rsidR="00D51113" w:rsidRPr="00912D31" w:rsidRDefault="00D51113" w:rsidP="00EF1BD8">
            <w:pPr>
              <w:spacing w:after="0" w:line="240" w:lineRule="auto"/>
              <w:rPr>
                <w:rFonts w:ascii="Arial" w:eastAsia="Times New Roman" w:hAnsi="Arial" w:cs="Arial"/>
                <w:sz w:val="20"/>
                <w:szCs w:val="20"/>
              </w:rPr>
            </w:pPr>
          </w:p>
        </w:tc>
        <w:tc>
          <w:tcPr>
            <w:tcW w:w="1134" w:type="dxa"/>
            <w:tcMar>
              <w:top w:w="0" w:type="dxa"/>
              <w:left w:w="100" w:type="dxa"/>
              <w:bottom w:w="0" w:type="dxa"/>
              <w:right w:w="100" w:type="dxa"/>
            </w:tcMar>
            <w:vAlign w:val="bottom"/>
          </w:tcPr>
          <w:p w14:paraId="000000BD" w14:textId="77777777" w:rsidR="00D51113" w:rsidRPr="00912D31" w:rsidRDefault="00D51113" w:rsidP="00EF1BD8">
            <w:pPr>
              <w:spacing w:after="0" w:line="240" w:lineRule="auto"/>
              <w:rPr>
                <w:rFonts w:ascii="Arial" w:eastAsia="Times New Roman" w:hAnsi="Arial" w:cs="Arial"/>
                <w:sz w:val="20"/>
                <w:szCs w:val="20"/>
              </w:rPr>
            </w:pPr>
          </w:p>
        </w:tc>
      </w:tr>
      <w:tr w:rsidR="00D51113" w:rsidRPr="00912D31" w14:paraId="5D552D7E" w14:textId="77777777" w:rsidTr="00EF1BD8">
        <w:trPr>
          <w:trHeight w:val="315"/>
        </w:trPr>
        <w:tc>
          <w:tcPr>
            <w:tcW w:w="1276" w:type="dxa"/>
            <w:tcBorders>
              <w:bottom w:val="single" w:sz="8" w:space="0" w:color="000000"/>
            </w:tcBorders>
            <w:tcMar>
              <w:top w:w="0" w:type="dxa"/>
              <w:left w:w="100" w:type="dxa"/>
              <w:bottom w:w="0" w:type="dxa"/>
              <w:right w:w="100" w:type="dxa"/>
            </w:tcMar>
            <w:vAlign w:val="bottom"/>
          </w:tcPr>
          <w:p w14:paraId="000000BE"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sz w:val="20"/>
                <w:szCs w:val="20"/>
              </w:rPr>
              <w:t>Total</w:t>
            </w:r>
          </w:p>
        </w:tc>
        <w:tc>
          <w:tcPr>
            <w:tcW w:w="1276" w:type="dxa"/>
            <w:tcBorders>
              <w:bottom w:val="single" w:sz="8" w:space="0" w:color="000000"/>
            </w:tcBorders>
            <w:tcMar>
              <w:top w:w="0" w:type="dxa"/>
              <w:left w:w="100" w:type="dxa"/>
              <w:bottom w:w="0" w:type="dxa"/>
              <w:right w:w="100" w:type="dxa"/>
            </w:tcMar>
            <w:vAlign w:val="bottom"/>
          </w:tcPr>
          <w:p w14:paraId="000000BF"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sz w:val="20"/>
                <w:szCs w:val="20"/>
              </w:rPr>
              <w:t>12777.55</w:t>
            </w:r>
          </w:p>
        </w:tc>
        <w:tc>
          <w:tcPr>
            <w:tcW w:w="567" w:type="dxa"/>
            <w:tcBorders>
              <w:bottom w:val="single" w:sz="8" w:space="0" w:color="000000"/>
            </w:tcBorders>
            <w:tcMar>
              <w:top w:w="0" w:type="dxa"/>
              <w:left w:w="100" w:type="dxa"/>
              <w:bottom w:w="0" w:type="dxa"/>
              <w:right w:w="100" w:type="dxa"/>
            </w:tcMar>
            <w:vAlign w:val="bottom"/>
          </w:tcPr>
          <w:p w14:paraId="000000C0"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sz w:val="20"/>
                <w:szCs w:val="20"/>
              </w:rPr>
              <w:t>11</w:t>
            </w:r>
          </w:p>
        </w:tc>
        <w:tc>
          <w:tcPr>
            <w:tcW w:w="1134" w:type="dxa"/>
            <w:tcBorders>
              <w:bottom w:val="single" w:sz="8" w:space="0" w:color="000000"/>
            </w:tcBorders>
            <w:tcMar>
              <w:top w:w="0" w:type="dxa"/>
              <w:left w:w="100" w:type="dxa"/>
              <w:bottom w:w="0" w:type="dxa"/>
              <w:right w:w="100" w:type="dxa"/>
            </w:tcMar>
            <w:vAlign w:val="bottom"/>
          </w:tcPr>
          <w:p w14:paraId="000000C1" w14:textId="77777777" w:rsidR="00D51113" w:rsidRPr="00912D31" w:rsidRDefault="00D51113" w:rsidP="00EF1BD8">
            <w:pPr>
              <w:spacing w:after="0" w:line="240" w:lineRule="auto"/>
              <w:rPr>
                <w:rFonts w:ascii="Arial" w:eastAsia="Times New Roman" w:hAnsi="Arial" w:cs="Arial"/>
                <w:sz w:val="20"/>
                <w:szCs w:val="20"/>
              </w:rPr>
            </w:pPr>
          </w:p>
        </w:tc>
        <w:tc>
          <w:tcPr>
            <w:tcW w:w="1134" w:type="dxa"/>
            <w:tcBorders>
              <w:bottom w:val="single" w:sz="8" w:space="0" w:color="000000"/>
            </w:tcBorders>
            <w:tcMar>
              <w:top w:w="0" w:type="dxa"/>
              <w:left w:w="100" w:type="dxa"/>
              <w:bottom w:w="0" w:type="dxa"/>
              <w:right w:w="100" w:type="dxa"/>
            </w:tcMar>
            <w:vAlign w:val="bottom"/>
          </w:tcPr>
          <w:p w14:paraId="000000C2" w14:textId="77777777" w:rsidR="00D51113" w:rsidRPr="00912D31" w:rsidRDefault="00D51113" w:rsidP="00EF1BD8">
            <w:pPr>
              <w:spacing w:after="0" w:line="240" w:lineRule="auto"/>
              <w:rPr>
                <w:rFonts w:ascii="Arial" w:eastAsia="Times New Roman" w:hAnsi="Arial" w:cs="Arial"/>
                <w:sz w:val="20"/>
                <w:szCs w:val="20"/>
              </w:rPr>
            </w:pPr>
          </w:p>
        </w:tc>
        <w:tc>
          <w:tcPr>
            <w:tcW w:w="1134" w:type="dxa"/>
            <w:tcBorders>
              <w:bottom w:val="single" w:sz="8" w:space="0" w:color="000000"/>
            </w:tcBorders>
            <w:tcMar>
              <w:top w:w="0" w:type="dxa"/>
              <w:left w:w="100" w:type="dxa"/>
              <w:bottom w:w="0" w:type="dxa"/>
              <w:right w:w="100" w:type="dxa"/>
            </w:tcMar>
            <w:vAlign w:val="bottom"/>
          </w:tcPr>
          <w:p w14:paraId="000000C3" w14:textId="77777777" w:rsidR="00D51113" w:rsidRPr="00912D31" w:rsidRDefault="00D51113" w:rsidP="00EF1BD8">
            <w:pPr>
              <w:spacing w:after="0" w:line="240" w:lineRule="auto"/>
              <w:rPr>
                <w:rFonts w:ascii="Arial" w:eastAsia="Times New Roman" w:hAnsi="Arial" w:cs="Arial"/>
                <w:sz w:val="20"/>
                <w:szCs w:val="20"/>
              </w:rPr>
            </w:pPr>
          </w:p>
        </w:tc>
        <w:tc>
          <w:tcPr>
            <w:tcW w:w="1134" w:type="dxa"/>
            <w:tcBorders>
              <w:bottom w:val="single" w:sz="8" w:space="0" w:color="000000"/>
            </w:tcBorders>
            <w:tcMar>
              <w:top w:w="0" w:type="dxa"/>
              <w:left w:w="100" w:type="dxa"/>
              <w:bottom w:w="0" w:type="dxa"/>
              <w:right w:w="100" w:type="dxa"/>
            </w:tcMar>
            <w:vAlign w:val="bottom"/>
          </w:tcPr>
          <w:p w14:paraId="000000C4" w14:textId="77777777" w:rsidR="00D51113" w:rsidRPr="00912D31" w:rsidRDefault="00D51113" w:rsidP="00EF1BD8">
            <w:pPr>
              <w:spacing w:after="0" w:line="240" w:lineRule="auto"/>
              <w:rPr>
                <w:rFonts w:ascii="Arial" w:eastAsia="Times New Roman" w:hAnsi="Arial" w:cs="Arial"/>
                <w:sz w:val="20"/>
                <w:szCs w:val="20"/>
              </w:rPr>
            </w:pPr>
          </w:p>
        </w:tc>
      </w:tr>
    </w:tbl>
    <w:p w14:paraId="000000C6" w14:textId="77777777" w:rsidR="00D51113" w:rsidRPr="00912D31" w:rsidRDefault="000D71C5" w:rsidP="00EF1BD8">
      <w:pPr>
        <w:spacing w:before="240" w:after="240" w:line="240" w:lineRule="auto"/>
        <w:ind w:firstLine="720"/>
        <w:jc w:val="both"/>
        <w:rPr>
          <w:rFonts w:ascii="Arial" w:eastAsia="Times New Roman" w:hAnsi="Arial" w:cs="Arial"/>
          <w:sz w:val="20"/>
          <w:szCs w:val="20"/>
        </w:rPr>
      </w:pPr>
      <w:r w:rsidRPr="00912D31">
        <w:rPr>
          <w:rFonts w:ascii="Arial" w:eastAsia="Times New Roman" w:hAnsi="Arial" w:cs="Arial"/>
          <w:sz w:val="20"/>
          <w:szCs w:val="20"/>
        </w:rPr>
        <w:t>Table 4 presents the ANOVA results examining the effects of several parameters on removal efficiency. The row factor, representing different adsorbent samples, has an F-value of 0.9703, which is less than the required F-value of 4.7570. This implies that the differences across rows are not statistically significant, suggesting that variations within the row component, such as adsorbent type, have minimal impact on removal efficiency. Conversely, the column factor, likely representing experimental parameters such as adsorbent dosage or concentration of nitrate, exerts a significant influence, with an F-value of 29.0244, well above the critical threshold of 5.1433. The extremely low p-value (0.000822) further confirms the statistical significance of the colum</w:t>
      </w:r>
      <w:bookmarkStart w:id="0" w:name="_GoBack"/>
      <w:bookmarkEnd w:id="0"/>
      <w:r w:rsidRPr="00912D31">
        <w:rPr>
          <w:rFonts w:ascii="Arial" w:eastAsia="Times New Roman" w:hAnsi="Arial" w:cs="Arial"/>
          <w:sz w:val="20"/>
          <w:szCs w:val="20"/>
        </w:rPr>
        <w:t>n factor, highlighting its critical role in removal efficiency.</w:t>
      </w:r>
    </w:p>
    <w:p w14:paraId="000000C7" w14:textId="77777777" w:rsidR="00D51113" w:rsidRPr="00912D31" w:rsidRDefault="000D71C5" w:rsidP="00912D31">
      <w:pPr>
        <w:spacing w:before="240" w:after="240" w:line="240" w:lineRule="auto"/>
        <w:ind w:firstLine="720"/>
        <w:jc w:val="both"/>
        <w:rPr>
          <w:rFonts w:ascii="Arial" w:eastAsia="Times New Roman" w:hAnsi="Arial" w:cs="Arial"/>
          <w:sz w:val="20"/>
          <w:szCs w:val="20"/>
        </w:rPr>
      </w:pPr>
      <w:r w:rsidRPr="00912D31">
        <w:rPr>
          <w:rFonts w:ascii="Arial" w:eastAsia="Times New Roman" w:hAnsi="Arial" w:cs="Arial"/>
          <w:sz w:val="20"/>
          <w:szCs w:val="20"/>
        </w:rPr>
        <w:lastRenderedPageBreak/>
        <w:t xml:space="preserve">The low error variance, with a mean square error of 190.8244, indicates that the experimental results are consistent and reliable, aligning with the results of </w:t>
      </w:r>
      <w:proofErr w:type="spellStart"/>
      <w:r w:rsidRPr="00912D31">
        <w:rPr>
          <w:rFonts w:ascii="Arial" w:eastAsia="Times New Roman" w:hAnsi="Arial" w:cs="Arial"/>
          <w:sz w:val="20"/>
          <w:szCs w:val="20"/>
        </w:rPr>
        <w:t>Ramadhani</w:t>
      </w:r>
      <w:proofErr w:type="spellEnd"/>
      <w:r w:rsidRPr="00912D31">
        <w:rPr>
          <w:rFonts w:ascii="Arial" w:eastAsia="Times New Roman" w:hAnsi="Arial" w:cs="Arial"/>
          <w:sz w:val="20"/>
          <w:szCs w:val="20"/>
        </w:rPr>
        <w:t xml:space="preserve"> et al. (2023), who discussed the importance of maintaining experimental precision to minimize error variance in biosorption studies​. These results suggest that variations in removal efficiency are primarily driven by experimental conditions rather than intrinsic differences between adsorbents. Similar conclusions have been drawn in studies by </w:t>
      </w:r>
      <w:proofErr w:type="spellStart"/>
      <w:r w:rsidRPr="00912D31">
        <w:rPr>
          <w:rFonts w:ascii="Arial" w:eastAsia="Times New Roman" w:hAnsi="Arial" w:cs="Arial"/>
          <w:sz w:val="20"/>
          <w:szCs w:val="20"/>
        </w:rPr>
        <w:t>Abdeen</w:t>
      </w:r>
      <w:proofErr w:type="spellEnd"/>
      <w:r w:rsidRPr="00912D31">
        <w:rPr>
          <w:rFonts w:ascii="Arial" w:eastAsia="Times New Roman" w:hAnsi="Arial" w:cs="Arial"/>
          <w:sz w:val="20"/>
          <w:szCs w:val="20"/>
        </w:rPr>
        <w:t xml:space="preserve"> and Mohammad (2014), which emphasize the importance of optimizing adsorbent dosage as a critical parameter in the adsorption process.</w:t>
      </w:r>
    </w:p>
    <w:p w14:paraId="000000C8" w14:textId="2CA729DD" w:rsidR="00D51113" w:rsidRDefault="000D71C5" w:rsidP="00912D31">
      <w:pPr>
        <w:spacing w:before="240" w:after="240" w:line="240" w:lineRule="auto"/>
        <w:ind w:firstLine="720"/>
        <w:jc w:val="both"/>
        <w:rPr>
          <w:rFonts w:ascii="Arial" w:eastAsia="Times New Roman" w:hAnsi="Arial" w:cs="Arial"/>
          <w:sz w:val="20"/>
          <w:szCs w:val="20"/>
        </w:rPr>
      </w:pPr>
      <w:r w:rsidRPr="00912D31">
        <w:rPr>
          <w:rFonts w:ascii="Arial" w:eastAsia="Times New Roman" w:hAnsi="Arial" w:cs="Arial"/>
          <w:sz w:val="20"/>
          <w:szCs w:val="20"/>
        </w:rPr>
        <w:t xml:space="preserve">The significant impact of experimental parameters underscores the need for optimization in biosorption processes. Research by Cruz-Lopes et al. (2021) has shown that adjusting variables like pollutant concentration and adsorbent dose can substantially enhance adsorption performance​. Additionally, studies such as those by </w:t>
      </w:r>
      <w:proofErr w:type="spellStart"/>
      <w:r w:rsidRPr="00912D31">
        <w:rPr>
          <w:rFonts w:ascii="Arial" w:eastAsia="Times New Roman" w:hAnsi="Arial" w:cs="Arial"/>
          <w:sz w:val="20"/>
          <w:szCs w:val="20"/>
        </w:rPr>
        <w:t>Derashri</w:t>
      </w:r>
      <w:proofErr w:type="spellEnd"/>
      <w:r w:rsidRPr="00912D31">
        <w:rPr>
          <w:rFonts w:ascii="Arial" w:eastAsia="Times New Roman" w:hAnsi="Arial" w:cs="Arial"/>
          <w:sz w:val="20"/>
          <w:szCs w:val="20"/>
        </w:rPr>
        <w:t xml:space="preserve"> et al. (2024</w:t>
      </w:r>
      <w:r w:rsidR="00912D31" w:rsidRPr="00912D31">
        <w:rPr>
          <w:rFonts w:ascii="Arial" w:eastAsia="Times New Roman" w:hAnsi="Arial" w:cs="Arial"/>
          <w:sz w:val="20"/>
          <w:szCs w:val="20"/>
        </w:rPr>
        <w:t>) demonstrate</w:t>
      </w:r>
      <w:r w:rsidRPr="00912D31">
        <w:rPr>
          <w:rFonts w:ascii="Arial" w:eastAsia="Times New Roman" w:hAnsi="Arial" w:cs="Arial"/>
          <w:sz w:val="20"/>
          <w:szCs w:val="20"/>
        </w:rPr>
        <w:t xml:space="preserve"> that incremental increases in adsorbent dosage improve pollutant removal efficiency, although excessive dosing may result in diminishing returns​. These results emphasize the importance of polishing experimental parameters to maximize the potential of eggplant </w:t>
      </w:r>
      <w:proofErr w:type="spellStart"/>
      <w:r w:rsidRPr="00912D31">
        <w:rPr>
          <w:rFonts w:ascii="Arial" w:eastAsia="Times New Roman" w:hAnsi="Arial" w:cs="Arial"/>
          <w:sz w:val="20"/>
          <w:szCs w:val="20"/>
        </w:rPr>
        <w:t>biosorbents</w:t>
      </w:r>
      <w:proofErr w:type="spellEnd"/>
      <w:r w:rsidRPr="00912D31">
        <w:rPr>
          <w:rFonts w:ascii="Arial" w:eastAsia="Times New Roman" w:hAnsi="Arial" w:cs="Arial"/>
          <w:sz w:val="20"/>
          <w:szCs w:val="20"/>
        </w:rPr>
        <w:t xml:space="preserve"> and other similar materials.</w:t>
      </w:r>
    </w:p>
    <w:p w14:paraId="69493889" w14:textId="77777777" w:rsidR="00EF1BD8" w:rsidRPr="00912D31" w:rsidRDefault="00EF1BD8" w:rsidP="00912D31">
      <w:pPr>
        <w:spacing w:before="240" w:after="240" w:line="240" w:lineRule="auto"/>
        <w:ind w:firstLine="720"/>
        <w:jc w:val="both"/>
        <w:rPr>
          <w:rFonts w:ascii="Arial" w:eastAsia="Times New Roman" w:hAnsi="Arial" w:cs="Arial"/>
          <w:sz w:val="20"/>
          <w:szCs w:val="20"/>
        </w:rPr>
      </w:pPr>
    </w:p>
    <w:p w14:paraId="000000C9" w14:textId="15A8859B" w:rsidR="00D51113" w:rsidRPr="00912D31" w:rsidRDefault="00912D31" w:rsidP="00912D31">
      <w:pPr>
        <w:spacing w:line="240" w:lineRule="auto"/>
        <w:jc w:val="both"/>
        <w:rPr>
          <w:rFonts w:ascii="Arial" w:eastAsia="Times New Roman" w:hAnsi="Arial" w:cs="Arial"/>
          <w:b/>
          <w:sz w:val="22"/>
          <w:szCs w:val="22"/>
        </w:rPr>
      </w:pPr>
      <w:r w:rsidRPr="00912D31">
        <w:rPr>
          <w:rFonts w:ascii="Arial" w:eastAsia="Times New Roman" w:hAnsi="Arial" w:cs="Arial"/>
          <w:b/>
          <w:sz w:val="22"/>
          <w:szCs w:val="22"/>
        </w:rPr>
        <w:t xml:space="preserve">4. CONCLUSION </w:t>
      </w:r>
    </w:p>
    <w:p w14:paraId="000000CA" w14:textId="77777777" w:rsidR="00D51113" w:rsidRPr="00912D31" w:rsidRDefault="000D71C5" w:rsidP="00912D31">
      <w:pPr>
        <w:spacing w:line="240" w:lineRule="auto"/>
        <w:ind w:firstLine="720"/>
        <w:jc w:val="both"/>
        <w:rPr>
          <w:rFonts w:ascii="Arial" w:eastAsia="Times New Roman" w:hAnsi="Arial" w:cs="Arial"/>
          <w:sz w:val="20"/>
          <w:szCs w:val="20"/>
        </w:rPr>
      </w:pPr>
      <w:r w:rsidRPr="00912D31">
        <w:rPr>
          <w:rFonts w:ascii="Arial" w:eastAsia="Times New Roman" w:hAnsi="Arial" w:cs="Arial"/>
          <w:sz w:val="20"/>
          <w:szCs w:val="20"/>
        </w:rPr>
        <w:t xml:space="preserve">Eggplant </w:t>
      </w:r>
      <w:proofErr w:type="spellStart"/>
      <w:r w:rsidRPr="00912D31">
        <w:rPr>
          <w:rFonts w:ascii="Arial" w:eastAsia="Times New Roman" w:hAnsi="Arial" w:cs="Arial"/>
          <w:sz w:val="20"/>
          <w:szCs w:val="20"/>
        </w:rPr>
        <w:t>biosorbents</w:t>
      </w:r>
      <w:proofErr w:type="spellEnd"/>
      <w:r w:rsidRPr="00912D31">
        <w:rPr>
          <w:rFonts w:ascii="Arial" w:eastAsia="Times New Roman" w:hAnsi="Arial" w:cs="Arial"/>
          <w:sz w:val="20"/>
          <w:szCs w:val="20"/>
        </w:rPr>
        <w:t xml:space="preserve"> demonstrated moderate nitrate removal efficiencies of 40-50%, compared to the superior performance of activated carbon (80-90%). While their adsorption capacity was lower due to reduced porosity and fewer active binding sites, the </w:t>
      </w:r>
      <w:proofErr w:type="spellStart"/>
      <w:r w:rsidRPr="00912D31">
        <w:rPr>
          <w:rFonts w:ascii="Arial" w:eastAsia="Times New Roman" w:hAnsi="Arial" w:cs="Arial"/>
          <w:sz w:val="20"/>
          <w:szCs w:val="20"/>
        </w:rPr>
        <w:t>biosorbents</w:t>
      </w:r>
      <w:proofErr w:type="spellEnd"/>
      <w:r w:rsidRPr="00912D31">
        <w:rPr>
          <w:rFonts w:ascii="Arial" w:eastAsia="Times New Roman" w:hAnsi="Arial" w:cs="Arial"/>
          <w:sz w:val="20"/>
          <w:szCs w:val="20"/>
        </w:rPr>
        <w:t xml:space="preserve"> showed improved performance at lower doses, emphasizing their potential for optimized applications.</w:t>
      </w:r>
    </w:p>
    <w:p w14:paraId="000000CB" w14:textId="77777777" w:rsidR="00D51113" w:rsidRPr="00912D31" w:rsidRDefault="000D71C5" w:rsidP="00912D31">
      <w:pPr>
        <w:spacing w:line="240" w:lineRule="auto"/>
        <w:ind w:firstLine="720"/>
        <w:jc w:val="both"/>
        <w:rPr>
          <w:rFonts w:ascii="Arial" w:eastAsia="Times New Roman" w:hAnsi="Arial" w:cs="Arial"/>
          <w:sz w:val="20"/>
          <w:szCs w:val="20"/>
        </w:rPr>
      </w:pPr>
      <w:r w:rsidRPr="00912D31">
        <w:rPr>
          <w:rFonts w:ascii="Arial" w:eastAsia="Times New Roman" w:hAnsi="Arial" w:cs="Arial"/>
          <w:sz w:val="20"/>
          <w:szCs w:val="20"/>
        </w:rPr>
        <w:t xml:space="preserve">ANOVA analysis revealed that differences in adsorption performance between </w:t>
      </w:r>
      <w:proofErr w:type="spellStart"/>
      <w:r w:rsidRPr="00912D31">
        <w:rPr>
          <w:rFonts w:ascii="Arial" w:eastAsia="Times New Roman" w:hAnsi="Arial" w:cs="Arial"/>
          <w:sz w:val="20"/>
          <w:szCs w:val="20"/>
        </w:rPr>
        <w:t>biosorbents</w:t>
      </w:r>
      <w:proofErr w:type="spellEnd"/>
      <w:r w:rsidRPr="00912D31">
        <w:rPr>
          <w:rFonts w:ascii="Arial" w:eastAsia="Times New Roman" w:hAnsi="Arial" w:cs="Arial"/>
          <w:sz w:val="20"/>
          <w:szCs w:val="20"/>
        </w:rPr>
        <w:t xml:space="preserve"> were statistically insignificant. Instead, key experimental parameters, such as contact time, adsorbent dose, and pH level, were the dominant factors influencing nitrate removal efficiency. These findings accentuate the importance of optimizing these conditions to maximize the effectiveness of eggplant </w:t>
      </w:r>
      <w:proofErr w:type="spellStart"/>
      <w:r w:rsidRPr="00912D31">
        <w:rPr>
          <w:rFonts w:ascii="Arial" w:eastAsia="Times New Roman" w:hAnsi="Arial" w:cs="Arial"/>
          <w:sz w:val="20"/>
          <w:szCs w:val="20"/>
        </w:rPr>
        <w:t>biosorbents</w:t>
      </w:r>
      <w:proofErr w:type="spellEnd"/>
      <w:r w:rsidRPr="00912D31">
        <w:rPr>
          <w:rFonts w:ascii="Arial" w:eastAsia="Times New Roman" w:hAnsi="Arial" w:cs="Arial"/>
          <w:sz w:val="20"/>
          <w:szCs w:val="20"/>
        </w:rPr>
        <w:t xml:space="preserve"> in practical scenarios. The cost-effectiveness of eggplant </w:t>
      </w:r>
      <w:proofErr w:type="spellStart"/>
      <w:r w:rsidRPr="00912D31">
        <w:rPr>
          <w:rFonts w:ascii="Arial" w:eastAsia="Times New Roman" w:hAnsi="Arial" w:cs="Arial"/>
          <w:sz w:val="20"/>
          <w:szCs w:val="20"/>
        </w:rPr>
        <w:t>biosorbents</w:t>
      </w:r>
      <w:proofErr w:type="spellEnd"/>
      <w:r w:rsidRPr="00912D31">
        <w:rPr>
          <w:rFonts w:ascii="Arial" w:eastAsia="Times New Roman" w:hAnsi="Arial" w:cs="Arial"/>
          <w:sz w:val="20"/>
          <w:szCs w:val="20"/>
        </w:rPr>
        <w:t xml:space="preserve"> was a significant advantage, with production costs approximately 65% lower than activated carbon. This affordability stems from the usage of agricultural waste, positioning eggplant </w:t>
      </w:r>
      <w:proofErr w:type="spellStart"/>
      <w:r w:rsidRPr="00912D31">
        <w:rPr>
          <w:rFonts w:ascii="Arial" w:eastAsia="Times New Roman" w:hAnsi="Arial" w:cs="Arial"/>
          <w:sz w:val="20"/>
          <w:szCs w:val="20"/>
        </w:rPr>
        <w:t>biosorbents</w:t>
      </w:r>
      <w:proofErr w:type="spellEnd"/>
      <w:r w:rsidRPr="00912D31">
        <w:rPr>
          <w:rFonts w:ascii="Arial" w:eastAsia="Times New Roman" w:hAnsi="Arial" w:cs="Arial"/>
          <w:sz w:val="20"/>
          <w:szCs w:val="20"/>
        </w:rPr>
        <w:t xml:space="preserve"> as an accessible and sustainable alternative for water treatment in resource-limited settings.</w:t>
      </w:r>
    </w:p>
    <w:p w14:paraId="000000CC" w14:textId="36B9AFCF" w:rsidR="00D51113" w:rsidRDefault="000D71C5" w:rsidP="00912D31">
      <w:pPr>
        <w:spacing w:line="240" w:lineRule="auto"/>
        <w:ind w:firstLine="720"/>
        <w:jc w:val="both"/>
        <w:rPr>
          <w:rFonts w:ascii="Arial" w:eastAsia="Times New Roman" w:hAnsi="Arial" w:cs="Arial"/>
          <w:sz w:val="20"/>
          <w:szCs w:val="20"/>
        </w:rPr>
      </w:pPr>
      <w:r w:rsidRPr="00912D31">
        <w:rPr>
          <w:rFonts w:ascii="Arial" w:eastAsia="Times New Roman" w:hAnsi="Arial" w:cs="Arial"/>
          <w:sz w:val="20"/>
          <w:szCs w:val="20"/>
        </w:rPr>
        <w:t xml:space="preserve">Despite these benefits, eggplant </w:t>
      </w:r>
      <w:proofErr w:type="spellStart"/>
      <w:r w:rsidRPr="00912D31">
        <w:rPr>
          <w:rFonts w:ascii="Arial" w:eastAsia="Times New Roman" w:hAnsi="Arial" w:cs="Arial"/>
          <w:sz w:val="20"/>
          <w:szCs w:val="20"/>
        </w:rPr>
        <w:t>biosorbents</w:t>
      </w:r>
      <w:proofErr w:type="spellEnd"/>
      <w:r w:rsidRPr="00912D31">
        <w:rPr>
          <w:rFonts w:ascii="Arial" w:eastAsia="Times New Roman" w:hAnsi="Arial" w:cs="Arial"/>
          <w:sz w:val="20"/>
          <w:szCs w:val="20"/>
        </w:rPr>
        <w:t xml:space="preserve">' lower adsorption efficiency compared to activated carbon indicates the need for further enhancement. Chemical or thermal modifications and long-term durability assessments are recommended to improve performance and scalability. In conclusion, eggplant </w:t>
      </w:r>
      <w:proofErr w:type="spellStart"/>
      <w:r w:rsidRPr="00912D31">
        <w:rPr>
          <w:rFonts w:ascii="Arial" w:eastAsia="Times New Roman" w:hAnsi="Arial" w:cs="Arial"/>
          <w:sz w:val="20"/>
          <w:szCs w:val="20"/>
        </w:rPr>
        <w:t>biosorbents</w:t>
      </w:r>
      <w:proofErr w:type="spellEnd"/>
      <w:r w:rsidRPr="00912D31">
        <w:rPr>
          <w:rFonts w:ascii="Arial" w:eastAsia="Times New Roman" w:hAnsi="Arial" w:cs="Arial"/>
          <w:sz w:val="20"/>
          <w:szCs w:val="20"/>
        </w:rPr>
        <w:t xml:space="preserve"> present a promising, eco-friendly solution for water remediation. With further research and optimization, they can address environmental challenges, promote sustainable waste management, and support affordable water treatment solutions.</w:t>
      </w:r>
    </w:p>
    <w:p w14:paraId="0C9A76E9" w14:textId="1CD092E7" w:rsidR="00F54EF7" w:rsidRDefault="00F54EF7" w:rsidP="00912D31">
      <w:pPr>
        <w:spacing w:line="240" w:lineRule="auto"/>
        <w:ind w:firstLine="720"/>
        <w:jc w:val="both"/>
        <w:rPr>
          <w:rFonts w:ascii="Arial" w:eastAsia="Times New Roman" w:hAnsi="Arial" w:cs="Arial"/>
          <w:sz w:val="20"/>
          <w:szCs w:val="20"/>
        </w:rPr>
      </w:pPr>
    </w:p>
    <w:p w14:paraId="0AE7A2FB" w14:textId="77777777" w:rsidR="00F54EF7" w:rsidRPr="00FE377D" w:rsidRDefault="00F54EF7" w:rsidP="00F54EF7">
      <w:pPr>
        <w:rPr>
          <w:rFonts w:ascii="Calibri" w:eastAsia="Calibri" w:hAnsi="Calibri" w:cs="Times New Roman"/>
          <w:b/>
          <w:kern w:val="2"/>
          <w:highlight w:val="yellow"/>
          <w:lang w:val="en-US"/>
        </w:rPr>
      </w:pPr>
      <w:bookmarkStart w:id="1" w:name="_Hlk180402183"/>
      <w:bookmarkStart w:id="2" w:name="_Hlk183680988"/>
      <w:r w:rsidRPr="00FE377D">
        <w:rPr>
          <w:rFonts w:ascii="Calibri" w:eastAsia="Calibri" w:hAnsi="Calibri" w:cs="Times New Roman"/>
          <w:b/>
          <w:kern w:val="2"/>
          <w:highlight w:val="yellow"/>
          <w:lang w:val="en-US"/>
        </w:rPr>
        <w:t>Disclaimer (Artificial intelligence)</w:t>
      </w:r>
    </w:p>
    <w:p w14:paraId="73641DD8" w14:textId="77777777" w:rsidR="00F54EF7" w:rsidRPr="009C5487" w:rsidRDefault="00F54EF7" w:rsidP="00F54EF7">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62D9DD2E" w14:textId="77777777" w:rsidR="00F54EF7" w:rsidRPr="009C5487" w:rsidRDefault="00F54EF7" w:rsidP="00F54EF7">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lastRenderedPageBreak/>
        <w:t>Author(s) hereby declare that NO generative AI technologies such as Large Language Models (</w:t>
      </w:r>
      <w:proofErr w:type="spellStart"/>
      <w:r w:rsidRPr="009C5487">
        <w:rPr>
          <w:rFonts w:ascii="Calibri" w:eastAsia="Calibri" w:hAnsi="Calibri" w:cs="Times New Roman"/>
          <w:kern w:val="2"/>
          <w:highlight w:val="yellow"/>
          <w:lang w:val="en-US"/>
        </w:rPr>
        <w:t>ChatGPT</w:t>
      </w:r>
      <w:proofErr w:type="spellEnd"/>
      <w:r w:rsidRPr="009C5487">
        <w:rPr>
          <w:rFonts w:ascii="Calibri" w:eastAsia="Calibri" w:hAnsi="Calibri" w:cs="Times New Roman"/>
          <w:kern w:val="2"/>
          <w:highlight w:val="yellow"/>
          <w:lang w:val="en-US"/>
        </w:rPr>
        <w:t xml:space="preserve">, COPILOT, etc.) and text-to-image generators have been used during the writing or editing of this manuscript. </w:t>
      </w:r>
    </w:p>
    <w:p w14:paraId="5B071556" w14:textId="77777777" w:rsidR="00F54EF7" w:rsidRPr="009C5487" w:rsidRDefault="00F54EF7" w:rsidP="00F54EF7">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2: </w:t>
      </w:r>
    </w:p>
    <w:p w14:paraId="39CA6619" w14:textId="77777777" w:rsidR="00F54EF7" w:rsidRPr="009C5487" w:rsidRDefault="00F54EF7" w:rsidP="00F54EF7">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4BBAF77" w14:textId="77777777" w:rsidR="00F54EF7" w:rsidRPr="009C5487" w:rsidRDefault="00F54EF7" w:rsidP="00F54EF7">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Details of the AI usage are given below:</w:t>
      </w:r>
    </w:p>
    <w:p w14:paraId="4F472EAA" w14:textId="77777777" w:rsidR="00F54EF7" w:rsidRPr="009C5487" w:rsidRDefault="00F54EF7" w:rsidP="00F54EF7">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p>
    <w:p w14:paraId="78D5FFB4" w14:textId="77777777" w:rsidR="00F54EF7" w:rsidRPr="009C5487" w:rsidRDefault="00F54EF7" w:rsidP="00F54EF7">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p>
    <w:p w14:paraId="44BF9553" w14:textId="77777777" w:rsidR="00F54EF7" w:rsidRPr="009C5487" w:rsidRDefault="00F54EF7" w:rsidP="00F54EF7">
      <w:pPr>
        <w:rPr>
          <w:rFonts w:ascii="Calibri" w:eastAsia="Calibri" w:hAnsi="Calibri" w:cs="Times New Roman"/>
          <w:kern w:val="2"/>
          <w:lang w:val="en-US"/>
        </w:rPr>
      </w:pPr>
      <w:r w:rsidRPr="009C5487">
        <w:rPr>
          <w:rFonts w:ascii="Calibri" w:eastAsia="Calibri" w:hAnsi="Calibri" w:cs="Times New Roman"/>
          <w:kern w:val="2"/>
          <w:highlight w:val="yellow"/>
          <w:lang w:val="en-US"/>
        </w:rPr>
        <w:t>3.</w:t>
      </w:r>
    </w:p>
    <w:bookmarkEnd w:id="1"/>
    <w:bookmarkEnd w:id="2"/>
    <w:p w14:paraId="08A05B9F" w14:textId="77777777" w:rsidR="00F54EF7" w:rsidRPr="00912D31" w:rsidRDefault="00F54EF7" w:rsidP="00912D31">
      <w:pPr>
        <w:spacing w:line="240" w:lineRule="auto"/>
        <w:ind w:firstLine="720"/>
        <w:jc w:val="both"/>
        <w:rPr>
          <w:rFonts w:ascii="Arial" w:eastAsia="Times New Roman" w:hAnsi="Arial" w:cs="Arial"/>
          <w:sz w:val="20"/>
          <w:szCs w:val="20"/>
        </w:rPr>
      </w:pPr>
    </w:p>
    <w:p w14:paraId="000000CF" w14:textId="044EEF60" w:rsidR="00D51113" w:rsidRPr="00CB3336" w:rsidRDefault="00D51113" w:rsidP="00CB3336">
      <w:pPr>
        <w:ind w:firstLine="720"/>
        <w:jc w:val="both"/>
        <w:rPr>
          <w:rFonts w:ascii="Arial" w:eastAsia="Times New Roman" w:hAnsi="Arial" w:cs="Arial"/>
          <w:sz w:val="20"/>
          <w:szCs w:val="20"/>
        </w:rPr>
      </w:pPr>
    </w:p>
    <w:p w14:paraId="000000D0" w14:textId="781FF7A5" w:rsidR="00D51113" w:rsidRPr="00CB3336" w:rsidRDefault="00CB3336">
      <w:pPr>
        <w:rPr>
          <w:rFonts w:ascii="Arial" w:eastAsia="Times New Roman" w:hAnsi="Arial" w:cs="Arial"/>
          <w:sz w:val="22"/>
          <w:szCs w:val="22"/>
        </w:rPr>
      </w:pPr>
      <w:r w:rsidRPr="00CB3336">
        <w:rPr>
          <w:rFonts w:ascii="Arial" w:eastAsia="Times New Roman" w:hAnsi="Arial" w:cs="Arial"/>
          <w:b/>
          <w:sz w:val="22"/>
          <w:szCs w:val="22"/>
        </w:rPr>
        <w:t xml:space="preserve">REFERENCES </w:t>
      </w:r>
    </w:p>
    <w:p w14:paraId="3B948B3F"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r w:rsidRPr="00DB053E">
        <w:rPr>
          <w:rFonts w:ascii="Arial" w:eastAsia="Times New Roman" w:hAnsi="Arial" w:cs="Arial"/>
          <w:sz w:val="20"/>
          <w:szCs w:val="20"/>
        </w:rPr>
        <w:t xml:space="preserve">Akhtar, N., Ishak, M. I. S., Ahmad, M. I., Umar, K., </w:t>
      </w:r>
      <w:proofErr w:type="spellStart"/>
      <w:r w:rsidRPr="00DB053E">
        <w:rPr>
          <w:rFonts w:ascii="Arial" w:eastAsia="Times New Roman" w:hAnsi="Arial" w:cs="Arial"/>
          <w:sz w:val="20"/>
          <w:szCs w:val="20"/>
        </w:rPr>
        <w:t>Yusuff</w:t>
      </w:r>
      <w:proofErr w:type="spellEnd"/>
      <w:r w:rsidRPr="00DB053E">
        <w:rPr>
          <w:rFonts w:ascii="Arial" w:eastAsia="Times New Roman" w:hAnsi="Arial" w:cs="Arial"/>
          <w:sz w:val="20"/>
          <w:szCs w:val="20"/>
        </w:rPr>
        <w:t xml:space="preserve">, M. S. M., </w:t>
      </w:r>
      <w:proofErr w:type="spellStart"/>
      <w:r w:rsidRPr="00DB053E">
        <w:rPr>
          <w:rFonts w:ascii="Arial" w:eastAsia="Times New Roman" w:hAnsi="Arial" w:cs="Arial"/>
          <w:sz w:val="20"/>
          <w:szCs w:val="20"/>
        </w:rPr>
        <w:t>Anees</w:t>
      </w:r>
      <w:proofErr w:type="spellEnd"/>
      <w:r w:rsidRPr="00DB053E">
        <w:rPr>
          <w:rFonts w:ascii="Arial" w:eastAsia="Times New Roman" w:hAnsi="Arial" w:cs="Arial"/>
          <w:sz w:val="20"/>
          <w:szCs w:val="20"/>
        </w:rPr>
        <w:t xml:space="preserve">, M. T., Qadir, A., &amp; </w:t>
      </w:r>
      <w:proofErr w:type="spellStart"/>
      <w:r w:rsidRPr="00DB053E">
        <w:rPr>
          <w:rFonts w:ascii="Arial" w:eastAsia="Times New Roman" w:hAnsi="Arial" w:cs="Arial"/>
          <w:sz w:val="20"/>
          <w:szCs w:val="20"/>
        </w:rPr>
        <w:t>Almanasir</w:t>
      </w:r>
      <w:proofErr w:type="spellEnd"/>
      <w:r w:rsidRPr="00DB053E">
        <w:rPr>
          <w:rFonts w:ascii="Arial" w:eastAsia="Times New Roman" w:hAnsi="Arial" w:cs="Arial"/>
          <w:sz w:val="20"/>
          <w:szCs w:val="20"/>
        </w:rPr>
        <w:t xml:space="preserve">, Y. K. A. (2021). Modification of the Water Quality Index (WQI) process for simple calculation using the Multi-Criteria Decision-Making (MCDM) method: A review. Water, 13(7), 905. </w:t>
      </w:r>
      <w:hyperlink r:id="rId10" w:history="1">
        <w:r w:rsidRPr="00DB053E">
          <w:rPr>
            <w:rStyle w:val="Hyperlink"/>
            <w:rFonts w:ascii="Arial" w:eastAsia="Times New Roman" w:hAnsi="Arial" w:cs="Arial"/>
            <w:color w:val="auto"/>
            <w:sz w:val="20"/>
            <w:szCs w:val="20"/>
            <w:u w:val="none"/>
          </w:rPr>
          <w:t>https://doi.org/10.3390/w13070905</w:t>
        </w:r>
      </w:hyperlink>
    </w:p>
    <w:p w14:paraId="4CAEC8D3"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r w:rsidRPr="00DB053E">
        <w:rPr>
          <w:rFonts w:ascii="Arial" w:eastAsia="Times New Roman" w:hAnsi="Arial" w:cs="Arial"/>
          <w:sz w:val="20"/>
          <w:szCs w:val="20"/>
        </w:rPr>
        <w:t xml:space="preserve">Rehman, M. S. U., Rashid, N., Ashfaq, M., </w:t>
      </w:r>
      <w:proofErr w:type="spellStart"/>
      <w:r w:rsidRPr="00DB053E">
        <w:rPr>
          <w:rFonts w:ascii="Arial" w:eastAsia="Times New Roman" w:hAnsi="Arial" w:cs="Arial"/>
          <w:sz w:val="20"/>
          <w:szCs w:val="20"/>
        </w:rPr>
        <w:t>Saif</w:t>
      </w:r>
      <w:proofErr w:type="spellEnd"/>
      <w:r w:rsidRPr="00DB053E">
        <w:rPr>
          <w:rFonts w:ascii="Arial" w:eastAsia="Times New Roman" w:hAnsi="Arial" w:cs="Arial"/>
          <w:sz w:val="20"/>
          <w:szCs w:val="20"/>
        </w:rPr>
        <w:t>, A., Ahmad, N., &amp; Han, J. (2015). Global risk of pharmaceutical contamination from highly populated developing countries. Chemosphere, 138, 1045–1055. https://doi.org/10.1016/j.chemosphere.2013.02.036</w:t>
      </w:r>
    </w:p>
    <w:p w14:paraId="685B37CB"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r w:rsidRPr="00DB053E">
        <w:rPr>
          <w:rFonts w:ascii="Arial" w:eastAsia="Times New Roman" w:hAnsi="Arial" w:cs="Arial"/>
          <w:sz w:val="20"/>
          <w:szCs w:val="20"/>
        </w:rPr>
        <w:t xml:space="preserve">Patel, N., Srivastav, A. L., Patel, A., Singh, A., Singh, S. K., Chaudhary, V. K., Singh, P. K., &amp; </w:t>
      </w:r>
      <w:proofErr w:type="spellStart"/>
      <w:r w:rsidRPr="00DB053E">
        <w:rPr>
          <w:rFonts w:ascii="Arial" w:eastAsia="Times New Roman" w:hAnsi="Arial" w:cs="Arial"/>
          <w:sz w:val="20"/>
          <w:szCs w:val="20"/>
        </w:rPr>
        <w:t>Bhunia</w:t>
      </w:r>
      <w:proofErr w:type="spellEnd"/>
      <w:r w:rsidRPr="00DB053E">
        <w:rPr>
          <w:rFonts w:ascii="Arial" w:eastAsia="Times New Roman" w:hAnsi="Arial" w:cs="Arial"/>
          <w:sz w:val="20"/>
          <w:szCs w:val="20"/>
        </w:rPr>
        <w:t xml:space="preserve">, B. (2022). Nitrate contamination in water resources, human health risks and its remediation through adsorption: a focused review. Environmental Science and Pollution Research, 29(46), 69137–69152. </w:t>
      </w:r>
      <w:hyperlink r:id="rId11" w:history="1">
        <w:r w:rsidRPr="00DB053E">
          <w:rPr>
            <w:rStyle w:val="Hyperlink"/>
            <w:rFonts w:ascii="Arial" w:eastAsia="Times New Roman" w:hAnsi="Arial" w:cs="Arial"/>
            <w:color w:val="auto"/>
            <w:sz w:val="20"/>
            <w:szCs w:val="20"/>
            <w:u w:val="none"/>
          </w:rPr>
          <w:t>https://doi.org/10.1007/s11356-022-22377-2</w:t>
        </w:r>
      </w:hyperlink>
    </w:p>
    <w:p w14:paraId="0E784B3A"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proofErr w:type="spellStart"/>
      <w:r w:rsidRPr="00DB053E">
        <w:rPr>
          <w:rFonts w:ascii="Arial" w:eastAsia="Times New Roman" w:hAnsi="Arial" w:cs="Arial"/>
          <w:sz w:val="20"/>
          <w:szCs w:val="20"/>
        </w:rPr>
        <w:t>Crini</w:t>
      </w:r>
      <w:proofErr w:type="spellEnd"/>
      <w:r w:rsidRPr="00DB053E">
        <w:rPr>
          <w:rFonts w:ascii="Arial" w:eastAsia="Times New Roman" w:hAnsi="Arial" w:cs="Arial"/>
          <w:sz w:val="20"/>
          <w:szCs w:val="20"/>
        </w:rPr>
        <w:t xml:space="preserve">, G., </w:t>
      </w:r>
      <w:proofErr w:type="spellStart"/>
      <w:r w:rsidRPr="00DB053E">
        <w:rPr>
          <w:rFonts w:ascii="Arial" w:eastAsia="Times New Roman" w:hAnsi="Arial" w:cs="Arial"/>
          <w:sz w:val="20"/>
          <w:szCs w:val="20"/>
        </w:rPr>
        <w:t>Lichtfouse</w:t>
      </w:r>
      <w:proofErr w:type="spellEnd"/>
      <w:r w:rsidRPr="00DB053E">
        <w:rPr>
          <w:rFonts w:ascii="Arial" w:eastAsia="Times New Roman" w:hAnsi="Arial" w:cs="Arial"/>
          <w:sz w:val="20"/>
          <w:szCs w:val="20"/>
        </w:rPr>
        <w:t>, E., Wilson, L. D., &amp; Morin-</w:t>
      </w:r>
      <w:proofErr w:type="spellStart"/>
      <w:r w:rsidRPr="00DB053E">
        <w:rPr>
          <w:rFonts w:ascii="Arial" w:eastAsia="Times New Roman" w:hAnsi="Arial" w:cs="Arial"/>
          <w:sz w:val="20"/>
          <w:szCs w:val="20"/>
        </w:rPr>
        <w:t>Crini</w:t>
      </w:r>
      <w:proofErr w:type="spellEnd"/>
      <w:r w:rsidRPr="00DB053E">
        <w:rPr>
          <w:rFonts w:ascii="Arial" w:eastAsia="Times New Roman" w:hAnsi="Arial" w:cs="Arial"/>
          <w:sz w:val="20"/>
          <w:szCs w:val="20"/>
        </w:rPr>
        <w:t>, N. (2018). Conventional and non-conventional adsorbents for wastewater treatment. Environmental Chemistry Letters, 17(1), 195–213. https://doi.org/10.1007/s10311-018-0786-8</w:t>
      </w:r>
    </w:p>
    <w:p w14:paraId="37EAB9CD"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proofErr w:type="spellStart"/>
      <w:r w:rsidRPr="00DB053E">
        <w:rPr>
          <w:rFonts w:ascii="Arial" w:eastAsia="Times New Roman" w:hAnsi="Arial" w:cs="Arial"/>
          <w:sz w:val="20"/>
          <w:szCs w:val="20"/>
        </w:rPr>
        <w:t>Ukhurebor</w:t>
      </w:r>
      <w:proofErr w:type="spellEnd"/>
      <w:r w:rsidRPr="00DB053E">
        <w:rPr>
          <w:rFonts w:ascii="Arial" w:eastAsia="Times New Roman" w:hAnsi="Arial" w:cs="Arial"/>
          <w:sz w:val="20"/>
          <w:szCs w:val="20"/>
        </w:rPr>
        <w:t xml:space="preserve">, K. E., Hossain, I., Pal, K., </w:t>
      </w:r>
      <w:proofErr w:type="spellStart"/>
      <w:r w:rsidRPr="00DB053E">
        <w:rPr>
          <w:rFonts w:ascii="Arial" w:eastAsia="Times New Roman" w:hAnsi="Arial" w:cs="Arial"/>
          <w:sz w:val="20"/>
          <w:szCs w:val="20"/>
        </w:rPr>
        <w:t>Jokthan</w:t>
      </w:r>
      <w:proofErr w:type="spellEnd"/>
      <w:r w:rsidRPr="00DB053E">
        <w:rPr>
          <w:rFonts w:ascii="Arial" w:eastAsia="Times New Roman" w:hAnsi="Arial" w:cs="Arial"/>
          <w:sz w:val="20"/>
          <w:szCs w:val="20"/>
        </w:rPr>
        <w:t xml:space="preserve">, G., </w:t>
      </w:r>
      <w:proofErr w:type="spellStart"/>
      <w:r w:rsidRPr="00DB053E">
        <w:rPr>
          <w:rFonts w:ascii="Arial" w:eastAsia="Times New Roman" w:hAnsi="Arial" w:cs="Arial"/>
          <w:sz w:val="20"/>
          <w:szCs w:val="20"/>
        </w:rPr>
        <w:t>Osang</w:t>
      </w:r>
      <w:proofErr w:type="spellEnd"/>
      <w:r w:rsidRPr="00DB053E">
        <w:rPr>
          <w:rFonts w:ascii="Arial" w:eastAsia="Times New Roman" w:hAnsi="Arial" w:cs="Arial"/>
          <w:sz w:val="20"/>
          <w:szCs w:val="20"/>
        </w:rPr>
        <w:t xml:space="preserve">, F., </w:t>
      </w:r>
      <w:proofErr w:type="spellStart"/>
      <w:r w:rsidRPr="00DB053E">
        <w:rPr>
          <w:rFonts w:ascii="Arial" w:eastAsia="Times New Roman" w:hAnsi="Arial" w:cs="Arial"/>
          <w:sz w:val="20"/>
          <w:szCs w:val="20"/>
        </w:rPr>
        <w:t>Ebrima</w:t>
      </w:r>
      <w:proofErr w:type="spellEnd"/>
      <w:r w:rsidRPr="00DB053E">
        <w:rPr>
          <w:rFonts w:ascii="Arial" w:eastAsia="Times New Roman" w:hAnsi="Arial" w:cs="Arial"/>
          <w:sz w:val="20"/>
          <w:szCs w:val="20"/>
        </w:rPr>
        <w:t xml:space="preserve">, F., &amp; </w:t>
      </w:r>
      <w:proofErr w:type="spellStart"/>
      <w:r w:rsidRPr="00DB053E">
        <w:rPr>
          <w:rFonts w:ascii="Arial" w:eastAsia="Times New Roman" w:hAnsi="Arial" w:cs="Arial"/>
          <w:sz w:val="20"/>
          <w:szCs w:val="20"/>
        </w:rPr>
        <w:t>Katal</w:t>
      </w:r>
      <w:proofErr w:type="spellEnd"/>
      <w:r w:rsidRPr="00DB053E">
        <w:rPr>
          <w:rFonts w:ascii="Arial" w:eastAsia="Times New Roman" w:hAnsi="Arial" w:cs="Arial"/>
          <w:sz w:val="20"/>
          <w:szCs w:val="20"/>
        </w:rPr>
        <w:t xml:space="preserve">, D. (2023). Applications and Contemporary Issues with Adsorption for Water Monitoring and Remediation: A Facile Review. Topics in Catalysis. </w:t>
      </w:r>
      <w:hyperlink r:id="rId12" w:history="1">
        <w:r w:rsidRPr="00DB053E">
          <w:rPr>
            <w:rStyle w:val="Hyperlink"/>
            <w:rFonts w:ascii="Arial" w:eastAsia="Times New Roman" w:hAnsi="Arial" w:cs="Arial"/>
            <w:color w:val="auto"/>
            <w:sz w:val="20"/>
            <w:szCs w:val="20"/>
            <w:u w:val="none"/>
          </w:rPr>
          <w:t>https://doi.org/10.1007/s11244-023-01817-4</w:t>
        </w:r>
      </w:hyperlink>
    </w:p>
    <w:p w14:paraId="42E6BD1F"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proofErr w:type="spellStart"/>
      <w:r w:rsidRPr="00DB053E">
        <w:rPr>
          <w:rFonts w:ascii="Arial" w:eastAsia="Times New Roman" w:hAnsi="Arial" w:cs="Arial"/>
          <w:sz w:val="20"/>
          <w:szCs w:val="20"/>
        </w:rPr>
        <w:t>Adewuyi</w:t>
      </w:r>
      <w:proofErr w:type="spellEnd"/>
      <w:r w:rsidRPr="00DB053E">
        <w:rPr>
          <w:rFonts w:ascii="Arial" w:eastAsia="Times New Roman" w:hAnsi="Arial" w:cs="Arial"/>
          <w:sz w:val="20"/>
          <w:szCs w:val="20"/>
        </w:rPr>
        <w:t xml:space="preserve">, A. (2020). Chemically modified </w:t>
      </w:r>
      <w:proofErr w:type="spellStart"/>
      <w:r w:rsidRPr="00DB053E">
        <w:rPr>
          <w:rFonts w:ascii="Arial" w:eastAsia="Times New Roman" w:hAnsi="Arial" w:cs="Arial"/>
          <w:sz w:val="20"/>
          <w:szCs w:val="20"/>
        </w:rPr>
        <w:t>biosorbents</w:t>
      </w:r>
      <w:proofErr w:type="spellEnd"/>
      <w:r w:rsidRPr="00DB053E">
        <w:rPr>
          <w:rFonts w:ascii="Arial" w:eastAsia="Times New Roman" w:hAnsi="Arial" w:cs="Arial"/>
          <w:sz w:val="20"/>
          <w:szCs w:val="20"/>
        </w:rPr>
        <w:t xml:space="preserve"> and their role. in the removal of emerging pharmaceutical waste in the water system. Water 12:1551. </w:t>
      </w:r>
      <w:proofErr w:type="spellStart"/>
      <w:r w:rsidRPr="00DB053E">
        <w:rPr>
          <w:rFonts w:ascii="Arial" w:eastAsia="Times New Roman" w:hAnsi="Arial" w:cs="Arial"/>
          <w:sz w:val="20"/>
          <w:szCs w:val="20"/>
        </w:rPr>
        <w:t>doi</w:t>
      </w:r>
      <w:proofErr w:type="spellEnd"/>
      <w:r w:rsidRPr="00DB053E">
        <w:rPr>
          <w:rFonts w:ascii="Arial" w:eastAsia="Times New Roman" w:hAnsi="Arial" w:cs="Arial"/>
          <w:sz w:val="20"/>
          <w:szCs w:val="20"/>
        </w:rPr>
        <w:t>: 10.3390/w12061551</w:t>
      </w:r>
    </w:p>
    <w:p w14:paraId="28F22B53"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proofErr w:type="spellStart"/>
      <w:r w:rsidRPr="00D70913">
        <w:rPr>
          <w:rFonts w:ascii="Arial" w:eastAsia="Times New Roman" w:hAnsi="Arial" w:cs="Arial"/>
          <w:sz w:val="20"/>
          <w:szCs w:val="20"/>
          <w:lang w:val="es-US"/>
        </w:rPr>
        <w:lastRenderedPageBreak/>
        <w:t>Bradu</w:t>
      </w:r>
      <w:proofErr w:type="spellEnd"/>
      <w:r w:rsidRPr="00D70913">
        <w:rPr>
          <w:rFonts w:ascii="Arial" w:eastAsia="Times New Roman" w:hAnsi="Arial" w:cs="Arial"/>
          <w:sz w:val="20"/>
          <w:szCs w:val="20"/>
          <w:lang w:val="es-US"/>
        </w:rPr>
        <w:t xml:space="preserve">, P., Biswas, A., Nair, C., </w:t>
      </w:r>
      <w:proofErr w:type="spellStart"/>
      <w:r w:rsidRPr="00D70913">
        <w:rPr>
          <w:rFonts w:ascii="Arial" w:eastAsia="Times New Roman" w:hAnsi="Arial" w:cs="Arial"/>
          <w:sz w:val="20"/>
          <w:szCs w:val="20"/>
          <w:lang w:val="es-US"/>
        </w:rPr>
        <w:t>Sreevalsakumar</w:t>
      </w:r>
      <w:proofErr w:type="spellEnd"/>
      <w:r w:rsidRPr="00D70913">
        <w:rPr>
          <w:rFonts w:ascii="Arial" w:eastAsia="Times New Roman" w:hAnsi="Arial" w:cs="Arial"/>
          <w:sz w:val="20"/>
          <w:szCs w:val="20"/>
          <w:lang w:val="es-US"/>
        </w:rPr>
        <w:t xml:space="preserve">, S., </w:t>
      </w:r>
      <w:proofErr w:type="spellStart"/>
      <w:r w:rsidRPr="00D70913">
        <w:rPr>
          <w:rFonts w:ascii="Arial" w:eastAsia="Times New Roman" w:hAnsi="Arial" w:cs="Arial"/>
          <w:sz w:val="20"/>
          <w:szCs w:val="20"/>
          <w:lang w:val="es-US"/>
        </w:rPr>
        <w:t>Patil</w:t>
      </w:r>
      <w:proofErr w:type="spellEnd"/>
      <w:r w:rsidRPr="00D70913">
        <w:rPr>
          <w:rFonts w:ascii="Arial" w:eastAsia="Times New Roman" w:hAnsi="Arial" w:cs="Arial"/>
          <w:sz w:val="20"/>
          <w:szCs w:val="20"/>
          <w:lang w:val="es-US"/>
        </w:rPr>
        <w:t xml:space="preserve">, M., </w:t>
      </w:r>
      <w:proofErr w:type="spellStart"/>
      <w:r w:rsidRPr="00D70913">
        <w:rPr>
          <w:rFonts w:ascii="Arial" w:eastAsia="Times New Roman" w:hAnsi="Arial" w:cs="Arial"/>
          <w:sz w:val="20"/>
          <w:szCs w:val="20"/>
          <w:lang w:val="es-US"/>
        </w:rPr>
        <w:t>Kannampuzha</w:t>
      </w:r>
      <w:proofErr w:type="spellEnd"/>
      <w:r w:rsidRPr="00D70913">
        <w:rPr>
          <w:rFonts w:ascii="Arial" w:eastAsia="Times New Roman" w:hAnsi="Arial" w:cs="Arial"/>
          <w:sz w:val="20"/>
          <w:szCs w:val="20"/>
          <w:lang w:val="es-US"/>
        </w:rPr>
        <w:t xml:space="preserve">, S., et al. </w:t>
      </w:r>
      <w:r w:rsidRPr="00DB053E">
        <w:rPr>
          <w:rFonts w:ascii="Arial" w:eastAsia="Times New Roman" w:hAnsi="Arial" w:cs="Arial"/>
          <w:sz w:val="20"/>
          <w:szCs w:val="20"/>
        </w:rPr>
        <w:t xml:space="preserve">(2022). Recent advances in green technology and industrial revolution 4.0 for a sustainable future. Environ. Sci. </w:t>
      </w:r>
      <w:proofErr w:type="spellStart"/>
      <w:r w:rsidRPr="00DB053E">
        <w:rPr>
          <w:rFonts w:ascii="Arial" w:eastAsia="Times New Roman" w:hAnsi="Arial" w:cs="Arial"/>
          <w:sz w:val="20"/>
          <w:szCs w:val="20"/>
        </w:rPr>
        <w:t>Pollut</w:t>
      </w:r>
      <w:proofErr w:type="spellEnd"/>
      <w:r w:rsidRPr="00DB053E">
        <w:rPr>
          <w:rFonts w:ascii="Arial" w:eastAsia="Times New Roman" w:hAnsi="Arial" w:cs="Arial"/>
          <w:sz w:val="20"/>
          <w:szCs w:val="20"/>
        </w:rPr>
        <w:t xml:space="preserve">. Res. 1–32. </w:t>
      </w:r>
      <w:proofErr w:type="spellStart"/>
      <w:r w:rsidRPr="00DB053E">
        <w:rPr>
          <w:rFonts w:ascii="Arial" w:eastAsia="Times New Roman" w:hAnsi="Arial" w:cs="Arial"/>
          <w:sz w:val="20"/>
          <w:szCs w:val="20"/>
        </w:rPr>
        <w:t>doi</w:t>
      </w:r>
      <w:proofErr w:type="spellEnd"/>
      <w:r w:rsidRPr="00DB053E">
        <w:rPr>
          <w:rFonts w:ascii="Arial" w:eastAsia="Times New Roman" w:hAnsi="Arial" w:cs="Arial"/>
          <w:sz w:val="20"/>
          <w:szCs w:val="20"/>
        </w:rPr>
        <w:t>: 10.1007/s11356-022-20024-4</w:t>
      </w:r>
    </w:p>
    <w:p w14:paraId="6D74D98E"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r w:rsidRPr="00DB053E">
        <w:rPr>
          <w:rFonts w:ascii="Arial" w:eastAsia="Times New Roman" w:hAnsi="Arial" w:cs="Arial"/>
          <w:sz w:val="20"/>
          <w:szCs w:val="20"/>
        </w:rPr>
        <w:t>Qi, Y., Wei, W., Chen, C., &amp; Chen, L. (2019). Plant root-shoot biomass allocation over diverse biomes: A global synthesis. Global Ecology and Conservation, 18, e00606. https://doi.org/10.1016/j.gecco.2019.e00606</w:t>
      </w:r>
    </w:p>
    <w:p w14:paraId="36CB0496"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r w:rsidRPr="00DB053E">
        <w:rPr>
          <w:rFonts w:ascii="Arial" w:eastAsia="Times New Roman" w:hAnsi="Arial" w:cs="Arial"/>
          <w:sz w:val="20"/>
          <w:szCs w:val="20"/>
        </w:rPr>
        <w:t xml:space="preserve">Garg, R., Garg, R., Thakur, A., &amp; </w:t>
      </w:r>
      <w:proofErr w:type="spellStart"/>
      <w:r w:rsidRPr="00DB053E">
        <w:rPr>
          <w:rFonts w:ascii="Arial" w:eastAsia="Times New Roman" w:hAnsi="Arial" w:cs="Arial"/>
          <w:sz w:val="20"/>
          <w:szCs w:val="20"/>
        </w:rPr>
        <w:t>Arif</w:t>
      </w:r>
      <w:proofErr w:type="spellEnd"/>
      <w:r w:rsidRPr="00DB053E">
        <w:rPr>
          <w:rFonts w:ascii="Arial" w:eastAsia="Times New Roman" w:hAnsi="Arial" w:cs="Arial"/>
          <w:sz w:val="20"/>
          <w:szCs w:val="20"/>
        </w:rPr>
        <w:t xml:space="preserve">, S. M. (2021). Water remediation using </w:t>
      </w:r>
      <w:proofErr w:type="spellStart"/>
      <w:r w:rsidRPr="00DB053E">
        <w:rPr>
          <w:rFonts w:ascii="Arial" w:eastAsia="Times New Roman" w:hAnsi="Arial" w:cs="Arial"/>
          <w:sz w:val="20"/>
          <w:szCs w:val="20"/>
        </w:rPr>
        <w:t>biosorbent</w:t>
      </w:r>
      <w:proofErr w:type="spellEnd"/>
      <w:r w:rsidRPr="00DB053E">
        <w:rPr>
          <w:rFonts w:ascii="Arial" w:eastAsia="Times New Roman" w:hAnsi="Arial" w:cs="Arial"/>
          <w:sz w:val="20"/>
          <w:szCs w:val="20"/>
        </w:rPr>
        <w:t xml:space="preserve"> obtained from agricultural and fruit waste. Materials Today Proceedings, 46, 6669–6672. https://doi.org/10.1016/j.matpr.2021.04.132</w:t>
      </w:r>
    </w:p>
    <w:p w14:paraId="257BCCD4"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proofErr w:type="spellStart"/>
      <w:r w:rsidRPr="00DB053E">
        <w:rPr>
          <w:rFonts w:ascii="Arial" w:eastAsia="Times New Roman" w:hAnsi="Arial" w:cs="Arial"/>
          <w:sz w:val="20"/>
          <w:szCs w:val="20"/>
        </w:rPr>
        <w:t>Nugraha</w:t>
      </w:r>
      <w:proofErr w:type="spellEnd"/>
      <w:r w:rsidRPr="00DB053E">
        <w:rPr>
          <w:rFonts w:ascii="Arial" w:eastAsia="Times New Roman" w:hAnsi="Arial" w:cs="Arial"/>
          <w:sz w:val="20"/>
          <w:szCs w:val="20"/>
        </w:rPr>
        <w:t xml:space="preserve">, B., </w:t>
      </w:r>
      <w:proofErr w:type="spellStart"/>
      <w:r w:rsidRPr="00DB053E">
        <w:rPr>
          <w:rFonts w:ascii="Arial" w:eastAsia="Times New Roman" w:hAnsi="Arial" w:cs="Arial"/>
          <w:sz w:val="20"/>
          <w:szCs w:val="20"/>
        </w:rPr>
        <w:t>Verboven</w:t>
      </w:r>
      <w:proofErr w:type="spellEnd"/>
      <w:r w:rsidRPr="00DB053E">
        <w:rPr>
          <w:rFonts w:ascii="Arial" w:eastAsia="Times New Roman" w:hAnsi="Arial" w:cs="Arial"/>
          <w:sz w:val="20"/>
          <w:szCs w:val="20"/>
        </w:rPr>
        <w:t xml:space="preserve">, P., Janssen, S., Wang, Z., &amp; </w:t>
      </w:r>
      <w:proofErr w:type="spellStart"/>
      <w:r w:rsidRPr="00DB053E">
        <w:rPr>
          <w:rFonts w:ascii="Arial" w:eastAsia="Times New Roman" w:hAnsi="Arial" w:cs="Arial"/>
          <w:sz w:val="20"/>
          <w:szCs w:val="20"/>
        </w:rPr>
        <w:t>Nicolaï</w:t>
      </w:r>
      <w:proofErr w:type="spellEnd"/>
      <w:r w:rsidRPr="00DB053E">
        <w:rPr>
          <w:rFonts w:ascii="Arial" w:eastAsia="Times New Roman" w:hAnsi="Arial" w:cs="Arial"/>
          <w:sz w:val="20"/>
          <w:szCs w:val="20"/>
        </w:rPr>
        <w:t>, B. M. (2019). Non-destructive porosity mapping of fruit and vegetables using X-ray CT. Postharvest Biology and Technology, 150, 80–88.</w:t>
      </w:r>
      <w:hyperlink r:id="rId13">
        <w:r w:rsidRPr="00DB053E">
          <w:rPr>
            <w:rFonts w:ascii="Arial" w:eastAsia="Times New Roman" w:hAnsi="Arial" w:cs="Arial"/>
            <w:sz w:val="20"/>
            <w:szCs w:val="20"/>
          </w:rPr>
          <w:t xml:space="preserve"> https://doi.org/10.1016/j.postharvbio.2018.12.016</w:t>
        </w:r>
      </w:hyperlink>
    </w:p>
    <w:p w14:paraId="196DAECB"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r w:rsidRPr="00D70913">
        <w:rPr>
          <w:rFonts w:ascii="Arial" w:eastAsia="Times New Roman" w:hAnsi="Arial" w:cs="Arial"/>
          <w:sz w:val="20"/>
          <w:szCs w:val="20"/>
          <w:lang w:val="es-US"/>
        </w:rPr>
        <w:t xml:space="preserve">Umaña, M., </w:t>
      </w:r>
      <w:proofErr w:type="spellStart"/>
      <w:r w:rsidRPr="00D70913">
        <w:rPr>
          <w:rFonts w:ascii="Arial" w:eastAsia="Times New Roman" w:hAnsi="Arial" w:cs="Arial"/>
          <w:sz w:val="20"/>
          <w:szCs w:val="20"/>
          <w:lang w:val="es-US"/>
        </w:rPr>
        <w:t>Calahorro</w:t>
      </w:r>
      <w:proofErr w:type="spellEnd"/>
      <w:r w:rsidRPr="00D70913">
        <w:rPr>
          <w:rFonts w:ascii="Arial" w:eastAsia="Times New Roman" w:hAnsi="Arial" w:cs="Arial"/>
          <w:sz w:val="20"/>
          <w:szCs w:val="20"/>
          <w:lang w:val="es-US"/>
        </w:rPr>
        <w:t xml:space="preserve">, M., </w:t>
      </w:r>
      <w:proofErr w:type="spellStart"/>
      <w:r w:rsidRPr="00D70913">
        <w:rPr>
          <w:rFonts w:ascii="Arial" w:eastAsia="Times New Roman" w:hAnsi="Arial" w:cs="Arial"/>
          <w:sz w:val="20"/>
          <w:szCs w:val="20"/>
          <w:lang w:val="es-US"/>
        </w:rPr>
        <w:t>Eim</w:t>
      </w:r>
      <w:proofErr w:type="spellEnd"/>
      <w:r w:rsidRPr="00D70913">
        <w:rPr>
          <w:rFonts w:ascii="Arial" w:eastAsia="Times New Roman" w:hAnsi="Arial" w:cs="Arial"/>
          <w:sz w:val="20"/>
          <w:szCs w:val="20"/>
          <w:lang w:val="es-US"/>
        </w:rPr>
        <w:t xml:space="preserve">, V., Rosselló, C., &amp; </w:t>
      </w:r>
      <w:proofErr w:type="spellStart"/>
      <w:r w:rsidRPr="00D70913">
        <w:rPr>
          <w:rFonts w:ascii="Arial" w:eastAsia="Times New Roman" w:hAnsi="Arial" w:cs="Arial"/>
          <w:sz w:val="20"/>
          <w:szCs w:val="20"/>
          <w:lang w:val="es-US"/>
        </w:rPr>
        <w:t>Simal</w:t>
      </w:r>
      <w:proofErr w:type="spellEnd"/>
      <w:r w:rsidRPr="00D70913">
        <w:rPr>
          <w:rFonts w:ascii="Arial" w:eastAsia="Times New Roman" w:hAnsi="Arial" w:cs="Arial"/>
          <w:sz w:val="20"/>
          <w:szCs w:val="20"/>
          <w:lang w:val="es-US"/>
        </w:rPr>
        <w:t xml:space="preserve">, S. (2022). </w:t>
      </w:r>
      <w:r w:rsidRPr="00DB053E">
        <w:rPr>
          <w:rFonts w:ascii="Arial" w:eastAsia="Times New Roman" w:hAnsi="Arial" w:cs="Arial"/>
          <w:sz w:val="20"/>
          <w:szCs w:val="20"/>
        </w:rPr>
        <w:t xml:space="preserve">Measurement of microstructural changes promoted by ultrasound application on plant materials with different porosity. </w:t>
      </w:r>
      <w:proofErr w:type="spellStart"/>
      <w:r w:rsidRPr="00DB053E">
        <w:rPr>
          <w:rFonts w:ascii="Arial" w:eastAsia="Times New Roman" w:hAnsi="Arial" w:cs="Arial"/>
          <w:sz w:val="20"/>
          <w:szCs w:val="20"/>
        </w:rPr>
        <w:t>Ultrasonics</w:t>
      </w:r>
      <w:proofErr w:type="spellEnd"/>
      <w:r w:rsidRPr="00DB053E">
        <w:rPr>
          <w:rFonts w:ascii="Arial" w:eastAsia="Times New Roman" w:hAnsi="Arial" w:cs="Arial"/>
          <w:sz w:val="20"/>
          <w:szCs w:val="20"/>
        </w:rPr>
        <w:t xml:space="preserve"> Sonochemistry, 88, 106087. https://doi.org/10.1016/j.ultsonch.2022.106087</w:t>
      </w:r>
    </w:p>
    <w:p w14:paraId="1FD76A0E"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proofErr w:type="spellStart"/>
      <w:r w:rsidRPr="00DB053E">
        <w:rPr>
          <w:rFonts w:ascii="Arial" w:eastAsia="Times New Roman" w:hAnsi="Arial" w:cs="Arial"/>
          <w:sz w:val="20"/>
          <w:szCs w:val="20"/>
        </w:rPr>
        <w:t>Ramazanoğlu</w:t>
      </w:r>
      <w:proofErr w:type="spellEnd"/>
      <w:r w:rsidRPr="00DB053E">
        <w:rPr>
          <w:rFonts w:ascii="Arial" w:eastAsia="Times New Roman" w:hAnsi="Arial" w:cs="Arial"/>
          <w:sz w:val="20"/>
          <w:szCs w:val="20"/>
        </w:rPr>
        <w:t xml:space="preserve">, D., Mohammed, Z. A., </w:t>
      </w:r>
      <w:proofErr w:type="spellStart"/>
      <w:r w:rsidRPr="00DB053E">
        <w:rPr>
          <w:rFonts w:ascii="Arial" w:eastAsia="Times New Roman" w:hAnsi="Arial" w:cs="Arial"/>
          <w:sz w:val="20"/>
          <w:szCs w:val="20"/>
        </w:rPr>
        <w:t>Khalo</w:t>
      </w:r>
      <w:proofErr w:type="spellEnd"/>
      <w:r w:rsidRPr="00DB053E">
        <w:rPr>
          <w:rFonts w:ascii="Arial" w:eastAsia="Times New Roman" w:hAnsi="Arial" w:cs="Arial"/>
          <w:sz w:val="20"/>
          <w:szCs w:val="20"/>
        </w:rPr>
        <w:t xml:space="preserve">, I., &amp; Maher, K. (2022). </w:t>
      </w:r>
      <w:proofErr w:type="spellStart"/>
      <w:r w:rsidRPr="00DB053E">
        <w:rPr>
          <w:rFonts w:ascii="Arial" w:eastAsia="Times New Roman" w:hAnsi="Arial" w:cs="Arial"/>
          <w:sz w:val="20"/>
          <w:szCs w:val="20"/>
        </w:rPr>
        <w:t>Aubergine</w:t>
      </w:r>
      <w:proofErr w:type="spellEnd"/>
      <w:r w:rsidRPr="00DB053E">
        <w:rPr>
          <w:rFonts w:ascii="Arial" w:eastAsia="Times New Roman" w:hAnsi="Arial" w:cs="Arial"/>
          <w:sz w:val="20"/>
          <w:szCs w:val="20"/>
        </w:rPr>
        <w:t xml:space="preserve">-based </w:t>
      </w:r>
      <w:proofErr w:type="spellStart"/>
      <w:r w:rsidRPr="00DB053E">
        <w:rPr>
          <w:rFonts w:ascii="Arial" w:eastAsia="Times New Roman" w:hAnsi="Arial" w:cs="Arial"/>
          <w:sz w:val="20"/>
          <w:szCs w:val="20"/>
        </w:rPr>
        <w:t>biosorbents</w:t>
      </w:r>
      <w:proofErr w:type="spellEnd"/>
      <w:r w:rsidRPr="00DB053E">
        <w:rPr>
          <w:rFonts w:ascii="Arial" w:eastAsia="Times New Roman" w:hAnsi="Arial" w:cs="Arial"/>
          <w:sz w:val="20"/>
          <w:szCs w:val="20"/>
        </w:rPr>
        <w:t xml:space="preserve"> for heavy metal extraction. Bayburt </w:t>
      </w:r>
      <w:proofErr w:type="spellStart"/>
      <w:r w:rsidRPr="00DB053E">
        <w:rPr>
          <w:rFonts w:ascii="Arial" w:eastAsia="Times New Roman" w:hAnsi="Arial" w:cs="Arial"/>
          <w:sz w:val="20"/>
          <w:szCs w:val="20"/>
        </w:rPr>
        <w:t>Üniversitesi</w:t>
      </w:r>
      <w:proofErr w:type="spellEnd"/>
      <w:r w:rsidRPr="00DB053E">
        <w:rPr>
          <w:rFonts w:ascii="Arial" w:eastAsia="Times New Roman" w:hAnsi="Arial" w:cs="Arial"/>
          <w:sz w:val="20"/>
          <w:szCs w:val="20"/>
        </w:rPr>
        <w:t xml:space="preserve"> Fen </w:t>
      </w:r>
      <w:proofErr w:type="spellStart"/>
      <w:r w:rsidRPr="00DB053E">
        <w:rPr>
          <w:rFonts w:ascii="Arial" w:eastAsia="Times New Roman" w:hAnsi="Arial" w:cs="Arial"/>
          <w:sz w:val="20"/>
          <w:szCs w:val="20"/>
        </w:rPr>
        <w:t>Bilimleri</w:t>
      </w:r>
      <w:proofErr w:type="spellEnd"/>
      <w:r w:rsidRPr="00DB053E">
        <w:rPr>
          <w:rFonts w:ascii="Arial" w:eastAsia="Times New Roman" w:hAnsi="Arial" w:cs="Arial"/>
          <w:sz w:val="20"/>
          <w:szCs w:val="20"/>
        </w:rPr>
        <w:t xml:space="preserve"> </w:t>
      </w:r>
      <w:proofErr w:type="spellStart"/>
      <w:r w:rsidRPr="00DB053E">
        <w:rPr>
          <w:rFonts w:ascii="Arial" w:eastAsia="Times New Roman" w:hAnsi="Arial" w:cs="Arial"/>
          <w:sz w:val="20"/>
          <w:szCs w:val="20"/>
        </w:rPr>
        <w:t>Dergisi</w:t>
      </w:r>
      <w:proofErr w:type="spellEnd"/>
      <w:r w:rsidRPr="00DB053E">
        <w:rPr>
          <w:rFonts w:ascii="Arial" w:eastAsia="Times New Roman" w:hAnsi="Arial" w:cs="Arial"/>
          <w:sz w:val="20"/>
          <w:szCs w:val="20"/>
        </w:rPr>
        <w:t>, 5(2), 198–205. https://doi.org/10.55117/bufbd.1131122</w:t>
      </w:r>
    </w:p>
    <w:p w14:paraId="260C596E"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proofErr w:type="spellStart"/>
      <w:r w:rsidRPr="00DB053E">
        <w:rPr>
          <w:rFonts w:ascii="Arial" w:eastAsia="Times New Roman" w:hAnsi="Arial" w:cs="Arial"/>
          <w:sz w:val="20"/>
          <w:szCs w:val="20"/>
        </w:rPr>
        <w:t>Darvanjooghi</w:t>
      </w:r>
      <w:proofErr w:type="spellEnd"/>
      <w:r w:rsidRPr="00DB053E">
        <w:rPr>
          <w:rFonts w:ascii="Arial" w:eastAsia="Times New Roman" w:hAnsi="Arial" w:cs="Arial"/>
          <w:sz w:val="20"/>
          <w:szCs w:val="20"/>
        </w:rPr>
        <w:t xml:space="preserve">, M. H. K., </w:t>
      </w:r>
      <w:proofErr w:type="spellStart"/>
      <w:r w:rsidRPr="00DB053E">
        <w:rPr>
          <w:rFonts w:ascii="Arial" w:eastAsia="Times New Roman" w:hAnsi="Arial" w:cs="Arial"/>
          <w:sz w:val="20"/>
          <w:szCs w:val="20"/>
        </w:rPr>
        <w:t>Davoodi</w:t>
      </w:r>
      <w:proofErr w:type="spellEnd"/>
      <w:r w:rsidRPr="00DB053E">
        <w:rPr>
          <w:rFonts w:ascii="Arial" w:eastAsia="Times New Roman" w:hAnsi="Arial" w:cs="Arial"/>
          <w:sz w:val="20"/>
          <w:szCs w:val="20"/>
        </w:rPr>
        <w:t xml:space="preserve">, S. M., </w:t>
      </w:r>
      <w:proofErr w:type="spellStart"/>
      <w:r w:rsidRPr="00DB053E">
        <w:rPr>
          <w:rFonts w:ascii="Arial" w:eastAsia="Times New Roman" w:hAnsi="Arial" w:cs="Arial"/>
          <w:sz w:val="20"/>
          <w:szCs w:val="20"/>
        </w:rPr>
        <w:t>Dursun</w:t>
      </w:r>
      <w:proofErr w:type="spellEnd"/>
      <w:r w:rsidRPr="00DB053E">
        <w:rPr>
          <w:rFonts w:ascii="Arial" w:eastAsia="Times New Roman" w:hAnsi="Arial" w:cs="Arial"/>
          <w:sz w:val="20"/>
          <w:szCs w:val="20"/>
        </w:rPr>
        <w:t xml:space="preserve">, A. Y., </w:t>
      </w:r>
      <w:proofErr w:type="spellStart"/>
      <w:r w:rsidRPr="00DB053E">
        <w:rPr>
          <w:rFonts w:ascii="Arial" w:eastAsia="Times New Roman" w:hAnsi="Arial" w:cs="Arial"/>
          <w:sz w:val="20"/>
          <w:szCs w:val="20"/>
        </w:rPr>
        <w:t>Ehsani</w:t>
      </w:r>
      <w:proofErr w:type="spellEnd"/>
      <w:r w:rsidRPr="00DB053E">
        <w:rPr>
          <w:rFonts w:ascii="Arial" w:eastAsia="Times New Roman" w:hAnsi="Arial" w:cs="Arial"/>
          <w:sz w:val="20"/>
          <w:szCs w:val="20"/>
        </w:rPr>
        <w:t xml:space="preserve">, M. R., </w:t>
      </w:r>
      <w:proofErr w:type="spellStart"/>
      <w:r w:rsidRPr="00DB053E">
        <w:rPr>
          <w:rFonts w:ascii="Arial" w:eastAsia="Times New Roman" w:hAnsi="Arial" w:cs="Arial"/>
          <w:sz w:val="20"/>
          <w:szCs w:val="20"/>
        </w:rPr>
        <w:t>Karimpour</w:t>
      </w:r>
      <w:proofErr w:type="spellEnd"/>
      <w:r w:rsidRPr="00DB053E">
        <w:rPr>
          <w:rFonts w:ascii="Arial" w:eastAsia="Times New Roman" w:hAnsi="Arial" w:cs="Arial"/>
          <w:sz w:val="20"/>
          <w:szCs w:val="20"/>
        </w:rPr>
        <w:t>, I., &amp; Ameri, E. (2018). Application of treated eggplant peel as a low-cost adsorbent for water treatment toward elimination of Pb2+: Kinetic modeling and isotherm study. Adsorption Science &amp; Technology, 36(3–4), 1112–1143. https://doi.org/10.1177/0263617417753784</w:t>
      </w:r>
    </w:p>
    <w:p w14:paraId="42CF893B"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r w:rsidRPr="00DB053E">
        <w:rPr>
          <w:rFonts w:ascii="Arial" w:eastAsia="Times New Roman" w:hAnsi="Arial" w:cs="Arial"/>
          <w:sz w:val="20"/>
          <w:szCs w:val="20"/>
        </w:rPr>
        <w:t xml:space="preserve">Patel, P., Gupta, S., &amp; Mondal, P. (2022). Modeling and optimization of process parameters of MB dye adsorption using waste-derived chemically activated </w:t>
      </w:r>
      <w:proofErr w:type="spellStart"/>
      <w:r w:rsidRPr="00DB053E">
        <w:rPr>
          <w:rFonts w:ascii="Arial" w:eastAsia="Times New Roman" w:hAnsi="Arial" w:cs="Arial"/>
          <w:sz w:val="20"/>
          <w:szCs w:val="20"/>
        </w:rPr>
        <w:t>biosorbents</w:t>
      </w:r>
      <w:proofErr w:type="spellEnd"/>
      <w:r w:rsidRPr="00DB053E">
        <w:rPr>
          <w:rFonts w:ascii="Arial" w:eastAsia="Times New Roman" w:hAnsi="Arial" w:cs="Arial"/>
          <w:sz w:val="20"/>
          <w:szCs w:val="20"/>
        </w:rPr>
        <w:t>. Biomass Conversion and Biorefinery, 13(15), 13461–13480. https://doi.org/10.1007/s13399-022-02693-w</w:t>
      </w:r>
    </w:p>
    <w:p w14:paraId="2ED08615"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r w:rsidRPr="00DB053E">
        <w:rPr>
          <w:rFonts w:ascii="Arial" w:eastAsia="Times New Roman" w:hAnsi="Arial" w:cs="Arial"/>
          <w:sz w:val="20"/>
          <w:szCs w:val="20"/>
        </w:rPr>
        <w:t xml:space="preserve">Song, T., Yu, S., Wang, X., Teng, C., Bai, X., Liang, J., Dong, L., Ouyang, F., Qu, J., &amp; </w:t>
      </w:r>
      <w:proofErr w:type="spellStart"/>
      <w:r w:rsidRPr="00DB053E">
        <w:rPr>
          <w:rFonts w:ascii="Arial" w:eastAsia="Times New Roman" w:hAnsi="Arial" w:cs="Arial"/>
          <w:sz w:val="20"/>
          <w:szCs w:val="20"/>
        </w:rPr>
        <w:t>Jin</w:t>
      </w:r>
      <w:proofErr w:type="spellEnd"/>
      <w:r w:rsidRPr="00DB053E">
        <w:rPr>
          <w:rFonts w:ascii="Arial" w:eastAsia="Times New Roman" w:hAnsi="Arial" w:cs="Arial"/>
          <w:sz w:val="20"/>
          <w:szCs w:val="20"/>
        </w:rPr>
        <w:t xml:space="preserve">, Y. (2017). Biosorption of Lead(II) from Aqueous Solution by Sodium Hydroxide Modified </w:t>
      </w:r>
      <w:proofErr w:type="spellStart"/>
      <w:r w:rsidRPr="00DB053E">
        <w:rPr>
          <w:rFonts w:ascii="Arial" w:eastAsia="Times New Roman" w:hAnsi="Arial" w:cs="Arial"/>
          <w:sz w:val="20"/>
          <w:szCs w:val="20"/>
        </w:rPr>
        <w:t>Auricularia</w:t>
      </w:r>
      <w:proofErr w:type="spellEnd"/>
      <w:r w:rsidRPr="00DB053E">
        <w:rPr>
          <w:rFonts w:ascii="Arial" w:eastAsia="Times New Roman" w:hAnsi="Arial" w:cs="Arial"/>
          <w:sz w:val="20"/>
          <w:szCs w:val="20"/>
        </w:rPr>
        <w:t xml:space="preserve"> auricular Spent Substrate: Isotherms, Kinetics, and Mechanisms. Water Air &amp; Soil Pollution, 228(7). https://doi.org/10.1007/s11270-017-3419-0</w:t>
      </w:r>
    </w:p>
    <w:p w14:paraId="10B4B1D1"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proofErr w:type="spellStart"/>
      <w:r w:rsidRPr="00DB053E">
        <w:rPr>
          <w:rFonts w:ascii="Arial" w:eastAsia="Times New Roman" w:hAnsi="Arial" w:cs="Arial"/>
          <w:sz w:val="20"/>
          <w:szCs w:val="20"/>
        </w:rPr>
        <w:t>Golie</w:t>
      </w:r>
      <w:proofErr w:type="spellEnd"/>
      <w:r w:rsidRPr="00DB053E">
        <w:rPr>
          <w:rFonts w:ascii="Arial" w:eastAsia="Times New Roman" w:hAnsi="Arial" w:cs="Arial"/>
          <w:sz w:val="20"/>
          <w:szCs w:val="20"/>
        </w:rPr>
        <w:t xml:space="preserve">, W. M., &amp; </w:t>
      </w:r>
      <w:proofErr w:type="spellStart"/>
      <w:r w:rsidRPr="00DB053E">
        <w:rPr>
          <w:rFonts w:ascii="Arial" w:eastAsia="Times New Roman" w:hAnsi="Arial" w:cs="Arial"/>
          <w:sz w:val="20"/>
          <w:szCs w:val="20"/>
        </w:rPr>
        <w:t>Upadhyayula</w:t>
      </w:r>
      <w:proofErr w:type="spellEnd"/>
      <w:r w:rsidRPr="00DB053E">
        <w:rPr>
          <w:rFonts w:ascii="Arial" w:eastAsia="Times New Roman" w:hAnsi="Arial" w:cs="Arial"/>
          <w:sz w:val="20"/>
          <w:szCs w:val="20"/>
        </w:rPr>
        <w:t xml:space="preserve">, S. (2017). An investigation on biosorption of nitrate from water by chitosan based organic-inorganic hybrid </w:t>
      </w:r>
      <w:proofErr w:type="spellStart"/>
      <w:r w:rsidRPr="00DB053E">
        <w:rPr>
          <w:rFonts w:ascii="Arial" w:eastAsia="Times New Roman" w:hAnsi="Arial" w:cs="Arial"/>
          <w:sz w:val="20"/>
          <w:szCs w:val="20"/>
        </w:rPr>
        <w:t>biocomposites</w:t>
      </w:r>
      <w:proofErr w:type="spellEnd"/>
      <w:r w:rsidRPr="00DB053E">
        <w:rPr>
          <w:rFonts w:ascii="Arial" w:eastAsia="Times New Roman" w:hAnsi="Arial" w:cs="Arial"/>
          <w:sz w:val="20"/>
          <w:szCs w:val="20"/>
        </w:rPr>
        <w:t>. International Journal of Biological Macromolecules, 97, 489–502.</w:t>
      </w:r>
      <w:hyperlink r:id="rId14">
        <w:r w:rsidRPr="00DB053E">
          <w:rPr>
            <w:rFonts w:ascii="Arial" w:eastAsia="Times New Roman" w:hAnsi="Arial" w:cs="Arial"/>
            <w:sz w:val="20"/>
            <w:szCs w:val="20"/>
          </w:rPr>
          <w:t xml:space="preserve"> https://doi.org/10.1016/j.ijbiomac.2017.01.066</w:t>
        </w:r>
      </w:hyperlink>
    </w:p>
    <w:p w14:paraId="7F165EC3"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proofErr w:type="spellStart"/>
      <w:r w:rsidRPr="00DB053E">
        <w:rPr>
          <w:rFonts w:ascii="Arial" w:eastAsia="Times New Roman" w:hAnsi="Arial" w:cs="Arial"/>
          <w:sz w:val="20"/>
          <w:szCs w:val="20"/>
        </w:rPr>
        <w:t>Georgin</w:t>
      </w:r>
      <w:proofErr w:type="spellEnd"/>
      <w:r w:rsidRPr="00DB053E">
        <w:rPr>
          <w:rFonts w:ascii="Arial" w:eastAsia="Times New Roman" w:hAnsi="Arial" w:cs="Arial"/>
          <w:sz w:val="20"/>
          <w:szCs w:val="20"/>
        </w:rPr>
        <w:t xml:space="preserve">, J., </w:t>
      </w:r>
      <w:proofErr w:type="spellStart"/>
      <w:r w:rsidRPr="00DB053E">
        <w:rPr>
          <w:rFonts w:ascii="Arial" w:eastAsia="Times New Roman" w:hAnsi="Arial" w:cs="Arial"/>
          <w:sz w:val="20"/>
          <w:szCs w:val="20"/>
        </w:rPr>
        <w:t>Meili</w:t>
      </w:r>
      <w:proofErr w:type="spellEnd"/>
      <w:r w:rsidRPr="00DB053E">
        <w:rPr>
          <w:rFonts w:ascii="Arial" w:eastAsia="Times New Roman" w:hAnsi="Arial" w:cs="Arial"/>
          <w:sz w:val="20"/>
          <w:szCs w:val="20"/>
        </w:rPr>
        <w:t>, L., &amp; Franco, D. (2023). A review of the application of low-cost adsorbents as an alternative method for biosorption of contaminants present in water. Latin American Developments in Energy Engineering, 4(2), 1–20. https://doi.org/10.17981/ladee.04.02.2023.1</w:t>
      </w:r>
    </w:p>
    <w:p w14:paraId="183E55C1" w14:textId="77777777" w:rsidR="00DB053E" w:rsidRPr="00DB053E" w:rsidRDefault="00DB053E" w:rsidP="00EF1BD8">
      <w:pPr>
        <w:pStyle w:val="ListParagraph"/>
        <w:numPr>
          <w:ilvl w:val="0"/>
          <w:numId w:val="2"/>
        </w:numPr>
        <w:spacing w:after="0" w:line="240" w:lineRule="auto"/>
        <w:jc w:val="both"/>
        <w:rPr>
          <w:rFonts w:ascii="Arial" w:eastAsia="Times New Roman" w:hAnsi="Arial" w:cs="Arial"/>
          <w:sz w:val="20"/>
          <w:szCs w:val="20"/>
        </w:rPr>
      </w:pPr>
      <w:r w:rsidRPr="00DB053E">
        <w:rPr>
          <w:rFonts w:ascii="Arial" w:eastAsia="Times New Roman" w:hAnsi="Arial" w:cs="Arial"/>
          <w:sz w:val="20"/>
          <w:szCs w:val="20"/>
        </w:rPr>
        <w:t xml:space="preserve">Ahmed, M., Hameed, B., &amp; Khan, M. (2022). Recent advances on activated carbon-based materials for nitrate adsorption: A review. </w:t>
      </w:r>
      <w:r w:rsidRPr="00DB053E">
        <w:rPr>
          <w:rFonts w:ascii="Arial" w:eastAsia="Times New Roman" w:hAnsi="Arial" w:cs="Arial"/>
          <w:i/>
          <w:sz w:val="20"/>
          <w:szCs w:val="20"/>
        </w:rPr>
        <w:t>Journal of Analytical and Applied Pyrolysis</w:t>
      </w:r>
      <w:r w:rsidRPr="00DB053E">
        <w:rPr>
          <w:rFonts w:ascii="Arial" w:eastAsia="Times New Roman" w:hAnsi="Arial" w:cs="Arial"/>
          <w:sz w:val="20"/>
          <w:szCs w:val="20"/>
        </w:rPr>
        <w:t xml:space="preserve">, </w:t>
      </w:r>
      <w:r w:rsidRPr="00DB053E">
        <w:rPr>
          <w:rFonts w:ascii="Arial" w:eastAsia="Times New Roman" w:hAnsi="Arial" w:cs="Arial"/>
          <w:i/>
          <w:sz w:val="20"/>
          <w:szCs w:val="20"/>
        </w:rPr>
        <w:t>169</w:t>
      </w:r>
      <w:r w:rsidRPr="00DB053E">
        <w:rPr>
          <w:rFonts w:ascii="Arial" w:eastAsia="Times New Roman" w:hAnsi="Arial" w:cs="Arial"/>
          <w:sz w:val="20"/>
          <w:szCs w:val="20"/>
        </w:rPr>
        <w:t xml:space="preserve">, 105856. </w:t>
      </w:r>
      <w:hyperlink r:id="rId15" w:history="1">
        <w:r w:rsidRPr="00DB053E">
          <w:rPr>
            <w:rStyle w:val="Hyperlink"/>
            <w:rFonts w:ascii="Arial" w:eastAsia="Times New Roman" w:hAnsi="Arial" w:cs="Arial"/>
            <w:color w:val="auto"/>
            <w:sz w:val="20"/>
            <w:szCs w:val="20"/>
            <w:u w:val="none"/>
          </w:rPr>
          <w:t>https://doi.org/10.1016/j.jaap.2022.105856</w:t>
        </w:r>
      </w:hyperlink>
    </w:p>
    <w:p w14:paraId="2A6C8AC8" w14:textId="77777777" w:rsidR="00DB053E" w:rsidRPr="00F748A9" w:rsidRDefault="00DB053E" w:rsidP="00EF1BD8">
      <w:pPr>
        <w:spacing w:after="0" w:line="240" w:lineRule="auto"/>
        <w:ind w:left="720" w:hanging="720"/>
        <w:jc w:val="both"/>
        <w:rPr>
          <w:rFonts w:ascii="Arial" w:eastAsia="Times New Roman" w:hAnsi="Arial" w:cs="Arial"/>
          <w:sz w:val="20"/>
          <w:szCs w:val="20"/>
        </w:rPr>
      </w:pPr>
    </w:p>
    <w:p w14:paraId="2114E0F1" w14:textId="77777777" w:rsidR="00DB053E" w:rsidRPr="00DB053E" w:rsidRDefault="00DB053E" w:rsidP="00EF1BD8">
      <w:pPr>
        <w:pStyle w:val="ListParagraph"/>
        <w:numPr>
          <w:ilvl w:val="0"/>
          <w:numId w:val="2"/>
        </w:numPr>
        <w:spacing w:after="0" w:line="240" w:lineRule="auto"/>
        <w:jc w:val="both"/>
        <w:rPr>
          <w:rFonts w:ascii="Arial" w:eastAsia="Times New Roman" w:hAnsi="Arial" w:cs="Arial"/>
          <w:sz w:val="20"/>
          <w:szCs w:val="20"/>
        </w:rPr>
      </w:pPr>
      <w:proofErr w:type="spellStart"/>
      <w:r w:rsidRPr="00DB053E">
        <w:rPr>
          <w:rFonts w:ascii="Arial" w:eastAsia="Times New Roman" w:hAnsi="Arial" w:cs="Arial"/>
          <w:sz w:val="20"/>
          <w:szCs w:val="20"/>
        </w:rPr>
        <w:t>Emrooz</w:t>
      </w:r>
      <w:proofErr w:type="spellEnd"/>
      <w:r w:rsidRPr="00DB053E">
        <w:rPr>
          <w:rFonts w:ascii="Arial" w:eastAsia="Times New Roman" w:hAnsi="Arial" w:cs="Arial"/>
          <w:sz w:val="20"/>
          <w:szCs w:val="20"/>
        </w:rPr>
        <w:t xml:space="preserve">, H. B. M., </w:t>
      </w:r>
      <w:proofErr w:type="spellStart"/>
      <w:r w:rsidRPr="00DB053E">
        <w:rPr>
          <w:rFonts w:ascii="Arial" w:eastAsia="Times New Roman" w:hAnsi="Arial" w:cs="Arial"/>
          <w:sz w:val="20"/>
          <w:szCs w:val="20"/>
        </w:rPr>
        <w:t>Maleki</w:t>
      </w:r>
      <w:proofErr w:type="spellEnd"/>
      <w:r w:rsidRPr="00DB053E">
        <w:rPr>
          <w:rFonts w:ascii="Arial" w:eastAsia="Times New Roman" w:hAnsi="Arial" w:cs="Arial"/>
          <w:sz w:val="20"/>
          <w:szCs w:val="20"/>
        </w:rPr>
        <w:t xml:space="preserve">, M., Rashidi, A., &amp; </w:t>
      </w:r>
      <w:proofErr w:type="spellStart"/>
      <w:r w:rsidRPr="00DB053E">
        <w:rPr>
          <w:rFonts w:ascii="Arial" w:eastAsia="Times New Roman" w:hAnsi="Arial" w:cs="Arial"/>
          <w:sz w:val="20"/>
          <w:szCs w:val="20"/>
        </w:rPr>
        <w:t>Shokouhimehr</w:t>
      </w:r>
      <w:proofErr w:type="spellEnd"/>
      <w:r w:rsidRPr="00DB053E">
        <w:rPr>
          <w:rFonts w:ascii="Arial" w:eastAsia="Times New Roman" w:hAnsi="Arial" w:cs="Arial"/>
          <w:sz w:val="20"/>
          <w:szCs w:val="20"/>
        </w:rPr>
        <w:t xml:space="preserve">, M. (2020). Adsorption mechanism of a cationic dye on a biomass-derived micro- and mesoporous carbon: structural, kinetic, and equilibrium insight. </w:t>
      </w:r>
      <w:r w:rsidRPr="00DB053E">
        <w:rPr>
          <w:rFonts w:ascii="Arial" w:eastAsia="Times New Roman" w:hAnsi="Arial" w:cs="Arial"/>
          <w:i/>
          <w:sz w:val="20"/>
          <w:szCs w:val="20"/>
        </w:rPr>
        <w:t>Biomass Conversion and Biorefinery</w:t>
      </w:r>
      <w:r w:rsidRPr="00DB053E">
        <w:rPr>
          <w:rFonts w:ascii="Arial" w:eastAsia="Times New Roman" w:hAnsi="Arial" w:cs="Arial"/>
          <w:sz w:val="20"/>
          <w:szCs w:val="20"/>
        </w:rPr>
        <w:t xml:space="preserve">, </w:t>
      </w:r>
      <w:r w:rsidRPr="00DB053E">
        <w:rPr>
          <w:rFonts w:ascii="Arial" w:eastAsia="Times New Roman" w:hAnsi="Arial" w:cs="Arial"/>
          <w:i/>
          <w:sz w:val="20"/>
          <w:szCs w:val="20"/>
        </w:rPr>
        <w:t>11</w:t>
      </w:r>
      <w:r w:rsidRPr="00DB053E">
        <w:rPr>
          <w:rFonts w:ascii="Arial" w:eastAsia="Times New Roman" w:hAnsi="Arial" w:cs="Arial"/>
          <w:sz w:val="20"/>
          <w:szCs w:val="20"/>
        </w:rPr>
        <w:t>(3), 943–954. https://doi.org/10.1007/s13399-019-00584-1</w:t>
      </w:r>
    </w:p>
    <w:p w14:paraId="39063F90"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r w:rsidRPr="00DB053E">
        <w:rPr>
          <w:rFonts w:ascii="Arial" w:eastAsia="Times New Roman" w:hAnsi="Arial" w:cs="Arial"/>
          <w:sz w:val="20"/>
          <w:szCs w:val="20"/>
        </w:rPr>
        <w:t>Liu, Z., Huang, X., Miao, Y., Gao, B., Shi, Y., Zhao, J., &amp; Tan, S. H. (2022). Eggplant biomass based porous carbon for fast and efficient dye adsorption from wastewater. Industrial Crops and Products, 187, 115510. https://doi.org/10.1016/j.indcrop.2022.115510</w:t>
      </w:r>
    </w:p>
    <w:p w14:paraId="3FC15220"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proofErr w:type="spellStart"/>
      <w:r w:rsidRPr="00D70913">
        <w:rPr>
          <w:rFonts w:ascii="Arial" w:eastAsia="Times New Roman" w:hAnsi="Arial" w:cs="Arial"/>
          <w:sz w:val="20"/>
          <w:szCs w:val="20"/>
          <w:lang w:val="es-US"/>
        </w:rPr>
        <w:lastRenderedPageBreak/>
        <w:t>Nithyanandam</w:t>
      </w:r>
      <w:proofErr w:type="spellEnd"/>
      <w:r w:rsidRPr="00D70913">
        <w:rPr>
          <w:rFonts w:ascii="Arial" w:eastAsia="Times New Roman" w:hAnsi="Arial" w:cs="Arial"/>
          <w:sz w:val="20"/>
          <w:szCs w:val="20"/>
          <w:lang w:val="es-US"/>
        </w:rPr>
        <w:t xml:space="preserve">, R., </w:t>
      </w:r>
      <w:proofErr w:type="spellStart"/>
      <w:r w:rsidRPr="00D70913">
        <w:rPr>
          <w:rFonts w:ascii="Arial" w:eastAsia="Times New Roman" w:hAnsi="Arial" w:cs="Arial"/>
          <w:sz w:val="20"/>
          <w:szCs w:val="20"/>
          <w:lang w:val="es-US"/>
        </w:rPr>
        <w:t>Rajendran</w:t>
      </w:r>
      <w:proofErr w:type="spellEnd"/>
      <w:r w:rsidRPr="00D70913">
        <w:rPr>
          <w:rFonts w:ascii="Arial" w:eastAsia="Times New Roman" w:hAnsi="Arial" w:cs="Arial"/>
          <w:sz w:val="20"/>
          <w:szCs w:val="20"/>
          <w:lang w:val="es-US"/>
        </w:rPr>
        <w:t xml:space="preserve">, R., </w:t>
      </w:r>
      <w:proofErr w:type="spellStart"/>
      <w:r w:rsidRPr="00D70913">
        <w:rPr>
          <w:rFonts w:ascii="Arial" w:eastAsia="Times New Roman" w:hAnsi="Arial" w:cs="Arial"/>
          <w:sz w:val="20"/>
          <w:szCs w:val="20"/>
          <w:lang w:val="es-US"/>
        </w:rPr>
        <w:t>Rajesh</w:t>
      </w:r>
      <w:proofErr w:type="spellEnd"/>
      <w:r w:rsidRPr="00D70913">
        <w:rPr>
          <w:rFonts w:ascii="Arial" w:eastAsia="Times New Roman" w:hAnsi="Arial" w:cs="Arial"/>
          <w:sz w:val="20"/>
          <w:szCs w:val="20"/>
          <w:lang w:val="es-US"/>
        </w:rPr>
        <w:t xml:space="preserve">, R., &amp; </w:t>
      </w:r>
      <w:proofErr w:type="spellStart"/>
      <w:r w:rsidRPr="00D70913">
        <w:rPr>
          <w:rFonts w:ascii="Arial" w:eastAsia="Times New Roman" w:hAnsi="Arial" w:cs="Arial"/>
          <w:sz w:val="20"/>
          <w:szCs w:val="20"/>
          <w:lang w:val="es-US"/>
        </w:rPr>
        <w:t>Orvy</w:t>
      </w:r>
      <w:proofErr w:type="spellEnd"/>
      <w:r w:rsidRPr="00D70913">
        <w:rPr>
          <w:rFonts w:ascii="Arial" w:eastAsia="Times New Roman" w:hAnsi="Arial" w:cs="Arial"/>
          <w:sz w:val="20"/>
          <w:szCs w:val="20"/>
          <w:lang w:val="es-US"/>
        </w:rPr>
        <w:t xml:space="preserve">, M. (2023). </w:t>
      </w:r>
      <w:r w:rsidRPr="00DB053E">
        <w:rPr>
          <w:rFonts w:ascii="Arial" w:eastAsia="Times New Roman" w:hAnsi="Arial" w:cs="Arial"/>
          <w:sz w:val="20"/>
          <w:szCs w:val="20"/>
        </w:rPr>
        <w:t xml:space="preserve">Review on heavy metal removal and efficacy of </w:t>
      </w:r>
      <w:proofErr w:type="spellStart"/>
      <w:r w:rsidRPr="00DB053E">
        <w:rPr>
          <w:rFonts w:ascii="Arial" w:eastAsia="Times New Roman" w:hAnsi="Arial" w:cs="Arial"/>
          <w:sz w:val="20"/>
          <w:szCs w:val="20"/>
        </w:rPr>
        <w:t>biosorbents</w:t>
      </w:r>
      <w:proofErr w:type="spellEnd"/>
      <w:r w:rsidRPr="00DB053E">
        <w:rPr>
          <w:rFonts w:ascii="Arial" w:eastAsia="Times New Roman" w:hAnsi="Arial" w:cs="Arial"/>
          <w:sz w:val="20"/>
          <w:szCs w:val="20"/>
        </w:rPr>
        <w:t>. Current Nanoscience, 20. https://doi.org/10.2174/0115734137278018231127062510</w:t>
      </w:r>
    </w:p>
    <w:p w14:paraId="76787528"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r w:rsidRPr="00DB053E">
        <w:rPr>
          <w:rFonts w:ascii="Arial" w:eastAsia="Times New Roman" w:hAnsi="Arial" w:cs="Arial"/>
          <w:sz w:val="20"/>
          <w:szCs w:val="20"/>
        </w:rPr>
        <w:t xml:space="preserve">Dey, S., Basha, S., </w:t>
      </w:r>
      <w:proofErr w:type="spellStart"/>
      <w:r w:rsidRPr="00DB053E">
        <w:rPr>
          <w:rFonts w:ascii="Arial" w:eastAsia="Times New Roman" w:hAnsi="Arial" w:cs="Arial"/>
          <w:sz w:val="20"/>
          <w:szCs w:val="20"/>
        </w:rPr>
        <w:t>Babu</w:t>
      </w:r>
      <w:proofErr w:type="spellEnd"/>
      <w:r w:rsidRPr="00DB053E">
        <w:rPr>
          <w:rFonts w:ascii="Arial" w:eastAsia="Times New Roman" w:hAnsi="Arial" w:cs="Arial"/>
          <w:sz w:val="20"/>
          <w:szCs w:val="20"/>
        </w:rPr>
        <w:t xml:space="preserve">, G., &amp; Nagendra, T. (2021). Characteristic and biosorption capacities of orange peels </w:t>
      </w:r>
      <w:proofErr w:type="spellStart"/>
      <w:r w:rsidRPr="00DB053E">
        <w:rPr>
          <w:rFonts w:ascii="Arial" w:eastAsia="Times New Roman" w:hAnsi="Arial" w:cs="Arial"/>
          <w:sz w:val="20"/>
          <w:szCs w:val="20"/>
        </w:rPr>
        <w:t>biosorbents</w:t>
      </w:r>
      <w:proofErr w:type="spellEnd"/>
      <w:r w:rsidRPr="00DB053E">
        <w:rPr>
          <w:rFonts w:ascii="Arial" w:eastAsia="Times New Roman" w:hAnsi="Arial" w:cs="Arial"/>
          <w:sz w:val="20"/>
          <w:szCs w:val="20"/>
        </w:rPr>
        <w:t xml:space="preserve"> for removal of ammonia and nitrate from contaminated water. Cleaner Materials, 1, 100001. https://doi.org/10.1016/j.clema.2021.100001</w:t>
      </w:r>
    </w:p>
    <w:p w14:paraId="06337014"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r w:rsidRPr="00D70913">
        <w:rPr>
          <w:rFonts w:ascii="Arial" w:eastAsia="Times New Roman" w:hAnsi="Arial" w:cs="Arial"/>
          <w:sz w:val="20"/>
          <w:szCs w:val="20"/>
          <w:lang w:val="es-US"/>
        </w:rPr>
        <w:t>Al-</w:t>
      </w:r>
      <w:proofErr w:type="spellStart"/>
      <w:r w:rsidRPr="00D70913">
        <w:rPr>
          <w:rFonts w:ascii="Arial" w:eastAsia="Times New Roman" w:hAnsi="Arial" w:cs="Arial"/>
          <w:sz w:val="20"/>
          <w:szCs w:val="20"/>
          <w:lang w:val="es-US"/>
        </w:rPr>
        <w:t>Jaaf</w:t>
      </w:r>
      <w:proofErr w:type="spellEnd"/>
      <w:r w:rsidRPr="00D70913">
        <w:rPr>
          <w:rFonts w:ascii="Arial" w:eastAsia="Times New Roman" w:hAnsi="Arial" w:cs="Arial"/>
          <w:sz w:val="20"/>
          <w:szCs w:val="20"/>
          <w:lang w:val="es-US"/>
        </w:rPr>
        <w:t xml:space="preserve">, H. J., Ali, N. S., </w:t>
      </w:r>
      <w:proofErr w:type="spellStart"/>
      <w:r w:rsidRPr="00D70913">
        <w:rPr>
          <w:rFonts w:ascii="Arial" w:eastAsia="Times New Roman" w:hAnsi="Arial" w:cs="Arial"/>
          <w:sz w:val="20"/>
          <w:szCs w:val="20"/>
          <w:lang w:val="es-US"/>
        </w:rPr>
        <w:t>Alardhi</w:t>
      </w:r>
      <w:proofErr w:type="spellEnd"/>
      <w:r w:rsidRPr="00D70913">
        <w:rPr>
          <w:rFonts w:ascii="Arial" w:eastAsia="Times New Roman" w:hAnsi="Arial" w:cs="Arial"/>
          <w:sz w:val="20"/>
          <w:szCs w:val="20"/>
          <w:lang w:val="es-US"/>
        </w:rPr>
        <w:t xml:space="preserve">, S. M., &amp; </w:t>
      </w:r>
      <w:proofErr w:type="spellStart"/>
      <w:r w:rsidRPr="00D70913">
        <w:rPr>
          <w:rFonts w:ascii="Arial" w:eastAsia="Times New Roman" w:hAnsi="Arial" w:cs="Arial"/>
          <w:sz w:val="20"/>
          <w:szCs w:val="20"/>
          <w:lang w:val="es-US"/>
        </w:rPr>
        <w:t>Albayati</w:t>
      </w:r>
      <w:proofErr w:type="spellEnd"/>
      <w:r w:rsidRPr="00D70913">
        <w:rPr>
          <w:rFonts w:ascii="Arial" w:eastAsia="Times New Roman" w:hAnsi="Arial" w:cs="Arial"/>
          <w:sz w:val="20"/>
          <w:szCs w:val="20"/>
          <w:lang w:val="es-US"/>
        </w:rPr>
        <w:t xml:space="preserve">, T. M. (2022). </w:t>
      </w:r>
      <w:r w:rsidRPr="00DB053E">
        <w:rPr>
          <w:rFonts w:ascii="Arial" w:eastAsia="Times New Roman" w:hAnsi="Arial" w:cs="Arial"/>
          <w:sz w:val="20"/>
          <w:szCs w:val="20"/>
        </w:rPr>
        <w:t xml:space="preserve">Implementing of eggplant peels as an efficient bio-adsorbent for treatment of oily domestic wastewater. DESALINATION AND WATER TREATMENT, 245, 226–237. </w:t>
      </w:r>
      <w:hyperlink r:id="rId16" w:history="1">
        <w:r w:rsidRPr="00DB053E">
          <w:rPr>
            <w:rStyle w:val="Hyperlink"/>
            <w:rFonts w:ascii="Arial" w:eastAsia="Times New Roman" w:hAnsi="Arial" w:cs="Arial"/>
            <w:color w:val="auto"/>
            <w:sz w:val="20"/>
            <w:szCs w:val="20"/>
            <w:u w:val="none"/>
          </w:rPr>
          <w:t>https://doi.org/10.5004/dwt.2022.27986</w:t>
        </w:r>
      </w:hyperlink>
    </w:p>
    <w:p w14:paraId="7E5F5C25"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r w:rsidRPr="00DB053E">
        <w:rPr>
          <w:rFonts w:ascii="Arial" w:eastAsia="Times New Roman" w:hAnsi="Arial" w:cs="Arial"/>
          <w:sz w:val="20"/>
          <w:szCs w:val="20"/>
        </w:rPr>
        <w:t>Malik, D. S., Jain, C. K., &amp; Yadav, A. K. (2016). Removal of heavy metals from emerging cellulosic low-cost adsorbents: a review. Applied Water Science, 7(5), 2113–2136. https://doi.org/10.1007/s13201-016-0401-8</w:t>
      </w:r>
    </w:p>
    <w:p w14:paraId="2B5EF014"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proofErr w:type="spellStart"/>
      <w:r w:rsidRPr="00D70913">
        <w:rPr>
          <w:rFonts w:ascii="Arial" w:eastAsia="Times New Roman" w:hAnsi="Arial" w:cs="Arial"/>
          <w:sz w:val="20"/>
          <w:szCs w:val="20"/>
          <w:lang w:val="es-US"/>
        </w:rPr>
        <w:t>Madhogaria</w:t>
      </w:r>
      <w:proofErr w:type="spellEnd"/>
      <w:r w:rsidRPr="00D70913">
        <w:rPr>
          <w:rFonts w:ascii="Arial" w:eastAsia="Times New Roman" w:hAnsi="Arial" w:cs="Arial"/>
          <w:sz w:val="20"/>
          <w:szCs w:val="20"/>
          <w:lang w:val="es-US"/>
        </w:rPr>
        <w:t xml:space="preserve">, B., </w:t>
      </w:r>
      <w:proofErr w:type="spellStart"/>
      <w:r w:rsidRPr="00D70913">
        <w:rPr>
          <w:rFonts w:ascii="Arial" w:eastAsia="Times New Roman" w:hAnsi="Arial" w:cs="Arial"/>
          <w:sz w:val="20"/>
          <w:szCs w:val="20"/>
          <w:lang w:val="es-US"/>
        </w:rPr>
        <w:t>Banerjee</w:t>
      </w:r>
      <w:proofErr w:type="spellEnd"/>
      <w:r w:rsidRPr="00D70913">
        <w:rPr>
          <w:rFonts w:ascii="Arial" w:eastAsia="Times New Roman" w:hAnsi="Arial" w:cs="Arial"/>
          <w:sz w:val="20"/>
          <w:szCs w:val="20"/>
          <w:lang w:val="es-US"/>
        </w:rPr>
        <w:t xml:space="preserve">, S., </w:t>
      </w:r>
      <w:proofErr w:type="spellStart"/>
      <w:r w:rsidRPr="00D70913">
        <w:rPr>
          <w:rFonts w:ascii="Arial" w:eastAsia="Times New Roman" w:hAnsi="Arial" w:cs="Arial"/>
          <w:sz w:val="20"/>
          <w:szCs w:val="20"/>
          <w:lang w:val="es-US"/>
        </w:rPr>
        <w:t>Kundu</w:t>
      </w:r>
      <w:proofErr w:type="spellEnd"/>
      <w:r w:rsidRPr="00D70913">
        <w:rPr>
          <w:rFonts w:ascii="Arial" w:eastAsia="Times New Roman" w:hAnsi="Arial" w:cs="Arial"/>
          <w:sz w:val="20"/>
          <w:szCs w:val="20"/>
          <w:lang w:val="es-US"/>
        </w:rPr>
        <w:t xml:space="preserve">, A., &amp; </w:t>
      </w:r>
      <w:proofErr w:type="spellStart"/>
      <w:r w:rsidRPr="00D70913">
        <w:rPr>
          <w:rFonts w:ascii="Arial" w:eastAsia="Times New Roman" w:hAnsi="Arial" w:cs="Arial"/>
          <w:sz w:val="20"/>
          <w:szCs w:val="20"/>
          <w:lang w:val="es-US"/>
        </w:rPr>
        <w:t>Dhak</w:t>
      </w:r>
      <w:proofErr w:type="spellEnd"/>
      <w:r w:rsidRPr="00D70913">
        <w:rPr>
          <w:rFonts w:ascii="Arial" w:eastAsia="Times New Roman" w:hAnsi="Arial" w:cs="Arial"/>
          <w:sz w:val="20"/>
          <w:szCs w:val="20"/>
          <w:lang w:val="es-US"/>
        </w:rPr>
        <w:t xml:space="preserve">, P. (2024). </w:t>
      </w:r>
      <w:r w:rsidRPr="00DB053E">
        <w:rPr>
          <w:rFonts w:ascii="Arial" w:eastAsia="Times New Roman" w:hAnsi="Arial" w:cs="Arial"/>
          <w:sz w:val="20"/>
          <w:szCs w:val="20"/>
        </w:rPr>
        <w:t xml:space="preserve">Efficacy of new generation </w:t>
      </w:r>
      <w:proofErr w:type="spellStart"/>
      <w:r w:rsidRPr="00DB053E">
        <w:rPr>
          <w:rFonts w:ascii="Arial" w:eastAsia="Times New Roman" w:hAnsi="Arial" w:cs="Arial"/>
          <w:sz w:val="20"/>
          <w:szCs w:val="20"/>
        </w:rPr>
        <w:t>biosorbents</w:t>
      </w:r>
      <w:proofErr w:type="spellEnd"/>
      <w:r w:rsidRPr="00DB053E">
        <w:rPr>
          <w:rFonts w:ascii="Arial" w:eastAsia="Times New Roman" w:hAnsi="Arial" w:cs="Arial"/>
          <w:sz w:val="20"/>
          <w:szCs w:val="20"/>
        </w:rPr>
        <w:t xml:space="preserve"> for the sustainable treatment of antibiotic residues and antibiotic resistance genes from polluted waste effluent. Infectious Medicine, 3(1), 100092. https://doi.org/10.1016/j.imj.2024.100092</w:t>
      </w:r>
    </w:p>
    <w:p w14:paraId="742CF3D2"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r w:rsidRPr="00D70913">
        <w:rPr>
          <w:rFonts w:ascii="Arial" w:eastAsia="Times New Roman" w:hAnsi="Arial" w:cs="Arial"/>
          <w:sz w:val="20"/>
          <w:szCs w:val="20"/>
          <w:lang w:val="es-US"/>
        </w:rPr>
        <w:t xml:space="preserve">Hidayat, E., </w:t>
      </w:r>
      <w:proofErr w:type="spellStart"/>
      <w:r w:rsidRPr="00D70913">
        <w:rPr>
          <w:rFonts w:ascii="Arial" w:eastAsia="Times New Roman" w:hAnsi="Arial" w:cs="Arial"/>
          <w:sz w:val="20"/>
          <w:szCs w:val="20"/>
          <w:lang w:val="es-US"/>
        </w:rPr>
        <w:t>Yoshino</w:t>
      </w:r>
      <w:proofErr w:type="spellEnd"/>
      <w:r w:rsidRPr="00D70913">
        <w:rPr>
          <w:rFonts w:ascii="Arial" w:eastAsia="Times New Roman" w:hAnsi="Arial" w:cs="Arial"/>
          <w:sz w:val="20"/>
          <w:szCs w:val="20"/>
          <w:lang w:val="es-US"/>
        </w:rPr>
        <w:t xml:space="preserve">, T., </w:t>
      </w:r>
      <w:proofErr w:type="spellStart"/>
      <w:r w:rsidRPr="00D70913">
        <w:rPr>
          <w:rFonts w:ascii="Arial" w:eastAsia="Times New Roman" w:hAnsi="Arial" w:cs="Arial"/>
          <w:sz w:val="20"/>
          <w:szCs w:val="20"/>
          <w:lang w:val="es-US"/>
        </w:rPr>
        <w:t>Yonemura</w:t>
      </w:r>
      <w:proofErr w:type="spellEnd"/>
      <w:r w:rsidRPr="00D70913">
        <w:rPr>
          <w:rFonts w:ascii="Arial" w:eastAsia="Times New Roman" w:hAnsi="Arial" w:cs="Arial"/>
          <w:sz w:val="20"/>
          <w:szCs w:val="20"/>
          <w:lang w:val="es-US"/>
        </w:rPr>
        <w:t xml:space="preserve">, S., </w:t>
      </w:r>
      <w:proofErr w:type="spellStart"/>
      <w:r w:rsidRPr="00D70913">
        <w:rPr>
          <w:rFonts w:ascii="Arial" w:eastAsia="Times New Roman" w:hAnsi="Arial" w:cs="Arial"/>
          <w:sz w:val="20"/>
          <w:szCs w:val="20"/>
          <w:lang w:val="es-US"/>
        </w:rPr>
        <w:t>Mitoma</w:t>
      </w:r>
      <w:proofErr w:type="spellEnd"/>
      <w:r w:rsidRPr="00D70913">
        <w:rPr>
          <w:rFonts w:ascii="Arial" w:eastAsia="Times New Roman" w:hAnsi="Arial" w:cs="Arial"/>
          <w:sz w:val="20"/>
          <w:szCs w:val="20"/>
          <w:lang w:val="es-US"/>
        </w:rPr>
        <w:t xml:space="preserve">, Y., &amp; </w:t>
      </w:r>
      <w:proofErr w:type="spellStart"/>
      <w:r w:rsidRPr="00D70913">
        <w:rPr>
          <w:rFonts w:ascii="Arial" w:eastAsia="Times New Roman" w:hAnsi="Arial" w:cs="Arial"/>
          <w:sz w:val="20"/>
          <w:szCs w:val="20"/>
          <w:lang w:val="es-US"/>
        </w:rPr>
        <w:t>Harada</w:t>
      </w:r>
      <w:proofErr w:type="spellEnd"/>
      <w:r w:rsidRPr="00D70913">
        <w:rPr>
          <w:rFonts w:ascii="Arial" w:eastAsia="Times New Roman" w:hAnsi="Arial" w:cs="Arial"/>
          <w:sz w:val="20"/>
          <w:szCs w:val="20"/>
          <w:lang w:val="es-US"/>
        </w:rPr>
        <w:t xml:space="preserve">, H. (2022). </w:t>
      </w:r>
      <w:r w:rsidRPr="00DB053E">
        <w:rPr>
          <w:rFonts w:ascii="Arial" w:eastAsia="Times New Roman" w:hAnsi="Arial" w:cs="Arial"/>
          <w:sz w:val="20"/>
          <w:szCs w:val="20"/>
        </w:rPr>
        <w:t>Synthesis, Adsorption Isotherm and Kinetic Study of Alkaline- Treated Zeolite/Chitosan/Fe3+ Composites for Nitrate Removal from Aqueous Solution—Anion and Dye Effects. Gels, 8(12), 782.</w:t>
      </w:r>
      <w:hyperlink r:id="rId17">
        <w:r w:rsidRPr="00DB053E">
          <w:rPr>
            <w:rFonts w:ascii="Arial" w:eastAsia="Times New Roman" w:hAnsi="Arial" w:cs="Arial"/>
            <w:sz w:val="20"/>
            <w:szCs w:val="20"/>
          </w:rPr>
          <w:t xml:space="preserve"> https://doi.org/10.3390/gels8120782</w:t>
        </w:r>
      </w:hyperlink>
    </w:p>
    <w:p w14:paraId="7B92C735"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proofErr w:type="spellStart"/>
      <w:r w:rsidRPr="00D70913">
        <w:rPr>
          <w:rFonts w:ascii="Arial" w:eastAsia="Times New Roman" w:hAnsi="Arial" w:cs="Arial"/>
          <w:sz w:val="20"/>
          <w:szCs w:val="20"/>
          <w:lang w:val="es-US"/>
        </w:rPr>
        <w:t>Kanamarlapudi</w:t>
      </w:r>
      <w:proofErr w:type="spellEnd"/>
      <w:r w:rsidRPr="00D70913">
        <w:rPr>
          <w:rFonts w:ascii="Arial" w:eastAsia="Times New Roman" w:hAnsi="Arial" w:cs="Arial"/>
          <w:sz w:val="20"/>
          <w:szCs w:val="20"/>
          <w:lang w:val="es-US"/>
        </w:rPr>
        <w:t xml:space="preserve">, S. L. R. K., </w:t>
      </w:r>
      <w:proofErr w:type="spellStart"/>
      <w:r w:rsidRPr="00D70913">
        <w:rPr>
          <w:rFonts w:ascii="Arial" w:eastAsia="Times New Roman" w:hAnsi="Arial" w:cs="Arial"/>
          <w:sz w:val="20"/>
          <w:szCs w:val="20"/>
          <w:lang w:val="es-US"/>
        </w:rPr>
        <w:t>Chintalpudi</w:t>
      </w:r>
      <w:proofErr w:type="spellEnd"/>
      <w:r w:rsidRPr="00D70913">
        <w:rPr>
          <w:rFonts w:ascii="Arial" w:eastAsia="Times New Roman" w:hAnsi="Arial" w:cs="Arial"/>
          <w:sz w:val="20"/>
          <w:szCs w:val="20"/>
          <w:lang w:val="es-US"/>
        </w:rPr>
        <w:t xml:space="preserve">, V. K., &amp; </w:t>
      </w:r>
      <w:proofErr w:type="spellStart"/>
      <w:r w:rsidRPr="00D70913">
        <w:rPr>
          <w:rFonts w:ascii="Arial" w:eastAsia="Times New Roman" w:hAnsi="Arial" w:cs="Arial"/>
          <w:sz w:val="20"/>
          <w:szCs w:val="20"/>
          <w:lang w:val="es-US"/>
        </w:rPr>
        <w:t>Muddada</w:t>
      </w:r>
      <w:proofErr w:type="spellEnd"/>
      <w:r w:rsidRPr="00D70913">
        <w:rPr>
          <w:rFonts w:ascii="Arial" w:eastAsia="Times New Roman" w:hAnsi="Arial" w:cs="Arial"/>
          <w:sz w:val="20"/>
          <w:szCs w:val="20"/>
          <w:lang w:val="es-US"/>
        </w:rPr>
        <w:t xml:space="preserve">, S. (2018). </w:t>
      </w:r>
      <w:r w:rsidRPr="00DB053E">
        <w:rPr>
          <w:rFonts w:ascii="Arial" w:eastAsia="Times New Roman" w:hAnsi="Arial" w:cs="Arial"/>
          <w:sz w:val="20"/>
          <w:szCs w:val="20"/>
        </w:rPr>
        <w:t xml:space="preserve">Application of Biosorption for Removal of Heavy Metals from Wastewater. In </w:t>
      </w:r>
      <w:proofErr w:type="spellStart"/>
      <w:r w:rsidRPr="00DB053E">
        <w:rPr>
          <w:rFonts w:ascii="Arial" w:eastAsia="Times New Roman" w:hAnsi="Arial" w:cs="Arial"/>
          <w:sz w:val="20"/>
          <w:szCs w:val="20"/>
        </w:rPr>
        <w:t>InTech</w:t>
      </w:r>
      <w:proofErr w:type="spellEnd"/>
      <w:r w:rsidRPr="00DB053E">
        <w:rPr>
          <w:rFonts w:ascii="Arial" w:eastAsia="Times New Roman" w:hAnsi="Arial" w:cs="Arial"/>
          <w:sz w:val="20"/>
          <w:szCs w:val="20"/>
        </w:rPr>
        <w:t xml:space="preserve"> eBooks. https://doi.org/10.5772/intechopen.77315</w:t>
      </w:r>
    </w:p>
    <w:p w14:paraId="48F12946"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proofErr w:type="spellStart"/>
      <w:r w:rsidRPr="00DB053E">
        <w:rPr>
          <w:rFonts w:ascii="Arial" w:eastAsia="Times New Roman" w:hAnsi="Arial" w:cs="Arial"/>
          <w:sz w:val="20"/>
          <w:szCs w:val="20"/>
        </w:rPr>
        <w:t>Battas</w:t>
      </w:r>
      <w:proofErr w:type="spellEnd"/>
      <w:r w:rsidRPr="00DB053E">
        <w:rPr>
          <w:rFonts w:ascii="Arial" w:eastAsia="Times New Roman" w:hAnsi="Arial" w:cs="Arial"/>
          <w:sz w:val="20"/>
          <w:szCs w:val="20"/>
        </w:rPr>
        <w:t xml:space="preserve">, A., </w:t>
      </w:r>
      <w:proofErr w:type="spellStart"/>
      <w:r w:rsidRPr="00DB053E">
        <w:rPr>
          <w:rFonts w:ascii="Arial" w:eastAsia="Times New Roman" w:hAnsi="Arial" w:cs="Arial"/>
          <w:sz w:val="20"/>
          <w:szCs w:val="20"/>
        </w:rPr>
        <w:t>Gaidoumi</w:t>
      </w:r>
      <w:proofErr w:type="spellEnd"/>
      <w:r w:rsidRPr="00DB053E">
        <w:rPr>
          <w:rFonts w:ascii="Arial" w:eastAsia="Times New Roman" w:hAnsi="Arial" w:cs="Arial"/>
          <w:sz w:val="20"/>
          <w:szCs w:val="20"/>
        </w:rPr>
        <w:t xml:space="preserve">, A. E., </w:t>
      </w:r>
      <w:proofErr w:type="spellStart"/>
      <w:r w:rsidRPr="00DB053E">
        <w:rPr>
          <w:rFonts w:ascii="Arial" w:eastAsia="Times New Roman" w:hAnsi="Arial" w:cs="Arial"/>
          <w:sz w:val="20"/>
          <w:szCs w:val="20"/>
        </w:rPr>
        <w:t>Ksakas</w:t>
      </w:r>
      <w:proofErr w:type="spellEnd"/>
      <w:r w:rsidRPr="00DB053E">
        <w:rPr>
          <w:rFonts w:ascii="Arial" w:eastAsia="Times New Roman" w:hAnsi="Arial" w:cs="Arial"/>
          <w:sz w:val="20"/>
          <w:szCs w:val="20"/>
        </w:rPr>
        <w:t xml:space="preserve">, A., &amp; </w:t>
      </w:r>
      <w:proofErr w:type="spellStart"/>
      <w:r w:rsidRPr="00DB053E">
        <w:rPr>
          <w:rFonts w:ascii="Arial" w:eastAsia="Times New Roman" w:hAnsi="Arial" w:cs="Arial"/>
          <w:sz w:val="20"/>
          <w:szCs w:val="20"/>
        </w:rPr>
        <w:t>Kherbeche</w:t>
      </w:r>
      <w:proofErr w:type="spellEnd"/>
      <w:r w:rsidRPr="00DB053E">
        <w:rPr>
          <w:rFonts w:ascii="Arial" w:eastAsia="Times New Roman" w:hAnsi="Arial" w:cs="Arial"/>
          <w:sz w:val="20"/>
          <w:szCs w:val="20"/>
        </w:rPr>
        <w:t xml:space="preserve">, A. (2019). Adsorption Study for the Removal of Nitrate from Water Using Local Clay. The Scientific World JOURNAL, 2019, 1–10. </w:t>
      </w:r>
      <w:hyperlink r:id="rId18" w:history="1">
        <w:r w:rsidRPr="00DB053E">
          <w:rPr>
            <w:rStyle w:val="Hyperlink"/>
            <w:rFonts w:ascii="Arial" w:eastAsia="Times New Roman" w:hAnsi="Arial" w:cs="Arial"/>
            <w:color w:val="auto"/>
            <w:sz w:val="20"/>
            <w:szCs w:val="20"/>
            <w:u w:val="none"/>
          </w:rPr>
          <w:t>https://doi.org/10.1155/2019/9529618</w:t>
        </w:r>
      </w:hyperlink>
    </w:p>
    <w:p w14:paraId="66C9475B"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proofErr w:type="spellStart"/>
      <w:r w:rsidRPr="00DB053E">
        <w:rPr>
          <w:rFonts w:ascii="Arial" w:eastAsia="Times New Roman" w:hAnsi="Arial" w:cs="Arial"/>
          <w:sz w:val="20"/>
          <w:szCs w:val="20"/>
        </w:rPr>
        <w:t>Ramadhani</w:t>
      </w:r>
      <w:proofErr w:type="spellEnd"/>
      <w:r w:rsidRPr="00DB053E">
        <w:rPr>
          <w:rFonts w:ascii="Arial" w:eastAsia="Times New Roman" w:hAnsi="Arial" w:cs="Arial"/>
          <w:sz w:val="20"/>
          <w:szCs w:val="20"/>
        </w:rPr>
        <w:t xml:space="preserve">, E., </w:t>
      </w:r>
      <w:proofErr w:type="spellStart"/>
      <w:r w:rsidRPr="00DB053E">
        <w:rPr>
          <w:rFonts w:ascii="Arial" w:eastAsia="Times New Roman" w:hAnsi="Arial" w:cs="Arial"/>
          <w:sz w:val="20"/>
          <w:szCs w:val="20"/>
        </w:rPr>
        <w:t>Kurniawati</w:t>
      </w:r>
      <w:proofErr w:type="spellEnd"/>
      <w:r w:rsidRPr="00DB053E">
        <w:rPr>
          <w:rFonts w:ascii="Arial" w:eastAsia="Times New Roman" w:hAnsi="Arial" w:cs="Arial"/>
          <w:sz w:val="20"/>
          <w:szCs w:val="20"/>
        </w:rPr>
        <w:t xml:space="preserve">, D., Amelia, F., &amp; Putra, A. (2023). Effect of Contact Time on Biosorption of Pb(II) Metal Ions Using </w:t>
      </w:r>
      <w:proofErr w:type="spellStart"/>
      <w:r w:rsidRPr="00DB053E">
        <w:rPr>
          <w:rFonts w:ascii="Arial" w:eastAsia="Times New Roman" w:hAnsi="Arial" w:cs="Arial"/>
          <w:sz w:val="20"/>
          <w:szCs w:val="20"/>
        </w:rPr>
        <w:t>Biosorbent</w:t>
      </w:r>
      <w:proofErr w:type="spellEnd"/>
      <w:r w:rsidRPr="00DB053E">
        <w:rPr>
          <w:rFonts w:ascii="Arial" w:eastAsia="Times New Roman" w:hAnsi="Arial" w:cs="Arial"/>
          <w:sz w:val="20"/>
          <w:szCs w:val="20"/>
        </w:rPr>
        <w:t xml:space="preserve"> from Durian Peel (</w:t>
      </w:r>
      <w:proofErr w:type="spellStart"/>
      <w:r w:rsidRPr="00DB053E">
        <w:rPr>
          <w:rFonts w:ascii="Arial" w:eastAsia="Times New Roman" w:hAnsi="Arial" w:cs="Arial"/>
          <w:sz w:val="20"/>
          <w:szCs w:val="20"/>
        </w:rPr>
        <w:t>Durio</w:t>
      </w:r>
      <w:proofErr w:type="spellEnd"/>
      <w:r w:rsidRPr="00DB053E">
        <w:rPr>
          <w:rFonts w:ascii="Arial" w:eastAsia="Times New Roman" w:hAnsi="Arial" w:cs="Arial"/>
          <w:sz w:val="20"/>
          <w:szCs w:val="20"/>
        </w:rPr>
        <w:t xml:space="preserve"> </w:t>
      </w:r>
      <w:proofErr w:type="spellStart"/>
      <w:r w:rsidRPr="00DB053E">
        <w:rPr>
          <w:rFonts w:ascii="Arial" w:eastAsia="Times New Roman" w:hAnsi="Arial" w:cs="Arial"/>
          <w:sz w:val="20"/>
          <w:szCs w:val="20"/>
        </w:rPr>
        <w:t>zibethinus</w:t>
      </w:r>
      <w:proofErr w:type="spellEnd"/>
      <w:r w:rsidRPr="00DB053E">
        <w:rPr>
          <w:rFonts w:ascii="Arial" w:eastAsia="Times New Roman" w:hAnsi="Arial" w:cs="Arial"/>
          <w:sz w:val="20"/>
          <w:szCs w:val="20"/>
        </w:rPr>
        <w:t xml:space="preserve"> L). Indonesian Journal of Chemical Science and Technology (IJCST), 6(1), 7. https://doi.org/10.24114/ijcst.v6i1.43174</w:t>
      </w:r>
    </w:p>
    <w:p w14:paraId="52C36199"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proofErr w:type="spellStart"/>
      <w:r w:rsidRPr="00DB053E">
        <w:rPr>
          <w:rFonts w:ascii="Arial" w:eastAsia="Times New Roman" w:hAnsi="Arial" w:cs="Arial"/>
          <w:sz w:val="20"/>
          <w:szCs w:val="20"/>
        </w:rPr>
        <w:t>Abdeen</w:t>
      </w:r>
      <w:proofErr w:type="spellEnd"/>
      <w:r w:rsidRPr="00DB053E">
        <w:rPr>
          <w:rFonts w:ascii="Arial" w:eastAsia="Times New Roman" w:hAnsi="Arial" w:cs="Arial"/>
          <w:sz w:val="20"/>
          <w:szCs w:val="20"/>
        </w:rPr>
        <w:t xml:space="preserve">, Z., &amp; Mohammad, S. G. (2014). Study of the adsorption efficiency of an Eco-Friendly carbohydrate polymer for contaminated aqueous solution by organophosphorus pesticide. </w:t>
      </w:r>
      <w:r w:rsidRPr="00DB053E">
        <w:rPr>
          <w:rFonts w:ascii="Arial" w:eastAsia="Times New Roman" w:hAnsi="Arial" w:cs="Arial"/>
          <w:i/>
          <w:sz w:val="20"/>
          <w:szCs w:val="20"/>
        </w:rPr>
        <w:t>Open Journal of Organic Polymer Materials</w:t>
      </w:r>
      <w:r w:rsidRPr="00DB053E">
        <w:rPr>
          <w:rFonts w:ascii="Arial" w:eastAsia="Times New Roman" w:hAnsi="Arial" w:cs="Arial"/>
          <w:sz w:val="20"/>
          <w:szCs w:val="20"/>
        </w:rPr>
        <w:t xml:space="preserve">, </w:t>
      </w:r>
      <w:r w:rsidRPr="00DB053E">
        <w:rPr>
          <w:rFonts w:ascii="Arial" w:eastAsia="Times New Roman" w:hAnsi="Arial" w:cs="Arial"/>
          <w:i/>
          <w:sz w:val="20"/>
          <w:szCs w:val="20"/>
        </w:rPr>
        <w:t>04</w:t>
      </w:r>
      <w:r w:rsidRPr="00DB053E">
        <w:rPr>
          <w:rFonts w:ascii="Arial" w:eastAsia="Times New Roman" w:hAnsi="Arial" w:cs="Arial"/>
          <w:sz w:val="20"/>
          <w:szCs w:val="20"/>
        </w:rPr>
        <w:t>(01), 16–28. https://doi.org/10.4236/ojopm.2014.41004</w:t>
      </w:r>
    </w:p>
    <w:p w14:paraId="2C8407DF"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r w:rsidRPr="00D70913">
        <w:rPr>
          <w:rFonts w:ascii="Arial" w:eastAsia="Times New Roman" w:hAnsi="Arial" w:cs="Arial"/>
          <w:sz w:val="20"/>
          <w:szCs w:val="20"/>
          <w:lang w:val="es-US"/>
        </w:rPr>
        <w:t>Cruz-</w:t>
      </w:r>
      <w:proofErr w:type="spellStart"/>
      <w:r w:rsidRPr="00D70913">
        <w:rPr>
          <w:rFonts w:ascii="Arial" w:eastAsia="Times New Roman" w:hAnsi="Arial" w:cs="Arial"/>
          <w:sz w:val="20"/>
          <w:szCs w:val="20"/>
          <w:lang w:val="es-US"/>
        </w:rPr>
        <w:t>Lopes</w:t>
      </w:r>
      <w:proofErr w:type="spellEnd"/>
      <w:r w:rsidRPr="00D70913">
        <w:rPr>
          <w:rFonts w:ascii="Arial" w:eastAsia="Times New Roman" w:hAnsi="Arial" w:cs="Arial"/>
          <w:sz w:val="20"/>
          <w:szCs w:val="20"/>
          <w:lang w:val="es-US"/>
        </w:rPr>
        <w:t xml:space="preserve">, L. P., </w:t>
      </w:r>
      <w:proofErr w:type="spellStart"/>
      <w:r w:rsidRPr="00D70913">
        <w:rPr>
          <w:rFonts w:ascii="Arial" w:eastAsia="Times New Roman" w:hAnsi="Arial" w:cs="Arial"/>
          <w:sz w:val="20"/>
          <w:szCs w:val="20"/>
          <w:lang w:val="es-US"/>
        </w:rPr>
        <w:t>Macena</w:t>
      </w:r>
      <w:proofErr w:type="spellEnd"/>
      <w:r w:rsidRPr="00D70913">
        <w:rPr>
          <w:rFonts w:ascii="Arial" w:eastAsia="Times New Roman" w:hAnsi="Arial" w:cs="Arial"/>
          <w:sz w:val="20"/>
          <w:szCs w:val="20"/>
          <w:lang w:val="es-US"/>
        </w:rPr>
        <w:t xml:space="preserve">, M., Esteves, B., &amp; </w:t>
      </w:r>
      <w:proofErr w:type="spellStart"/>
      <w:r w:rsidRPr="00D70913">
        <w:rPr>
          <w:rFonts w:ascii="Arial" w:eastAsia="Times New Roman" w:hAnsi="Arial" w:cs="Arial"/>
          <w:sz w:val="20"/>
          <w:szCs w:val="20"/>
          <w:lang w:val="es-US"/>
        </w:rPr>
        <w:t>Guiné</w:t>
      </w:r>
      <w:proofErr w:type="spellEnd"/>
      <w:r w:rsidRPr="00D70913">
        <w:rPr>
          <w:rFonts w:ascii="Arial" w:eastAsia="Times New Roman" w:hAnsi="Arial" w:cs="Arial"/>
          <w:sz w:val="20"/>
          <w:szCs w:val="20"/>
          <w:lang w:val="es-US"/>
        </w:rPr>
        <w:t xml:space="preserve">, R. P. F. (2021). </w:t>
      </w:r>
      <w:r w:rsidRPr="00DB053E">
        <w:rPr>
          <w:rFonts w:ascii="Arial" w:eastAsia="Times New Roman" w:hAnsi="Arial" w:cs="Arial"/>
          <w:sz w:val="20"/>
          <w:szCs w:val="20"/>
        </w:rPr>
        <w:t>Ideal pH for the adsorption of metal ions Cr6+, Ni2+, Pb2+ in aqueous solution with different adsorbent materials. Open Agriculture, 6(1), 115–123.</w:t>
      </w:r>
      <w:hyperlink r:id="rId19">
        <w:r w:rsidRPr="00DB053E">
          <w:rPr>
            <w:rFonts w:ascii="Arial" w:eastAsia="Times New Roman" w:hAnsi="Arial" w:cs="Arial"/>
            <w:sz w:val="20"/>
            <w:szCs w:val="20"/>
          </w:rPr>
          <w:t xml:space="preserve"> https://doi.org/10.1515/opag-2021-0225</w:t>
        </w:r>
      </w:hyperlink>
    </w:p>
    <w:p w14:paraId="602EAEF5" w14:textId="45F8649D" w:rsid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proofErr w:type="spellStart"/>
      <w:r w:rsidRPr="00DB053E">
        <w:rPr>
          <w:rFonts w:ascii="Arial" w:eastAsia="Times New Roman" w:hAnsi="Arial" w:cs="Arial"/>
          <w:sz w:val="20"/>
          <w:szCs w:val="20"/>
        </w:rPr>
        <w:t>Derashri</w:t>
      </w:r>
      <w:proofErr w:type="spellEnd"/>
      <w:r w:rsidRPr="00DB053E">
        <w:rPr>
          <w:rFonts w:ascii="Arial" w:eastAsia="Times New Roman" w:hAnsi="Arial" w:cs="Arial"/>
          <w:sz w:val="20"/>
          <w:szCs w:val="20"/>
        </w:rPr>
        <w:t xml:space="preserve">, P., </w:t>
      </w:r>
      <w:proofErr w:type="spellStart"/>
      <w:r w:rsidRPr="00DB053E">
        <w:rPr>
          <w:rFonts w:ascii="Arial" w:eastAsia="Times New Roman" w:hAnsi="Arial" w:cs="Arial"/>
          <w:sz w:val="20"/>
          <w:szCs w:val="20"/>
        </w:rPr>
        <w:t>Barage</w:t>
      </w:r>
      <w:proofErr w:type="spellEnd"/>
      <w:r w:rsidRPr="00DB053E">
        <w:rPr>
          <w:rFonts w:ascii="Arial" w:eastAsia="Times New Roman" w:hAnsi="Arial" w:cs="Arial"/>
          <w:sz w:val="20"/>
          <w:szCs w:val="20"/>
        </w:rPr>
        <w:t xml:space="preserve">, S., &amp; Singh, S. B. (2024). Potential of agricultural wastes as alternative </w:t>
      </w:r>
      <w:proofErr w:type="spellStart"/>
      <w:r w:rsidRPr="00DB053E">
        <w:rPr>
          <w:rFonts w:ascii="Arial" w:eastAsia="Times New Roman" w:hAnsi="Arial" w:cs="Arial"/>
          <w:sz w:val="20"/>
          <w:szCs w:val="20"/>
        </w:rPr>
        <w:t>biosorbents</w:t>
      </w:r>
      <w:proofErr w:type="spellEnd"/>
      <w:r w:rsidRPr="00DB053E">
        <w:rPr>
          <w:rFonts w:ascii="Arial" w:eastAsia="Times New Roman" w:hAnsi="Arial" w:cs="Arial"/>
          <w:sz w:val="20"/>
          <w:szCs w:val="20"/>
        </w:rPr>
        <w:t xml:space="preserve">. In Advances in environmental engineering and green technologies book series (pp. 200–225). </w:t>
      </w:r>
      <w:hyperlink r:id="rId20" w:history="1">
        <w:r w:rsidR="00D3663C" w:rsidRPr="00A1402C">
          <w:rPr>
            <w:rStyle w:val="Hyperlink"/>
            <w:rFonts w:ascii="Arial" w:eastAsia="Times New Roman" w:hAnsi="Arial" w:cs="Arial"/>
            <w:sz w:val="20"/>
            <w:szCs w:val="20"/>
          </w:rPr>
          <w:t>https://doi.org/10.4018/979-8-3693-1618-4.ch009</w:t>
        </w:r>
      </w:hyperlink>
    </w:p>
    <w:p w14:paraId="412B7C11" w14:textId="1209F615" w:rsidR="00D3663C" w:rsidRPr="00D70913" w:rsidRDefault="00D3663C" w:rsidP="00EF1BD8">
      <w:pPr>
        <w:pStyle w:val="ListParagraph"/>
        <w:numPr>
          <w:ilvl w:val="0"/>
          <w:numId w:val="2"/>
        </w:numPr>
        <w:spacing w:before="240" w:after="240" w:line="240" w:lineRule="auto"/>
        <w:jc w:val="both"/>
        <w:rPr>
          <w:rFonts w:ascii="Arial" w:eastAsia="Times New Roman" w:hAnsi="Arial" w:cs="Arial"/>
          <w:sz w:val="20"/>
          <w:szCs w:val="20"/>
          <w:highlight w:val="yellow"/>
        </w:rPr>
      </w:pPr>
      <w:r w:rsidRPr="00D70913">
        <w:rPr>
          <w:rFonts w:ascii="Arial" w:eastAsia="Times New Roman" w:hAnsi="Arial" w:cs="Arial"/>
          <w:sz w:val="20"/>
          <w:szCs w:val="20"/>
          <w:highlight w:val="yellow"/>
          <w:lang w:val="es-US"/>
        </w:rPr>
        <w:t>Osman, A. I., El-</w:t>
      </w:r>
      <w:proofErr w:type="spellStart"/>
      <w:r w:rsidRPr="00D70913">
        <w:rPr>
          <w:rFonts w:ascii="Arial" w:eastAsia="Times New Roman" w:hAnsi="Arial" w:cs="Arial"/>
          <w:sz w:val="20"/>
          <w:szCs w:val="20"/>
          <w:highlight w:val="yellow"/>
          <w:lang w:val="es-US"/>
        </w:rPr>
        <w:t>Monaem</w:t>
      </w:r>
      <w:proofErr w:type="spellEnd"/>
      <w:r w:rsidRPr="00D70913">
        <w:rPr>
          <w:rFonts w:ascii="Arial" w:eastAsia="Times New Roman" w:hAnsi="Arial" w:cs="Arial"/>
          <w:sz w:val="20"/>
          <w:szCs w:val="20"/>
          <w:highlight w:val="yellow"/>
          <w:lang w:val="es-US"/>
        </w:rPr>
        <w:t xml:space="preserve">, E. M. A., </w:t>
      </w:r>
      <w:proofErr w:type="spellStart"/>
      <w:r w:rsidRPr="00D70913">
        <w:rPr>
          <w:rFonts w:ascii="Arial" w:eastAsia="Times New Roman" w:hAnsi="Arial" w:cs="Arial"/>
          <w:sz w:val="20"/>
          <w:szCs w:val="20"/>
          <w:highlight w:val="yellow"/>
          <w:lang w:val="es-US"/>
        </w:rPr>
        <w:t>Elgarahy</w:t>
      </w:r>
      <w:proofErr w:type="spellEnd"/>
      <w:r w:rsidRPr="00D70913">
        <w:rPr>
          <w:rFonts w:ascii="Arial" w:eastAsia="Times New Roman" w:hAnsi="Arial" w:cs="Arial"/>
          <w:sz w:val="20"/>
          <w:szCs w:val="20"/>
          <w:highlight w:val="yellow"/>
          <w:lang w:val="es-US"/>
        </w:rPr>
        <w:t xml:space="preserve">, A. M., </w:t>
      </w:r>
      <w:proofErr w:type="spellStart"/>
      <w:r w:rsidRPr="00D70913">
        <w:rPr>
          <w:rFonts w:ascii="Arial" w:eastAsia="Times New Roman" w:hAnsi="Arial" w:cs="Arial"/>
          <w:sz w:val="20"/>
          <w:szCs w:val="20"/>
          <w:highlight w:val="yellow"/>
          <w:lang w:val="es-US"/>
        </w:rPr>
        <w:t>Aniagor</w:t>
      </w:r>
      <w:proofErr w:type="spellEnd"/>
      <w:r w:rsidRPr="00D70913">
        <w:rPr>
          <w:rFonts w:ascii="Arial" w:eastAsia="Times New Roman" w:hAnsi="Arial" w:cs="Arial"/>
          <w:sz w:val="20"/>
          <w:szCs w:val="20"/>
          <w:highlight w:val="yellow"/>
          <w:lang w:val="es-US"/>
        </w:rPr>
        <w:t xml:space="preserve">, C. O., </w:t>
      </w:r>
      <w:proofErr w:type="spellStart"/>
      <w:r w:rsidRPr="00D70913">
        <w:rPr>
          <w:rFonts w:ascii="Arial" w:eastAsia="Times New Roman" w:hAnsi="Arial" w:cs="Arial"/>
          <w:sz w:val="20"/>
          <w:szCs w:val="20"/>
          <w:highlight w:val="yellow"/>
          <w:lang w:val="es-US"/>
        </w:rPr>
        <w:t>Hosny</w:t>
      </w:r>
      <w:proofErr w:type="spellEnd"/>
      <w:r w:rsidRPr="00D70913">
        <w:rPr>
          <w:rFonts w:ascii="Arial" w:eastAsia="Times New Roman" w:hAnsi="Arial" w:cs="Arial"/>
          <w:sz w:val="20"/>
          <w:szCs w:val="20"/>
          <w:highlight w:val="yellow"/>
          <w:lang w:val="es-US"/>
        </w:rPr>
        <w:t xml:space="preserve">, M., </w:t>
      </w:r>
      <w:proofErr w:type="spellStart"/>
      <w:r w:rsidRPr="00D70913">
        <w:rPr>
          <w:rFonts w:ascii="Arial" w:eastAsia="Times New Roman" w:hAnsi="Arial" w:cs="Arial"/>
          <w:sz w:val="20"/>
          <w:szCs w:val="20"/>
          <w:highlight w:val="yellow"/>
          <w:lang w:val="es-US"/>
        </w:rPr>
        <w:t>Farghali</w:t>
      </w:r>
      <w:proofErr w:type="spellEnd"/>
      <w:r w:rsidRPr="00D70913">
        <w:rPr>
          <w:rFonts w:ascii="Arial" w:eastAsia="Times New Roman" w:hAnsi="Arial" w:cs="Arial"/>
          <w:sz w:val="20"/>
          <w:szCs w:val="20"/>
          <w:highlight w:val="yellow"/>
          <w:lang w:val="es-US"/>
        </w:rPr>
        <w:t xml:space="preserve">, M., ... </w:t>
      </w:r>
      <w:r w:rsidRPr="00D70913">
        <w:rPr>
          <w:rFonts w:ascii="Arial" w:eastAsia="Times New Roman" w:hAnsi="Arial" w:cs="Arial"/>
          <w:sz w:val="20"/>
          <w:szCs w:val="20"/>
          <w:highlight w:val="yellow"/>
        </w:rPr>
        <w:t xml:space="preserve">&amp; </w:t>
      </w:r>
      <w:proofErr w:type="spellStart"/>
      <w:r w:rsidRPr="00D70913">
        <w:rPr>
          <w:rFonts w:ascii="Arial" w:eastAsia="Times New Roman" w:hAnsi="Arial" w:cs="Arial"/>
          <w:sz w:val="20"/>
          <w:szCs w:val="20"/>
          <w:highlight w:val="yellow"/>
        </w:rPr>
        <w:t>Eltaweil</w:t>
      </w:r>
      <w:proofErr w:type="spellEnd"/>
      <w:r w:rsidRPr="00D70913">
        <w:rPr>
          <w:rFonts w:ascii="Arial" w:eastAsia="Times New Roman" w:hAnsi="Arial" w:cs="Arial"/>
          <w:sz w:val="20"/>
          <w:szCs w:val="20"/>
          <w:highlight w:val="yellow"/>
        </w:rPr>
        <w:t xml:space="preserve">, A. S. (2023). Methods to prepare </w:t>
      </w:r>
      <w:proofErr w:type="spellStart"/>
      <w:r w:rsidRPr="00D70913">
        <w:rPr>
          <w:rFonts w:ascii="Arial" w:eastAsia="Times New Roman" w:hAnsi="Arial" w:cs="Arial"/>
          <w:sz w:val="20"/>
          <w:szCs w:val="20"/>
          <w:highlight w:val="yellow"/>
        </w:rPr>
        <w:t>biosorbents</w:t>
      </w:r>
      <w:proofErr w:type="spellEnd"/>
      <w:r w:rsidRPr="00D70913">
        <w:rPr>
          <w:rFonts w:ascii="Arial" w:eastAsia="Times New Roman" w:hAnsi="Arial" w:cs="Arial"/>
          <w:sz w:val="20"/>
          <w:szCs w:val="20"/>
          <w:highlight w:val="yellow"/>
        </w:rPr>
        <w:t xml:space="preserve"> and magnetic sorbents for water treatment: a review. </w:t>
      </w:r>
      <w:r w:rsidRPr="00D70913">
        <w:rPr>
          <w:rFonts w:ascii="Arial" w:eastAsia="Times New Roman" w:hAnsi="Arial" w:cs="Arial"/>
          <w:i/>
          <w:iCs/>
          <w:sz w:val="20"/>
          <w:szCs w:val="20"/>
          <w:highlight w:val="yellow"/>
        </w:rPr>
        <w:t>Environmental Chemistry Letters</w:t>
      </w:r>
      <w:r w:rsidRPr="00D70913">
        <w:rPr>
          <w:rFonts w:ascii="Arial" w:eastAsia="Times New Roman" w:hAnsi="Arial" w:cs="Arial"/>
          <w:sz w:val="20"/>
          <w:szCs w:val="20"/>
          <w:highlight w:val="yellow"/>
        </w:rPr>
        <w:t>, </w:t>
      </w:r>
      <w:r w:rsidRPr="00D70913">
        <w:rPr>
          <w:rFonts w:ascii="Arial" w:eastAsia="Times New Roman" w:hAnsi="Arial" w:cs="Arial"/>
          <w:i/>
          <w:iCs/>
          <w:sz w:val="20"/>
          <w:szCs w:val="20"/>
          <w:highlight w:val="yellow"/>
        </w:rPr>
        <w:t>21</w:t>
      </w:r>
      <w:r w:rsidRPr="00D70913">
        <w:rPr>
          <w:rFonts w:ascii="Arial" w:eastAsia="Times New Roman" w:hAnsi="Arial" w:cs="Arial"/>
          <w:sz w:val="20"/>
          <w:szCs w:val="20"/>
          <w:highlight w:val="yellow"/>
        </w:rPr>
        <w:t>(4), 2337-2398.</w:t>
      </w:r>
    </w:p>
    <w:p w14:paraId="362928DF" w14:textId="5E2D0016" w:rsidR="00D3663C" w:rsidRDefault="00175D29" w:rsidP="00EF1BD8">
      <w:pPr>
        <w:pStyle w:val="ListParagraph"/>
        <w:numPr>
          <w:ilvl w:val="0"/>
          <w:numId w:val="2"/>
        </w:numPr>
        <w:spacing w:before="240" w:after="240" w:line="240" w:lineRule="auto"/>
        <w:jc w:val="both"/>
        <w:rPr>
          <w:rFonts w:ascii="Arial" w:eastAsia="Times New Roman" w:hAnsi="Arial" w:cs="Arial"/>
          <w:sz w:val="20"/>
          <w:szCs w:val="20"/>
          <w:highlight w:val="yellow"/>
        </w:rPr>
      </w:pPr>
      <w:r w:rsidRPr="00175D29">
        <w:rPr>
          <w:rFonts w:ascii="Arial" w:eastAsia="Times New Roman" w:hAnsi="Arial" w:cs="Arial"/>
          <w:sz w:val="20"/>
          <w:szCs w:val="20"/>
          <w:highlight w:val="yellow"/>
        </w:rPr>
        <w:t xml:space="preserve">Chong, Z. T., Soh, L. S., &amp; Yong, W. F. (2023). Valorization of agriculture wastes as </w:t>
      </w:r>
      <w:proofErr w:type="spellStart"/>
      <w:r w:rsidRPr="00175D29">
        <w:rPr>
          <w:rFonts w:ascii="Arial" w:eastAsia="Times New Roman" w:hAnsi="Arial" w:cs="Arial"/>
          <w:sz w:val="20"/>
          <w:szCs w:val="20"/>
          <w:highlight w:val="yellow"/>
        </w:rPr>
        <w:t>biosorbents</w:t>
      </w:r>
      <w:proofErr w:type="spellEnd"/>
      <w:r w:rsidRPr="00175D29">
        <w:rPr>
          <w:rFonts w:ascii="Arial" w:eastAsia="Times New Roman" w:hAnsi="Arial" w:cs="Arial"/>
          <w:sz w:val="20"/>
          <w:szCs w:val="20"/>
          <w:highlight w:val="yellow"/>
        </w:rPr>
        <w:t xml:space="preserve"> for adsorption of emerging pollutants: Modification, remediation and industry application. </w:t>
      </w:r>
      <w:r w:rsidRPr="00175D29">
        <w:rPr>
          <w:rFonts w:ascii="Arial" w:eastAsia="Times New Roman" w:hAnsi="Arial" w:cs="Arial"/>
          <w:i/>
          <w:iCs/>
          <w:sz w:val="20"/>
          <w:szCs w:val="20"/>
          <w:highlight w:val="yellow"/>
        </w:rPr>
        <w:t>Results in Engineering</w:t>
      </w:r>
      <w:r w:rsidRPr="00175D29">
        <w:rPr>
          <w:rFonts w:ascii="Arial" w:eastAsia="Times New Roman" w:hAnsi="Arial" w:cs="Arial"/>
          <w:sz w:val="20"/>
          <w:szCs w:val="20"/>
          <w:highlight w:val="yellow"/>
        </w:rPr>
        <w:t>, </w:t>
      </w:r>
      <w:r w:rsidRPr="00175D29">
        <w:rPr>
          <w:rFonts w:ascii="Arial" w:eastAsia="Times New Roman" w:hAnsi="Arial" w:cs="Arial"/>
          <w:i/>
          <w:iCs/>
          <w:sz w:val="20"/>
          <w:szCs w:val="20"/>
          <w:highlight w:val="yellow"/>
        </w:rPr>
        <w:t>17</w:t>
      </w:r>
      <w:r w:rsidRPr="00175D29">
        <w:rPr>
          <w:rFonts w:ascii="Arial" w:eastAsia="Times New Roman" w:hAnsi="Arial" w:cs="Arial"/>
          <w:sz w:val="20"/>
          <w:szCs w:val="20"/>
          <w:highlight w:val="yellow"/>
        </w:rPr>
        <w:t>, 100960.</w:t>
      </w:r>
    </w:p>
    <w:p w14:paraId="503BF75F" w14:textId="548D1E88" w:rsidR="00175D29" w:rsidRDefault="0061333E" w:rsidP="00EF1BD8">
      <w:pPr>
        <w:pStyle w:val="ListParagraph"/>
        <w:numPr>
          <w:ilvl w:val="0"/>
          <w:numId w:val="2"/>
        </w:numPr>
        <w:spacing w:before="240" w:after="240" w:line="240" w:lineRule="auto"/>
        <w:jc w:val="both"/>
        <w:rPr>
          <w:rFonts w:ascii="Arial" w:eastAsia="Times New Roman" w:hAnsi="Arial" w:cs="Arial"/>
          <w:sz w:val="20"/>
          <w:szCs w:val="20"/>
          <w:highlight w:val="yellow"/>
        </w:rPr>
      </w:pPr>
      <w:proofErr w:type="spellStart"/>
      <w:r w:rsidRPr="0061333E">
        <w:rPr>
          <w:rFonts w:ascii="Arial" w:eastAsia="Times New Roman" w:hAnsi="Arial" w:cs="Arial"/>
          <w:sz w:val="20"/>
          <w:szCs w:val="20"/>
          <w:highlight w:val="yellow"/>
        </w:rPr>
        <w:t>Alsulaili</w:t>
      </w:r>
      <w:proofErr w:type="spellEnd"/>
      <w:r w:rsidRPr="0061333E">
        <w:rPr>
          <w:rFonts w:ascii="Arial" w:eastAsia="Times New Roman" w:hAnsi="Arial" w:cs="Arial"/>
          <w:sz w:val="20"/>
          <w:szCs w:val="20"/>
          <w:highlight w:val="yellow"/>
        </w:rPr>
        <w:t xml:space="preserve">, A., </w:t>
      </w:r>
      <w:proofErr w:type="spellStart"/>
      <w:r w:rsidRPr="0061333E">
        <w:rPr>
          <w:rFonts w:ascii="Arial" w:eastAsia="Times New Roman" w:hAnsi="Arial" w:cs="Arial"/>
          <w:sz w:val="20"/>
          <w:szCs w:val="20"/>
          <w:highlight w:val="yellow"/>
        </w:rPr>
        <w:t>Elsayed</w:t>
      </w:r>
      <w:proofErr w:type="spellEnd"/>
      <w:r w:rsidRPr="0061333E">
        <w:rPr>
          <w:rFonts w:ascii="Arial" w:eastAsia="Times New Roman" w:hAnsi="Arial" w:cs="Arial"/>
          <w:sz w:val="20"/>
          <w:szCs w:val="20"/>
          <w:highlight w:val="yellow"/>
        </w:rPr>
        <w:t xml:space="preserve">, K., &amp; </w:t>
      </w:r>
      <w:proofErr w:type="spellStart"/>
      <w:r w:rsidRPr="0061333E">
        <w:rPr>
          <w:rFonts w:ascii="Arial" w:eastAsia="Times New Roman" w:hAnsi="Arial" w:cs="Arial"/>
          <w:sz w:val="20"/>
          <w:szCs w:val="20"/>
          <w:highlight w:val="yellow"/>
        </w:rPr>
        <w:t>Refaie</w:t>
      </w:r>
      <w:proofErr w:type="spellEnd"/>
      <w:r w:rsidRPr="0061333E">
        <w:rPr>
          <w:rFonts w:ascii="Arial" w:eastAsia="Times New Roman" w:hAnsi="Arial" w:cs="Arial"/>
          <w:sz w:val="20"/>
          <w:szCs w:val="20"/>
          <w:highlight w:val="yellow"/>
        </w:rPr>
        <w:t>, A. (2023). Utilization of agriculture waste materials as sustainable adsorbents for heavy metal removal: a comprehensive review. </w:t>
      </w:r>
      <w:r w:rsidRPr="0061333E">
        <w:rPr>
          <w:rFonts w:ascii="Arial" w:eastAsia="Times New Roman" w:hAnsi="Arial" w:cs="Arial"/>
          <w:i/>
          <w:iCs/>
          <w:sz w:val="20"/>
          <w:szCs w:val="20"/>
          <w:highlight w:val="yellow"/>
        </w:rPr>
        <w:t>Journal of Engineering Research</w:t>
      </w:r>
      <w:r w:rsidRPr="0061333E">
        <w:rPr>
          <w:rFonts w:ascii="Arial" w:eastAsia="Times New Roman" w:hAnsi="Arial" w:cs="Arial"/>
          <w:sz w:val="20"/>
          <w:szCs w:val="20"/>
          <w:highlight w:val="yellow"/>
        </w:rPr>
        <w:t>.</w:t>
      </w:r>
    </w:p>
    <w:p w14:paraId="64464ED9" w14:textId="6FD5E77D" w:rsidR="0061333E" w:rsidRPr="00D70913" w:rsidRDefault="002C029A" w:rsidP="00EF1BD8">
      <w:pPr>
        <w:pStyle w:val="ListParagraph"/>
        <w:numPr>
          <w:ilvl w:val="0"/>
          <w:numId w:val="2"/>
        </w:numPr>
        <w:spacing w:before="240" w:after="240" w:line="240" w:lineRule="auto"/>
        <w:jc w:val="both"/>
        <w:rPr>
          <w:rFonts w:ascii="Arial" w:eastAsia="Times New Roman" w:hAnsi="Arial" w:cs="Arial"/>
          <w:sz w:val="20"/>
          <w:szCs w:val="20"/>
          <w:highlight w:val="yellow"/>
        </w:rPr>
      </w:pPr>
      <w:proofErr w:type="spellStart"/>
      <w:r w:rsidRPr="002C029A">
        <w:rPr>
          <w:rFonts w:ascii="Arial" w:eastAsia="Times New Roman" w:hAnsi="Arial" w:cs="Arial"/>
          <w:sz w:val="20"/>
          <w:szCs w:val="20"/>
          <w:highlight w:val="yellow"/>
        </w:rPr>
        <w:lastRenderedPageBreak/>
        <w:t>Amaku</w:t>
      </w:r>
      <w:proofErr w:type="spellEnd"/>
      <w:r w:rsidRPr="002C029A">
        <w:rPr>
          <w:rFonts w:ascii="Arial" w:eastAsia="Times New Roman" w:hAnsi="Arial" w:cs="Arial"/>
          <w:sz w:val="20"/>
          <w:szCs w:val="20"/>
          <w:highlight w:val="yellow"/>
        </w:rPr>
        <w:t xml:space="preserve">, J. F., &amp; </w:t>
      </w:r>
      <w:proofErr w:type="spellStart"/>
      <w:r w:rsidRPr="002C029A">
        <w:rPr>
          <w:rFonts w:ascii="Arial" w:eastAsia="Times New Roman" w:hAnsi="Arial" w:cs="Arial"/>
          <w:sz w:val="20"/>
          <w:szCs w:val="20"/>
          <w:highlight w:val="yellow"/>
        </w:rPr>
        <w:t>Taziwa</w:t>
      </w:r>
      <w:proofErr w:type="spellEnd"/>
      <w:r w:rsidRPr="002C029A">
        <w:rPr>
          <w:rFonts w:ascii="Arial" w:eastAsia="Times New Roman" w:hAnsi="Arial" w:cs="Arial"/>
          <w:sz w:val="20"/>
          <w:szCs w:val="20"/>
          <w:highlight w:val="yellow"/>
        </w:rPr>
        <w:t xml:space="preserve">, R. (2024). Removal of reactive blue 19 from simulated wastewater using Solanum </w:t>
      </w:r>
      <w:proofErr w:type="spellStart"/>
      <w:r w:rsidRPr="002C029A">
        <w:rPr>
          <w:rFonts w:ascii="Arial" w:eastAsia="Times New Roman" w:hAnsi="Arial" w:cs="Arial"/>
          <w:sz w:val="20"/>
          <w:szCs w:val="20"/>
          <w:highlight w:val="yellow"/>
        </w:rPr>
        <w:t>melongena</w:t>
      </w:r>
      <w:proofErr w:type="spellEnd"/>
      <w:r w:rsidRPr="002C029A">
        <w:rPr>
          <w:rFonts w:ascii="Arial" w:eastAsia="Times New Roman" w:hAnsi="Arial" w:cs="Arial"/>
          <w:sz w:val="20"/>
          <w:szCs w:val="20"/>
          <w:highlight w:val="yellow"/>
        </w:rPr>
        <w:t xml:space="preserve"> stalk/MWCNTs: thermodynamics, kinetic, equilibrium and regeneration potentials. </w:t>
      </w:r>
      <w:r w:rsidRPr="002C029A">
        <w:rPr>
          <w:rFonts w:ascii="Arial" w:eastAsia="Times New Roman" w:hAnsi="Arial" w:cs="Arial"/>
          <w:i/>
          <w:iCs/>
          <w:sz w:val="20"/>
          <w:szCs w:val="20"/>
          <w:highlight w:val="yellow"/>
        </w:rPr>
        <w:t>Chemical Papers</w:t>
      </w:r>
      <w:r w:rsidRPr="002C029A">
        <w:rPr>
          <w:rFonts w:ascii="Arial" w:eastAsia="Times New Roman" w:hAnsi="Arial" w:cs="Arial"/>
          <w:sz w:val="20"/>
          <w:szCs w:val="20"/>
          <w:highlight w:val="yellow"/>
        </w:rPr>
        <w:t>, </w:t>
      </w:r>
      <w:r w:rsidRPr="002C029A">
        <w:rPr>
          <w:rFonts w:ascii="Arial" w:eastAsia="Times New Roman" w:hAnsi="Arial" w:cs="Arial"/>
          <w:i/>
          <w:iCs/>
          <w:sz w:val="20"/>
          <w:szCs w:val="20"/>
          <w:highlight w:val="yellow"/>
        </w:rPr>
        <w:t>78</w:t>
      </w:r>
      <w:r w:rsidRPr="002C029A">
        <w:rPr>
          <w:rFonts w:ascii="Arial" w:eastAsia="Times New Roman" w:hAnsi="Arial" w:cs="Arial"/>
          <w:sz w:val="20"/>
          <w:szCs w:val="20"/>
          <w:highlight w:val="yellow"/>
        </w:rPr>
        <w:t>(2), 1251-1263.</w:t>
      </w:r>
    </w:p>
    <w:p w14:paraId="000000F7" w14:textId="76FBF936" w:rsidR="00D51113" w:rsidRPr="00CB3336" w:rsidRDefault="00D51113" w:rsidP="00EF1BD8">
      <w:pPr>
        <w:spacing w:before="240" w:after="240" w:line="240" w:lineRule="auto"/>
        <w:jc w:val="both"/>
        <w:rPr>
          <w:rFonts w:ascii="Arial" w:eastAsia="Times New Roman" w:hAnsi="Arial" w:cs="Arial"/>
          <w:sz w:val="20"/>
          <w:szCs w:val="20"/>
        </w:rPr>
      </w:pPr>
    </w:p>
    <w:sectPr w:rsidR="00D51113" w:rsidRPr="00CB3336" w:rsidSect="00EF1BD8">
      <w:headerReference w:type="even" r:id="rId21"/>
      <w:headerReference w:type="default" r:id="rId22"/>
      <w:footerReference w:type="even" r:id="rId23"/>
      <w:footerReference w:type="default" r:id="rId24"/>
      <w:headerReference w:type="first" r:id="rId25"/>
      <w:footerReference w:type="first" r:id="rId26"/>
      <w:pgSz w:w="12240" w:h="15840"/>
      <w:pgMar w:top="1440" w:right="2019" w:bottom="2019" w:left="2019" w:header="709"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6193F6" w14:textId="77777777" w:rsidR="00603573" w:rsidRDefault="00603573">
      <w:pPr>
        <w:spacing w:after="0" w:line="240" w:lineRule="auto"/>
      </w:pPr>
      <w:r>
        <w:separator/>
      </w:r>
    </w:p>
  </w:endnote>
  <w:endnote w:type="continuationSeparator" w:id="0">
    <w:p w14:paraId="0C980C4F" w14:textId="77777777" w:rsidR="00603573" w:rsidRDefault="006035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embedRegular r:id="rId1" w:fontKey="{B77DF2EF-2A38-4299-83EF-40FF0C6718FD}"/>
    <w:embedBold r:id="rId2" w:fontKey="{CFAC5143-FF70-4AFA-BC58-64DA7A8BD0D5}"/>
    <w:embedItalic r:id="rId3" w:fontKey="{7119599D-746B-403D-BF2B-960D7B1CC576}"/>
    <w:embedBoldItalic r:id="rId4" w:fontKey="{D6F741E9-A1FC-4AB4-9AD0-06911EC8CCA1}"/>
  </w:font>
  <w:font w:name="Aptos Display">
    <w:altName w:val="Calibri"/>
    <w:charset w:val="00"/>
    <w:family w:val="swiss"/>
    <w:pitch w:val="variable"/>
    <w:sig w:usb0="20000287" w:usb1="00000003" w:usb2="00000000" w:usb3="00000000" w:csb0="0000019F" w:csb1="00000000"/>
    <w:embedRegular r:id="rId5" w:fontKey="{7F4EC91F-1825-4D78-ABD2-4DC0EAE53F16}"/>
  </w:font>
  <w:font w:name="Helvetica">
    <w:panose1 w:val="020B0604020202020204"/>
    <w:charset w:val="00"/>
    <w:family w:val="swiss"/>
    <w:pitch w:val="variable"/>
    <w:sig w:usb0="E0002EFF" w:usb1="C000785B" w:usb2="00000009" w:usb3="00000000" w:csb0="000001FF" w:csb1="00000000"/>
    <w:embedRegular r:id="rId6" w:fontKey="{877AABCE-610A-49FF-9D35-D50DC0DC98A9}"/>
    <w:embedBold r:id="rId7" w:fontKey="{7B7FD379-7918-4A5B-AD07-C59269253CD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8" w:fontKey="{5C293856-D2C2-46D6-985F-AC1F181961AB}"/>
    <w:embedBold r:id="rId9" w:fontKey="{1A9ECDCD-5F8F-4662-8709-DF279D790A4B}"/>
    <w:embedItalic r:id="rId10" w:fontKey="{BE965806-E92E-4B1D-A46D-E9BF9B04ABF0}"/>
  </w:font>
  <w:font w:name="Cambria Math">
    <w:panose1 w:val="02040503050406030204"/>
    <w:charset w:val="00"/>
    <w:family w:val="roman"/>
    <w:pitch w:val="variable"/>
    <w:sig w:usb0="E00006FF" w:usb1="420024FF" w:usb2="02000000" w:usb3="00000000" w:csb0="0000019F" w:csb1="00000000"/>
    <w:embedRegular r:id="rId11" w:fontKey="{12581405-5DF0-4BC3-8375-188333A830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E1F74" w14:textId="77777777" w:rsidR="0033072A" w:rsidRDefault="003307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5C9E0" w14:textId="77777777" w:rsidR="00C11BDE" w:rsidRPr="00C11BDE" w:rsidRDefault="00C11BDE" w:rsidP="00C11BDE">
    <w:pPr>
      <w:spacing w:line="240" w:lineRule="auto"/>
      <w:rPr>
        <w:rFonts w:ascii="Arial" w:eastAsia="Times New Roman" w:hAnsi="Arial" w:cs="Arial"/>
        <w:i/>
        <w:iCs/>
        <w:sz w:val="16"/>
        <w:szCs w:val="16"/>
      </w:rPr>
    </w:pPr>
  </w:p>
  <w:p w14:paraId="000000F9" w14:textId="77777777" w:rsidR="00D51113" w:rsidRDefault="00D5111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54664" w14:textId="77777777" w:rsidR="0033072A" w:rsidRDefault="003307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93478B" w14:textId="77777777" w:rsidR="00603573" w:rsidRDefault="00603573">
      <w:pPr>
        <w:spacing w:after="0" w:line="240" w:lineRule="auto"/>
      </w:pPr>
      <w:r>
        <w:separator/>
      </w:r>
    </w:p>
  </w:footnote>
  <w:footnote w:type="continuationSeparator" w:id="0">
    <w:p w14:paraId="2518625C" w14:textId="77777777" w:rsidR="00603573" w:rsidRDefault="006035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003D7" w14:textId="4CDE621B" w:rsidR="0033072A" w:rsidRDefault="00603573">
    <w:pPr>
      <w:pStyle w:val="Header"/>
    </w:pPr>
    <w:r>
      <w:rPr>
        <w:noProof/>
      </w:rPr>
      <w:pict w14:anchorId="21BC38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7824876" o:spid="_x0000_s2050" type="#_x0000_t136" style="position:absolute;margin-left:0;margin-top:0;width:520.25pt;height:57.8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3B69A" w14:textId="6BAD9807" w:rsidR="0033072A" w:rsidRDefault="00603573">
    <w:pPr>
      <w:pStyle w:val="Header"/>
    </w:pPr>
    <w:r>
      <w:rPr>
        <w:noProof/>
      </w:rPr>
      <w:pict w14:anchorId="5198BD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7824877" o:spid="_x0000_s2051" type="#_x0000_t136" style="position:absolute;margin-left:0;margin-top:0;width:520.25pt;height:57.8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63A07" w14:textId="540159A4" w:rsidR="0033072A" w:rsidRDefault="00603573">
    <w:pPr>
      <w:pStyle w:val="Header"/>
    </w:pPr>
    <w:r>
      <w:rPr>
        <w:noProof/>
      </w:rPr>
      <w:pict w14:anchorId="0CC747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7824875" o:spid="_x0000_s2049" type="#_x0000_t136" style="position:absolute;margin-left:0;margin-top:0;width:520.25pt;height:57.8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3652D"/>
    <w:multiLevelType w:val="hybridMultilevel"/>
    <w:tmpl w:val="5776A54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4BCF1AE6"/>
    <w:multiLevelType w:val="hybridMultilevel"/>
    <w:tmpl w:val="5F46949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cwMDc1tzQzM7MwNjJS0lEKTi0uzszPAykwrAUA+YbD/CwAAAA="/>
  </w:docVars>
  <w:rsids>
    <w:rsidRoot w:val="00D51113"/>
    <w:rsid w:val="000D71C5"/>
    <w:rsid w:val="00167E64"/>
    <w:rsid w:val="00175D29"/>
    <w:rsid w:val="001F04EC"/>
    <w:rsid w:val="002539A7"/>
    <w:rsid w:val="002C029A"/>
    <w:rsid w:val="0033072A"/>
    <w:rsid w:val="00331BE3"/>
    <w:rsid w:val="003E45B1"/>
    <w:rsid w:val="00427031"/>
    <w:rsid w:val="004B4510"/>
    <w:rsid w:val="005D241D"/>
    <w:rsid w:val="00603573"/>
    <w:rsid w:val="0061333E"/>
    <w:rsid w:val="006454BF"/>
    <w:rsid w:val="0066501A"/>
    <w:rsid w:val="006D7BAB"/>
    <w:rsid w:val="00760861"/>
    <w:rsid w:val="007D01D0"/>
    <w:rsid w:val="00800DA1"/>
    <w:rsid w:val="00852A91"/>
    <w:rsid w:val="008576C8"/>
    <w:rsid w:val="00877B73"/>
    <w:rsid w:val="008B244B"/>
    <w:rsid w:val="009025C4"/>
    <w:rsid w:val="00912D31"/>
    <w:rsid w:val="00917AAB"/>
    <w:rsid w:val="00980B35"/>
    <w:rsid w:val="00B11E45"/>
    <w:rsid w:val="00B93D90"/>
    <w:rsid w:val="00BB7B45"/>
    <w:rsid w:val="00BC5E6F"/>
    <w:rsid w:val="00BC779B"/>
    <w:rsid w:val="00C06A64"/>
    <w:rsid w:val="00C11BDE"/>
    <w:rsid w:val="00C20CC8"/>
    <w:rsid w:val="00CB3336"/>
    <w:rsid w:val="00D3663C"/>
    <w:rsid w:val="00D51113"/>
    <w:rsid w:val="00D54562"/>
    <w:rsid w:val="00D70913"/>
    <w:rsid w:val="00D801D5"/>
    <w:rsid w:val="00D82AFA"/>
    <w:rsid w:val="00DB053E"/>
    <w:rsid w:val="00E16AE7"/>
    <w:rsid w:val="00E3777E"/>
    <w:rsid w:val="00E809FF"/>
    <w:rsid w:val="00EF1BD8"/>
    <w:rsid w:val="00F54EF7"/>
    <w:rsid w:val="00FE377D"/>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EE52A1C"/>
  <w15:docId w15:val="{275B2A23-378F-47C3-B153-8F87C4261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PH" w:eastAsia="en-PH"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01D5"/>
  </w:style>
  <w:style w:type="paragraph" w:styleId="Heading1">
    <w:name w:val="heading 1"/>
    <w:basedOn w:val="Normal"/>
    <w:next w:val="Normal"/>
    <w:link w:val="Heading1Char"/>
    <w:uiPriority w:val="9"/>
    <w:qFormat/>
    <w:rsid w:val="005B572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B572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B572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B572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B572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B572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572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572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572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B57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B572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B572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B572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B572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B572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B57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57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57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572D"/>
    <w:rPr>
      <w:rFonts w:eastAsiaTheme="majorEastAsia" w:cstheme="majorBidi"/>
      <w:color w:val="272727" w:themeColor="text1" w:themeTint="D8"/>
    </w:rPr>
  </w:style>
  <w:style w:type="character" w:customStyle="1" w:styleId="TitleChar">
    <w:name w:val="Title Char"/>
    <w:basedOn w:val="DefaultParagraphFont"/>
    <w:link w:val="Title"/>
    <w:uiPriority w:val="10"/>
    <w:rsid w:val="005B57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5B57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572D"/>
    <w:pPr>
      <w:spacing w:before="160"/>
      <w:jc w:val="center"/>
    </w:pPr>
    <w:rPr>
      <w:i/>
      <w:iCs/>
      <w:color w:val="404040" w:themeColor="text1" w:themeTint="BF"/>
    </w:rPr>
  </w:style>
  <w:style w:type="character" w:customStyle="1" w:styleId="QuoteChar">
    <w:name w:val="Quote Char"/>
    <w:basedOn w:val="DefaultParagraphFont"/>
    <w:link w:val="Quote"/>
    <w:uiPriority w:val="29"/>
    <w:rsid w:val="005B572D"/>
    <w:rPr>
      <w:i/>
      <w:iCs/>
      <w:color w:val="404040" w:themeColor="text1" w:themeTint="BF"/>
    </w:rPr>
  </w:style>
  <w:style w:type="paragraph" w:styleId="ListParagraph">
    <w:name w:val="List Paragraph"/>
    <w:basedOn w:val="Normal"/>
    <w:uiPriority w:val="34"/>
    <w:qFormat/>
    <w:rsid w:val="005B572D"/>
    <w:pPr>
      <w:ind w:left="720"/>
      <w:contextualSpacing/>
    </w:pPr>
  </w:style>
  <w:style w:type="character" w:styleId="IntenseEmphasis">
    <w:name w:val="Intense Emphasis"/>
    <w:basedOn w:val="DefaultParagraphFont"/>
    <w:uiPriority w:val="21"/>
    <w:qFormat/>
    <w:rsid w:val="005B572D"/>
    <w:rPr>
      <w:i/>
      <w:iCs/>
      <w:color w:val="0F4761" w:themeColor="accent1" w:themeShade="BF"/>
    </w:rPr>
  </w:style>
  <w:style w:type="paragraph" w:styleId="IntenseQuote">
    <w:name w:val="Intense Quote"/>
    <w:basedOn w:val="Normal"/>
    <w:next w:val="Normal"/>
    <w:link w:val="IntenseQuoteChar"/>
    <w:uiPriority w:val="30"/>
    <w:qFormat/>
    <w:rsid w:val="005B57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572D"/>
    <w:rPr>
      <w:i/>
      <w:iCs/>
      <w:color w:val="0F4761" w:themeColor="accent1" w:themeShade="BF"/>
    </w:rPr>
  </w:style>
  <w:style w:type="character" w:styleId="IntenseReference">
    <w:name w:val="Intense Reference"/>
    <w:basedOn w:val="DefaultParagraphFont"/>
    <w:uiPriority w:val="32"/>
    <w:qFormat/>
    <w:rsid w:val="005B572D"/>
    <w:rPr>
      <w:b/>
      <w:bCs/>
      <w:smallCaps/>
      <w:color w:val="0F4761" w:themeColor="accent1" w:themeShade="BF"/>
      <w:spacing w:val="5"/>
    </w:rPr>
  </w:style>
  <w:style w:type="paragraph" w:styleId="Header">
    <w:name w:val="header"/>
    <w:basedOn w:val="Normal"/>
    <w:link w:val="HeaderChar"/>
    <w:uiPriority w:val="99"/>
    <w:unhideWhenUsed/>
    <w:rsid w:val="005B57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572D"/>
  </w:style>
  <w:style w:type="paragraph" w:styleId="Footer">
    <w:name w:val="footer"/>
    <w:basedOn w:val="Normal"/>
    <w:link w:val="FooterChar"/>
    <w:uiPriority w:val="99"/>
    <w:unhideWhenUsed/>
    <w:rsid w:val="005B57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572D"/>
  </w:style>
  <w:style w:type="character" w:styleId="Hyperlink">
    <w:name w:val="Hyperlink"/>
    <w:basedOn w:val="DefaultParagraphFont"/>
    <w:uiPriority w:val="99"/>
    <w:unhideWhenUsed/>
    <w:rsid w:val="003D414A"/>
    <w:rPr>
      <w:color w:val="467886" w:themeColor="hyperlink"/>
      <w:u w:val="single"/>
    </w:rPr>
  </w:style>
  <w:style w:type="character" w:styleId="UnresolvedMention">
    <w:name w:val="Unresolved Mention"/>
    <w:basedOn w:val="DefaultParagraphFont"/>
    <w:uiPriority w:val="99"/>
    <w:semiHidden/>
    <w:unhideWhenUsed/>
    <w:rsid w:val="003D414A"/>
    <w:rPr>
      <w:color w:val="605E5C"/>
      <w:shd w:val="clear" w:color="auto" w:fill="E1DFDD"/>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Body">
    <w:name w:val="Body"/>
    <w:basedOn w:val="Normal"/>
    <w:rsid w:val="00C11BDE"/>
    <w:pPr>
      <w:spacing w:after="240" w:line="240" w:lineRule="auto"/>
      <w:jc w:val="both"/>
    </w:pPr>
    <w:rPr>
      <w:rFonts w:ascii="Helvetica" w:eastAsia="Times New Roman" w:hAnsi="Helvetica" w:cs="Times New Roman"/>
      <w:sz w:val="20"/>
      <w:szCs w:val="20"/>
      <w:lang w:val="en-US" w:eastAsia="en-US"/>
    </w:rPr>
  </w:style>
  <w:style w:type="paragraph" w:customStyle="1" w:styleId="AbstHead">
    <w:name w:val="Abst Head"/>
    <w:basedOn w:val="Normal"/>
    <w:rsid w:val="00C11BDE"/>
    <w:pPr>
      <w:keepNext/>
      <w:spacing w:after="240" w:line="240" w:lineRule="auto"/>
    </w:pPr>
    <w:rPr>
      <w:rFonts w:ascii="Helvetica" w:eastAsia="Times New Roman" w:hAnsi="Helvetica" w:cs="Times New Roman"/>
      <w:b/>
      <w:caps/>
      <w:sz w:val="22"/>
      <w:szCs w:val="20"/>
      <w:lang w:val="en-US" w:eastAsia="en-US"/>
    </w:rPr>
  </w:style>
  <w:style w:type="paragraph" w:customStyle="1" w:styleId="ReferHead">
    <w:name w:val="Refer Head"/>
    <w:basedOn w:val="Normal"/>
    <w:rsid w:val="00CB3336"/>
    <w:pPr>
      <w:keepNext/>
      <w:spacing w:after="240" w:line="240" w:lineRule="auto"/>
    </w:pPr>
    <w:rPr>
      <w:rFonts w:ascii="Helvetica" w:eastAsia="Times New Roman" w:hAnsi="Helvetica" w:cs="Times New Roman"/>
      <w:b/>
      <w:caps/>
      <w:sz w:val="22"/>
      <w:szCs w:val="20"/>
      <w:lang w:val="en-US" w:eastAsia="en-US"/>
    </w:rPr>
  </w:style>
  <w:style w:type="paragraph" w:styleId="Revision">
    <w:name w:val="Revision"/>
    <w:hidden/>
    <w:uiPriority w:val="99"/>
    <w:semiHidden/>
    <w:rsid w:val="00BC77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doi.org/10.1016/j.postharvbio.2018.12.016" TargetMode="External"/><Relationship Id="rId18" Type="http://schemas.openxmlformats.org/officeDocument/2006/relationships/hyperlink" Target="https://doi.org/10.1155/2019/9529618"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doi.org/10.1007/s11244-023-01817-4" TargetMode="External"/><Relationship Id="rId17" Type="http://schemas.openxmlformats.org/officeDocument/2006/relationships/hyperlink" Target="https://doi.org/10.3390/gels8120782"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oi.org/10.5004/dwt.2022.27986" TargetMode="External"/><Relationship Id="rId20" Type="http://schemas.openxmlformats.org/officeDocument/2006/relationships/hyperlink" Target="https://doi.org/10.4018/979-8-3693-1618-4.ch0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07/s11356-022-22377-2"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1016/j.jaap.2022.105856"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doi.org/10.3390/w13070905" TargetMode="External"/><Relationship Id="rId19" Type="http://schemas.openxmlformats.org/officeDocument/2006/relationships/hyperlink" Target="https://doi.org/10.1515/opag-2021-0225"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s://doi.org/10.1016/j.ijbiomac.2017.01.066"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MrtH/PlYT27ldtSExpz6SCCIGw==">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13</Pages>
  <Words>5632</Words>
  <Characters>32105</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KEISHA LOUISE ROA</dc:creator>
  <cp:lastModifiedBy>SDI 1183</cp:lastModifiedBy>
  <cp:revision>32</cp:revision>
  <dcterms:created xsi:type="dcterms:W3CDTF">2025-02-27T20:53:00Z</dcterms:created>
  <dcterms:modified xsi:type="dcterms:W3CDTF">2025-03-22T07:20:00Z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7fc597f184866d21747a8de29eea5f85953a306f5976fbbf14dd73e27eae408b</vt:lpwstr>
  </property>
</Properties>
</file>