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9720A" w14:textId="15F2AE47" w:rsidR="00FF19F1" w:rsidRPr="00FF19F1" w:rsidRDefault="00FF19F1" w:rsidP="001D55D7">
      <w:pPr>
        <w:spacing w:line="240" w:lineRule="auto"/>
        <w:jc w:val="both"/>
        <w:rPr>
          <w:rFonts w:asciiTheme="majorBidi" w:hAnsiTheme="majorBidi" w:cstheme="majorBidi"/>
          <w:b/>
          <w:bCs/>
          <w:sz w:val="24"/>
          <w:szCs w:val="24"/>
        </w:rPr>
      </w:pPr>
      <w:bookmarkStart w:id="0" w:name="_Hlk194658103"/>
      <w:r w:rsidRPr="00FF19F1">
        <w:rPr>
          <w:rFonts w:asciiTheme="majorBidi" w:hAnsiTheme="majorBidi" w:cstheme="majorBidi"/>
          <w:b/>
          <w:bCs/>
          <w:sz w:val="24"/>
          <w:szCs w:val="24"/>
        </w:rPr>
        <w:t>Original research article</w:t>
      </w:r>
    </w:p>
    <w:p w14:paraId="2E29BF08" w14:textId="77777777" w:rsidR="00FF19F1" w:rsidRDefault="00FF19F1" w:rsidP="001D55D7">
      <w:pPr>
        <w:spacing w:line="240" w:lineRule="auto"/>
        <w:jc w:val="both"/>
        <w:rPr>
          <w:rFonts w:asciiTheme="majorBidi" w:hAnsiTheme="majorBidi" w:cstheme="majorBidi"/>
          <w:sz w:val="24"/>
          <w:szCs w:val="24"/>
        </w:rPr>
      </w:pPr>
    </w:p>
    <w:p w14:paraId="78CE7593" w14:textId="7EAD76AE" w:rsidR="00B85B81" w:rsidRDefault="001D55D7" w:rsidP="001D55D7">
      <w:pPr>
        <w:spacing w:line="240" w:lineRule="auto"/>
        <w:jc w:val="both"/>
        <w:rPr>
          <w:rFonts w:asciiTheme="majorBidi" w:hAnsiTheme="majorBidi" w:cstheme="majorBidi"/>
          <w:sz w:val="24"/>
          <w:szCs w:val="24"/>
        </w:rPr>
      </w:pPr>
      <w:r w:rsidRPr="001D55D7">
        <w:rPr>
          <w:rFonts w:asciiTheme="majorBidi" w:hAnsiTheme="majorBidi" w:cstheme="majorBidi"/>
          <w:sz w:val="24"/>
          <w:szCs w:val="24"/>
        </w:rPr>
        <w:t>Assessment of Hepatitis B Vaccine Efficacy</w:t>
      </w:r>
      <w:bookmarkEnd w:id="0"/>
      <w:r w:rsidRPr="001D55D7">
        <w:rPr>
          <w:rFonts w:asciiTheme="majorBidi" w:hAnsiTheme="majorBidi" w:cstheme="majorBidi"/>
          <w:sz w:val="24"/>
          <w:szCs w:val="24"/>
        </w:rPr>
        <w:t xml:space="preserve">, Prevalence of Infection, and Risk Determinants </w:t>
      </w:r>
      <w:proofErr w:type="gramStart"/>
      <w:r w:rsidRPr="001D55D7">
        <w:rPr>
          <w:rFonts w:asciiTheme="majorBidi" w:hAnsiTheme="majorBidi" w:cstheme="majorBidi"/>
          <w:sz w:val="24"/>
          <w:szCs w:val="24"/>
        </w:rPr>
        <w:t>Among</w:t>
      </w:r>
      <w:proofErr w:type="gramEnd"/>
      <w:r w:rsidRPr="001D55D7">
        <w:rPr>
          <w:rFonts w:asciiTheme="majorBidi" w:hAnsiTheme="majorBidi" w:cstheme="majorBidi"/>
          <w:sz w:val="24"/>
          <w:szCs w:val="24"/>
        </w:rPr>
        <w:t xml:space="preserve"> Expectant Mothers At Antenatal Care in Abyei, South Sudan</w:t>
      </w:r>
    </w:p>
    <w:p w14:paraId="31FF717E" w14:textId="77777777" w:rsidR="00604D00" w:rsidRPr="001D55D7" w:rsidRDefault="00604D00" w:rsidP="001D55D7">
      <w:pPr>
        <w:spacing w:line="240" w:lineRule="auto"/>
        <w:jc w:val="both"/>
        <w:rPr>
          <w:rFonts w:asciiTheme="majorBidi" w:hAnsiTheme="majorBidi" w:cstheme="majorBidi"/>
          <w:b/>
          <w:sz w:val="24"/>
          <w:szCs w:val="24"/>
        </w:rPr>
      </w:pPr>
    </w:p>
    <w:p w14:paraId="4FFCB92C" w14:textId="77777777" w:rsidR="00932894" w:rsidRDefault="00932894" w:rsidP="00A225BD">
      <w:pPr>
        <w:spacing w:before="240" w:line="240" w:lineRule="auto"/>
        <w:rPr>
          <w:rFonts w:ascii="Times New Roman" w:hAnsi="Times New Roman" w:cs="Times New Roman"/>
          <w:b/>
          <w:sz w:val="24"/>
          <w:szCs w:val="24"/>
        </w:rPr>
      </w:pPr>
    </w:p>
    <w:p w14:paraId="01A90AF3" w14:textId="2980DF21" w:rsidR="00A225BD" w:rsidRPr="00CE050E" w:rsidRDefault="00A225BD" w:rsidP="00A225BD">
      <w:pPr>
        <w:spacing w:before="240" w:line="240" w:lineRule="auto"/>
        <w:rPr>
          <w:rFonts w:ascii="Times New Roman" w:hAnsi="Times New Roman" w:cs="Times New Roman"/>
          <w:b/>
          <w:sz w:val="24"/>
          <w:szCs w:val="24"/>
        </w:rPr>
      </w:pPr>
      <w:r w:rsidRPr="004266C3">
        <w:rPr>
          <w:rFonts w:ascii="Times New Roman" w:hAnsi="Times New Roman" w:cs="Times New Roman"/>
          <w:b/>
          <w:sz w:val="24"/>
          <w:szCs w:val="24"/>
        </w:rPr>
        <w:t>Abstract</w:t>
      </w:r>
    </w:p>
    <w:p w14:paraId="4D15C0BA" w14:textId="77777777" w:rsidR="00A225BD" w:rsidRDefault="00A225BD" w:rsidP="00A225BD">
      <w:pPr>
        <w:spacing w:line="240" w:lineRule="auto"/>
        <w:jc w:val="both"/>
        <w:rPr>
          <w:rFonts w:ascii="Times New Roman" w:eastAsia="Times New Roman" w:hAnsi="Times New Roman" w:cs="Times New Roman"/>
          <w:sz w:val="24"/>
          <w:szCs w:val="24"/>
        </w:rPr>
      </w:pPr>
      <w:r w:rsidRPr="002050C7">
        <w:rPr>
          <w:rFonts w:ascii="Times New Roman" w:hAnsi="Times New Roman" w:cs="Times New Roman"/>
          <w:b/>
          <w:bCs/>
          <w:color w:val="000000" w:themeColor="text1"/>
          <w:sz w:val="24"/>
          <w:szCs w:val="24"/>
        </w:rPr>
        <w:t xml:space="preserve">Background: </w:t>
      </w:r>
      <w:r w:rsidRPr="00A225BD">
        <w:rPr>
          <w:rFonts w:ascii="Times New Roman" w:eastAsia="Times New Roman" w:hAnsi="Times New Roman" w:cs="Times New Roman"/>
          <w:sz w:val="24"/>
          <w:szCs w:val="24"/>
        </w:rPr>
        <w:t xml:space="preserve">The silent but deadly Hepatitis B virus (HBV) poses a threat to world health. Particularly in low and middle-income countries (LMICs), HBV is still underdiagnosed and not well controlled despite the availability of preventive measures like vaccines and antiviral medications. </w:t>
      </w:r>
      <w:r>
        <w:rPr>
          <w:rFonts w:ascii="Times New Roman" w:eastAsia="Times New Roman" w:hAnsi="Times New Roman" w:cs="Times New Roman"/>
          <w:sz w:val="24"/>
          <w:szCs w:val="24"/>
        </w:rPr>
        <w:t xml:space="preserve">The study aimed to assess the </w:t>
      </w:r>
      <w:r>
        <w:rPr>
          <w:rFonts w:ascii="Times New Roman" w:hAnsi="Times New Roman" w:cs="Times New Roman"/>
          <w:sz w:val="24"/>
          <w:szCs w:val="24"/>
        </w:rPr>
        <w:t>effectiveness o</w:t>
      </w:r>
      <w:r w:rsidRPr="00B85B81">
        <w:rPr>
          <w:rFonts w:ascii="Times New Roman" w:hAnsi="Times New Roman" w:cs="Times New Roman"/>
          <w:sz w:val="24"/>
          <w:szCs w:val="24"/>
        </w:rPr>
        <w:t xml:space="preserve">f </w:t>
      </w:r>
      <w:r>
        <w:rPr>
          <w:rFonts w:ascii="Times New Roman" w:hAnsi="Times New Roman" w:cs="Times New Roman"/>
          <w:sz w:val="24"/>
          <w:szCs w:val="24"/>
        </w:rPr>
        <w:t xml:space="preserve">the </w:t>
      </w:r>
      <w:r w:rsidRPr="00B85B81">
        <w:rPr>
          <w:rFonts w:ascii="Times New Roman" w:hAnsi="Times New Roman" w:cs="Times New Roman"/>
          <w:sz w:val="24"/>
          <w:szCs w:val="24"/>
        </w:rPr>
        <w:t xml:space="preserve">Hepatitis B Vaccine, Seroprevalence </w:t>
      </w:r>
      <w:proofErr w:type="gramStart"/>
      <w:r w:rsidRPr="00B85B81">
        <w:rPr>
          <w:rFonts w:ascii="Times New Roman" w:hAnsi="Times New Roman" w:cs="Times New Roman"/>
          <w:sz w:val="24"/>
          <w:szCs w:val="24"/>
        </w:rPr>
        <w:t>Of</w:t>
      </w:r>
      <w:proofErr w:type="gramEnd"/>
      <w:r w:rsidRPr="00B85B81">
        <w:rPr>
          <w:rFonts w:ascii="Times New Roman" w:hAnsi="Times New Roman" w:cs="Times New Roman"/>
          <w:sz w:val="24"/>
          <w:szCs w:val="24"/>
        </w:rPr>
        <w:t xml:space="preserve"> Hepatitis B</w:t>
      </w:r>
      <w:r>
        <w:rPr>
          <w:rFonts w:ascii="Times New Roman" w:hAnsi="Times New Roman" w:cs="Times New Roman"/>
          <w:sz w:val="24"/>
          <w:szCs w:val="24"/>
        </w:rPr>
        <w:t>,</w:t>
      </w:r>
      <w:r w:rsidRPr="00B85B81">
        <w:rPr>
          <w:rFonts w:ascii="Times New Roman" w:hAnsi="Times New Roman" w:cs="Times New Roman"/>
          <w:sz w:val="24"/>
          <w:szCs w:val="24"/>
        </w:rPr>
        <w:t xml:space="preserve"> And Associated Risk Factors Among Pregnant Mothers At Antenatal Clinics In Abyei, South Sudan</w:t>
      </w:r>
      <w:r>
        <w:rPr>
          <w:rFonts w:ascii="Times New Roman" w:hAnsi="Times New Roman" w:cs="Times New Roman"/>
          <w:sz w:val="24"/>
          <w:szCs w:val="24"/>
        </w:rPr>
        <w:t>.</w:t>
      </w:r>
    </w:p>
    <w:p w14:paraId="568F7F1B" w14:textId="5BD8D4AA" w:rsidR="00A225BD" w:rsidRPr="001C75CC" w:rsidRDefault="00A225BD" w:rsidP="00A225BD">
      <w:pPr>
        <w:spacing w:line="240" w:lineRule="auto"/>
        <w:jc w:val="both"/>
        <w:rPr>
          <w:rFonts w:ascii="Times New Roman" w:hAnsi="Times New Roman" w:cs="Times New Roman"/>
          <w:color w:val="000000" w:themeColor="text1"/>
          <w:sz w:val="24"/>
          <w:szCs w:val="24"/>
        </w:rPr>
      </w:pPr>
      <w:r w:rsidRPr="002050C7">
        <w:rPr>
          <w:rFonts w:ascii="Times New Roman" w:hAnsi="Times New Roman" w:cs="Times New Roman"/>
          <w:b/>
          <w:bCs/>
          <w:color w:val="000000" w:themeColor="text1"/>
          <w:sz w:val="24"/>
          <w:szCs w:val="24"/>
          <w14:ligatures w14:val="standardContextual"/>
        </w:rPr>
        <w:t>Methods:</w:t>
      </w:r>
      <w:r>
        <w:rPr>
          <w:rFonts w:ascii="Times New Roman" w:hAnsi="Times New Roman" w:cs="Times New Roman"/>
          <w:color w:val="000000" w:themeColor="text1"/>
          <w:sz w:val="24"/>
          <w:szCs w:val="24"/>
        </w:rPr>
        <w:t xml:space="preserve"> </w:t>
      </w:r>
      <w:r>
        <w:rPr>
          <w:rFonts w:ascii="Times New Roman" w:hAnsi="Times New Roman" w:cs="Times New Roman"/>
          <w:sz w:val="24"/>
          <w:szCs w:val="24"/>
          <w:shd w:val="clear" w:color="auto" w:fill="FFFFFF"/>
        </w:rPr>
        <w:t>A</w:t>
      </w:r>
      <w:r w:rsidRPr="00FE4EA4">
        <w:rPr>
          <w:rFonts w:ascii="Times New Roman" w:hAnsi="Times New Roman" w:cs="Times New Roman"/>
          <w:sz w:val="24"/>
          <w:szCs w:val="24"/>
          <w:shd w:val="clear" w:color="auto" w:fill="FFFFFF"/>
        </w:rPr>
        <w:t xml:space="preserve"> hybrid type 1 implementation design was adopted in this study.</w:t>
      </w:r>
      <w:r w:rsidRPr="00A225BD">
        <w:rPr>
          <w:rFonts w:ascii="Times New Roman" w:hAnsi="Times New Roman" w:cs="Times New Roman"/>
          <w:sz w:val="24"/>
          <w:szCs w:val="24"/>
        </w:rPr>
        <w:t xml:space="preserve"> </w:t>
      </w:r>
      <w:r>
        <w:rPr>
          <w:rFonts w:ascii="Times New Roman" w:hAnsi="Times New Roman" w:cs="Times New Roman"/>
          <w:sz w:val="24"/>
          <w:szCs w:val="24"/>
        </w:rPr>
        <w:t>In this study, both purposive and systematic random sampling were employed to recruit the study respondents</w:t>
      </w:r>
      <w:r w:rsidR="000C7C42">
        <w:rPr>
          <w:rFonts w:ascii="Times New Roman" w:hAnsi="Times New Roman" w:cs="Times New Roman"/>
          <w:sz w:val="24"/>
          <w:szCs w:val="24"/>
        </w:rPr>
        <w:t xml:space="preserve">. </w:t>
      </w:r>
      <w:r w:rsidR="000C7C42">
        <w:rPr>
          <w:rFonts w:ascii="Times New Roman" w:hAnsi="Times New Roman" w:cs="Times New Roman"/>
          <w:color w:val="FF0000"/>
          <w:sz w:val="24"/>
          <w:szCs w:val="24"/>
        </w:rPr>
        <w:t>38</w:t>
      </w:r>
      <w:r w:rsidR="007632F3">
        <w:rPr>
          <w:rFonts w:ascii="Times New Roman" w:hAnsi="Times New Roman" w:cs="Times New Roman"/>
          <w:color w:val="FF0000"/>
          <w:sz w:val="24"/>
          <w:szCs w:val="24"/>
        </w:rPr>
        <w:t>2</w:t>
      </w:r>
      <w:r w:rsidR="000C7C42">
        <w:rPr>
          <w:rFonts w:ascii="Times New Roman" w:hAnsi="Times New Roman" w:cs="Times New Roman"/>
          <w:color w:val="FF0000"/>
          <w:sz w:val="24"/>
          <w:szCs w:val="24"/>
        </w:rPr>
        <w:t xml:space="preserve"> </w:t>
      </w:r>
      <w:proofErr w:type="spellStart"/>
      <w:r w:rsidR="000C7C42">
        <w:rPr>
          <w:rFonts w:ascii="Times New Roman" w:hAnsi="Times New Roman" w:cs="Times New Roman"/>
          <w:color w:val="FF0000"/>
          <w:sz w:val="24"/>
          <w:szCs w:val="24"/>
        </w:rPr>
        <w:t>prgenant</w:t>
      </w:r>
      <w:proofErr w:type="spellEnd"/>
      <w:r w:rsidR="000C7C42">
        <w:rPr>
          <w:rFonts w:ascii="Times New Roman" w:hAnsi="Times New Roman" w:cs="Times New Roman"/>
          <w:color w:val="FF0000"/>
          <w:sz w:val="24"/>
          <w:szCs w:val="24"/>
        </w:rPr>
        <w:t xml:space="preserve"> mothers and 94 infants participated in the study. Mothers were tested for HBsAg and those </w:t>
      </w:r>
      <w:r w:rsidR="00AD5B44">
        <w:rPr>
          <w:rFonts w:ascii="Times New Roman" w:hAnsi="Times New Roman" w:cs="Times New Roman"/>
          <w:color w:val="FF0000"/>
          <w:sz w:val="24"/>
          <w:szCs w:val="24"/>
        </w:rPr>
        <w:t xml:space="preserve">positive were followed up. The infants born of positive mothers were tested after completing three-dose vaccination. </w:t>
      </w:r>
      <w:r>
        <w:rPr>
          <w:rFonts w:ascii="Times New Roman" w:hAnsi="Times New Roman" w:cs="Times New Roman"/>
          <w:color w:val="000000" w:themeColor="text1"/>
          <w:sz w:val="24"/>
          <w:szCs w:val="24"/>
        </w:rPr>
        <w:t xml:space="preserve"> </w:t>
      </w:r>
      <w:r>
        <w:rPr>
          <w:rFonts w:ascii="Times New Roman" w:eastAsia="Times New Roman" w:hAnsi="Times New Roman" w:cs="Times New Roman"/>
          <w:sz w:val="24"/>
          <w:szCs w:val="24"/>
        </w:rPr>
        <w:t xml:space="preserve">Both chi-square and </w:t>
      </w:r>
      <w:r w:rsidRPr="00FE4EA4">
        <w:rPr>
          <w:rFonts w:ascii="Times New Roman" w:eastAsia="Times New Roman" w:hAnsi="Times New Roman" w:cs="Times New Roman"/>
          <w:sz w:val="24"/>
          <w:szCs w:val="24"/>
        </w:rPr>
        <w:t>multilinear regression a</w:t>
      </w:r>
      <w:r>
        <w:rPr>
          <w:rFonts w:ascii="Times New Roman" w:eastAsia="Times New Roman" w:hAnsi="Times New Roman" w:cs="Times New Roman"/>
          <w:sz w:val="24"/>
          <w:szCs w:val="24"/>
        </w:rPr>
        <w:t>nalyses were employed. A significance level was set at a p-value of less or equal to</w:t>
      </w:r>
      <w:r w:rsidRPr="00FE4EA4">
        <w:rPr>
          <w:rFonts w:ascii="Times New Roman" w:eastAsia="Times New Roman" w:hAnsi="Times New Roman" w:cs="Times New Roman"/>
          <w:sz w:val="24"/>
          <w:szCs w:val="24"/>
        </w:rPr>
        <w:t xml:space="preserve"> 0.05</w:t>
      </w:r>
      <w:r>
        <w:rPr>
          <w:rFonts w:ascii="Times New Roman" w:eastAsia="Times New Roman" w:hAnsi="Times New Roman" w:cs="Times New Roman"/>
          <w:sz w:val="24"/>
          <w:szCs w:val="24"/>
        </w:rPr>
        <w:t>.</w:t>
      </w:r>
    </w:p>
    <w:p w14:paraId="5A0C0473" w14:textId="265D42CA" w:rsidR="00A225BD" w:rsidRPr="00A225BD" w:rsidRDefault="00A225BD" w:rsidP="00A225BD">
      <w:pPr>
        <w:spacing w:after="200" w:line="240" w:lineRule="auto"/>
        <w:contextualSpacing/>
        <w:jc w:val="both"/>
        <w:rPr>
          <w:rFonts w:ascii="Times New Roman" w:hAnsi="Times New Roman" w:cs="Times New Roman"/>
          <w:sz w:val="24"/>
          <w:szCs w:val="24"/>
        </w:rPr>
      </w:pPr>
      <w:r w:rsidRPr="002050C7">
        <w:rPr>
          <w:rFonts w:ascii="Times New Roman" w:hAnsi="Times New Roman" w:cs="Times New Roman"/>
          <w:b/>
          <w:bCs/>
          <w:color w:val="000000" w:themeColor="text1"/>
          <w:sz w:val="24"/>
          <w:szCs w:val="24"/>
        </w:rPr>
        <w:t>Results:</w:t>
      </w:r>
      <w:r w:rsidRPr="002050C7">
        <w:rPr>
          <w:rFonts w:ascii="Times New Roman" w:hAnsi="Times New Roman" w:cs="Times New Roman"/>
          <w:color w:val="000000" w:themeColor="text1"/>
          <w:sz w:val="24"/>
          <w:szCs w:val="24"/>
        </w:rPr>
        <w:t xml:space="preserve"> </w:t>
      </w:r>
      <w:r w:rsidRPr="00D40109">
        <w:rPr>
          <w:rFonts w:ascii="Times New Roman" w:eastAsia="Times New Roman" w:hAnsi="Times New Roman" w:cs="Times New Roman"/>
          <w:sz w:val="24"/>
          <w:szCs w:val="24"/>
        </w:rPr>
        <w:t>The seroprevalence</w:t>
      </w:r>
      <w:r>
        <w:rPr>
          <w:rFonts w:ascii="Times New Roman" w:eastAsia="Times New Roman" w:hAnsi="Times New Roman" w:cs="Times New Roman"/>
          <w:sz w:val="24"/>
          <w:szCs w:val="24"/>
        </w:rPr>
        <w:t xml:space="preserve"> of HBV</w:t>
      </w:r>
      <w:r w:rsidRPr="00D40109">
        <w:rPr>
          <w:rFonts w:ascii="Times New Roman" w:eastAsia="Times New Roman" w:hAnsi="Times New Roman" w:cs="Times New Roman"/>
          <w:sz w:val="24"/>
          <w:szCs w:val="24"/>
        </w:rPr>
        <w:t xml:space="preserve"> among expectant mothers</w:t>
      </w:r>
      <w:r>
        <w:rPr>
          <w:rFonts w:ascii="Times New Roman" w:eastAsia="Times New Roman" w:hAnsi="Times New Roman" w:cs="Times New Roman"/>
          <w:sz w:val="24"/>
          <w:szCs w:val="24"/>
        </w:rPr>
        <w:t xml:space="preserve"> was 19%.</w:t>
      </w:r>
      <w:r>
        <w:rPr>
          <w:rFonts w:ascii="Times New Roman" w:hAnsi="Times New Roman" w:cs="Times New Roman"/>
          <w:sz w:val="24"/>
          <w:szCs w:val="24"/>
        </w:rPr>
        <w:t xml:space="preserve"> </w:t>
      </w:r>
      <w:r w:rsidRPr="002A016F">
        <w:rPr>
          <w:rFonts w:ascii="Times New Roman" w:eastAsia="Times New Roman" w:hAnsi="Times New Roman" w:cs="Times New Roman"/>
          <w:sz w:val="24"/>
          <w:szCs w:val="24"/>
        </w:rPr>
        <w:t xml:space="preserve">According to logistic regression analysis, respondents with a history of STIs had a 12 times higher chance of testing positive for Hepatitis B </w:t>
      </w:r>
      <w:r>
        <w:rPr>
          <w:rFonts w:ascii="Times New Roman" w:eastAsia="Times New Roman" w:hAnsi="Times New Roman" w:cs="Times New Roman"/>
          <w:sz w:val="24"/>
          <w:szCs w:val="24"/>
        </w:rPr>
        <w:t>(A.O.R=12.848, p=0.0001) while pregnant wom</w:t>
      </w:r>
      <w:r w:rsidR="00027711">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n taking intravenous </w:t>
      </w:r>
      <w:proofErr w:type="gramStart"/>
      <w:r>
        <w:rPr>
          <w:rFonts w:ascii="Times New Roman" w:eastAsia="Times New Roman" w:hAnsi="Times New Roman" w:cs="Times New Roman"/>
          <w:sz w:val="24"/>
          <w:szCs w:val="24"/>
        </w:rPr>
        <w:t>medication</w:t>
      </w:r>
      <w:proofErr w:type="gramEnd"/>
      <w:r>
        <w:rPr>
          <w:rFonts w:ascii="Times New Roman" w:eastAsia="Times New Roman" w:hAnsi="Times New Roman" w:cs="Times New Roman"/>
          <w:sz w:val="24"/>
          <w:szCs w:val="24"/>
        </w:rPr>
        <w:t xml:space="preserve"> 2.3 times likely to test positive for Hepatitis B</w:t>
      </w:r>
      <w:r w:rsidRPr="002A016F">
        <w:rPr>
          <w:rFonts w:ascii="Times New Roman" w:eastAsia="Times New Roman" w:hAnsi="Times New Roman" w:cs="Times New Roman"/>
          <w:sz w:val="24"/>
          <w:szCs w:val="24"/>
        </w:rPr>
        <w:t xml:space="preserve"> (p=0.004, A.O. R=2.3)</w:t>
      </w:r>
      <w:r>
        <w:rPr>
          <w:rFonts w:ascii="Times New Roman" w:eastAsia="Times New Roman" w:hAnsi="Times New Roman" w:cs="Times New Roman"/>
          <w:sz w:val="24"/>
          <w:szCs w:val="24"/>
        </w:rPr>
        <w:t xml:space="preserve">. </w:t>
      </w:r>
      <w:r w:rsidRPr="00BC2966">
        <w:rPr>
          <w:rFonts w:ascii="Times New Roman" w:eastAsia="Times New Roman" w:hAnsi="Times New Roman" w:cs="Times New Roman"/>
          <w:sz w:val="24"/>
          <w:szCs w:val="24"/>
        </w:rPr>
        <w:t>Despite the availability of infants’ vaccination, vertical transmission of HBV f</w:t>
      </w:r>
      <w:r>
        <w:rPr>
          <w:rFonts w:ascii="Times New Roman" w:eastAsia="Times New Roman" w:hAnsi="Times New Roman" w:cs="Times New Roman"/>
          <w:sz w:val="24"/>
          <w:szCs w:val="24"/>
        </w:rPr>
        <w:t>rom mother to child occurre</w:t>
      </w:r>
      <w:r w:rsidR="006C250B">
        <w:rPr>
          <w:rFonts w:ascii="Times New Roman" w:eastAsia="Times New Roman" w:hAnsi="Times New Roman" w:cs="Times New Roman"/>
          <w:sz w:val="24"/>
          <w:szCs w:val="24"/>
        </w:rPr>
        <w:t>nce</w:t>
      </w:r>
      <w:r>
        <w:rPr>
          <w:rFonts w:ascii="Times New Roman" w:eastAsia="Times New Roman" w:hAnsi="Times New Roman" w:cs="Times New Roman"/>
          <w:sz w:val="24"/>
          <w:szCs w:val="24"/>
        </w:rPr>
        <w:t xml:space="preserve"> was </w:t>
      </w:r>
      <w:r w:rsidRPr="00BC2966">
        <w:rPr>
          <w:rFonts w:ascii="Times New Roman" w:eastAsia="Times New Roman" w:hAnsi="Times New Roman" w:cs="Times New Roman"/>
          <w:sz w:val="24"/>
          <w:szCs w:val="24"/>
        </w:rPr>
        <w:t>4.3%</w:t>
      </w:r>
      <w:r>
        <w:rPr>
          <w:rFonts w:ascii="Times New Roman" w:eastAsia="Times New Roman" w:hAnsi="Times New Roman" w:cs="Times New Roman"/>
          <w:sz w:val="24"/>
          <w:szCs w:val="24"/>
        </w:rPr>
        <w:t>.</w:t>
      </w:r>
    </w:p>
    <w:p w14:paraId="1A13A139" w14:textId="77777777" w:rsidR="00A225BD" w:rsidRPr="00A225BD" w:rsidRDefault="00A225BD" w:rsidP="00A225BD">
      <w:pPr>
        <w:spacing w:line="240" w:lineRule="auto"/>
        <w:jc w:val="both"/>
        <w:rPr>
          <w:rFonts w:ascii="Times New Roman" w:eastAsia="Times New Roman" w:hAnsi="Times New Roman" w:cs="Times New Roman"/>
          <w:sz w:val="24"/>
          <w:szCs w:val="24"/>
        </w:rPr>
      </w:pPr>
      <w:r w:rsidRPr="002050C7">
        <w:rPr>
          <w:rFonts w:ascii="Times New Roman" w:hAnsi="Times New Roman" w:cs="Times New Roman"/>
          <w:b/>
          <w:bCs/>
          <w:color w:val="000000" w:themeColor="text1"/>
          <w:sz w:val="24"/>
          <w:szCs w:val="24"/>
        </w:rPr>
        <w:t>Conclusion:</w:t>
      </w:r>
      <w:r w:rsidRPr="002050C7">
        <w:rPr>
          <w:rFonts w:ascii="Times New Roman" w:hAnsi="Times New Roman" w:cs="Times New Roman"/>
          <w:color w:val="000000" w:themeColor="text1"/>
          <w:sz w:val="24"/>
          <w:szCs w:val="24"/>
        </w:rPr>
        <w:t xml:space="preserve"> </w:t>
      </w:r>
      <w:r>
        <w:rPr>
          <w:rFonts w:ascii="Times New Roman" w:eastAsia="Times New Roman" w:hAnsi="Times New Roman" w:cs="Times New Roman"/>
          <w:sz w:val="24"/>
          <w:szCs w:val="24"/>
        </w:rPr>
        <w:t>Infection with hepatitis B among</w:t>
      </w:r>
      <w:r w:rsidRPr="00A225BD">
        <w:rPr>
          <w:rFonts w:ascii="Times New Roman" w:eastAsia="Times New Roman" w:hAnsi="Times New Roman" w:cs="Times New Roman"/>
          <w:sz w:val="24"/>
          <w:szCs w:val="24"/>
        </w:rPr>
        <w:t xml:space="preserve"> pregnant women</w:t>
      </w:r>
      <w:r>
        <w:rPr>
          <w:rFonts w:ascii="Times New Roman" w:eastAsia="Times New Roman" w:hAnsi="Times New Roman" w:cs="Times New Roman"/>
          <w:sz w:val="24"/>
          <w:szCs w:val="24"/>
        </w:rPr>
        <w:t xml:space="preserve"> was 19%</w:t>
      </w:r>
      <w:r w:rsidRPr="00A225B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which</w:t>
      </w:r>
      <w:r w:rsidRPr="00A225BD">
        <w:rPr>
          <w:rFonts w:ascii="Times New Roman" w:eastAsia="Times New Roman" w:hAnsi="Times New Roman" w:cs="Times New Roman"/>
          <w:sz w:val="24"/>
          <w:szCs w:val="24"/>
        </w:rPr>
        <w:t xml:space="preserve"> is a serious public health issue that needs immediate attention. This study emphasizes the need for focused interventions to reduce the risk factors of intravenous medication use and the presence of sexually transmitted infections (STIs), which are linked to increased risk.</w:t>
      </w:r>
    </w:p>
    <w:p w14:paraId="7E1CBB54" w14:textId="77777777" w:rsidR="00A225BD" w:rsidRPr="001C75CC" w:rsidRDefault="00A225BD" w:rsidP="00A225BD">
      <w:pPr>
        <w:spacing w:line="240" w:lineRule="auto"/>
        <w:jc w:val="both"/>
      </w:pPr>
    </w:p>
    <w:p w14:paraId="2F4B8B7D" w14:textId="523B95A3" w:rsidR="00A225BD" w:rsidRPr="00D65F39" w:rsidRDefault="00A225BD" w:rsidP="00A225BD">
      <w:pPr>
        <w:spacing w:after="0" w:line="240" w:lineRule="auto"/>
        <w:rPr>
          <w:rFonts w:ascii="Times New Roman" w:hAnsi="Times New Roman"/>
          <w:sz w:val="24"/>
          <w:szCs w:val="24"/>
        </w:rPr>
      </w:pPr>
      <w:r w:rsidRPr="002050C7">
        <w:rPr>
          <w:rFonts w:ascii="Times New Roman" w:hAnsi="Times New Roman" w:cs="Times New Roman"/>
          <w:b/>
          <w:bCs/>
          <w:color w:val="000000" w:themeColor="text1"/>
          <w:sz w:val="24"/>
          <w:szCs w:val="24"/>
        </w:rPr>
        <w:t>Keywords</w:t>
      </w:r>
      <w:r w:rsidRPr="002050C7">
        <w:rPr>
          <w:rFonts w:ascii="Times New Roman" w:hAnsi="Times New Roman" w:cs="Times New Roman"/>
          <w:bCs/>
          <w:color w:val="000000" w:themeColor="text1"/>
          <w:sz w:val="24"/>
          <w:szCs w:val="24"/>
        </w:rPr>
        <w:t>:</w:t>
      </w:r>
      <w:r w:rsidRPr="001C75CC">
        <w:rPr>
          <w:rFonts w:ascii="Georgia" w:eastAsia="Times New Roman" w:hAnsi="Georgia" w:cs="Times New Roman"/>
          <w:color w:val="1F1F1F"/>
          <w:sz w:val="24"/>
          <w:szCs w:val="24"/>
        </w:rPr>
        <w:t xml:space="preserve"> </w:t>
      </w:r>
      <w:r w:rsidR="00BC780F" w:rsidRPr="00BC780F">
        <w:rPr>
          <w:rFonts w:ascii="Georgia" w:eastAsia="Times New Roman" w:hAnsi="Georgia" w:cs="Times New Roman"/>
          <w:color w:val="1F1F1F"/>
          <w:sz w:val="24"/>
          <w:szCs w:val="24"/>
        </w:rPr>
        <w:t>Infection</w:t>
      </w:r>
      <w:r w:rsidR="00BC780F">
        <w:rPr>
          <w:rFonts w:ascii="Georgia" w:eastAsia="Times New Roman" w:hAnsi="Georgia" w:cs="Times New Roman"/>
          <w:color w:val="1F1F1F"/>
          <w:sz w:val="24"/>
          <w:szCs w:val="24"/>
        </w:rPr>
        <w:t>,</w:t>
      </w:r>
      <w:r>
        <w:rPr>
          <w:rFonts w:ascii="Georgia" w:eastAsia="Times New Roman" w:hAnsi="Georgia" w:cs="Times New Roman"/>
          <w:color w:val="1F1F1F"/>
          <w:sz w:val="24"/>
          <w:szCs w:val="24"/>
        </w:rPr>
        <w:t xml:space="preserve"> </w:t>
      </w:r>
      <w:r w:rsidRPr="00A225BD">
        <w:rPr>
          <w:rFonts w:ascii="Times New Roman" w:eastAsia="Times New Roman" w:hAnsi="Times New Roman" w:cs="Times New Roman"/>
          <w:sz w:val="24"/>
          <w:szCs w:val="24"/>
        </w:rPr>
        <w:t xml:space="preserve">Hepatitis B, </w:t>
      </w:r>
      <w:r w:rsidR="00BC780F" w:rsidRPr="00BC780F">
        <w:rPr>
          <w:rFonts w:ascii="Times New Roman" w:eastAsia="Times New Roman" w:hAnsi="Times New Roman" w:cs="Times New Roman"/>
          <w:sz w:val="24"/>
          <w:szCs w:val="24"/>
        </w:rPr>
        <w:t>hybrid type 1</w:t>
      </w:r>
      <w:r w:rsidR="00BC780F">
        <w:rPr>
          <w:rFonts w:ascii="Times New Roman" w:eastAsia="Times New Roman" w:hAnsi="Times New Roman" w:cs="Times New Roman"/>
          <w:color w:val="1F1F1F"/>
          <w:sz w:val="24"/>
          <w:szCs w:val="24"/>
        </w:rPr>
        <w:t>,</w:t>
      </w:r>
      <w:r w:rsidRPr="00A225BD">
        <w:rPr>
          <w:rFonts w:ascii="Times New Roman" w:eastAsia="Times New Roman" w:hAnsi="Times New Roman" w:cs="Times New Roman"/>
          <w:color w:val="1F1F1F"/>
          <w:sz w:val="24"/>
          <w:szCs w:val="24"/>
        </w:rPr>
        <w:t xml:space="preserve"> </w:t>
      </w:r>
      <w:r w:rsidR="00BC780F" w:rsidRPr="00BC780F">
        <w:rPr>
          <w:rFonts w:ascii="Times New Roman" w:eastAsia="Times New Roman" w:hAnsi="Times New Roman" w:cs="Times New Roman"/>
          <w:sz w:val="24"/>
          <w:szCs w:val="24"/>
        </w:rPr>
        <w:t>Vaccine</w:t>
      </w:r>
    </w:p>
    <w:p w14:paraId="009B37BF" w14:textId="77777777" w:rsidR="004E41CD" w:rsidRPr="00C95DA2" w:rsidRDefault="00C95DA2" w:rsidP="00A225BD">
      <w:pPr>
        <w:spacing w:line="240" w:lineRule="auto"/>
        <w:jc w:val="both"/>
        <w:rPr>
          <w:rFonts w:ascii="Times New Roman" w:hAnsi="Times New Roman" w:cs="Times New Roman"/>
          <w:b/>
          <w:sz w:val="24"/>
          <w:szCs w:val="24"/>
        </w:rPr>
      </w:pPr>
      <w:r w:rsidRPr="00C95DA2">
        <w:rPr>
          <w:rFonts w:ascii="Times New Roman" w:hAnsi="Times New Roman" w:cs="Times New Roman"/>
          <w:b/>
          <w:sz w:val="24"/>
          <w:szCs w:val="24"/>
        </w:rPr>
        <w:t>Introduction</w:t>
      </w:r>
    </w:p>
    <w:p w14:paraId="5DB64FF5" w14:textId="77777777" w:rsidR="004E41CD" w:rsidRPr="001B4373" w:rsidRDefault="004E41CD" w:rsidP="00A225BD">
      <w:pPr>
        <w:spacing w:after="240" w:line="240" w:lineRule="auto"/>
        <w:jc w:val="both"/>
        <w:rPr>
          <w:rFonts w:ascii="Times New Roman" w:eastAsia="Times New Roman" w:hAnsi="Times New Roman" w:cs="Times New Roman"/>
          <w:sz w:val="24"/>
          <w:szCs w:val="24"/>
        </w:rPr>
      </w:pPr>
      <w:r w:rsidRPr="004E41CD">
        <w:rPr>
          <w:rFonts w:ascii="Times New Roman" w:eastAsia="Times New Roman" w:hAnsi="Times New Roman" w:cs="Times New Roman"/>
          <w:sz w:val="24"/>
          <w:szCs w:val="24"/>
        </w:rPr>
        <w:t>A viral infection that targets the liver, hepatitis B can result in both acute and long-term illness</w:t>
      </w:r>
      <w:r w:rsidR="006E7CD4">
        <w:rPr>
          <w:rFonts w:ascii="Times New Roman" w:eastAsia="Times New Roman" w:hAnsi="Times New Roman" w:cs="Times New Roman"/>
          <w:sz w:val="24"/>
          <w:szCs w:val="24"/>
        </w:rPr>
        <w:fldChar w:fldCharType="begin" w:fldLock="1"/>
      </w:r>
      <w:r w:rsidR="00A225BD">
        <w:rPr>
          <w:rFonts w:ascii="Times New Roman" w:eastAsia="Times New Roman" w:hAnsi="Times New Roman" w:cs="Times New Roman"/>
          <w:sz w:val="24"/>
          <w:szCs w:val="24"/>
        </w:rPr>
        <w:instrText>ADDIN CSL_CITATION {"citationItems":[{"id":"ITEM-1","itemData":{"URL":"https://www.afro.who.int/countries/south-sudan/news/tackling-increasing-burden-viral-hepatitis-south-sudan","accessed":{"date-parts":[["2024","12","5"]]},"author":[{"dropping-particle":"","family":"WHO","given":"","non-dropping-particle":"","parse-names":false,"suffix":""}],"id":"ITEM-1","issued":{"date-parts":[["2024"]]},"title":"Tackling the increasing burden of viral hepatitis in South Sudan","type":"webpage"},"uris":["http://www.mendeley.com/documents/?uuid=44332265-cd35-4ece-a915-f5fc56af7f50"]}],"mendeley":{"formattedCitation":"(1)","manualFormatting":"(WHO, 2024)","plainTextFormattedCitation":"(1)","previouslyFormattedCitation":"(WHO, 2024)"},"properties":{"noteIndex":0},"schema":"https://github.com/citation-style-language/schema/raw/master/csl-citation.json"}</w:instrText>
      </w:r>
      <w:r w:rsidR="006E7CD4">
        <w:rPr>
          <w:rFonts w:ascii="Times New Roman" w:eastAsia="Times New Roman" w:hAnsi="Times New Roman" w:cs="Times New Roman"/>
          <w:sz w:val="24"/>
          <w:szCs w:val="24"/>
        </w:rPr>
        <w:fldChar w:fldCharType="separate"/>
      </w:r>
      <w:r w:rsidR="006E7CD4">
        <w:rPr>
          <w:rFonts w:ascii="Times New Roman" w:eastAsia="Times New Roman" w:hAnsi="Times New Roman" w:cs="Times New Roman"/>
          <w:noProof/>
          <w:sz w:val="24"/>
          <w:szCs w:val="24"/>
        </w:rPr>
        <w:t>(WHO, 2024</w:t>
      </w:r>
      <w:r w:rsidR="006E7CD4" w:rsidRPr="001B4373">
        <w:rPr>
          <w:rFonts w:ascii="Times New Roman" w:eastAsia="Times New Roman" w:hAnsi="Times New Roman" w:cs="Times New Roman"/>
          <w:noProof/>
          <w:sz w:val="24"/>
          <w:szCs w:val="24"/>
        </w:rPr>
        <w:t>)</w:t>
      </w:r>
      <w:r w:rsidR="006E7CD4">
        <w:rPr>
          <w:rFonts w:ascii="Times New Roman" w:eastAsia="Times New Roman" w:hAnsi="Times New Roman" w:cs="Times New Roman"/>
          <w:sz w:val="24"/>
          <w:szCs w:val="24"/>
        </w:rPr>
        <w:fldChar w:fldCharType="end"/>
      </w:r>
      <w:r w:rsidRPr="004E41CD">
        <w:rPr>
          <w:rFonts w:ascii="Times New Roman" w:eastAsia="Times New Roman" w:hAnsi="Times New Roman" w:cs="Times New Roman"/>
          <w:sz w:val="24"/>
          <w:szCs w:val="24"/>
        </w:rPr>
        <w:t>. In addition</w:t>
      </w:r>
      <w:r>
        <w:rPr>
          <w:rFonts w:ascii="Times New Roman" w:eastAsia="Times New Roman" w:hAnsi="Times New Roman" w:cs="Times New Roman"/>
          <w:sz w:val="24"/>
          <w:szCs w:val="24"/>
        </w:rPr>
        <w:t>,</w:t>
      </w:r>
      <w:r w:rsidRPr="004E41CD">
        <w:rPr>
          <w:rFonts w:ascii="Times New Roman" w:eastAsia="Times New Roman" w:hAnsi="Times New Roman" w:cs="Times New Roman"/>
          <w:sz w:val="24"/>
          <w:szCs w:val="24"/>
        </w:rPr>
        <w:t xml:space="preserve"> to contact with blood or other bodily fluids during intercourse with a partner who is infected, unsafe injections, or sharp object exposure, the virus is most frequently passed from mother to child during childbirth and early childhood.</w:t>
      </w:r>
      <w:r>
        <w:rPr>
          <w:rFonts w:ascii="Times New Roman" w:eastAsia="Times New Roman" w:hAnsi="Times New Roman" w:cs="Times New Roman"/>
          <w:sz w:val="24"/>
          <w:szCs w:val="24"/>
        </w:rPr>
        <w:t xml:space="preserve"> </w:t>
      </w:r>
      <w:r w:rsidRPr="004E41CD">
        <w:rPr>
          <w:rFonts w:ascii="Times New Roman" w:eastAsia="Times New Roman" w:hAnsi="Times New Roman" w:cs="Times New Roman"/>
          <w:sz w:val="24"/>
          <w:szCs w:val="24"/>
        </w:rPr>
        <w:t>According to WHO estimates, 1.2 million new cases of hepatitis B infection occur annually, and 254 million people have a chronic infection as of 2022</w:t>
      </w:r>
      <w:r w:rsidR="00C95DA2">
        <w:rPr>
          <w:rFonts w:ascii="Times New Roman" w:eastAsia="Times New Roman" w:hAnsi="Times New Roman" w:cs="Times New Roman"/>
          <w:sz w:val="24"/>
          <w:szCs w:val="24"/>
        </w:rPr>
        <w:fldChar w:fldCharType="begin" w:fldLock="1"/>
      </w:r>
      <w:r w:rsidR="00A225BD">
        <w:rPr>
          <w:rFonts w:ascii="Times New Roman" w:eastAsia="Times New Roman" w:hAnsi="Times New Roman" w:cs="Times New Roman"/>
          <w:sz w:val="24"/>
          <w:szCs w:val="24"/>
        </w:rPr>
        <w:instrText>ADDIN CSL_CITATION {"citationItems":[{"id":"ITEM-1","itemData":{"author":[{"dropping-particle":"","family":"WHO","given":"","non-dropping-particle":"","parse-names":false,"suffix":""}],"id":"ITEM-1","issued":{"date-parts":[["2023"]]},"title":"Hepatitis B","type":"article-journal"},"uris":["http://www.mendeley.com/documents/?uuid=c2ed0989-6174-4af5-9899-4e05d9581422"]}],"mendeley":{"formattedCitation":"(2)","plainTextFormattedCitation":"(2)","previouslyFormattedCitation":"(WHO, 2023)"},"properties":{"noteIndex":0},"schema":"https://github.com/citation-style-language/schema/raw/master/csl-citation.json"}</w:instrText>
      </w:r>
      <w:r w:rsidR="00C95DA2">
        <w:rPr>
          <w:rFonts w:ascii="Times New Roman" w:eastAsia="Times New Roman" w:hAnsi="Times New Roman" w:cs="Times New Roman"/>
          <w:sz w:val="24"/>
          <w:szCs w:val="24"/>
        </w:rPr>
        <w:fldChar w:fldCharType="separate"/>
      </w:r>
      <w:r w:rsidR="00A225BD" w:rsidRPr="00A225BD">
        <w:rPr>
          <w:rFonts w:ascii="Times New Roman" w:eastAsia="Times New Roman" w:hAnsi="Times New Roman" w:cs="Times New Roman"/>
          <w:noProof/>
          <w:sz w:val="24"/>
          <w:szCs w:val="24"/>
        </w:rPr>
        <w:t>(2)</w:t>
      </w:r>
      <w:r w:rsidR="00C95DA2">
        <w:rPr>
          <w:rFonts w:ascii="Times New Roman" w:eastAsia="Times New Roman" w:hAnsi="Times New Roman" w:cs="Times New Roman"/>
          <w:sz w:val="24"/>
          <w:szCs w:val="24"/>
        </w:rPr>
        <w:fldChar w:fldCharType="end"/>
      </w:r>
      <w:r w:rsidRPr="004E41CD">
        <w:rPr>
          <w:rFonts w:ascii="Times New Roman" w:eastAsia="Times New Roman" w:hAnsi="Times New Roman" w:cs="Times New Roman"/>
          <w:sz w:val="24"/>
          <w:szCs w:val="24"/>
        </w:rPr>
        <w:t>. Approximately 1.1 million people died from cirrhosis and hepatocellular carcinoma (primary liver cancer) as a result of hepatitis B in 2022. Safe, accessible, and effective vaccines can prevent hepatitis B</w:t>
      </w:r>
      <w:r w:rsidR="006E7CD4">
        <w:rPr>
          <w:rFonts w:ascii="Times New Roman" w:eastAsia="Times New Roman" w:hAnsi="Times New Roman" w:cs="Times New Roman"/>
          <w:sz w:val="24"/>
          <w:szCs w:val="24"/>
        </w:rPr>
        <w:fldChar w:fldCharType="begin" w:fldLock="1"/>
      </w:r>
      <w:r w:rsidR="00A225BD">
        <w:rPr>
          <w:rFonts w:ascii="Times New Roman" w:eastAsia="Times New Roman" w:hAnsi="Times New Roman" w:cs="Times New Roman"/>
          <w:sz w:val="24"/>
          <w:szCs w:val="24"/>
        </w:rPr>
        <w:instrText>ADDIN CSL_CITATION {"citationItems":[{"id":"ITEM-1","itemData":{"URL":"https://www.afro.who.int/countries/south-sudan/news/tackling-increasing-burden-viral-hepatitis-south-sudan","accessed":{"date-parts":[["2024","12","5"]]},"author":[{"dropping-particle":"","family":"WHO","given":"","non-dropping-particle":"","parse-names":false,"suffix":""}],"id":"ITEM-1","issued":{"date-parts":[["2024"]]},"title":"Tackling the increasing burden of viral hepatitis in South Sudan","type":"webpage"},"uris":["http://www.mendeley.com/documents/?uuid=44332265-cd35-4ece-a915-f5fc56af7f50"]}],"mendeley":{"formattedCitation":"(1)","manualFormatting":"(WHO, 2024)","plainTextFormattedCitation":"(1)","previouslyFormattedCitation":"(WHO, 2024)"},"properties":{"noteIndex":0},"schema":"https://github.com/citation-style-language/schema/raw/master/csl-citation.json"}</w:instrText>
      </w:r>
      <w:r w:rsidR="006E7CD4">
        <w:rPr>
          <w:rFonts w:ascii="Times New Roman" w:eastAsia="Times New Roman" w:hAnsi="Times New Roman" w:cs="Times New Roman"/>
          <w:sz w:val="24"/>
          <w:szCs w:val="24"/>
        </w:rPr>
        <w:fldChar w:fldCharType="separate"/>
      </w:r>
      <w:r w:rsidR="006E7CD4">
        <w:rPr>
          <w:rFonts w:ascii="Times New Roman" w:eastAsia="Times New Roman" w:hAnsi="Times New Roman" w:cs="Times New Roman"/>
          <w:noProof/>
          <w:sz w:val="24"/>
          <w:szCs w:val="24"/>
        </w:rPr>
        <w:t>(WHO, 2024</w:t>
      </w:r>
      <w:r w:rsidR="006E7CD4" w:rsidRPr="001B4373">
        <w:rPr>
          <w:rFonts w:ascii="Times New Roman" w:eastAsia="Times New Roman" w:hAnsi="Times New Roman" w:cs="Times New Roman"/>
          <w:noProof/>
          <w:sz w:val="24"/>
          <w:szCs w:val="24"/>
        </w:rPr>
        <w:t>)</w:t>
      </w:r>
      <w:r w:rsidR="006E7CD4">
        <w:rPr>
          <w:rFonts w:ascii="Times New Roman" w:eastAsia="Times New Roman" w:hAnsi="Times New Roman" w:cs="Times New Roman"/>
          <w:sz w:val="24"/>
          <w:szCs w:val="24"/>
        </w:rPr>
        <w:fldChar w:fldCharType="end"/>
      </w:r>
      <w:r w:rsidRPr="004E41CD">
        <w:rPr>
          <w:rFonts w:ascii="Times New Roman" w:eastAsia="Times New Roman" w:hAnsi="Times New Roman" w:cs="Times New Roman"/>
          <w:sz w:val="24"/>
          <w:szCs w:val="24"/>
        </w:rPr>
        <w:t>.</w:t>
      </w:r>
    </w:p>
    <w:p w14:paraId="36266557" w14:textId="77777777" w:rsidR="004E41CD" w:rsidRPr="001B4373" w:rsidRDefault="001B4373" w:rsidP="00A225BD">
      <w:pPr>
        <w:spacing w:after="0" w:line="240" w:lineRule="auto"/>
        <w:jc w:val="both"/>
        <w:rPr>
          <w:rFonts w:ascii="Times New Roman" w:eastAsia="Times New Roman" w:hAnsi="Times New Roman" w:cs="Times New Roman"/>
          <w:sz w:val="24"/>
          <w:szCs w:val="24"/>
        </w:rPr>
      </w:pPr>
      <w:r w:rsidRPr="001B4373">
        <w:rPr>
          <w:rFonts w:ascii="Times New Roman" w:eastAsia="Times New Roman" w:hAnsi="Times New Roman" w:cs="Times New Roman"/>
          <w:sz w:val="24"/>
          <w:szCs w:val="24"/>
        </w:rPr>
        <w:lastRenderedPageBreak/>
        <w:t>Africa accounts for about 70% of all hepatitis B infections globally</w:t>
      </w:r>
      <w:r>
        <w:rPr>
          <w:rFonts w:ascii="Times New Roman" w:eastAsia="Times New Roman" w:hAnsi="Times New Roman" w:cs="Times New Roman"/>
          <w:sz w:val="24"/>
          <w:szCs w:val="24"/>
        </w:rPr>
        <w:fldChar w:fldCharType="begin" w:fldLock="1"/>
      </w:r>
      <w:r w:rsidR="00A225BD">
        <w:rPr>
          <w:rFonts w:ascii="Times New Roman" w:eastAsia="Times New Roman" w:hAnsi="Times New Roman" w:cs="Times New Roman"/>
          <w:sz w:val="24"/>
          <w:szCs w:val="24"/>
        </w:rPr>
        <w:instrText>ADDIN CSL_CITATION {"citationItems":[{"id":"ITEM-1","itemData":{"author":[{"dropping-particle":"","family":"WHO","given":"","non-dropping-particle":"","parse-names":false,"suffix":""}],"id":"ITEM-1","issued":{"date-parts":[["2022"]]},"title":"91 million Africans infected with Hepatitis B or C","type":"webpage"},"uris":["http://www.mendeley.com/documents/?uuid=68cea824-209a-46c3-b96b-1220920444d0"]}],"mendeley":{"formattedCitation":"(3)","plainTextFormattedCitation":"(3)","previouslyFormattedCitation":"(WHO, 2022)"},"properties":{"noteIndex":0},"schema":"https://github.com/citation-style-language/schema/raw/master/csl-citation.json"}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00A225BD" w:rsidRPr="00A225BD">
        <w:rPr>
          <w:rFonts w:ascii="Times New Roman" w:eastAsia="Times New Roman" w:hAnsi="Times New Roman" w:cs="Times New Roman"/>
          <w:noProof/>
          <w:sz w:val="24"/>
          <w:szCs w:val="24"/>
        </w:rPr>
        <w:t>(3)</w:t>
      </w:r>
      <w:r>
        <w:rPr>
          <w:rFonts w:ascii="Times New Roman" w:eastAsia="Times New Roman" w:hAnsi="Times New Roman" w:cs="Times New Roman"/>
          <w:sz w:val="24"/>
          <w:szCs w:val="24"/>
        </w:rPr>
        <w:fldChar w:fldCharType="end"/>
      </w:r>
      <w:r w:rsidRPr="001B4373">
        <w:rPr>
          <w:rFonts w:ascii="Times New Roman" w:eastAsia="Times New Roman" w:hAnsi="Times New Roman" w:cs="Times New Roman"/>
          <w:sz w:val="24"/>
          <w:szCs w:val="24"/>
        </w:rPr>
        <w:t>. Decades may pass after a person contracts the virus before they begin to show symptoms. With 4.5 million African children infected, the region is responsible for 70% of all Hepatitis B cases worldwide that occur in children under the age of five</w:t>
      </w:r>
      <w:r>
        <w:rPr>
          <w:rFonts w:ascii="Times New Roman" w:eastAsia="Times New Roman" w:hAnsi="Times New Roman" w:cs="Times New Roman"/>
          <w:sz w:val="24"/>
          <w:szCs w:val="24"/>
        </w:rPr>
        <w:fldChar w:fldCharType="begin" w:fldLock="1"/>
      </w:r>
      <w:r w:rsidR="00A225BD">
        <w:rPr>
          <w:rFonts w:ascii="Times New Roman" w:eastAsia="Times New Roman" w:hAnsi="Times New Roman" w:cs="Times New Roman"/>
          <w:sz w:val="24"/>
          <w:szCs w:val="24"/>
        </w:rPr>
        <w:instrText>ADDIN CSL_CITATION {"citationItems":[{"id":"ITEM-1","itemData":{"DOI":"10.1371/JOURNAL.PONE.0248045","ISBN":"1111111111","ISSN":"1932-6203","PMID":"33705419","abstract":"Introduction Hepatitis B virus (HBV) infection is hyper-endemic in Nigeria. Prisons are high-risk environments for the spread of infectious diseases. Worldwide, seroprevalence of HBV infection is substantially higher among individuals in correctional facilities when compared to general population. We determined the seroprevalence and risk factors associated with HBV infection among Kuje prison inmates, Nigeria.   Material and methods We conducted a prison facility based cross-sectional study. Interviewer administered questionnaires were used to obtain information on participants socio-demographic characteristics, HBV risk factors, previous HBV test and vaccination history. Blood samples collected from participants were analysed for HBsAg, HBsAb, HBcAb, HBeAg and HBeAb markers using rapid lateral chromatographic immunoassay kit. Univariate, bivariate, and multivariate analysis were performed.   Results A total of 271 inmates (63 convicts and 208 awaiting trial inmates) were recruited into the study as participants. The mean age of the participants was 32.7 SD±9 years. HBV seroprevalence (HBsAg) of 13.7% (95% CI: 9.8–18.3) was found. 55.4% (95% CI: 49.2–61.4) of inmates were susceptible to HBV infection, 20.7% (95%CI; 16.0–26.0) had past HBV infection while 10.3% (95% CI: 7.0–14.6) had acquired natural or artificial HBV immunity. Factors found to be associated with current HBV infection (HBsAg) include age-group ≤25years (aOR = 8.0,95% CI: 2.9–22.3), being ever married (aOR = 4.2, 95% CI: 1.7–10.4) and history of alcohol consumption (aOR = 3.4, 95% CI: 1.3–8.4).   Conclusion This study reveals a high seroprevalence of HBV infection among Kuje Prison inmates, hence the need to introduce prison-focused health intervention initiatives such as HBV screening, vaccination and care to reduce the transmission of HBV infection among inmates and ultimately the general population.","author":[{"dropping-particle":"","family":"Dan-Nwafor","given":"Chioma Cindy","non-dropping-particle":"","parse-names":false,"suffix":""},{"dropping-particle":"","family":"Adeoye","given":"Ikeola","non-dropping-particle":"","parse-names":false,"suffix":""},{"dropping-particle":"","family":"Aderemi","given":"Kehinde","non-dropping-particle":"","parse-names":false,"suffix":""},{"dropping-particle":"","family":"Adedire","given":"Martins Onu Elizabeth","non-dropping-particle":"","parse-names":false,"suffix":""},{"dropping-particle":"","family":"Bashorun","given":"Adebobola","non-dropping-particle":"","parse-names":false,"suffix":""},{"dropping-particle":"","family":"Osunkwo","given":"Damaris","non-dropping-particle":"","parse-names":false,"suffix":""},{"dropping-particle":"","family":"Gidado","given":"Saheed","non-dropping-particle":"","parse-names":false,"suffix":""},{"dropping-particle":"","family":"Balogun","given":"Muhammad","non-dropping-particle":"","parse-names":false,"suffix":""},{"dropping-particle":"","family":"Idris","given":"Suleiman","non-dropping-particle":"","parse-names":false,"suffix":""},{"dropping-particle":"","family":"Ade-Yusuf","given":"Ibrahim","non-dropping-particle":"","parse-names":false,"suffix":""},{"dropping-particle":"","family":"Udom","given":"Ekpedeme","non-dropping-particle":"","parse-names":false,"suffix":""},{"dropping-particle":"","family":"Nguku","given":"Patrick","non-dropping-particle":"","parse-names":false,"suffix":""}],"container-title":"PLOS ONE","id":"ITEM-1","issue":"3","issued":{"date-parts":[["2021","3","1"]]},"page":"e0248045","publisher":"Public Library of Science","title":"Serological markers and risk factors associated with Hepatitis B virus infection among Federal Capital Territory prison inmates, Nigeria: Should we be concerned?","type":"article-journal","volume":"16"},"uris":["http://www.mendeley.com/documents/?uuid=27ef2468-5da1-36cb-8efa-23231a941c2b"]}],"mendeley":{"formattedCitation":"(4)","plainTextFormattedCitation":"(4)","previouslyFormattedCitation":"(Dan-Nwafor et al., 2021)"},"properties":{"noteIndex":0},"schema":"https://github.com/citation-style-language/schema/raw/master/csl-citation.json"}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00A225BD" w:rsidRPr="00A225BD">
        <w:rPr>
          <w:rFonts w:ascii="Times New Roman" w:eastAsia="Times New Roman" w:hAnsi="Times New Roman" w:cs="Times New Roman"/>
          <w:noProof/>
          <w:sz w:val="24"/>
          <w:szCs w:val="24"/>
        </w:rPr>
        <w:t>(4)</w:t>
      </w:r>
      <w:r>
        <w:rPr>
          <w:rFonts w:ascii="Times New Roman" w:eastAsia="Times New Roman" w:hAnsi="Times New Roman" w:cs="Times New Roman"/>
          <w:sz w:val="24"/>
          <w:szCs w:val="24"/>
        </w:rPr>
        <w:fldChar w:fldCharType="end"/>
      </w:r>
      <w:r w:rsidRPr="001B4373">
        <w:rPr>
          <w:rFonts w:ascii="Times New Roman" w:eastAsia="Times New Roman" w:hAnsi="Times New Roman" w:cs="Times New Roman"/>
          <w:sz w:val="24"/>
          <w:szCs w:val="24"/>
        </w:rPr>
        <w:t>. This is especially concerning for the future. Compared to 40 countries in 2019, 33 countries now have a prevalence of more than 1% for Hepatitis B in children under the age of five</w:t>
      </w:r>
      <w:r>
        <w:rPr>
          <w:rFonts w:ascii="Times New Roman" w:eastAsia="Times New Roman" w:hAnsi="Times New Roman" w:cs="Times New Roman"/>
          <w:sz w:val="24"/>
          <w:szCs w:val="24"/>
        </w:rPr>
        <w:fldChar w:fldCharType="begin" w:fldLock="1"/>
      </w:r>
      <w:r w:rsidR="00A225BD">
        <w:rPr>
          <w:rFonts w:ascii="Times New Roman" w:eastAsia="Times New Roman" w:hAnsi="Times New Roman" w:cs="Times New Roman"/>
          <w:sz w:val="24"/>
          <w:szCs w:val="24"/>
        </w:rPr>
        <w:instrText>ADDIN CSL_CITATION {"citationItems":[{"id":"ITEM-1","itemData":{"DOI":"10.4269/AJTMH.2010.10-0003","ISSN":"00029637","PMID":"20595501","abstract":"To assess the epidemiology of hepatitis B virus (HBV) infection among men who have sex with men (MSM) in Peru, we evaluated the prevalence and associated risk factors for HBV serologic markers among participants of a HIV sentinel surveillance conducted in 2002-2003. The standardized prevalences for total antibodies to hepatitis B core antigen (anti-HBc) and hepatitis B surface antigen (HBsAg) were 20.2% and 2.8%, respectively. Individuals with human immunodeficiency virus (HIV-1) infection had significantly higher anti-HBc (44.3% versus 19.3%) and HBsAg (9.5% versus 2.3%) prevalences than uninfected men. Increasing age (adjusted odds ratio [AOR] = 1.06), versatile sexual role (AOR = 1.59), sex in exchange for money/gifts (AOR = 1.58), syphilis (AOR = 1.74), HIV-1 infection (AOR = 1.64), and herpes simplex virus type 2 (HSV-2, AOR = 2.77) infection were independently associated with anti-HBc positivity, whereas only HIV-1 infection (AOR = 3.51) and generalized lymph node enlargement (AOR = 3.72) were associated with HBsAg positivity. Pre-existing HBV infection is very common among Peruvian MSM and was correlated with sexual risk factors. MSM in Peru constitute a target population for further HBV preventive and treatment interventions. Copyright © 2010 by The American Society of Tropical Medicine and Hygiene.","author":[{"dropping-particle":"","family":"Lama","given":"Javier R.","non-dropping-particle":"","parse-names":false,"suffix":""},{"dropping-particle":"","family":"Agurto","given":"Hellen S.","non-dropping-particle":"","parse-names":false,"suffix":""},{"dropping-particle":"V.","family":"Guanira","given":"Juan","non-dropping-particle":"","parse-names":false,"suffix":""},{"dropping-particle":"","family":"Ganoza","given":"Carmela","non-dropping-particle":"","parse-names":false,"suffix":""},{"dropping-particle":"","family":"Casapia","given":"Martin","non-dropping-particle":"","parse-names":false,"suffix":""},{"dropping-particle":"","family":"Ojeda","given":"Nora","non-dropping-particle":"","parse-names":false,"suffix":""},{"dropping-particle":"","family":"Ortiz","given":"Abner","non-dropping-particle":"","parse-names":false,"suffix":""},{"dropping-particle":"","family":"Zamalloa","given":"Victoria","non-dropping-particle":"","parse-names":false,"suffix":""},{"dropping-particle":"","family":"Suarez-Ognio","given":"Luis","non-dropping-particle":"","parse-names":false,"suffix":""},{"dropping-particle":"","family":"Cabezas","given":"Cesar","non-dropping-particle":"","parse-names":false,"suffix":""},{"dropping-particle":"","family":"Sanchez","given":"Jose L.","non-dropping-particle":"","parse-names":false,"suffix":""},{"dropping-particle":"","family":"Sanchez","given":"Jorge","non-dropping-particle":"","parse-names":false,"suffix":""}],"container-title":"The American Journal of Tropical Medicine and Hygiene","id":"ITEM-1","issue":"1","issued":{"date-parts":[["2021","7"]]},"page":"194","publisher":"The American Society of Tropical Medicine and Hygiene","title":"Hepatitis B Infection and Association with Other Sexually Transmitted Infections Among Men Who Have Sex with Men in Peru","type":"article-journal","volume":"83"},"uris":["http://www.mendeley.com/documents/?uuid=f51b32e8-0024-302c-88cd-f487142e06c6"]}],"mendeley":{"formattedCitation":"(5)","plainTextFormattedCitation":"(5)","previouslyFormattedCitation":"(Lama et al., 2021)"},"properties":{"noteIndex":0},"schema":"https://github.com/citation-style-language/schema/raw/master/csl-citation.json"}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00A225BD" w:rsidRPr="00A225BD">
        <w:rPr>
          <w:rFonts w:ascii="Times New Roman" w:eastAsia="Times New Roman" w:hAnsi="Times New Roman" w:cs="Times New Roman"/>
          <w:noProof/>
          <w:sz w:val="24"/>
          <w:szCs w:val="24"/>
        </w:rPr>
        <w:t>(5)</w:t>
      </w:r>
      <w:r>
        <w:rPr>
          <w:rFonts w:ascii="Times New Roman" w:eastAsia="Times New Roman" w:hAnsi="Times New Roman" w:cs="Times New Roman"/>
          <w:sz w:val="24"/>
          <w:szCs w:val="24"/>
        </w:rPr>
        <w:fldChar w:fldCharType="end"/>
      </w:r>
      <w:r w:rsidRPr="001B4373">
        <w:rPr>
          <w:rFonts w:ascii="Times New Roman" w:eastAsia="Times New Roman" w:hAnsi="Times New Roman" w:cs="Times New Roman"/>
          <w:sz w:val="24"/>
          <w:szCs w:val="24"/>
        </w:rPr>
        <w:t xml:space="preserve">. </w:t>
      </w:r>
    </w:p>
    <w:p w14:paraId="7A0A78CB" w14:textId="3AFE1886" w:rsidR="00C95DA2" w:rsidRPr="00064EE3" w:rsidRDefault="00C95DA2" w:rsidP="00A225BD">
      <w:pPr>
        <w:spacing w:after="240" w:line="240" w:lineRule="auto"/>
        <w:jc w:val="both"/>
        <w:rPr>
          <w:rFonts w:ascii="Times New Roman" w:eastAsia="Times New Roman" w:hAnsi="Times New Roman" w:cs="Times New Roman"/>
          <w:color w:val="FF0000"/>
          <w:sz w:val="24"/>
          <w:szCs w:val="24"/>
        </w:rPr>
      </w:pPr>
      <w:r w:rsidRPr="00C95DA2">
        <w:rPr>
          <w:rFonts w:ascii="Times New Roman" w:eastAsia="Times New Roman" w:hAnsi="Times New Roman" w:cs="Times New Roman"/>
          <w:sz w:val="24"/>
          <w:szCs w:val="24"/>
        </w:rPr>
        <w:t>With over 296 million cases worldwide, the hepatitis B virus (HBV) is a serious health concern that can cause serious illnesses like liver cancer and cirrhosis</w:t>
      </w:r>
      <w:r>
        <w:rPr>
          <w:rFonts w:ascii="Times New Roman" w:eastAsia="Times New Roman" w:hAnsi="Times New Roman" w:cs="Times New Roman"/>
          <w:sz w:val="24"/>
          <w:szCs w:val="24"/>
        </w:rPr>
        <w:fldChar w:fldCharType="begin" w:fldLock="1"/>
      </w:r>
      <w:r w:rsidR="00A225BD">
        <w:rPr>
          <w:rFonts w:ascii="Times New Roman" w:eastAsia="Times New Roman" w:hAnsi="Times New Roman" w:cs="Times New Roman"/>
          <w:sz w:val="24"/>
          <w:szCs w:val="24"/>
        </w:rPr>
        <w:instrText>ADDIN CSL_CITATION {"citationItems":[{"id":"ITEM-1","itemData":{"DOI":"10.1371/journal.pgph.0000478","abstract":"Hepatitis B Virus (HBV) infection remains a significant global public health challenge especially in low-and-middle income countries. Although there are significant global and national efforts to control Hepatitis B, equitable distribution and access to prevention services such as testing and vaccination remains a challenge. Efforts to increase access are hindered by inadequate evidence on the availability and distribution of HBV services. This cross-sectional study aimed at generating evidence of the distribution of HBV prevention services in Wakiso District, Uganda. A total of 55 healthcare facilities (HCFs) including 4 hospitals, and 51 primary care facilities were surveyed. Data were collected using an electronic structured questionnaire and analysed using STATA 14.0. A chi-square test was performed to establish the relationship between HCF characteristics and the availability of hepatitis B services. ArcGIS (version 10.1) was used to generate maps to illustrate the distribution of hepatitis B prevention services. We found out that the hepatitis B vaccine was available in only 27.3% (15) of the HCF, and 60% (33) had testing services. Receipt of the hepatitis B vaccine doses in the last 12 months was associated with the level (p = ≤0.001) and location (p = 0.030) of HCF. Availability of the hepatitis B vaccine at the time of the survey was associated with the level (p = 0.002) and location (p = 0.010) of HCF. The availability of hepatitis B testing services was associated with the level (p = 0.031), ownership (p≤0.001) and location (p = 0.010) of HCF. HCFs offering vaccination and testing services were mostly in urban areas, and close to Kampala, Uganda’s capital. Based on this study, hepatitis B prevention services were sub-optimal across all HCF levels, locations, and ownership. There is a need to extend hepatitis B prevention services to rural, public and private-not-for-profit HCFs.","author":[{"dropping-particle":"","family":"Ssekamatte","given":"Tonny","non-dropping-particle":"","parse-names":false,"suffix":""},{"dropping-particle":"","family":"Isunju","given":"John Bosco","non-dropping-particle":"","parse-names":false,"suffix":""},{"dropping-particle":"","family":"Nalugya","given":"Aisha","non-dropping-particle":"","parse-names":false,"suffix":""},{"dropping-particle":"","family":"Wafula","given":"Solomon Tsebeni","non-dropping-particle":"","parse-names":false,"suffix":""},{"dropping-particle":"","family":"Nuwematsiko","given":"Rebecca","non-dropping-particle":"","parse-names":false,"suffix":""},{"dropping-particle":"","family":"Nakalembe","given":"Doreen","non-dropping-particle":"","parse-names":false,"suffix":""},{"dropping-particle":"","family":"Kansiime","given":"Winnifred K.","non-dropping-particle":"","parse-names":false,"suffix":""},{"dropping-particle":"","family":"Muyanga","given":"Naume","non-dropping-particle":"","parse-names":false,"suffix":""},{"dropping-particle":"","family":"Nakiggala","given":"Joana","non-dropping-particle":"","parse-names":false,"suffix":""},{"dropping-particle":"","family":"Bukenya","given":"Justine N.","non-dropping-particle":"","parse-names":false,"suffix":""},{"dropping-particle":"","family":"Mugambe","given":"Richard K.","non-dropping-particle":"","parse-names":false,"suffix":""}],"container-title":"PLOS Global Public Health","id":"ITEM-1","issue":"9","issued":{"date-parts":[["2023","9","22"]]},"page":"e0000478","publisher":"Public Library of Science (PLoS)","title":"Distribution of Hepatitis B prevention services in Wakiso District, Central Uganda","type":"article-journal","volume":"3"},"uris":["http://www.mendeley.com/documents/?uuid=585b0e64-6049-3d7e-9a6b-792e1027a1cb"]}],"mendeley":{"formattedCitation":"(6)","plainTextFormattedCitation":"(6)","previouslyFormattedCitation":"(Ssekamatte et al., 2023)"},"properties":{"noteIndex":0},"schema":"https://github.com/citation-style-language/schema/raw/master/csl-citation.json"}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00A225BD" w:rsidRPr="00A225BD">
        <w:rPr>
          <w:rFonts w:ascii="Times New Roman" w:eastAsia="Times New Roman" w:hAnsi="Times New Roman" w:cs="Times New Roman"/>
          <w:noProof/>
          <w:sz w:val="24"/>
          <w:szCs w:val="24"/>
        </w:rPr>
        <w:t>(6)</w:t>
      </w:r>
      <w:r>
        <w:rPr>
          <w:rFonts w:ascii="Times New Roman" w:eastAsia="Times New Roman" w:hAnsi="Times New Roman" w:cs="Times New Roman"/>
          <w:sz w:val="24"/>
          <w:szCs w:val="24"/>
        </w:rPr>
        <w:fldChar w:fldCharType="end"/>
      </w:r>
      <w:r w:rsidRPr="00C95DA2">
        <w:rPr>
          <w:rFonts w:ascii="Times New Roman" w:eastAsia="Times New Roman" w:hAnsi="Times New Roman" w:cs="Times New Roman"/>
          <w:sz w:val="24"/>
          <w:szCs w:val="24"/>
        </w:rPr>
        <w:t>. An estimated 523,000 deaths in 2019 were attributed to liver cancer</w:t>
      </w:r>
      <w:r>
        <w:rPr>
          <w:rFonts w:ascii="Times New Roman" w:eastAsia="Times New Roman" w:hAnsi="Times New Roman" w:cs="Times New Roman"/>
          <w:sz w:val="24"/>
          <w:szCs w:val="24"/>
        </w:rPr>
        <w:t xml:space="preserve"> and cirrhosis caused by HBV</w:t>
      </w:r>
      <w:r>
        <w:rPr>
          <w:rFonts w:ascii="Times New Roman" w:eastAsia="Times New Roman" w:hAnsi="Times New Roman" w:cs="Times New Roman"/>
          <w:sz w:val="24"/>
          <w:szCs w:val="24"/>
        </w:rPr>
        <w:fldChar w:fldCharType="begin" w:fldLock="1"/>
      </w:r>
      <w:r w:rsidR="00A225BD">
        <w:rPr>
          <w:rFonts w:ascii="Times New Roman" w:eastAsia="Times New Roman" w:hAnsi="Times New Roman" w:cs="Times New Roman"/>
          <w:sz w:val="24"/>
          <w:szCs w:val="24"/>
        </w:rPr>
        <w:instrText>ADDIN CSL_CITATION {"citationItems":[{"id":"ITEM-1","itemData":{"DOI":"10.1371/JOURNAL.PONE.0284646","ISBN":"1111111111","ISSN":"1932-6203","PMID":"37099607","abstract":"Background Hepatitis B Virus (HBV) infection is one of the serious public health problems worldwide and is a major cause of morbidity and mortality. Viral hepatitis during pregnancy poses problems like a high risk of maternal complications, mother-to-child transmission (MTCT), and challenges in the management of drugs. This study aimed to determine the magnitude of HBV infection and associated risk factors among pregnant women who attended public hospitals in Addis Ababa, Ethiopia.   Method A multicenter prospective cohort study with a nested case-control was conducted from January 2019 to December 2020 in 5 public hospitals with maternal and child health care services in Addis Ababa. Three hundred pregnant women whose screening results for Hepatitis B surface antigen (HBsAg) were positive and another 300 with negative HBsAg were involved. Laboratory test results of blood samples and structured questionnaires were used to collect the data. Data was entered and analyzed by SPSS version 20 software using descriptive and logistic regression analyses.   Results Of the 12,138 pregnant women who screened for HBsAg as routine antenatal care (ANC), 369 (3.04%) were positive. All of the sociodemographic characteristics did not significantly differ in both the cases and the controls. Body tattooing (AOR = 1.66; 95 CI: 1.008–2.728), multiple sexual partners (AOR = 2.5; 95% CI: 1.604–3.901), family history of HBV (AOR = 2.62; 95% CI: 1.239–5.547), and sharing sharp materials (AOR = 3.02; 95% CI: 1.87–4.87) were factors associated with increased risk of HBV infection.   Conclusions An intermediate endemicity of HBV infection was detected among pregnant women. Body tattooing, having multiple sexual partners, family history of HBV, and sharing sharp materials were significantly associated with HBV infection. Awareness creation on the mode of transmission and early screening of all pregnant women for HBsAg must be strengthened to minimize and control the spread of the infection.","author":[{"dropping-particle":"","family":"Tesfu","given":"Mebrihit Arefaine","non-dropping-particle":"","parse-names":false,"suffix":""},{"dropping-particle":"","family":"Habtemariam","given":"Tilahun Teklehaymanot","non-dropping-particle":"","parse-names":false,"suffix":""},{"dropping-particle":"","family":"Berhe Belay","given":"Nega","non-dropping-particle":"","parse-names":false,"suffix":""}],"container-title":"PLOS ONE","id":"ITEM-1","issue":"4","issued":{"date-parts":[["2023","4","1"]]},"page":"e0284646","publisher":"Public Library of Science","title":"Risk factors associated with Hepatitis B virus infection among pregnant women attending public hospitals in Addis Ababa, Ethiopia","type":"article-journal","volume":"18"},"uris":["http://www.mendeley.com/documents/?uuid=6e96ec5e-8ec8-3461-a7da-42e72e28a64a"]}],"mendeley":{"formattedCitation":"(7)","plainTextFormattedCitation":"(7)","previouslyFormattedCitation":"(Tesfu et al., 2023)"},"properties":{"noteIndex":0},"schema":"https://github.com/citation-style-language/schema/raw/master/csl-citation.json"}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00A225BD" w:rsidRPr="00A225BD">
        <w:rPr>
          <w:rFonts w:ascii="Times New Roman" w:eastAsia="Times New Roman" w:hAnsi="Times New Roman" w:cs="Times New Roman"/>
          <w:noProof/>
          <w:sz w:val="24"/>
          <w:szCs w:val="24"/>
        </w:rPr>
        <w:t>(7)</w:t>
      </w:r>
      <w:r>
        <w:rPr>
          <w:rFonts w:ascii="Times New Roman" w:eastAsia="Times New Roman" w:hAnsi="Times New Roman" w:cs="Times New Roman"/>
          <w:sz w:val="24"/>
          <w:szCs w:val="24"/>
        </w:rPr>
        <w:fldChar w:fldCharType="end"/>
      </w:r>
      <w:r w:rsidRPr="00C95DA2">
        <w:rPr>
          <w:rFonts w:ascii="Times New Roman" w:eastAsia="Times New Roman" w:hAnsi="Times New Roman" w:cs="Times New Roman"/>
          <w:sz w:val="24"/>
          <w:szCs w:val="24"/>
        </w:rPr>
        <w:t xml:space="preserve">. Inadequate diagnosis and underutilization of preventive measures continue to exist despite their availability, which exacerbates the public health issue. </w:t>
      </w:r>
      <w:r w:rsidRPr="00064EE3">
        <w:rPr>
          <w:rFonts w:ascii="Times New Roman" w:eastAsia="Times New Roman" w:hAnsi="Times New Roman" w:cs="Times New Roman"/>
          <w:color w:val="FF0000"/>
          <w:sz w:val="24"/>
          <w:szCs w:val="24"/>
        </w:rPr>
        <w:t>The WHO wants to eradicate viral hepatitis by 2030, but if current trends continue, estimates indicate that HBV mortality will increase by 39%</w:t>
      </w:r>
      <w:r w:rsidRPr="00064EE3">
        <w:rPr>
          <w:rFonts w:ascii="Times New Roman" w:eastAsia="Times New Roman" w:hAnsi="Times New Roman" w:cs="Times New Roman"/>
          <w:color w:val="FF0000"/>
          <w:sz w:val="24"/>
          <w:szCs w:val="24"/>
        </w:rPr>
        <w:fldChar w:fldCharType="begin" w:fldLock="1"/>
      </w:r>
      <w:r w:rsidR="00A225BD" w:rsidRPr="00064EE3">
        <w:rPr>
          <w:rFonts w:ascii="Times New Roman" w:eastAsia="Times New Roman" w:hAnsi="Times New Roman" w:cs="Times New Roman"/>
          <w:color w:val="FF0000"/>
          <w:sz w:val="24"/>
          <w:szCs w:val="24"/>
        </w:rPr>
        <w:instrText>ADDIN CSL_CITATION {"citationItems":[{"id":"ITEM-1","itemData":{"DOI":"10.2147/HMER.S407069","abstract":"Background: Hepatitis B virus infection (HBV) is an important clinical and public health problem that contributes to liver-related public health morbidity and mortality. Although childhood vaccination was introduced in 1980, hospital admissions, morbidity and mortality rates from HBV infection increased in Ethiopia. Risk factors for HBV infection and associated complications generally vary from case to case. No epidemiological studies have identified the risk factors for HBV infection in northern Ethiopia. Therefore, this study aimed to identify risk factors for HBV infection in specialist and teaching hospitals in Ayder. Method(s): From March 2019 to May 2019, an unmatched hospital-based case-control study has been carried out on a total of 213 patients [71 cases and 142 controls] in northern Ethiopia. Cases were selected sequentially and two consecutive controls were selected for each case by a simple random method. The data were collected using pretested questionnaires structured by the interviewer as part of a face-to-face interview. Data were entered in Epi Data version 3.1, exported and analyzed with SPSS version 22. Binary and multivariable logistic regression analyses were used. Statistical significance was given as P &lt;0.05. Result(s): Multivariate logistic regression analysis revealed that patients with familial exposure to hepatitis (AOR 3.7, 95% CI: 1.5- 9.01), prior traditional medical procedure (AOR 1.2, 95% CI: 1.08-3.4), any history of dental procedures (AOR 3.8, 95% CI: 1.8- 9.01) were associated risk factors to hepatitis B virus infection, and awareness of sexually transmitted hepatitis B virus infection (AOR 0.084, 95% CI: 0.01-0.6) is less likely to be infected with hepatitis B virus infection. Conclusion(s): This study (findings) demonstrated that contact with a case of hepatitis in the family, history of dentist visits, prior traditional medical procedure, and lack of awareness of its transmission through sexual contact have been identified as independent risk factors for the development of hepatitis B virus infection.Copyright © 2023 Weldebrhan et al.","author":[{"dropping-particle":"","family":"Weldebrhan","given":"Desalegn","non-dropping-particle":"","parse-names":false,"suffix":""},{"dropping-particle":"","family":"Berhe","given":"Hailemariam","non-dropping-particle":"","parse-names":false,"suffix":""},{"dropping-particle":"","family":"Tesfay","given":"Yohannes","non-dropping-particle":"","parse-names":false,"suffix":""}],"container-title":"Hepatic Medicine: Evidence and Research","id":"ITEM-1","issued":{"date-parts":[["2023","7"]]},"page":"79-91","publisher":"Informa UK Limited","title":"Risk Factors for Hepatitis B Virus Infection in North Ethiopia: A Case–Control Study","type":"article-journal","volume":"Volume 15"},"uris":["http://www.mendeley.com/documents/?uuid=ecd2d58d-c639-3560-850c-327bb91c3518"]}],"mendeley":{"formattedCitation":"(8)","plainTextFormattedCitation":"(8)","previouslyFormattedCitation":"(Weldebrhan et al., 2023)"},"properties":{"noteIndex":0},"schema":"https://github.com/citation-style-language/schema/raw/master/csl-citation.json"}</w:instrText>
      </w:r>
      <w:r w:rsidRPr="00064EE3">
        <w:rPr>
          <w:rFonts w:ascii="Times New Roman" w:eastAsia="Times New Roman" w:hAnsi="Times New Roman" w:cs="Times New Roman"/>
          <w:color w:val="FF0000"/>
          <w:sz w:val="24"/>
          <w:szCs w:val="24"/>
        </w:rPr>
        <w:fldChar w:fldCharType="separate"/>
      </w:r>
      <w:r w:rsidR="00A225BD" w:rsidRPr="00064EE3">
        <w:rPr>
          <w:rFonts w:ascii="Times New Roman" w:eastAsia="Times New Roman" w:hAnsi="Times New Roman" w:cs="Times New Roman"/>
          <w:noProof/>
          <w:color w:val="FF0000"/>
          <w:sz w:val="24"/>
          <w:szCs w:val="24"/>
        </w:rPr>
        <w:t>(8)</w:t>
      </w:r>
      <w:r w:rsidRPr="00064EE3">
        <w:rPr>
          <w:rFonts w:ascii="Times New Roman" w:eastAsia="Times New Roman" w:hAnsi="Times New Roman" w:cs="Times New Roman"/>
          <w:color w:val="FF0000"/>
          <w:sz w:val="24"/>
          <w:szCs w:val="24"/>
        </w:rPr>
        <w:fldChar w:fldCharType="end"/>
      </w:r>
      <w:r w:rsidRPr="00064EE3">
        <w:rPr>
          <w:rFonts w:ascii="Times New Roman" w:eastAsia="Times New Roman" w:hAnsi="Times New Roman" w:cs="Times New Roman"/>
          <w:color w:val="FF0000"/>
          <w:sz w:val="24"/>
          <w:szCs w:val="24"/>
        </w:rPr>
        <w:t xml:space="preserve">. </w:t>
      </w:r>
    </w:p>
    <w:p w14:paraId="7EC8FACE" w14:textId="77777777" w:rsidR="001B4373" w:rsidRDefault="001B4373" w:rsidP="00A225BD">
      <w:pPr>
        <w:spacing w:before="240" w:line="240" w:lineRule="auto"/>
        <w:jc w:val="both"/>
        <w:rPr>
          <w:rFonts w:ascii="Times New Roman" w:hAnsi="Times New Roman" w:cs="Times New Roman"/>
          <w:sz w:val="24"/>
          <w:szCs w:val="24"/>
        </w:rPr>
      </w:pPr>
      <w:r w:rsidRPr="001B4373">
        <w:rPr>
          <w:rFonts w:ascii="Times New Roman" w:hAnsi="Times New Roman" w:cs="Times New Roman"/>
          <w:sz w:val="24"/>
          <w:szCs w:val="24"/>
        </w:rPr>
        <w:t>HBV primarily affects low and middle-income countries (LMICs), especially those in Africa, where more than 60% of new cases and fatalities occur. There are currently 65 million infected individuals in Africa alone, and by 2030, that f</w:t>
      </w:r>
      <w:r>
        <w:rPr>
          <w:rFonts w:ascii="Times New Roman" w:hAnsi="Times New Roman" w:cs="Times New Roman"/>
          <w:sz w:val="24"/>
          <w:szCs w:val="24"/>
        </w:rPr>
        <w:t>igure may rise to 80 million</w:t>
      </w:r>
      <w:r>
        <w:rPr>
          <w:rFonts w:ascii="Times New Roman" w:hAnsi="Times New Roman" w:cs="Times New Roman"/>
          <w:sz w:val="24"/>
          <w:szCs w:val="24"/>
        </w:rPr>
        <w:fldChar w:fldCharType="begin" w:fldLock="1"/>
      </w:r>
      <w:r w:rsidR="00A225BD">
        <w:rPr>
          <w:rFonts w:ascii="Times New Roman" w:hAnsi="Times New Roman" w:cs="Times New Roman"/>
          <w:sz w:val="24"/>
          <w:szCs w:val="24"/>
        </w:rPr>
        <w:instrText>ADDIN CSL_CITATION {"citationItems":[{"id":"ITEM-1","itemData":{"DOI":"10.14309/AJG.0000000000000588","ISSN":"15720241","PMID":"32149781","abstract":"OBJECTIVES:Previous exposure to hepatitis B virus (HBV) may increase the risk of hepatocellular carcinoma (HCC) in patients with chronic hepatitis C. We aim to study the impact of previous HBV infection on the severity and outcomes of patients with nonalcoholic fatty liver disease (NAFLD).METHODS:This was a multicenter study of 489 patients with biopsy-proven NAFLD and 69 patients with NAFLD-related or cryptogenic HCC. Antihepatitis B core antibody (anti-HBc) was used to detect the previous HBV infection.RESULTS:In the biopsy cohort, positive anti-HBc was associated with lower steatosis grade but higher fibrosis stage. 18.8% and 7.5% of patients with positive and negative anti-HBc had cirrhosis, respectively (P &lt; 0.001). The association between anti-HBc and cirrhosis remained significant after adjusting for age and metabolic factors (adjusted odds ratio 2.232; 95% confidence interval, 1.202-4.147). At a mean follow-up of 6.2 years, patients with positive anti-HBc had a higher incidence of HCC or cirrhotic complications (6.5% vs 2.2%; P = 0.039). Among patients with NAFLD-related or cryptogenic HCC, 73.9% had positive anti-HBc. None of the patients had positive serum HBV DNA. By contrast, antihepatitis B surface antibody did not correlate with histological severity.DISCUSSION:Positive anti-HBc is associated with cirrhosis and possibly HCC and cirrhotic complications in patients with NAFLD. Because a significant proportion of NAFLD-related HCC may develop in noncirrhotic patients, future studies should define the role of anti-HBc in selecting noncirrhotic patients with NAFLD for HCC surveillance.","author":[{"dropping-particle":"","family":"Chan","given":"Ting Ting","non-dropping-particle":"","parse-names":false,"suffix":""},{"dropping-particle":"","family":"Chan","given":"Wah Kheong","non-dropping-particle":"","parse-names":false,"suffix":""},{"dropping-particle":"","family":"Wong","given":"Grace Lai Hung","non-dropping-particle":"","parse-names":false,"suffix":""},{"dropping-particle":"","family":"Chan","given":"Anthony Wing Hung","non-dropping-particle":"","parse-names":false,"suffix":""},{"dropping-particle":"","family":"Nik Mustapha","given":"Nik Raihan","non-dropping-particle":"","parse-names":false,"suffix":""},{"dropping-particle":"","family":"Chan","given":"Stephen Lam","non-dropping-particle":"","parse-names":false,"suffix":""},{"dropping-particle":"","family":"Chong","given":"Charing Ching Ning","non-dropping-particle":"","parse-names":false,"suffix":""},{"dropping-particle":"","family":"Mahadeva","given":"Sanjiv","non-dropping-particle":"","parse-names":false,"suffix":""},{"dropping-particle":"","family":"Shu","given":"Sally She Ting","non-dropping-particle":"","parse-names":false,"suffix":""},{"dropping-particle":"","family":"Lai","given":"Paul Bo San","non-dropping-particle":"","parse-names":false,"suffix":""},{"dropping-particle":"","family":"Chan","given":"Henry Lik Yuen","non-dropping-particle":"","parse-names":false,"suffix":""},{"dropping-particle":"","family":"Wong","given":"Vincent Wai Sun","non-dropping-particle":"","parse-names":false,"suffix":""}],"container-title":"American Journal of Gastroenterology","id":"ITEM-1","issue":"6","issued":{"date-parts":[["2020","6","1"]]},"page":"867-875","publisher":"Wolters Kluwer Health","title":"Positive Hepatitis B Core Antibody Is Associated with Cirrhosis and Hepatocellular Carcinoma in Nonalcoholic Fatty Liver Disease","type":"article-journal","volume":"115"},"uris":["http://www.mendeley.com/documents/?uuid=42a54adc-28d4-3662-a686-d5095169cd83"]}],"mendeley":{"formattedCitation":"(9)","plainTextFormattedCitation":"(9)","previouslyFormattedCitation":"(Chan et al., 2020)"},"properties":{"noteIndex":0},"schema":"https://github.com/citation-style-language/schema/raw/master/csl-citation.json"}</w:instrText>
      </w:r>
      <w:r>
        <w:rPr>
          <w:rFonts w:ascii="Times New Roman" w:hAnsi="Times New Roman" w:cs="Times New Roman"/>
          <w:sz w:val="24"/>
          <w:szCs w:val="24"/>
        </w:rPr>
        <w:fldChar w:fldCharType="separate"/>
      </w:r>
      <w:r w:rsidR="00A225BD" w:rsidRPr="00A225BD">
        <w:rPr>
          <w:rFonts w:ascii="Times New Roman" w:hAnsi="Times New Roman" w:cs="Times New Roman"/>
          <w:noProof/>
          <w:sz w:val="24"/>
          <w:szCs w:val="24"/>
        </w:rPr>
        <w:t>(9)</w:t>
      </w:r>
      <w:r>
        <w:rPr>
          <w:rFonts w:ascii="Times New Roman" w:hAnsi="Times New Roman" w:cs="Times New Roman"/>
          <w:sz w:val="24"/>
          <w:szCs w:val="24"/>
        </w:rPr>
        <w:fldChar w:fldCharType="end"/>
      </w:r>
      <w:r w:rsidRPr="001B4373">
        <w:rPr>
          <w:rFonts w:ascii="Times New Roman" w:hAnsi="Times New Roman" w:cs="Times New Roman"/>
          <w:sz w:val="24"/>
          <w:szCs w:val="24"/>
        </w:rPr>
        <w:t>. Chronic HBV is a major health burden in Africa because it frequently results in serious complications like liver cirrhosis and cancer</w:t>
      </w:r>
      <w:r>
        <w:rPr>
          <w:rFonts w:ascii="Times New Roman" w:hAnsi="Times New Roman" w:cs="Times New Roman"/>
          <w:sz w:val="24"/>
          <w:szCs w:val="24"/>
        </w:rPr>
        <w:fldChar w:fldCharType="begin" w:fldLock="1"/>
      </w:r>
      <w:r w:rsidR="00A225BD">
        <w:rPr>
          <w:rFonts w:ascii="Times New Roman" w:hAnsi="Times New Roman" w:cs="Times New Roman"/>
          <w:sz w:val="24"/>
          <w:szCs w:val="24"/>
        </w:rPr>
        <w:instrText>ADDIN CSL_CITATION {"citationItems":[{"id":"ITEM-1","itemData":{"DOI":"10.1155/2020/8848561","ISSN":"16879198","PMID":"33133191","abstract":"Introduction. Hepatitis virus infection is a major public health burden and silent killer disease in sub-Saharan Africa, including Ethiopia. Therefore, this study aimed to investigate the prevalence of hepatitis B and C viruses and associated factors among pregnant women attending an antenatal clinic in three tertiary hospitals in Amhara National Regional State, Ethiopia. Methods. A cross-sectional study was conducted among 1121 pregnant women. Data on sociodemographic and associated factors were collected using a structured questionnaire. Serum samples were tested for hepatitis B surface antigen (HBsAg) and anti-hepatitis C virus antibody (anti-HCV) using ELISA. SPSS version 20 was used for data analysis, and a multivariable logistic regression analysis was used to assess the relationship between factors associated with hepatitis B virus and hepatitis virus C infection. Results. A total of 1121 pregnant women were included in the study. The mean age of study participants was 27.2 ± 4.8 yrs. The majority of pregnant women (895 (79.8%)) were from urban areas. The overall seroprevalence of HBsAg and anti-HCV antibody was 52 (4.6%) and 18 (1.6%), respectively. The coinfection rate of HBV/HCV was 1.4% (1/69). Ten (19.2%) of HBV positive cases were coinfected with HIV. There were no coinfections of HCV and HIV. Interestingly, pregnant women with a history of multiple sexual partners (AOR = 3.2, 95% CI, 1.7-7.6), blood transfusion (AOR = 7.6, 95% CI, 2.9-16.9), family history of HBV (AOR = 3.5, 95% CI, 1.7-7.6), being HIV-positive (AOR = 2.5, 95% CI, 1-5.9), and tattooing (AOR = 2, 95% CI, 1-3.8) were significant predictors of HBV infection. Similarly, young age (17-25 yrs) (AOR = 3.2, 95% CI, 1.8-8.6) and no educational background (AOR = 5, 95 CI, 1.7-14.8) were significant predictors of HCV infection. Conclusions. Hepatitis B and C viruses' infection was intermediate among pregnant women; some risk factors were significantly associated with the majority of cases. Infants born from these infected mothers are at risk of infection. This calls for screening and integration of HBV prevention of mother-to-child transmission (PMTCT) into HIV. Thus, the provision of health education on hepatitis B and C viruses' transmission, vaccination, and screening of all pregnant women routinely are essential for the prevention of these viruses.","author":[{"dropping-particle":"","family":"Dagnew","given":"Mulat","non-dropping-particle":"","parse-names":false,"suffix":""},{"dropping-particle":"","family":"Million","given":"Yihenew","non-dropping-particle":"","parse-names":false,"suffix":""},{"dropping-particle":"","family":"Gizachew","given":"Mucheye","non-dropping-particle":"","parse-names":false,"suffix":""},{"dropping-particle":"","family":"Eshetie","given":"Setegn","non-dropping-particle":"","parse-names":false,"suffix":""},{"dropping-particle":"","family":"Yitayew","given":"Gashaw","non-dropping-particle":"","parse-names":false,"suffix":""},{"dropping-particle":"","family":"Asrade","given":"Lakachew","non-dropping-particle":"","parse-names":false,"suffix":""},{"dropping-particle":"","family":"Adefris","given":"Mulat","non-dropping-particle":"","parse-names":false,"suffix":""},{"dropping-particle":"","family":"Moges","given":"Feleke","non-dropping-particle":"","parse-names":false,"suffix":""},{"dropping-particle":"","family":"Tiruneh","given":"Moges","non-dropping-particle":"","parse-names":false,"suffix":""}],"container-title":"International Journal of Microbiology","id":"ITEM-1","issued":{"date-parts":[["2020"]]},"publisher":"Hindawi Limited","title":"Hepatitis B and C Viruses' Infection and Associated Factors among Pregnant Women Attending Antenatal Care in Hospitals in the Amhara National Regional State, Ethiopia","type":"article-journal","volume":"2020"},"uris":["http://www.mendeley.com/documents/?uuid=09b67cd2-369f-3eb0-8958-72f00695886d"]}],"mendeley":{"formattedCitation":"(10)","plainTextFormattedCitation":"(10)","previouslyFormattedCitation":"(Dagnew et al., 2020)"},"properties":{"noteIndex":0},"schema":"https://github.com/citation-style-language/schema/raw/master/csl-citation.json"}</w:instrText>
      </w:r>
      <w:r>
        <w:rPr>
          <w:rFonts w:ascii="Times New Roman" w:hAnsi="Times New Roman" w:cs="Times New Roman"/>
          <w:sz w:val="24"/>
          <w:szCs w:val="24"/>
        </w:rPr>
        <w:fldChar w:fldCharType="separate"/>
      </w:r>
      <w:r w:rsidR="00A225BD" w:rsidRPr="00A225BD">
        <w:rPr>
          <w:rFonts w:ascii="Times New Roman" w:hAnsi="Times New Roman" w:cs="Times New Roman"/>
          <w:noProof/>
          <w:sz w:val="24"/>
          <w:szCs w:val="24"/>
        </w:rPr>
        <w:t>(10)</w:t>
      </w:r>
      <w:r>
        <w:rPr>
          <w:rFonts w:ascii="Times New Roman" w:hAnsi="Times New Roman" w:cs="Times New Roman"/>
          <w:sz w:val="24"/>
          <w:szCs w:val="24"/>
        </w:rPr>
        <w:fldChar w:fldCharType="end"/>
      </w:r>
      <w:r w:rsidRPr="001B4373">
        <w:rPr>
          <w:rFonts w:ascii="Times New Roman" w:hAnsi="Times New Roman" w:cs="Times New Roman"/>
          <w:sz w:val="24"/>
          <w:szCs w:val="24"/>
        </w:rPr>
        <w:t>. WHO's recommendations for routine vaccinations and better access to testing and treatment are part of the fight against HBV, but obstacles like a lack of public awareness and a lack of adequate healthcare in</w:t>
      </w:r>
      <w:r>
        <w:rPr>
          <w:rFonts w:ascii="Times New Roman" w:hAnsi="Times New Roman" w:cs="Times New Roman"/>
          <w:sz w:val="24"/>
          <w:szCs w:val="24"/>
        </w:rPr>
        <w:t>frastructure impede progress</w:t>
      </w:r>
      <w:r>
        <w:rPr>
          <w:rFonts w:ascii="Times New Roman" w:hAnsi="Times New Roman" w:cs="Times New Roman"/>
          <w:sz w:val="24"/>
          <w:szCs w:val="24"/>
        </w:rPr>
        <w:fldChar w:fldCharType="begin" w:fldLock="1"/>
      </w:r>
      <w:r w:rsidR="00A225BD">
        <w:rPr>
          <w:rFonts w:ascii="Times New Roman" w:hAnsi="Times New Roman" w:cs="Times New Roman"/>
          <w:sz w:val="24"/>
          <w:szCs w:val="24"/>
        </w:rPr>
        <w:instrText>ADDIN CSL_CITATION {"citationItems":[{"id":"ITEM-1","itemData":{"DOI":"10.3389/FPUBH.2023.986020","ISSN":"2296-2565","PMID":"36778557","abstract":"Background: Chronic Hepatitis B virus (HBV) infection causes liver cirrhosis and cancer and is a major public health concern in Kenya. However, so far no systematic review and meta-analysis has been conducted to estimate the burden of disease in the country. A better understanding of HBV infection prevalence will help the government implement efficient strategies at eliminating the disease. This systematic review and meta-analysis was therefore conducted to summarize and update the available information on the burden of HBV in Kenya. Method: We systematically searched PubMed, Science Direct, Web of Science, Scopus, African Journals OnLine, and Google Scholar databases to retrieve primary studies conducted between January 1990 and June 2021 that assessed the prevalence of HBV infection in Kenya based on measurement of the Hepatitis B Surface Antigen (HBsAg). Meta-analysis was performed using the random effects model where HBsAg prevalence was estimated at a 95% confidence interval (CI) after simple pooling analysis. Potential sources of heterogeneity were also investigated. Results: Fifty studies were included in the meta-analysis with a sample size of 108448. The overall pooled prevalence estimate of HBV in Kenya was 7.8% (95% CI: 5.8–10.1). Subgroup analysis revealed the highest prevalence among patients presenting with jaundice at 41.7% (95% CI: 13.5–73.3) whereas blood donors had the lowest prevalence at 4.1% (95% CI: 2.4–6.3). Prevalence in Human Immunodeficiency Virus (HIV)-infected individuals was 8.2% (95% CI: 5.8–11.0). An estimate of the total variation between studies revealed substantial heterogeneity (I2 = 99%) which could be explained by the study type, the risk status of individuals, and the region of study. Conclusion: We present the first systematic review and meta-analysis of the prevalence of HBV in Kenya. Our results show that the burden of HBV in Kenya is still enormous. This calls for an urgent need to implement public health intervention measures and strategic policies that will bring the disease under control and lead to final elimination. Systematic review registration: https://www.crd.york.ac.uk/prospero/display_record.php?RecordID=264859, identifier: CRD42021264859.","author":[{"dropping-particle":"","family":"Makokha","given":"Grace Naswa","non-dropping-particle":"","parse-names":false,"suffix":""},{"dropping-particle":"","family":"Zhang","given":"Peiyi","non-dropping-particle":"","parse-names":false,"suffix":""},{"dropping-particle":"","family":"Hayes","given":"C. Nelson","non-dropping-particle":"","parse-names":false,"suffix":""},{"dropping-particle":"","family":"Songok","given":"Elijah","non-dropping-particle":"","parse-names":false,"suffix":""},{"dropping-particle":"","family":"Chayama","given":"Kazuaki","non-dropping-particle":"","parse-names":false,"suffix":""}],"container-title":"Frontiers in public health","id":"ITEM-1","issued":{"date-parts":[["2023","1","26"]]},"publisher":"Front Public Health","title":"The burden of Hepatitis B virus infection in Kenya: A systematic review and meta-analysis","type":"article-journal","volume":"11"},"uris":["http://www.mendeley.com/documents/?uuid=ab4ad338-79bc-3fed-bfa5-418844ab4f42"]}],"mendeley":{"formattedCitation":"(11)","plainTextFormattedCitation":"(11)","previouslyFormattedCitation":"(Makokha et al., 2023)"},"properties":{"noteIndex":0},"schema":"https://github.com/citation-style-language/schema/raw/master/csl-citation.json"}</w:instrText>
      </w:r>
      <w:r>
        <w:rPr>
          <w:rFonts w:ascii="Times New Roman" w:hAnsi="Times New Roman" w:cs="Times New Roman"/>
          <w:sz w:val="24"/>
          <w:szCs w:val="24"/>
        </w:rPr>
        <w:fldChar w:fldCharType="separate"/>
      </w:r>
      <w:r w:rsidR="00A225BD" w:rsidRPr="00A225BD">
        <w:rPr>
          <w:rFonts w:ascii="Times New Roman" w:hAnsi="Times New Roman" w:cs="Times New Roman"/>
          <w:noProof/>
          <w:sz w:val="24"/>
          <w:szCs w:val="24"/>
        </w:rPr>
        <w:t>(11)</w:t>
      </w:r>
      <w:r>
        <w:rPr>
          <w:rFonts w:ascii="Times New Roman" w:hAnsi="Times New Roman" w:cs="Times New Roman"/>
          <w:sz w:val="24"/>
          <w:szCs w:val="24"/>
        </w:rPr>
        <w:fldChar w:fldCharType="end"/>
      </w:r>
      <w:r w:rsidRPr="001B4373">
        <w:rPr>
          <w:rFonts w:ascii="Times New Roman" w:hAnsi="Times New Roman" w:cs="Times New Roman"/>
          <w:sz w:val="24"/>
          <w:szCs w:val="24"/>
        </w:rPr>
        <w:t>.</w:t>
      </w:r>
    </w:p>
    <w:p w14:paraId="7F4AA2CC" w14:textId="77777777" w:rsidR="001B4373" w:rsidRPr="00A6026A" w:rsidRDefault="001B4373" w:rsidP="00A225BD">
      <w:pPr>
        <w:spacing w:after="0" w:line="240" w:lineRule="auto"/>
        <w:jc w:val="both"/>
        <w:rPr>
          <w:rFonts w:ascii="Times New Roman" w:eastAsia="Times New Roman" w:hAnsi="Times New Roman" w:cs="Times New Roman"/>
          <w:sz w:val="24"/>
          <w:szCs w:val="24"/>
        </w:rPr>
      </w:pPr>
      <w:r w:rsidRPr="001B4373">
        <w:rPr>
          <w:rFonts w:ascii="Times New Roman" w:eastAsia="Times New Roman" w:hAnsi="Times New Roman" w:cs="Times New Roman"/>
          <w:sz w:val="24"/>
          <w:szCs w:val="24"/>
        </w:rPr>
        <w:t xml:space="preserve">Due to the fact that HBV is endemic in many regions of the continent and spreads through unsafe healthcare practices, sexual contact, and mother-to-child transmission, the burden of the virus </w:t>
      </w:r>
      <w:r>
        <w:rPr>
          <w:rFonts w:ascii="Times New Roman" w:eastAsia="Times New Roman" w:hAnsi="Times New Roman" w:cs="Times New Roman"/>
          <w:sz w:val="24"/>
          <w:szCs w:val="24"/>
        </w:rPr>
        <w:t>is especially high in Africa</w:t>
      </w:r>
      <w:r>
        <w:rPr>
          <w:rFonts w:ascii="Times New Roman" w:eastAsia="Times New Roman" w:hAnsi="Times New Roman" w:cs="Times New Roman"/>
          <w:sz w:val="24"/>
          <w:szCs w:val="24"/>
        </w:rPr>
        <w:fldChar w:fldCharType="begin" w:fldLock="1"/>
      </w:r>
      <w:r w:rsidR="00A225BD">
        <w:rPr>
          <w:rFonts w:ascii="Times New Roman" w:eastAsia="Times New Roman" w:hAnsi="Times New Roman" w:cs="Times New Roman"/>
          <w:sz w:val="24"/>
          <w:szCs w:val="24"/>
        </w:rPr>
        <w:instrText>ADDIN CSL_CITATION {"citationItems":[{"id":"ITEM-1","itemData":{"DOI":"10.1155/2020/8848561","ISSN":"16879198","PMID":"33133191","abstract":"Introduction. Hepatitis virus infection is a major public health burden and silent killer disease in sub-Saharan Africa, including Ethiopia. Therefore, this study aimed to investigate the prevalence of hepatitis B and C viruses and associated factors among pregnant women attending an antenatal clinic in three tertiary hospitals in Amhara National Regional State, Ethiopia. Methods. A cross-sectional study was conducted among 1121 pregnant women. Data on sociodemographic and associated factors were collected using a structured questionnaire. Serum samples were tested for hepatitis B surface antigen (HBsAg) and anti-hepatitis C virus antibody (anti-HCV) using ELISA. SPSS version 20 was used for data analysis, and a multivariable logistic regression analysis was used to assess the relationship between factors associated with hepatitis B virus and hepatitis virus C infection. Results. A total of 1121 pregnant women were included in the study. The mean age of study participants was 27.2 ± 4.8 yrs. The majority of pregnant women (895 (79.8%)) were from urban areas. The overall seroprevalence of HBsAg and anti-HCV antibody was 52 (4.6%) and 18 (1.6%), respectively. The coinfection rate of HBV/HCV was 1.4% (1/69). Ten (19.2%) of HBV positive cases were coinfected with HIV. There were no coinfections of HCV and HIV. Interestingly, pregnant women with a history of multiple sexual partners (AOR = 3.2, 95% CI, 1.7-7.6), blood transfusion (AOR = 7.6, 95% CI, 2.9-16.9), family history of HBV (AOR = 3.5, 95% CI, 1.7-7.6), being HIV-positive (AOR = 2.5, 95% CI, 1-5.9), and tattooing (AOR = 2, 95% CI, 1-3.8) were significant predictors of HBV infection. Similarly, young age (17-25 yrs) (AOR = 3.2, 95% CI, 1.8-8.6) and no educational background (AOR = 5, 95 CI, 1.7-14.8) were significant predictors of HCV infection. Conclusions. Hepatitis B and C viruses' infection was intermediate among pregnant women; some risk factors were significantly associated with the majority of cases. Infants born from these infected mothers are at risk of infection. This calls for screening and integration of HBV prevention of mother-to-child transmission (PMTCT) into HIV. Thus, the provision of health education on hepatitis B and C viruses' transmission, vaccination, and screening of all pregnant women routinely are essential for the prevention of these viruses.","author":[{"dropping-particle":"","family":"Dagnew","given":"Mulat","non-dropping-particle":"","parse-names":false,"suffix":""},{"dropping-particle":"","family":"Million","given":"Yihenew","non-dropping-particle":"","parse-names":false,"suffix":""},{"dropping-particle":"","family":"Gizachew","given":"Mucheye","non-dropping-particle":"","parse-names":false,"suffix":""},{"dropping-particle":"","family":"Eshetie","given":"Setegn","non-dropping-particle":"","parse-names":false,"suffix":""},{"dropping-particle":"","family":"Yitayew","given":"Gashaw","non-dropping-particle":"","parse-names":false,"suffix":""},{"dropping-particle":"","family":"Asrade","given":"Lakachew","non-dropping-particle":"","parse-names":false,"suffix":""},{"dropping-particle":"","family":"Adefris","given":"Mulat","non-dropping-particle":"","parse-names":false,"suffix":""},{"dropping-particle":"","family":"Moges","given":"Feleke","non-dropping-particle":"","parse-names":false,"suffix":""},{"dropping-particle":"","family":"Tiruneh","given":"Moges","non-dropping-particle":"","parse-names":false,"suffix":""}],"container-title":"International Journal of Microbiology","id":"ITEM-1","issued":{"date-parts":[["2020"]]},"publisher":"Hindawi Limited","title":"Hepatitis B and C Viruses' Infection and Associated Factors among Pregnant Women Attending Antenatal Care in Hospitals in the Amhara National Regional State, Ethiopia","type":"article-journal","volume":"2020"},"uris":["http://www.mendeley.com/documents/?uuid=09b67cd2-369f-3eb0-8958-72f00695886d"]}],"mendeley":{"formattedCitation":"(10)","plainTextFormattedCitation":"(10)","previouslyFormattedCitation":"(Dagnew et al., 2020)"},"properties":{"noteIndex":0},"schema":"https://github.com/citation-style-language/schema/raw/master/csl-citation.json"}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00A225BD" w:rsidRPr="00A225BD">
        <w:rPr>
          <w:rFonts w:ascii="Times New Roman" w:eastAsia="Times New Roman" w:hAnsi="Times New Roman" w:cs="Times New Roman"/>
          <w:noProof/>
          <w:sz w:val="24"/>
          <w:szCs w:val="24"/>
        </w:rPr>
        <w:t>(10)</w:t>
      </w:r>
      <w:r>
        <w:rPr>
          <w:rFonts w:ascii="Times New Roman" w:eastAsia="Times New Roman" w:hAnsi="Times New Roman" w:cs="Times New Roman"/>
          <w:sz w:val="24"/>
          <w:szCs w:val="24"/>
        </w:rPr>
        <w:fldChar w:fldCharType="end"/>
      </w:r>
      <w:r w:rsidRPr="001B4373">
        <w:rPr>
          <w:rFonts w:ascii="Times New Roman" w:eastAsia="Times New Roman" w:hAnsi="Times New Roman" w:cs="Times New Roman"/>
          <w:sz w:val="24"/>
          <w:szCs w:val="24"/>
        </w:rPr>
        <w:t>. Many Africans lack access to effective vaccines or are not aware that they have hepatitis B</w:t>
      </w:r>
      <w:r>
        <w:rPr>
          <w:rFonts w:ascii="Times New Roman" w:eastAsia="Times New Roman" w:hAnsi="Times New Roman" w:cs="Times New Roman"/>
          <w:sz w:val="24"/>
          <w:szCs w:val="24"/>
        </w:rPr>
        <w:fldChar w:fldCharType="begin" w:fldLock="1"/>
      </w:r>
      <w:r w:rsidR="00A225BD">
        <w:rPr>
          <w:rFonts w:ascii="Times New Roman" w:eastAsia="Times New Roman" w:hAnsi="Times New Roman" w:cs="Times New Roman"/>
          <w:sz w:val="24"/>
          <w:szCs w:val="24"/>
        </w:rPr>
        <w:instrText>ADDIN CSL_CITATION {"citationItems":[{"id":"ITEM-1","itemData":{"DOI":"10.18502/IJPH.V49I11.4733","ISSN":"22516093","PMID":"33708736","abstract":"Background: Hepatitis B is a major global health problem. It can cause chronic infections and put people at high risk of death from cirrhosis and hepatocellular carcinoma. The aim of this study was to report the epidemiological features of hepatitis B virus (HBV) infection and risk factors based on the data from Azar Cohort. Methods: The population of this study comprised the people in the age range of 35-70 yr from Azar cohort, East Azerbaijan Province, Iran between 2015 and 2016. Based on cluster sampling, 4,949 people were selected and invited to complete the questionnaire and perform the tests. Blood samples were analyzed for serum HBV markers (HBsAg, HBsAb and HBcAb) by ELFA method. The data were analyzed using SPSS statistical software. Results: The mean (SD) age of the participants was 49.15 ± 9.02 years. The frequency rates of HBsAg, HBsAb and HBcAb were estimated as 1.03%, 16.9% and 24.95%, respectively. There was statistically significant association between family history of hepatitis (P&lt;0.001) and jaundice history (P&lt;0.001) with the presence of HBsAg. There was also a positive correlation between marital status (P=0.002), history of hospitalization (P&lt;0.001), smoking (P=0.001), dental procedures (P&lt;0.001), foreign travels (P=0.005), occupation status (P=0.002) and the presence of HBcAb. Conclusion: The frequency of hepatitis B in Azar Cohort was 1.03% which is a lower rate compared with other reports from Iran. The association of the population studied and the increase of public awareness in this area can probably prevent this disease.","author":[{"dropping-particle":"","family":"Pouri","given":"Ali Asghar","non-dropping-particle":"","parse-names":false,"suffix":""},{"dropping-particle":"","family":"Ghojazadeh","given":"Morteza","non-dropping-particle":"","parse-names":false,"suffix":""},{"dropping-particle":"","family":"Shirmohammadi","given":"Masoud","non-dropping-particle":"","parse-names":false,"suffix":""},{"dropping-particle":"","family":"Eftekhar-Sadat","given":"Amir Taher","non-dropping-particle":"","parse-names":false,"suffix":""},{"dropping-particle":"","family":"Somi","given":"Mohammad Hossein","non-dropping-particle":"","parse-names":false,"suffix":""}],"container-title":"Iranian Journal of Public Health","id":"ITEM-1","issue":"11","issued":{"date-parts":[["2020"]]},"page":"2152","publisher":"Tehran University of Medical Sciences","title":"Seroepidemiology and Risk Factors of Hepatitis B Virus Infection: A Population-Based Azar Cohort Study","type":"article-journal","volume":"49"},"uris":["http://www.mendeley.com/documents/?uuid=dd7cee39-a0a5-346e-9a6b-c3c166da5731"]}],"mendeley":{"formattedCitation":"(12)","plainTextFormattedCitation":"(12)","previouslyFormattedCitation":"(Pouri et al., 2020)"},"properties":{"noteIndex":0},"schema":"https://github.com/citation-style-language/schema/raw/master/csl-citation.json"}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00A225BD" w:rsidRPr="00A225BD">
        <w:rPr>
          <w:rFonts w:ascii="Times New Roman" w:eastAsia="Times New Roman" w:hAnsi="Times New Roman" w:cs="Times New Roman"/>
          <w:noProof/>
          <w:sz w:val="24"/>
          <w:szCs w:val="24"/>
        </w:rPr>
        <w:t>(12)</w:t>
      </w:r>
      <w:r>
        <w:rPr>
          <w:rFonts w:ascii="Times New Roman" w:eastAsia="Times New Roman" w:hAnsi="Times New Roman" w:cs="Times New Roman"/>
          <w:sz w:val="24"/>
          <w:szCs w:val="24"/>
        </w:rPr>
        <w:fldChar w:fldCharType="end"/>
      </w:r>
      <w:r w:rsidRPr="001B4373">
        <w:rPr>
          <w:rFonts w:ascii="Times New Roman" w:eastAsia="Times New Roman" w:hAnsi="Times New Roman" w:cs="Times New Roman"/>
          <w:sz w:val="24"/>
          <w:szCs w:val="24"/>
        </w:rPr>
        <w:t>. Liver cancer, which is mostly caused by HBV, is the third most common cause of can</w:t>
      </w:r>
      <w:r>
        <w:rPr>
          <w:rFonts w:ascii="Times New Roman" w:eastAsia="Times New Roman" w:hAnsi="Times New Roman" w:cs="Times New Roman"/>
          <w:sz w:val="24"/>
          <w:szCs w:val="24"/>
        </w:rPr>
        <w:t>cer-related deaths in Africa</w:t>
      </w:r>
      <w:r>
        <w:rPr>
          <w:rFonts w:ascii="Times New Roman" w:eastAsia="Times New Roman" w:hAnsi="Times New Roman" w:cs="Times New Roman"/>
          <w:sz w:val="24"/>
          <w:szCs w:val="24"/>
        </w:rPr>
        <w:fldChar w:fldCharType="begin" w:fldLock="1"/>
      </w:r>
      <w:r w:rsidR="00A225BD">
        <w:rPr>
          <w:rFonts w:ascii="Times New Roman" w:eastAsia="Times New Roman" w:hAnsi="Times New Roman" w:cs="Times New Roman"/>
          <w:sz w:val="24"/>
          <w:szCs w:val="24"/>
        </w:rPr>
        <w:instrText>ADDIN CSL_CITATION {"citationItems":[{"id":"ITEM-1","itemData":{"author":[{"dropping-particle":"","family":"Jr","given":"Joseph Kowo","non-dropping-particle":"","parse-names":false,"suffix":""}],"container-title":"Walden Dissertations and Doctoral Studies","id":"ITEM-1","issued":{"date-parts":[["2022","1","1"]]},"title":"Gender and Risk Behaviors Association With Hepatitis-B Infections Among Liberia Military Personnel","type":"article-journal"},"uris":["http://www.mendeley.com/documents/?uuid=56a987e9-0c20-3f6c-9db7-a19db9d1292d"]}],"mendeley":{"formattedCitation":"(13)","plainTextFormattedCitation":"(13)","previouslyFormattedCitation":"(Jr, 2022)"},"properties":{"noteIndex":0},"schema":"https://github.com/citation-style-language/schema/raw/master/csl-citation.json"}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00A225BD" w:rsidRPr="00A225BD">
        <w:rPr>
          <w:rFonts w:ascii="Times New Roman" w:eastAsia="Times New Roman" w:hAnsi="Times New Roman" w:cs="Times New Roman"/>
          <w:noProof/>
          <w:sz w:val="24"/>
          <w:szCs w:val="24"/>
        </w:rPr>
        <w:t>(13)</w:t>
      </w:r>
      <w:r>
        <w:rPr>
          <w:rFonts w:ascii="Times New Roman" w:eastAsia="Times New Roman" w:hAnsi="Times New Roman" w:cs="Times New Roman"/>
          <w:sz w:val="24"/>
          <w:szCs w:val="24"/>
        </w:rPr>
        <w:fldChar w:fldCharType="end"/>
      </w:r>
      <w:r w:rsidRPr="001B4373">
        <w:rPr>
          <w:rFonts w:ascii="Times New Roman" w:eastAsia="Times New Roman" w:hAnsi="Times New Roman" w:cs="Times New Roman"/>
          <w:sz w:val="24"/>
          <w:szCs w:val="24"/>
        </w:rPr>
        <w:t>. The region's HBV public health problem is made worse by the lack of adequate healthcare services and vaccination coverage.</w:t>
      </w:r>
    </w:p>
    <w:p w14:paraId="6D5476F3" w14:textId="77777777" w:rsidR="001B4373" w:rsidRPr="001B4373" w:rsidRDefault="001B4373" w:rsidP="00A225BD">
      <w:pPr>
        <w:spacing w:after="0" w:line="240" w:lineRule="auto"/>
        <w:jc w:val="both"/>
        <w:rPr>
          <w:rFonts w:ascii="Times New Roman" w:eastAsia="Times New Roman" w:hAnsi="Times New Roman" w:cs="Times New Roman"/>
          <w:sz w:val="24"/>
          <w:szCs w:val="24"/>
        </w:rPr>
      </w:pPr>
      <w:r w:rsidRPr="001B4373">
        <w:rPr>
          <w:rFonts w:ascii="Times New Roman" w:eastAsia="Times New Roman" w:hAnsi="Times New Roman" w:cs="Times New Roman"/>
          <w:sz w:val="24"/>
          <w:szCs w:val="24"/>
        </w:rPr>
        <w:t>With a high HBV prevalence of 10-15% and notable mortality rates, South Sudan is a prime example of the difficulties encountered by many African countries</w:t>
      </w:r>
      <w:r>
        <w:rPr>
          <w:rFonts w:ascii="Times New Roman" w:eastAsia="Times New Roman" w:hAnsi="Times New Roman" w:cs="Times New Roman"/>
          <w:sz w:val="24"/>
          <w:szCs w:val="24"/>
        </w:rPr>
        <w:fldChar w:fldCharType="begin" w:fldLock="1"/>
      </w:r>
      <w:r w:rsidR="00A225BD">
        <w:rPr>
          <w:rFonts w:ascii="Times New Roman" w:eastAsia="Times New Roman" w:hAnsi="Times New Roman" w:cs="Times New Roman"/>
          <w:sz w:val="24"/>
          <w:szCs w:val="24"/>
        </w:rPr>
        <w:instrText>ADDIN CSL_CITATION {"citationItems":[{"id":"ITEM-1","itemData":{"URL":"https://www.afro.who.int/countries/south-sudan/news/tackling-increasing-burden-viral-hepatitis-south-sudan","accessed":{"date-parts":[["2024","12","5"]]},"author":[{"dropping-particle":"","family":"WHO","given":"","non-dropping-particle":"","parse-names":false,"suffix":""}],"id":"ITEM-1","issued":{"date-parts":[["2024"]]},"title":"Tackling the increasing burden of viral hepatitis in South Sudan","type":"webpage"},"uris":["http://www.mendeley.com/documents/?uuid=44332265-cd35-4ece-a915-f5fc56af7f50"]}],"mendeley":{"formattedCitation":"(1)","plainTextFormattedCitation":"(1)","previouslyFormattedCitation":"(WHO, 2024)"},"properties":{"noteIndex":0},"schema":"https://github.com/citation-style-language/schema/raw/master/csl-citation.json"}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00A225BD" w:rsidRPr="00A225BD">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r w:rsidRPr="001B4373">
        <w:rPr>
          <w:rFonts w:ascii="Times New Roman" w:eastAsia="Times New Roman" w:hAnsi="Times New Roman" w:cs="Times New Roman"/>
          <w:sz w:val="24"/>
          <w:szCs w:val="24"/>
        </w:rPr>
        <w:t>. Inadequate healthcare infrastructure, ongoing conflict, and limited resources hinder the nation's efforts to integrate HBV vaccination into national immunization programs and raise public awareness</w:t>
      </w:r>
      <w:r>
        <w:rPr>
          <w:rFonts w:ascii="Times New Roman" w:eastAsia="Times New Roman" w:hAnsi="Times New Roman" w:cs="Times New Roman"/>
          <w:sz w:val="24"/>
          <w:szCs w:val="24"/>
        </w:rPr>
        <w:fldChar w:fldCharType="begin" w:fldLock="1"/>
      </w:r>
      <w:r w:rsidR="00A225BD">
        <w:rPr>
          <w:rFonts w:ascii="Times New Roman" w:eastAsia="Times New Roman" w:hAnsi="Times New Roman" w:cs="Times New Roman"/>
          <w:sz w:val="24"/>
          <w:szCs w:val="24"/>
        </w:rPr>
        <w:instrText>ADDIN CSL_CITATION {"citationItems":[{"id":"ITEM-1","itemData":{"DOI":"10.17352/AHR.000029","abstract":"Background: Hepatitis B is an infection caused by the Hepatitis B Virus (HBV), which is enveloped DNA virus that infects the liver, and the common complications are; cirrhosis, liver cancer and rest of organs failure.","author":[{"dropping-particle":"","family":"Michael Pou","given":"Machar","non-dropping-particle":"","parse-names":false,"suffix":""},{"dropping-particle":"","family":"Dube","given":"Jara","non-dropping-particle":"","parse-names":false,"suffix":""}],"container-title":"Archives of Hepatitis Research","id":"ITEM-1","issued":{"date-parts":[["2021","3","5"]]},"page":"004-013","publisher":"Peertechz Publications Private Limited","title":"Seroprevalence and associated risk factors for Hepatitis B Virus infections among apparently healthy pregnant mothers attending Anc in Rubkona primary health care center in Rubkona County, Unity State, South Sudan","type":"article-journal"},"uris":["http://www.mendeley.com/documents/?uuid=ba9e0514-20d6-3250-b172-0bdcedf6a88e"]}],"mendeley":{"formattedCitation":"(14)","plainTextFormattedCitation":"(14)","previouslyFormattedCitation":"(Michael Pou &amp; Dube, 2021)"},"properties":{"noteIndex":0},"schema":"https://github.com/citation-style-language/schema/raw/master/csl-citation.json"}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00A225BD" w:rsidRPr="00A225BD">
        <w:rPr>
          <w:rFonts w:ascii="Times New Roman" w:eastAsia="Times New Roman" w:hAnsi="Times New Roman" w:cs="Times New Roman"/>
          <w:noProof/>
          <w:sz w:val="24"/>
          <w:szCs w:val="24"/>
        </w:rPr>
        <w:t>(14)</w:t>
      </w:r>
      <w:r>
        <w:rPr>
          <w:rFonts w:ascii="Times New Roman" w:eastAsia="Times New Roman" w:hAnsi="Times New Roman" w:cs="Times New Roman"/>
          <w:sz w:val="24"/>
          <w:szCs w:val="24"/>
        </w:rPr>
        <w:fldChar w:fldCharType="end"/>
      </w:r>
      <w:r w:rsidRPr="001B4373">
        <w:rPr>
          <w:rFonts w:ascii="Times New Roman" w:eastAsia="Times New Roman" w:hAnsi="Times New Roman" w:cs="Times New Roman"/>
          <w:sz w:val="24"/>
          <w:szCs w:val="24"/>
        </w:rPr>
        <w:t xml:space="preserve">. Effective prevention and treatment strategies are desperately needed, as evidenced by the high rates of transmission from mother to child. Examining HBV seroprevalence and risk factors for hepatitis B transmission among expectant mothers visiting prenatal clinics in South Sudan's Abyei Area was </w:t>
      </w:r>
      <w:r>
        <w:rPr>
          <w:rFonts w:ascii="Times New Roman" w:eastAsia="Times New Roman" w:hAnsi="Times New Roman" w:cs="Times New Roman"/>
          <w:sz w:val="24"/>
          <w:szCs w:val="24"/>
        </w:rPr>
        <w:t>the objective of this study.</w:t>
      </w:r>
    </w:p>
    <w:p w14:paraId="5C643872" w14:textId="77777777" w:rsidR="00FE4EA4" w:rsidRDefault="00FE4EA4" w:rsidP="004E41CD">
      <w:pPr>
        <w:spacing w:line="360" w:lineRule="auto"/>
        <w:jc w:val="both"/>
        <w:rPr>
          <w:rFonts w:ascii="Times New Roman" w:hAnsi="Times New Roman" w:cs="Times New Roman"/>
          <w:sz w:val="24"/>
          <w:szCs w:val="24"/>
        </w:rPr>
      </w:pPr>
    </w:p>
    <w:p w14:paraId="0BD6441C" w14:textId="77777777" w:rsidR="00FE4EA4" w:rsidRDefault="00FE4EA4" w:rsidP="00A225BD">
      <w:pPr>
        <w:spacing w:line="240" w:lineRule="auto"/>
        <w:jc w:val="both"/>
        <w:rPr>
          <w:rStyle w:val="Strong"/>
          <w:rFonts w:ascii="Times New Roman" w:hAnsi="Times New Roman" w:cs="Times New Roman"/>
          <w:sz w:val="24"/>
          <w:szCs w:val="24"/>
          <w:shd w:val="clear" w:color="auto" w:fill="FFFFFF"/>
        </w:rPr>
      </w:pPr>
      <w:r>
        <w:rPr>
          <w:rStyle w:val="Strong"/>
          <w:rFonts w:ascii="Times New Roman" w:hAnsi="Times New Roman" w:cs="Times New Roman"/>
          <w:sz w:val="24"/>
          <w:szCs w:val="24"/>
          <w:shd w:val="clear" w:color="auto" w:fill="FFFFFF"/>
        </w:rPr>
        <w:t>Materials a</w:t>
      </w:r>
      <w:r w:rsidRPr="00FE4EA4">
        <w:rPr>
          <w:rStyle w:val="Strong"/>
          <w:rFonts w:ascii="Times New Roman" w:hAnsi="Times New Roman" w:cs="Times New Roman"/>
          <w:sz w:val="24"/>
          <w:szCs w:val="24"/>
          <w:shd w:val="clear" w:color="auto" w:fill="FFFFFF"/>
        </w:rPr>
        <w:t>nd Methods</w:t>
      </w:r>
    </w:p>
    <w:p w14:paraId="35FF9FB8" w14:textId="77777777" w:rsidR="00FE4EA4" w:rsidRDefault="00FE4EA4" w:rsidP="00A225BD">
      <w:pPr>
        <w:spacing w:line="240" w:lineRule="auto"/>
        <w:jc w:val="both"/>
        <w:rPr>
          <w:rFonts w:ascii="Times New Roman" w:hAnsi="Times New Roman" w:cs="Times New Roman"/>
          <w:b/>
          <w:sz w:val="24"/>
          <w:szCs w:val="24"/>
        </w:rPr>
      </w:pPr>
      <w:r>
        <w:rPr>
          <w:rFonts w:ascii="Times New Roman" w:hAnsi="Times New Roman" w:cs="Times New Roman"/>
          <w:b/>
          <w:sz w:val="24"/>
          <w:szCs w:val="24"/>
        </w:rPr>
        <w:t>Study design</w:t>
      </w:r>
    </w:p>
    <w:p w14:paraId="2A9F1C81" w14:textId="77777777" w:rsidR="00FE4EA4" w:rsidRPr="00FE4EA4" w:rsidRDefault="00FE4EA4" w:rsidP="00A225BD">
      <w:pPr>
        <w:spacing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w:t>
      </w:r>
      <w:r w:rsidRPr="00FE4EA4">
        <w:rPr>
          <w:rFonts w:ascii="Times New Roman" w:hAnsi="Times New Roman" w:cs="Times New Roman"/>
          <w:sz w:val="24"/>
          <w:szCs w:val="24"/>
          <w:shd w:val="clear" w:color="auto" w:fill="FFFFFF"/>
        </w:rPr>
        <w:t xml:space="preserve"> hybrid type 1 implementation design was adopted in this study. It allowed the researcher to evaluate the effectiveness of intervention in this case, the hepatitis B vaccination, and the contextual factors that influence it. This type of study design allowed the researcher to investigate both the prevalence (seroprevalence) of an outcome or exposure at a specific point in time (cross-sectional) and the development of that outcome or exposure over a defined period (cohort).</w:t>
      </w:r>
    </w:p>
    <w:p w14:paraId="35153F5B" w14:textId="77777777" w:rsidR="00FE4EA4" w:rsidRDefault="00FE4EA4" w:rsidP="00A225BD">
      <w:pPr>
        <w:spacing w:line="240" w:lineRule="auto"/>
        <w:jc w:val="both"/>
        <w:rPr>
          <w:rFonts w:ascii="Times New Roman" w:hAnsi="Times New Roman" w:cs="Times New Roman"/>
          <w:b/>
          <w:sz w:val="24"/>
          <w:szCs w:val="24"/>
        </w:rPr>
      </w:pPr>
      <w:r>
        <w:rPr>
          <w:rFonts w:ascii="Times New Roman" w:hAnsi="Times New Roman" w:cs="Times New Roman"/>
          <w:b/>
          <w:sz w:val="24"/>
          <w:szCs w:val="24"/>
        </w:rPr>
        <w:t>Study area</w:t>
      </w:r>
    </w:p>
    <w:p w14:paraId="0B2C4C45" w14:textId="77777777" w:rsidR="00FE4EA4" w:rsidRPr="00AC6286" w:rsidRDefault="00FE4EA4" w:rsidP="00A225BD">
      <w:pPr>
        <w:spacing w:after="0" w:line="240" w:lineRule="auto"/>
        <w:jc w:val="both"/>
        <w:rPr>
          <w:rFonts w:ascii="Times New Roman" w:eastAsia="Times New Roman" w:hAnsi="Times New Roman" w:cs="Times New Roman"/>
          <w:sz w:val="24"/>
          <w:szCs w:val="24"/>
        </w:rPr>
      </w:pPr>
      <w:r w:rsidRPr="00FE4EA4">
        <w:rPr>
          <w:rFonts w:ascii="Times New Roman" w:eastAsia="Times New Roman" w:hAnsi="Times New Roman" w:cs="Times New Roman"/>
          <w:sz w:val="24"/>
          <w:szCs w:val="24"/>
        </w:rPr>
        <w:lastRenderedPageBreak/>
        <w:t>Geopolitically significant, Abyei is at the center of border disputes between the governments of Sudan and South Sudan. Abyei is strategically significant because it is situated on the border between the two countries. Its geographic coordinates, which range from latitudes 11.5° N to 10.5° N and longitudes 29.5° E to 27.5° E, define a specific area. Five primary health clinics in the Abyei region of South Sudan were chosen to participate in this study. In the Abyei region, providing health services is fraught with difficulties because the government and its partners only fund a small number of medical facilities to serve the populace.</w:t>
      </w:r>
      <w:r>
        <w:rPr>
          <w:rFonts w:ascii="Times New Roman" w:eastAsia="Times New Roman" w:hAnsi="Times New Roman" w:cs="Times New Roman"/>
          <w:sz w:val="24"/>
          <w:szCs w:val="24"/>
        </w:rPr>
        <w:t xml:space="preserve"> </w:t>
      </w:r>
      <w:r w:rsidRPr="00FE4EA4">
        <w:rPr>
          <w:rFonts w:ascii="Times New Roman" w:eastAsia="Times New Roman" w:hAnsi="Times New Roman" w:cs="Times New Roman"/>
          <w:sz w:val="24"/>
          <w:szCs w:val="24"/>
        </w:rPr>
        <w:t xml:space="preserve">The region was chosen due to its proximity to northern Sudan and its status as a hub for individuals from various ethnic backgrounds. </w:t>
      </w:r>
    </w:p>
    <w:p w14:paraId="3D76AE1C" w14:textId="77777777" w:rsidR="000F7102" w:rsidRDefault="000F7102" w:rsidP="00A225BD">
      <w:pPr>
        <w:spacing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Study population</w:t>
      </w:r>
    </w:p>
    <w:p w14:paraId="0D02471C" w14:textId="77777777" w:rsidR="000F7102" w:rsidRPr="000F7102" w:rsidRDefault="000F7102" w:rsidP="00A225BD">
      <w:pPr>
        <w:spacing w:line="240" w:lineRule="auto"/>
        <w:jc w:val="both"/>
        <w:rPr>
          <w:rFonts w:ascii="Times New Roman" w:hAnsi="Times New Roman" w:cs="Times New Roman"/>
          <w:sz w:val="24"/>
          <w:szCs w:val="24"/>
        </w:rPr>
      </w:pPr>
      <w:r w:rsidRPr="000F7102">
        <w:rPr>
          <w:rFonts w:ascii="Times New Roman" w:hAnsi="Times New Roman" w:cs="Times New Roman"/>
          <w:sz w:val="24"/>
          <w:szCs w:val="24"/>
        </w:rPr>
        <w:t xml:space="preserve">The study population for this study comprised pregnant women attending antenatal care and their newborns in the Abyei Area, South Sudan. Specifically, the focus was on mothers residing in the southern and northern regions along the banks of River Kiir within the Abyei area. </w:t>
      </w:r>
    </w:p>
    <w:p w14:paraId="2B6EB5F8" w14:textId="77777777" w:rsidR="000F7102" w:rsidRDefault="000F7102" w:rsidP="00A225BD">
      <w:pPr>
        <w:spacing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Sample size determination</w:t>
      </w:r>
    </w:p>
    <w:p w14:paraId="5147B8CB" w14:textId="7F0F0192" w:rsidR="000F7102" w:rsidRPr="000F7102" w:rsidRDefault="000F7102" w:rsidP="00A225BD">
      <w:pPr>
        <w:spacing w:after="0" w:line="240" w:lineRule="auto"/>
        <w:jc w:val="both"/>
        <w:rPr>
          <w:rFonts w:ascii="Times New Roman" w:eastAsia="Times New Roman" w:hAnsi="Times New Roman" w:cs="Times New Roman"/>
          <w:sz w:val="24"/>
          <w:szCs w:val="24"/>
        </w:rPr>
      </w:pPr>
      <w:r w:rsidRPr="000F7102">
        <w:rPr>
          <w:rFonts w:ascii="Times New Roman" w:eastAsia="Times New Roman" w:hAnsi="Times New Roman" w:cs="Times New Roman"/>
          <w:sz w:val="24"/>
          <w:szCs w:val="24"/>
        </w:rPr>
        <w:t>The sample size for this study was determined to be roughly 38</w:t>
      </w:r>
      <w:r w:rsidR="00064EE3">
        <w:rPr>
          <w:rFonts w:ascii="Times New Roman" w:eastAsia="Times New Roman" w:hAnsi="Times New Roman" w:cs="Times New Roman"/>
          <w:sz w:val="24"/>
          <w:szCs w:val="24"/>
        </w:rPr>
        <w:t>2</w:t>
      </w:r>
      <w:r w:rsidRPr="000F7102">
        <w:rPr>
          <w:rFonts w:ascii="Times New Roman" w:eastAsia="Times New Roman" w:hAnsi="Times New Roman" w:cs="Times New Roman"/>
          <w:sz w:val="24"/>
          <w:szCs w:val="24"/>
        </w:rPr>
        <w:t xml:space="preserve"> study participants using the Fisher formula.</w:t>
      </w:r>
    </w:p>
    <w:p w14:paraId="47892B72" w14:textId="77777777" w:rsidR="000F7102" w:rsidRDefault="000F7102" w:rsidP="00A225B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Sampling technique</w:t>
      </w:r>
    </w:p>
    <w:p w14:paraId="74549D3C" w14:textId="77777777" w:rsidR="000F7102" w:rsidRPr="000F7102" w:rsidRDefault="000F7102" w:rsidP="00A225BD">
      <w:pPr>
        <w:spacing w:line="240" w:lineRule="auto"/>
        <w:jc w:val="both"/>
        <w:rPr>
          <w:rFonts w:ascii="Times New Roman" w:hAnsi="Times New Roman" w:cs="Times New Roman"/>
          <w:sz w:val="24"/>
          <w:szCs w:val="24"/>
        </w:rPr>
      </w:pPr>
      <w:r>
        <w:rPr>
          <w:rFonts w:ascii="Times New Roman" w:hAnsi="Times New Roman" w:cs="Times New Roman"/>
          <w:sz w:val="24"/>
          <w:szCs w:val="24"/>
        </w:rPr>
        <w:t>In this study, both purposive and systematic random sampling were employed to recruit the study respondents for this research. Abyei which was the study area was selected purposively. Health facilities where the study respondents were obtained were also selected purposively. Lastly, systematic random sampling was employed to select study respondents for this study from the chosen health facility.</w:t>
      </w:r>
    </w:p>
    <w:p w14:paraId="6D210B6B" w14:textId="77777777" w:rsidR="00FE4EA4" w:rsidRDefault="000F7102" w:rsidP="00A225BD">
      <w:pPr>
        <w:spacing w:line="240" w:lineRule="auto"/>
        <w:jc w:val="both"/>
        <w:rPr>
          <w:rFonts w:ascii="Times New Roman" w:hAnsi="Times New Roman" w:cs="Times New Roman"/>
          <w:sz w:val="24"/>
          <w:szCs w:val="24"/>
        </w:rPr>
      </w:pPr>
      <w:r>
        <w:rPr>
          <w:rFonts w:ascii="Times New Roman" w:hAnsi="Times New Roman" w:cs="Times New Roman"/>
          <w:b/>
          <w:sz w:val="24"/>
          <w:szCs w:val="24"/>
        </w:rPr>
        <w:t>Data collection tools and procedures</w:t>
      </w:r>
    </w:p>
    <w:p w14:paraId="27BFF531" w14:textId="77777777" w:rsidR="00FE4EA4" w:rsidRDefault="000F7102" w:rsidP="00A225BD">
      <w:pPr>
        <w:spacing w:line="240" w:lineRule="auto"/>
        <w:jc w:val="both"/>
        <w:rPr>
          <w:rFonts w:ascii="Times New Roman" w:hAnsi="Times New Roman" w:cs="Times New Roman"/>
          <w:sz w:val="24"/>
          <w:szCs w:val="24"/>
        </w:rPr>
      </w:pPr>
      <w:r w:rsidRPr="000F7102">
        <w:rPr>
          <w:rFonts w:ascii="Times New Roman" w:hAnsi="Times New Roman" w:cs="Times New Roman"/>
          <w:sz w:val="24"/>
          <w:szCs w:val="24"/>
        </w:rPr>
        <w:t>Structured Questionnaires were used to collect quantitative data on pregnant women seeking antenatal care in the selected facilities.  Quantitative data collection focused on the prevalence of hepatitis B, Risk factors of hepatitis B among pregnant mothers</w:t>
      </w:r>
      <w:r w:rsidRPr="000F7102">
        <w:rPr>
          <w:rFonts w:ascii="Times New Roman" w:hAnsi="Times New Roman" w:cs="Times New Roman"/>
          <w:b/>
          <w:sz w:val="24"/>
          <w:szCs w:val="24"/>
        </w:rPr>
        <w:t>,</w:t>
      </w:r>
      <w:r w:rsidRPr="000F7102">
        <w:rPr>
          <w:rFonts w:ascii="Times New Roman" w:hAnsi="Times New Roman" w:cs="Times New Roman"/>
          <w:sz w:val="24"/>
          <w:szCs w:val="24"/>
        </w:rPr>
        <w:t xml:space="preserve"> and effectiveness of the Hepatitis B vaccine. Blood samples were collected and analyzed for Hepatitis B surface antigen (HBsAg) using enzyme-linked immunosorbent assay (ELISA</w:t>
      </w:r>
      <w:proofErr w:type="gramStart"/>
      <w:r w:rsidRPr="000F7102">
        <w:rPr>
          <w:rFonts w:ascii="Times New Roman" w:hAnsi="Times New Roman" w:cs="Times New Roman"/>
          <w:sz w:val="24"/>
          <w:szCs w:val="24"/>
        </w:rPr>
        <w:t>)  Blood</w:t>
      </w:r>
      <w:proofErr w:type="gramEnd"/>
      <w:r w:rsidRPr="000F7102">
        <w:rPr>
          <w:rFonts w:ascii="Times New Roman" w:hAnsi="Times New Roman" w:cs="Times New Roman"/>
          <w:sz w:val="24"/>
          <w:szCs w:val="24"/>
        </w:rPr>
        <w:t xml:space="preserve"> samples were tested for HBsAg, and positive and negative mothers were followed until delivery. Newborns received the Hepatitis B vaccine and were tested after six months to assess the vaccine's protective effectiveness.</w:t>
      </w:r>
    </w:p>
    <w:p w14:paraId="0A2E333E" w14:textId="77777777" w:rsidR="00FE4EA4" w:rsidRPr="00FE4EA4" w:rsidRDefault="00FE4EA4" w:rsidP="00A225BD">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Statistical analysis </w:t>
      </w:r>
    </w:p>
    <w:p w14:paraId="29708E38" w14:textId="77777777" w:rsidR="00FE4EA4" w:rsidRDefault="00FE4EA4" w:rsidP="00A225BD">
      <w:pPr>
        <w:spacing w:after="240" w:line="240" w:lineRule="auto"/>
        <w:jc w:val="both"/>
        <w:rPr>
          <w:rFonts w:ascii="Times New Roman" w:eastAsia="Times New Roman" w:hAnsi="Times New Roman" w:cs="Times New Roman"/>
          <w:sz w:val="24"/>
          <w:szCs w:val="24"/>
        </w:rPr>
      </w:pPr>
      <w:r w:rsidRPr="00FE4EA4">
        <w:rPr>
          <w:rFonts w:ascii="Times New Roman" w:eastAsia="Times New Roman" w:hAnsi="Times New Roman" w:cs="Times New Roman"/>
          <w:sz w:val="24"/>
          <w:szCs w:val="24"/>
        </w:rPr>
        <w:t>Before being examined using the Statistical Package for the Social Sciences (SPSS) version 29.0, the quantitative data was carefully cleaned, arranged, and coded. To show how various research aspects relate to one another, descr</w:t>
      </w:r>
      <w:r>
        <w:rPr>
          <w:rFonts w:ascii="Times New Roman" w:eastAsia="Times New Roman" w:hAnsi="Times New Roman" w:cs="Times New Roman"/>
          <w:sz w:val="24"/>
          <w:szCs w:val="24"/>
        </w:rPr>
        <w:t>iptive statistics such as frequencies</w:t>
      </w:r>
      <w:r w:rsidRPr="00FE4EA4">
        <w:rPr>
          <w:rFonts w:ascii="Times New Roman" w:eastAsia="Times New Roman" w:hAnsi="Times New Roman" w:cs="Times New Roman"/>
          <w:sz w:val="24"/>
          <w:szCs w:val="24"/>
        </w:rPr>
        <w:t>, percentages, means, and standard deviations were used. Inferential statistics were also performed, including multilinear regression a</w:t>
      </w:r>
      <w:r>
        <w:rPr>
          <w:rFonts w:ascii="Times New Roman" w:eastAsia="Times New Roman" w:hAnsi="Times New Roman" w:cs="Times New Roman"/>
          <w:sz w:val="24"/>
          <w:szCs w:val="24"/>
        </w:rPr>
        <w:t>nalysis. A significance level was set at a p-value of less or equal to</w:t>
      </w:r>
      <w:r w:rsidRPr="00FE4EA4">
        <w:rPr>
          <w:rFonts w:ascii="Times New Roman" w:eastAsia="Times New Roman" w:hAnsi="Times New Roman" w:cs="Times New Roman"/>
          <w:sz w:val="24"/>
          <w:szCs w:val="24"/>
        </w:rPr>
        <w:t xml:space="preserve"> 0.05. A thorough grasp of the relationships between the variables in the research framework was made possible by this method, which also provided insights into possible trends, patterns, and causal relationships. </w:t>
      </w:r>
    </w:p>
    <w:p w14:paraId="5E0CB2C3" w14:textId="77777777" w:rsidR="00FE4EA4" w:rsidRDefault="00FE4EA4" w:rsidP="00A225BD">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Ethical consideration </w:t>
      </w:r>
    </w:p>
    <w:p w14:paraId="2832DA6D" w14:textId="77777777" w:rsidR="00FE4EA4" w:rsidRDefault="00FE4EA4" w:rsidP="00A225BD">
      <w:pPr>
        <w:spacing w:after="0" w:line="240" w:lineRule="auto"/>
        <w:jc w:val="both"/>
        <w:rPr>
          <w:rFonts w:ascii="Times New Roman" w:eastAsia="Times New Roman" w:hAnsi="Times New Roman" w:cs="Times New Roman"/>
          <w:sz w:val="24"/>
          <w:szCs w:val="24"/>
        </w:rPr>
      </w:pPr>
      <w:r w:rsidRPr="00FE4EA4">
        <w:rPr>
          <w:rFonts w:ascii="Times New Roman" w:eastAsia="Times New Roman" w:hAnsi="Times New Roman" w:cs="Times New Roman"/>
          <w:sz w:val="24"/>
          <w:szCs w:val="24"/>
        </w:rPr>
        <w:t xml:space="preserve">The Institutional Scientific, Research Ethical Review Committee (ISREC) at Mount Kenya University was consulted carefully before the study started. Furthermore, to support the study on </w:t>
      </w:r>
      <w:r w:rsidRPr="00FE4EA4">
        <w:rPr>
          <w:rFonts w:ascii="Times New Roman" w:eastAsia="Times New Roman" w:hAnsi="Times New Roman" w:cs="Times New Roman"/>
          <w:sz w:val="24"/>
          <w:szCs w:val="24"/>
        </w:rPr>
        <w:lastRenderedPageBreak/>
        <w:t xml:space="preserve">behalf of the government, approval from the Abyei State/National Ministry of Health was required. Explicit informed consent was diligently obtained from each participant </w:t>
      </w:r>
      <w:r>
        <w:rPr>
          <w:rFonts w:ascii="Times New Roman" w:eastAsia="Times New Roman" w:hAnsi="Times New Roman" w:cs="Times New Roman"/>
          <w:sz w:val="24"/>
          <w:szCs w:val="24"/>
        </w:rPr>
        <w:t>before</w:t>
      </w:r>
      <w:r w:rsidRPr="00FE4EA4">
        <w:rPr>
          <w:rFonts w:ascii="Times New Roman" w:eastAsia="Times New Roman" w:hAnsi="Times New Roman" w:cs="Times New Roman"/>
          <w:sz w:val="24"/>
          <w:szCs w:val="24"/>
        </w:rPr>
        <w:t xml:space="preserve"> participation in the study. </w:t>
      </w:r>
      <w:r>
        <w:t xml:space="preserve"> </w:t>
      </w:r>
      <w:r w:rsidRPr="00FE4EA4">
        <w:rPr>
          <w:rFonts w:ascii="Times New Roman" w:eastAsia="Times New Roman" w:hAnsi="Times New Roman" w:cs="Times New Roman"/>
          <w:sz w:val="24"/>
          <w:szCs w:val="24"/>
        </w:rPr>
        <w:t>It was made clear that participation in the study was completely voluntary and free from any kind of pressure or compulsion. Strict procedures were put in place to protect participant data, guaranteeing the integrity of their privacy and confidentiality. Any personal identifiers were carefully avoided in study documentation or publications, and all collected data was anonymized and stored secure</w:t>
      </w:r>
      <w:r>
        <w:rPr>
          <w:rFonts w:ascii="Times New Roman" w:eastAsia="Times New Roman" w:hAnsi="Times New Roman" w:cs="Times New Roman"/>
          <w:sz w:val="24"/>
          <w:szCs w:val="24"/>
        </w:rPr>
        <w:t xml:space="preserve">ly to prevent unwanted access.  </w:t>
      </w:r>
      <w:r w:rsidRPr="00FE4EA4">
        <w:rPr>
          <w:rFonts w:ascii="Times New Roman" w:eastAsia="Times New Roman" w:hAnsi="Times New Roman" w:cs="Times New Roman"/>
          <w:sz w:val="24"/>
          <w:szCs w:val="24"/>
        </w:rPr>
        <w:t xml:space="preserve">At the same time, careful measures were taken to reduce any possible risks to the participants, guaranteeing that the study procedures were safe and did not cause them any unnecessary pain or injury. </w:t>
      </w:r>
      <w:r>
        <w:rPr>
          <w:rFonts w:ascii="Times New Roman" w:eastAsia="Times New Roman" w:hAnsi="Times New Roman" w:cs="Times New Roman"/>
          <w:sz w:val="24"/>
          <w:szCs w:val="24"/>
        </w:rPr>
        <w:t>T</w:t>
      </w:r>
      <w:r w:rsidRPr="00FE4EA4">
        <w:rPr>
          <w:rFonts w:ascii="Times New Roman" w:eastAsia="Times New Roman" w:hAnsi="Times New Roman" w:cs="Times New Roman"/>
          <w:sz w:val="24"/>
          <w:szCs w:val="24"/>
        </w:rPr>
        <w:t xml:space="preserve">o prevent the spread of any infectious agents, strict infection control procedures were also strictly followed when drawing blood samples. </w:t>
      </w:r>
    </w:p>
    <w:p w14:paraId="41F25D8A" w14:textId="77777777" w:rsidR="00A225BD" w:rsidRDefault="00A225BD" w:rsidP="00A225BD">
      <w:pPr>
        <w:spacing w:after="0" w:line="240" w:lineRule="auto"/>
        <w:jc w:val="both"/>
        <w:rPr>
          <w:rFonts w:ascii="Times New Roman" w:eastAsia="Times New Roman" w:hAnsi="Times New Roman" w:cs="Times New Roman"/>
          <w:sz w:val="24"/>
          <w:szCs w:val="24"/>
        </w:rPr>
      </w:pPr>
    </w:p>
    <w:p w14:paraId="09FB5E17" w14:textId="77777777" w:rsidR="00A225BD" w:rsidRDefault="00A225BD" w:rsidP="00A225BD">
      <w:pPr>
        <w:spacing w:after="0" w:line="240" w:lineRule="auto"/>
        <w:jc w:val="both"/>
        <w:rPr>
          <w:rFonts w:ascii="Times New Roman" w:eastAsia="Times New Roman" w:hAnsi="Times New Roman" w:cs="Times New Roman"/>
          <w:sz w:val="24"/>
          <w:szCs w:val="24"/>
        </w:rPr>
      </w:pPr>
    </w:p>
    <w:p w14:paraId="0B553B80" w14:textId="77777777" w:rsidR="00A225BD" w:rsidRDefault="00A225BD" w:rsidP="00A225BD">
      <w:pPr>
        <w:spacing w:after="0" w:line="240" w:lineRule="auto"/>
        <w:jc w:val="both"/>
        <w:rPr>
          <w:rFonts w:ascii="Times New Roman" w:eastAsia="Times New Roman" w:hAnsi="Times New Roman" w:cs="Times New Roman"/>
          <w:sz w:val="24"/>
          <w:szCs w:val="24"/>
        </w:rPr>
      </w:pPr>
    </w:p>
    <w:p w14:paraId="5FD8583E" w14:textId="77777777" w:rsidR="00A225BD" w:rsidRDefault="00A225BD" w:rsidP="00A225BD">
      <w:pPr>
        <w:spacing w:after="0" w:line="240" w:lineRule="auto"/>
        <w:jc w:val="both"/>
        <w:rPr>
          <w:rFonts w:ascii="Times New Roman" w:eastAsia="Times New Roman" w:hAnsi="Times New Roman" w:cs="Times New Roman"/>
          <w:sz w:val="24"/>
          <w:szCs w:val="24"/>
        </w:rPr>
      </w:pPr>
    </w:p>
    <w:p w14:paraId="09BE2BF4" w14:textId="77777777" w:rsidR="00A225BD" w:rsidRDefault="00A225BD" w:rsidP="00A225BD">
      <w:pPr>
        <w:spacing w:after="0" w:line="240" w:lineRule="auto"/>
        <w:jc w:val="both"/>
        <w:rPr>
          <w:rFonts w:ascii="Times New Roman" w:eastAsia="Times New Roman" w:hAnsi="Times New Roman" w:cs="Times New Roman"/>
          <w:sz w:val="24"/>
          <w:szCs w:val="24"/>
        </w:rPr>
      </w:pPr>
    </w:p>
    <w:p w14:paraId="5FA8D28E" w14:textId="77777777" w:rsidR="00A225BD" w:rsidRDefault="00A225BD" w:rsidP="00A225BD">
      <w:pPr>
        <w:spacing w:after="0" w:line="240" w:lineRule="auto"/>
        <w:jc w:val="both"/>
        <w:rPr>
          <w:rFonts w:ascii="Times New Roman" w:eastAsia="Times New Roman" w:hAnsi="Times New Roman" w:cs="Times New Roman"/>
          <w:sz w:val="24"/>
          <w:szCs w:val="24"/>
        </w:rPr>
      </w:pPr>
    </w:p>
    <w:p w14:paraId="6AA28426" w14:textId="77777777" w:rsidR="00A225BD" w:rsidRDefault="00A225BD" w:rsidP="00A225BD">
      <w:pPr>
        <w:spacing w:after="0" w:line="240" w:lineRule="auto"/>
        <w:jc w:val="both"/>
        <w:rPr>
          <w:rFonts w:ascii="Times New Roman" w:eastAsia="Times New Roman" w:hAnsi="Times New Roman" w:cs="Times New Roman"/>
          <w:sz w:val="24"/>
          <w:szCs w:val="24"/>
        </w:rPr>
      </w:pPr>
    </w:p>
    <w:p w14:paraId="77B49B97" w14:textId="77777777" w:rsidR="00A225BD" w:rsidRDefault="00A225BD" w:rsidP="00A225BD">
      <w:pPr>
        <w:spacing w:after="0" w:line="240" w:lineRule="auto"/>
        <w:jc w:val="both"/>
        <w:rPr>
          <w:rFonts w:ascii="Times New Roman" w:eastAsia="Times New Roman" w:hAnsi="Times New Roman" w:cs="Times New Roman"/>
          <w:sz w:val="24"/>
          <w:szCs w:val="24"/>
        </w:rPr>
      </w:pPr>
    </w:p>
    <w:p w14:paraId="66C1DE5F" w14:textId="77777777" w:rsidR="00A225BD" w:rsidRDefault="00A225BD" w:rsidP="00A225BD">
      <w:pPr>
        <w:spacing w:after="0" w:line="240" w:lineRule="auto"/>
        <w:jc w:val="both"/>
        <w:rPr>
          <w:rFonts w:ascii="Times New Roman" w:eastAsia="Times New Roman" w:hAnsi="Times New Roman" w:cs="Times New Roman"/>
          <w:sz w:val="24"/>
          <w:szCs w:val="24"/>
        </w:rPr>
      </w:pPr>
    </w:p>
    <w:p w14:paraId="367CDFB8" w14:textId="77777777" w:rsidR="00A225BD" w:rsidRDefault="00A225BD" w:rsidP="00A225BD">
      <w:pPr>
        <w:spacing w:after="0" w:line="240" w:lineRule="auto"/>
        <w:jc w:val="both"/>
        <w:rPr>
          <w:rFonts w:ascii="Times New Roman" w:eastAsia="Times New Roman" w:hAnsi="Times New Roman" w:cs="Times New Roman"/>
          <w:sz w:val="24"/>
          <w:szCs w:val="24"/>
        </w:rPr>
      </w:pPr>
    </w:p>
    <w:p w14:paraId="6F9F5D53" w14:textId="77777777" w:rsidR="00A225BD" w:rsidRDefault="00A225BD" w:rsidP="00A225BD">
      <w:pPr>
        <w:spacing w:after="0" w:line="240" w:lineRule="auto"/>
        <w:jc w:val="both"/>
        <w:rPr>
          <w:rFonts w:ascii="Times New Roman" w:eastAsia="Times New Roman" w:hAnsi="Times New Roman" w:cs="Times New Roman"/>
          <w:sz w:val="24"/>
          <w:szCs w:val="24"/>
        </w:rPr>
      </w:pPr>
    </w:p>
    <w:p w14:paraId="4FCC1DEE" w14:textId="77777777" w:rsidR="00A225BD" w:rsidRDefault="00A225BD" w:rsidP="00A225BD">
      <w:pPr>
        <w:spacing w:after="0" w:line="240" w:lineRule="auto"/>
        <w:jc w:val="both"/>
        <w:rPr>
          <w:rFonts w:ascii="Times New Roman" w:eastAsia="Times New Roman" w:hAnsi="Times New Roman" w:cs="Times New Roman"/>
          <w:sz w:val="24"/>
          <w:szCs w:val="24"/>
        </w:rPr>
      </w:pPr>
    </w:p>
    <w:p w14:paraId="64A51923" w14:textId="77777777" w:rsidR="00A225BD" w:rsidRDefault="00A225BD" w:rsidP="00A225BD">
      <w:pPr>
        <w:spacing w:after="0" w:line="240" w:lineRule="auto"/>
        <w:jc w:val="both"/>
        <w:rPr>
          <w:rFonts w:ascii="Times New Roman" w:eastAsia="Times New Roman" w:hAnsi="Times New Roman" w:cs="Times New Roman"/>
          <w:sz w:val="24"/>
          <w:szCs w:val="24"/>
        </w:rPr>
      </w:pPr>
    </w:p>
    <w:p w14:paraId="2CC24036" w14:textId="77777777" w:rsidR="00A225BD" w:rsidRDefault="00A225BD" w:rsidP="00A225BD">
      <w:pPr>
        <w:spacing w:after="0" w:line="240" w:lineRule="auto"/>
        <w:jc w:val="both"/>
        <w:rPr>
          <w:rFonts w:ascii="Times New Roman" w:eastAsia="Times New Roman" w:hAnsi="Times New Roman" w:cs="Times New Roman"/>
          <w:sz w:val="24"/>
          <w:szCs w:val="24"/>
        </w:rPr>
      </w:pPr>
    </w:p>
    <w:p w14:paraId="3326320F" w14:textId="77777777" w:rsidR="00A225BD" w:rsidRDefault="00A225BD" w:rsidP="00A225BD">
      <w:pPr>
        <w:spacing w:after="0" w:line="240" w:lineRule="auto"/>
        <w:jc w:val="both"/>
        <w:rPr>
          <w:rFonts w:ascii="Times New Roman" w:eastAsia="Times New Roman" w:hAnsi="Times New Roman" w:cs="Times New Roman"/>
          <w:sz w:val="24"/>
          <w:szCs w:val="24"/>
        </w:rPr>
      </w:pPr>
    </w:p>
    <w:p w14:paraId="5B5B2624" w14:textId="77777777" w:rsidR="00A225BD" w:rsidRDefault="00A225BD" w:rsidP="00A225BD">
      <w:pPr>
        <w:spacing w:after="0" w:line="240" w:lineRule="auto"/>
        <w:jc w:val="both"/>
        <w:rPr>
          <w:rFonts w:ascii="Times New Roman" w:eastAsia="Times New Roman" w:hAnsi="Times New Roman" w:cs="Times New Roman"/>
          <w:sz w:val="24"/>
          <w:szCs w:val="24"/>
        </w:rPr>
      </w:pPr>
    </w:p>
    <w:p w14:paraId="52D311DD" w14:textId="77777777" w:rsidR="00A225BD" w:rsidRDefault="00A225BD" w:rsidP="00A225BD">
      <w:pPr>
        <w:spacing w:after="0" w:line="240" w:lineRule="auto"/>
        <w:jc w:val="both"/>
        <w:rPr>
          <w:rFonts w:ascii="Times New Roman" w:eastAsia="Times New Roman" w:hAnsi="Times New Roman" w:cs="Times New Roman"/>
          <w:sz w:val="24"/>
          <w:szCs w:val="24"/>
        </w:rPr>
      </w:pPr>
    </w:p>
    <w:p w14:paraId="06611C83" w14:textId="77777777" w:rsidR="00A225BD" w:rsidRDefault="00A225BD" w:rsidP="00A225BD">
      <w:pPr>
        <w:spacing w:after="0" w:line="240" w:lineRule="auto"/>
        <w:jc w:val="both"/>
        <w:rPr>
          <w:rFonts w:ascii="Times New Roman" w:eastAsia="Times New Roman" w:hAnsi="Times New Roman" w:cs="Times New Roman"/>
          <w:sz w:val="24"/>
          <w:szCs w:val="24"/>
        </w:rPr>
      </w:pPr>
    </w:p>
    <w:p w14:paraId="568F7D2B" w14:textId="77777777" w:rsidR="00A225BD" w:rsidRDefault="00A225BD" w:rsidP="00A225BD">
      <w:pPr>
        <w:spacing w:after="0" w:line="240" w:lineRule="auto"/>
        <w:jc w:val="both"/>
        <w:rPr>
          <w:rFonts w:ascii="Times New Roman" w:eastAsia="Times New Roman" w:hAnsi="Times New Roman" w:cs="Times New Roman"/>
          <w:sz w:val="24"/>
          <w:szCs w:val="24"/>
        </w:rPr>
      </w:pPr>
    </w:p>
    <w:p w14:paraId="59C1C192" w14:textId="77777777" w:rsidR="00A225BD" w:rsidRDefault="00A225BD" w:rsidP="00A225BD">
      <w:pPr>
        <w:spacing w:after="0" w:line="240" w:lineRule="auto"/>
        <w:jc w:val="both"/>
        <w:rPr>
          <w:rFonts w:ascii="Times New Roman" w:eastAsia="Times New Roman" w:hAnsi="Times New Roman" w:cs="Times New Roman"/>
          <w:sz w:val="24"/>
          <w:szCs w:val="24"/>
        </w:rPr>
      </w:pPr>
    </w:p>
    <w:p w14:paraId="792BEDE7" w14:textId="77777777" w:rsidR="00A225BD" w:rsidRDefault="00A225BD" w:rsidP="00A225BD">
      <w:pPr>
        <w:spacing w:after="0" w:line="240" w:lineRule="auto"/>
        <w:jc w:val="both"/>
        <w:rPr>
          <w:rFonts w:ascii="Times New Roman" w:eastAsia="Times New Roman" w:hAnsi="Times New Roman" w:cs="Times New Roman"/>
          <w:sz w:val="24"/>
          <w:szCs w:val="24"/>
        </w:rPr>
      </w:pPr>
    </w:p>
    <w:p w14:paraId="2552BE64" w14:textId="77777777" w:rsidR="00A225BD" w:rsidRDefault="00A225BD" w:rsidP="00A225BD">
      <w:pPr>
        <w:spacing w:after="0" w:line="240" w:lineRule="auto"/>
        <w:jc w:val="both"/>
        <w:rPr>
          <w:rFonts w:ascii="Times New Roman" w:eastAsia="Times New Roman" w:hAnsi="Times New Roman" w:cs="Times New Roman"/>
          <w:sz w:val="24"/>
          <w:szCs w:val="24"/>
        </w:rPr>
      </w:pPr>
    </w:p>
    <w:p w14:paraId="725EC563" w14:textId="77777777" w:rsidR="00A225BD" w:rsidRDefault="00A225BD" w:rsidP="00A225BD">
      <w:pPr>
        <w:spacing w:after="0" w:line="240" w:lineRule="auto"/>
        <w:jc w:val="both"/>
        <w:rPr>
          <w:rFonts w:ascii="Times New Roman" w:eastAsia="Times New Roman" w:hAnsi="Times New Roman" w:cs="Times New Roman"/>
          <w:sz w:val="24"/>
          <w:szCs w:val="24"/>
        </w:rPr>
      </w:pPr>
    </w:p>
    <w:p w14:paraId="38C7569C" w14:textId="77777777" w:rsidR="00A225BD" w:rsidRDefault="00A225BD" w:rsidP="00A225BD">
      <w:pPr>
        <w:spacing w:after="0" w:line="240" w:lineRule="auto"/>
        <w:jc w:val="both"/>
        <w:rPr>
          <w:rFonts w:ascii="Times New Roman" w:eastAsia="Times New Roman" w:hAnsi="Times New Roman" w:cs="Times New Roman"/>
          <w:sz w:val="24"/>
          <w:szCs w:val="24"/>
        </w:rPr>
      </w:pPr>
    </w:p>
    <w:p w14:paraId="52526B06" w14:textId="77777777" w:rsidR="00A225BD" w:rsidRPr="00FE4EA4" w:rsidRDefault="00A225BD" w:rsidP="00A225BD">
      <w:pPr>
        <w:spacing w:after="0" w:line="240" w:lineRule="auto"/>
        <w:jc w:val="both"/>
      </w:pPr>
    </w:p>
    <w:p w14:paraId="3EE0A28A" w14:textId="77777777" w:rsidR="00FE4EA4" w:rsidRDefault="00AC6286" w:rsidP="00A225BD">
      <w:pPr>
        <w:spacing w:line="240" w:lineRule="auto"/>
        <w:jc w:val="both"/>
        <w:rPr>
          <w:rFonts w:ascii="Times New Roman" w:hAnsi="Times New Roman" w:cs="Times New Roman"/>
          <w:b/>
          <w:sz w:val="24"/>
          <w:szCs w:val="24"/>
        </w:rPr>
      </w:pPr>
      <w:r w:rsidRPr="00AC6286">
        <w:rPr>
          <w:rFonts w:ascii="Times New Roman" w:hAnsi="Times New Roman" w:cs="Times New Roman"/>
          <w:b/>
          <w:sz w:val="24"/>
          <w:szCs w:val="24"/>
        </w:rPr>
        <w:t>Results</w:t>
      </w:r>
    </w:p>
    <w:p w14:paraId="4AC86E69" w14:textId="77777777" w:rsidR="00AC6286" w:rsidRPr="00AC6286" w:rsidRDefault="00AC6286" w:rsidP="00A225BD">
      <w:pPr>
        <w:spacing w:line="240" w:lineRule="auto"/>
        <w:jc w:val="both"/>
        <w:rPr>
          <w:rFonts w:ascii="Times New Roman" w:hAnsi="Times New Roman" w:cs="Times New Roman"/>
          <w:b/>
          <w:sz w:val="24"/>
          <w:szCs w:val="24"/>
        </w:rPr>
      </w:pPr>
      <w:r w:rsidRPr="00AC6286">
        <w:rPr>
          <w:rFonts w:ascii="Times New Roman" w:eastAsia="WenQuanYi Micro Hei" w:hAnsi="Times New Roman" w:cs="Times New Roman"/>
          <w:b/>
          <w:sz w:val="24"/>
          <w:szCs w:val="24"/>
          <w:shd w:val="clear" w:color="auto" w:fill="FFFFFF"/>
        </w:rPr>
        <w:t>Socio-demographic charac</w:t>
      </w:r>
      <w:r>
        <w:rPr>
          <w:rFonts w:ascii="Times New Roman" w:eastAsia="WenQuanYi Micro Hei" w:hAnsi="Times New Roman" w:cs="Times New Roman"/>
          <w:b/>
          <w:sz w:val="24"/>
          <w:szCs w:val="24"/>
          <w:shd w:val="clear" w:color="auto" w:fill="FFFFFF"/>
        </w:rPr>
        <w:t>teristics of study participants</w:t>
      </w:r>
    </w:p>
    <w:p w14:paraId="064089AA" w14:textId="77777777" w:rsidR="00D40109" w:rsidRPr="00D40109" w:rsidRDefault="00D40109" w:rsidP="00A225BD">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1 below provides the social demographic characteristics of the study respondents. </w:t>
      </w:r>
      <w:r w:rsidRPr="00D40109">
        <w:rPr>
          <w:rFonts w:ascii="Times New Roman" w:eastAsia="Times New Roman" w:hAnsi="Times New Roman" w:cs="Times New Roman"/>
          <w:sz w:val="24"/>
          <w:szCs w:val="24"/>
        </w:rPr>
        <w:t>A third (30.1%) of study participants were between the ages of 26 and 30, 24.9% were over 30, and 45% were between the ages of 15 and 25. Just 12.6% of respondents had completed secondary school, while more than half (52.</w:t>
      </w:r>
      <w:r>
        <w:rPr>
          <w:rFonts w:ascii="Times New Roman" w:eastAsia="Times New Roman" w:hAnsi="Times New Roman" w:cs="Times New Roman"/>
          <w:sz w:val="24"/>
          <w:szCs w:val="24"/>
        </w:rPr>
        <w:t xml:space="preserve">1%) had never attended school. </w:t>
      </w:r>
      <w:r w:rsidRPr="00D40109">
        <w:rPr>
          <w:rFonts w:ascii="Times New Roman" w:eastAsia="Times New Roman" w:hAnsi="Times New Roman" w:cs="Times New Roman"/>
          <w:sz w:val="24"/>
          <w:szCs w:val="24"/>
        </w:rPr>
        <w:t xml:space="preserve">According to marital status, the majority of the mothers were in monogamous marriages (46.9%), polygamy was 43.7%, which was somewhat close to the study population's monogamous rate, and the lowest percentage of participants were unmarried (9.4%). Regarding employment status, only 36.4% of respondents were employed, while 53.1% of respondents were unemployed. In terms of income, a sizable </w:t>
      </w:r>
      <w:r w:rsidRPr="00D40109">
        <w:rPr>
          <w:rFonts w:ascii="Times New Roman" w:eastAsia="Times New Roman" w:hAnsi="Times New Roman" w:cs="Times New Roman"/>
          <w:sz w:val="24"/>
          <w:szCs w:val="24"/>
        </w:rPr>
        <w:lastRenderedPageBreak/>
        <w:t xml:space="preserve">fraction made over 20,000 South Sudanese pounds. In terms of gestational age, the majority of women (59.4%) were multipara, and all were in the third trimester. The majority of mothers (65.1%) have working husbands, while 34.9% have non-working husbands. </w:t>
      </w:r>
    </w:p>
    <w:p w14:paraId="74EDF83A" w14:textId="77777777" w:rsidR="00AC6286" w:rsidRDefault="00AC6286" w:rsidP="00FE4EA4">
      <w:pPr>
        <w:spacing w:line="360" w:lineRule="auto"/>
        <w:jc w:val="both"/>
        <w:rPr>
          <w:rFonts w:ascii="Times New Roman" w:hAnsi="Times New Roman" w:cs="Times New Roman"/>
          <w:sz w:val="24"/>
          <w:szCs w:val="24"/>
        </w:rPr>
      </w:pPr>
    </w:p>
    <w:p w14:paraId="6858AF1F" w14:textId="77777777" w:rsidR="00AC6286" w:rsidRDefault="00AC6286" w:rsidP="00FE4EA4">
      <w:pPr>
        <w:spacing w:line="360" w:lineRule="auto"/>
        <w:jc w:val="both"/>
        <w:rPr>
          <w:rFonts w:ascii="Times New Roman" w:hAnsi="Times New Roman" w:cs="Times New Roman"/>
          <w:sz w:val="24"/>
          <w:szCs w:val="24"/>
        </w:rPr>
      </w:pPr>
    </w:p>
    <w:p w14:paraId="2D432163" w14:textId="77777777" w:rsidR="00AC6286" w:rsidRDefault="00AC6286" w:rsidP="00FE4EA4">
      <w:pPr>
        <w:spacing w:line="360" w:lineRule="auto"/>
        <w:jc w:val="both"/>
        <w:rPr>
          <w:rFonts w:ascii="Times New Roman" w:hAnsi="Times New Roman" w:cs="Times New Roman"/>
          <w:sz w:val="24"/>
          <w:szCs w:val="24"/>
        </w:rPr>
      </w:pPr>
    </w:p>
    <w:p w14:paraId="0364A6BD" w14:textId="77777777" w:rsidR="00AC6286" w:rsidRDefault="00AC6286" w:rsidP="00FE4EA4">
      <w:pPr>
        <w:spacing w:line="360" w:lineRule="auto"/>
        <w:jc w:val="both"/>
        <w:rPr>
          <w:rFonts w:ascii="Times New Roman" w:hAnsi="Times New Roman" w:cs="Times New Roman"/>
          <w:sz w:val="24"/>
          <w:szCs w:val="24"/>
        </w:rPr>
      </w:pPr>
    </w:p>
    <w:p w14:paraId="475D56FC" w14:textId="77777777" w:rsidR="00AC6286" w:rsidRDefault="00AC6286" w:rsidP="00FE4EA4">
      <w:pPr>
        <w:spacing w:line="360" w:lineRule="auto"/>
        <w:jc w:val="both"/>
        <w:rPr>
          <w:rFonts w:ascii="Times New Roman" w:hAnsi="Times New Roman" w:cs="Times New Roman"/>
          <w:sz w:val="24"/>
          <w:szCs w:val="24"/>
        </w:rPr>
      </w:pPr>
    </w:p>
    <w:p w14:paraId="62DECF78" w14:textId="77777777" w:rsidR="00AC6286" w:rsidRDefault="00AC6286" w:rsidP="00FE4EA4">
      <w:pPr>
        <w:spacing w:line="360" w:lineRule="auto"/>
        <w:jc w:val="both"/>
        <w:rPr>
          <w:rFonts w:ascii="Times New Roman" w:hAnsi="Times New Roman" w:cs="Times New Roman"/>
          <w:sz w:val="24"/>
          <w:szCs w:val="24"/>
        </w:rPr>
      </w:pPr>
    </w:p>
    <w:p w14:paraId="18CA2B34" w14:textId="77777777" w:rsidR="00AC6286" w:rsidRDefault="00AC6286" w:rsidP="00FE4EA4">
      <w:pPr>
        <w:spacing w:line="360" w:lineRule="auto"/>
        <w:jc w:val="both"/>
        <w:rPr>
          <w:rFonts w:ascii="Times New Roman" w:hAnsi="Times New Roman" w:cs="Times New Roman"/>
          <w:sz w:val="24"/>
          <w:szCs w:val="24"/>
        </w:rPr>
      </w:pPr>
    </w:p>
    <w:p w14:paraId="1EE81FFE" w14:textId="77777777" w:rsidR="00AC6286" w:rsidRDefault="00AC6286" w:rsidP="00FE4EA4">
      <w:pPr>
        <w:spacing w:line="360" w:lineRule="auto"/>
        <w:jc w:val="both"/>
        <w:rPr>
          <w:rFonts w:ascii="Times New Roman" w:hAnsi="Times New Roman" w:cs="Times New Roman"/>
          <w:sz w:val="24"/>
          <w:szCs w:val="24"/>
        </w:rPr>
      </w:pPr>
    </w:p>
    <w:p w14:paraId="4A200C4B" w14:textId="77777777" w:rsidR="00AC6286" w:rsidRDefault="00AC6286" w:rsidP="00FE4EA4">
      <w:pPr>
        <w:spacing w:line="360" w:lineRule="auto"/>
        <w:jc w:val="both"/>
        <w:rPr>
          <w:rFonts w:ascii="Times New Roman" w:hAnsi="Times New Roman" w:cs="Times New Roman"/>
          <w:sz w:val="24"/>
          <w:szCs w:val="24"/>
        </w:rPr>
      </w:pPr>
    </w:p>
    <w:p w14:paraId="4A847BDA" w14:textId="77777777" w:rsidR="00AC6286" w:rsidRDefault="00AC6286" w:rsidP="00FE4EA4">
      <w:pPr>
        <w:spacing w:line="360" w:lineRule="auto"/>
        <w:jc w:val="both"/>
        <w:rPr>
          <w:rFonts w:ascii="Times New Roman" w:hAnsi="Times New Roman" w:cs="Times New Roman"/>
          <w:sz w:val="24"/>
          <w:szCs w:val="24"/>
        </w:rPr>
      </w:pPr>
    </w:p>
    <w:p w14:paraId="57903588" w14:textId="77777777" w:rsidR="00AC6286" w:rsidRDefault="00AC6286" w:rsidP="00FE4EA4">
      <w:pPr>
        <w:spacing w:line="360" w:lineRule="auto"/>
        <w:jc w:val="both"/>
        <w:rPr>
          <w:rFonts w:ascii="Times New Roman" w:hAnsi="Times New Roman" w:cs="Times New Roman"/>
          <w:sz w:val="24"/>
          <w:szCs w:val="24"/>
        </w:rPr>
      </w:pPr>
    </w:p>
    <w:p w14:paraId="52628C5B" w14:textId="77777777" w:rsidR="00AC6286" w:rsidRDefault="00AC6286" w:rsidP="00FE4EA4">
      <w:pPr>
        <w:spacing w:line="360" w:lineRule="auto"/>
        <w:jc w:val="both"/>
        <w:rPr>
          <w:rFonts w:ascii="Times New Roman" w:hAnsi="Times New Roman" w:cs="Times New Roman"/>
          <w:sz w:val="24"/>
          <w:szCs w:val="24"/>
        </w:rPr>
      </w:pPr>
    </w:p>
    <w:p w14:paraId="29AF52C1" w14:textId="77777777" w:rsidR="00A225BD" w:rsidRDefault="00A225BD" w:rsidP="00FE4EA4">
      <w:pPr>
        <w:spacing w:line="360" w:lineRule="auto"/>
        <w:jc w:val="both"/>
        <w:rPr>
          <w:rFonts w:ascii="Times New Roman" w:hAnsi="Times New Roman" w:cs="Times New Roman"/>
          <w:sz w:val="24"/>
          <w:szCs w:val="24"/>
        </w:rPr>
      </w:pPr>
    </w:p>
    <w:p w14:paraId="46068BD5" w14:textId="77777777" w:rsidR="002A016F" w:rsidRDefault="002A016F" w:rsidP="00FE4EA4">
      <w:pPr>
        <w:spacing w:line="360" w:lineRule="auto"/>
        <w:jc w:val="both"/>
        <w:rPr>
          <w:rFonts w:ascii="Times New Roman" w:hAnsi="Times New Roman" w:cs="Times New Roman"/>
          <w:sz w:val="24"/>
          <w:szCs w:val="24"/>
        </w:rPr>
      </w:pPr>
    </w:p>
    <w:p w14:paraId="042F3C6E" w14:textId="77777777" w:rsidR="006C5EB3" w:rsidRDefault="006C5EB3" w:rsidP="00FE4EA4">
      <w:pPr>
        <w:spacing w:line="360" w:lineRule="auto"/>
        <w:jc w:val="both"/>
        <w:rPr>
          <w:rFonts w:ascii="Times New Roman" w:hAnsi="Times New Roman" w:cs="Times New Roman"/>
          <w:sz w:val="24"/>
          <w:szCs w:val="24"/>
        </w:rPr>
      </w:pPr>
    </w:p>
    <w:p w14:paraId="232DF778" w14:textId="77777777" w:rsidR="00D40109" w:rsidRPr="00D40109" w:rsidRDefault="00D40109" w:rsidP="00A225BD">
      <w:pPr>
        <w:spacing w:line="240" w:lineRule="auto"/>
        <w:rPr>
          <w:rFonts w:ascii="Times New Roman" w:hAnsi="Times New Roman" w:cs="Times New Roman"/>
          <w:b/>
          <w:sz w:val="24"/>
          <w:szCs w:val="24"/>
        </w:rPr>
      </w:pPr>
      <w:r w:rsidRPr="00D40109">
        <w:rPr>
          <w:rFonts w:ascii="Times New Roman" w:hAnsi="Times New Roman" w:cs="Times New Roman"/>
          <w:b/>
          <w:sz w:val="24"/>
          <w:szCs w:val="24"/>
        </w:rPr>
        <w:t xml:space="preserve">Seroprevalence of Hepatitis B among Pregnant Mothers </w:t>
      </w:r>
    </w:p>
    <w:p w14:paraId="357B7037" w14:textId="77777777" w:rsidR="00D40109" w:rsidRPr="00D40109" w:rsidRDefault="00D40109" w:rsidP="00A225BD">
      <w:pPr>
        <w:spacing w:after="0" w:line="240" w:lineRule="auto"/>
        <w:jc w:val="both"/>
        <w:rPr>
          <w:rFonts w:ascii="Times New Roman" w:eastAsia="Times New Roman" w:hAnsi="Times New Roman" w:cs="Times New Roman"/>
          <w:sz w:val="24"/>
          <w:szCs w:val="24"/>
        </w:rPr>
      </w:pPr>
      <w:r w:rsidRPr="00D40109">
        <w:rPr>
          <w:rFonts w:ascii="Times New Roman" w:eastAsia="Times New Roman" w:hAnsi="Times New Roman" w:cs="Times New Roman"/>
          <w:sz w:val="24"/>
          <w:szCs w:val="24"/>
        </w:rPr>
        <w:t xml:space="preserve">The seroprevalence among expectant mothers in Abyei, South Sudan, who seek prenatal care is shown in Figure 1. 81% of research participants (N=73) tested negative for viral hepatitis B, while 19% had a diagnosis. </w:t>
      </w:r>
    </w:p>
    <w:p w14:paraId="161D6C14" w14:textId="77777777" w:rsidR="006C5EB3" w:rsidRDefault="006C5EB3" w:rsidP="00FE4EA4">
      <w:pPr>
        <w:spacing w:line="360" w:lineRule="auto"/>
        <w:jc w:val="both"/>
        <w:rPr>
          <w:rFonts w:ascii="Times New Roman" w:hAnsi="Times New Roman" w:cs="Times New Roman"/>
          <w:sz w:val="24"/>
          <w:szCs w:val="24"/>
        </w:rPr>
      </w:pPr>
    </w:p>
    <w:p w14:paraId="01C80201" w14:textId="77777777" w:rsidR="002A016F" w:rsidRPr="002A016F" w:rsidRDefault="002A016F" w:rsidP="00A225BD">
      <w:pPr>
        <w:spacing w:line="240" w:lineRule="auto"/>
        <w:jc w:val="both"/>
        <w:rPr>
          <w:rFonts w:ascii="Times New Roman" w:hAnsi="Times New Roman" w:cs="Times New Roman"/>
          <w:b/>
          <w:sz w:val="24"/>
          <w:szCs w:val="24"/>
        </w:rPr>
      </w:pPr>
      <w:r w:rsidRPr="002A016F">
        <w:rPr>
          <w:rFonts w:ascii="Times New Roman" w:hAnsi="Times New Roman" w:cs="Times New Roman"/>
          <w:b/>
          <w:sz w:val="24"/>
          <w:szCs w:val="24"/>
        </w:rPr>
        <w:t xml:space="preserve">Risk factors associated with viral hepatitis B infection among pregnant mothers </w:t>
      </w:r>
    </w:p>
    <w:p w14:paraId="71017F75" w14:textId="77777777" w:rsidR="002A016F" w:rsidRPr="002A016F" w:rsidRDefault="002A016F" w:rsidP="00A225BD">
      <w:pPr>
        <w:spacing w:line="240" w:lineRule="auto"/>
        <w:jc w:val="both"/>
        <w:rPr>
          <w:rFonts w:ascii="Times New Roman" w:hAnsi="Times New Roman" w:cs="Times New Roman"/>
          <w:sz w:val="24"/>
          <w:szCs w:val="24"/>
        </w:rPr>
      </w:pPr>
      <w:r w:rsidRPr="002A016F">
        <w:rPr>
          <w:rFonts w:ascii="Times New Roman" w:hAnsi="Times New Roman" w:cs="Times New Roman"/>
          <w:sz w:val="24"/>
          <w:szCs w:val="24"/>
        </w:rPr>
        <w:t>To determine the risk factors associated with hepatitis B infections,  a chi-square test for independence was first carried out, Age of first sexual life χ</w:t>
      </w:r>
      <w:r w:rsidRPr="002A016F">
        <w:rPr>
          <w:rFonts w:ascii="Times New Roman" w:hAnsi="Times New Roman" w:cs="Times New Roman"/>
          <w:sz w:val="24"/>
          <w:szCs w:val="24"/>
          <w:vertAlign w:val="superscript"/>
        </w:rPr>
        <w:t>2</w:t>
      </w:r>
      <w:r w:rsidRPr="002A016F">
        <w:rPr>
          <w:rFonts w:ascii="Times New Roman" w:hAnsi="Times New Roman" w:cs="Times New Roman"/>
          <w:color w:val="000000"/>
          <w:sz w:val="24"/>
          <w:szCs w:val="24"/>
        </w:rPr>
        <w:t xml:space="preserve"> (</w:t>
      </w:r>
      <w:r w:rsidRPr="002A016F">
        <w:rPr>
          <w:rFonts w:ascii="Times New Roman" w:hAnsi="Times New Roman" w:cs="Times New Roman"/>
          <w:i/>
          <w:iCs/>
          <w:color w:val="000000"/>
          <w:sz w:val="24"/>
          <w:szCs w:val="24"/>
        </w:rPr>
        <w:t>6.1212 (1), p= 0.013)</w:t>
      </w:r>
      <w:r w:rsidRPr="002A016F">
        <w:rPr>
          <w:rFonts w:ascii="Times New Roman" w:hAnsi="Times New Roman" w:cs="Times New Roman"/>
          <w:sz w:val="24"/>
          <w:szCs w:val="24"/>
        </w:rPr>
        <w:t>, having an incident of STI χ</w:t>
      </w:r>
      <w:r w:rsidRPr="002A016F">
        <w:rPr>
          <w:rFonts w:ascii="Times New Roman" w:hAnsi="Times New Roman" w:cs="Times New Roman"/>
          <w:sz w:val="24"/>
          <w:szCs w:val="24"/>
          <w:vertAlign w:val="superscript"/>
        </w:rPr>
        <w:t>2</w:t>
      </w:r>
      <w:r w:rsidRPr="002A016F">
        <w:rPr>
          <w:rFonts w:ascii="Times New Roman" w:hAnsi="Times New Roman" w:cs="Times New Roman"/>
          <w:color w:val="000000"/>
          <w:sz w:val="24"/>
          <w:szCs w:val="24"/>
        </w:rPr>
        <w:t xml:space="preserve"> (154.6550, (df=2), </w:t>
      </w:r>
      <w:r w:rsidRPr="002A016F">
        <w:rPr>
          <w:rFonts w:ascii="Times New Roman" w:hAnsi="Times New Roman" w:cs="Times New Roman"/>
          <w:i/>
          <w:iCs/>
          <w:color w:val="000000"/>
          <w:sz w:val="24"/>
          <w:szCs w:val="24"/>
        </w:rPr>
        <w:t>p = 0.000)</w:t>
      </w:r>
      <w:r w:rsidRPr="002A016F">
        <w:rPr>
          <w:rFonts w:ascii="Times New Roman" w:hAnsi="Times New Roman" w:cs="Times New Roman"/>
          <w:sz w:val="24"/>
          <w:szCs w:val="24"/>
        </w:rPr>
        <w:t>, use of IV drugs χ</w:t>
      </w:r>
      <w:r w:rsidRPr="002A016F">
        <w:rPr>
          <w:rFonts w:ascii="Times New Roman" w:hAnsi="Times New Roman" w:cs="Times New Roman"/>
          <w:sz w:val="24"/>
          <w:szCs w:val="24"/>
          <w:vertAlign w:val="superscript"/>
        </w:rPr>
        <w:t>2</w:t>
      </w:r>
      <w:r w:rsidRPr="002A016F">
        <w:rPr>
          <w:rFonts w:ascii="Times New Roman" w:hAnsi="Times New Roman" w:cs="Times New Roman"/>
          <w:color w:val="000000"/>
          <w:sz w:val="24"/>
          <w:szCs w:val="24"/>
        </w:rPr>
        <w:t xml:space="preserve"> (54.7617, (df=1</w:t>
      </w:r>
      <w:r w:rsidRPr="002A016F">
        <w:rPr>
          <w:rFonts w:ascii="Times New Roman" w:hAnsi="Times New Roman" w:cs="Times New Roman"/>
          <w:i/>
          <w:iCs/>
          <w:color w:val="000000"/>
          <w:sz w:val="24"/>
          <w:szCs w:val="24"/>
        </w:rPr>
        <w:t>) p= 0.000)</w:t>
      </w:r>
      <w:r w:rsidRPr="002A016F">
        <w:rPr>
          <w:rFonts w:ascii="Times New Roman" w:hAnsi="Times New Roman" w:cs="Times New Roman"/>
          <w:sz w:val="24"/>
          <w:szCs w:val="24"/>
        </w:rPr>
        <w:t xml:space="preserve">,  </w:t>
      </w:r>
      <w:r w:rsidRPr="002A016F">
        <w:rPr>
          <w:rFonts w:ascii="Times New Roman" w:hAnsi="Times New Roman" w:cs="Times New Roman"/>
          <w:sz w:val="24"/>
          <w:szCs w:val="24"/>
        </w:rPr>
        <w:lastRenderedPageBreak/>
        <w:t>having a husband living with HBV χ</w:t>
      </w:r>
      <w:r w:rsidRPr="002A016F">
        <w:rPr>
          <w:rFonts w:ascii="Times New Roman" w:hAnsi="Times New Roman" w:cs="Times New Roman"/>
          <w:sz w:val="24"/>
          <w:szCs w:val="24"/>
          <w:vertAlign w:val="superscript"/>
        </w:rPr>
        <w:t>2</w:t>
      </w:r>
      <w:r w:rsidRPr="002A016F">
        <w:rPr>
          <w:rFonts w:ascii="Times New Roman" w:hAnsi="Times New Roman" w:cs="Times New Roman"/>
          <w:sz w:val="24"/>
          <w:szCs w:val="24"/>
        </w:rPr>
        <w:t>(</w:t>
      </w:r>
      <w:r w:rsidRPr="002A016F">
        <w:rPr>
          <w:rFonts w:ascii="Times New Roman" w:hAnsi="Times New Roman" w:cs="Times New Roman"/>
          <w:color w:val="000000"/>
          <w:sz w:val="24"/>
          <w:szCs w:val="24"/>
        </w:rPr>
        <w:t xml:space="preserve">42.545,7 (df=1) </w:t>
      </w:r>
      <w:r w:rsidRPr="002A016F">
        <w:rPr>
          <w:rFonts w:ascii="Times New Roman" w:hAnsi="Times New Roman" w:cs="Times New Roman"/>
          <w:i/>
          <w:iCs/>
          <w:color w:val="000000"/>
          <w:sz w:val="24"/>
          <w:szCs w:val="24"/>
        </w:rPr>
        <w:t xml:space="preserve">p = 0.000), </w:t>
      </w:r>
      <w:r w:rsidRPr="002A016F">
        <w:rPr>
          <w:rFonts w:ascii="Times New Roman" w:hAnsi="Times New Roman" w:cs="Times New Roman"/>
          <w:sz w:val="24"/>
          <w:szCs w:val="24"/>
        </w:rPr>
        <w:t>and piercing nose or ear χ</w:t>
      </w:r>
      <w:r w:rsidRPr="002A016F">
        <w:rPr>
          <w:rFonts w:ascii="Times New Roman" w:hAnsi="Times New Roman" w:cs="Times New Roman"/>
          <w:sz w:val="24"/>
          <w:szCs w:val="24"/>
          <w:vertAlign w:val="superscript"/>
        </w:rPr>
        <w:t>2</w:t>
      </w:r>
      <w:r w:rsidRPr="002A016F">
        <w:rPr>
          <w:rFonts w:ascii="Times New Roman" w:hAnsi="Times New Roman" w:cs="Times New Roman"/>
          <w:color w:val="000000"/>
          <w:sz w:val="24"/>
          <w:szCs w:val="24"/>
        </w:rPr>
        <w:t xml:space="preserve"> (</w:t>
      </w:r>
      <w:r w:rsidRPr="002A016F">
        <w:rPr>
          <w:rFonts w:ascii="Times New Roman" w:hAnsi="Times New Roman" w:cs="Times New Roman"/>
          <w:i/>
          <w:iCs/>
          <w:color w:val="000000"/>
          <w:sz w:val="24"/>
          <w:szCs w:val="24"/>
        </w:rPr>
        <w:t xml:space="preserve">18.4305 (df=1) p= 0.000) </w:t>
      </w:r>
      <w:r w:rsidRPr="002A016F">
        <w:rPr>
          <w:rFonts w:ascii="Times New Roman" w:hAnsi="Times New Roman" w:cs="Times New Roman"/>
          <w:sz w:val="24"/>
          <w:szCs w:val="24"/>
        </w:rPr>
        <w:t>were significantly associated with Hepatitis B seroprevalence.</w:t>
      </w:r>
    </w:p>
    <w:p w14:paraId="618393F4" w14:textId="77777777" w:rsidR="002A016F" w:rsidRPr="002A016F" w:rsidRDefault="002A016F" w:rsidP="00A225BD">
      <w:pPr>
        <w:spacing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As provided in Table 2 below,</w:t>
      </w:r>
      <w:r w:rsidRPr="002A016F">
        <w:t xml:space="preserve"> </w:t>
      </w:r>
      <w:r w:rsidRPr="002A016F">
        <w:rPr>
          <w:rFonts w:ascii="Times New Roman" w:eastAsia="Times New Roman" w:hAnsi="Times New Roman" w:cs="Times New Roman"/>
          <w:sz w:val="24"/>
          <w:szCs w:val="24"/>
        </w:rPr>
        <w:t>According to logistic regression analysis, respondents with a history of STIs had a 12 times higher chance of testing positive for Hepatitis B than those without a history of STIs (A.O.R=12.848, p=0.0001). Another predictor of a positive hepatitis B test was intravenous medication use. If a pregnant woman takes intravenous medication, her chances of testing positive for Hepatitis B are 2.3 times higher. (p=0.004, A.O. R=2.3)</w:t>
      </w:r>
      <w:r>
        <w:rPr>
          <w:rFonts w:ascii="Times New Roman" w:eastAsia="Times New Roman" w:hAnsi="Times New Roman" w:cs="Times New Roman"/>
          <w:sz w:val="24"/>
          <w:szCs w:val="24"/>
        </w:rPr>
        <w:t>.</w:t>
      </w:r>
    </w:p>
    <w:p w14:paraId="4E4A5A12" w14:textId="77777777" w:rsidR="00434405" w:rsidRPr="00434405" w:rsidRDefault="00434405" w:rsidP="00A225BD">
      <w:pPr>
        <w:spacing w:line="240" w:lineRule="auto"/>
        <w:jc w:val="both"/>
        <w:rPr>
          <w:rFonts w:ascii="Times New Roman" w:hAnsi="Times New Roman" w:cs="Times New Roman"/>
          <w:b/>
          <w:sz w:val="24"/>
          <w:szCs w:val="24"/>
        </w:rPr>
      </w:pPr>
      <w:r w:rsidRPr="00434405">
        <w:rPr>
          <w:rFonts w:ascii="Times New Roman" w:hAnsi="Times New Roman" w:cs="Times New Roman"/>
          <w:b/>
          <w:sz w:val="24"/>
          <w:szCs w:val="24"/>
        </w:rPr>
        <w:t xml:space="preserve">Effectiveness of Hepatitis B vaccine alone in preventing mother-to-child transmission among pregnant mothers </w:t>
      </w:r>
    </w:p>
    <w:p w14:paraId="156E4CFE" w14:textId="77777777" w:rsidR="00434405" w:rsidRPr="00434405" w:rsidRDefault="00434405" w:rsidP="00A225BD">
      <w:pPr>
        <w:spacing w:after="0" w:line="240" w:lineRule="auto"/>
        <w:jc w:val="both"/>
        <w:rPr>
          <w:rFonts w:ascii="Times New Roman" w:eastAsia="Times New Roman" w:hAnsi="Times New Roman" w:cs="Times New Roman"/>
          <w:sz w:val="24"/>
          <w:szCs w:val="24"/>
        </w:rPr>
      </w:pPr>
      <w:r w:rsidRPr="00434405">
        <w:rPr>
          <w:rFonts w:ascii="Times New Roman" w:eastAsia="Times New Roman" w:hAnsi="Times New Roman" w:cs="Times New Roman"/>
          <w:sz w:val="24"/>
          <w:szCs w:val="24"/>
        </w:rPr>
        <w:t>To determine the efficacy of the hepatitis B vaccine in preventing mother-to-child transmission among their infants, a cohort of 47 pregnant mothers' infants who tested positive were monitored. For comparison, a comparable percentage was compared to cases. Two children of cases (mothers with a hepatitis B diagnosis) tested positive among those who did. 2.044 was the risk ratio (C.I. 1.659-2.519). Fisher's exact p-value was 0.4946, indicating no statistical association.</w:t>
      </w:r>
    </w:p>
    <w:p w14:paraId="438C67B1" w14:textId="77777777" w:rsidR="00434405" w:rsidRPr="00434405" w:rsidRDefault="00434405" w:rsidP="00A225BD">
      <w:pPr>
        <w:spacing w:after="0" w:line="240" w:lineRule="auto"/>
        <w:jc w:val="both"/>
        <w:rPr>
          <w:rFonts w:ascii="Times New Roman" w:eastAsia="Times New Roman" w:hAnsi="Times New Roman" w:cs="Times New Roman"/>
          <w:sz w:val="24"/>
          <w:szCs w:val="24"/>
        </w:rPr>
      </w:pPr>
      <w:r w:rsidRPr="00434405">
        <w:rPr>
          <w:rFonts w:ascii="Times New Roman" w:eastAsia="Times New Roman" w:hAnsi="Times New Roman" w:cs="Times New Roman"/>
          <w:sz w:val="24"/>
          <w:szCs w:val="24"/>
        </w:rPr>
        <w:t xml:space="preserve">The results of children who received all recommended vaccinations and the likelihood of testing positive for hepatitis B were monitored in this survey. Hepatitis seroprevalence and child vaccination status did not significantly </w:t>
      </w:r>
      <w:r>
        <w:rPr>
          <w:rFonts w:ascii="Times New Roman" w:eastAsia="Times New Roman" w:hAnsi="Times New Roman" w:cs="Times New Roman"/>
          <w:sz w:val="24"/>
          <w:szCs w:val="24"/>
        </w:rPr>
        <w:t>correlate, as shown in Table 3</w:t>
      </w:r>
      <w:r w:rsidRPr="00434405">
        <w:rPr>
          <w:rFonts w:ascii="Times New Roman" w:eastAsia="Times New Roman" w:hAnsi="Times New Roman" w:cs="Times New Roman"/>
          <w:sz w:val="24"/>
          <w:szCs w:val="24"/>
        </w:rPr>
        <w:t xml:space="preserve"> (RR: 0.719 (C.I. 0.179-2.893) </w:t>
      </w:r>
      <w:r>
        <w:rPr>
          <w:rFonts w:ascii="Times New Roman" w:eastAsia="Times New Roman" w:hAnsi="Times New Roman" w:cs="Times New Roman"/>
          <w:sz w:val="24"/>
          <w:szCs w:val="24"/>
        </w:rPr>
        <w:t xml:space="preserve">Fisher's exact p = 0.5241). </w:t>
      </w:r>
      <w:r w:rsidRPr="00434405">
        <w:rPr>
          <w:rFonts w:ascii="Times New Roman" w:eastAsia="Times New Roman" w:hAnsi="Times New Roman" w:cs="Times New Roman"/>
          <w:sz w:val="24"/>
          <w:szCs w:val="24"/>
        </w:rPr>
        <w:t xml:space="preserve">According to Table 3, all exposed infants are cases because the exposed group's risk of becoming a case is 1. About 48.9% of the infants in the unexposed group are cases, according to the risk of 0.489. The risk difference is 0.511, indicating a 51.1 percentage point absolute difference in risk between the exposed and unexposed groups. </w:t>
      </w:r>
    </w:p>
    <w:p w14:paraId="7C72CCB6" w14:textId="77777777" w:rsidR="00434405" w:rsidRDefault="00434405" w:rsidP="00A225BD">
      <w:pPr>
        <w:spacing w:line="240" w:lineRule="auto"/>
        <w:jc w:val="both"/>
        <w:rPr>
          <w:rFonts w:ascii="Times New Roman" w:eastAsia="Times New Roman" w:hAnsi="Times New Roman" w:cs="Times New Roman"/>
          <w:sz w:val="24"/>
          <w:szCs w:val="24"/>
        </w:rPr>
      </w:pPr>
      <w:r w:rsidRPr="00434405">
        <w:br/>
      </w:r>
      <w:r>
        <w:rPr>
          <w:rFonts w:ascii="Times New Roman" w:eastAsia="Times New Roman" w:hAnsi="Times New Roman" w:cs="Times New Roman"/>
          <w:sz w:val="24"/>
          <w:szCs w:val="24"/>
        </w:rPr>
        <w:t>From this study, the ratio of risk was</w:t>
      </w:r>
      <w:r w:rsidRPr="00434405">
        <w:rPr>
          <w:rFonts w:ascii="Times New Roman" w:eastAsia="Times New Roman" w:hAnsi="Times New Roman" w:cs="Times New Roman"/>
          <w:sz w:val="24"/>
          <w:szCs w:val="24"/>
        </w:rPr>
        <w:t xml:space="preserve"> 2.044. This indicates that the exposed group's risk of the outcome is roughly 2.044 times higher than the unexposed group's risk. Therefore, the risk of the outcome being measured is more than doubled when exposed to hepatitis B. Fraction attributable to the exposure (</w:t>
      </w:r>
      <w:proofErr w:type="spellStart"/>
      <w:r w:rsidRPr="00434405">
        <w:rPr>
          <w:rFonts w:ascii="Times New Roman" w:eastAsia="Times New Roman" w:hAnsi="Times New Roman" w:cs="Times New Roman"/>
          <w:sz w:val="24"/>
          <w:szCs w:val="24"/>
        </w:rPr>
        <w:t>Attr</w:t>
      </w:r>
      <w:proofErr w:type="spellEnd"/>
      <w:r w:rsidRPr="00434405">
        <w:rPr>
          <w:rFonts w:ascii="Times New Roman" w:eastAsia="Times New Roman" w:hAnsi="Times New Roman" w:cs="Times New Roman"/>
          <w:sz w:val="24"/>
          <w:szCs w:val="24"/>
        </w:rPr>
        <w:t>. frac. ex.) This value of 0.511 means that exposure to Hepatitis B accounts for 51.1% of the risk in the exposed group.</w:t>
      </w:r>
      <w:r>
        <w:rPr>
          <w:rFonts w:ascii="Times New Roman" w:eastAsia="Times New Roman" w:hAnsi="Times New Roman" w:cs="Times New Roman"/>
          <w:sz w:val="24"/>
          <w:szCs w:val="24"/>
        </w:rPr>
        <w:t xml:space="preserve"> </w:t>
      </w:r>
      <w:r w:rsidRPr="00434405">
        <w:rPr>
          <w:rFonts w:ascii="Times New Roman" w:eastAsia="Times New Roman" w:hAnsi="Times New Roman" w:cs="Times New Roman"/>
          <w:sz w:val="24"/>
          <w:szCs w:val="24"/>
        </w:rPr>
        <w:t>Attributable Population Fraction (</w:t>
      </w:r>
      <w:proofErr w:type="spellStart"/>
      <w:r w:rsidRPr="00434405">
        <w:rPr>
          <w:rFonts w:ascii="Times New Roman" w:eastAsia="Times New Roman" w:hAnsi="Times New Roman" w:cs="Times New Roman"/>
          <w:sz w:val="24"/>
          <w:szCs w:val="24"/>
        </w:rPr>
        <w:t>Attr</w:t>
      </w:r>
      <w:proofErr w:type="spellEnd"/>
      <w:r w:rsidRPr="00434405">
        <w:rPr>
          <w:rFonts w:ascii="Times New Roman" w:eastAsia="Times New Roman" w:hAnsi="Times New Roman" w:cs="Times New Roman"/>
          <w:sz w:val="24"/>
          <w:szCs w:val="24"/>
        </w:rPr>
        <w:t>. frac. Pop) At 0.022, this value indicates that 2.2% of the population's overall risk (exposed and unexposed) can be attributed to belonging to the exposed group. Interval of 95% Confidence for the Risk Ratio The confidence interval's upper and lower bounds are 0.613 and 0.409, respectively. Due to the small sample size, especially of the exposed group (just two infants), there is a high degree of uncertainty surrounding the risk ratio estimate, as indicated by this wide confidence interval.</w:t>
      </w:r>
    </w:p>
    <w:p w14:paraId="341CF42C" w14:textId="77777777" w:rsidR="00B527FC" w:rsidRPr="00B527FC" w:rsidRDefault="00B527FC" w:rsidP="00B527FC">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w:t>
      </w:r>
    </w:p>
    <w:p w14:paraId="55D01A18" w14:textId="77777777" w:rsidR="00B527FC" w:rsidRPr="00D35876" w:rsidRDefault="00B527FC" w:rsidP="00D35876">
      <w:pPr>
        <w:spacing w:after="0" w:line="240" w:lineRule="auto"/>
        <w:jc w:val="both"/>
        <w:rPr>
          <w:rFonts w:ascii="Times New Roman" w:eastAsia="Times New Roman" w:hAnsi="Times New Roman" w:cs="Times New Roman"/>
          <w:sz w:val="24"/>
          <w:szCs w:val="24"/>
        </w:rPr>
      </w:pPr>
      <w:r w:rsidRPr="00B527FC">
        <w:rPr>
          <w:rFonts w:ascii="Times New Roman" w:eastAsia="Times New Roman" w:hAnsi="Times New Roman" w:cs="Times New Roman"/>
          <w:sz w:val="24"/>
          <w:szCs w:val="24"/>
        </w:rPr>
        <w:t xml:space="preserve">A remarkable seroprevalence rate of 19% </w:t>
      </w:r>
      <w:r>
        <w:rPr>
          <w:rFonts w:ascii="Times New Roman" w:eastAsia="Times New Roman" w:hAnsi="Times New Roman" w:cs="Times New Roman"/>
          <w:sz w:val="24"/>
          <w:szCs w:val="24"/>
        </w:rPr>
        <w:t>was found in this study</w:t>
      </w:r>
      <w:r w:rsidRPr="00B527FC">
        <w:rPr>
          <w:rFonts w:ascii="Times New Roman" w:eastAsia="Times New Roman" w:hAnsi="Times New Roman" w:cs="Times New Roman"/>
          <w:sz w:val="24"/>
          <w:szCs w:val="24"/>
        </w:rPr>
        <w:t>, which highlights the high prevalence of viral hepatitis B among expectant mothers seeking antenatal care. Abyei is classified as a high endemic area for hepatitis B due to this remarkably high rate; regions with a prevalence of 8% or higher are classified as such, while those with a prevalence of 2% or less are classified as low endemic areas</w:t>
      </w:r>
      <w:r>
        <w:rPr>
          <w:rFonts w:ascii="Times New Roman" w:eastAsia="Times New Roman" w:hAnsi="Times New Roman" w:cs="Times New Roman"/>
          <w:sz w:val="24"/>
          <w:szCs w:val="24"/>
        </w:rPr>
        <w:fldChar w:fldCharType="begin" w:fldLock="1"/>
      </w:r>
      <w:r w:rsidR="00A225BD">
        <w:rPr>
          <w:rFonts w:ascii="Times New Roman" w:eastAsia="Times New Roman" w:hAnsi="Times New Roman" w:cs="Times New Roman"/>
          <w:sz w:val="24"/>
          <w:szCs w:val="24"/>
        </w:rPr>
        <w:instrText>ADDIN CSL_CITATION {"citationItems":[{"id":"ITEM-1","itemData":{"author":[{"dropping-particle":"","family":"WHO","given":"","non-dropping-particle":"","parse-names":false,"suffix":""}],"id":"ITEM-1","issued":{"date-parts":[["2022"]]},"title":"91 million Africans infected with Hepatitis B or C","type":"webpage"},"uris":["http://www.mendeley.com/documents/?uuid=68cea824-209a-46c3-b96b-1220920444d0"]}],"mendeley":{"formattedCitation":"(3)","plainTextFormattedCitation":"(3)","previouslyFormattedCitation":"(WHO, 2022)"},"properties":{"noteIndex":0},"schema":"https://github.com/citation-style-language/schema/raw/master/csl-citation.json"}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00A225BD" w:rsidRPr="00A225BD">
        <w:rPr>
          <w:rFonts w:ascii="Times New Roman" w:eastAsia="Times New Roman" w:hAnsi="Times New Roman" w:cs="Times New Roman"/>
          <w:noProof/>
          <w:sz w:val="24"/>
          <w:szCs w:val="24"/>
        </w:rPr>
        <w:t>(3)</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r w:rsidR="00D35876">
        <w:rPr>
          <w:rFonts w:ascii="Times New Roman" w:eastAsia="Times New Roman" w:hAnsi="Times New Roman" w:cs="Times New Roman"/>
          <w:sz w:val="24"/>
          <w:szCs w:val="24"/>
        </w:rPr>
        <w:t xml:space="preserve"> </w:t>
      </w:r>
      <w:r w:rsidRPr="00B527FC">
        <w:rPr>
          <w:rFonts w:ascii="Times New Roman" w:eastAsia="Times New Roman" w:hAnsi="Times New Roman" w:cs="Times New Roman"/>
          <w:sz w:val="24"/>
          <w:szCs w:val="24"/>
        </w:rPr>
        <w:t>A study co</w:t>
      </w:r>
      <w:r>
        <w:rPr>
          <w:rFonts w:ascii="Times New Roman" w:eastAsia="Times New Roman" w:hAnsi="Times New Roman" w:cs="Times New Roman"/>
          <w:sz w:val="24"/>
          <w:szCs w:val="24"/>
        </w:rPr>
        <w:t>nducted in Burkina Faso</w:t>
      </w:r>
      <w:r w:rsidRPr="00B527FC">
        <w:rPr>
          <w:rFonts w:ascii="Times New Roman" w:eastAsia="Times New Roman" w:hAnsi="Times New Roman" w:cs="Times New Roman"/>
          <w:sz w:val="24"/>
          <w:szCs w:val="24"/>
        </w:rPr>
        <w:t xml:space="preserve"> found that the seroprevalence rate among pregnant women was 19.1%, which is marginally higher than the prevalence found </w:t>
      </w:r>
      <w:r>
        <w:rPr>
          <w:rFonts w:ascii="Times New Roman" w:eastAsia="Times New Roman" w:hAnsi="Times New Roman" w:cs="Times New Roman"/>
          <w:sz w:val="24"/>
          <w:szCs w:val="24"/>
        </w:rPr>
        <w:t>in Abyei</w:t>
      </w:r>
      <w:r>
        <w:rPr>
          <w:rFonts w:ascii="Times New Roman" w:eastAsia="Times New Roman" w:hAnsi="Times New Roman" w:cs="Times New Roman"/>
          <w:sz w:val="24"/>
          <w:szCs w:val="24"/>
        </w:rPr>
        <w:fldChar w:fldCharType="begin" w:fldLock="1"/>
      </w:r>
      <w:r w:rsidR="00A225BD">
        <w:rPr>
          <w:rFonts w:ascii="Times New Roman" w:eastAsia="Times New Roman" w:hAnsi="Times New Roman" w:cs="Times New Roman"/>
          <w:sz w:val="24"/>
          <w:szCs w:val="24"/>
        </w:rPr>
        <w:instrText>ADDIN CSL_CITATION {"citationItems":[{"id":"ITEM-1","itemData":{"DOI":"10.1038/s41598-023-32766-3","ISSN":"2045-2322","PMID":"37059812","abstract":"In highly endemic countries for hepatitis B virus (HBV) infection, childhood infection, including mother-to-child transmission (MTCT), represents the primary transmission route. High maternal DNA level (viral load ≥ 200,000&amp;nbsp;IU/mL) is a significant factor for MTCT. We investigated the prevalence of HBsAg, HBeAg, and high HBV DNA among pregnant women in three hospitals in Burkina Faso and assessed the performance of HBeAg to predict high viral load. Consenting pregnant women were interviewed on their sociodemographic characteristics and tested for HBsAg by a rapid diagnostic test, and dried blood spot (DBS) samples were collected for laboratory analyses. Of the 1622 participants, HBsAg prevalence was 6.5% (95% CI, 5.4–7.8%). Among 102 HBsAg-positive pregnant women in DBS samples, HBeAg was positive in 22.6% (95% CI, 14.9–31.9%), and viral load was quantified in 94 cases, with 19.1% having HBV DNA&amp;nbsp;≥&amp;nbsp;200,000 IU/mL. HBV genotypes were identified in 63 samples and predominant genotypes were E (58.7%) and A (36.5%). The sensitivity of HBeAg by using DBS samples to identify high viral load in the 94 cases was 55.6%, and the specificity was 86.8%. These findings highlight the need to implement routine HBV screening and effective MTCT risk assessment for all pregnant women in Burkina Faso to enable early interventions that can effectively reduce MTCT.","author":[{"dropping-particle":"","family":"Ouoba","given":"Serge","non-dropping-particle":"","parse-names":false,"suffix":""},{"dropping-particle":"","family":"Ko","given":"Ko","non-dropping-particle":"","parse-names":false,"suffix":""},{"dropping-particle":"","family":"Lingani","given":"Moussa","non-dropping-particle":"","parse-names":false,"suffix":""},{"dropping-particle":"","family":"Nagashima","given":"Shintaro","non-dropping-particle":"","parse-names":false,"suffix":""},{"dropping-particle":"","family":"Guingané","given":"Alice N.","non-dropping-particle":"","parse-names":false,"suffix":""},{"dropping-particle":"","family":"Bunthen","given":"E.","non-dropping-particle":"","parse-names":false,"suffix":""},{"dropping-particle":"","family":"Hussain","given":"Md Razeen Ashraf","non-dropping-particle":"","parse-names":false,"suffix":""},{"dropping-particle":"","family":"Sugiyama","given":"Aya","non-dropping-particle":"","parse-names":false,"suffix":""},{"dropping-particle":"","family":"Akita","given":"Tomoyuki","non-dropping-particle":"","parse-names":false,"suffix":""},{"dropping-particle":"","family":"Ohisa","given":"Masayuki","non-dropping-particle":"","parse-names":false,"suffix":""},{"dropping-particle":"","family":"Sanou","given":"Moussa Abdel","non-dropping-particle":"","parse-names":false,"suffix":""},{"dropping-particle":"","family":"Traore","given":"Ousmane","non-dropping-particle":"","parse-names":false,"suffix":""},{"dropping-particle":"","family":"Nassa","given":"Job Wilfried","non-dropping-particle":"","parse-names":false,"suffix":""},{"dropping-particle":"","family":"Sanou","given":"Maimouna","non-dropping-particle":"","parse-names":false,"suffix":""},{"dropping-particle":"","family":"Takahashi","given":"Kazuaki","non-dropping-particle":"","parse-names":false,"suffix":""},{"dropping-particle":"","family":"Tinto","given":"Halidou","non-dropping-particle":"","parse-names":false,"suffix":""},{"dropping-particle":"","family":"Tanaka","given":"Junko","non-dropping-particle":"","parse-names":false,"suffix":""}],"container-title":"Scientific Reports 2023 13:1","id":"ITEM-1","issue":"1","issued":{"date-parts":[["2023","4","14"]]},"page":"1-9","publisher":"Nature Publishing Group","title":"Intermediate hepatitis B virus infection prevalence among 1622 pregnant women in rural Burkina Faso and implications for mother-to-child transmission","type":"article-journal","volume":"13"},"uris":["http://www.mendeley.com/documents/?uuid=f890fbac-05b5-3dbc-905a-ecca21eb0213"]}],"mendeley":{"formattedCitation":"(15)","plainTextFormattedCitation":"(15)","previouslyFormattedCitation":"(Ouoba et al., 2023)"},"properties":{"noteIndex":0},"schema":"https://github.com/citation-style-language/schema/raw/master/csl-citation.json"}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00A225BD" w:rsidRPr="00A225BD">
        <w:rPr>
          <w:rFonts w:ascii="Times New Roman" w:eastAsia="Times New Roman" w:hAnsi="Times New Roman" w:cs="Times New Roman"/>
          <w:noProof/>
          <w:sz w:val="24"/>
          <w:szCs w:val="24"/>
        </w:rPr>
        <w:t>(15)</w:t>
      </w:r>
      <w:r>
        <w:rPr>
          <w:rFonts w:ascii="Times New Roman" w:eastAsia="Times New Roman" w:hAnsi="Times New Roman" w:cs="Times New Roman"/>
          <w:sz w:val="24"/>
          <w:szCs w:val="24"/>
        </w:rPr>
        <w:fldChar w:fldCharType="end"/>
      </w:r>
      <w:r w:rsidRPr="00B527FC">
        <w:rPr>
          <w:rFonts w:ascii="Times New Roman" w:eastAsia="Times New Roman" w:hAnsi="Times New Roman" w:cs="Times New Roman"/>
          <w:sz w:val="24"/>
          <w:szCs w:val="24"/>
        </w:rPr>
        <w:t>. Similarly</w:t>
      </w:r>
      <w:r w:rsidR="00D35876">
        <w:rPr>
          <w:rFonts w:ascii="Times New Roman" w:eastAsia="Times New Roman" w:hAnsi="Times New Roman" w:cs="Times New Roman"/>
          <w:sz w:val="24"/>
          <w:szCs w:val="24"/>
        </w:rPr>
        <w:t xml:space="preserve">, research in Ethiopia </w:t>
      </w:r>
      <w:r w:rsidRPr="00B527FC">
        <w:rPr>
          <w:rFonts w:ascii="Times New Roman" w:eastAsia="Times New Roman" w:hAnsi="Times New Roman" w:cs="Times New Roman"/>
          <w:sz w:val="24"/>
          <w:szCs w:val="24"/>
        </w:rPr>
        <w:t>showed s</w:t>
      </w:r>
      <w:r w:rsidR="00D35876">
        <w:rPr>
          <w:rFonts w:ascii="Times New Roman" w:eastAsia="Times New Roman" w:hAnsi="Times New Roman" w:cs="Times New Roman"/>
          <w:sz w:val="24"/>
          <w:szCs w:val="24"/>
        </w:rPr>
        <w:t>eroprevalence rates between 7.7% and 8.5</w:t>
      </w:r>
      <w:r w:rsidRPr="00B527FC">
        <w:rPr>
          <w:rFonts w:ascii="Times New Roman" w:eastAsia="Times New Roman" w:hAnsi="Times New Roman" w:cs="Times New Roman"/>
          <w:sz w:val="24"/>
          <w:szCs w:val="24"/>
        </w:rPr>
        <w:t>%, which</w:t>
      </w:r>
      <w:r>
        <w:rPr>
          <w:rFonts w:ascii="Times New Roman" w:eastAsia="Times New Roman" w:hAnsi="Times New Roman" w:cs="Times New Roman"/>
          <w:sz w:val="24"/>
          <w:szCs w:val="24"/>
        </w:rPr>
        <w:t xml:space="preserve"> was lower than </w:t>
      </w:r>
      <w:r w:rsidRPr="00B527FC">
        <w:rPr>
          <w:rFonts w:ascii="Times New Roman" w:eastAsia="Times New Roman" w:hAnsi="Times New Roman" w:cs="Times New Roman"/>
          <w:sz w:val="24"/>
          <w:szCs w:val="24"/>
        </w:rPr>
        <w:t>the pr</w:t>
      </w:r>
      <w:r w:rsidR="00D35876">
        <w:rPr>
          <w:rFonts w:ascii="Times New Roman" w:eastAsia="Times New Roman" w:hAnsi="Times New Roman" w:cs="Times New Roman"/>
          <w:sz w:val="24"/>
          <w:szCs w:val="24"/>
        </w:rPr>
        <w:t>evalence in Abyei</w:t>
      </w:r>
      <w:r w:rsidR="00D35876">
        <w:rPr>
          <w:rFonts w:ascii="Times New Roman" w:eastAsia="Times New Roman" w:hAnsi="Times New Roman" w:cs="Times New Roman"/>
          <w:sz w:val="24"/>
          <w:szCs w:val="24"/>
        </w:rPr>
        <w:fldChar w:fldCharType="begin" w:fldLock="1"/>
      </w:r>
      <w:r w:rsidR="00A225BD">
        <w:rPr>
          <w:rFonts w:ascii="Times New Roman" w:eastAsia="Times New Roman" w:hAnsi="Times New Roman" w:cs="Times New Roman"/>
          <w:sz w:val="24"/>
          <w:szCs w:val="24"/>
        </w:rPr>
        <w:instrText>ADDIN CSL_CITATION {"citationItems":[{"id":"ITEM-1","itemData":{"DOI":"10.1371/JOURNAL.PONE.0232208","ISSN":"19326203","PMID":"32320459","abstract":"Introduction Hepatitis B virus infection is a global public health problem. Though, the disease is endemic in sub-Saharan Africa, little is known about its epidemiology among pregnant women in Ghana. This study sought to determine the seroprevalence of Hepatitis B virus infection and associated factors among pregnant women attending antenatal care at Korle-Bu Teaching Hospital; Ghana's largest hospital. Methods We conducted a facility-based cross-sectional survey among 232 antenatal attendants. Participants were recruited using systematic random sampling technique and screened with HBsAg Rapid Test. Data was analyzed with the aid of Statistical Package for Social Sciences (SPSS), version 23.0. Results were presented using descriptive statistics, Fisher's Exact test and Logistic Regression analysis. Results Two hundred and twenty-one (221) of the total sample (n = 232) agreed to participate in this study; representing a response rate of 95%. The mean age of the participants was 31 years and standard deviation of 5.3. The mean gestational period at recruitment was 28 weeks and standard deviation of 6.8. Majority of the participants were married (83.3%), parous (69.6%), educated (91.4%) and employed (90.5%). The prevalence of HBsAg was 7.7%. We found no significant association between socio-demographic characteristics of the participants and HBV infection. Conclusion Seroprevalence of 7.7% indicates moderate endemicity. Socio-demographic characteristics did not influence HBV infection among pregnant women attending antenatal care at Korle-Bu Teaching Hospital. The findings provide empirical evidence that will contribute to knowledge of HBV epidemiology in Ghana.","author":[{"dropping-particle":"","family":"Dortey","given":"Benjamin Ansah","non-dropping-particle":"","parse-names":false,"suffix":""},{"dropping-particle":"","family":"Anaba","given":"Emmanuel Anongeba","non-dropping-particle":"","parse-names":false,"suffix":""},{"dropping-particle":"","family":"Lassey","given":"A. T.","non-dropping-particle":"","parse-names":false,"suffix":""},{"dropping-particle":"","family":"Damale","given":"N. K.R.","non-dropping-particle":"","parse-names":false,"suffix":""},{"dropping-particle":"","family":"Maya","given":"Ernest T.","non-dropping-particle":"","parse-names":false,"suffix":""}],"container-title":"PLoS ONE","id":"ITEM-1","issue":"4","issued":{"date-parts":[["2020","4","1"]]},"page":"e0232208","publisher":"Public Library of Science","title":"Seroprevalence of Hepatitis B virus infection and associated factors among pregnant women at Korle-Bu Teaching Hospital, Ghana","type":"article-journal","volume":"15"},"uris":["http://www.mendeley.com/documents/?uuid=4114f33b-dafe-32bd-bda1-668a1379cfc5"]},{"id":"ITEM-2","itemData":{"DOI":"10.2147/IJWH.S276526","ISSN":"1179-1411","PMID":"33447090","abstract":"Background: Hepatitis B virus (HBV) remains a major global public health problem affecting millions of people across the world. The risk of developing a chronic hepatitis B virus infection is affected by the age at the time of acquiring infection. For instance, around 95% of these infections are acquired during the perinatal period. Although evidences indicate the wider effects of hepatitis B virus and its negative consequences, there are limited studies and a scarcity of data in Eastern Ethiopia. Therefore, this study was aimed at determining seroprevalence of HBV and associated factors among pregnant women attending antenatal care in the public health facilities of Jigjiga town, Eastern Ethiopia, from March 4 to April 4, 2019. Methods: A facility-based cross-sectional study was employed among pregnant women in the public health facilities of Jigjiga town, Eastern Ethiopia. A total of 589 pregnant women were enrolled in the study using a systematic sampling technique. Data were collected using a pretested interviewer administered questionnaire. Five milliliters of venous blood samples was collected and tested for HBV using ELISA diagnostic test. The collected data were entered in to Epidata version 3.1 and exported to SPSS version 20 for statistical analysis. Descriptive statistics was carried out using frequency tables and summary measures. Multivariable analysis was done to identify the true effects of the selected predictor variables on the outcome variable after controlling for possible confounders. Statistical significance was declared at p-value &lt;0.05. Results: Overall, 8.5% (95% CI: 6.5–10.7) of the study participants were seropositive for HBsAg. Having any surgical history [AOR = 3.41, 95% CI (1.26–9.24)], family history of HBV [AOR = 4.96, 95% CI (2.11–10.60)], history of sharing sharps [AOR = 2.78, 95% CI (1.13–6.83)] and having multiple sexual partners [AOR = 6.12, 95% CI (2.12–17.64)] were significant predictors of HBV infection. Conclusion: The seroprevalence of HBV was relatively high in this study area. Having a history of surgery, family history of hepatitis, history of sharing sharps and multiple sexual partners were significantly associated with HBV infection. Therefore, health information dissemination and awareness creation on mode of transmission of HBV are very crucial.","author":[{"dropping-particle":"","family":"Roble","given":"Abdurahman Kedir","non-dropping-particle":"","parse-names":false,"suffix":""},{"dropping-particle":"","family":"Roba","given":"Kedir Teji","non-dropping-particle":"","parse-names":false,"suffix":""},{"dropping-particle":"","family":"Mengistie","given":"Bizatu","non-dropping-particle":"","parse-names":false,"suffix":""},{"dropping-particle":"","family":"Kure","given":"Mohammed Abdurke","non-dropping-particle":"","parse-names":false,"suffix":""}],"container-title":"International journal of women's health","id":"ITEM-2","issued":{"date-parts":[["2021"]]},"page":"1299-1310","publisher":"Int J Womens Health","title":"Seroprevalence of Hepatitis B Virus and Associated Factors Among Pregnant Women Attending Antenatal Care in Public Health Facilities in Jigjiga Town, Eastern Ethiopia","type":"article-journal","volume":"12"},"uris":["http://www.mendeley.com/documents/?uuid=945070b6-8c34-36ec-9303-58abd8da6929"]}],"mendeley":{"formattedCitation":"(16,17)","plainTextFormattedCitation":"(16,17)","previouslyFormattedCitation":"(Dortey et al., 2020; Roble et al., 2021)"},"properties":{"noteIndex":0},"schema":"https://github.com/citation-style-language/schema/raw/master/csl-citation.json"}</w:instrText>
      </w:r>
      <w:r w:rsidR="00D35876">
        <w:rPr>
          <w:rFonts w:ascii="Times New Roman" w:eastAsia="Times New Roman" w:hAnsi="Times New Roman" w:cs="Times New Roman"/>
          <w:sz w:val="24"/>
          <w:szCs w:val="24"/>
        </w:rPr>
        <w:fldChar w:fldCharType="separate"/>
      </w:r>
      <w:r w:rsidR="00A225BD" w:rsidRPr="00A225BD">
        <w:rPr>
          <w:rFonts w:ascii="Times New Roman" w:eastAsia="Times New Roman" w:hAnsi="Times New Roman" w:cs="Times New Roman"/>
          <w:noProof/>
          <w:sz w:val="24"/>
          <w:szCs w:val="24"/>
        </w:rPr>
        <w:t>(16,17)</w:t>
      </w:r>
      <w:r w:rsidR="00D35876">
        <w:rPr>
          <w:rFonts w:ascii="Times New Roman" w:eastAsia="Times New Roman" w:hAnsi="Times New Roman" w:cs="Times New Roman"/>
          <w:sz w:val="24"/>
          <w:szCs w:val="24"/>
        </w:rPr>
        <w:fldChar w:fldCharType="end"/>
      </w:r>
      <w:r w:rsidR="00D35876">
        <w:rPr>
          <w:rFonts w:ascii="Times New Roman" w:eastAsia="Times New Roman" w:hAnsi="Times New Roman" w:cs="Times New Roman"/>
          <w:sz w:val="24"/>
          <w:szCs w:val="24"/>
        </w:rPr>
        <w:t xml:space="preserve">. </w:t>
      </w:r>
      <w:r w:rsidR="00D35876" w:rsidRPr="00D35876">
        <w:rPr>
          <w:rFonts w:ascii="Times New Roman" w:eastAsia="Times New Roman" w:hAnsi="Times New Roman" w:cs="Times New Roman"/>
          <w:sz w:val="24"/>
          <w:szCs w:val="24"/>
        </w:rPr>
        <w:t xml:space="preserve">The significance of routine prenatal hepatitis B screening is emphasized by the World Health Organization. Finding pregnant women with high viral loads who require antiviral therapy to lower the risk of mother-to-child transmission </w:t>
      </w:r>
      <w:r w:rsidR="00D35876" w:rsidRPr="00D35876">
        <w:rPr>
          <w:rFonts w:ascii="Times New Roman" w:eastAsia="Times New Roman" w:hAnsi="Times New Roman" w:cs="Times New Roman"/>
          <w:sz w:val="24"/>
          <w:szCs w:val="24"/>
        </w:rPr>
        <w:lastRenderedPageBreak/>
        <w:t>depends on this screening</w:t>
      </w:r>
      <w:r w:rsidR="00D35876">
        <w:rPr>
          <w:rFonts w:ascii="Times New Roman" w:eastAsia="Times New Roman" w:hAnsi="Times New Roman" w:cs="Times New Roman"/>
          <w:sz w:val="24"/>
          <w:szCs w:val="24"/>
        </w:rPr>
        <w:fldChar w:fldCharType="begin" w:fldLock="1"/>
      </w:r>
      <w:r w:rsidR="00A225BD">
        <w:rPr>
          <w:rFonts w:ascii="Times New Roman" w:eastAsia="Times New Roman" w:hAnsi="Times New Roman" w:cs="Times New Roman"/>
          <w:sz w:val="24"/>
          <w:szCs w:val="24"/>
        </w:rPr>
        <w:instrText>ADDIN CSL_CITATION {"citationItems":[{"id":"ITEM-1","itemData":{"author":[{"dropping-particle":"","family":"WHO","given":"","non-dropping-particle":"","parse-names":false,"suffix":""}],"id":"ITEM-1","issued":{"date-parts":[["2023"]]},"title":"Hepatitis B","type":"article-journal"},"uris":["http://www.mendeley.com/documents/?uuid=c2ed0989-6174-4af5-9899-4e05d9581422"]}],"mendeley":{"formattedCitation":"(2)","plainTextFormattedCitation":"(2)","previouslyFormattedCitation":"(WHO, 2023)"},"properties":{"noteIndex":0},"schema":"https://github.com/citation-style-language/schema/raw/master/csl-citation.json"}</w:instrText>
      </w:r>
      <w:r w:rsidR="00D35876">
        <w:rPr>
          <w:rFonts w:ascii="Times New Roman" w:eastAsia="Times New Roman" w:hAnsi="Times New Roman" w:cs="Times New Roman"/>
          <w:sz w:val="24"/>
          <w:szCs w:val="24"/>
        </w:rPr>
        <w:fldChar w:fldCharType="separate"/>
      </w:r>
      <w:r w:rsidR="00A225BD" w:rsidRPr="00A225BD">
        <w:rPr>
          <w:rFonts w:ascii="Times New Roman" w:eastAsia="Times New Roman" w:hAnsi="Times New Roman" w:cs="Times New Roman"/>
          <w:noProof/>
          <w:sz w:val="24"/>
          <w:szCs w:val="24"/>
        </w:rPr>
        <w:t>(2)</w:t>
      </w:r>
      <w:r w:rsidR="00D35876">
        <w:rPr>
          <w:rFonts w:ascii="Times New Roman" w:eastAsia="Times New Roman" w:hAnsi="Times New Roman" w:cs="Times New Roman"/>
          <w:sz w:val="24"/>
          <w:szCs w:val="24"/>
        </w:rPr>
        <w:fldChar w:fldCharType="end"/>
      </w:r>
      <w:r w:rsidR="00D35876" w:rsidRPr="00D35876">
        <w:rPr>
          <w:rFonts w:ascii="Times New Roman" w:eastAsia="Times New Roman" w:hAnsi="Times New Roman" w:cs="Times New Roman"/>
          <w:sz w:val="24"/>
          <w:szCs w:val="24"/>
        </w:rPr>
        <w:t xml:space="preserve">. </w:t>
      </w:r>
      <w:r w:rsidR="00D35876">
        <w:rPr>
          <w:rFonts w:ascii="Times New Roman" w:eastAsia="Times New Roman" w:hAnsi="Times New Roman" w:cs="Times New Roman"/>
          <w:sz w:val="24"/>
          <w:szCs w:val="24"/>
        </w:rPr>
        <w:t>T</w:t>
      </w:r>
      <w:r w:rsidR="00D35876" w:rsidRPr="00D35876">
        <w:rPr>
          <w:rFonts w:ascii="Times New Roman" w:eastAsia="Times New Roman" w:hAnsi="Times New Roman" w:cs="Times New Roman"/>
          <w:sz w:val="24"/>
          <w:szCs w:val="24"/>
        </w:rPr>
        <w:t>o prevent the disease in the following generation, it is also essential to guarantee that infants born to mothers who are positive for HBV have access to the hepatitis B vaccine.</w:t>
      </w:r>
    </w:p>
    <w:p w14:paraId="2B85E9F4" w14:textId="77777777" w:rsidR="002A016F" w:rsidRPr="005A6880" w:rsidRDefault="00D35876" w:rsidP="005A6880">
      <w:pPr>
        <w:jc w:val="both"/>
        <w:rPr>
          <w:rFonts w:ascii="Times New Roman" w:hAnsi="Times New Roman" w:cs="Times New Roman"/>
          <w:sz w:val="24"/>
          <w:szCs w:val="24"/>
          <w:lang w:val="en-CA"/>
        </w:rPr>
      </w:pPr>
      <w:r w:rsidRPr="00D35876">
        <w:rPr>
          <w:rFonts w:ascii="Times New Roman" w:hAnsi="Times New Roman" w:cs="Times New Roman"/>
          <w:sz w:val="24"/>
          <w:szCs w:val="24"/>
        </w:rPr>
        <w:t>From this study,</w:t>
      </w:r>
      <w:r w:rsidRPr="00D35876">
        <w:rPr>
          <w:rFonts w:ascii="Times New Roman" w:eastAsia="Times New Roman" w:hAnsi="Times New Roman" w:cs="Times New Roman"/>
          <w:sz w:val="24"/>
          <w:szCs w:val="24"/>
        </w:rPr>
        <w:t xml:space="preserve"> respondents with a history of STIs had a 12 times higher chance of testing positive for Hepatitis B than those without a history of </w:t>
      </w:r>
      <w:proofErr w:type="spellStart"/>
      <w:r w:rsidRPr="00D35876">
        <w:rPr>
          <w:rFonts w:ascii="Times New Roman" w:eastAsia="Times New Roman" w:hAnsi="Times New Roman" w:cs="Times New Roman"/>
          <w:sz w:val="24"/>
          <w:szCs w:val="24"/>
        </w:rPr>
        <w:t>STIs.</w:t>
      </w:r>
      <w:r w:rsidRPr="00D35876">
        <w:rPr>
          <w:rFonts w:ascii="Times New Roman" w:hAnsi="Times New Roman" w:cs="Times New Roman"/>
          <w:sz w:val="24"/>
          <w:szCs w:val="24"/>
        </w:rPr>
        <w:t>Individuals</w:t>
      </w:r>
      <w:proofErr w:type="spellEnd"/>
      <w:r w:rsidRPr="00D35876">
        <w:rPr>
          <w:rFonts w:ascii="Times New Roman" w:hAnsi="Times New Roman" w:cs="Times New Roman"/>
          <w:sz w:val="24"/>
          <w:szCs w:val="24"/>
        </w:rPr>
        <w:t xml:space="preserve"> with a history of STIs often have multiple sexual partners, increasing their exposure to HBV through high-risk sexual behaviors. </w:t>
      </w:r>
      <w:r w:rsidRPr="00D35876">
        <w:rPr>
          <w:rFonts w:ascii="Times New Roman" w:eastAsia="Times New Roman" w:hAnsi="Times New Roman" w:cs="Times New Roman"/>
          <w:sz w:val="24"/>
          <w:szCs w:val="24"/>
        </w:rPr>
        <w:t xml:space="preserve">Behaviors such as inconsistent condom use, engaging in casual or transactional sex, and substance abuse increase the likelihood of acquiring STIs, including HBV. People with a history of one STI are more likely to have had similar exposures that also put them at risk for HBV. </w:t>
      </w:r>
      <w:r w:rsidRPr="00D35876">
        <w:rPr>
          <w:rFonts w:ascii="Times New Roman" w:hAnsi="Times New Roman" w:cs="Times New Roman"/>
          <w:sz w:val="24"/>
          <w:szCs w:val="24"/>
          <w:lang w:val="en-CA"/>
        </w:rPr>
        <w:t>This study's findings are similar to a study conducted in Ethiopia assessing the seroprevalence of HBV infection and associated factors among women who were pregnant which showed that a history of sexually transmitted infection was a predictor of HBV infection</w:t>
      </w:r>
      <w:r w:rsidRPr="00D35876">
        <w:rPr>
          <w:rFonts w:ascii="Times New Roman" w:hAnsi="Times New Roman" w:cs="Times New Roman"/>
          <w:sz w:val="24"/>
          <w:szCs w:val="24"/>
          <w:lang w:val="en-CA"/>
        </w:rPr>
        <w:fldChar w:fldCharType="begin" w:fldLock="1"/>
      </w:r>
      <w:r w:rsidR="00A225BD">
        <w:rPr>
          <w:rFonts w:ascii="Times New Roman" w:hAnsi="Times New Roman" w:cs="Times New Roman"/>
          <w:sz w:val="24"/>
          <w:szCs w:val="24"/>
          <w:lang w:val="en-CA"/>
        </w:rPr>
        <w:instrText>ADDIN CSL_CITATION {"citationItems":[{"id":"ITEM-1","itemData":{"DOI":"10.1177/23333928231161946","ISSN":"2333-3928","PMID":"36970374","abstract":"Background: Hepatitis B virus (HBV) is one of the major threats to global health, affecting millions of people each year and causing morbidity and mortality. The risk of acquiring chronic HVV infection varies with age, with 90% of infections acquired during the perinatal period. Despite many studies, there is little evidence of this virus in the Borena Zone. Objectives: This study was done to assess seroprevalence HBVinfection and associated factors among pregnant women attending antenatal care at selected Borena Zone public hospitals from June 1 to September 30, 2022. Methods: A cross-institutional study was conducted on 368 randomly selected pregnant women who received antenatal care at Yabelo General Hospital and Moyale Primary Hospital. Data on sociodemographic and HBV-related factors were collected using a structured questionnaire. A 5 mL blood sample is then taken and tested using a diagnostic method, the enzyme-linked immunosorbent assay. Finally, data were entered using Epidata version 3.1 and exported to SPSS version 25 and Stata version 14 for analysis. Independent predictors were identified using logistic regression analysis and P &lt;.05 was considered statistically significant. Results: The prevalence of HBV infection was 21 (5.7%) (95% confidence interval [CI], 3.74-8.61). History of hospitalization (adjusted odds ratio [AOR] = 3.44, 95% CI, 1.07-11.09), traditional tonsillectomy (AOR = 4.16, 95% CI, 1.29-13.40), history of sexually transmitted infection (AOR = 5.99, 95% CI, 1.81-19.85), human immunodeficiency virus (HIV) (AOR = 8.28, 95% CI, 1.66-41.41), and alcohol drinking (AOR = 5.08, 95% CI, 1.49-17.31) were independent predictors of HBV infection. Conclusions: The results of this study indicate a moderate prevalence of HBV in selected public hospitals in the Borena Zone. History of hospitalization, traditional tonsillectomy, sexually transmitted infections, HIV, and alcohol use was significantly associated with HBV infection. Therefore, there is a need to conduct health education and more community-based research on disease transmission routes.","author":[{"dropping-particle":"","family":"Kampe","given":"Abdo","non-dropping-particle":"","parse-names":false,"suffix":""},{"dropping-particle":"","family":"Kannaiyan Abbai","given":"Moorthy","non-dropping-particle":"","parse-names":false,"suffix":""},{"dropping-particle":"","family":"Tilahun","given":"Dagnamyelew","non-dropping-particle":"","parse-names":false,"suffix":""},{"dropping-particle":"","family":"Daka","given":"Deresse","non-dropping-particle":"","parse-names":false,"suffix":""},{"dropping-particle":"","family":"Aliyo","given":"Alqeer","non-dropping-particle":"","parse-names":false,"suffix":""},{"dropping-particle":"","family":"Dedecha","given":"Wako","non-dropping-particle":"","parse-names":false,"suffix":""},{"dropping-particle":"","family":"Edin","given":"Alo","non-dropping-particle":"","parse-names":false,"suffix":""}],"container-title":"Health services research and managerial epidemiology","id":"ITEM-1","issued":{"date-parts":[["2023","1","1"]]},"publisher":"Health Serv Res Manag Epidemiol","title":"Seroprevalence of Hepatitis B Virus Infection and Associated Factors Among Pregnant Women Attending Antenatal Care At Public Hospitals in Borena Zone, Southern Ethiopia","type":"article-journal","volume":"10"},"uris":["http://www.mendeley.com/documents/?uuid=de091aa0-fe46-3c50-9542-de7369bf9348"]}],"mendeley":{"formattedCitation":"(18)","plainTextFormattedCitation":"(18)","previouslyFormattedCitation":"(Kampe et al., 2023)"},"properties":{"noteIndex":0},"schema":"https://github.com/citation-style-language/schema/raw/master/csl-citation.json"}</w:instrText>
      </w:r>
      <w:r w:rsidRPr="00D35876">
        <w:rPr>
          <w:rFonts w:ascii="Times New Roman" w:hAnsi="Times New Roman" w:cs="Times New Roman"/>
          <w:sz w:val="24"/>
          <w:szCs w:val="24"/>
          <w:lang w:val="en-CA"/>
        </w:rPr>
        <w:fldChar w:fldCharType="separate"/>
      </w:r>
      <w:r w:rsidR="00A225BD" w:rsidRPr="00A225BD">
        <w:rPr>
          <w:rFonts w:ascii="Times New Roman" w:hAnsi="Times New Roman" w:cs="Times New Roman"/>
          <w:noProof/>
          <w:sz w:val="24"/>
          <w:szCs w:val="24"/>
          <w:lang w:val="en-CA"/>
        </w:rPr>
        <w:t>(18)</w:t>
      </w:r>
      <w:r w:rsidRPr="00D35876">
        <w:rPr>
          <w:rFonts w:ascii="Times New Roman" w:hAnsi="Times New Roman" w:cs="Times New Roman"/>
          <w:sz w:val="24"/>
          <w:szCs w:val="24"/>
          <w:lang w:val="en-CA"/>
        </w:rPr>
        <w:fldChar w:fldCharType="end"/>
      </w:r>
      <w:r w:rsidRPr="00D35876">
        <w:rPr>
          <w:rFonts w:ascii="Times New Roman" w:hAnsi="Times New Roman" w:cs="Times New Roman"/>
          <w:sz w:val="24"/>
          <w:szCs w:val="24"/>
          <w:lang w:val="en-CA"/>
        </w:rPr>
        <w:t xml:space="preserve"> (Kampe et al., 2023). Another meta-analysis and systematic review revealed similar findings to this study showing that current and past sexually transmitted diseases were associated with HBV </w:t>
      </w:r>
      <w:r w:rsidRPr="005A6880">
        <w:rPr>
          <w:rFonts w:ascii="Times New Roman" w:hAnsi="Times New Roman" w:cs="Times New Roman"/>
          <w:sz w:val="24"/>
          <w:szCs w:val="24"/>
          <w:lang w:val="en-CA"/>
        </w:rPr>
        <w:t>infection</w:t>
      </w:r>
      <w:r w:rsidRPr="005A6880">
        <w:rPr>
          <w:rFonts w:ascii="Times New Roman" w:hAnsi="Times New Roman" w:cs="Times New Roman"/>
          <w:sz w:val="24"/>
          <w:szCs w:val="24"/>
          <w:lang w:val="en-CA"/>
        </w:rPr>
        <w:fldChar w:fldCharType="begin" w:fldLock="1"/>
      </w:r>
      <w:r w:rsidR="00A225BD">
        <w:rPr>
          <w:rFonts w:ascii="Times New Roman" w:hAnsi="Times New Roman" w:cs="Times New Roman"/>
          <w:sz w:val="24"/>
          <w:szCs w:val="24"/>
          <w:lang w:val="en-CA"/>
        </w:rPr>
        <w:instrText>ADDIN CSL_CITATION {"citationItems":[{"id":"ITEM-1","itemData":{"DOI":"10.1071/SH20185","ISSN":"14498987","PMID":"34183114","abstract":"Background: Hepatitis B vaccination is recommended for persons with current or past sexually transmitted infections (STI). Our aim is to systematically assess the association of hepatitis B virus (HBV) sero-markers for current or past infection with syphilis, chlamydia, gonorrhoea, or unspecified STIs. Methods: We conducted a systematic review and meta-analysis. PubMed, Embase, and Web of Science from 1982 to 2018 were searched using medical subject headings (MeSH) terms for HBV, STIs and epidemiology. We included studies conducted in Organisation for Economic Cooperation and Development countries or Latin America that permit the calculation of prevalence ratios (PRs) for HBV and STIs and extracted PRs and counts by HBV and STI status. Results: Of 3144 identified studies, 43 met inclusion requirements, yielding 72 PRs. We stratified outcomes by HBV sero-markers [surface antigen (HBsAg), hepatitis B core antibody (anti-HBc), combined], STI pathogen (syphilis, gonorrhoea/chlamydia, unspecified), and STI history (current, past) resulting in 18 potential outcome groups, for which results were available for 14. For the four outcome groups related to HBsAg, PR point estimates ranged from 1.65 to 6.76. For the five outcome groups related to anti-HBc, PRs ranged from 1.30 to 1.82; and for the five outcome groups related to combined HBV markers, PRs ranged from 1.15 to 1.89). The median HBsAg prevalence among people with a current or past STI was 4.17; not all studies reported HBsAg. Study settings and populations varied. Conclusion: This review found evidence of association between HBV infection and current or past STIs.","author":[{"dropping-particle":"","family":"Marseille","given":"Elliot","non-dropping-particle":"","parse-names":false,"suffix":""},{"dropping-particle":"","family":"Harris","given":"Aaron M.","non-dropping-particle":"","parse-names":false,"suffix":""},{"dropping-particle":"","family":"Horvath","given":"Hacsi","non-dropping-particle":"","parse-names":false,"suffix":""},{"dropping-particle":"","family":"Parriott","given":"Andrea","non-dropping-particle":"","parse-names":false,"suffix":""},{"dropping-particle":"","family":"Malekinejad","given":"Mohsen","non-dropping-particle":"","parse-names":false,"suffix":""},{"dropping-particle":"","family":"Nelson","given":"Noele P.","non-dropping-particle":"","parse-names":false,"suffix":""},{"dropping-particle":"","family":"Handel","given":"Michelle","non-dropping-particle":"Van","parse-names":false,"suffix":""},{"dropping-particle":"","family":"Kahn","given":"James G.","non-dropping-particle":"","parse-names":false,"suffix":""}],"container-title":"Sexual health","id":"ITEM-1","issue":"3","issued":{"date-parts":[["2021","7","1"]]},"page":"269","publisher":"NIH Public Access","title":"Hepatitis B prevalence association with sexually transmitted\ninfections: A systematic review and meta-analysis","type":"article-journal","volume":"18"},"uris":["http://www.mendeley.com/documents/?uuid=6af7c93c-0ae1-345c-824c-eebc3e771224"]}],"mendeley":{"formattedCitation":"(19)","plainTextFormattedCitation":"(19)","previouslyFormattedCitation":"(Marseille et al., 2021)"},"properties":{"noteIndex":0},"schema":"https://github.com/citation-style-language/schema/raw/master/csl-citation.json"}</w:instrText>
      </w:r>
      <w:r w:rsidRPr="005A6880">
        <w:rPr>
          <w:rFonts w:ascii="Times New Roman" w:hAnsi="Times New Roman" w:cs="Times New Roman"/>
          <w:sz w:val="24"/>
          <w:szCs w:val="24"/>
          <w:lang w:val="en-CA"/>
        </w:rPr>
        <w:fldChar w:fldCharType="separate"/>
      </w:r>
      <w:r w:rsidR="00A225BD" w:rsidRPr="00A225BD">
        <w:rPr>
          <w:rFonts w:ascii="Times New Roman" w:hAnsi="Times New Roman" w:cs="Times New Roman"/>
          <w:noProof/>
          <w:sz w:val="24"/>
          <w:szCs w:val="24"/>
          <w:lang w:val="en-CA"/>
        </w:rPr>
        <w:t>(19)</w:t>
      </w:r>
      <w:r w:rsidRPr="005A6880">
        <w:rPr>
          <w:rFonts w:ascii="Times New Roman" w:hAnsi="Times New Roman" w:cs="Times New Roman"/>
          <w:sz w:val="24"/>
          <w:szCs w:val="24"/>
          <w:lang w:val="en-CA"/>
        </w:rPr>
        <w:fldChar w:fldCharType="end"/>
      </w:r>
      <w:r w:rsidRPr="005A6880">
        <w:rPr>
          <w:rFonts w:ascii="Times New Roman" w:hAnsi="Times New Roman" w:cs="Times New Roman"/>
          <w:sz w:val="24"/>
          <w:szCs w:val="24"/>
          <w:lang w:val="en-CA"/>
        </w:rPr>
        <w:t>.</w:t>
      </w:r>
    </w:p>
    <w:p w14:paraId="4B6D0A4F" w14:textId="77777777" w:rsidR="001C43FF" w:rsidRDefault="005A6880" w:rsidP="005A6880">
      <w:pPr>
        <w:jc w:val="both"/>
        <w:rPr>
          <w:rFonts w:ascii="Times New Roman" w:eastAsia="Times New Roman" w:hAnsi="Times New Roman" w:cs="Times New Roman"/>
          <w:sz w:val="24"/>
          <w:szCs w:val="24"/>
        </w:rPr>
      </w:pPr>
      <w:r w:rsidRPr="005A6880">
        <w:rPr>
          <w:rFonts w:ascii="Times New Roman" w:eastAsia="Times New Roman" w:hAnsi="Times New Roman" w:cs="Times New Roman"/>
          <w:sz w:val="24"/>
          <w:szCs w:val="24"/>
        </w:rPr>
        <w:t>From this research, intravenous medication use raised the odds of hepatitis B by 2.3.</w:t>
      </w:r>
      <w:r>
        <w:rPr>
          <w:rFonts w:ascii="Times New Roman" w:eastAsia="Times New Roman" w:hAnsi="Times New Roman" w:cs="Times New Roman"/>
          <w:sz w:val="24"/>
          <w:szCs w:val="24"/>
        </w:rPr>
        <w:t xml:space="preserve"> </w:t>
      </w:r>
      <w:r w:rsidRPr="005A6880">
        <w:rPr>
          <w:rFonts w:ascii="Times New Roman" w:hAnsi="Times New Roman" w:cs="Times New Roman"/>
          <w:sz w:val="24"/>
          <w:szCs w:val="24"/>
        </w:rPr>
        <w:t xml:space="preserve">The association between </w:t>
      </w:r>
      <w:r w:rsidRPr="005A6880">
        <w:rPr>
          <w:rStyle w:val="Strong"/>
          <w:rFonts w:ascii="Times New Roman" w:hAnsi="Times New Roman" w:cs="Times New Roman"/>
          <w:b w:val="0"/>
          <w:sz w:val="24"/>
          <w:szCs w:val="24"/>
        </w:rPr>
        <w:t>intravenous (IV) medication use</w:t>
      </w:r>
      <w:r w:rsidRPr="005A6880">
        <w:rPr>
          <w:rFonts w:ascii="Times New Roman" w:hAnsi="Times New Roman" w:cs="Times New Roman"/>
          <w:b/>
          <w:sz w:val="24"/>
          <w:szCs w:val="24"/>
        </w:rPr>
        <w:t xml:space="preserve"> </w:t>
      </w:r>
      <w:r w:rsidRPr="005A6880">
        <w:rPr>
          <w:rFonts w:ascii="Times New Roman" w:hAnsi="Times New Roman" w:cs="Times New Roman"/>
          <w:sz w:val="24"/>
          <w:szCs w:val="24"/>
        </w:rPr>
        <w:t>and</w:t>
      </w:r>
      <w:r w:rsidRPr="005A6880">
        <w:rPr>
          <w:rFonts w:ascii="Times New Roman" w:hAnsi="Times New Roman" w:cs="Times New Roman"/>
          <w:b/>
          <w:sz w:val="24"/>
          <w:szCs w:val="24"/>
        </w:rPr>
        <w:t xml:space="preserve"> </w:t>
      </w:r>
      <w:r w:rsidRPr="005A6880">
        <w:rPr>
          <w:rStyle w:val="Strong"/>
          <w:rFonts w:ascii="Times New Roman" w:hAnsi="Times New Roman" w:cs="Times New Roman"/>
          <w:b w:val="0"/>
          <w:sz w:val="24"/>
          <w:szCs w:val="24"/>
        </w:rPr>
        <w:t>hepatitis B (HBV)</w:t>
      </w:r>
      <w:r w:rsidRPr="005A6880">
        <w:rPr>
          <w:rFonts w:ascii="Times New Roman" w:hAnsi="Times New Roman" w:cs="Times New Roman"/>
          <w:sz w:val="24"/>
          <w:szCs w:val="24"/>
        </w:rPr>
        <w:t xml:space="preserve"> is primarily related to the potential for exposure to contaminated needles, syringes, or IV drug equipment. </w:t>
      </w:r>
      <w:r w:rsidRPr="005A6880">
        <w:rPr>
          <w:rFonts w:ascii="Times New Roman" w:eastAsia="Times New Roman" w:hAnsi="Times New Roman" w:cs="Times New Roman"/>
          <w:sz w:val="24"/>
          <w:szCs w:val="24"/>
        </w:rPr>
        <w:t>HBV is highly infectious and can survive outside the body for up to 7 days. If intravenous medication or drugs are administered using contaminated needles or syringes, there is a significant risk of HBV transmission. Findings from this research were concurrent with those of two other studies carried out in Iran</w:t>
      </w:r>
      <w:r w:rsidRPr="005A6880">
        <w:rPr>
          <w:rFonts w:ascii="Times New Roman" w:eastAsia="Times New Roman" w:hAnsi="Times New Roman" w:cs="Times New Roman"/>
          <w:sz w:val="24"/>
          <w:szCs w:val="24"/>
        </w:rPr>
        <w:fldChar w:fldCharType="begin" w:fldLock="1"/>
      </w:r>
      <w:r w:rsidR="00A225BD">
        <w:rPr>
          <w:rFonts w:ascii="Times New Roman" w:eastAsia="Times New Roman" w:hAnsi="Times New Roman" w:cs="Times New Roman"/>
          <w:sz w:val="24"/>
          <w:szCs w:val="24"/>
        </w:rPr>
        <w:instrText>ADDIN CSL_CITATION {"citationItems":[{"id":"ITEM-1","itemData":{"DOI":"10.1186/S12954-020-00424-W/TABLES/6","ISSN":"14777517","PMID":"33087141","abstract":"Background: People who use drugs (PWUD) are considered as one of the main at-risk populations for Hepatitis B virus (HBV) infection. We conducted a systematic review on the prevalence of HBV infection among PWUD in Iran. Methods: Consistent with PRISMA guideline, international (Medline, Web of Science, Scopus, and Embase) and national (Scientific Information Database) databases were searched using a comprehensive search strategy up to September 2019. The retrieved records were reviewed, and experts were contacted for unpublished studies. Studies on Iranian PWUD reporting HBV surface Antigen (HBsAg) prevalence among people who inject drugs (PWID) and non-injecting PWUD were included. HBsAg prevalence was pooled for PWID and non-injecting PWUD and for other subgroups using random-effects model meta-analysis. The trend of HBV prevalence over time was investigated using meta-regression analysis. Results: Overall, 35 studies reported data on HBV infection among PWID (33 studies) and non-injecting PWUD (11 studies). The pooled prevalence of HBsAg among PWID was 4.8% (95% CI 3.7–6.2). The only risk factor significantly associated with the odds of positive HBsAg in PWID was the previous history of imprisonment (OR 1.72, 95% CI 1.29–2.30, p value = 0.000). The pooled estimate of HBsAg among non-injecting PWUD was 2.9% (95% CI 2.5–3.2). Time trend analyses showed significant decrease in HBV prevalence among PWID reaching from 8.2% (95% CI 3.9–16.5) in 2004–2006 to 3.1% (95% CI 2.3–4.1) in 2016 and later (b = -0.07; p value = 0.05). No significant trend was detected for non-injecting PWUD. Conclusion: The prevalence of HBV infection among non-injecting PWUD and even PWID was not considerably higher than the Iranian general population. This might be the result of extensive harm reduction interventions in Iran. However, it seems that there are subgroups of PWID, who do not adequately benefit from existing harm reduction interventions. Future programs should more specifically target these high-risk groups.","author":[{"dropping-particle":"","family":"Rostam-Abadi","given":"Yasna","non-dropping-particle":"","parse-names":false,"suffix":""},{"dropping-particle":"","family":"Rafiemanesh","given":"Hossein","non-dropping-particle":"","parse-names":false,"suffix":""},{"dropping-particle":"","family":"Gholami","given":"Jaleh","non-dropping-particle":"","parse-names":false,"suffix":""},{"dropping-particle":"","family":"Shadloo","given":"Behrang","non-dropping-particle":"","parse-names":false,"suffix":""},{"dropping-particle":"","family":"Amin-Esmaeili","given":"Masoumeh","non-dropping-particle":"","parse-names":false,"suffix":""},{"dropping-particle":"","family":"Rahimi-Movaghar","given":"Afarin","non-dropping-particle":"","parse-names":false,"suffix":""}],"container-title":"Harm Reduction Journal","id":"ITEM-1","issue":"1","issued":{"date-parts":[["2020","12","1"]]},"page":"1-19","publisher":"BioMed Central Ltd","title":"Hepatitis B virus infection among people who use drugs in Iran: a systematic review, meta-analysis, and trend analysis","type":"article-journal","volume":"17"},"uris":["http://www.mendeley.com/documents/?uuid=4eac213a-ddae-30ba-bdae-b3c80d46852c"]},{"id":"ITEM-2","itemData":{"ISSN":"17351995","PMID":"24672567","abstract":"Background: Hepatitis B with its complications has become one of the universal problems. Injection drug use is one of the most important risk factors in the transmission of hepatitis B. Therefore, we assessed hepatitis B virus prevalence among cases with a history of intravenous drug use (IVDU) as the first announcement-based study in this regard. Materials and Methods: The announcement-based detection of hepatitis B seroprevalence in volunteers with a history of intravenous drug use was conducted in the Isfahan province. A comprehensive community announcement was made in all the public places and to all physicians, in all the regions. One thousand five hundred and eighty-eight volunteers were invited to the Isfahan reference laboratories and serum samples were tested for HBs-Ag, HBc Ab, and HBs-Ab, using the enzyme-linked immunosorbent assay (ELISA) method. Results: In this study, 1588 individuals volunteered, who were estimated to be 50% of all the expected intravenous drug users in the community. HBs Ag was detected in 4.2% of them. HBc Ab and HBs Ab were detected in order in 11.4 and 17.3%, respectively. Conclusion: We estimated that the seroprevalence of hepatitis B positivity in intravenous drug users was moderate to high. Therefore, it was suggested that this group be encouraged to prevent acquiring infection by vaccination, education, counseling for risk reduction, and treatment of substance abuse, and finally hepatitis B virus (HBV) screening.","author":[{"dropping-particle":"","family":"Khodadoostan","given":"Mahsa","non-dropping-particle":"","parse-names":false,"suffix":""},{"dropping-particle":"","family":"Ataei","given":"Behrooz","non-dropping-particle":"","parse-names":false,"suffix":""},{"dropping-particle":"","family":"Shavakhi","given":"Ahmad","non-dropping-particle":"","parse-names":false,"suffix":""},{"dropping-particle":"","family":"Tavakoli","given":"Tahmine","non-dropping-particle":"","parse-names":false,"suffix":""},{"dropping-particle":"","family":"Nokhodian","given":"Zary","non-dropping-particle":"","parse-names":false,"suffix":""},{"dropping-particle":"","family":"Yaran","given":"Majid","non-dropping-particle":"","parse-names":false,"suffix":""}],"container-title":"Journal of Research in Medical Sciences : The Official Journal of Isfahan University of Medical Sciences","id":"ITEM-2","issue":"1","issued":{"date-parts":[["2014"]]},"page":"65","title":"The assessment of hepatitis B seroprevalence in persons with intravenous drug use history in the Isfahan province: Community-based study","type":"article-journal","volume":"19"},"uris":["http://www.mendeley.com/documents/?uuid=8d5444a7-1a2c-32a3-a6f1-12a7ccaf42a2"]}],"mendeley":{"formattedCitation":"(20,21)","plainTextFormattedCitation":"(20,21)","previouslyFormattedCitation":"(Khodadoostan et al., 2014; Rostam-Abadi et al., 2020)"},"properties":{"noteIndex":0},"schema":"https://github.com/citation-style-language/schema/raw/master/csl-citation.json"}</w:instrText>
      </w:r>
      <w:r w:rsidRPr="005A6880">
        <w:rPr>
          <w:rFonts w:ascii="Times New Roman" w:eastAsia="Times New Roman" w:hAnsi="Times New Roman" w:cs="Times New Roman"/>
          <w:sz w:val="24"/>
          <w:szCs w:val="24"/>
        </w:rPr>
        <w:fldChar w:fldCharType="separate"/>
      </w:r>
      <w:r w:rsidR="00A225BD" w:rsidRPr="00A225BD">
        <w:rPr>
          <w:rFonts w:ascii="Times New Roman" w:eastAsia="Times New Roman" w:hAnsi="Times New Roman" w:cs="Times New Roman"/>
          <w:noProof/>
          <w:sz w:val="24"/>
          <w:szCs w:val="24"/>
        </w:rPr>
        <w:t>(20,21)</w:t>
      </w:r>
      <w:r w:rsidRPr="005A6880">
        <w:rPr>
          <w:rFonts w:ascii="Times New Roman" w:eastAsia="Times New Roman" w:hAnsi="Times New Roman" w:cs="Times New Roman"/>
          <w:sz w:val="24"/>
          <w:szCs w:val="24"/>
        </w:rPr>
        <w:fldChar w:fldCharType="end"/>
      </w:r>
      <w:r w:rsidRPr="005A6880">
        <w:rPr>
          <w:rFonts w:ascii="Times New Roman" w:eastAsia="Times New Roman" w:hAnsi="Times New Roman" w:cs="Times New Roman"/>
          <w:sz w:val="24"/>
          <w:szCs w:val="24"/>
        </w:rPr>
        <w:t>.</w:t>
      </w:r>
    </w:p>
    <w:p w14:paraId="31315C48" w14:textId="77777777" w:rsidR="001C43FF" w:rsidRDefault="001C43FF" w:rsidP="00706D7A">
      <w:pPr>
        <w:spacing w:after="0" w:line="240" w:lineRule="auto"/>
        <w:jc w:val="both"/>
        <w:rPr>
          <w:rFonts w:ascii="Times New Roman" w:eastAsia="Times New Roman" w:hAnsi="Times New Roman" w:cs="Times New Roman"/>
          <w:sz w:val="24"/>
          <w:szCs w:val="24"/>
        </w:rPr>
      </w:pPr>
      <w:r w:rsidRPr="001C43FF">
        <w:rPr>
          <w:rFonts w:ascii="Times New Roman" w:eastAsia="Times New Roman" w:hAnsi="Times New Roman" w:cs="Times New Roman"/>
          <w:sz w:val="24"/>
          <w:szCs w:val="24"/>
        </w:rPr>
        <w:t>The findings showed that 2 children, or 4.26% of the cohort, tested positive for Hepatitis B out of 47 children born to HBV-positive mothers who were vaccinated. These results highlight how crucial it is to put in place all-encompassing vaccination plans that involve more than just giving the HBV vaccine. Interestingly, the study emphasizes how important it is to include other preventive measures like the zero-dose vaccine and the administration of Hepatitis B Immunoglobulin (HBIG). In contrast, research from China has produced conflicting findings about how well the HBV vaccine works to prevent MTCT. For instance, a study found that when vaccinated with the HBV vaccine either by itself or in conjunction with HBIG, 0% of children born to mothers who tested negative for HBV developed Hepatitis B</w:t>
      </w:r>
      <w:r>
        <w:rPr>
          <w:rFonts w:ascii="Times New Roman" w:eastAsia="Times New Roman" w:hAnsi="Times New Roman" w:cs="Times New Roman"/>
          <w:sz w:val="24"/>
          <w:szCs w:val="24"/>
        </w:rPr>
        <w:fldChar w:fldCharType="begin" w:fldLock="1"/>
      </w:r>
      <w:r w:rsidR="00A225BD">
        <w:rPr>
          <w:rFonts w:ascii="Times New Roman" w:eastAsia="Times New Roman" w:hAnsi="Times New Roman" w:cs="Times New Roman"/>
          <w:sz w:val="24"/>
          <w:szCs w:val="24"/>
        </w:rPr>
        <w:instrText>ADDIN CSL_CITATION {"citationItems":[{"id":"ITEM-1","itemData":{"DOI":"10.1016/J.JVE.2022.100076","ISSN":"2055-6640","PMID":"35813576","abstract":"Background: Vertical mother-to-child transmission (MTCT) of the hepatitis B virus (HBV) remains an important issue. Timely administration of hepatitis B immunoglobulin (HBIG) and of the HBV vaccine is effective in preventing MTCT in infants born to HBV-infected mothers. However, HBIG is often not easily available in low-income countries or regions. Methods: We compared in a retrospective cohort study the HBV vaccine efficacy alone and in combination with HBIG in preventing vertical MTCT in infants born to HBeAg-negative carrier mothers in Jiangsu province, China. Based on the administration of the HBV vaccine and HBIG shortly after birth, children were divided into two groups: Group 1, administration of the HBV vaccine alone, and Group 2, concurrent use of HBIG and of the HBV vaccine. Results: A total of 620 infants born to HBeAg-negative carrier mothers were enrolled into this study. Group 1 included 195 children who had received the HBV vaccine alone after birth, and Group 2, 425 children who had received both HBIG and the HBV vaccine. Children were followed up to the age of 68 and 42 months, respectively. MTCT of HBV occurred in 0% (0/195) in Group 1 (HBV vaccine alone) and 0% (0/425) in Group 2 (HBV vaccine and HBIG) (p = 1.00). Conclusion: In this retrospective cohort study, we found that HBV vaccination alone shortly after birth was effective in preventing MTCT of HBV in infants born to HBeAg-negative carrier mothers.","author":[{"dropping-particle":"","family":"Zhang","given":"Wenjun","non-dropping-particle":"","parse-names":false,"suffix":""},{"dropping-particle":"","family":"Xu","given":"Chenyu","non-dropping-particle":"","parse-names":false,"suffix":""},{"dropping-particle":"","family":"Rui","given":"Yanjing","non-dropping-particle":"","parse-names":false,"suffix":""},{"dropping-particle":"","family":"Chen","given":"Jie","non-dropping-particle":"","parse-names":false,"suffix":""},{"dropping-particle":"","family":"Chen","given":"Tingmei","non-dropping-particle":"","parse-names":false,"suffix":""},{"dropping-particle":"","family":"Dai","given":"Yimin","non-dropping-particle":"","parse-names":false,"suffix":""},{"dropping-particle":"","family":"Xu","given":"Biyun","non-dropping-particle":"","parse-names":false,"suffix":""},{"dropping-particle":"","family":"Hu","given":"Yali","non-dropping-particle":"","parse-names":false,"suffix":""},{"dropping-particle":"","family":"Chen","given":"Junhao","non-dropping-particle":"","parse-names":false,"suffix":""},{"dropping-particle":"","family":"Zhou","given":"Yi Hua","non-dropping-particle":"","parse-names":false,"suffix":""}],"container-title":"Journal of virus eradication","id":"ITEM-1","issue":"2","issued":{"date-parts":[["2022","6","1"]]},"publisher":"J Virus Erad","title":"Efficacy of the hepatitis B vaccine alone in the prevention of hepatitis B perinatal transmission in infants born to hepatitis B e antigen-negative carrier mothers","type":"article-journal","volume":"8"},"uris":["http://www.mendeley.com/documents/?uuid=a973e7cd-b154-3769-8c2d-120d0a3a3b05"]}],"mendeley":{"formattedCitation":"(22)","plainTextFormattedCitation":"(22)","previouslyFormattedCitation":"(Zhang et al., 2022)"},"properties":{"noteIndex":0},"schema":"https://github.com/citation-style-language/schema/raw/master/csl-citation.json"}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00A225BD" w:rsidRPr="00A225BD">
        <w:rPr>
          <w:rFonts w:ascii="Times New Roman" w:eastAsia="Times New Roman" w:hAnsi="Times New Roman" w:cs="Times New Roman"/>
          <w:noProof/>
          <w:sz w:val="24"/>
          <w:szCs w:val="24"/>
        </w:rPr>
        <w:t>(22)</w:t>
      </w:r>
      <w:r>
        <w:rPr>
          <w:rFonts w:ascii="Times New Roman" w:eastAsia="Times New Roman" w:hAnsi="Times New Roman" w:cs="Times New Roman"/>
          <w:sz w:val="24"/>
          <w:szCs w:val="24"/>
        </w:rPr>
        <w:fldChar w:fldCharType="end"/>
      </w:r>
      <w:r w:rsidRPr="001C43FF">
        <w:rPr>
          <w:rFonts w:ascii="Times New Roman" w:eastAsia="Times New Roman" w:hAnsi="Times New Roman" w:cs="Times New Roman"/>
          <w:sz w:val="24"/>
          <w:szCs w:val="24"/>
        </w:rPr>
        <w:t xml:space="preserve">. Infants born to mothers with HBV after vaccination had a 1.9% transmission rate, according to another study </w:t>
      </w:r>
      <w:r>
        <w:rPr>
          <w:rFonts w:ascii="Times New Roman" w:eastAsia="Times New Roman" w:hAnsi="Times New Roman" w:cs="Times New Roman"/>
          <w:sz w:val="24"/>
          <w:szCs w:val="24"/>
        </w:rPr>
        <w:fldChar w:fldCharType="begin" w:fldLock="1"/>
      </w:r>
      <w:r w:rsidR="00A225BD">
        <w:rPr>
          <w:rFonts w:ascii="Times New Roman" w:eastAsia="Times New Roman" w:hAnsi="Times New Roman" w:cs="Times New Roman"/>
          <w:sz w:val="24"/>
          <w:szCs w:val="24"/>
        </w:rPr>
        <w:instrText>ADDIN CSL_CITATION {"citationItems":[{"id":"ITEM-1","itemData":{"DOI":"10.1038/s41598-022-15744-z","ISSN":"2045-2322","PMID":"35817837","abstract":"To evaluate the efficiency of a 20&amp;nbsp;μg hepatitis B vaccine(HepB) for disease prevention in two counties in Henan Province, China. A questionnaire was designed to examine the information of hepatitis B surface antigen (HBsAg) positive pregnant women, and their blood samples were collected to test for hepatitis B e antigen (HBeAg), hepatitis B e antibody, and hepatitis B virus (HBV) DNA. Three doses of 20&amp;nbsp;μg HepB and one dose of hepatitis B immune globulin(HBIG) were administered to newborns. Blood samples were collected from children one month after their complete immunization to test for HBsAg and hepatitis B surface antibody(HBsAb). A total of 419 HBsAg positive-pregnant women and 430 newborns were investigated. The average age of pregnant women was 29.6 ± 4.3&amp;nbsp;years, with an HBeAg positive rate of 29.1% (122/419). All newborns received their first dose of 20&amp;nbsp;μg hepatitis B vaccine and 100&amp;nbsp;IU HBIG within 12&amp;nbsp;h after birth. Six infants (1.9%, 6/319) tested positive for HBsAg and negative for HBsAb after one month of receiving the three basic doses of HepB. The geometric mean concentration(GMC) of HBsAb-positive infants was 861.6 mIU/mL, and their HBsAb antibody titers decreased with age. Immunization of children born to HBsAg-positive mothers with 20&amp;nbsp;μg HepB got the satisfactory effect on preventing mother-to-child transmission.","author":[{"dropping-particle":"","family":"Yonghao","given":"Guo","non-dropping-particle":"","parse-names":false,"suffix":""},{"dropping-particle":"","family":"Yanping","given":"Chen","non-dropping-particle":"","parse-names":false,"suffix":""},{"dropping-particle":"","family":"Qiaohua","given":"Dou","non-dropping-particle":"","parse-names":false,"suffix":""},{"dropping-particle":"","family":"Daxing","given":"Feng","non-dropping-particle":"","parse-names":false,"suffix":""},{"dropping-particle":"","family":"Yanyang","given":"Zhang","non-dropping-particle":"","parse-names":false,"suffix":""},{"dropping-particle":"","family":"Dongyang","given":"Zhao","non-dropping-particle":"","parse-names":false,"suffix":""},{"dropping-particle":"","family":"Wanshen","given":"Guo","non-dropping-particle":"","parse-names":false,"suffix":""}],"container-title":"Scientific Reports 2022 12:1","id":"ITEM-1","issue":"1","issued":{"date-parts":[["2022","7","11"]]},"page":"1-8","publisher":"Nature Publishing Group","title":"The effectiveness of 20 μg hepatitis B vaccine used for the prevention of HBV vertical transmission","type":"article-journal","volume":"12"},"uris":["http://www.mendeley.com/documents/?uuid=c4dbf38e-6a9f-3adf-ae5e-4773910959e8"]}],"mendeley":{"formattedCitation":"(23)","plainTextFormattedCitation":"(23)","previouslyFormattedCitation":"(Yonghao et al., 2022)"},"properties":{"noteIndex":0},"schema":"https://github.com/citation-style-language/schema/raw/master/csl-citation.json"}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00A225BD" w:rsidRPr="00A225BD">
        <w:rPr>
          <w:rFonts w:ascii="Times New Roman" w:eastAsia="Times New Roman" w:hAnsi="Times New Roman" w:cs="Times New Roman"/>
          <w:noProof/>
          <w:sz w:val="24"/>
          <w:szCs w:val="24"/>
        </w:rPr>
        <w:t>(23)</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p>
    <w:p w14:paraId="4DADF8FE" w14:textId="77777777" w:rsidR="00706D7A" w:rsidRPr="00706D7A" w:rsidRDefault="00706D7A" w:rsidP="00706D7A">
      <w:pPr>
        <w:spacing w:after="0" w:line="240" w:lineRule="auto"/>
        <w:jc w:val="both"/>
        <w:rPr>
          <w:rFonts w:ascii="Times New Roman" w:eastAsia="Times New Roman" w:hAnsi="Times New Roman" w:cs="Times New Roman"/>
          <w:sz w:val="24"/>
          <w:szCs w:val="24"/>
        </w:rPr>
      </w:pPr>
    </w:p>
    <w:p w14:paraId="26360303" w14:textId="77777777" w:rsidR="001C43FF" w:rsidRPr="00B85B81" w:rsidRDefault="001C43FF" w:rsidP="005A6880">
      <w:pPr>
        <w:jc w:val="both"/>
        <w:rPr>
          <w:rFonts w:ascii="Times New Roman" w:eastAsia="Times New Roman" w:hAnsi="Times New Roman" w:cs="Times New Roman"/>
          <w:b/>
          <w:sz w:val="24"/>
          <w:szCs w:val="24"/>
        </w:rPr>
      </w:pPr>
      <w:r w:rsidRPr="001C43FF">
        <w:rPr>
          <w:rFonts w:ascii="Times New Roman" w:eastAsia="Times New Roman" w:hAnsi="Times New Roman" w:cs="Times New Roman"/>
          <w:b/>
          <w:sz w:val="24"/>
          <w:szCs w:val="24"/>
        </w:rPr>
        <w:t>Conclusion</w:t>
      </w:r>
    </w:p>
    <w:p w14:paraId="011E62A9" w14:textId="572914F0" w:rsidR="00C15F92" w:rsidRDefault="00C15F92" w:rsidP="00C15F92">
      <w:pPr>
        <w:jc w:val="both"/>
        <w:rPr>
          <w:rFonts w:ascii="Times New Roman" w:hAnsi="Times New Roman" w:cs="Times New Roman"/>
          <w:sz w:val="24"/>
          <w:szCs w:val="24"/>
        </w:rPr>
      </w:pPr>
      <w:r w:rsidRPr="00B85B81">
        <w:rPr>
          <w:rFonts w:ascii="Times New Roman" w:hAnsi="Times New Roman" w:cs="Times New Roman"/>
          <w:sz w:val="24"/>
          <w:szCs w:val="24"/>
        </w:rPr>
        <w:t xml:space="preserve">In conclusion, hepatitis B infection among pregnant women in Abyei, South Sudan, represents a significant public health challenge that requires urgent attention. This study highlights the heightened risk associated with the presence of sexually transmitted infections (STIs) and the use of intravenous medication, emphasizing the need for targeted interventions to mitigate these risk factors. Integrating hepatitis B preventive services into routine antenatal care, including screening, vaccination, and awareness programs, is crucial. This can be achieved by training healthcare professionals, ensuring necessary resources, and providing prophylactic services for infants born to HBV-positive mothers. Antiviral treatment should be made available for pregnant women with high viral loads to mitigate mother-to-child transmission risks. </w:t>
      </w:r>
    </w:p>
    <w:p w14:paraId="21DEA825" w14:textId="77777777" w:rsidR="00A05834" w:rsidRPr="00A05834" w:rsidRDefault="00A05834" w:rsidP="00A05834">
      <w:pPr>
        <w:jc w:val="both"/>
        <w:rPr>
          <w:rFonts w:ascii="Times New Roman" w:hAnsi="Times New Roman" w:cs="Times New Roman"/>
          <w:sz w:val="24"/>
          <w:szCs w:val="24"/>
        </w:rPr>
      </w:pPr>
      <w:r w:rsidRPr="00A05834">
        <w:rPr>
          <w:rFonts w:ascii="Times New Roman" w:hAnsi="Times New Roman" w:cs="Times New Roman"/>
          <w:sz w:val="24"/>
          <w:szCs w:val="24"/>
        </w:rPr>
        <w:lastRenderedPageBreak/>
        <w:t xml:space="preserve">Consent </w:t>
      </w:r>
    </w:p>
    <w:p w14:paraId="5E1518FF" w14:textId="7A59BA75" w:rsidR="00EC7748" w:rsidRDefault="00A05834" w:rsidP="00A05834">
      <w:pPr>
        <w:jc w:val="both"/>
        <w:rPr>
          <w:rFonts w:ascii="Times New Roman" w:hAnsi="Times New Roman" w:cs="Times New Roman"/>
          <w:sz w:val="24"/>
          <w:szCs w:val="24"/>
        </w:rPr>
      </w:pPr>
      <w:r w:rsidRPr="00A05834">
        <w:rPr>
          <w:rFonts w:ascii="Times New Roman" w:hAnsi="Times New Roman" w:cs="Times New Roman"/>
          <w:sz w:val="24"/>
          <w:szCs w:val="24"/>
        </w:rPr>
        <w:t xml:space="preserve">As per international standards or university standards, patient(s) written consent </w:t>
      </w:r>
      <w:proofErr w:type="gramStart"/>
      <w:r w:rsidRPr="00A05834">
        <w:rPr>
          <w:rFonts w:ascii="Times New Roman" w:hAnsi="Times New Roman" w:cs="Times New Roman"/>
          <w:sz w:val="24"/>
          <w:szCs w:val="24"/>
        </w:rPr>
        <w:t>has been collected and preserved by the author(s)</w:t>
      </w:r>
      <w:proofErr w:type="gramEnd"/>
      <w:r w:rsidRPr="00A05834">
        <w:rPr>
          <w:rFonts w:ascii="Times New Roman" w:hAnsi="Times New Roman" w:cs="Times New Roman"/>
          <w:sz w:val="24"/>
          <w:szCs w:val="24"/>
        </w:rPr>
        <w:t>.</w:t>
      </w:r>
    </w:p>
    <w:p w14:paraId="5F53244C" w14:textId="77777777" w:rsidR="00A05834" w:rsidRDefault="00A05834" w:rsidP="00A05834">
      <w:pPr>
        <w:jc w:val="both"/>
        <w:rPr>
          <w:rFonts w:ascii="Times New Roman" w:hAnsi="Times New Roman" w:cs="Times New Roman"/>
          <w:sz w:val="24"/>
          <w:szCs w:val="24"/>
        </w:rPr>
      </w:pPr>
      <w:bookmarkStart w:id="1" w:name="_GoBack"/>
      <w:bookmarkEnd w:id="1"/>
    </w:p>
    <w:p w14:paraId="7C95B77B" w14:textId="77777777" w:rsidR="00EC7748" w:rsidRPr="009C5487" w:rsidRDefault="00EC7748" w:rsidP="00EC7748">
      <w:pPr>
        <w:rPr>
          <w:rFonts w:ascii="Calibri" w:eastAsia="Calibri" w:hAnsi="Calibri" w:cs="Times New Roman"/>
          <w:kern w:val="2"/>
          <w:highlight w:val="yellow"/>
        </w:rPr>
      </w:pPr>
      <w:bookmarkStart w:id="2" w:name="_Hlk193540946"/>
      <w:bookmarkStart w:id="3" w:name="_Hlk180402183"/>
      <w:bookmarkStart w:id="4" w:name="_Hlk183680988"/>
      <w:r w:rsidRPr="009C5487">
        <w:rPr>
          <w:rFonts w:ascii="Calibri" w:eastAsia="Calibri" w:hAnsi="Calibri" w:cs="Times New Roman"/>
          <w:kern w:val="2"/>
          <w:highlight w:val="yellow"/>
        </w:rPr>
        <w:t>Disclaimer (Artificial intelligence)</w:t>
      </w:r>
    </w:p>
    <w:p w14:paraId="16ACE10C" w14:textId="77777777" w:rsidR="00EC7748" w:rsidRPr="009C5487" w:rsidRDefault="00EC7748" w:rsidP="00EC7748">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01424A7A" w14:textId="77777777" w:rsidR="00EC7748" w:rsidRPr="009C5487" w:rsidRDefault="00EC7748" w:rsidP="00EC7748">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672FD7E0" w14:textId="77777777" w:rsidR="00EC7748" w:rsidRPr="009C5487" w:rsidRDefault="00EC7748" w:rsidP="00EC7748">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31799700" w14:textId="77777777" w:rsidR="00EC7748" w:rsidRPr="009C5487" w:rsidRDefault="00EC7748" w:rsidP="00EC7748">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0A2AC26" w14:textId="77777777" w:rsidR="00EC7748" w:rsidRPr="009C5487" w:rsidRDefault="00EC7748" w:rsidP="00EC7748">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1BB2FCC8" w14:textId="1000ACD5" w:rsidR="00EC7748" w:rsidRPr="009C5487" w:rsidRDefault="00EC7748" w:rsidP="00EC7748">
      <w:pPr>
        <w:rPr>
          <w:rFonts w:ascii="Calibri" w:eastAsia="Calibri" w:hAnsi="Calibri" w:cs="Times New Roman"/>
          <w:kern w:val="2"/>
          <w:highlight w:val="yellow"/>
        </w:rPr>
      </w:pPr>
      <w:r w:rsidRPr="009C5487">
        <w:rPr>
          <w:rFonts w:ascii="Calibri" w:eastAsia="Calibri" w:hAnsi="Calibri" w:cs="Times New Roman"/>
          <w:kern w:val="2"/>
          <w:highlight w:val="yellow"/>
        </w:rPr>
        <w:t>1.</w:t>
      </w:r>
      <w:r w:rsidR="00064EE3">
        <w:rPr>
          <w:rFonts w:ascii="Calibri" w:eastAsia="Calibri" w:hAnsi="Calibri" w:cs="Times New Roman"/>
          <w:kern w:val="2"/>
          <w:highlight w:val="yellow"/>
        </w:rPr>
        <w:t xml:space="preserve"> Option 1</w:t>
      </w:r>
    </w:p>
    <w:p w14:paraId="3C98495E" w14:textId="77777777" w:rsidR="00EC7748" w:rsidRPr="009C5487" w:rsidRDefault="00EC7748" w:rsidP="00EC7748">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39436447" w14:textId="77777777" w:rsidR="00EC7748" w:rsidRPr="009C5487" w:rsidRDefault="00EC7748" w:rsidP="00EC7748">
      <w:pPr>
        <w:rPr>
          <w:rFonts w:ascii="Calibri" w:eastAsia="Calibri" w:hAnsi="Calibri" w:cs="Times New Roman"/>
          <w:kern w:val="2"/>
        </w:rPr>
      </w:pPr>
      <w:r w:rsidRPr="009C5487">
        <w:rPr>
          <w:rFonts w:ascii="Calibri" w:eastAsia="Calibri" w:hAnsi="Calibri" w:cs="Times New Roman"/>
          <w:kern w:val="2"/>
          <w:highlight w:val="yellow"/>
        </w:rPr>
        <w:t>3.</w:t>
      </w:r>
      <w:bookmarkEnd w:id="2"/>
    </w:p>
    <w:bookmarkEnd w:id="3"/>
    <w:bookmarkEnd w:id="4"/>
    <w:p w14:paraId="6CB52693" w14:textId="77777777" w:rsidR="00EC7748" w:rsidRPr="00B85B81" w:rsidRDefault="00EC7748" w:rsidP="00C15F92">
      <w:pPr>
        <w:jc w:val="both"/>
        <w:rPr>
          <w:rFonts w:ascii="Times New Roman" w:hAnsi="Times New Roman" w:cs="Times New Roman"/>
          <w:sz w:val="24"/>
          <w:szCs w:val="24"/>
        </w:rPr>
      </w:pPr>
    </w:p>
    <w:p w14:paraId="15CF9E03" w14:textId="2D58B210" w:rsidR="00B85B81" w:rsidRDefault="00B85B81" w:rsidP="00B85B81">
      <w:pPr>
        <w:spacing w:line="240" w:lineRule="auto"/>
        <w:jc w:val="both"/>
        <w:rPr>
          <w:rFonts w:ascii="Times New Roman" w:hAnsi="Times New Roman" w:cs="Times New Roman"/>
          <w:color w:val="000000" w:themeColor="text1"/>
          <w:sz w:val="24"/>
          <w:szCs w:val="24"/>
        </w:rPr>
      </w:pPr>
    </w:p>
    <w:p w14:paraId="3EB3EAED" w14:textId="77777777" w:rsidR="00932894" w:rsidRDefault="00932894" w:rsidP="00B85B81">
      <w:pPr>
        <w:spacing w:line="240" w:lineRule="auto"/>
        <w:jc w:val="both"/>
        <w:rPr>
          <w:rFonts w:ascii="Times New Roman" w:hAnsi="Times New Roman" w:cs="Times New Roman"/>
          <w:color w:val="000000" w:themeColor="text1"/>
          <w:sz w:val="24"/>
          <w:szCs w:val="24"/>
        </w:rPr>
      </w:pPr>
    </w:p>
    <w:p w14:paraId="58ED9E2C" w14:textId="77777777" w:rsidR="00B85B81" w:rsidRPr="006E7CD4" w:rsidRDefault="006E7CD4" w:rsidP="00A225BD">
      <w:pPr>
        <w:spacing w:line="240" w:lineRule="auto"/>
        <w:jc w:val="both"/>
        <w:rPr>
          <w:rFonts w:ascii="Times New Roman" w:hAnsi="Times New Roman" w:cs="Times New Roman"/>
          <w:b/>
          <w:color w:val="000000" w:themeColor="text1"/>
          <w:sz w:val="24"/>
          <w:szCs w:val="24"/>
        </w:rPr>
      </w:pPr>
      <w:r w:rsidRPr="006E7CD4">
        <w:rPr>
          <w:rFonts w:ascii="Times New Roman" w:hAnsi="Times New Roman" w:cs="Times New Roman"/>
          <w:b/>
          <w:color w:val="000000" w:themeColor="text1"/>
          <w:sz w:val="24"/>
          <w:szCs w:val="24"/>
        </w:rPr>
        <w:t>References</w:t>
      </w:r>
    </w:p>
    <w:p w14:paraId="2ED9E9F5" w14:textId="77777777" w:rsidR="00A225BD" w:rsidRPr="00A225BD" w:rsidRDefault="006E7CD4" w:rsidP="00A225BD">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 xml:space="preserve">ADDIN Mendeley Bibliography CSL_BIBLIOGRAPHY </w:instrText>
      </w:r>
      <w:r>
        <w:rPr>
          <w:rFonts w:ascii="Times New Roman" w:hAnsi="Times New Roman" w:cs="Times New Roman"/>
          <w:color w:val="000000" w:themeColor="text1"/>
          <w:sz w:val="24"/>
          <w:szCs w:val="24"/>
        </w:rPr>
        <w:fldChar w:fldCharType="separate"/>
      </w:r>
      <w:r w:rsidR="00A225BD" w:rsidRPr="00A225BD">
        <w:rPr>
          <w:rFonts w:ascii="Times New Roman" w:hAnsi="Times New Roman" w:cs="Times New Roman"/>
          <w:noProof/>
          <w:sz w:val="24"/>
          <w:szCs w:val="24"/>
        </w:rPr>
        <w:t xml:space="preserve">1. </w:t>
      </w:r>
      <w:r w:rsidR="00A225BD" w:rsidRPr="00A225BD">
        <w:rPr>
          <w:rFonts w:ascii="Times New Roman" w:hAnsi="Times New Roman" w:cs="Times New Roman"/>
          <w:noProof/>
          <w:sz w:val="24"/>
          <w:szCs w:val="24"/>
        </w:rPr>
        <w:tab/>
        <w:t>WHO. Tackling the increasing burden of viral hepatitis in South Sudan [Internet]. 2024 [cited 2024 Dec 5]. Available from: https://www.afro.who.int/countries/south-sudan/news/tackling-increasing-burden-viral-hepatitis-south-sudan</w:t>
      </w:r>
    </w:p>
    <w:p w14:paraId="78F12C06" w14:textId="77777777" w:rsidR="00A225BD" w:rsidRPr="00A225BD" w:rsidRDefault="00A225BD" w:rsidP="00A225BD">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A225BD">
        <w:rPr>
          <w:rFonts w:ascii="Times New Roman" w:hAnsi="Times New Roman" w:cs="Times New Roman"/>
          <w:noProof/>
          <w:sz w:val="24"/>
          <w:szCs w:val="24"/>
        </w:rPr>
        <w:t xml:space="preserve">2. </w:t>
      </w:r>
      <w:r w:rsidRPr="00A225BD">
        <w:rPr>
          <w:rFonts w:ascii="Times New Roman" w:hAnsi="Times New Roman" w:cs="Times New Roman"/>
          <w:noProof/>
          <w:sz w:val="24"/>
          <w:szCs w:val="24"/>
        </w:rPr>
        <w:tab/>
        <w:t>WHO. Hepatitis B. 2023; Available from: https://www.who.int/news-room/fact-sheets/detail/hepatitis-b</w:t>
      </w:r>
    </w:p>
    <w:p w14:paraId="5732E215" w14:textId="77777777" w:rsidR="00A225BD" w:rsidRPr="00A225BD" w:rsidRDefault="00A225BD" w:rsidP="00A225BD">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A225BD">
        <w:rPr>
          <w:rFonts w:ascii="Times New Roman" w:hAnsi="Times New Roman" w:cs="Times New Roman"/>
          <w:noProof/>
          <w:sz w:val="24"/>
          <w:szCs w:val="24"/>
        </w:rPr>
        <w:t xml:space="preserve">3. </w:t>
      </w:r>
      <w:r w:rsidRPr="00A225BD">
        <w:rPr>
          <w:rFonts w:ascii="Times New Roman" w:hAnsi="Times New Roman" w:cs="Times New Roman"/>
          <w:noProof/>
          <w:sz w:val="24"/>
          <w:szCs w:val="24"/>
        </w:rPr>
        <w:tab/>
        <w:t xml:space="preserve">WHO. 91 million Africans infected with Hepatitis B or C. 2022. </w:t>
      </w:r>
    </w:p>
    <w:p w14:paraId="56181BDD" w14:textId="77777777" w:rsidR="00A225BD" w:rsidRPr="00A225BD" w:rsidRDefault="00A225BD" w:rsidP="00A225BD">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A225BD">
        <w:rPr>
          <w:rFonts w:ascii="Times New Roman" w:hAnsi="Times New Roman" w:cs="Times New Roman"/>
          <w:noProof/>
          <w:sz w:val="24"/>
          <w:szCs w:val="24"/>
        </w:rPr>
        <w:t xml:space="preserve">4. </w:t>
      </w:r>
      <w:r w:rsidRPr="00A225BD">
        <w:rPr>
          <w:rFonts w:ascii="Times New Roman" w:hAnsi="Times New Roman" w:cs="Times New Roman"/>
          <w:noProof/>
          <w:sz w:val="24"/>
          <w:szCs w:val="24"/>
        </w:rPr>
        <w:tab/>
        <w:t>Dan-Nwafor CC, Adeoye I, Aderemi K, Adedire MOE, Bashorun A, Osunkwo D, et al. Serological markers and risk factors associated with Hepatitis B virus infection among Federal Capital Territory prison inmates, Nigeria: Should we be concerned? PLoS One [Internet]. 2021 Mar 1 [cited 2024 May 30];16(3):e0248045. Available from: https://journals.plos.org/plosone/article?id=10.1371/journal.pone.0248045</w:t>
      </w:r>
    </w:p>
    <w:p w14:paraId="75F1DE20" w14:textId="77777777" w:rsidR="00A225BD" w:rsidRPr="00A225BD" w:rsidRDefault="00A225BD" w:rsidP="00A225BD">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A225BD">
        <w:rPr>
          <w:rFonts w:ascii="Times New Roman" w:hAnsi="Times New Roman" w:cs="Times New Roman"/>
          <w:noProof/>
          <w:sz w:val="24"/>
          <w:szCs w:val="24"/>
        </w:rPr>
        <w:t xml:space="preserve">5. </w:t>
      </w:r>
      <w:r w:rsidRPr="00A225BD">
        <w:rPr>
          <w:rFonts w:ascii="Times New Roman" w:hAnsi="Times New Roman" w:cs="Times New Roman"/>
          <w:noProof/>
          <w:sz w:val="24"/>
          <w:szCs w:val="24"/>
        </w:rPr>
        <w:tab/>
        <w:t xml:space="preserve">Lama JR, Agurto HS, Guanira J V., Ganoza C, Casapia M, Ojeda N, et al. Hepatitis B </w:t>
      </w:r>
      <w:r w:rsidRPr="00A225BD">
        <w:rPr>
          <w:rFonts w:ascii="Times New Roman" w:hAnsi="Times New Roman" w:cs="Times New Roman"/>
          <w:noProof/>
          <w:sz w:val="24"/>
          <w:szCs w:val="24"/>
        </w:rPr>
        <w:lastRenderedPageBreak/>
        <w:t>Infection and Association with Other Sexually Transmitted Infections Among Men Who Have Sex with Men in Peru. Am J Trop Med Hyg [Internet]. 2021 Jul [cited 2024 May 30];83(1):194. Available from: /pmc/articles/PMC2912599/</w:t>
      </w:r>
    </w:p>
    <w:p w14:paraId="5AE36098" w14:textId="77777777" w:rsidR="00A225BD" w:rsidRPr="00A225BD" w:rsidRDefault="00A225BD" w:rsidP="00A225BD">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A225BD">
        <w:rPr>
          <w:rFonts w:ascii="Times New Roman" w:hAnsi="Times New Roman" w:cs="Times New Roman"/>
          <w:noProof/>
          <w:sz w:val="24"/>
          <w:szCs w:val="24"/>
        </w:rPr>
        <w:t xml:space="preserve">6. </w:t>
      </w:r>
      <w:r w:rsidRPr="00A225BD">
        <w:rPr>
          <w:rFonts w:ascii="Times New Roman" w:hAnsi="Times New Roman" w:cs="Times New Roman"/>
          <w:noProof/>
          <w:sz w:val="24"/>
          <w:szCs w:val="24"/>
        </w:rPr>
        <w:tab/>
        <w:t xml:space="preserve">Ssekamatte T, Isunju JB, Nalugya A, Wafula ST, Nuwematsiko R, Nakalembe D, et al. Distribution of Hepatitis B prevention services in Wakiso District, Central Uganda. PLOS Glob Public Heal. 2023 Sep 22;3(9):e0000478. </w:t>
      </w:r>
    </w:p>
    <w:p w14:paraId="5FFD8181" w14:textId="77777777" w:rsidR="00A225BD" w:rsidRPr="00A225BD" w:rsidRDefault="00A225BD" w:rsidP="00A225BD">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A225BD">
        <w:rPr>
          <w:rFonts w:ascii="Times New Roman" w:hAnsi="Times New Roman" w:cs="Times New Roman"/>
          <w:noProof/>
          <w:sz w:val="24"/>
          <w:szCs w:val="24"/>
        </w:rPr>
        <w:t xml:space="preserve">7. </w:t>
      </w:r>
      <w:r w:rsidRPr="00A225BD">
        <w:rPr>
          <w:rFonts w:ascii="Times New Roman" w:hAnsi="Times New Roman" w:cs="Times New Roman"/>
          <w:noProof/>
          <w:sz w:val="24"/>
          <w:szCs w:val="24"/>
        </w:rPr>
        <w:tab/>
        <w:t>Tesfu MA, Habtemariam TT, Berhe Belay N. Risk factors associated with Hepatitis B virus infection among pregnant women attending public hospitals in Addis Ababa, Ethiopia. PLoS One [Internet]. 2023 Apr 1 [cited 2024 May 30];18(4):e0284646. Available from: https://journals.plos.org/plosone/article?id=10.1371/journal.pone.0284646</w:t>
      </w:r>
    </w:p>
    <w:p w14:paraId="1B5E2D59" w14:textId="77777777" w:rsidR="00A225BD" w:rsidRPr="00A225BD" w:rsidRDefault="00A225BD" w:rsidP="00A225BD">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A225BD">
        <w:rPr>
          <w:rFonts w:ascii="Times New Roman" w:hAnsi="Times New Roman" w:cs="Times New Roman"/>
          <w:noProof/>
          <w:sz w:val="24"/>
          <w:szCs w:val="24"/>
        </w:rPr>
        <w:t xml:space="preserve">8. </w:t>
      </w:r>
      <w:r w:rsidRPr="00A225BD">
        <w:rPr>
          <w:rFonts w:ascii="Times New Roman" w:hAnsi="Times New Roman" w:cs="Times New Roman"/>
          <w:noProof/>
          <w:sz w:val="24"/>
          <w:szCs w:val="24"/>
        </w:rPr>
        <w:tab/>
        <w:t xml:space="preserve">Weldebrhan D, Berhe H, Tesfay Y. Risk Factors for Hepatitis B Virus Infection in North Ethiopia: A Case–Control Study. Hepatic Med Evid Res. 2023 Jul;Volume 15:79–91. </w:t>
      </w:r>
    </w:p>
    <w:p w14:paraId="06FE7000" w14:textId="77777777" w:rsidR="00A225BD" w:rsidRPr="00A225BD" w:rsidRDefault="00A225BD" w:rsidP="00A225BD">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A225BD">
        <w:rPr>
          <w:rFonts w:ascii="Times New Roman" w:hAnsi="Times New Roman" w:cs="Times New Roman"/>
          <w:noProof/>
          <w:sz w:val="24"/>
          <w:szCs w:val="24"/>
        </w:rPr>
        <w:t xml:space="preserve">9. </w:t>
      </w:r>
      <w:r w:rsidRPr="00A225BD">
        <w:rPr>
          <w:rFonts w:ascii="Times New Roman" w:hAnsi="Times New Roman" w:cs="Times New Roman"/>
          <w:noProof/>
          <w:sz w:val="24"/>
          <w:szCs w:val="24"/>
        </w:rPr>
        <w:tab/>
        <w:t>Chan TT, Chan WK, Wong GLH, Chan AWH, Nik Mustapha NR, Chan SL, et al. Positive Hepatitis B Core Antibody Is Associated with Cirrhosis and Hepatocellular Carcinoma in Nonalcoholic Fatty Liver Disease. Am J Gastroenterol [Internet]. 2020 Jun 1 [cited 2024 May 31];115(6):867–75. Available from: https://journals.lww.com/ajg/fulltext/2020/06000/positive_hepatitis_b_core_antibody_is_associated.16.aspx</w:t>
      </w:r>
    </w:p>
    <w:p w14:paraId="6A1B5A1C" w14:textId="77777777" w:rsidR="00A225BD" w:rsidRPr="00A225BD" w:rsidRDefault="00A225BD" w:rsidP="00A225BD">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A225BD">
        <w:rPr>
          <w:rFonts w:ascii="Times New Roman" w:hAnsi="Times New Roman" w:cs="Times New Roman"/>
          <w:noProof/>
          <w:sz w:val="24"/>
          <w:szCs w:val="24"/>
        </w:rPr>
        <w:t xml:space="preserve">10. </w:t>
      </w:r>
      <w:r w:rsidRPr="00A225BD">
        <w:rPr>
          <w:rFonts w:ascii="Times New Roman" w:hAnsi="Times New Roman" w:cs="Times New Roman"/>
          <w:noProof/>
          <w:sz w:val="24"/>
          <w:szCs w:val="24"/>
        </w:rPr>
        <w:tab/>
        <w:t>Dagnew M, Million Y, Gizachew M, Eshetie S, Yitayew G, Asrade L, et al. Hepatitis B and C Viruses’ Infection and Associated Factors among Pregnant Women Attending Antenatal Care in Hospitals in the Amhara National Regional State, Ethiopia. Int J Microbiol [Internet]. 2020 [cited 2024 May 30];2020. Available from: /pmc/articles/PMC7568777/</w:t>
      </w:r>
    </w:p>
    <w:p w14:paraId="365CC129" w14:textId="77777777" w:rsidR="00A225BD" w:rsidRPr="00A225BD" w:rsidRDefault="00A225BD" w:rsidP="00A225BD">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A225BD">
        <w:rPr>
          <w:rFonts w:ascii="Times New Roman" w:hAnsi="Times New Roman" w:cs="Times New Roman"/>
          <w:noProof/>
          <w:sz w:val="24"/>
          <w:szCs w:val="24"/>
        </w:rPr>
        <w:t xml:space="preserve">11. </w:t>
      </w:r>
      <w:r w:rsidRPr="00A225BD">
        <w:rPr>
          <w:rFonts w:ascii="Times New Roman" w:hAnsi="Times New Roman" w:cs="Times New Roman"/>
          <w:noProof/>
          <w:sz w:val="24"/>
          <w:szCs w:val="24"/>
        </w:rPr>
        <w:tab/>
        <w:t>Makokha GN, Zhang P, Hayes CN, Songok E, Chayama K. The burden of Hepatitis B virus infection in Kenya: A systematic review and meta-analysis. Front public Heal [Internet]. 2023 Jan 26 [cited 2024 Mar 6];11. Available from: https://pubmed.ncbi.nlm.nih.gov/36778557/</w:t>
      </w:r>
    </w:p>
    <w:p w14:paraId="1F6B0555" w14:textId="77777777" w:rsidR="00A225BD" w:rsidRPr="00A225BD" w:rsidRDefault="00A225BD" w:rsidP="00A225BD">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A225BD">
        <w:rPr>
          <w:rFonts w:ascii="Times New Roman" w:hAnsi="Times New Roman" w:cs="Times New Roman"/>
          <w:noProof/>
          <w:sz w:val="24"/>
          <w:szCs w:val="24"/>
        </w:rPr>
        <w:t xml:space="preserve">12. </w:t>
      </w:r>
      <w:r w:rsidRPr="00A225BD">
        <w:rPr>
          <w:rFonts w:ascii="Times New Roman" w:hAnsi="Times New Roman" w:cs="Times New Roman"/>
          <w:noProof/>
          <w:sz w:val="24"/>
          <w:szCs w:val="24"/>
        </w:rPr>
        <w:tab/>
        <w:t>Pouri AA, Ghojazadeh M, Shirmohammadi M, Eftekhar-Sadat AT, Somi MH. Seroepidemiology and Risk Factors of Hepatitis B Virus Infection: A Population-Based Azar Cohort Study. Iran J Public Health [Internet]. 2020 [cited 2024 May 30];49(11):2152. Available from: /pmc/articles/PMC7917508/</w:t>
      </w:r>
    </w:p>
    <w:p w14:paraId="67B853A3" w14:textId="77777777" w:rsidR="00A225BD" w:rsidRPr="00A225BD" w:rsidRDefault="00A225BD" w:rsidP="00A225BD">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A225BD">
        <w:rPr>
          <w:rFonts w:ascii="Times New Roman" w:hAnsi="Times New Roman" w:cs="Times New Roman"/>
          <w:noProof/>
          <w:sz w:val="24"/>
          <w:szCs w:val="24"/>
        </w:rPr>
        <w:t xml:space="preserve">13. </w:t>
      </w:r>
      <w:r w:rsidRPr="00A225BD">
        <w:rPr>
          <w:rFonts w:ascii="Times New Roman" w:hAnsi="Times New Roman" w:cs="Times New Roman"/>
          <w:noProof/>
          <w:sz w:val="24"/>
          <w:szCs w:val="24"/>
        </w:rPr>
        <w:tab/>
        <w:t>Jr JK. Gender and Risk Behaviors Association With Hepatitis-B Infections Among Liberia Military Personnel. Walden Diss Dr Stud [Internet]. 2022 Jan 1 [cited 2024 May 30]; Available from: https://scholarworks.waldenu.edu/dissertations/13507</w:t>
      </w:r>
    </w:p>
    <w:p w14:paraId="256D722D" w14:textId="77777777" w:rsidR="00A225BD" w:rsidRPr="00A225BD" w:rsidRDefault="00A225BD" w:rsidP="00A225BD">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A225BD">
        <w:rPr>
          <w:rFonts w:ascii="Times New Roman" w:hAnsi="Times New Roman" w:cs="Times New Roman"/>
          <w:noProof/>
          <w:sz w:val="24"/>
          <w:szCs w:val="24"/>
        </w:rPr>
        <w:t xml:space="preserve">14. </w:t>
      </w:r>
      <w:r w:rsidRPr="00A225BD">
        <w:rPr>
          <w:rFonts w:ascii="Times New Roman" w:hAnsi="Times New Roman" w:cs="Times New Roman"/>
          <w:noProof/>
          <w:sz w:val="24"/>
          <w:szCs w:val="24"/>
        </w:rPr>
        <w:tab/>
        <w:t xml:space="preserve">Michael Pou M, Dube J. Seroprevalence and associated risk factors for Hepatitis B Virus infections among apparently healthy pregnant mothers attending Anc in Rubkona primary health care center in Rubkona County, Unity State, South Sudan. Arch Hepat Res. 2021 Mar 5;004–13. </w:t>
      </w:r>
    </w:p>
    <w:p w14:paraId="72C1F9A4" w14:textId="77777777" w:rsidR="00A225BD" w:rsidRPr="00A225BD" w:rsidRDefault="00A225BD" w:rsidP="00A225BD">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A225BD">
        <w:rPr>
          <w:rFonts w:ascii="Times New Roman" w:hAnsi="Times New Roman" w:cs="Times New Roman"/>
          <w:noProof/>
          <w:sz w:val="24"/>
          <w:szCs w:val="24"/>
        </w:rPr>
        <w:t xml:space="preserve">15. </w:t>
      </w:r>
      <w:r w:rsidRPr="00A225BD">
        <w:rPr>
          <w:rFonts w:ascii="Times New Roman" w:hAnsi="Times New Roman" w:cs="Times New Roman"/>
          <w:noProof/>
          <w:sz w:val="24"/>
          <w:szCs w:val="24"/>
        </w:rPr>
        <w:tab/>
        <w:t xml:space="preserve">Ouoba S, Ko K, Lingani M, Nagashima S, Guingané AN, Bunthen E, et al. Intermediate hepatitis B virus infection prevalence among 1622 pregnant women in rural Burkina Faso and implications for mother-to-child transmission. Sci Reports 2023 131 [Internet]. 2023 Apr 14 [cited 2024 Dec 5];13(1):1–9. Available from: </w:t>
      </w:r>
      <w:r w:rsidRPr="00A225BD">
        <w:rPr>
          <w:rFonts w:ascii="Times New Roman" w:hAnsi="Times New Roman" w:cs="Times New Roman"/>
          <w:noProof/>
          <w:sz w:val="24"/>
          <w:szCs w:val="24"/>
        </w:rPr>
        <w:lastRenderedPageBreak/>
        <w:t>https://www.nature.com/articles/s41598-023-32766-3</w:t>
      </w:r>
    </w:p>
    <w:p w14:paraId="16930BDB" w14:textId="77777777" w:rsidR="00A225BD" w:rsidRPr="00A225BD" w:rsidRDefault="00A225BD" w:rsidP="00A225BD">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A225BD">
        <w:rPr>
          <w:rFonts w:ascii="Times New Roman" w:hAnsi="Times New Roman" w:cs="Times New Roman"/>
          <w:noProof/>
          <w:sz w:val="24"/>
          <w:szCs w:val="24"/>
        </w:rPr>
        <w:t xml:space="preserve">16. </w:t>
      </w:r>
      <w:r w:rsidRPr="00A225BD">
        <w:rPr>
          <w:rFonts w:ascii="Times New Roman" w:hAnsi="Times New Roman" w:cs="Times New Roman"/>
          <w:noProof/>
          <w:sz w:val="24"/>
          <w:szCs w:val="24"/>
        </w:rPr>
        <w:tab/>
        <w:t>Dortey BA, Anaba EA, Lassey AT, Damale NKR, Maya ET. Seroprevalence of Hepatitis B virus infection and associated factors among pregnant women at Korle-Bu Teaching Hospital, Ghana. PLoS One [Internet]. 2020 Apr 1 [cited 2024 Dec 5];15(4):e0232208. Available from: https://pmc.ncbi.nlm.nih.gov/articles/PMC7176112/</w:t>
      </w:r>
    </w:p>
    <w:p w14:paraId="223A8D07" w14:textId="77777777" w:rsidR="00A225BD" w:rsidRPr="00A225BD" w:rsidRDefault="00A225BD" w:rsidP="00A225BD">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A225BD">
        <w:rPr>
          <w:rFonts w:ascii="Times New Roman" w:hAnsi="Times New Roman" w:cs="Times New Roman"/>
          <w:noProof/>
          <w:sz w:val="24"/>
          <w:szCs w:val="24"/>
        </w:rPr>
        <w:t xml:space="preserve">17. </w:t>
      </w:r>
      <w:r w:rsidRPr="00A225BD">
        <w:rPr>
          <w:rFonts w:ascii="Times New Roman" w:hAnsi="Times New Roman" w:cs="Times New Roman"/>
          <w:noProof/>
          <w:sz w:val="24"/>
          <w:szCs w:val="24"/>
        </w:rPr>
        <w:tab/>
        <w:t>Roble AK, Roba KT, Mengistie B, Kure MA. Seroprevalence of Hepatitis B Virus and Associated Factors Among Pregnant Women Attending Antenatal Care in Public Health Facilities in Jigjiga Town, Eastern Ethiopia. Int J Womens Health [Internet]. 2021 [cited 2024 Dec 5];12:1299–310. Available from: https://pubmed.ncbi.nlm.nih.gov/33447090/</w:t>
      </w:r>
    </w:p>
    <w:p w14:paraId="3B410F6C" w14:textId="77777777" w:rsidR="00A225BD" w:rsidRPr="00A225BD" w:rsidRDefault="00A225BD" w:rsidP="00A225BD">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A225BD">
        <w:rPr>
          <w:rFonts w:ascii="Times New Roman" w:hAnsi="Times New Roman" w:cs="Times New Roman"/>
          <w:noProof/>
          <w:sz w:val="24"/>
          <w:szCs w:val="24"/>
        </w:rPr>
        <w:t xml:space="preserve">18. </w:t>
      </w:r>
      <w:r w:rsidRPr="00A225BD">
        <w:rPr>
          <w:rFonts w:ascii="Times New Roman" w:hAnsi="Times New Roman" w:cs="Times New Roman"/>
          <w:noProof/>
          <w:sz w:val="24"/>
          <w:szCs w:val="24"/>
        </w:rPr>
        <w:tab/>
        <w:t>Kampe A, Kannaiyan Abbai M, Tilahun D, Daka D, Aliyo A, Dedecha W, et al. Seroprevalence of Hepatitis B Virus Infection and Associated Factors Among Pregnant Women Attending Antenatal Care At Public Hospitals in Borena Zone, Southern Ethiopia. Heal Serv Res Manag Epidemiol [Internet]. 2023 Jan 1 [cited 2024 Dec 5];10. Available from: https://pubmed.ncbi.nlm.nih.gov/36970374/</w:t>
      </w:r>
    </w:p>
    <w:p w14:paraId="49F97FD2" w14:textId="77777777" w:rsidR="00A225BD" w:rsidRPr="00A225BD" w:rsidRDefault="00A225BD" w:rsidP="00A225BD">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A225BD">
        <w:rPr>
          <w:rFonts w:ascii="Times New Roman" w:hAnsi="Times New Roman" w:cs="Times New Roman"/>
          <w:noProof/>
          <w:sz w:val="24"/>
          <w:szCs w:val="24"/>
        </w:rPr>
        <w:t xml:space="preserve">19. </w:t>
      </w:r>
      <w:r w:rsidRPr="00A225BD">
        <w:rPr>
          <w:rFonts w:ascii="Times New Roman" w:hAnsi="Times New Roman" w:cs="Times New Roman"/>
          <w:noProof/>
          <w:sz w:val="24"/>
          <w:szCs w:val="24"/>
        </w:rPr>
        <w:tab/>
        <w:t>Marseille E, Harris AM, Horvath H, Parriott A, Malekinejad M, Nelson NP, et al. Hepatitis B prevalence association with sexually transmittedinfections: A systematic review and meta-analysis. Sex Health [Internet]. 2021 Jul 1 [cited 2024 May 30];18(3):269. Available from: /pmc/articles/PMC8457403/</w:t>
      </w:r>
    </w:p>
    <w:p w14:paraId="03A9701D" w14:textId="77777777" w:rsidR="00A225BD" w:rsidRPr="00A225BD" w:rsidRDefault="00A225BD" w:rsidP="00A225BD">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A225BD">
        <w:rPr>
          <w:rFonts w:ascii="Times New Roman" w:hAnsi="Times New Roman" w:cs="Times New Roman"/>
          <w:noProof/>
          <w:sz w:val="24"/>
          <w:szCs w:val="24"/>
        </w:rPr>
        <w:t xml:space="preserve">20. </w:t>
      </w:r>
      <w:r w:rsidRPr="00A225BD">
        <w:rPr>
          <w:rFonts w:ascii="Times New Roman" w:hAnsi="Times New Roman" w:cs="Times New Roman"/>
          <w:noProof/>
          <w:sz w:val="24"/>
          <w:szCs w:val="24"/>
        </w:rPr>
        <w:tab/>
        <w:t>Rostam-Abadi Y, Rafiemanesh H, Gholami J, Shadloo B, Amin-Esmaeili M, Rahimi-Movaghar A. Hepatitis B virus infection among people who use drugs in Iran: a systematic review, meta-analysis, and trend analysis. Harm Reduct J [Internet]. 2020 Dec 1 [cited 2024 Dec 5];17(1):1–19. Available from: https://harmreductionjournal.biomedcentral.com/articles/10.1186/s12954-020-00424-w</w:t>
      </w:r>
    </w:p>
    <w:p w14:paraId="163EAD54" w14:textId="77777777" w:rsidR="00A225BD" w:rsidRPr="00A225BD" w:rsidRDefault="00A225BD" w:rsidP="00A225BD">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A225BD">
        <w:rPr>
          <w:rFonts w:ascii="Times New Roman" w:hAnsi="Times New Roman" w:cs="Times New Roman"/>
          <w:noProof/>
          <w:sz w:val="24"/>
          <w:szCs w:val="24"/>
        </w:rPr>
        <w:t xml:space="preserve">21. </w:t>
      </w:r>
      <w:r w:rsidRPr="00A225BD">
        <w:rPr>
          <w:rFonts w:ascii="Times New Roman" w:hAnsi="Times New Roman" w:cs="Times New Roman"/>
          <w:noProof/>
          <w:sz w:val="24"/>
          <w:szCs w:val="24"/>
        </w:rPr>
        <w:tab/>
        <w:t>Khodadoostan M, Ataei B, Shavakhi A, Tavakoli T, Nokhodian Z, Yaran M. The assessment of hepatitis B seroprevalence in persons with intravenous drug use history in the Isfahan province: Community-based study. J Res Med Sci [Internet]. 2014 [cited 2024 Dec 5];19(1):65. Available from: https://pmc.ncbi.nlm.nih.gov/articles/PMC3963325/</w:t>
      </w:r>
    </w:p>
    <w:p w14:paraId="7D8C2A1B" w14:textId="77777777" w:rsidR="00A225BD" w:rsidRPr="00A225BD" w:rsidRDefault="00A225BD" w:rsidP="00A225BD">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A225BD">
        <w:rPr>
          <w:rFonts w:ascii="Times New Roman" w:hAnsi="Times New Roman" w:cs="Times New Roman"/>
          <w:noProof/>
          <w:sz w:val="24"/>
          <w:szCs w:val="24"/>
        </w:rPr>
        <w:t xml:space="preserve">22. </w:t>
      </w:r>
      <w:r w:rsidRPr="00A225BD">
        <w:rPr>
          <w:rFonts w:ascii="Times New Roman" w:hAnsi="Times New Roman" w:cs="Times New Roman"/>
          <w:noProof/>
          <w:sz w:val="24"/>
          <w:szCs w:val="24"/>
        </w:rPr>
        <w:tab/>
        <w:t>Zhang W, Xu C, Rui Y, Chen J, Chen T, Dai Y, et al. Efficacy of the hepatitis B vaccine alone in the prevention of hepatitis B perinatal transmission in infants born to hepatitis B e antigen-negative carrier mothers. J virus Erad [Internet]. 2022 Jun 1 [cited 2024 Dec 5];8(2). Available from: https://pubmed.ncbi.nlm.nih.gov/35813576/</w:t>
      </w:r>
    </w:p>
    <w:p w14:paraId="05384FAA" w14:textId="77777777" w:rsidR="00A225BD" w:rsidRDefault="00A225BD" w:rsidP="00A225BD">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A225BD">
        <w:rPr>
          <w:rFonts w:ascii="Times New Roman" w:hAnsi="Times New Roman" w:cs="Times New Roman"/>
          <w:noProof/>
          <w:sz w:val="24"/>
          <w:szCs w:val="24"/>
        </w:rPr>
        <w:t xml:space="preserve">23. </w:t>
      </w:r>
      <w:r w:rsidRPr="00A225BD">
        <w:rPr>
          <w:rFonts w:ascii="Times New Roman" w:hAnsi="Times New Roman" w:cs="Times New Roman"/>
          <w:noProof/>
          <w:sz w:val="24"/>
          <w:szCs w:val="24"/>
        </w:rPr>
        <w:tab/>
        <w:t>Yonghao G, Yanping C, Qiaohua D, Daxing F, Yanyang Z, Dongyang Z, et al. The effectiveness of 20 μg hepatitis B vaccine used for the prevention of HBV vertical transmission. Sci Reports 2022 121 [Internet]. 2022 Jul 11 [cited 2024 Dec 5];12(1):1–8. Available from: https://www.nature.com/articles/s41598-022-15744-z</w:t>
      </w:r>
    </w:p>
    <w:p w14:paraId="5C54D7FD" w14:textId="77777777" w:rsidR="006E7CD4" w:rsidRDefault="006E7CD4" w:rsidP="00A225BD">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end"/>
      </w:r>
    </w:p>
    <w:p w14:paraId="3DEEFDB2" w14:textId="77777777" w:rsidR="006C5EB3" w:rsidRDefault="006C5EB3" w:rsidP="00A225BD">
      <w:pPr>
        <w:spacing w:line="240" w:lineRule="auto"/>
        <w:jc w:val="both"/>
        <w:rPr>
          <w:rFonts w:ascii="Times New Roman" w:hAnsi="Times New Roman" w:cs="Times New Roman"/>
          <w:color w:val="000000" w:themeColor="text1"/>
          <w:sz w:val="24"/>
          <w:szCs w:val="24"/>
        </w:rPr>
      </w:pPr>
    </w:p>
    <w:p w14:paraId="14876803" w14:textId="77777777" w:rsidR="006C5EB3" w:rsidRDefault="006C5EB3" w:rsidP="00A225BD">
      <w:pPr>
        <w:spacing w:line="240" w:lineRule="auto"/>
        <w:jc w:val="both"/>
        <w:rPr>
          <w:rFonts w:ascii="Times New Roman" w:hAnsi="Times New Roman" w:cs="Times New Roman"/>
          <w:color w:val="000000" w:themeColor="text1"/>
          <w:sz w:val="24"/>
          <w:szCs w:val="24"/>
        </w:rPr>
      </w:pPr>
    </w:p>
    <w:p w14:paraId="29AE0678" w14:textId="77777777" w:rsidR="006C5EB3" w:rsidRDefault="006C5EB3" w:rsidP="00A225BD">
      <w:pPr>
        <w:spacing w:line="240" w:lineRule="auto"/>
        <w:jc w:val="both"/>
        <w:rPr>
          <w:rFonts w:ascii="Times New Roman" w:hAnsi="Times New Roman" w:cs="Times New Roman"/>
          <w:color w:val="000000" w:themeColor="text1"/>
          <w:sz w:val="24"/>
          <w:szCs w:val="24"/>
        </w:rPr>
      </w:pPr>
    </w:p>
    <w:p w14:paraId="143AF918" w14:textId="77777777" w:rsidR="006C5EB3" w:rsidRDefault="006C5EB3" w:rsidP="00A225BD">
      <w:pPr>
        <w:spacing w:line="240" w:lineRule="auto"/>
        <w:jc w:val="both"/>
        <w:rPr>
          <w:rFonts w:ascii="Times New Roman" w:hAnsi="Times New Roman" w:cs="Times New Roman"/>
          <w:color w:val="000000" w:themeColor="text1"/>
          <w:sz w:val="24"/>
          <w:szCs w:val="24"/>
        </w:rPr>
      </w:pPr>
    </w:p>
    <w:p w14:paraId="3572DCD8" w14:textId="77777777" w:rsidR="006C5EB3" w:rsidRDefault="006C5EB3" w:rsidP="00A225BD">
      <w:pPr>
        <w:spacing w:line="240" w:lineRule="auto"/>
        <w:jc w:val="both"/>
        <w:rPr>
          <w:rFonts w:ascii="Times New Roman" w:hAnsi="Times New Roman" w:cs="Times New Roman"/>
          <w:color w:val="000000" w:themeColor="text1"/>
          <w:sz w:val="24"/>
          <w:szCs w:val="24"/>
        </w:rPr>
      </w:pPr>
    </w:p>
    <w:p w14:paraId="128F1D1E" w14:textId="77777777" w:rsidR="006C5EB3" w:rsidRDefault="006C5EB3" w:rsidP="00A225BD">
      <w:pPr>
        <w:spacing w:line="240" w:lineRule="auto"/>
        <w:jc w:val="both"/>
        <w:rPr>
          <w:rFonts w:ascii="Times New Roman" w:hAnsi="Times New Roman" w:cs="Times New Roman"/>
          <w:color w:val="000000" w:themeColor="text1"/>
          <w:sz w:val="24"/>
          <w:szCs w:val="24"/>
        </w:rPr>
      </w:pPr>
    </w:p>
    <w:p w14:paraId="175CC8CA" w14:textId="77777777" w:rsidR="006C5EB3" w:rsidRDefault="006C5EB3" w:rsidP="00A225BD">
      <w:pPr>
        <w:spacing w:line="240" w:lineRule="auto"/>
        <w:jc w:val="both"/>
        <w:rPr>
          <w:rFonts w:ascii="Times New Roman" w:hAnsi="Times New Roman" w:cs="Times New Roman"/>
          <w:color w:val="000000" w:themeColor="text1"/>
          <w:sz w:val="24"/>
          <w:szCs w:val="24"/>
        </w:rPr>
      </w:pPr>
    </w:p>
    <w:p w14:paraId="5D8FAC65" w14:textId="77777777" w:rsidR="006C5EB3" w:rsidRDefault="006C5EB3" w:rsidP="00A225BD">
      <w:pPr>
        <w:spacing w:line="240" w:lineRule="auto"/>
        <w:jc w:val="both"/>
        <w:rPr>
          <w:rFonts w:ascii="Times New Roman" w:hAnsi="Times New Roman" w:cs="Times New Roman"/>
          <w:color w:val="000000" w:themeColor="text1"/>
          <w:sz w:val="24"/>
          <w:szCs w:val="24"/>
        </w:rPr>
      </w:pPr>
    </w:p>
    <w:p w14:paraId="6BD595AD" w14:textId="77777777" w:rsidR="006C5EB3" w:rsidRDefault="006C5EB3" w:rsidP="00A225BD">
      <w:pPr>
        <w:spacing w:line="240" w:lineRule="auto"/>
        <w:jc w:val="both"/>
        <w:rPr>
          <w:rFonts w:ascii="Times New Roman" w:hAnsi="Times New Roman" w:cs="Times New Roman"/>
          <w:color w:val="000000" w:themeColor="text1"/>
          <w:sz w:val="24"/>
          <w:szCs w:val="24"/>
        </w:rPr>
      </w:pPr>
    </w:p>
    <w:p w14:paraId="7BDBF8C4" w14:textId="77777777" w:rsidR="006C5EB3" w:rsidRDefault="006C5EB3" w:rsidP="00A225BD">
      <w:pPr>
        <w:spacing w:line="240" w:lineRule="auto"/>
        <w:jc w:val="both"/>
        <w:rPr>
          <w:rFonts w:ascii="Times New Roman" w:hAnsi="Times New Roman" w:cs="Times New Roman"/>
          <w:color w:val="000000" w:themeColor="text1"/>
          <w:sz w:val="24"/>
          <w:szCs w:val="24"/>
        </w:rPr>
      </w:pPr>
    </w:p>
    <w:p w14:paraId="40E37F33" w14:textId="77777777" w:rsidR="006C5EB3" w:rsidRDefault="006C5EB3" w:rsidP="00A225BD">
      <w:pPr>
        <w:spacing w:line="240" w:lineRule="auto"/>
        <w:jc w:val="both"/>
        <w:rPr>
          <w:rFonts w:ascii="Times New Roman" w:hAnsi="Times New Roman" w:cs="Times New Roman"/>
          <w:color w:val="000000" w:themeColor="text1"/>
          <w:sz w:val="24"/>
          <w:szCs w:val="24"/>
        </w:rPr>
      </w:pPr>
    </w:p>
    <w:p w14:paraId="72939513" w14:textId="77777777" w:rsidR="006C5EB3" w:rsidRDefault="006C5EB3" w:rsidP="00A225BD">
      <w:pPr>
        <w:spacing w:line="240" w:lineRule="auto"/>
        <w:jc w:val="both"/>
        <w:rPr>
          <w:rFonts w:ascii="Times New Roman" w:hAnsi="Times New Roman" w:cs="Times New Roman"/>
          <w:color w:val="000000" w:themeColor="text1"/>
          <w:sz w:val="24"/>
          <w:szCs w:val="24"/>
        </w:rPr>
      </w:pPr>
    </w:p>
    <w:p w14:paraId="22CAFA08" w14:textId="77777777" w:rsidR="006C5EB3" w:rsidRDefault="006C5EB3" w:rsidP="00A225BD">
      <w:pPr>
        <w:spacing w:line="240" w:lineRule="auto"/>
        <w:jc w:val="both"/>
        <w:rPr>
          <w:rFonts w:ascii="Times New Roman" w:hAnsi="Times New Roman" w:cs="Times New Roman"/>
          <w:color w:val="000000" w:themeColor="text1"/>
          <w:sz w:val="24"/>
          <w:szCs w:val="24"/>
        </w:rPr>
      </w:pPr>
    </w:p>
    <w:p w14:paraId="5FE6CFC2" w14:textId="77777777" w:rsidR="006C5EB3" w:rsidRDefault="006C5EB3" w:rsidP="00A225BD">
      <w:pPr>
        <w:spacing w:line="240" w:lineRule="auto"/>
        <w:jc w:val="both"/>
        <w:rPr>
          <w:rFonts w:ascii="Times New Roman" w:hAnsi="Times New Roman" w:cs="Times New Roman"/>
          <w:color w:val="000000" w:themeColor="text1"/>
          <w:sz w:val="24"/>
          <w:szCs w:val="24"/>
        </w:rPr>
      </w:pPr>
    </w:p>
    <w:p w14:paraId="34BD30ED" w14:textId="77777777" w:rsidR="006C5EB3" w:rsidRDefault="006C5EB3" w:rsidP="00A225BD">
      <w:pPr>
        <w:spacing w:line="240" w:lineRule="auto"/>
        <w:jc w:val="both"/>
        <w:rPr>
          <w:rFonts w:ascii="Times New Roman" w:hAnsi="Times New Roman" w:cs="Times New Roman"/>
          <w:color w:val="000000" w:themeColor="text1"/>
          <w:sz w:val="24"/>
          <w:szCs w:val="24"/>
        </w:rPr>
      </w:pPr>
    </w:p>
    <w:p w14:paraId="590AB9B4" w14:textId="77777777" w:rsidR="006C5EB3" w:rsidRDefault="006C5EB3" w:rsidP="00A225BD">
      <w:pPr>
        <w:spacing w:line="240" w:lineRule="auto"/>
        <w:jc w:val="both"/>
        <w:rPr>
          <w:rFonts w:ascii="Times New Roman" w:hAnsi="Times New Roman" w:cs="Times New Roman"/>
          <w:color w:val="000000" w:themeColor="text1"/>
          <w:sz w:val="24"/>
          <w:szCs w:val="24"/>
        </w:rPr>
      </w:pPr>
    </w:p>
    <w:p w14:paraId="0B8324C8" w14:textId="77777777" w:rsidR="006C5EB3" w:rsidRDefault="006C5EB3" w:rsidP="00A225BD">
      <w:pPr>
        <w:spacing w:line="240" w:lineRule="auto"/>
        <w:jc w:val="both"/>
        <w:rPr>
          <w:rFonts w:ascii="Times New Roman" w:hAnsi="Times New Roman" w:cs="Times New Roman"/>
          <w:color w:val="000000" w:themeColor="text1"/>
          <w:sz w:val="24"/>
          <w:szCs w:val="24"/>
        </w:rPr>
      </w:pPr>
    </w:p>
    <w:p w14:paraId="4126BFD5" w14:textId="77777777" w:rsidR="006C5EB3" w:rsidRDefault="006C5EB3" w:rsidP="00A225BD">
      <w:pPr>
        <w:spacing w:line="240" w:lineRule="auto"/>
        <w:jc w:val="both"/>
        <w:rPr>
          <w:rFonts w:ascii="Times New Roman" w:hAnsi="Times New Roman" w:cs="Times New Roman"/>
          <w:color w:val="000000" w:themeColor="text1"/>
          <w:sz w:val="24"/>
          <w:szCs w:val="24"/>
        </w:rPr>
      </w:pPr>
    </w:p>
    <w:p w14:paraId="069A2A8B" w14:textId="77777777" w:rsidR="006C5EB3" w:rsidRDefault="006C5EB3" w:rsidP="00A225BD">
      <w:pPr>
        <w:spacing w:line="240" w:lineRule="auto"/>
        <w:jc w:val="both"/>
        <w:rPr>
          <w:rFonts w:ascii="Times New Roman" w:hAnsi="Times New Roman" w:cs="Times New Roman"/>
          <w:color w:val="000000" w:themeColor="text1"/>
          <w:sz w:val="24"/>
          <w:szCs w:val="24"/>
        </w:rPr>
      </w:pPr>
    </w:p>
    <w:p w14:paraId="635EDA01" w14:textId="77777777" w:rsidR="006C5EB3" w:rsidRDefault="006C5EB3" w:rsidP="00A225BD">
      <w:pPr>
        <w:spacing w:line="240" w:lineRule="auto"/>
        <w:jc w:val="both"/>
        <w:rPr>
          <w:rFonts w:ascii="Times New Roman" w:hAnsi="Times New Roman" w:cs="Times New Roman"/>
          <w:color w:val="000000" w:themeColor="text1"/>
          <w:sz w:val="24"/>
          <w:szCs w:val="24"/>
        </w:rPr>
      </w:pPr>
    </w:p>
    <w:p w14:paraId="48DE4B74" w14:textId="77777777" w:rsidR="006C5EB3" w:rsidRDefault="006C5EB3" w:rsidP="00A225BD">
      <w:pPr>
        <w:spacing w:line="240" w:lineRule="auto"/>
        <w:jc w:val="both"/>
        <w:rPr>
          <w:rFonts w:ascii="Times New Roman" w:hAnsi="Times New Roman" w:cs="Times New Roman"/>
          <w:color w:val="000000" w:themeColor="text1"/>
          <w:sz w:val="24"/>
          <w:szCs w:val="24"/>
        </w:rPr>
      </w:pPr>
    </w:p>
    <w:p w14:paraId="13017AFC" w14:textId="77777777" w:rsidR="006C5EB3" w:rsidRDefault="006C5EB3" w:rsidP="00A225BD">
      <w:pPr>
        <w:spacing w:line="240" w:lineRule="auto"/>
        <w:jc w:val="both"/>
        <w:rPr>
          <w:rFonts w:ascii="Times New Roman" w:hAnsi="Times New Roman" w:cs="Times New Roman"/>
          <w:color w:val="000000" w:themeColor="text1"/>
          <w:sz w:val="24"/>
          <w:szCs w:val="24"/>
        </w:rPr>
      </w:pPr>
    </w:p>
    <w:p w14:paraId="3AD7C0DB" w14:textId="77777777" w:rsidR="006C5EB3" w:rsidRDefault="006C5EB3" w:rsidP="00A225BD">
      <w:pPr>
        <w:spacing w:line="240" w:lineRule="auto"/>
        <w:jc w:val="both"/>
        <w:rPr>
          <w:rFonts w:ascii="Times New Roman" w:hAnsi="Times New Roman" w:cs="Times New Roman"/>
          <w:color w:val="000000" w:themeColor="text1"/>
          <w:sz w:val="24"/>
          <w:szCs w:val="24"/>
        </w:rPr>
      </w:pPr>
    </w:p>
    <w:p w14:paraId="020E6AF4" w14:textId="77777777" w:rsidR="006C5EB3" w:rsidRDefault="006C5EB3" w:rsidP="00A225BD">
      <w:pPr>
        <w:spacing w:line="240" w:lineRule="auto"/>
        <w:jc w:val="both"/>
        <w:rPr>
          <w:rFonts w:ascii="Times New Roman" w:hAnsi="Times New Roman" w:cs="Times New Roman"/>
          <w:b/>
          <w:color w:val="000000" w:themeColor="text1"/>
          <w:sz w:val="24"/>
          <w:szCs w:val="24"/>
        </w:rPr>
      </w:pPr>
      <w:r w:rsidRPr="006C5EB3">
        <w:rPr>
          <w:rFonts w:ascii="Times New Roman" w:hAnsi="Times New Roman" w:cs="Times New Roman"/>
          <w:b/>
          <w:color w:val="000000" w:themeColor="text1"/>
          <w:sz w:val="24"/>
          <w:szCs w:val="24"/>
        </w:rPr>
        <w:t>Tables</w:t>
      </w:r>
    </w:p>
    <w:p w14:paraId="7E29BA80" w14:textId="77777777" w:rsidR="006C5EB3" w:rsidRDefault="006C5EB3" w:rsidP="006C5EB3">
      <w:pPr>
        <w:rPr>
          <w:rFonts w:ascii="Times New Roman" w:hAnsi="Times New Roman" w:cs="Times New Roman"/>
          <w:b/>
          <w:sz w:val="24"/>
          <w:szCs w:val="24"/>
        </w:rPr>
      </w:pPr>
      <w:bookmarkStart w:id="5" w:name="_Toc166157201"/>
      <w:r w:rsidRPr="00AC6286">
        <w:rPr>
          <w:rFonts w:ascii="Times New Roman" w:hAnsi="Times New Roman" w:cs="Times New Roman"/>
          <w:b/>
          <w:sz w:val="24"/>
          <w:szCs w:val="24"/>
        </w:rPr>
        <w:t>Table 1: Socio-demographic characteristics of study participants</w:t>
      </w:r>
      <w:bookmarkEnd w:id="5"/>
      <w:r w:rsidRPr="00AC6286">
        <w:rPr>
          <w:rFonts w:ascii="Times New Roman" w:hAnsi="Times New Roman" w:cs="Times New Roman"/>
          <w:b/>
          <w:sz w:val="24"/>
          <w:szCs w:val="24"/>
        </w:rPr>
        <w:t xml:space="preserve"> </w:t>
      </w:r>
    </w:p>
    <w:p w14:paraId="21E4B29F" w14:textId="77777777" w:rsidR="006C5EB3" w:rsidRPr="00AC6286" w:rsidRDefault="006C5EB3" w:rsidP="006C5EB3">
      <w:pPr>
        <w:rPr>
          <w:rFonts w:ascii="Times New Roman" w:hAnsi="Times New Roman" w:cs="Times New Roman"/>
          <w:b/>
          <w:sz w:val="24"/>
          <w:szCs w:val="24"/>
        </w:rPr>
      </w:pPr>
    </w:p>
    <w:tbl>
      <w:tblPr>
        <w:tblStyle w:val="PlainTable2"/>
        <w:tblW w:w="4773" w:type="pct"/>
        <w:tblBorders>
          <w:top w:val="none" w:sz="0" w:space="0" w:color="auto"/>
          <w:bottom w:val="none" w:sz="0" w:space="0" w:color="auto"/>
        </w:tblBorders>
        <w:tblLook w:val="04A0" w:firstRow="1" w:lastRow="0" w:firstColumn="1" w:lastColumn="0" w:noHBand="0" w:noVBand="1"/>
      </w:tblPr>
      <w:tblGrid>
        <w:gridCol w:w="2832"/>
        <w:gridCol w:w="2840"/>
        <w:gridCol w:w="1701"/>
        <w:gridCol w:w="1562"/>
      </w:tblGrid>
      <w:tr w:rsidR="006C5EB3" w:rsidRPr="002A016F" w14:paraId="31C7AF84" w14:textId="77777777" w:rsidTr="00135CF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85" w:type="pct"/>
            <w:tcBorders>
              <w:top w:val="single" w:sz="4" w:space="0" w:color="auto"/>
              <w:bottom w:val="single" w:sz="4" w:space="0" w:color="auto"/>
            </w:tcBorders>
          </w:tcPr>
          <w:p w14:paraId="5DA53A61" w14:textId="77777777" w:rsidR="006C5EB3" w:rsidRPr="002A016F" w:rsidRDefault="006C5EB3" w:rsidP="00135CF7">
            <w:pPr>
              <w:spacing w:line="360" w:lineRule="auto"/>
              <w:rPr>
                <w:rFonts w:ascii="Times New Roman" w:hAnsi="Times New Roman" w:cs="Times New Roman"/>
                <w:color w:val="000000"/>
              </w:rPr>
            </w:pPr>
            <w:r w:rsidRPr="002A016F">
              <w:rPr>
                <w:rFonts w:ascii="Times New Roman" w:hAnsi="Times New Roman" w:cs="Times New Roman"/>
                <w:color w:val="000000"/>
              </w:rPr>
              <w:t>Variables</w:t>
            </w:r>
          </w:p>
        </w:tc>
        <w:tc>
          <w:tcPr>
            <w:tcW w:w="1589" w:type="pct"/>
            <w:tcBorders>
              <w:top w:val="single" w:sz="4" w:space="0" w:color="auto"/>
              <w:bottom w:val="single" w:sz="4" w:space="0" w:color="auto"/>
            </w:tcBorders>
            <w:hideMark/>
          </w:tcPr>
          <w:p w14:paraId="26BD730E" w14:textId="77777777" w:rsidR="006C5EB3" w:rsidRPr="002A016F" w:rsidRDefault="006C5EB3" w:rsidP="00135CF7">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rPr>
            </w:pPr>
            <w:r w:rsidRPr="002A016F">
              <w:rPr>
                <w:rFonts w:ascii="Times New Roman" w:hAnsi="Times New Roman" w:cs="Times New Roman"/>
                <w:bCs w:val="0"/>
                <w:color w:val="000000"/>
              </w:rPr>
              <w:t>Categories</w:t>
            </w:r>
          </w:p>
        </w:tc>
        <w:tc>
          <w:tcPr>
            <w:tcW w:w="952" w:type="pct"/>
            <w:tcBorders>
              <w:top w:val="single" w:sz="4" w:space="0" w:color="auto"/>
              <w:bottom w:val="single" w:sz="4" w:space="0" w:color="auto"/>
            </w:tcBorders>
            <w:hideMark/>
          </w:tcPr>
          <w:p w14:paraId="4CF3B56E" w14:textId="77777777" w:rsidR="006C5EB3" w:rsidRPr="002A016F" w:rsidRDefault="006C5EB3" w:rsidP="00135CF7">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A016F">
              <w:rPr>
                <w:rFonts w:ascii="Times New Roman" w:hAnsi="Times New Roman" w:cs="Times New Roman"/>
                <w:color w:val="000000"/>
              </w:rPr>
              <w:t>Freq.</w:t>
            </w:r>
          </w:p>
        </w:tc>
        <w:tc>
          <w:tcPr>
            <w:tcW w:w="874" w:type="pct"/>
            <w:tcBorders>
              <w:top w:val="single" w:sz="4" w:space="0" w:color="auto"/>
              <w:bottom w:val="single" w:sz="4" w:space="0" w:color="auto"/>
            </w:tcBorders>
            <w:hideMark/>
          </w:tcPr>
          <w:p w14:paraId="3C841288" w14:textId="77777777" w:rsidR="006C5EB3" w:rsidRPr="002A016F" w:rsidRDefault="006C5EB3" w:rsidP="00135CF7">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A016F">
              <w:rPr>
                <w:rFonts w:ascii="Times New Roman" w:hAnsi="Times New Roman" w:cs="Times New Roman"/>
                <w:color w:val="000000"/>
              </w:rPr>
              <w:t xml:space="preserve">Percent </w:t>
            </w:r>
          </w:p>
        </w:tc>
      </w:tr>
      <w:tr w:rsidR="006C5EB3" w:rsidRPr="002A016F" w14:paraId="34220976" w14:textId="77777777" w:rsidTr="00135CF7">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585" w:type="pct"/>
            <w:vMerge w:val="restart"/>
            <w:tcBorders>
              <w:top w:val="single" w:sz="4" w:space="0" w:color="auto"/>
              <w:bottom w:val="none" w:sz="0" w:space="0" w:color="auto"/>
            </w:tcBorders>
          </w:tcPr>
          <w:p w14:paraId="54A53910" w14:textId="77777777" w:rsidR="006C5EB3" w:rsidRPr="002A016F" w:rsidRDefault="006C5EB3" w:rsidP="00135CF7">
            <w:pPr>
              <w:spacing w:line="360" w:lineRule="auto"/>
              <w:rPr>
                <w:rFonts w:ascii="Times New Roman" w:hAnsi="Times New Roman" w:cs="Times New Roman"/>
                <w:b w:val="0"/>
                <w:color w:val="000000"/>
              </w:rPr>
            </w:pPr>
            <w:r w:rsidRPr="002A016F">
              <w:rPr>
                <w:rFonts w:ascii="Times New Roman" w:hAnsi="Times New Roman" w:cs="Times New Roman"/>
                <w:b w:val="0"/>
                <w:bCs w:val="0"/>
                <w:color w:val="000000"/>
              </w:rPr>
              <w:t>Age of Respondents</w:t>
            </w:r>
          </w:p>
        </w:tc>
        <w:tc>
          <w:tcPr>
            <w:tcW w:w="1589" w:type="pct"/>
            <w:tcBorders>
              <w:top w:val="single" w:sz="4" w:space="0" w:color="auto"/>
              <w:bottom w:val="none" w:sz="0" w:space="0" w:color="auto"/>
            </w:tcBorders>
            <w:hideMark/>
          </w:tcPr>
          <w:p w14:paraId="618AFA0B" w14:textId="77777777" w:rsidR="006C5EB3" w:rsidRPr="002A016F" w:rsidRDefault="006C5EB3" w:rsidP="00135CF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A016F">
              <w:rPr>
                <w:rFonts w:ascii="Times New Roman" w:hAnsi="Times New Roman" w:cs="Times New Roman"/>
                <w:color w:val="000000"/>
              </w:rPr>
              <w:t>15-25 years</w:t>
            </w:r>
          </w:p>
        </w:tc>
        <w:tc>
          <w:tcPr>
            <w:tcW w:w="952" w:type="pct"/>
            <w:tcBorders>
              <w:top w:val="single" w:sz="4" w:space="0" w:color="auto"/>
              <w:bottom w:val="none" w:sz="0" w:space="0" w:color="auto"/>
            </w:tcBorders>
            <w:hideMark/>
          </w:tcPr>
          <w:p w14:paraId="2BA77308" w14:textId="77777777" w:rsidR="006C5EB3" w:rsidRPr="002A016F" w:rsidRDefault="006C5EB3" w:rsidP="00135CF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A016F">
              <w:rPr>
                <w:rFonts w:ascii="Times New Roman" w:hAnsi="Times New Roman" w:cs="Times New Roman"/>
                <w:color w:val="000000"/>
              </w:rPr>
              <w:t>172</w:t>
            </w:r>
          </w:p>
        </w:tc>
        <w:tc>
          <w:tcPr>
            <w:tcW w:w="874" w:type="pct"/>
            <w:tcBorders>
              <w:top w:val="single" w:sz="4" w:space="0" w:color="auto"/>
              <w:bottom w:val="none" w:sz="0" w:space="0" w:color="auto"/>
            </w:tcBorders>
            <w:hideMark/>
          </w:tcPr>
          <w:p w14:paraId="51F4B71F" w14:textId="77777777" w:rsidR="006C5EB3" w:rsidRPr="002A016F" w:rsidRDefault="006C5EB3" w:rsidP="00135CF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A016F">
              <w:rPr>
                <w:rFonts w:ascii="Times New Roman" w:hAnsi="Times New Roman" w:cs="Times New Roman"/>
                <w:color w:val="000000"/>
              </w:rPr>
              <w:t>45.0</w:t>
            </w:r>
          </w:p>
        </w:tc>
      </w:tr>
      <w:tr w:rsidR="006C5EB3" w:rsidRPr="002A016F" w14:paraId="260B2AE6" w14:textId="77777777" w:rsidTr="00135CF7">
        <w:trPr>
          <w:trHeight w:val="308"/>
        </w:trPr>
        <w:tc>
          <w:tcPr>
            <w:cnfStyle w:val="001000000000" w:firstRow="0" w:lastRow="0" w:firstColumn="1" w:lastColumn="0" w:oddVBand="0" w:evenVBand="0" w:oddHBand="0" w:evenHBand="0" w:firstRowFirstColumn="0" w:firstRowLastColumn="0" w:lastRowFirstColumn="0" w:lastRowLastColumn="0"/>
            <w:tcW w:w="1585" w:type="pct"/>
            <w:vMerge/>
          </w:tcPr>
          <w:p w14:paraId="18D1CE9C" w14:textId="77777777" w:rsidR="006C5EB3" w:rsidRPr="002A016F" w:rsidRDefault="006C5EB3" w:rsidP="00135CF7">
            <w:pPr>
              <w:spacing w:line="360" w:lineRule="auto"/>
              <w:rPr>
                <w:rFonts w:ascii="Times New Roman" w:hAnsi="Times New Roman" w:cs="Times New Roman"/>
                <w:b w:val="0"/>
                <w:color w:val="000000"/>
              </w:rPr>
            </w:pPr>
          </w:p>
        </w:tc>
        <w:tc>
          <w:tcPr>
            <w:tcW w:w="1589" w:type="pct"/>
            <w:hideMark/>
          </w:tcPr>
          <w:p w14:paraId="43EFE8E0" w14:textId="77777777" w:rsidR="006C5EB3" w:rsidRPr="002A016F" w:rsidRDefault="006C5EB3" w:rsidP="00135CF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A016F">
              <w:rPr>
                <w:rFonts w:ascii="Times New Roman" w:hAnsi="Times New Roman" w:cs="Times New Roman"/>
                <w:color w:val="000000"/>
              </w:rPr>
              <w:t>26-30 years</w:t>
            </w:r>
          </w:p>
        </w:tc>
        <w:tc>
          <w:tcPr>
            <w:tcW w:w="952" w:type="pct"/>
            <w:hideMark/>
          </w:tcPr>
          <w:p w14:paraId="65C5A7AC" w14:textId="77777777" w:rsidR="006C5EB3" w:rsidRPr="002A016F" w:rsidRDefault="006C5EB3" w:rsidP="00135C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A016F">
              <w:rPr>
                <w:rFonts w:ascii="Times New Roman" w:hAnsi="Times New Roman" w:cs="Times New Roman"/>
                <w:color w:val="000000"/>
              </w:rPr>
              <w:t>115</w:t>
            </w:r>
          </w:p>
        </w:tc>
        <w:tc>
          <w:tcPr>
            <w:tcW w:w="874" w:type="pct"/>
            <w:hideMark/>
          </w:tcPr>
          <w:p w14:paraId="6ABE6A91" w14:textId="77777777" w:rsidR="006C5EB3" w:rsidRPr="002A016F" w:rsidRDefault="006C5EB3" w:rsidP="00135C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A016F">
              <w:rPr>
                <w:rFonts w:ascii="Times New Roman" w:hAnsi="Times New Roman" w:cs="Times New Roman"/>
                <w:color w:val="000000"/>
              </w:rPr>
              <w:t>30.1</w:t>
            </w:r>
          </w:p>
        </w:tc>
      </w:tr>
      <w:tr w:rsidR="006C5EB3" w:rsidRPr="002A016F" w14:paraId="7887D3D5" w14:textId="77777777" w:rsidTr="00135CF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85" w:type="pct"/>
            <w:vMerge/>
            <w:tcBorders>
              <w:top w:val="none" w:sz="0" w:space="0" w:color="auto"/>
              <w:bottom w:val="none" w:sz="0" w:space="0" w:color="auto"/>
            </w:tcBorders>
          </w:tcPr>
          <w:p w14:paraId="15797474" w14:textId="77777777" w:rsidR="006C5EB3" w:rsidRPr="002A016F" w:rsidRDefault="006C5EB3" w:rsidP="00135CF7">
            <w:pPr>
              <w:spacing w:line="360" w:lineRule="auto"/>
              <w:rPr>
                <w:rFonts w:ascii="Times New Roman" w:hAnsi="Times New Roman" w:cs="Times New Roman"/>
                <w:b w:val="0"/>
                <w:color w:val="000000"/>
              </w:rPr>
            </w:pPr>
          </w:p>
        </w:tc>
        <w:tc>
          <w:tcPr>
            <w:tcW w:w="1589" w:type="pct"/>
            <w:tcBorders>
              <w:top w:val="none" w:sz="0" w:space="0" w:color="auto"/>
              <w:bottom w:val="none" w:sz="0" w:space="0" w:color="auto"/>
            </w:tcBorders>
            <w:hideMark/>
          </w:tcPr>
          <w:p w14:paraId="6F7530C6" w14:textId="77777777" w:rsidR="006C5EB3" w:rsidRPr="002A016F" w:rsidRDefault="006C5EB3" w:rsidP="00135CF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A016F">
              <w:rPr>
                <w:rFonts w:ascii="Times New Roman" w:hAnsi="Times New Roman" w:cs="Times New Roman"/>
                <w:color w:val="000000"/>
              </w:rPr>
              <w:t>&gt;30</w:t>
            </w:r>
          </w:p>
        </w:tc>
        <w:tc>
          <w:tcPr>
            <w:tcW w:w="952" w:type="pct"/>
            <w:tcBorders>
              <w:top w:val="none" w:sz="0" w:space="0" w:color="auto"/>
              <w:bottom w:val="none" w:sz="0" w:space="0" w:color="auto"/>
            </w:tcBorders>
            <w:hideMark/>
          </w:tcPr>
          <w:p w14:paraId="7DDD0354" w14:textId="77777777" w:rsidR="006C5EB3" w:rsidRPr="002A016F" w:rsidRDefault="006C5EB3" w:rsidP="00135CF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A016F">
              <w:rPr>
                <w:rFonts w:ascii="Times New Roman" w:hAnsi="Times New Roman" w:cs="Times New Roman"/>
                <w:color w:val="000000"/>
              </w:rPr>
              <w:t>95</w:t>
            </w:r>
          </w:p>
        </w:tc>
        <w:tc>
          <w:tcPr>
            <w:tcW w:w="874" w:type="pct"/>
            <w:tcBorders>
              <w:top w:val="none" w:sz="0" w:space="0" w:color="auto"/>
              <w:bottom w:val="none" w:sz="0" w:space="0" w:color="auto"/>
            </w:tcBorders>
            <w:hideMark/>
          </w:tcPr>
          <w:p w14:paraId="22D5A0D5" w14:textId="77777777" w:rsidR="006C5EB3" w:rsidRPr="002A016F" w:rsidRDefault="006C5EB3" w:rsidP="00135CF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A016F">
              <w:rPr>
                <w:rFonts w:ascii="Times New Roman" w:hAnsi="Times New Roman" w:cs="Times New Roman"/>
                <w:color w:val="000000"/>
              </w:rPr>
              <w:t>24.9</w:t>
            </w:r>
          </w:p>
        </w:tc>
      </w:tr>
      <w:tr w:rsidR="006C5EB3" w:rsidRPr="002A016F" w14:paraId="2D8207C7" w14:textId="77777777" w:rsidTr="00135CF7">
        <w:trPr>
          <w:trHeight w:val="219"/>
        </w:trPr>
        <w:tc>
          <w:tcPr>
            <w:cnfStyle w:val="001000000000" w:firstRow="0" w:lastRow="0" w:firstColumn="1" w:lastColumn="0" w:oddVBand="0" w:evenVBand="0" w:oddHBand="0" w:evenHBand="0" w:firstRowFirstColumn="0" w:firstRowLastColumn="0" w:lastRowFirstColumn="0" w:lastRowLastColumn="0"/>
            <w:tcW w:w="1585" w:type="pct"/>
            <w:vMerge w:val="restart"/>
          </w:tcPr>
          <w:p w14:paraId="0DD68506" w14:textId="77777777" w:rsidR="006C5EB3" w:rsidRPr="002A016F" w:rsidRDefault="006C5EB3" w:rsidP="00135CF7">
            <w:pPr>
              <w:spacing w:line="360" w:lineRule="auto"/>
              <w:rPr>
                <w:rFonts w:ascii="Times New Roman" w:hAnsi="Times New Roman" w:cs="Times New Roman"/>
                <w:b w:val="0"/>
                <w:bCs w:val="0"/>
                <w:color w:val="000000"/>
              </w:rPr>
            </w:pPr>
            <w:r w:rsidRPr="002A016F">
              <w:rPr>
                <w:rFonts w:ascii="Times New Roman" w:hAnsi="Times New Roman" w:cs="Times New Roman"/>
                <w:b w:val="0"/>
                <w:bCs w:val="0"/>
                <w:color w:val="000000"/>
              </w:rPr>
              <w:t>Level of Education</w:t>
            </w:r>
          </w:p>
        </w:tc>
        <w:tc>
          <w:tcPr>
            <w:tcW w:w="1589" w:type="pct"/>
          </w:tcPr>
          <w:p w14:paraId="79B9E75B" w14:textId="77777777" w:rsidR="006C5EB3" w:rsidRPr="002A016F" w:rsidRDefault="006C5EB3" w:rsidP="00135CF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rPr>
            </w:pPr>
            <w:r w:rsidRPr="002A016F">
              <w:rPr>
                <w:rFonts w:ascii="Times New Roman" w:hAnsi="Times New Roman" w:cs="Times New Roman"/>
                <w:color w:val="000000"/>
              </w:rPr>
              <w:t>Not been to school</w:t>
            </w:r>
          </w:p>
        </w:tc>
        <w:tc>
          <w:tcPr>
            <w:tcW w:w="952" w:type="pct"/>
            <w:hideMark/>
          </w:tcPr>
          <w:p w14:paraId="6BED8664" w14:textId="77777777" w:rsidR="006C5EB3" w:rsidRPr="002A016F" w:rsidRDefault="006C5EB3" w:rsidP="00135CF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rPr>
            </w:pPr>
            <w:r w:rsidRPr="002A016F">
              <w:rPr>
                <w:rFonts w:ascii="Times New Roman" w:hAnsi="Times New Roman" w:cs="Times New Roman"/>
                <w:color w:val="000000"/>
              </w:rPr>
              <w:t xml:space="preserve">        199</w:t>
            </w:r>
          </w:p>
        </w:tc>
        <w:tc>
          <w:tcPr>
            <w:tcW w:w="874" w:type="pct"/>
            <w:hideMark/>
          </w:tcPr>
          <w:p w14:paraId="12499FBE" w14:textId="77777777" w:rsidR="006C5EB3" w:rsidRPr="002A016F" w:rsidRDefault="006C5EB3" w:rsidP="00135CF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rPr>
            </w:pPr>
            <w:r w:rsidRPr="002A016F">
              <w:rPr>
                <w:rFonts w:ascii="Times New Roman" w:hAnsi="Times New Roman" w:cs="Times New Roman"/>
                <w:color w:val="000000"/>
              </w:rPr>
              <w:t xml:space="preserve">       52.1</w:t>
            </w:r>
          </w:p>
        </w:tc>
      </w:tr>
      <w:tr w:rsidR="006C5EB3" w:rsidRPr="002A016F" w14:paraId="433BC615" w14:textId="77777777" w:rsidTr="00135CF7">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585" w:type="pct"/>
            <w:vMerge/>
            <w:tcBorders>
              <w:top w:val="none" w:sz="0" w:space="0" w:color="auto"/>
              <w:bottom w:val="none" w:sz="0" w:space="0" w:color="auto"/>
            </w:tcBorders>
          </w:tcPr>
          <w:p w14:paraId="70712945" w14:textId="77777777" w:rsidR="006C5EB3" w:rsidRPr="002A016F" w:rsidRDefault="006C5EB3" w:rsidP="00135CF7">
            <w:pPr>
              <w:spacing w:line="360" w:lineRule="auto"/>
              <w:rPr>
                <w:rFonts w:ascii="Times New Roman" w:hAnsi="Times New Roman" w:cs="Times New Roman"/>
                <w:b w:val="0"/>
                <w:color w:val="000000"/>
              </w:rPr>
            </w:pPr>
          </w:p>
        </w:tc>
        <w:tc>
          <w:tcPr>
            <w:tcW w:w="1589" w:type="pct"/>
            <w:tcBorders>
              <w:top w:val="none" w:sz="0" w:space="0" w:color="auto"/>
              <w:bottom w:val="none" w:sz="0" w:space="0" w:color="auto"/>
            </w:tcBorders>
            <w:hideMark/>
          </w:tcPr>
          <w:p w14:paraId="40491CF3" w14:textId="77777777" w:rsidR="006C5EB3" w:rsidRPr="002A016F" w:rsidRDefault="006C5EB3" w:rsidP="00135CF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A016F">
              <w:rPr>
                <w:rFonts w:ascii="Times New Roman" w:hAnsi="Times New Roman" w:cs="Times New Roman"/>
                <w:color w:val="000000"/>
              </w:rPr>
              <w:t>Primary</w:t>
            </w:r>
          </w:p>
        </w:tc>
        <w:tc>
          <w:tcPr>
            <w:tcW w:w="952" w:type="pct"/>
            <w:tcBorders>
              <w:top w:val="none" w:sz="0" w:space="0" w:color="auto"/>
              <w:bottom w:val="none" w:sz="0" w:space="0" w:color="auto"/>
            </w:tcBorders>
            <w:hideMark/>
          </w:tcPr>
          <w:p w14:paraId="4FE86ADF" w14:textId="77777777" w:rsidR="006C5EB3" w:rsidRPr="002A016F" w:rsidRDefault="006C5EB3" w:rsidP="00135CF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A016F">
              <w:rPr>
                <w:rFonts w:ascii="Times New Roman" w:hAnsi="Times New Roman" w:cs="Times New Roman"/>
                <w:color w:val="000000"/>
              </w:rPr>
              <w:t>135</w:t>
            </w:r>
          </w:p>
        </w:tc>
        <w:tc>
          <w:tcPr>
            <w:tcW w:w="874" w:type="pct"/>
            <w:tcBorders>
              <w:top w:val="none" w:sz="0" w:space="0" w:color="auto"/>
              <w:bottom w:val="none" w:sz="0" w:space="0" w:color="auto"/>
            </w:tcBorders>
            <w:hideMark/>
          </w:tcPr>
          <w:p w14:paraId="2258C9A0" w14:textId="77777777" w:rsidR="006C5EB3" w:rsidRPr="002A016F" w:rsidRDefault="006C5EB3" w:rsidP="00135CF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A016F">
              <w:rPr>
                <w:rFonts w:ascii="Times New Roman" w:hAnsi="Times New Roman" w:cs="Times New Roman"/>
                <w:color w:val="000000"/>
              </w:rPr>
              <w:t>35.3</w:t>
            </w:r>
          </w:p>
        </w:tc>
      </w:tr>
      <w:tr w:rsidR="006C5EB3" w:rsidRPr="002A016F" w14:paraId="7951593F" w14:textId="77777777" w:rsidTr="00135CF7">
        <w:trPr>
          <w:trHeight w:val="288"/>
        </w:trPr>
        <w:tc>
          <w:tcPr>
            <w:cnfStyle w:val="001000000000" w:firstRow="0" w:lastRow="0" w:firstColumn="1" w:lastColumn="0" w:oddVBand="0" w:evenVBand="0" w:oddHBand="0" w:evenHBand="0" w:firstRowFirstColumn="0" w:firstRowLastColumn="0" w:lastRowFirstColumn="0" w:lastRowLastColumn="0"/>
            <w:tcW w:w="1585" w:type="pct"/>
            <w:vMerge/>
          </w:tcPr>
          <w:p w14:paraId="672AEDFE" w14:textId="77777777" w:rsidR="006C5EB3" w:rsidRPr="002A016F" w:rsidRDefault="006C5EB3" w:rsidP="00135CF7">
            <w:pPr>
              <w:spacing w:line="360" w:lineRule="auto"/>
              <w:rPr>
                <w:rFonts w:ascii="Times New Roman" w:hAnsi="Times New Roman" w:cs="Times New Roman"/>
                <w:b w:val="0"/>
                <w:color w:val="000000"/>
              </w:rPr>
            </w:pPr>
          </w:p>
        </w:tc>
        <w:tc>
          <w:tcPr>
            <w:tcW w:w="1589" w:type="pct"/>
            <w:hideMark/>
          </w:tcPr>
          <w:p w14:paraId="74F9055B" w14:textId="77777777" w:rsidR="006C5EB3" w:rsidRPr="002A016F" w:rsidRDefault="006C5EB3" w:rsidP="00135CF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A016F">
              <w:rPr>
                <w:rFonts w:ascii="Times New Roman" w:hAnsi="Times New Roman" w:cs="Times New Roman"/>
                <w:color w:val="000000"/>
              </w:rPr>
              <w:t>Secondary</w:t>
            </w:r>
          </w:p>
        </w:tc>
        <w:tc>
          <w:tcPr>
            <w:tcW w:w="952" w:type="pct"/>
            <w:hideMark/>
          </w:tcPr>
          <w:p w14:paraId="104F7D55" w14:textId="77777777" w:rsidR="006C5EB3" w:rsidRPr="002A016F" w:rsidRDefault="006C5EB3" w:rsidP="00135C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A016F">
              <w:rPr>
                <w:rFonts w:ascii="Times New Roman" w:hAnsi="Times New Roman" w:cs="Times New Roman"/>
                <w:color w:val="000000"/>
              </w:rPr>
              <w:t>48</w:t>
            </w:r>
          </w:p>
        </w:tc>
        <w:tc>
          <w:tcPr>
            <w:tcW w:w="874" w:type="pct"/>
            <w:hideMark/>
          </w:tcPr>
          <w:p w14:paraId="5487D05D" w14:textId="77777777" w:rsidR="006C5EB3" w:rsidRPr="002A016F" w:rsidRDefault="006C5EB3" w:rsidP="00135C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A016F">
              <w:rPr>
                <w:rFonts w:ascii="Times New Roman" w:hAnsi="Times New Roman" w:cs="Times New Roman"/>
                <w:color w:val="000000"/>
              </w:rPr>
              <w:t>12.6</w:t>
            </w:r>
          </w:p>
        </w:tc>
      </w:tr>
      <w:tr w:rsidR="006C5EB3" w:rsidRPr="002A016F" w14:paraId="0F8A6FCE" w14:textId="77777777" w:rsidTr="00135CF7">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585" w:type="pct"/>
            <w:vMerge w:val="restart"/>
            <w:tcBorders>
              <w:top w:val="none" w:sz="0" w:space="0" w:color="auto"/>
              <w:bottom w:val="none" w:sz="0" w:space="0" w:color="auto"/>
            </w:tcBorders>
          </w:tcPr>
          <w:p w14:paraId="40D9C172" w14:textId="77777777" w:rsidR="006C5EB3" w:rsidRPr="002A016F" w:rsidRDefault="006C5EB3" w:rsidP="00135CF7">
            <w:pPr>
              <w:spacing w:line="360" w:lineRule="auto"/>
              <w:rPr>
                <w:rFonts w:ascii="Times New Roman" w:hAnsi="Times New Roman" w:cs="Times New Roman"/>
                <w:b w:val="0"/>
                <w:color w:val="000000"/>
              </w:rPr>
            </w:pPr>
            <w:r w:rsidRPr="002A016F">
              <w:rPr>
                <w:rFonts w:ascii="Times New Roman" w:hAnsi="Times New Roman" w:cs="Times New Roman"/>
                <w:b w:val="0"/>
                <w:bCs w:val="0"/>
                <w:color w:val="000000"/>
              </w:rPr>
              <w:t>Employment status</w:t>
            </w:r>
          </w:p>
        </w:tc>
        <w:tc>
          <w:tcPr>
            <w:tcW w:w="1589" w:type="pct"/>
            <w:tcBorders>
              <w:top w:val="none" w:sz="0" w:space="0" w:color="auto"/>
              <w:bottom w:val="none" w:sz="0" w:space="0" w:color="auto"/>
            </w:tcBorders>
            <w:hideMark/>
          </w:tcPr>
          <w:p w14:paraId="7CDEFA1E" w14:textId="77777777" w:rsidR="006C5EB3" w:rsidRPr="002A016F" w:rsidRDefault="006C5EB3" w:rsidP="00135CF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A016F">
              <w:rPr>
                <w:rFonts w:ascii="Times New Roman" w:hAnsi="Times New Roman" w:cs="Times New Roman"/>
                <w:color w:val="000000"/>
              </w:rPr>
              <w:t>Employed</w:t>
            </w:r>
          </w:p>
        </w:tc>
        <w:tc>
          <w:tcPr>
            <w:tcW w:w="952" w:type="pct"/>
            <w:tcBorders>
              <w:top w:val="none" w:sz="0" w:space="0" w:color="auto"/>
              <w:bottom w:val="none" w:sz="0" w:space="0" w:color="auto"/>
            </w:tcBorders>
            <w:hideMark/>
          </w:tcPr>
          <w:p w14:paraId="112E4A96" w14:textId="77777777" w:rsidR="006C5EB3" w:rsidRPr="002A016F" w:rsidRDefault="006C5EB3" w:rsidP="00135CF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A016F">
              <w:rPr>
                <w:rFonts w:ascii="Times New Roman" w:hAnsi="Times New Roman" w:cs="Times New Roman"/>
                <w:color w:val="000000"/>
              </w:rPr>
              <w:t>139</w:t>
            </w:r>
          </w:p>
        </w:tc>
        <w:tc>
          <w:tcPr>
            <w:tcW w:w="874" w:type="pct"/>
            <w:tcBorders>
              <w:top w:val="none" w:sz="0" w:space="0" w:color="auto"/>
              <w:bottom w:val="none" w:sz="0" w:space="0" w:color="auto"/>
            </w:tcBorders>
            <w:hideMark/>
          </w:tcPr>
          <w:p w14:paraId="37F00F5F" w14:textId="77777777" w:rsidR="006C5EB3" w:rsidRPr="002A016F" w:rsidRDefault="006C5EB3" w:rsidP="00135CF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A016F">
              <w:rPr>
                <w:rFonts w:ascii="Times New Roman" w:hAnsi="Times New Roman" w:cs="Times New Roman"/>
                <w:color w:val="000000"/>
              </w:rPr>
              <w:t>36.4</w:t>
            </w:r>
          </w:p>
        </w:tc>
      </w:tr>
      <w:tr w:rsidR="006C5EB3" w:rsidRPr="002A016F" w14:paraId="4270163B" w14:textId="77777777" w:rsidTr="00135CF7">
        <w:trPr>
          <w:trHeight w:val="278"/>
        </w:trPr>
        <w:tc>
          <w:tcPr>
            <w:cnfStyle w:val="001000000000" w:firstRow="0" w:lastRow="0" w:firstColumn="1" w:lastColumn="0" w:oddVBand="0" w:evenVBand="0" w:oddHBand="0" w:evenHBand="0" w:firstRowFirstColumn="0" w:firstRowLastColumn="0" w:lastRowFirstColumn="0" w:lastRowLastColumn="0"/>
            <w:tcW w:w="1585" w:type="pct"/>
            <w:vMerge/>
          </w:tcPr>
          <w:p w14:paraId="4CEFDF78" w14:textId="77777777" w:rsidR="006C5EB3" w:rsidRPr="002A016F" w:rsidRDefault="006C5EB3" w:rsidP="00135CF7">
            <w:pPr>
              <w:spacing w:line="360" w:lineRule="auto"/>
              <w:rPr>
                <w:rFonts w:ascii="Times New Roman" w:hAnsi="Times New Roman" w:cs="Times New Roman"/>
                <w:b w:val="0"/>
                <w:color w:val="000000"/>
              </w:rPr>
            </w:pPr>
          </w:p>
        </w:tc>
        <w:tc>
          <w:tcPr>
            <w:tcW w:w="1589" w:type="pct"/>
            <w:hideMark/>
          </w:tcPr>
          <w:p w14:paraId="295CC9D3" w14:textId="77777777" w:rsidR="006C5EB3" w:rsidRPr="002A016F" w:rsidRDefault="006C5EB3" w:rsidP="00135CF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A016F">
              <w:rPr>
                <w:rFonts w:ascii="Times New Roman" w:hAnsi="Times New Roman" w:cs="Times New Roman"/>
                <w:color w:val="000000"/>
              </w:rPr>
              <w:t>Student</w:t>
            </w:r>
          </w:p>
        </w:tc>
        <w:tc>
          <w:tcPr>
            <w:tcW w:w="952" w:type="pct"/>
            <w:hideMark/>
          </w:tcPr>
          <w:p w14:paraId="67B76536" w14:textId="77777777" w:rsidR="006C5EB3" w:rsidRPr="002A016F" w:rsidRDefault="006C5EB3" w:rsidP="00135C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A016F">
              <w:rPr>
                <w:rFonts w:ascii="Times New Roman" w:hAnsi="Times New Roman" w:cs="Times New Roman"/>
                <w:color w:val="000000"/>
              </w:rPr>
              <w:t>40</w:t>
            </w:r>
          </w:p>
        </w:tc>
        <w:tc>
          <w:tcPr>
            <w:tcW w:w="874" w:type="pct"/>
            <w:hideMark/>
          </w:tcPr>
          <w:p w14:paraId="01B2C65A" w14:textId="77777777" w:rsidR="006C5EB3" w:rsidRPr="002A016F" w:rsidRDefault="006C5EB3" w:rsidP="00135C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A016F">
              <w:rPr>
                <w:rFonts w:ascii="Times New Roman" w:hAnsi="Times New Roman" w:cs="Times New Roman"/>
                <w:color w:val="000000"/>
              </w:rPr>
              <w:t>10.5</w:t>
            </w:r>
          </w:p>
        </w:tc>
      </w:tr>
      <w:tr w:rsidR="006C5EB3" w:rsidRPr="002A016F" w14:paraId="5D678DC6" w14:textId="77777777" w:rsidTr="00135CF7">
        <w:trPr>
          <w:cnfStyle w:val="000000100000" w:firstRow="0" w:lastRow="0" w:firstColumn="0" w:lastColumn="0" w:oddVBand="0" w:evenVBand="0" w:oddHBand="1" w:evenHBand="0" w:firstRowFirstColumn="0" w:firstRowLastColumn="0" w:lastRowFirstColumn="0" w:lastRowLastColumn="0"/>
          <w:trHeight w:val="59"/>
        </w:trPr>
        <w:tc>
          <w:tcPr>
            <w:cnfStyle w:val="001000000000" w:firstRow="0" w:lastRow="0" w:firstColumn="1" w:lastColumn="0" w:oddVBand="0" w:evenVBand="0" w:oddHBand="0" w:evenHBand="0" w:firstRowFirstColumn="0" w:firstRowLastColumn="0" w:lastRowFirstColumn="0" w:lastRowLastColumn="0"/>
            <w:tcW w:w="1585" w:type="pct"/>
            <w:vMerge/>
            <w:tcBorders>
              <w:top w:val="none" w:sz="0" w:space="0" w:color="auto"/>
              <w:bottom w:val="none" w:sz="0" w:space="0" w:color="auto"/>
            </w:tcBorders>
          </w:tcPr>
          <w:p w14:paraId="61119D5E" w14:textId="77777777" w:rsidR="006C5EB3" w:rsidRPr="002A016F" w:rsidRDefault="006C5EB3" w:rsidP="00135CF7">
            <w:pPr>
              <w:spacing w:line="360" w:lineRule="auto"/>
              <w:rPr>
                <w:rFonts w:ascii="Times New Roman" w:hAnsi="Times New Roman" w:cs="Times New Roman"/>
                <w:b w:val="0"/>
                <w:color w:val="000000"/>
              </w:rPr>
            </w:pPr>
          </w:p>
        </w:tc>
        <w:tc>
          <w:tcPr>
            <w:tcW w:w="1589" w:type="pct"/>
            <w:tcBorders>
              <w:top w:val="none" w:sz="0" w:space="0" w:color="auto"/>
              <w:bottom w:val="none" w:sz="0" w:space="0" w:color="auto"/>
            </w:tcBorders>
            <w:hideMark/>
          </w:tcPr>
          <w:p w14:paraId="7BCEF803" w14:textId="77777777" w:rsidR="006C5EB3" w:rsidRPr="002A016F" w:rsidRDefault="006C5EB3" w:rsidP="00135CF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A016F">
              <w:rPr>
                <w:rFonts w:ascii="Times New Roman" w:hAnsi="Times New Roman" w:cs="Times New Roman"/>
                <w:color w:val="000000"/>
              </w:rPr>
              <w:t>Unemployed</w:t>
            </w:r>
          </w:p>
        </w:tc>
        <w:tc>
          <w:tcPr>
            <w:tcW w:w="952" w:type="pct"/>
            <w:tcBorders>
              <w:top w:val="none" w:sz="0" w:space="0" w:color="auto"/>
              <w:bottom w:val="none" w:sz="0" w:space="0" w:color="auto"/>
            </w:tcBorders>
            <w:hideMark/>
          </w:tcPr>
          <w:p w14:paraId="4E0D7543" w14:textId="77777777" w:rsidR="006C5EB3" w:rsidRPr="002A016F" w:rsidRDefault="006C5EB3" w:rsidP="00135CF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A016F">
              <w:rPr>
                <w:rFonts w:ascii="Times New Roman" w:hAnsi="Times New Roman" w:cs="Times New Roman"/>
                <w:color w:val="000000"/>
              </w:rPr>
              <w:t>203</w:t>
            </w:r>
          </w:p>
        </w:tc>
        <w:tc>
          <w:tcPr>
            <w:tcW w:w="874" w:type="pct"/>
            <w:tcBorders>
              <w:top w:val="none" w:sz="0" w:space="0" w:color="auto"/>
              <w:bottom w:val="none" w:sz="0" w:space="0" w:color="auto"/>
            </w:tcBorders>
            <w:hideMark/>
          </w:tcPr>
          <w:p w14:paraId="75587403" w14:textId="77777777" w:rsidR="006C5EB3" w:rsidRPr="002A016F" w:rsidRDefault="006C5EB3" w:rsidP="00135CF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A016F">
              <w:rPr>
                <w:rFonts w:ascii="Times New Roman" w:hAnsi="Times New Roman" w:cs="Times New Roman"/>
                <w:color w:val="000000"/>
              </w:rPr>
              <w:t>53.1</w:t>
            </w:r>
          </w:p>
        </w:tc>
      </w:tr>
      <w:tr w:rsidR="006C5EB3" w:rsidRPr="002A016F" w14:paraId="5E9CE852" w14:textId="77777777" w:rsidTr="00135CF7">
        <w:trPr>
          <w:trHeight w:val="288"/>
        </w:trPr>
        <w:tc>
          <w:tcPr>
            <w:cnfStyle w:val="001000000000" w:firstRow="0" w:lastRow="0" w:firstColumn="1" w:lastColumn="0" w:oddVBand="0" w:evenVBand="0" w:oddHBand="0" w:evenHBand="0" w:firstRowFirstColumn="0" w:firstRowLastColumn="0" w:lastRowFirstColumn="0" w:lastRowLastColumn="0"/>
            <w:tcW w:w="1585" w:type="pct"/>
            <w:vMerge w:val="restart"/>
          </w:tcPr>
          <w:p w14:paraId="68B6DA57" w14:textId="77777777" w:rsidR="006C5EB3" w:rsidRPr="002A016F" w:rsidRDefault="006C5EB3" w:rsidP="00135CF7">
            <w:pPr>
              <w:spacing w:line="360" w:lineRule="auto"/>
              <w:rPr>
                <w:rFonts w:ascii="Times New Roman" w:hAnsi="Times New Roman" w:cs="Times New Roman"/>
                <w:b w:val="0"/>
                <w:color w:val="000000"/>
              </w:rPr>
            </w:pPr>
            <w:r w:rsidRPr="002A016F">
              <w:rPr>
                <w:rFonts w:ascii="Times New Roman" w:hAnsi="Times New Roman" w:cs="Times New Roman"/>
                <w:b w:val="0"/>
                <w:bCs w:val="0"/>
                <w:color w:val="000000"/>
              </w:rPr>
              <w:t>Level of income</w:t>
            </w:r>
          </w:p>
        </w:tc>
        <w:tc>
          <w:tcPr>
            <w:tcW w:w="1589" w:type="pct"/>
            <w:hideMark/>
          </w:tcPr>
          <w:p w14:paraId="49E32DA5" w14:textId="77777777" w:rsidR="006C5EB3" w:rsidRPr="002A016F" w:rsidRDefault="006C5EB3" w:rsidP="00135CF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A016F">
              <w:rPr>
                <w:rFonts w:ascii="Times New Roman" w:hAnsi="Times New Roman" w:cs="Times New Roman"/>
                <w:color w:val="000000"/>
              </w:rPr>
              <w:t>10,000-20,000 SSP</w:t>
            </w:r>
          </w:p>
        </w:tc>
        <w:tc>
          <w:tcPr>
            <w:tcW w:w="952" w:type="pct"/>
            <w:hideMark/>
          </w:tcPr>
          <w:p w14:paraId="2B5AFE51" w14:textId="77777777" w:rsidR="006C5EB3" w:rsidRPr="002A016F" w:rsidRDefault="006C5EB3" w:rsidP="00135C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A016F">
              <w:rPr>
                <w:rFonts w:ascii="Times New Roman" w:hAnsi="Times New Roman" w:cs="Times New Roman"/>
                <w:color w:val="000000"/>
              </w:rPr>
              <w:t>51</w:t>
            </w:r>
          </w:p>
        </w:tc>
        <w:tc>
          <w:tcPr>
            <w:tcW w:w="874" w:type="pct"/>
            <w:hideMark/>
          </w:tcPr>
          <w:p w14:paraId="5CDB2810" w14:textId="77777777" w:rsidR="006C5EB3" w:rsidRPr="002A016F" w:rsidRDefault="006C5EB3" w:rsidP="00135C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A016F">
              <w:rPr>
                <w:rFonts w:ascii="Times New Roman" w:hAnsi="Times New Roman" w:cs="Times New Roman"/>
                <w:color w:val="000000"/>
              </w:rPr>
              <w:t>34.7</w:t>
            </w:r>
          </w:p>
        </w:tc>
      </w:tr>
      <w:tr w:rsidR="006C5EB3" w:rsidRPr="002A016F" w14:paraId="7FCB61D1" w14:textId="77777777" w:rsidTr="00135CF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85" w:type="pct"/>
            <w:vMerge/>
            <w:tcBorders>
              <w:top w:val="none" w:sz="0" w:space="0" w:color="auto"/>
              <w:bottom w:val="none" w:sz="0" w:space="0" w:color="auto"/>
            </w:tcBorders>
          </w:tcPr>
          <w:p w14:paraId="44896AF4" w14:textId="77777777" w:rsidR="006C5EB3" w:rsidRPr="002A016F" w:rsidRDefault="006C5EB3" w:rsidP="00135CF7">
            <w:pPr>
              <w:spacing w:line="360" w:lineRule="auto"/>
              <w:rPr>
                <w:rFonts w:ascii="Times New Roman" w:hAnsi="Times New Roman" w:cs="Times New Roman"/>
                <w:b w:val="0"/>
                <w:color w:val="000000"/>
              </w:rPr>
            </w:pPr>
          </w:p>
        </w:tc>
        <w:tc>
          <w:tcPr>
            <w:tcW w:w="1589" w:type="pct"/>
            <w:tcBorders>
              <w:top w:val="none" w:sz="0" w:space="0" w:color="auto"/>
              <w:bottom w:val="none" w:sz="0" w:space="0" w:color="auto"/>
            </w:tcBorders>
            <w:hideMark/>
          </w:tcPr>
          <w:p w14:paraId="66D8F252" w14:textId="77777777" w:rsidR="006C5EB3" w:rsidRPr="002A016F" w:rsidRDefault="006C5EB3" w:rsidP="00135CF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A016F">
              <w:rPr>
                <w:rFonts w:ascii="Times New Roman" w:hAnsi="Times New Roman" w:cs="Times New Roman"/>
                <w:color w:val="000000"/>
              </w:rPr>
              <w:t>&gt;20,000 SSP</w:t>
            </w:r>
          </w:p>
        </w:tc>
        <w:tc>
          <w:tcPr>
            <w:tcW w:w="952" w:type="pct"/>
            <w:tcBorders>
              <w:top w:val="none" w:sz="0" w:space="0" w:color="auto"/>
              <w:bottom w:val="none" w:sz="0" w:space="0" w:color="auto"/>
            </w:tcBorders>
            <w:hideMark/>
          </w:tcPr>
          <w:p w14:paraId="2BD53245" w14:textId="77777777" w:rsidR="006C5EB3" w:rsidRPr="002A016F" w:rsidRDefault="006C5EB3" w:rsidP="00135CF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A016F">
              <w:rPr>
                <w:rFonts w:ascii="Times New Roman" w:hAnsi="Times New Roman" w:cs="Times New Roman"/>
                <w:color w:val="000000"/>
              </w:rPr>
              <w:t>96</w:t>
            </w:r>
          </w:p>
        </w:tc>
        <w:tc>
          <w:tcPr>
            <w:tcW w:w="874" w:type="pct"/>
            <w:tcBorders>
              <w:top w:val="none" w:sz="0" w:space="0" w:color="auto"/>
              <w:bottom w:val="none" w:sz="0" w:space="0" w:color="auto"/>
            </w:tcBorders>
            <w:hideMark/>
          </w:tcPr>
          <w:p w14:paraId="2CF64BEC" w14:textId="77777777" w:rsidR="006C5EB3" w:rsidRPr="002A016F" w:rsidRDefault="006C5EB3" w:rsidP="00135CF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A016F">
              <w:rPr>
                <w:rFonts w:ascii="Times New Roman" w:hAnsi="Times New Roman" w:cs="Times New Roman"/>
                <w:color w:val="000000"/>
              </w:rPr>
              <w:t>65.3</w:t>
            </w:r>
          </w:p>
        </w:tc>
      </w:tr>
      <w:tr w:rsidR="006C5EB3" w:rsidRPr="002A016F" w14:paraId="2F5C9A37" w14:textId="77777777" w:rsidTr="00135CF7">
        <w:trPr>
          <w:trHeight w:val="288"/>
        </w:trPr>
        <w:tc>
          <w:tcPr>
            <w:cnfStyle w:val="001000000000" w:firstRow="0" w:lastRow="0" w:firstColumn="1" w:lastColumn="0" w:oddVBand="0" w:evenVBand="0" w:oddHBand="0" w:evenHBand="0" w:firstRowFirstColumn="0" w:firstRowLastColumn="0" w:lastRowFirstColumn="0" w:lastRowLastColumn="0"/>
            <w:tcW w:w="1585" w:type="pct"/>
            <w:vMerge w:val="restart"/>
          </w:tcPr>
          <w:p w14:paraId="38747AE6" w14:textId="77777777" w:rsidR="006C5EB3" w:rsidRPr="002A016F" w:rsidRDefault="006C5EB3" w:rsidP="00135CF7">
            <w:pPr>
              <w:spacing w:line="360" w:lineRule="auto"/>
              <w:rPr>
                <w:rFonts w:ascii="Times New Roman" w:hAnsi="Times New Roman" w:cs="Times New Roman"/>
                <w:b w:val="0"/>
                <w:color w:val="000000"/>
              </w:rPr>
            </w:pPr>
            <w:r w:rsidRPr="002A016F">
              <w:rPr>
                <w:rFonts w:ascii="Times New Roman" w:hAnsi="Times New Roman" w:cs="Times New Roman"/>
                <w:b w:val="0"/>
                <w:bCs w:val="0"/>
                <w:color w:val="000000"/>
              </w:rPr>
              <w:t>Marital status</w:t>
            </w:r>
          </w:p>
        </w:tc>
        <w:tc>
          <w:tcPr>
            <w:tcW w:w="1589" w:type="pct"/>
            <w:hideMark/>
          </w:tcPr>
          <w:p w14:paraId="679B99A7" w14:textId="77777777" w:rsidR="006C5EB3" w:rsidRPr="002A016F" w:rsidRDefault="006C5EB3" w:rsidP="00135CF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A016F">
              <w:rPr>
                <w:rFonts w:ascii="Times New Roman" w:hAnsi="Times New Roman" w:cs="Times New Roman"/>
                <w:color w:val="000000"/>
              </w:rPr>
              <w:t>Monogamy</w:t>
            </w:r>
          </w:p>
        </w:tc>
        <w:tc>
          <w:tcPr>
            <w:tcW w:w="952" w:type="pct"/>
            <w:hideMark/>
          </w:tcPr>
          <w:p w14:paraId="57627C2D" w14:textId="77777777" w:rsidR="006C5EB3" w:rsidRPr="002A016F" w:rsidRDefault="006C5EB3" w:rsidP="00135C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A016F">
              <w:rPr>
                <w:rFonts w:ascii="Times New Roman" w:hAnsi="Times New Roman" w:cs="Times New Roman"/>
                <w:color w:val="000000"/>
              </w:rPr>
              <w:t>179</w:t>
            </w:r>
          </w:p>
        </w:tc>
        <w:tc>
          <w:tcPr>
            <w:tcW w:w="874" w:type="pct"/>
            <w:hideMark/>
          </w:tcPr>
          <w:p w14:paraId="7842A263" w14:textId="77777777" w:rsidR="006C5EB3" w:rsidRPr="002A016F" w:rsidRDefault="006C5EB3" w:rsidP="00135C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A016F">
              <w:rPr>
                <w:rFonts w:ascii="Times New Roman" w:hAnsi="Times New Roman" w:cs="Times New Roman"/>
                <w:color w:val="000000"/>
              </w:rPr>
              <w:t>46.9</w:t>
            </w:r>
          </w:p>
        </w:tc>
      </w:tr>
      <w:tr w:rsidR="006C5EB3" w:rsidRPr="002A016F" w14:paraId="1FFBBBF7" w14:textId="77777777" w:rsidTr="00135CF7">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585" w:type="pct"/>
            <w:vMerge/>
            <w:tcBorders>
              <w:top w:val="none" w:sz="0" w:space="0" w:color="auto"/>
              <w:bottom w:val="none" w:sz="0" w:space="0" w:color="auto"/>
            </w:tcBorders>
          </w:tcPr>
          <w:p w14:paraId="0E94F957" w14:textId="77777777" w:rsidR="006C5EB3" w:rsidRPr="002A016F" w:rsidRDefault="006C5EB3" w:rsidP="00135CF7">
            <w:pPr>
              <w:spacing w:line="360" w:lineRule="auto"/>
              <w:rPr>
                <w:rFonts w:ascii="Times New Roman" w:hAnsi="Times New Roman" w:cs="Times New Roman"/>
                <w:b w:val="0"/>
                <w:color w:val="000000"/>
              </w:rPr>
            </w:pPr>
          </w:p>
        </w:tc>
        <w:tc>
          <w:tcPr>
            <w:tcW w:w="1589" w:type="pct"/>
            <w:tcBorders>
              <w:top w:val="none" w:sz="0" w:space="0" w:color="auto"/>
              <w:bottom w:val="none" w:sz="0" w:space="0" w:color="auto"/>
            </w:tcBorders>
            <w:hideMark/>
          </w:tcPr>
          <w:p w14:paraId="042E2B6B" w14:textId="77777777" w:rsidR="006C5EB3" w:rsidRPr="002A016F" w:rsidRDefault="006C5EB3" w:rsidP="00135CF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A016F">
              <w:rPr>
                <w:rFonts w:ascii="Times New Roman" w:hAnsi="Times New Roman" w:cs="Times New Roman"/>
                <w:color w:val="000000"/>
              </w:rPr>
              <w:t>Polygamy</w:t>
            </w:r>
          </w:p>
        </w:tc>
        <w:tc>
          <w:tcPr>
            <w:tcW w:w="952" w:type="pct"/>
            <w:tcBorders>
              <w:top w:val="none" w:sz="0" w:space="0" w:color="auto"/>
              <w:bottom w:val="none" w:sz="0" w:space="0" w:color="auto"/>
            </w:tcBorders>
            <w:hideMark/>
          </w:tcPr>
          <w:p w14:paraId="7A444CCF" w14:textId="77777777" w:rsidR="006C5EB3" w:rsidRPr="002A016F" w:rsidRDefault="006C5EB3" w:rsidP="00135CF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A016F">
              <w:rPr>
                <w:rFonts w:ascii="Times New Roman" w:hAnsi="Times New Roman" w:cs="Times New Roman"/>
                <w:color w:val="000000"/>
              </w:rPr>
              <w:t>167</w:t>
            </w:r>
          </w:p>
        </w:tc>
        <w:tc>
          <w:tcPr>
            <w:tcW w:w="874" w:type="pct"/>
            <w:tcBorders>
              <w:top w:val="none" w:sz="0" w:space="0" w:color="auto"/>
              <w:bottom w:val="none" w:sz="0" w:space="0" w:color="auto"/>
            </w:tcBorders>
            <w:hideMark/>
          </w:tcPr>
          <w:p w14:paraId="29439018" w14:textId="77777777" w:rsidR="006C5EB3" w:rsidRPr="002A016F" w:rsidRDefault="006C5EB3" w:rsidP="00135CF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A016F">
              <w:rPr>
                <w:rFonts w:ascii="Times New Roman" w:hAnsi="Times New Roman" w:cs="Times New Roman"/>
                <w:color w:val="000000"/>
              </w:rPr>
              <w:t xml:space="preserve">43.7 </w:t>
            </w:r>
          </w:p>
        </w:tc>
      </w:tr>
      <w:tr w:rsidR="006C5EB3" w:rsidRPr="002A016F" w14:paraId="055B17A1" w14:textId="77777777" w:rsidTr="00135CF7">
        <w:trPr>
          <w:trHeight w:val="288"/>
        </w:trPr>
        <w:tc>
          <w:tcPr>
            <w:cnfStyle w:val="001000000000" w:firstRow="0" w:lastRow="0" w:firstColumn="1" w:lastColumn="0" w:oddVBand="0" w:evenVBand="0" w:oddHBand="0" w:evenHBand="0" w:firstRowFirstColumn="0" w:firstRowLastColumn="0" w:lastRowFirstColumn="0" w:lastRowLastColumn="0"/>
            <w:tcW w:w="1585" w:type="pct"/>
            <w:vMerge/>
          </w:tcPr>
          <w:p w14:paraId="1766C501" w14:textId="77777777" w:rsidR="006C5EB3" w:rsidRPr="002A016F" w:rsidRDefault="006C5EB3" w:rsidP="00135CF7">
            <w:pPr>
              <w:spacing w:line="360" w:lineRule="auto"/>
              <w:rPr>
                <w:rFonts w:ascii="Times New Roman" w:hAnsi="Times New Roman" w:cs="Times New Roman"/>
                <w:b w:val="0"/>
                <w:color w:val="000000"/>
              </w:rPr>
            </w:pPr>
          </w:p>
        </w:tc>
        <w:tc>
          <w:tcPr>
            <w:tcW w:w="1589" w:type="pct"/>
            <w:hideMark/>
          </w:tcPr>
          <w:p w14:paraId="5CA07BC5" w14:textId="77777777" w:rsidR="006C5EB3" w:rsidRPr="002A016F" w:rsidRDefault="006C5EB3" w:rsidP="00135CF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A016F">
              <w:rPr>
                <w:rFonts w:ascii="Times New Roman" w:hAnsi="Times New Roman" w:cs="Times New Roman"/>
                <w:color w:val="000000"/>
              </w:rPr>
              <w:t>Unmarried</w:t>
            </w:r>
          </w:p>
        </w:tc>
        <w:tc>
          <w:tcPr>
            <w:tcW w:w="952" w:type="pct"/>
            <w:hideMark/>
          </w:tcPr>
          <w:p w14:paraId="13B92E8D" w14:textId="77777777" w:rsidR="006C5EB3" w:rsidRPr="002A016F" w:rsidRDefault="006C5EB3" w:rsidP="00135C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A016F">
              <w:rPr>
                <w:rFonts w:ascii="Times New Roman" w:hAnsi="Times New Roman" w:cs="Times New Roman"/>
                <w:color w:val="000000"/>
              </w:rPr>
              <w:t>36</w:t>
            </w:r>
          </w:p>
        </w:tc>
        <w:tc>
          <w:tcPr>
            <w:tcW w:w="874" w:type="pct"/>
            <w:hideMark/>
          </w:tcPr>
          <w:p w14:paraId="423BA5F9" w14:textId="77777777" w:rsidR="006C5EB3" w:rsidRPr="002A016F" w:rsidRDefault="006C5EB3" w:rsidP="00135C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A016F">
              <w:rPr>
                <w:rFonts w:ascii="Times New Roman" w:hAnsi="Times New Roman" w:cs="Times New Roman"/>
                <w:color w:val="000000"/>
              </w:rPr>
              <w:t>9.4</w:t>
            </w:r>
          </w:p>
        </w:tc>
      </w:tr>
      <w:tr w:rsidR="006C5EB3" w:rsidRPr="002A016F" w14:paraId="38D53BF3" w14:textId="77777777" w:rsidTr="00135CF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85" w:type="pct"/>
            <w:tcBorders>
              <w:top w:val="none" w:sz="0" w:space="0" w:color="auto"/>
              <w:bottom w:val="none" w:sz="0" w:space="0" w:color="auto"/>
            </w:tcBorders>
          </w:tcPr>
          <w:p w14:paraId="12A62A9F" w14:textId="77777777" w:rsidR="006C5EB3" w:rsidRPr="002A016F" w:rsidRDefault="006C5EB3" w:rsidP="00135CF7">
            <w:pPr>
              <w:spacing w:line="360" w:lineRule="auto"/>
              <w:rPr>
                <w:rFonts w:ascii="Times New Roman" w:hAnsi="Times New Roman" w:cs="Times New Roman"/>
                <w:b w:val="0"/>
                <w:color w:val="000000"/>
              </w:rPr>
            </w:pPr>
            <w:r w:rsidRPr="002A016F">
              <w:rPr>
                <w:rFonts w:ascii="Times New Roman" w:hAnsi="Times New Roman" w:cs="Times New Roman"/>
                <w:b w:val="0"/>
                <w:bCs w:val="0"/>
                <w:color w:val="000000"/>
              </w:rPr>
              <w:t xml:space="preserve">Gestational age                              </w:t>
            </w:r>
          </w:p>
        </w:tc>
        <w:tc>
          <w:tcPr>
            <w:tcW w:w="1589" w:type="pct"/>
            <w:tcBorders>
              <w:top w:val="none" w:sz="0" w:space="0" w:color="auto"/>
              <w:bottom w:val="none" w:sz="0" w:space="0" w:color="auto"/>
            </w:tcBorders>
            <w:hideMark/>
          </w:tcPr>
          <w:p w14:paraId="0BBDD2E8" w14:textId="77777777" w:rsidR="006C5EB3" w:rsidRPr="002A016F" w:rsidRDefault="006C5EB3" w:rsidP="00135CF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A016F">
              <w:rPr>
                <w:rFonts w:ascii="Times New Roman" w:hAnsi="Times New Roman" w:cs="Times New Roman"/>
                <w:color w:val="000000"/>
              </w:rPr>
              <w:t>third trimester</w:t>
            </w:r>
          </w:p>
        </w:tc>
        <w:tc>
          <w:tcPr>
            <w:tcW w:w="952" w:type="pct"/>
            <w:tcBorders>
              <w:top w:val="none" w:sz="0" w:space="0" w:color="auto"/>
              <w:bottom w:val="none" w:sz="0" w:space="0" w:color="auto"/>
            </w:tcBorders>
            <w:hideMark/>
          </w:tcPr>
          <w:p w14:paraId="0C50CA27" w14:textId="77777777" w:rsidR="006C5EB3" w:rsidRPr="002A016F" w:rsidRDefault="006C5EB3" w:rsidP="00135CF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A016F">
              <w:rPr>
                <w:rFonts w:ascii="Times New Roman" w:hAnsi="Times New Roman" w:cs="Times New Roman"/>
                <w:color w:val="000000"/>
              </w:rPr>
              <w:t>382</w:t>
            </w:r>
          </w:p>
        </w:tc>
        <w:tc>
          <w:tcPr>
            <w:tcW w:w="874" w:type="pct"/>
            <w:tcBorders>
              <w:top w:val="none" w:sz="0" w:space="0" w:color="auto"/>
              <w:bottom w:val="none" w:sz="0" w:space="0" w:color="auto"/>
            </w:tcBorders>
            <w:hideMark/>
          </w:tcPr>
          <w:p w14:paraId="1267F2AB" w14:textId="77777777" w:rsidR="006C5EB3" w:rsidRPr="002A016F" w:rsidRDefault="006C5EB3" w:rsidP="00135CF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A016F">
              <w:rPr>
                <w:rFonts w:ascii="Times New Roman" w:hAnsi="Times New Roman" w:cs="Times New Roman"/>
                <w:color w:val="000000"/>
              </w:rPr>
              <w:t>100</w:t>
            </w:r>
          </w:p>
        </w:tc>
      </w:tr>
      <w:tr w:rsidR="006C5EB3" w:rsidRPr="002A016F" w14:paraId="123697B6" w14:textId="77777777" w:rsidTr="00135CF7">
        <w:trPr>
          <w:trHeight w:val="288"/>
        </w:trPr>
        <w:tc>
          <w:tcPr>
            <w:cnfStyle w:val="001000000000" w:firstRow="0" w:lastRow="0" w:firstColumn="1" w:lastColumn="0" w:oddVBand="0" w:evenVBand="0" w:oddHBand="0" w:evenHBand="0" w:firstRowFirstColumn="0" w:firstRowLastColumn="0" w:lastRowFirstColumn="0" w:lastRowLastColumn="0"/>
            <w:tcW w:w="1585" w:type="pct"/>
            <w:vMerge w:val="restart"/>
          </w:tcPr>
          <w:p w14:paraId="6769AB19" w14:textId="77777777" w:rsidR="006C5EB3" w:rsidRPr="002A016F" w:rsidRDefault="006C5EB3" w:rsidP="00135CF7">
            <w:pPr>
              <w:spacing w:line="360" w:lineRule="auto"/>
              <w:rPr>
                <w:rFonts w:ascii="Times New Roman" w:hAnsi="Times New Roman" w:cs="Times New Roman"/>
                <w:b w:val="0"/>
                <w:color w:val="000000"/>
              </w:rPr>
            </w:pPr>
            <w:r w:rsidRPr="002A016F">
              <w:rPr>
                <w:rFonts w:ascii="Times New Roman" w:hAnsi="Times New Roman" w:cs="Times New Roman"/>
                <w:b w:val="0"/>
                <w:bCs w:val="0"/>
                <w:color w:val="000000"/>
              </w:rPr>
              <w:t xml:space="preserve">Parity   </w:t>
            </w:r>
          </w:p>
        </w:tc>
        <w:tc>
          <w:tcPr>
            <w:tcW w:w="1589" w:type="pct"/>
            <w:hideMark/>
          </w:tcPr>
          <w:p w14:paraId="5BD5C568" w14:textId="77777777" w:rsidR="006C5EB3" w:rsidRPr="002A016F" w:rsidRDefault="006C5EB3" w:rsidP="00135CF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roofErr w:type="spellStart"/>
            <w:r w:rsidRPr="002A016F">
              <w:rPr>
                <w:rFonts w:ascii="Times New Roman" w:hAnsi="Times New Roman" w:cs="Times New Roman"/>
                <w:color w:val="000000"/>
              </w:rPr>
              <w:t>Granmultipara</w:t>
            </w:r>
            <w:proofErr w:type="spellEnd"/>
            <w:r w:rsidRPr="002A016F">
              <w:rPr>
                <w:rFonts w:ascii="Times New Roman" w:hAnsi="Times New Roman" w:cs="Times New Roman"/>
                <w:color w:val="000000"/>
              </w:rPr>
              <w:t xml:space="preserve"> &gt;4 children</w:t>
            </w:r>
          </w:p>
        </w:tc>
        <w:tc>
          <w:tcPr>
            <w:tcW w:w="952" w:type="pct"/>
            <w:hideMark/>
          </w:tcPr>
          <w:p w14:paraId="33031321" w14:textId="77777777" w:rsidR="006C5EB3" w:rsidRPr="002A016F" w:rsidRDefault="006C5EB3" w:rsidP="00135C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A016F">
              <w:rPr>
                <w:rFonts w:ascii="Times New Roman" w:hAnsi="Times New Roman" w:cs="Times New Roman"/>
                <w:color w:val="000000"/>
              </w:rPr>
              <w:t>96</w:t>
            </w:r>
          </w:p>
        </w:tc>
        <w:tc>
          <w:tcPr>
            <w:tcW w:w="874" w:type="pct"/>
            <w:hideMark/>
          </w:tcPr>
          <w:p w14:paraId="1801A57E" w14:textId="77777777" w:rsidR="006C5EB3" w:rsidRPr="002A016F" w:rsidRDefault="006C5EB3" w:rsidP="00135C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A016F">
              <w:rPr>
                <w:rFonts w:ascii="Times New Roman" w:hAnsi="Times New Roman" w:cs="Times New Roman"/>
                <w:color w:val="000000"/>
              </w:rPr>
              <w:t>25.1</w:t>
            </w:r>
          </w:p>
        </w:tc>
      </w:tr>
      <w:tr w:rsidR="006C5EB3" w:rsidRPr="002A016F" w14:paraId="29002375" w14:textId="77777777" w:rsidTr="00135CF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85" w:type="pct"/>
            <w:vMerge/>
            <w:tcBorders>
              <w:top w:val="none" w:sz="0" w:space="0" w:color="auto"/>
              <w:bottom w:val="none" w:sz="0" w:space="0" w:color="auto"/>
            </w:tcBorders>
          </w:tcPr>
          <w:p w14:paraId="5366D8CA" w14:textId="77777777" w:rsidR="006C5EB3" w:rsidRPr="002A016F" w:rsidRDefault="006C5EB3" w:rsidP="00135CF7">
            <w:pPr>
              <w:spacing w:line="360" w:lineRule="auto"/>
              <w:rPr>
                <w:rFonts w:ascii="Times New Roman" w:hAnsi="Times New Roman" w:cs="Times New Roman"/>
                <w:b w:val="0"/>
                <w:color w:val="000000"/>
              </w:rPr>
            </w:pPr>
          </w:p>
        </w:tc>
        <w:tc>
          <w:tcPr>
            <w:tcW w:w="1589" w:type="pct"/>
            <w:tcBorders>
              <w:top w:val="none" w:sz="0" w:space="0" w:color="auto"/>
              <w:bottom w:val="none" w:sz="0" w:space="0" w:color="auto"/>
            </w:tcBorders>
            <w:hideMark/>
          </w:tcPr>
          <w:p w14:paraId="2B9795A6" w14:textId="77777777" w:rsidR="006C5EB3" w:rsidRPr="002A016F" w:rsidRDefault="006C5EB3" w:rsidP="00135CF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A016F">
              <w:rPr>
                <w:rFonts w:ascii="Times New Roman" w:hAnsi="Times New Roman" w:cs="Times New Roman"/>
                <w:color w:val="000000"/>
              </w:rPr>
              <w:t>Multipara 2-4 children</w:t>
            </w:r>
          </w:p>
        </w:tc>
        <w:tc>
          <w:tcPr>
            <w:tcW w:w="952" w:type="pct"/>
            <w:tcBorders>
              <w:top w:val="none" w:sz="0" w:space="0" w:color="auto"/>
              <w:bottom w:val="none" w:sz="0" w:space="0" w:color="auto"/>
            </w:tcBorders>
            <w:hideMark/>
          </w:tcPr>
          <w:p w14:paraId="7154DA18" w14:textId="77777777" w:rsidR="006C5EB3" w:rsidRPr="002A016F" w:rsidRDefault="006C5EB3" w:rsidP="00135CF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A016F">
              <w:rPr>
                <w:rFonts w:ascii="Times New Roman" w:hAnsi="Times New Roman" w:cs="Times New Roman"/>
                <w:color w:val="000000"/>
              </w:rPr>
              <w:t>227</w:t>
            </w:r>
          </w:p>
        </w:tc>
        <w:tc>
          <w:tcPr>
            <w:tcW w:w="874" w:type="pct"/>
            <w:tcBorders>
              <w:top w:val="none" w:sz="0" w:space="0" w:color="auto"/>
              <w:bottom w:val="none" w:sz="0" w:space="0" w:color="auto"/>
            </w:tcBorders>
            <w:hideMark/>
          </w:tcPr>
          <w:p w14:paraId="5F3FADEC" w14:textId="77777777" w:rsidR="006C5EB3" w:rsidRPr="002A016F" w:rsidRDefault="006C5EB3" w:rsidP="00135CF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A016F">
              <w:rPr>
                <w:rFonts w:ascii="Times New Roman" w:hAnsi="Times New Roman" w:cs="Times New Roman"/>
                <w:color w:val="000000"/>
              </w:rPr>
              <w:t>59.4</w:t>
            </w:r>
          </w:p>
        </w:tc>
      </w:tr>
      <w:tr w:rsidR="006C5EB3" w:rsidRPr="002A016F" w14:paraId="3A2B1D98" w14:textId="77777777" w:rsidTr="00135CF7">
        <w:trPr>
          <w:trHeight w:val="317"/>
        </w:trPr>
        <w:tc>
          <w:tcPr>
            <w:cnfStyle w:val="001000000000" w:firstRow="0" w:lastRow="0" w:firstColumn="1" w:lastColumn="0" w:oddVBand="0" w:evenVBand="0" w:oddHBand="0" w:evenHBand="0" w:firstRowFirstColumn="0" w:firstRowLastColumn="0" w:lastRowFirstColumn="0" w:lastRowLastColumn="0"/>
            <w:tcW w:w="1585" w:type="pct"/>
            <w:vMerge/>
          </w:tcPr>
          <w:p w14:paraId="055D087D" w14:textId="77777777" w:rsidR="006C5EB3" w:rsidRPr="002A016F" w:rsidRDefault="006C5EB3" w:rsidP="00135CF7">
            <w:pPr>
              <w:spacing w:line="360" w:lineRule="auto"/>
              <w:rPr>
                <w:rFonts w:ascii="Times New Roman" w:hAnsi="Times New Roman" w:cs="Times New Roman"/>
                <w:b w:val="0"/>
                <w:color w:val="000000"/>
              </w:rPr>
            </w:pPr>
          </w:p>
        </w:tc>
        <w:tc>
          <w:tcPr>
            <w:tcW w:w="1589" w:type="pct"/>
            <w:hideMark/>
          </w:tcPr>
          <w:p w14:paraId="5D1B53BD" w14:textId="77777777" w:rsidR="006C5EB3" w:rsidRPr="002A016F" w:rsidRDefault="006C5EB3" w:rsidP="00135CF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A016F">
              <w:rPr>
                <w:rFonts w:ascii="Times New Roman" w:hAnsi="Times New Roman" w:cs="Times New Roman"/>
                <w:color w:val="000000"/>
              </w:rPr>
              <w:t>Primipara 1 child</w:t>
            </w:r>
          </w:p>
        </w:tc>
        <w:tc>
          <w:tcPr>
            <w:tcW w:w="952" w:type="pct"/>
            <w:hideMark/>
          </w:tcPr>
          <w:p w14:paraId="7C685991" w14:textId="77777777" w:rsidR="006C5EB3" w:rsidRPr="002A016F" w:rsidRDefault="006C5EB3" w:rsidP="00135C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A016F">
              <w:rPr>
                <w:rFonts w:ascii="Times New Roman" w:hAnsi="Times New Roman" w:cs="Times New Roman"/>
                <w:color w:val="000000"/>
              </w:rPr>
              <w:t>59</w:t>
            </w:r>
          </w:p>
        </w:tc>
        <w:tc>
          <w:tcPr>
            <w:tcW w:w="874" w:type="pct"/>
            <w:hideMark/>
          </w:tcPr>
          <w:p w14:paraId="4A40FCB2" w14:textId="77777777" w:rsidR="006C5EB3" w:rsidRPr="002A016F" w:rsidRDefault="006C5EB3" w:rsidP="00135C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A016F">
              <w:rPr>
                <w:rFonts w:ascii="Times New Roman" w:hAnsi="Times New Roman" w:cs="Times New Roman"/>
                <w:color w:val="000000"/>
              </w:rPr>
              <w:t>15.5</w:t>
            </w:r>
          </w:p>
        </w:tc>
      </w:tr>
      <w:tr w:rsidR="006C5EB3" w:rsidRPr="002A016F" w14:paraId="089F8096" w14:textId="77777777" w:rsidTr="00135CF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85" w:type="pct"/>
            <w:vMerge w:val="restart"/>
            <w:tcBorders>
              <w:top w:val="none" w:sz="0" w:space="0" w:color="auto"/>
              <w:bottom w:val="none" w:sz="0" w:space="0" w:color="auto"/>
            </w:tcBorders>
          </w:tcPr>
          <w:p w14:paraId="231B1D66" w14:textId="77777777" w:rsidR="006C5EB3" w:rsidRPr="002A016F" w:rsidRDefault="006C5EB3" w:rsidP="00135CF7">
            <w:pPr>
              <w:spacing w:line="360" w:lineRule="auto"/>
              <w:rPr>
                <w:rFonts w:ascii="Times New Roman" w:hAnsi="Times New Roman" w:cs="Times New Roman"/>
                <w:b w:val="0"/>
                <w:color w:val="000000"/>
              </w:rPr>
            </w:pPr>
            <w:r w:rsidRPr="002A016F">
              <w:rPr>
                <w:rFonts w:ascii="Times New Roman" w:hAnsi="Times New Roman" w:cs="Times New Roman"/>
                <w:b w:val="0"/>
                <w:bCs w:val="0"/>
                <w:color w:val="000000"/>
              </w:rPr>
              <w:t>Husband/spouse's working status</w:t>
            </w:r>
          </w:p>
        </w:tc>
        <w:tc>
          <w:tcPr>
            <w:tcW w:w="1589" w:type="pct"/>
            <w:tcBorders>
              <w:top w:val="none" w:sz="0" w:space="0" w:color="auto"/>
              <w:bottom w:val="none" w:sz="0" w:space="0" w:color="auto"/>
            </w:tcBorders>
          </w:tcPr>
          <w:p w14:paraId="624388FA" w14:textId="77777777" w:rsidR="006C5EB3" w:rsidRPr="002A016F" w:rsidRDefault="006C5EB3" w:rsidP="00135CF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A016F">
              <w:rPr>
                <w:rFonts w:ascii="Times New Roman" w:hAnsi="Times New Roman" w:cs="Times New Roman"/>
                <w:color w:val="000000"/>
              </w:rPr>
              <w:t>Not working</w:t>
            </w:r>
          </w:p>
        </w:tc>
        <w:tc>
          <w:tcPr>
            <w:tcW w:w="952" w:type="pct"/>
            <w:tcBorders>
              <w:top w:val="none" w:sz="0" w:space="0" w:color="auto"/>
              <w:bottom w:val="none" w:sz="0" w:space="0" w:color="auto"/>
            </w:tcBorders>
          </w:tcPr>
          <w:p w14:paraId="53EABE21" w14:textId="77777777" w:rsidR="006C5EB3" w:rsidRPr="002A016F" w:rsidRDefault="006C5EB3" w:rsidP="00135CF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A016F">
              <w:rPr>
                <w:rFonts w:ascii="Times New Roman" w:hAnsi="Times New Roman" w:cs="Times New Roman"/>
                <w:color w:val="000000"/>
              </w:rPr>
              <w:t>127</w:t>
            </w:r>
          </w:p>
        </w:tc>
        <w:tc>
          <w:tcPr>
            <w:tcW w:w="874" w:type="pct"/>
            <w:tcBorders>
              <w:top w:val="none" w:sz="0" w:space="0" w:color="auto"/>
              <w:bottom w:val="none" w:sz="0" w:space="0" w:color="auto"/>
            </w:tcBorders>
          </w:tcPr>
          <w:p w14:paraId="6F8CD39F" w14:textId="77777777" w:rsidR="006C5EB3" w:rsidRPr="002A016F" w:rsidRDefault="006C5EB3" w:rsidP="00135CF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2A016F">
              <w:rPr>
                <w:rFonts w:ascii="Times New Roman" w:hAnsi="Times New Roman" w:cs="Times New Roman"/>
                <w:color w:val="000000"/>
              </w:rPr>
              <w:t>34.9</w:t>
            </w:r>
          </w:p>
        </w:tc>
      </w:tr>
      <w:tr w:rsidR="006C5EB3" w:rsidRPr="002A016F" w14:paraId="05677866" w14:textId="77777777" w:rsidTr="00135CF7">
        <w:trPr>
          <w:trHeight w:val="288"/>
        </w:trPr>
        <w:tc>
          <w:tcPr>
            <w:cnfStyle w:val="001000000000" w:firstRow="0" w:lastRow="0" w:firstColumn="1" w:lastColumn="0" w:oddVBand="0" w:evenVBand="0" w:oddHBand="0" w:evenHBand="0" w:firstRowFirstColumn="0" w:firstRowLastColumn="0" w:lastRowFirstColumn="0" w:lastRowLastColumn="0"/>
            <w:tcW w:w="1585" w:type="pct"/>
            <w:vMerge/>
            <w:tcBorders>
              <w:bottom w:val="single" w:sz="4" w:space="0" w:color="auto"/>
            </w:tcBorders>
          </w:tcPr>
          <w:p w14:paraId="6A14BDDA" w14:textId="77777777" w:rsidR="006C5EB3" w:rsidRPr="002A016F" w:rsidRDefault="006C5EB3" w:rsidP="00135CF7">
            <w:pPr>
              <w:spacing w:line="360" w:lineRule="auto"/>
              <w:rPr>
                <w:rFonts w:ascii="Times New Roman" w:hAnsi="Times New Roman" w:cs="Times New Roman"/>
                <w:b w:val="0"/>
                <w:color w:val="000000"/>
              </w:rPr>
            </w:pPr>
          </w:p>
        </w:tc>
        <w:tc>
          <w:tcPr>
            <w:tcW w:w="1589" w:type="pct"/>
            <w:tcBorders>
              <w:bottom w:val="single" w:sz="4" w:space="0" w:color="auto"/>
            </w:tcBorders>
          </w:tcPr>
          <w:p w14:paraId="38C43959" w14:textId="77777777" w:rsidR="006C5EB3" w:rsidRPr="002A016F" w:rsidRDefault="006C5EB3" w:rsidP="00135CF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A016F">
              <w:rPr>
                <w:rFonts w:ascii="Times New Roman" w:hAnsi="Times New Roman" w:cs="Times New Roman"/>
                <w:color w:val="000000"/>
              </w:rPr>
              <w:t>Working</w:t>
            </w:r>
          </w:p>
        </w:tc>
        <w:tc>
          <w:tcPr>
            <w:tcW w:w="952" w:type="pct"/>
            <w:tcBorders>
              <w:bottom w:val="single" w:sz="4" w:space="0" w:color="auto"/>
            </w:tcBorders>
          </w:tcPr>
          <w:p w14:paraId="5AD8ED69" w14:textId="77777777" w:rsidR="006C5EB3" w:rsidRPr="002A016F" w:rsidRDefault="006C5EB3" w:rsidP="00135C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A016F">
              <w:rPr>
                <w:rFonts w:ascii="Times New Roman" w:hAnsi="Times New Roman" w:cs="Times New Roman"/>
                <w:color w:val="000000"/>
              </w:rPr>
              <w:t>137</w:t>
            </w:r>
          </w:p>
        </w:tc>
        <w:tc>
          <w:tcPr>
            <w:tcW w:w="874" w:type="pct"/>
            <w:tcBorders>
              <w:bottom w:val="single" w:sz="4" w:space="0" w:color="auto"/>
            </w:tcBorders>
          </w:tcPr>
          <w:p w14:paraId="4F18CC6E" w14:textId="77777777" w:rsidR="006C5EB3" w:rsidRPr="002A016F" w:rsidRDefault="006C5EB3" w:rsidP="00135C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2A016F">
              <w:rPr>
                <w:rFonts w:ascii="Times New Roman" w:hAnsi="Times New Roman" w:cs="Times New Roman"/>
                <w:color w:val="000000"/>
              </w:rPr>
              <w:t>65.1</w:t>
            </w:r>
          </w:p>
        </w:tc>
      </w:tr>
    </w:tbl>
    <w:p w14:paraId="6D828BC3" w14:textId="77777777" w:rsidR="006C5EB3" w:rsidRPr="00224E75" w:rsidRDefault="006C5EB3" w:rsidP="006C5EB3">
      <w:pPr>
        <w:rPr>
          <w:b/>
          <w:szCs w:val="24"/>
        </w:rPr>
      </w:pPr>
    </w:p>
    <w:p w14:paraId="4438A636" w14:textId="77777777" w:rsidR="006C5EB3" w:rsidRDefault="006C5EB3" w:rsidP="006C5EB3">
      <w:pPr>
        <w:spacing w:line="360" w:lineRule="auto"/>
        <w:jc w:val="both"/>
        <w:rPr>
          <w:rFonts w:ascii="Times New Roman" w:hAnsi="Times New Roman" w:cs="Times New Roman"/>
          <w:sz w:val="24"/>
          <w:szCs w:val="24"/>
        </w:rPr>
      </w:pPr>
    </w:p>
    <w:p w14:paraId="4C4D2E86" w14:textId="77777777" w:rsidR="006C5EB3" w:rsidRDefault="006C5EB3" w:rsidP="006C5EB3">
      <w:pPr>
        <w:spacing w:line="360" w:lineRule="auto"/>
        <w:jc w:val="both"/>
        <w:rPr>
          <w:rFonts w:ascii="Times New Roman" w:hAnsi="Times New Roman" w:cs="Times New Roman"/>
          <w:sz w:val="24"/>
          <w:szCs w:val="24"/>
        </w:rPr>
      </w:pPr>
    </w:p>
    <w:p w14:paraId="47FE9A67" w14:textId="77777777" w:rsidR="006C5EB3" w:rsidRDefault="006C5EB3" w:rsidP="00A225BD">
      <w:pPr>
        <w:spacing w:line="240" w:lineRule="auto"/>
        <w:jc w:val="both"/>
        <w:rPr>
          <w:rFonts w:ascii="Times New Roman" w:hAnsi="Times New Roman" w:cs="Times New Roman"/>
          <w:b/>
          <w:color w:val="000000" w:themeColor="text1"/>
          <w:sz w:val="24"/>
          <w:szCs w:val="24"/>
        </w:rPr>
      </w:pPr>
    </w:p>
    <w:p w14:paraId="0D764573" w14:textId="77777777" w:rsidR="006C5EB3" w:rsidRDefault="006C5EB3" w:rsidP="00A225BD">
      <w:pPr>
        <w:spacing w:line="240" w:lineRule="auto"/>
        <w:jc w:val="both"/>
        <w:rPr>
          <w:rFonts w:ascii="Times New Roman" w:hAnsi="Times New Roman" w:cs="Times New Roman"/>
          <w:b/>
          <w:color w:val="000000" w:themeColor="text1"/>
          <w:sz w:val="24"/>
          <w:szCs w:val="24"/>
        </w:rPr>
      </w:pPr>
    </w:p>
    <w:p w14:paraId="0D531310" w14:textId="77777777" w:rsidR="006C5EB3" w:rsidRDefault="006C5EB3" w:rsidP="00A225BD">
      <w:pPr>
        <w:spacing w:line="240" w:lineRule="auto"/>
        <w:jc w:val="both"/>
        <w:rPr>
          <w:rFonts w:ascii="Times New Roman" w:hAnsi="Times New Roman" w:cs="Times New Roman"/>
          <w:b/>
          <w:color w:val="000000" w:themeColor="text1"/>
          <w:sz w:val="24"/>
          <w:szCs w:val="24"/>
        </w:rPr>
      </w:pPr>
    </w:p>
    <w:p w14:paraId="470F0ED3" w14:textId="77777777" w:rsidR="006C5EB3" w:rsidRPr="006C5EB3" w:rsidRDefault="006C5EB3" w:rsidP="006C5EB3">
      <w:pPr>
        <w:rPr>
          <w:rFonts w:ascii="Times New Roman" w:hAnsi="Times New Roman" w:cs="Times New Roman"/>
          <w:b/>
          <w:sz w:val="24"/>
          <w:szCs w:val="24"/>
        </w:rPr>
      </w:pPr>
      <w:r w:rsidRPr="006C5EB3">
        <w:rPr>
          <w:rFonts w:ascii="Times New Roman" w:hAnsi="Times New Roman" w:cs="Times New Roman"/>
          <w:b/>
          <w:sz w:val="24"/>
          <w:szCs w:val="24"/>
        </w:rPr>
        <w:t>Table 2: Predictors of HBV</w:t>
      </w:r>
    </w:p>
    <w:tbl>
      <w:tblPr>
        <w:tblW w:w="5000" w:type="pct"/>
        <w:tblCellMar>
          <w:left w:w="0" w:type="dxa"/>
          <w:right w:w="0" w:type="dxa"/>
        </w:tblCellMar>
        <w:tblLook w:val="01E0" w:firstRow="1" w:lastRow="1" w:firstColumn="1" w:lastColumn="1" w:noHBand="0" w:noVBand="0"/>
      </w:tblPr>
      <w:tblGrid>
        <w:gridCol w:w="2916"/>
        <w:gridCol w:w="1732"/>
        <w:gridCol w:w="1516"/>
        <w:gridCol w:w="3196"/>
      </w:tblGrid>
      <w:tr w:rsidR="00064EE3" w:rsidRPr="00064EE3" w14:paraId="6BCC66EC" w14:textId="77777777" w:rsidTr="006307B0">
        <w:trPr>
          <w:trHeight w:val="320"/>
        </w:trPr>
        <w:tc>
          <w:tcPr>
            <w:tcW w:w="5000" w:type="pct"/>
            <w:gridSpan w:val="4"/>
            <w:tcBorders>
              <w:top w:val="single" w:sz="4" w:space="0" w:color="000000"/>
            </w:tcBorders>
          </w:tcPr>
          <w:p w14:paraId="65759B1C" w14:textId="77777777" w:rsidR="00064EE3" w:rsidRPr="00064EE3" w:rsidRDefault="00064EE3" w:rsidP="006307B0">
            <w:pPr>
              <w:pStyle w:val="TableParagraph"/>
              <w:spacing w:before="8"/>
              <w:ind w:left="3501" w:right="3552"/>
              <w:jc w:val="center"/>
              <w:rPr>
                <w:b/>
                <w:color w:val="FF0000"/>
                <w:sz w:val="24"/>
                <w:szCs w:val="24"/>
              </w:rPr>
            </w:pPr>
            <w:r w:rsidRPr="00064EE3">
              <w:rPr>
                <w:b/>
                <w:color w:val="FF0000"/>
                <w:sz w:val="24"/>
                <w:szCs w:val="24"/>
              </w:rPr>
              <w:t>HBsAg</w:t>
            </w:r>
            <w:r w:rsidRPr="00064EE3">
              <w:rPr>
                <w:b/>
                <w:color w:val="FF0000"/>
                <w:spacing w:val="-4"/>
                <w:sz w:val="24"/>
                <w:szCs w:val="24"/>
              </w:rPr>
              <w:t xml:space="preserve"> </w:t>
            </w:r>
            <w:r w:rsidRPr="00064EE3">
              <w:rPr>
                <w:b/>
                <w:color w:val="FF0000"/>
                <w:spacing w:val="-2"/>
                <w:sz w:val="24"/>
                <w:szCs w:val="24"/>
              </w:rPr>
              <w:t>result</w:t>
            </w:r>
          </w:p>
        </w:tc>
      </w:tr>
      <w:tr w:rsidR="00064EE3" w:rsidRPr="00064EE3" w14:paraId="563C491C" w14:textId="77777777" w:rsidTr="006307B0">
        <w:trPr>
          <w:trHeight w:val="357"/>
        </w:trPr>
        <w:tc>
          <w:tcPr>
            <w:tcW w:w="1558" w:type="pct"/>
            <w:tcBorders>
              <w:bottom w:val="single" w:sz="4" w:space="0" w:color="000000"/>
            </w:tcBorders>
          </w:tcPr>
          <w:p w14:paraId="1B955F34" w14:textId="77777777" w:rsidR="00064EE3" w:rsidRPr="00064EE3" w:rsidRDefault="00064EE3" w:rsidP="006307B0">
            <w:pPr>
              <w:pStyle w:val="TableParagraph"/>
              <w:spacing w:before="26"/>
              <w:ind w:left="563"/>
              <w:rPr>
                <w:b/>
                <w:color w:val="FF0000"/>
                <w:sz w:val="24"/>
                <w:szCs w:val="24"/>
              </w:rPr>
            </w:pPr>
            <w:r w:rsidRPr="00064EE3">
              <w:rPr>
                <w:b/>
                <w:color w:val="FF0000"/>
                <w:sz w:val="24"/>
                <w:szCs w:val="24"/>
              </w:rPr>
              <w:t>Age</w:t>
            </w:r>
            <w:r w:rsidRPr="00064EE3">
              <w:rPr>
                <w:b/>
                <w:color w:val="FF0000"/>
                <w:spacing w:val="-6"/>
                <w:sz w:val="24"/>
                <w:szCs w:val="24"/>
              </w:rPr>
              <w:t xml:space="preserve"> </w:t>
            </w:r>
            <w:r w:rsidRPr="00064EE3">
              <w:rPr>
                <w:b/>
                <w:color w:val="FF0000"/>
                <w:sz w:val="24"/>
                <w:szCs w:val="24"/>
              </w:rPr>
              <w:t>of</w:t>
            </w:r>
            <w:r w:rsidRPr="00064EE3">
              <w:rPr>
                <w:b/>
                <w:color w:val="FF0000"/>
                <w:spacing w:val="-2"/>
                <w:sz w:val="24"/>
                <w:szCs w:val="24"/>
              </w:rPr>
              <w:t xml:space="preserve"> </w:t>
            </w:r>
            <w:r w:rsidRPr="00064EE3">
              <w:rPr>
                <w:b/>
                <w:color w:val="FF0000"/>
                <w:sz w:val="24"/>
                <w:szCs w:val="24"/>
              </w:rPr>
              <w:t>sexual</w:t>
            </w:r>
            <w:r w:rsidRPr="00064EE3">
              <w:rPr>
                <w:b/>
                <w:color w:val="FF0000"/>
                <w:spacing w:val="-3"/>
                <w:sz w:val="24"/>
                <w:szCs w:val="24"/>
              </w:rPr>
              <w:t xml:space="preserve"> </w:t>
            </w:r>
            <w:r w:rsidRPr="00064EE3">
              <w:rPr>
                <w:b/>
                <w:color w:val="FF0000"/>
                <w:spacing w:val="-4"/>
                <w:sz w:val="24"/>
                <w:szCs w:val="24"/>
              </w:rPr>
              <w:t>life</w:t>
            </w:r>
          </w:p>
        </w:tc>
        <w:tc>
          <w:tcPr>
            <w:tcW w:w="925" w:type="pct"/>
            <w:tcBorders>
              <w:bottom w:val="single" w:sz="4" w:space="0" w:color="000000"/>
            </w:tcBorders>
          </w:tcPr>
          <w:p w14:paraId="4C71FDEB" w14:textId="77777777" w:rsidR="00064EE3" w:rsidRPr="00064EE3" w:rsidRDefault="00064EE3" w:rsidP="006307B0">
            <w:pPr>
              <w:pStyle w:val="TableParagraph"/>
              <w:spacing w:before="26"/>
              <w:ind w:right="193"/>
              <w:jc w:val="right"/>
              <w:rPr>
                <w:b/>
                <w:color w:val="FF0000"/>
                <w:sz w:val="24"/>
                <w:szCs w:val="24"/>
              </w:rPr>
            </w:pPr>
            <w:r w:rsidRPr="00064EE3">
              <w:rPr>
                <w:b/>
                <w:color w:val="FF0000"/>
                <w:spacing w:val="-2"/>
                <w:sz w:val="24"/>
                <w:szCs w:val="24"/>
              </w:rPr>
              <w:t>Negative</w:t>
            </w:r>
          </w:p>
        </w:tc>
        <w:tc>
          <w:tcPr>
            <w:tcW w:w="810" w:type="pct"/>
            <w:tcBorders>
              <w:bottom w:val="single" w:sz="4" w:space="0" w:color="000000"/>
            </w:tcBorders>
          </w:tcPr>
          <w:p w14:paraId="4C270AC5" w14:textId="77777777" w:rsidR="00064EE3" w:rsidRPr="00064EE3" w:rsidRDefault="00064EE3" w:rsidP="006307B0">
            <w:pPr>
              <w:pStyle w:val="TableParagraph"/>
              <w:spacing w:before="26"/>
              <w:ind w:right="262"/>
              <w:jc w:val="right"/>
              <w:rPr>
                <w:b/>
                <w:color w:val="FF0000"/>
                <w:sz w:val="24"/>
                <w:szCs w:val="24"/>
              </w:rPr>
            </w:pPr>
            <w:r w:rsidRPr="00064EE3">
              <w:rPr>
                <w:b/>
                <w:color w:val="FF0000"/>
                <w:spacing w:val="-2"/>
                <w:sz w:val="24"/>
                <w:szCs w:val="24"/>
              </w:rPr>
              <w:t>Positive</w:t>
            </w:r>
          </w:p>
        </w:tc>
        <w:tc>
          <w:tcPr>
            <w:tcW w:w="1707" w:type="pct"/>
            <w:tcBorders>
              <w:bottom w:val="single" w:sz="4" w:space="0" w:color="000000"/>
            </w:tcBorders>
          </w:tcPr>
          <w:p w14:paraId="10D4FEB6" w14:textId="77777777" w:rsidR="00064EE3" w:rsidRPr="00064EE3" w:rsidRDefault="00064EE3" w:rsidP="006307B0">
            <w:pPr>
              <w:pStyle w:val="TableParagraph"/>
              <w:spacing w:before="26"/>
              <w:ind w:left="344" w:right="359"/>
              <w:jc w:val="center"/>
              <w:rPr>
                <w:b/>
                <w:color w:val="FF0000"/>
                <w:sz w:val="24"/>
                <w:szCs w:val="24"/>
              </w:rPr>
            </w:pPr>
            <w:r w:rsidRPr="00064EE3">
              <w:rPr>
                <w:b/>
                <w:color w:val="FF0000"/>
                <w:spacing w:val="-2"/>
                <w:sz w:val="24"/>
                <w:szCs w:val="24"/>
              </w:rPr>
              <w:t>Total</w:t>
            </w:r>
          </w:p>
        </w:tc>
      </w:tr>
      <w:tr w:rsidR="00064EE3" w:rsidRPr="00064EE3" w14:paraId="2DE1A5D8" w14:textId="77777777" w:rsidTr="006307B0">
        <w:trPr>
          <w:trHeight w:val="324"/>
        </w:trPr>
        <w:tc>
          <w:tcPr>
            <w:tcW w:w="1558" w:type="pct"/>
            <w:tcBorders>
              <w:top w:val="single" w:sz="4" w:space="0" w:color="000000"/>
            </w:tcBorders>
          </w:tcPr>
          <w:p w14:paraId="61CD8B77" w14:textId="77777777" w:rsidR="00064EE3" w:rsidRPr="00064EE3" w:rsidRDefault="00064EE3" w:rsidP="006307B0">
            <w:pPr>
              <w:pStyle w:val="TableParagraph"/>
              <w:spacing w:before="25"/>
              <w:ind w:left="122"/>
              <w:rPr>
                <w:color w:val="FF0000"/>
                <w:sz w:val="24"/>
                <w:szCs w:val="24"/>
              </w:rPr>
            </w:pPr>
            <w:r w:rsidRPr="00064EE3">
              <w:rPr>
                <w:color w:val="FF0000"/>
                <w:sz w:val="24"/>
                <w:szCs w:val="24"/>
              </w:rPr>
              <w:t>13-15</w:t>
            </w:r>
            <w:r w:rsidRPr="00064EE3">
              <w:rPr>
                <w:color w:val="FF0000"/>
                <w:spacing w:val="-1"/>
                <w:sz w:val="24"/>
                <w:szCs w:val="24"/>
              </w:rPr>
              <w:t xml:space="preserve"> </w:t>
            </w:r>
            <w:r w:rsidRPr="00064EE3">
              <w:rPr>
                <w:color w:val="FF0000"/>
                <w:spacing w:val="-2"/>
                <w:sz w:val="24"/>
                <w:szCs w:val="24"/>
              </w:rPr>
              <w:t>years</w:t>
            </w:r>
          </w:p>
        </w:tc>
        <w:tc>
          <w:tcPr>
            <w:tcW w:w="925" w:type="pct"/>
            <w:tcBorders>
              <w:top w:val="single" w:sz="4" w:space="0" w:color="000000"/>
            </w:tcBorders>
          </w:tcPr>
          <w:p w14:paraId="256C3B55" w14:textId="77777777" w:rsidR="00064EE3" w:rsidRPr="00064EE3" w:rsidRDefault="00064EE3" w:rsidP="006307B0">
            <w:pPr>
              <w:pStyle w:val="TableParagraph"/>
              <w:spacing w:before="25"/>
              <w:ind w:left="329"/>
              <w:rPr>
                <w:color w:val="FF0000"/>
                <w:sz w:val="24"/>
                <w:szCs w:val="24"/>
              </w:rPr>
            </w:pPr>
            <w:r w:rsidRPr="00064EE3">
              <w:rPr>
                <w:color w:val="FF0000"/>
                <w:spacing w:val="-2"/>
                <w:sz w:val="24"/>
                <w:szCs w:val="24"/>
              </w:rPr>
              <w:t>173(56.4)</w:t>
            </w:r>
          </w:p>
        </w:tc>
        <w:tc>
          <w:tcPr>
            <w:tcW w:w="810" w:type="pct"/>
            <w:tcBorders>
              <w:top w:val="single" w:sz="4" w:space="0" w:color="000000"/>
            </w:tcBorders>
          </w:tcPr>
          <w:p w14:paraId="442D0352" w14:textId="77777777" w:rsidR="00064EE3" w:rsidRPr="00064EE3" w:rsidRDefault="00064EE3" w:rsidP="006307B0">
            <w:pPr>
              <w:pStyle w:val="TableParagraph"/>
              <w:spacing w:before="25"/>
              <w:ind w:left="173"/>
              <w:rPr>
                <w:color w:val="FF0000"/>
                <w:sz w:val="24"/>
                <w:szCs w:val="24"/>
              </w:rPr>
            </w:pPr>
            <w:r w:rsidRPr="00064EE3">
              <w:rPr>
                <w:color w:val="FF0000"/>
                <w:spacing w:val="-2"/>
                <w:sz w:val="24"/>
                <w:szCs w:val="24"/>
              </w:rPr>
              <w:t>54(72.0)</w:t>
            </w:r>
          </w:p>
        </w:tc>
        <w:tc>
          <w:tcPr>
            <w:tcW w:w="1707" w:type="pct"/>
            <w:vMerge w:val="restart"/>
            <w:tcBorders>
              <w:top w:val="single" w:sz="4" w:space="0" w:color="000000"/>
              <w:bottom w:val="single" w:sz="4" w:space="0" w:color="000000"/>
            </w:tcBorders>
          </w:tcPr>
          <w:p w14:paraId="0DE539A8" w14:textId="77777777" w:rsidR="00064EE3" w:rsidRPr="00064EE3" w:rsidRDefault="00064EE3" w:rsidP="006307B0">
            <w:pPr>
              <w:pStyle w:val="TableParagraph"/>
              <w:spacing w:before="169"/>
              <w:ind w:left="258"/>
              <w:rPr>
                <w:i/>
                <w:color w:val="FF0000"/>
                <w:sz w:val="24"/>
                <w:szCs w:val="24"/>
              </w:rPr>
            </w:pPr>
            <w:r w:rsidRPr="00064EE3">
              <w:rPr>
                <w:i/>
                <w:color w:val="FF0000"/>
                <w:sz w:val="24"/>
                <w:szCs w:val="24"/>
              </w:rPr>
              <w:t>6.1212</w:t>
            </w:r>
            <w:r w:rsidRPr="00064EE3">
              <w:rPr>
                <w:i/>
                <w:color w:val="FF0000"/>
                <w:spacing w:val="-3"/>
                <w:sz w:val="24"/>
                <w:szCs w:val="24"/>
              </w:rPr>
              <w:t xml:space="preserve"> </w:t>
            </w:r>
            <w:r w:rsidRPr="00064EE3">
              <w:rPr>
                <w:i/>
                <w:color w:val="FF0000"/>
                <w:sz w:val="24"/>
                <w:szCs w:val="24"/>
              </w:rPr>
              <w:t>(</w:t>
            </w:r>
            <w:proofErr w:type="spellStart"/>
            <w:r w:rsidRPr="00064EE3">
              <w:rPr>
                <w:i/>
                <w:color w:val="FF0000"/>
                <w:sz w:val="24"/>
                <w:szCs w:val="24"/>
              </w:rPr>
              <w:t>df</w:t>
            </w:r>
            <w:proofErr w:type="spellEnd"/>
            <w:r w:rsidRPr="00064EE3">
              <w:rPr>
                <w:i/>
                <w:color w:val="FF0000"/>
                <w:sz w:val="24"/>
                <w:szCs w:val="24"/>
              </w:rPr>
              <w:t>=1),</w:t>
            </w:r>
            <w:r w:rsidRPr="00064EE3">
              <w:rPr>
                <w:i/>
                <w:color w:val="FF0000"/>
                <w:spacing w:val="-2"/>
                <w:sz w:val="24"/>
                <w:szCs w:val="24"/>
              </w:rPr>
              <w:t xml:space="preserve"> </w:t>
            </w:r>
            <w:r w:rsidRPr="00064EE3">
              <w:rPr>
                <w:i/>
                <w:color w:val="FF0000"/>
                <w:sz w:val="24"/>
                <w:szCs w:val="24"/>
              </w:rPr>
              <w:t>p=</w:t>
            </w:r>
            <w:r w:rsidRPr="00064EE3">
              <w:rPr>
                <w:i/>
                <w:color w:val="FF0000"/>
                <w:spacing w:val="-3"/>
                <w:sz w:val="24"/>
                <w:szCs w:val="24"/>
              </w:rPr>
              <w:t xml:space="preserve"> </w:t>
            </w:r>
            <w:r w:rsidRPr="00064EE3">
              <w:rPr>
                <w:i/>
                <w:color w:val="FF0000"/>
                <w:spacing w:val="-2"/>
                <w:sz w:val="24"/>
                <w:szCs w:val="24"/>
              </w:rPr>
              <w:t>0.013</w:t>
            </w:r>
          </w:p>
        </w:tc>
      </w:tr>
      <w:tr w:rsidR="00064EE3" w:rsidRPr="00064EE3" w14:paraId="486FCFF6" w14:textId="77777777" w:rsidTr="006307B0">
        <w:trPr>
          <w:trHeight w:val="296"/>
        </w:trPr>
        <w:tc>
          <w:tcPr>
            <w:tcW w:w="1558" w:type="pct"/>
            <w:tcBorders>
              <w:bottom w:val="single" w:sz="4" w:space="0" w:color="000000"/>
            </w:tcBorders>
          </w:tcPr>
          <w:p w14:paraId="44A411B5" w14:textId="77777777" w:rsidR="00064EE3" w:rsidRPr="00064EE3" w:rsidRDefault="00064EE3" w:rsidP="006307B0">
            <w:pPr>
              <w:pStyle w:val="TableParagraph"/>
              <w:spacing w:before="13" w:line="264" w:lineRule="exact"/>
              <w:ind w:left="122"/>
              <w:rPr>
                <w:color w:val="FF0000"/>
                <w:sz w:val="24"/>
                <w:szCs w:val="24"/>
              </w:rPr>
            </w:pPr>
            <w:r w:rsidRPr="00064EE3">
              <w:rPr>
                <w:color w:val="FF0000"/>
                <w:sz w:val="24"/>
                <w:szCs w:val="24"/>
              </w:rPr>
              <w:t>16</w:t>
            </w:r>
            <w:r w:rsidRPr="00064EE3">
              <w:rPr>
                <w:color w:val="FF0000"/>
                <w:spacing w:val="-1"/>
                <w:sz w:val="24"/>
                <w:szCs w:val="24"/>
              </w:rPr>
              <w:t xml:space="preserve"> </w:t>
            </w:r>
            <w:r w:rsidRPr="00064EE3">
              <w:rPr>
                <w:color w:val="FF0000"/>
                <w:sz w:val="24"/>
                <w:szCs w:val="24"/>
              </w:rPr>
              <w:t>years</w:t>
            </w:r>
            <w:r w:rsidRPr="00064EE3">
              <w:rPr>
                <w:color w:val="FF0000"/>
                <w:spacing w:val="-3"/>
                <w:sz w:val="24"/>
                <w:szCs w:val="24"/>
              </w:rPr>
              <w:t xml:space="preserve"> </w:t>
            </w:r>
            <w:r w:rsidRPr="00064EE3">
              <w:rPr>
                <w:color w:val="FF0000"/>
                <w:sz w:val="24"/>
                <w:szCs w:val="24"/>
              </w:rPr>
              <w:t>and</w:t>
            </w:r>
            <w:r w:rsidRPr="00064EE3">
              <w:rPr>
                <w:color w:val="FF0000"/>
                <w:spacing w:val="-1"/>
                <w:sz w:val="24"/>
                <w:szCs w:val="24"/>
              </w:rPr>
              <w:t xml:space="preserve"> </w:t>
            </w:r>
            <w:r w:rsidRPr="00064EE3">
              <w:rPr>
                <w:color w:val="FF0000"/>
                <w:spacing w:val="-2"/>
                <w:sz w:val="24"/>
                <w:szCs w:val="24"/>
              </w:rPr>
              <w:t>above</w:t>
            </w:r>
          </w:p>
        </w:tc>
        <w:tc>
          <w:tcPr>
            <w:tcW w:w="925" w:type="pct"/>
            <w:tcBorders>
              <w:bottom w:val="single" w:sz="4" w:space="0" w:color="000000"/>
            </w:tcBorders>
          </w:tcPr>
          <w:p w14:paraId="6548161B" w14:textId="77777777" w:rsidR="00064EE3" w:rsidRPr="00064EE3" w:rsidRDefault="00064EE3" w:rsidP="006307B0">
            <w:pPr>
              <w:pStyle w:val="TableParagraph"/>
              <w:spacing w:before="13" w:line="264" w:lineRule="exact"/>
              <w:ind w:left="329"/>
              <w:rPr>
                <w:color w:val="FF0000"/>
                <w:sz w:val="24"/>
                <w:szCs w:val="24"/>
              </w:rPr>
            </w:pPr>
            <w:r w:rsidRPr="00064EE3">
              <w:rPr>
                <w:color w:val="FF0000"/>
                <w:spacing w:val="-2"/>
                <w:sz w:val="24"/>
                <w:szCs w:val="24"/>
              </w:rPr>
              <w:t>134(43.7)</w:t>
            </w:r>
          </w:p>
        </w:tc>
        <w:tc>
          <w:tcPr>
            <w:tcW w:w="810" w:type="pct"/>
            <w:tcBorders>
              <w:bottom w:val="single" w:sz="4" w:space="0" w:color="000000"/>
            </w:tcBorders>
          </w:tcPr>
          <w:p w14:paraId="19850358" w14:textId="77777777" w:rsidR="00064EE3" w:rsidRPr="00064EE3" w:rsidRDefault="00064EE3" w:rsidP="006307B0">
            <w:pPr>
              <w:pStyle w:val="TableParagraph"/>
              <w:spacing w:before="13" w:line="264" w:lineRule="exact"/>
              <w:ind w:left="173"/>
              <w:rPr>
                <w:color w:val="FF0000"/>
                <w:sz w:val="24"/>
                <w:szCs w:val="24"/>
              </w:rPr>
            </w:pPr>
            <w:r w:rsidRPr="00064EE3">
              <w:rPr>
                <w:color w:val="FF0000"/>
                <w:spacing w:val="-2"/>
                <w:sz w:val="24"/>
                <w:szCs w:val="24"/>
              </w:rPr>
              <w:t>21(28.0)</w:t>
            </w:r>
          </w:p>
        </w:tc>
        <w:tc>
          <w:tcPr>
            <w:tcW w:w="1707" w:type="pct"/>
            <w:vMerge/>
            <w:tcBorders>
              <w:top w:val="nil"/>
              <w:bottom w:val="single" w:sz="4" w:space="0" w:color="000000"/>
            </w:tcBorders>
          </w:tcPr>
          <w:p w14:paraId="1EDE1246" w14:textId="77777777" w:rsidR="00064EE3" w:rsidRPr="00064EE3" w:rsidRDefault="00064EE3" w:rsidP="006307B0">
            <w:pPr>
              <w:rPr>
                <w:color w:val="FF0000"/>
                <w:szCs w:val="24"/>
              </w:rPr>
            </w:pPr>
          </w:p>
        </w:tc>
      </w:tr>
      <w:tr w:rsidR="00064EE3" w:rsidRPr="00064EE3" w14:paraId="63FDCE7E" w14:textId="77777777" w:rsidTr="006307B0">
        <w:trPr>
          <w:trHeight w:val="290"/>
        </w:trPr>
        <w:tc>
          <w:tcPr>
            <w:tcW w:w="1558" w:type="pct"/>
            <w:tcBorders>
              <w:top w:val="single" w:sz="4" w:space="0" w:color="000000"/>
              <w:bottom w:val="single" w:sz="4" w:space="0" w:color="000000"/>
            </w:tcBorders>
          </w:tcPr>
          <w:p w14:paraId="0489E39E" w14:textId="77777777" w:rsidR="00064EE3" w:rsidRPr="00064EE3" w:rsidRDefault="00064EE3" w:rsidP="006307B0">
            <w:pPr>
              <w:pStyle w:val="TableParagraph"/>
              <w:spacing w:before="3" w:line="266" w:lineRule="exact"/>
              <w:ind w:left="122"/>
              <w:rPr>
                <w:b/>
                <w:color w:val="FF0000"/>
                <w:sz w:val="24"/>
                <w:szCs w:val="24"/>
              </w:rPr>
            </w:pPr>
            <w:r w:rsidRPr="00064EE3">
              <w:rPr>
                <w:b/>
                <w:color w:val="FF0000"/>
                <w:sz w:val="24"/>
                <w:szCs w:val="24"/>
              </w:rPr>
              <w:t>Suffering</w:t>
            </w:r>
            <w:r w:rsidRPr="00064EE3">
              <w:rPr>
                <w:b/>
                <w:color w:val="FF0000"/>
                <w:spacing w:val="-8"/>
                <w:sz w:val="24"/>
                <w:szCs w:val="24"/>
              </w:rPr>
              <w:t xml:space="preserve"> </w:t>
            </w:r>
            <w:r w:rsidRPr="00064EE3">
              <w:rPr>
                <w:b/>
                <w:color w:val="FF0000"/>
                <w:sz w:val="24"/>
                <w:szCs w:val="24"/>
              </w:rPr>
              <w:t>from</w:t>
            </w:r>
            <w:r w:rsidRPr="00064EE3">
              <w:rPr>
                <w:b/>
                <w:color w:val="FF0000"/>
                <w:spacing w:val="-9"/>
                <w:sz w:val="24"/>
                <w:szCs w:val="24"/>
              </w:rPr>
              <w:t xml:space="preserve"> </w:t>
            </w:r>
            <w:r w:rsidRPr="00064EE3">
              <w:rPr>
                <w:b/>
                <w:color w:val="FF0000"/>
                <w:spacing w:val="-5"/>
                <w:sz w:val="24"/>
                <w:szCs w:val="24"/>
              </w:rPr>
              <w:t>STI</w:t>
            </w:r>
          </w:p>
        </w:tc>
        <w:tc>
          <w:tcPr>
            <w:tcW w:w="925" w:type="pct"/>
            <w:tcBorders>
              <w:top w:val="single" w:sz="4" w:space="0" w:color="000000"/>
              <w:bottom w:val="single" w:sz="4" w:space="0" w:color="000000"/>
            </w:tcBorders>
          </w:tcPr>
          <w:p w14:paraId="38EDD04F" w14:textId="77777777" w:rsidR="00064EE3" w:rsidRPr="00064EE3" w:rsidRDefault="00064EE3" w:rsidP="006307B0">
            <w:pPr>
              <w:pStyle w:val="TableParagraph"/>
              <w:rPr>
                <w:color w:val="FF0000"/>
                <w:sz w:val="24"/>
                <w:szCs w:val="24"/>
              </w:rPr>
            </w:pPr>
          </w:p>
        </w:tc>
        <w:tc>
          <w:tcPr>
            <w:tcW w:w="810" w:type="pct"/>
            <w:tcBorders>
              <w:top w:val="single" w:sz="4" w:space="0" w:color="000000"/>
              <w:bottom w:val="single" w:sz="4" w:space="0" w:color="000000"/>
            </w:tcBorders>
          </w:tcPr>
          <w:p w14:paraId="165D2B1D" w14:textId="77777777" w:rsidR="00064EE3" w:rsidRPr="00064EE3" w:rsidRDefault="00064EE3" w:rsidP="006307B0">
            <w:pPr>
              <w:pStyle w:val="TableParagraph"/>
              <w:rPr>
                <w:color w:val="FF0000"/>
                <w:sz w:val="24"/>
                <w:szCs w:val="24"/>
              </w:rPr>
            </w:pPr>
          </w:p>
        </w:tc>
        <w:tc>
          <w:tcPr>
            <w:tcW w:w="1707" w:type="pct"/>
            <w:tcBorders>
              <w:top w:val="single" w:sz="4" w:space="0" w:color="000000"/>
              <w:bottom w:val="single" w:sz="4" w:space="0" w:color="000000"/>
            </w:tcBorders>
          </w:tcPr>
          <w:p w14:paraId="0F4BA4CC" w14:textId="77777777" w:rsidR="00064EE3" w:rsidRPr="00064EE3" w:rsidRDefault="00064EE3" w:rsidP="006307B0">
            <w:pPr>
              <w:pStyle w:val="TableParagraph"/>
              <w:rPr>
                <w:color w:val="FF0000"/>
                <w:sz w:val="24"/>
                <w:szCs w:val="24"/>
              </w:rPr>
            </w:pPr>
          </w:p>
        </w:tc>
      </w:tr>
      <w:tr w:rsidR="00064EE3" w:rsidRPr="00064EE3" w14:paraId="1B561109" w14:textId="77777777" w:rsidTr="006307B0">
        <w:trPr>
          <w:trHeight w:val="287"/>
        </w:trPr>
        <w:tc>
          <w:tcPr>
            <w:tcW w:w="1558" w:type="pct"/>
            <w:tcBorders>
              <w:top w:val="single" w:sz="4" w:space="0" w:color="000000"/>
            </w:tcBorders>
          </w:tcPr>
          <w:p w14:paraId="1AE7B44F" w14:textId="77777777" w:rsidR="00064EE3" w:rsidRPr="00064EE3" w:rsidRDefault="00064EE3" w:rsidP="006307B0">
            <w:pPr>
              <w:pStyle w:val="TableParagraph"/>
              <w:spacing w:line="267" w:lineRule="exact"/>
              <w:ind w:left="122"/>
              <w:rPr>
                <w:color w:val="FF0000"/>
                <w:sz w:val="24"/>
                <w:szCs w:val="24"/>
              </w:rPr>
            </w:pPr>
            <w:r w:rsidRPr="00064EE3">
              <w:rPr>
                <w:color w:val="FF0000"/>
                <w:spacing w:val="-5"/>
                <w:sz w:val="24"/>
                <w:szCs w:val="24"/>
              </w:rPr>
              <w:t>No</w:t>
            </w:r>
          </w:p>
        </w:tc>
        <w:tc>
          <w:tcPr>
            <w:tcW w:w="925" w:type="pct"/>
            <w:tcBorders>
              <w:top w:val="single" w:sz="4" w:space="0" w:color="000000"/>
            </w:tcBorders>
          </w:tcPr>
          <w:p w14:paraId="45FCE9D4" w14:textId="77777777" w:rsidR="00064EE3" w:rsidRPr="00064EE3" w:rsidRDefault="00064EE3" w:rsidP="006307B0">
            <w:pPr>
              <w:pStyle w:val="TableParagraph"/>
              <w:spacing w:line="267" w:lineRule="exact"/>
              <w:ind w:right="169"/>
              <w:jc w:val="right"/>
              <w:rPr>
                <w:color w:val="FF0000"/>
                <w:sz w:val="24"/>
                <w:szCs w:val="24"/>
              </w:rPr>
            </w:pPr>
            <w:r w:rsidRPr="00064EE3">
              <w:rPr>
                <w:color w:val="FF0000"/>
                <w:spacing w:val="-2"/>
                <w:sz w:val="24"/>
                <w:szCs w:val="24"/>
              </w:rPr>
              <w:t>263(85.7)</w:t>
            </w:r>
          </w:p>
        </w:tc>
        <w:tc>
          <w:tcPr>
            <w:tcW w:w="810" w:type="pct"/>
            <w:tcBorders>
              <w:top w:val="single" w:sz="4" w:space="0" w:color="000000"/>
            </w:tcBorders>
          </w:tcPr>
          <w:p w14:paraId="12A34D86" w14:textId="77777777" w:rsidR="00064EE3" w:rsidRPr="00064EE3" w:rsidRDefault="00064EE3" w:rsidP="006307B0">
            <w:pPr>
              <w:pStyle w:val="TableParagraph"/>
              <w:spacing w:line="267" w:lineRule="exact"/>
              <w:ind w:right="252"/>
              <w:jc w:val="right"/>
              <w:rPr>
                <w:color w:val="FF0000"/>
                <w:sz w:val="24"/>
                <w:szCs w:val="24"/>
              </w:rPr>
            </w:pPr>
            <w:r w:rsidRPr="00064EE3">
              <w:rPr>
                <w:color w:val="FF0000"/>
                <w:spacing w:val="-2"/>
                <w:sz w:val="24"/>
                <w:szCs w:val="24"/>
              </w:rPr>
              <w:t>10(13.3)</w:t>
            </w:r>
          </w:p>
        </w:tc>
        <w:tc>
          <w:tcPr>
            <w:tcW w:w="1707" w:type="pct"/>
            <w:vMerge w:val="restart"/>
            <w:tcBorders>
              <w:top w:val="single" w:sz="4" w:space="0" w:color="000000"/>
              <w:bottom w:val="single" w:sz="4" w:space="0" w:color="000000"/>
            </w:tcBorders>
          </w:tcPr>
          <w:p w14:paraId="1DE1C98D" w14:textId="77777777" w:rsidR="00064EE3" w:rsidRPr="00064EE3" w:rsidRDefault="00064EE3" w:rsidP="006307B0">
            <w:pPr>
              <w:pStyle w:val="TableParagraph"/>
              <w:spacing w:before="11"/>
              <w:ind w:left="402" w:right="359"/>
              <w:jc w:val="center"/>
              <w:rPr>
                <w:i/>
                <w:color w:val="FF0000"/>
                <w:sz w:val="24"/>
                <w:szCs w:val="24"/>
              </w:rPr>
            </w:pPr>
            <w:r w:rsidRPr="00064EE3">
              <w:rPr>
                <w:color w:val="FF0000"/>
                <w:sz w:val="24"/>
                <w:szCs w:val="24"/>
              </w:rPr>
              <w:t>154.6550,</w:t>
            </w:r>
            <w:r w:rsidRPr="00064EE3">
              <w:rPr>
                <w:color w:val="FF0000"/>
                <w:spacing w:val="-1"/>
                <w:sz w:val="24"/>
                <w:szCs w:val="24"/>
              </w:rPr>
              <w:t xml:space="preserve"> </w:t>
            </w:r>
            <w:r w:rsidRPr="00064EE3">
              <w:rPr>
                <w:color w:val="FF0000"/>
                <w:sz w:val="24"/>
                <w:szCs w:val="24"/>
              </w:rPr>
              <w:t>(</w:t>
            </w:r>
            <w:proofErr w:type="spellStart"/>
            <w:r w:rsidRPr="00064EE3">
              <w:rPr>
                <w:color w:val="FF0000"/>
                <w:sz w:val="24"/>
                <w:szCs w:val="24"/>
              </w:rPr>
              <w:t>df</w:t>
            </w:r>
            <w:proofErr w:type="spellEnd"/>
            <w:r w:rsidRPr="00064EE3">
              <w:rPr>
                <w:color w:val="FF0000"/>
                <w:sz w:val="24"/>
                <w:szCs w:val="24"/>
              </w:rPr>
              <w:t>=2),</w:t>
            </w:r>
            <w:r w:rsidRPr="00064EE3">
              <w:rPr>
                <w:color w:val="FF0000"/>
                <w:spacing w:val="-2"/>
                <w:sz w:val="24"/>
                <w:szCs w:val="24"/>
              </w:rPr>
              <w:t xml:space="preserve"> </w:t>
            </w:r>
            <w:r w:rsidRPr="00064EE3">
              <w:rPr>
                <w:i/>
                <w:color w:val="FF0000"/>
                <w:sz w:val="24"/>
                <w:szCs w:val="24"/>
              </w:rPr>
              <w:t>p</w:t>
            </w:r>
            <w:r w:rsidRPr="00064EE3">
              <w:rPr>
                <w:i/>
                <w:color w:val="FF0000"/>
                <w:spacing w:val="1"/>
                <w:sz w:val="24"/>
                <w:szCs w:val="24"/>
              </w:rPr>
              <w:t xml:space="preserve"> </w:t>
            </w:r>
            <w:r w:rsidRPr="00064EE3">
              <w:rPr>
                <w:i/>
                <w:color w:val="FF0000"/>
                <w:spacing w:val="-10"/>
                <w:sz w:val="24"/>
                <w:szCs w:val="24"/>
              </w:rPr>
              <w:t>=</w:t>
            </w:r>
          </w:p>
          <w:p w14:paraId="79FDDEB7" w14:textId="77777777" w:rsidR="00064EE3" w:rsidRPr="00064EE3" w:rsidRDefault="00064EE3" w:rsidP="006307B0">
            <w:pPr>
              <w:pStyle w:val="TableParagraph"/>
              <w:ind w:left="342" w:right="359"/>
              <w:jc w:val="center"/>
              <w:rPr>
                <w:i/>
                <w:color w:val="FF0000"/>
                <w:sz w:val="24"/>
                <w:szCs w:val="24"/>
              </w:rPr>
            </w:pPr>
            <w:r w:rsidRPr="00064EE3">
              <w:rPr>
                <w:i/>
                <w:color w:val="FF0000"/>
                <w:spacing w:val="-2"/>
                <w:sz w:val="24"/>
                <w:szCs w:val="24"/>
              </w:rPr>
              <w:t>0.000</w:t>
            </w:r>
          </w:p>
        </w:tc>
      </w:tr>
      <w:tr w:rsidR="00064EE3" w:rsidRPr="00064EE3" w14:paraId="518CDC71" w14:textId="77777777" w:rsidTr="006307B0">
        <w:trPr>
          <w:trHeight w:val="292"/>
        </w:trPr>
        <w:tc>
          <w:tcPr>
            <w:tcW w:w="1558" w:type="pct"/>
            <w:tcBorders>
              <w:bottom w:val="single" w:sz="4" w:space="0" w:color="000000"/>
            </w:tcBorders>
          </w:tcPr>
          <w:p w14:paraId="4FD8582A" w14:textId="77777777" w:rsidR="00064EE3" w:rsidRPr="00064EE3" w:rsidRDefault="00064EE3" w:rsidP="006307B0">
            <w:pPr>
              <w:pStyle w:val="TableParagraph"/>
              <w:spacing w:before="2" w:line="271" w:lineRule="exact"/>
              <w:ind w:left="122"/>
              <w:rPr>
                <w:color w:val="FF0000"/>
                <w:sz w:val="24"/>
                <w:szCs w:val="24"/>
              </w:rPr>
            </w:pPr>
            <w:r w:rsidRPr="00064EE3">
              <w:rPr>
                <w:color w:val="FF0000"/>
                <w:spacing w:val="-5"/>
                <w:sz w:val="24"/>
                <w:szCs w:val="24"/>
              </w:rPr>
              <w:t>Yes</w:t>
            </w:r>
          </w:p>
        </w:tc>
        <w:tc>
          <w:tcPr>
            <w:tcW w:w="925" w:type="pct"/>
            <w:tcBorders>
              <w:bottom w:val="single" w:sz="4" w:space="0" w:color="000000"/>
            </w:tcBorders>
          </w:tcPr>
          <w:p w14:paraId="39BB318E" w14:textId="77777777" w:rsidR="00064EE3" w:rsidRPr="00064EE3" w:rsidRDefault="00064EE3" w:rsidP="006307B0">
            <w:pPr>
              <w:pStyle w:val="TableParagraph"/>
              <w:spacing w:before="2" w:line="271" w:lineRule="exact"/>
              <w:ind w:right="229"/>
              <w:jc w:val="right"/>
              <w:rPr>
                <w:color w:val="FF0000"/>
                <w:sz w:val="24"/>
                <w:szCs w:val="24"/>
              </w:rPr>
            </w:pPr>
            <w:r w:rsidRPr="00064EE3">
              <w:rPr>
                <w:color w:val="FF0000"/>
                <w:spacing w:val="-2"/>
                <w:sz w:val="24"/>
                <w:szCs w:val="24"/>
              </w:rPr>
              <w:t>44(14.3)</w:t>
            </w:r>
          </w:p>
        </w:tc>
        <w:tc>
          <w:tcPr>
            <w:tcW w:w="810" w:type="pct"/>
            <w:tcBorders>
              <w:bottom w:val="single" w:sz="4" w:space="0" w:color="000000"/>
            </w:tcBorders>
          </w:tcPr>
          <w:p w14:paraId="5D68D672" w14:textId="77777777" w:rsidR="00064EE3" w:rsidRPr="00064EE3" w:rsidRDefault="00064EE3" w:rsidP="006307B0">
            <w:pPr>
              <w:pStyle w:val="TableParagraph"/>
              <w:spacing w:before="2" w:line="271" w:lineRule="exact"/>
              <w:ind w:right="252"/>
              <w:jc w:val="right"/>
              <w:rPr>
                <w:color w:val="FF0000"/>
                <w:sz w:val="24"/>
                <w:szCs w:val="24"/>
              </w:rPr>
            </w:pPr>
            <w:r w:rsidRPr="00064EE3">
              <w:rPr>
                <w:color w:val="FF0000"/>
                <w:spacing w:val="-2"/>
                <w:sz w:val="24"/>
                <w:szCs w:val="24"/>
              </w:rPr>
              <w:t>65(86.7)</w:t>
            </w:r>
          </w:p>
        </w:tc>
        <w:tc>
          <w:tcPr>
            <w:tcW w:w="1707" w:type="pct"/>
            <w:vMerge/>
            <w:tcBorders>
              <w:top w:val="nil"/>
              <w:bottom w:val="single" w:sz="4" w:space="0" w:color="000000"/>
            </w:tcBorders>
          </w:tcPr>
          <w:p w14:paraId="19F7C6A8" w14:textId="77777777" w:rsidR="00064EE3" w:rsidRPr="00064EE3" w:rsidRDefault="00064EE3" w:rsidP="006307B0">
            <w:pPr>
              <w:rPr>
                <w:color w:val="FF0000"/>
                <w:szCs w:val="24"/>
              </w:rPr>
            </w:pPr>
          </w:p>
        </w:tc>
      </w:tr>
      <w:tr w:rsidR="00064EE3" w:rsidRPr="00064EE3" w14:paraId="3D0737F4" w14:textId="77777777" w:rsidTr="006307B0">
        <w:trPr>
          <w:trHeight w:val="290"/>
        </w:trPr>
        <w:tc>
          <w:tcPr>
            <w:tcW w:w="1558" w:type="pct"/>
            <w:tcBorders>
              <w:top w:val="single" w:sz="4" w:space="0" w:color="000000"/>
              <w:bottom w:val="single" w:sz="4" w:space="0" w:color="000000"/>
            </w:tcBorders>
          </w:tcPr>
          <w:p w14:paraId="23F1CAD9" w14:textId="77777777" w:rsidR="00064EE3" w:rsidRPr="00064EE3" w:rsidRDefault="00064EE3" w:rsidP="006307B0">
            <w:pPr>
              <w:pStyle w:val="TableParagraph"/>
              <w:spacing w:before="3" w:line="266" w:lineRule="exact"/>
              <w:ind w:left="122"/>
              <w:rPr>
                <w:b/>
                <w:color w:val="FF0000"/>
                <w:sz w:val="24"/>
                <w:szCs w:val="24"/>
              </w:rPr>
            </w:pPr>
            <w:r w:rsidRPr="00064EE3">
              <w:rPr>
                <w:b/>
                <w:color w:val="FF0000"/>
                <w:sz w:val="24"/>
                <w:szCs w:val="24"/>
              </w:rPr>
              <w:t>Ever</w:t>
            </w:r>
            <w:r w:rsidRPr="00064EE3">
              <w:rPr>
                <w:b/>
                <w:color w:val="FF0000"/>
                <w:spacing w:val="-4"/>
                <w:sz w:val="24"/>
                <w:szCs w:val="24"/>
              </w:rPr>
              <w:t xml:space="preserve"> </w:t>
            </w:r>
            <w:r w:rsidRPr="00064EE3">
              <w:rPr>
                <w:b/>
                <w:color w:val="FF0000"/>
                <w:sz w:val="24"/>
                <w:szCs w:val="24"/>
              </w:rPr>
              <w:t>used</w:t>
            </w:r>
            <w:r w:rsidRPr="00064EE3">
              <w:rPr>
                <w:b/>
                <w:color w:val="FF0000"/>
                <w:spacing w:val="-3"/>
                <w:sz w:val="24"/>
                <w:szCs w:val="24"/>
              </w:rPr>
              <w:t xml:space="preserve"> </w:t>
            </w:r>
            <w:r w:rsidRPr="00064EE3">
              <w:rPr>
                <w:b/>
                <w:color w:val="FF0000"/>
                <w:sz w:val="24"/>
                <w:szCs w:val="24"/>
              </w:rPr>
              <w:t>by</w:t>
            </w:r>
            <w:r w:rsidRPr="00064EE3">
              <w:rPr>
                <w:b/>
                <w:color w:val="FF0000"/>
                <w:spacing w:val="-1"/>
                <w:sz w:val="24"/>
                <w:szCs w:val="24"/>
              </w:rPr>
              <w:t xml:space="preserve"> </w:t>
            </w:r>
            <w:r w:rsidRPr="00064EE3">
              <w:rPr>
                <w:b/>
                <w:color w:val="FF0000"/>
                <w:sz w:val="24"/>
                <w:szCs w:val="24"/>
              </w:rPr>
              <w:t>IV</w:t>
            </w:r>
            <w:r w:rsidRPr="00064EE3">
              <w:rPr>
                <w:b/>
                <w:color w:val="FF0000"/>
                <w:spacing w:val="-3"/>
                <w:sz w:val="24"/>
                <w:szCs w:val="24"/>
              </w:rPr>
              <w:t xml:space="preserve"> </w:t>
            </w:r>
            <w:r w:rsidRPr="00064EE3">
              <w:rPr>
                <w:b/>
                <w:color w:val="FF0000"/>
                <w:spacing w:val="-2"/>
                <w:sz w:val="24"/>
                <w:szCs w:val="24"/>
              </w:rPr>
              <w:t>drugs</w:t>
            </w:r>
          </w:p>
        </w:tc>
        <w:tc>
          <w:tcPr>
            <w:tcW w:w="925" w:type="pct"/>
            <w:tcBorders>
              <w:top w:val="single" w:sz="4" w:space="0" w:color="000000"/>
              <w:bottom w:val="single" w:sz="4" w:space="0" w:color="000000"/>
            </w:tcBorders>
          </w:tcPr>
          <w:p w14:paraId="0DFF9A9C" w14:textId="77777777" w:rsidR="00064EE3" w:rsidRPr="00064EE3" w:rsidRDefault="00064EE3" w:rsidP="006307B0">
            <w:pPr>
              <w:pStyle w:val="TableParagraph"/>
              <w:rPr>
                <w:color w:val="FF0000"/>
                <w:sz w:val="24"/>
                <w:szCs w:val="24"/>
              </w:rPr>
            </w:pPr>
          </w:p>
        </w:tc>
        <w:tc>
          <w:tcPr>
            <w:tcW w:w="810" w:type="pct"/>
            <w:tcBorders>
              <w:top w:val="single" w:sz="4" w:space="0" w:color="000000"/>
              <w:bottom w:val="single" w:sz="4" w:space="0" w:color="000000"/>
            </w:tcBorders>
          </w:tcPr>
          <w:p w14:paraId="21DB19DB" w14:textId="77777777" w:rsidR="00064EE3" w:rsidRPr="00064EE3" w:rsidRDefault="00064EE3" w:rsidP="006307B0">
            <w:pPr>
              <w:pStyle w:val="TableParagraph"/>
              <w:rPr>
                <w:color w:val="FF0000"/>
                <w:sz w:val="24"/>
                <w:szCs w:val="24"/>
              </w:rPr>
            </w:pPr>
          </w:p>
        </w:tc>
        <w:tc>
          <w:tcPr>
            <w:tcW w:w="1707" w:type="pct"/>
            <w:tcBorders>
              <w:top w:val="single" w:sz="4" w:space="0" w:color="000000"/>
              <w:bottom w:val="single" w:sz="4" w:space="0" w:color="000000"/>
            </w:tcBorders>
          </w:tcPr>
          <w:p w14:paraId="6D7BAF76" w14:textId="77777777" w:rsidR="00064EE3" w:rsidRPr="00064EE3" w:rsidRDefault="00064EE3" w:rsidP="006307B0">
            <w:pPr>
              <w:pStyle w:val="TableParagraph"/>
              <w:rPr>
                <w:color w:val="FF0000"/>
                <w:sz w:val="24"/>
                <w:szCs w:val="24"/>
              </w:rPr>
            </w:pPr>
          </w:p>
        </w:tc>
      </w:tr>
      <w:tr w:rsidR="00064EE3" w:rsidRPr="00064EE3" w14:paraId="7DE80F4C" w14:textId="77777777" w:rsidTr="006307B0">
        <w:trPr>
          <w:trHeight w:val="290"/>
        </w:trPr>
        <w:tc>
          <w:tcPr>
            <w:tcW w:w="1558" w:type="pct"/>
            <w:tcBorders>
              <w:top w:val="single" w:sz="4" w:space="0" w:color="000000"/>
              <w:bottom w:val="single" w:sz="4" w:space="0" w:color="000000"/>
            </w:tcBorders>
          </w:tcPr>
          <w:p w14:paraId="58FA6FAB" w14:textId="77777777" w:rsidR="00064EE3" w:rsidRPr="00064EE3" w:rsidRDefault="00064EE3" w:rsidP="006307B0">
            <w:pPr>
              <w:pStyle w:val="TableParagraph"/>
              <w:spacing w:before="3" w:line="266" w:lineRule="exact"/>
              <w:ind w:left="122"/>
              <w:rPr>
                <w:b/>
                <w:color w:val="FF0000"/>
                <w:sz w:val="24"/>
                <w:szCs w:val="24"/>
              </w:rPr>
            </w:pPr>
            <w:r w:rsidRPr="00064EE3">
              <w:rPr>
                <w:b/>
                <w:color w:val="FF0000"/>
                <w:sz w:val="24"/>
                <w:szCs w:val="24"/>
              </w:rPr>
              <w:t>No</w:t>
            </w:r>
          </w:p>
        </w:tc>
        <w:tc>
          <w:tcPr>
            <w:tcW w:w="925" w:type="pct"/>
            <w:tcBorders>
              <w:top w:val="single" w:sz="4" w:space="0" w:color="000000"/>
              <w:bottom w:val="single" w:sz="4" w:space="0" w:color="000000"/>
            </w:tcBorders>
          </w:tcPr>
          <w:p w14:paraId="1A9ADFC5" w14:textId="77777777" w:rsidR="00064EE3" w:rsidRPr="00064EE3" w:rsidRDefault="00064EE3" w:rsidP="006307B0">
            <w:pPr>
              <w:pStyle w:val="TableParagraph"/>
              <w:rPr>
                <w:color w:val="FF0000"/>
                <w:sz w:val="24"/>
                <w:szCs w:val="24"/>
              </w:rPr>
            </w:pPr>
            <w:r w:rsidRPr="00064EE3">
              <w:rPr>
                <w:color w:val="FF0000"/>
                <w:sz w:val="24"/>
                <w:szCs w:val="24"/>
              </w:rPr>
              <w:t>232(75.6)</w:t>
            </w:r>
          </w:p>
        </w:tc>
        <w:tc>
          <w:tcPr>
            <w:tcW w:w="810" w:type="pct"/>
            <w:tcBorders>
              <w:top w:val="single" w:sz="4" w:space="0" w:color="000000"/>
              <w:bottom w:val="single" w:sz="4" w:space="0" w:color="000000"/>
            </w:tcBorders>
          </w:tcPr>
          <w:p w14:paraId="42874A94" w14:textId="77777777" w:rsidR="00064EE3" w:rsidRPr="00064EE3" w:rsidRDefault="00064EE3" w:rsidP="006307B0">
            <w:pPr>
              <w:pStyle w:val="TableParagraph"/>
              <w:rPr>
                <w:color w:val="FF0000"/>
                <w:sz w:val="24"/>
                <w:szCs w:val="24"/>
              </w:rPr>
            </w:pPr>
            <w:r w:rsidRPr="00064EE3">
              <w:rPr>
                <w:color w:val="FF0000"/>
                <w:sz w:val="24"/>
                <w:szCs w:val="24"/>
              </w:rPr>
              <w:t>23(30.7)</w:t>
            </w:r>
          </w:p>
        </w:tc>
        <w:tc>
          <w:tcPr>
            <w:tcW w:w="1707" w:type="pct"/>
            <w:tcBorders>
              <w:top w:val="single" w:sz="4" w:space="0" w:color="000000"/>
              <w:bottom w:val="single" w:sz="4" w:space="0" w:color="000000"/>
            </w:tcBorders>
          </w:tcPr>
          <w:p w14:paraId="5B44EA94" w14:textId="77777777" w:rsidR="00064EE3" w:rsidRPr="00064EE3" w:rsidRDefault="00064EE3" w:rsidP="006307B0">
            <w:pPr>
              <w:pStyle w:val="TableParagraph"/>
              <w:rPr>
                <w:color w:val="FF0000"/>
                <w:sz w:val="24"/>
                <w:szCs w:val="24"/>
              </w:rPr>
            </w:pPr>
            <w:r w:rsidRPr="00064EE3">
              <w:rPr>
                <w:color w:val="FF0000"/>
                <w:sz w:val="24"/>
                <w:szCs w:val="24"/>
              </w:rPr>
              <w:t>54.7617, (</w:t>
            </w:r>
            <w:proofErr w:type="spellStart"/>
            <w:r w:rsidRPr="00064EE3">
              <w:rPr>
                <w:color w:val="FF0000"/>
                <w:sz w:val="24"/>
                <w:szCs w:val="24"/>
              </w:rPr>
              <w:t>df</w:t>
            </w:r>
            <w:proofErr w:type="spellEnd"/>
            <w:r w:rsidRPr="00064EE3">
              <w:rPr>
                <w:color w:val="FF0000"/>
                <w:sz w:val="24"/>
                <w:szCs w:val="24"/>
              </w:rPr>
              <w:t>=1)  p= 0.000</w:t>
            </w:r>
          </w:p>
        </w:tc>
      </w:tr>
      <w:tr w:rsidR="00064EE3" w:rsidRPr="00064EE3" w14:paraId="3B8EEA8A" w14:textId="77777777" w:rsidTr="006307B0">
        <w:trPr>
          <w:trHeight w:val="290"/>
        </w:trPr>
        <w:tc>
          <w:tcPr>
            <w:tcW w:w="1558" w:type="pct"/>
            <w:tcBorders>
              <w:top w:val="single" w:sz="4" w:space="0" w:color="000000"/>
              <w:bottom w:val="single" w:sz="4" w:space="0" w:color="000000"/>
            </w:tcBorders>
          </w:tcPr>
          <w:p w14:paraId="4A9FC727" w14:textId="77777777" w:rsidR="00064EE3" w:rsidRPr="00064EE3" w:rsidRDefault="00064EE3" w:rsidP="006307B0">
            <w:pPr>
              <w:pStyle w:val="TableParagraph"/>
              <w:spacing w:before="3" w:line="266" w:lineRule="exact"/>
              <w:ind w:left="122"/>
              <w:rPr>
                <w:b/>
                <w:color w:val="FF0000"/>
                <w:sz w:val="24"/>
                <w:szCs w:val="24"/>
              </w:rPr>
            </w:pPr>
            <w:r w:rsidRPr="00064EE3">
              <w:rPr>
                <w:b/>
                <w:color w:val="FF0000"/>
                <w:sz w:val="24"/>
                <w:szCs w:val="24"/>
              </w:rPr>
              <w:t>Yes</w:t>
            </w:r>
          </w:p>
        </w:tc>
        <w:tc>
          <w:tcPr>
            <w:tcW w:w="925" w:type="pct"/>
            <w:tcBorders>
              <w:top w:val="single" w:sz="4" w:space="0" w:color="000000"/>
              <w:bottom w:val="single" w:sz="4" w:space="0" w:color="000000"/>
            </w:tcBorders>
          </w:tcPr>
          <w:p w14:paraId="6EA7F669" w14:textId="77777777" w:rsidR="00064EE3" w:rsidRPr="00064EE3" w:rsidRDefault="00064EE3" w:rsidP="006307B0">
            <w:pPr>
              <w:pStyle w:val="TableParagraph"/>
              <w:rPr>
                <w:color w:val="FF0000"/>
                <w:sz w:val="24"/>
                <w:szCs w:val="24"/>
              </w:rPr>
            </w:pPr>
            <w:r w:rsidRPr="00064EE3">
              <w:rPr>
                <w:color w:val="FF0000"/>
                <w:sz w:val="24"/>
                <w:szCs w:val="24"/>
              </w:rPr>
              <w:t>75(24.4)</w:t>
            </w:r>
          </w:p>
        </w:tc>
        <w:tc>
          <w:tcPr>
            <w:tcW w:w="810" w:type="pct"/>
            <w:tcBorders>
              <w:top w:val="single" w:sz="4" w:space="0" w:color="000000"/>
              <w:bottom w:val="single" w:sz="4" w:space="0" w:color="000000"/>
            </w:tcBorders>
          </w:tcPr>
          <w:p w14:paraId="3CA512C8" w14:textId="77777777" w:rsidR="00064EE3" w:rsidRPr="00064EE3" w:rsidRDefault="00064EE3" w:rsidP="006307B0">
            <w:pPr>
              <w:pStyle w:val="TableParagraph"/>
              <w:rPr>
                <w:color w:val="FF0000"/>
                <w:sz w:val="24"/>
                <w:szCs w:val="24"/>
              </w:rPr>
            </w:pPr>
            <w:r w:rsidRPr="00064EE3">
              <w:rPr>
                <w:color w:val="FF0000"/>
                <w:sz w:val="24"/>
                <w:szCs w:val="24"/>
              </w:rPr>
              <w:t>52(33.3)</w:t>
            </w:r>
          </w:p>
        </w:tc>
        <w:tc>
          <w:tcPr>
            <w:tcW w:w="1707" w:type="pct"/>
            <w:tcBorders>
              <w:top w:val="single" w:sz="4" w:space="0" w:color="000000"/>
              <w:bottom w:val="single" w:sz="4" w:space="0" w:color="000000"/>
            </w:tcBorders>
          </w:tcPr>
          <w:p w14:paraId="23CE4738" w14:textId="77777777" w:rsidR="00064EE3" w:rsidRPr="00064EE3" w:rsidRDefault="00064EE3" w:rsidP="006307B0">
            <w:pPr>
              <w:pStyle w:val="TableParagraph"/>
              <w:rPr>
                <w:color w:val="FF0000"/>
                <w:sz w:val="24"/>
                <w:szCs w:val="24"/>
              </w:rPr>
            </w:pPr>
          </w:p>
        </w:tc>
      </w:tr>
      <w:tr w:rsidR="00064EE3" w:rsidRPr="00064EE3" w14:paraId="0D1714C9" w14:textId="77777777" w:rsidTr="006307B0">
        <w:trPr>
          <w:trHeight w:val="290"/>
        </w:trPr>
        <w:tc>
          <w:tcPr>
            <w:tcW w:w="1558" w:type="pct"/>
            <w:tcBorders>
              <w:top w:val="single" w:sz="4" w:space="0" w:color="000000"/>
              <w:bottom w:val="single" w:sz="4" w:space="0" w:color="000000"/>
            </w:tcBorders>
          </w:tcPr>
          <w:p w14:paraId="74C876A3" w14:textId="77777777" w:rsidR="00064EE3" w:rsidRPr="00064EE3" w:rsidRDefault="00064EE3" w:rsidP="006307B0">
            <w:pPr>
              <w:pStyle w:val="TableParagraph"/>
              <w:spacing w:before="3" w:line="266" w:lineRule="exact"/>
              <w:ind w:left="122"/>
              <w:rPr>
                <w:b/>
                <w:color w:val="FF0000"/>
                <w:sz w:val="24"/>
                <w:szCs w:val="24"/>
              </w:rPr>
            </w:pPr>
            <w:r w:rsidRPr="00064EE3">
              <w:rPr>
                <w:b/>
                <w:color w:val="FF0000"/>
                <w:sz w:val="24"/>
                <w:szCs w:val="24"/>
              </w:rPr>
              <w:lastRenderedPageBreak/>
              <w:t>Husband living with HBV</w:t>
            </w:r>
          </w:p>
        </w:tc>
        <w:tc>
          <w:tcPr>
            <w:tcW w:w="925" w:type="pct"/>
            <w:tcBorders>
              <w:top w:val="single" w:sz="4" w:space="0" w:color="000000"/>
              <w:bottom w:val="single" w:sz="4" w:space="0" w:color="000000"/>
            </w:tcBorders>
          </w:tcPr>
          <w:p w14:paraId="497C487F" w14:textId="77777777" w:rsidR="00064EE3" w:rsidRPr="00064EE3" w:rsidRDefault="00064EE3" w:rsidP="006307B0">
            <w:pPr>
              <w:pStyle w:val="TableParagraph"/>
              <w:rPr>
                <w:color w:val="FF0000"/>
                <w:sz w:val="24"/>
                <w:szCs w:val="24"/>
              </w:rPr>
            </w:pPr>
          </w:p>
        </w:tc>
        <w:tc>
          <w:tcPr>
            <w:tcW w:w="810" w:type="pct"/>
            <w:tcBorders>
              <w:top w:val="single" w:sz="4" w:space="0" w:color="000000"/>
              <w:bottom w:val="single" w:sz="4" w:space="0" w:color="000000"/>
            </w:tcBorders>
          </w:tcPr>
          <w:p w14:paraId="3FF5FE96" w14:textId="77777777" w:rsidR="00064EE3" w:rsidRPr="00064EE3" w:rsidRDefault="00064EE3" w:rsidP="006307B0">
            <w:pPr>
              <w:pStyle w:val="TableParagraph"/>
              <w:rPr>
                <w:color w:val="FF0000"/>
                <w:sz w:val="24"/>
                <w:szCs w:val="24"/>
              </w:rPr>
            </w:pPr>
          </w:p>
        </w:tc>
        <w:tc>
          <w:tcPr>
            <w:tcW w:w="1707" w:type="pct"/>
            <w:tcBorders>
              <w:top w:val="single" w:sz="4" w:space="0" w:color="000000"/>
              <w:bottom w:val="single" w:sz="4" w:space="0" w:color="000000"/>
            </w:tcBorders>
          </w:tcPr>
          <w:p w14:paraId="5B34A126" w14:textId="77777777" w:rsidR="00064EE3" w:rsidRPr="00064EE3" w:rsidRDefault="00064EE3" w:rsidP="006307B0">
            <w:pPr>
              <w:pStyle w:val="TableParagraph"/>
              <w:rPr>
                <w:color w:val="FF0000"/>
                <w:sz w:val="24"/>
                <w:szCs w:val="24"/>
              </w:rPr>
            </w:pPr>
          </w:p>
        </w:tc>
      </w:tr>
      <w:tr w:rsidR="00064EE3" w:rsidRPr="00064EE3" w14:paraId="7BE47899" w14:textId="77777777" w:rsidTr="006307B0">
        <w:trPr>
          <w:trHeight w:val="290"/>
        </w:trPr>
        <w:tc>
          <w:tcPr>
            <w:tcW w:w="1558" w:type="pct"/>
            <w:tcBorders>
              <w:top w:val="single" w:sz="4" w:space="0" w:color="000000"/>
              <w:bottom w:val="single" w:sz="4" w:space="0" w:color="000000"/>
            </w:tcBorders>
          </w:tcPr>
          <w:p w14:paraId="49851EAA" w14:textId="77777777" w:rsidR="00064EE3" w:rsidRPr="00064EE3" w:rsidRDefault="00064EE3" w:rsidP="006307B0">
            <w:pPr>
              <w:pStyle w:val="TableParagraph"/>
              <w:spacing w:before="3" w:line="266" w:lineRule="exact"/>
              <w:ind w:left="122"/>
              <w:rPr>
                <w:b/>
                <w:color w:val="FF0000"/>
                <w:sz w:val="24"/>
                <w:szCs w:val="24"/>
              </w:rPr>
            </w:pPr>
            <w:r w:rsidRPr="00064EE3">
              <w:rPr>
                <w:b/>
                <w:color w:val="FF0000"/>
                <w:sz w:val="24"/>
                <w:szCs w:val="24"/>
              </w:rPr>
              <w:t>No</w:t>
            </w:r>
          </w:p>
        </w:tc>
        <w:tc>
          <w:tcPr>
            <w:tcW w:w="925" w:type="pct"/>
            <w:tcBorders>
              <w:top w:val="single" w:sz="4" w:space="0" w:color="000000"/>
              <w:bottom w:val="single" w:sz="4" w:space="0" w:color="000000"/>
            </w:tcBorders>
          </w:tcPr>
          <w:p w14:paraId="12F629B7" w14:textId="77777777" w:rsidR="00064EE3" w:rsidRPr="00064EE3" w:rsidRDefault="00064EE3" w:rsidP="006307B0">
            <w:pPr>
              <w:pStyle w:val="TableParagraph"/>
              <w:rPr>
                <w:color w:val="FF0000"/>
                <w:sz w:val="24"/>
                <w:szCs w:val="24"/>
              </w:rPr>
            </w:pPr>
            <w:r w:rsidRPr="00064EE3">
              <w:rPr>
                <w:color w:val="FF0000"/>
                <w:sz w:val="24"/>
                <w:szCs w:val="24"/>
              </w:rPr>
              <w:t>300(97.7)</w:t>
            </w:r>
          </w:p>
        </w:tc>
        <w:tc>
          <w:tcPr>
            <w:tcW w:w="810" w:type="pct"/>
            <w:tcBorders>
              <w:top w:val="single" w:sz="4" w:space="0" w:color="000000"/>
              <w:bottom w:val="single" w:sz="4" w:space="0" w:color="000000"/>
            </w:tcBorders>
          </w:tcPr>
          <w:p w14:paraId="08AB0FAD" w14:textId="77777777" w:rsidR="00064EE3" w:rsidRPr="00064EE3" w:rsidRDefault="00064EE3" w:rsidP="006307B0">
            <w:pPr>
              <w:pStyle w:val="TableParagraph"/>
              <w:rPr>
                <w:color w:val="FF0000"/>
                <w:sz w:val="24"/>
                <w:szCs w:val="24"/>
              </w:rPr>
            </w:pPr>
            <w:r w:rsidRPr="00064EE3">
              <w:rPr>
                <w:color w:val="FF0000"/>
                <w:sz w:val="24"/>
                <w:szCs w:val="24"/>
              </w:rPr>
              <w:t>58(77.3)</w:t>
            </w:r>
          </w:p>
        </w:tc>
        <w:tc>
          <w:tcPr>
            <w:tcW w:w="1707" w:type="pct"/>
            <w:tcBorders>
              <w:top w:val="single" w:sz="4" w:space="0" w:color="000000"/>
              <w:bottom w:val="single" w:sz="4" w:space="0" w:color="000000"/>
            </w:tcBorders>
          </w:tcPr>
          <w:p w14:paraId="25850A2F" w14:textId="77777777" w:rsidR="00064EE3" w:rsidRPr="00064EE3" w:rsidRDefault="00064EE3" w:rsidP="006307B0">
            <w:pPr>
              <w:pStyle w:val="TableParagraph"/>
              <w:rPr>
                <w:color w:val="FF0000"/>
                <w:sz w:val="24"/>
                <w:szCs w:val="24"/>
              </w:rPr>
            </w:pPr>
            <w:r w:rsidRPr="00064EE3">
              <w:rPr>
                <w:color w:val="FF0000"/>
                <w:sz w:val="24"/>
                <w:szCs w:val="24"/>
              </w:rPr>
              <w:t>42.5457 (</w:t>
            </w:r>
            <w:proofErr w:type="spellStart"/>
            <w:r w:rsidRPr="00064EE3">
              <w:rPr>
                <w:color w:val="FF0000"/>
                <w:sz w:val="24"/>
                <w:szCs w:val="24"/>
              </w:rPr>
              <w:t>df</w:t>
            </w:r>
            <w:proofErr w:type="spellEnd"/>
            <w:r w:rsidRPr="00064EE3">
              <w:rPr>
                <w:color w:val="FF0000"/>
                <w:sz w:val="24"/>
                <w:szCs w:val="24"/>
              </w:rPr>
              <w:t>=1) p = 0.000</w:t>
            </w:r>
          </w:p>
        </w:tc>
      </w:tr>
      <w:tr w:rsidR="00064EE3" w:rsidRPr="00064EE3" w14:paraId="7F0D18C8" w14:textId="77777777" w:rsidTr="006307B0">
        <w:trPr>
          <w:trHeight w:val="290"/>
        </w:trPr>
        <w:tc>
          <w:tcPr>
            <w:tcW w:w="1558" w:type="pct"/>
            <w:tcBorders>
              <w:top w:val="single" w:sz="4" w:space="0" w:color="000000"/>
              <w:bottom w:val="single" w:sz="4" w:space="0" w:color="000000"/>
            </w:tcBorders>
          </w:tcPr>
          <w:p w14:paraId="06F38962" w14:textId="77777777" w:rsidR="00064EE3" w:rsidRPr="00064EE3" w:rsidRDefault="00064EE3" w:rsidP="006307B0">
            <w:pPr>
              <w:pStyle w:val="TableParagraph"/>
              <w:spacing w:before="3" w:line="266" w:lineRule="exact"/>
              <w:ind w:left="122"/>
              <w:rPr>
                <w:b/>
                <w:color w:val="FF0000"/>
                <w:sz w:val="24"/>
                <w:szCs w:val="24"/>
              </w:rPr>
            </w:pPr>
            <w:r w:rsidRPr="00064EE3">
              <w:rPr>
                <w:b/>
                <w:color w:val="FF0000"/>
                <w:sz w:val="24"/>
                <w:szCs w:val="24"/>
              </w:rPr>
              <w:t>Yes</w:t>
            </w:r>
          </w:p>
        </w:tc>
        <w:tc>
          <w:tcPr>
            <w:tcW w:w="925" w:type="pct"/>
            <w:tcBorders>
              <w:top w:val="single" w:sz="4" w:space="0" w:color="000000"/>
              <w:bottom w:val="single" w:sz="4" w:space="0" w:color="000000"/>
            </w:tcBorders>
          </w:tcPr>
          <w:p w14:paraId="47EA3B8F" w14:textId="77777777" w:rsidR="00064EE3" w:rsidRPr="00064EE3" w:rsidRDefault="00064EE3" w:rsidP="006307B0">
            <w:pPr>
              <w:pStyle w:val="TableParagraph"/>
              <w:rPr>
                <w:color w:val="FF0000"/>
                <w:sz w:val="24"/>
                <w:szCs w:val="24"/>
              </w:rPr>
            </w:pPr>
            <w:r w:rsidRPr="00064EE3">
              <w:rPr>
                <w:color w:val="FF0000"/>
                <w:sz w:val="24"/>
                <w:szCs w:val="24"/>
              </w:rPr>
              <w:t>7(2.3)</w:t>
            </w:r>
          </w:p>
        </w:tc>
        <w:tc>
          <w:tcPr>
            <w:tcW w:w="810" w:type="pct"/>
            <w:tcBorders>
              <w:top w:val="single" w:sz="4" w:space="0" w:color="000000"/>
              <w:bottom w:val="single" w:sz="4" w:space="0" w:color="000000"/>
            </w:tcBorders>
          </w:tcPr>
          <w:p w14:paraId="7FFBB74F" w14:textId="77777777" w:rsidR="00064EE3" w:rsidRPr="00064EE3" w:rsidRDefault="00064EE3" w:rsidP="006307B0">
            <w:pPr>
              <w:pStyle w:val="TableParagraph"/>
              <w:rPr>
                <w:color w:val="FF0000"/>
                <w:sz w:val="24"/>
                <w:szCs w:val="24"/>
              </w:rPr>
            </w:pPr>
            <w:r w:rsidRPr="00064EE3">
              <w:rPr>
                <w:color w:val="FF0000"/>
                <w:sz w:val="24"/>
                <w:szCs w:val="24"/>
              </w:rPr>
              <w:t>17(22.7)</w:t>
            </w:r>
          </w:p>
        </w:tc>
        <w:tc>
          <w:tcPr>
            <w:tcW w:w="1707" w:type="pct"/>
            <w:tcBorders>
              <w:top w:val="single" w:sz="4" w:space="0" w:color="000000"/>
              <w:bottom w:val="single" w:sz="4" w:space="0" w:color="000000"/>
            </w:tcBorders>
          </w:tcPr>
          <w:p w14:paraId="76B45425" w14:textId="77777777" w:rsidR="00064EE3" w:rsidRPr="00064EE3" w:rsidRDefault="00064EE3" w:rsidP="006307B0">
            <w:pPr>
              <w:pStyle w:val="TableParagraph"/>
              <w:rPr>
                <w:color w:val="FF0000"/>
                <w:sz w:val="24"/>
                <w:szCs w:val="24"/>
              </w:rPr>
            </w:pPr>
          </w:p>
        </w:tc>
      </w:tr>
      <w:tr w:rsidR="00064EE3" w:rsidRPr="00064EE3" w14:paraId="25BFA6EB" w14:textId="77777777" w:rsidTr="006307B0">
        <w:trPr>
          <w:trHeight w:val="290"/>
        </w:trPr>
        <w:tc>
          <w:tcPr>
            <w:tcW w:w="1558" w:type="pct"/>
            <w:tcBorders>
              <w:top w:val="single" w:sz="4" w:space="0" w:color="000000"/>
              <w:bottom w:val="single" w:sz="4" w:space="0" w:color="000000"/>
            </w:tcBorders>
          </w:tcPr>
          <w:p w14:paraId="347CAEE9" w14:textId="77777777" w:rsidR="00064EE3" w:rsidRPr="00064EE3" w:rsidRDefault="00064EE3" w:rsidP="006307B0">
            <w:pPr>
              <w:pStyle w:val="TableParagraph"/>
              <w:spacing w:before="3" w:line="266" w:lineRule="exact"/>
              <w:ind w:left="122"/>
              <w:rPr>
                <w:b/>
                <w:color w:val="FF0000"/>
                <w:sz w:val="24"/>
                <w:szCs w:val="24"/>
              </w:rPr>
            </w:pPr>
            <w:r w:rsidRPr="00064EE3">
              <w:rPr>
                <w:b/>
                <w:color w:val="FF0000"/>
                <w:sz w:val="24"/>
                <w:szCs w:val="24"/>
              </w:rPr>
              <w:t>Have you pierced your nose or ear</w:t>
            </w:r>
          </w:p>
        </w:tc>
        <w:tc>
          <w:tcPr>
            <w:tcW w:w="925" w:type="pct"/>
            <w:tcBorders>
              <w:top w:val="single" w:sz="4" w:space="0" w:color="000000"/>
              <w:bottom w:val="single" w:sz="4" w:space="0" w:color="000000"/>
            </w:tcBorders>
          </w:tcPr>
          <w:p w14:paraId="2E4EFD08" w14:textId="77777777" w:rsidR="00064EE3" w:rsidRPr="00064EE3" w:rsidRDefault="00064EE3" w:rsidP="006307B0">
            <w:pPr>
              <w:pStyle w:val="TableParagraph"/>
              <w:rPr>
                <w:color w:val="FF0000"/>
                <w:sz w:val="24"/>
                <w:szCs w:val="24"/>
              </w:rPr>
            </w:pPr>
            <w:r w:rsidRPr="00064EE3">
              <w:rPr>
                <w:color w:val="FF0000"/>
                <w:sz w:val="24"/>
                <w:szCs w:val="24"/>
              </w:rPr>
              <w:t>No</w:t>
            </w:r>
          </w:p>
        </w:tc>
        <w:tc>
          <w:tcPr>
            <w:tcW w:w="810" w:type="pct"/>
            <w:tcBorders>
              <w:top w:val="single" w:sz="4" w:space="0" w:color="000000"/>
              <w:bottom w:val="single" w:sz="4" w:space="0" w:color="000000"/>
            </w:tcBorders>
          </w:tcPr>
          <w:p w14:paraId="274DF453" w14:textId="77777777" w:rsidR="00064EE3" w:rsidRPr="00064EE3" w:rsidRDefault="00064EE3" w:rsidP="006307B0">
            <w:pPr>
              <w:pStyle w:val="TableParagraph"/>
              <w:rPr>
                <w:color w:val="FF0000"/>
                <w:sz w:val="24"/>
                <w:szCs w:val="24"/>
              </w:rPr>
            </w:pPr>
            <w:r w:rsidRPr="00064EE3">
              <w:rPr>
                <w:color w:val="FF0000"/>
                <w:sz w:val="24"/>
                <w:szCs w:val="24"/>
              </w:rPr>
              <w:t>Yes</w:t>
            </w:r>
          </w:p>
        </w:tc>
        <w:tc>
          <w:tcPr>
            <w:tcW w:w="1707" w:type="pct"/>
            <w:tcBorders>
              <w:top w:val="single" w:sz="4" w:space="0" w:color="000000"/>
              <w:bottom w:val="single" w:sz="4" w:space="0" w:color="000000"/>
            </w:tcBorders>
          </w:tcPr>
          <w:p w14:paraId="74A2D483" w14:textId="77777777" w:rsidR="00064EE3" w:rsidRPr="00064EE3" w:rsidRDefault="00064EE3" w:rsidP="006307B0">
            <w:pPr>
              <w:pStyle w:val="TableParagraph"/>
              <w:rPr>
                <w:color w:val="FF0000"/>
                <w:sz w:val="24"/>
                <w:szCs w:val="24"/>
              </w:rPr>
            </w:pPr>
          </w:p>
        </w:tc>
      </w:tr>
      <w:tr w:rsidR="00064EE3" w:rsidRPr="00064EE3" w14:paraId="13C32047" w14:textId="77777777" w:rsidTr="006307B0">
        <w:trPr>
          <w:trHeight w:val="290"/>
        </w:trPr>
        <w:tc>
          <w:tcPr>
            <w:tcW w:w="1558" w:type="pct"/>
            <w:tcBorders>
              <w:top w:val="single" w:sz="4" w:space="0" w:color="000000"/>
              <w:bottom w:val="single" w:sz="4" w:space="0" w:color="000000"/>
            </w:tcBorders>
          </w:tcPr>
          <w:p w14:paraId="44734CA1" w14:textId="77777777" w:rsidR="00064EE3" w:rsidRPr="00064EE3" w:rsidRDefault="00064EE3" w:rsidP="006307B0">
            <w:pPr>
              <w:pStyle w:val="TableParagraph"/>
              <w:spacing w:before="3" w:line="266" w:lineRule="exact"/>
              <w:ind w:left="122"/>
              <w:rPr>
                <w:b/>
                <w:color w:val="FF0000"/>
                <w:sz w:val="24"/>
                <w:szCs w:val="24"/>
              </w:rPr>
            </w:pPr>
            <w:r w:rsidRPr="00064EE3">
              <w:rPr>
                <w:b/>
                <w:color w:val="FF0000"/>
                <w:sz w:val="24"/>
                <w:szCs w:val="24"/>
              </w:rPr>
              <w:t>No</w:t>
            </w:r>
          </w:p>
        </w:tc>
        <w:tc>
          <w:tcPr>
            <w:tcW w:w="925" w:type="pct"/>
            <w:tcBorders>
              <w:top w:val="single" w:sz="4" w:space="0" w:color="000000"/>
              <w:bottom w:val="single" w:sz="4" w:space="0" w:color="000000"/>
            </w:tcBorders>
          </w:tcPr>
          <w:p w14:paraId="164F8C5D" w14:textId="77777777" w:rsidR="00064EE3" w:rsidRPr="00064EE3" w:rsidRDefault="00064EE3" w:rsidP="006307B0">
            <w:pPr>
              <w:pStyle w:val="TableParagraph"/>
              <w:rPr>
                <w:color w:val="FF0000"/>
                <w:sz w:val="24"/>
                <w:szCs w:val="24"/>
              </w:rPr>
            </w:pPr>
            <w:r w:rsidRPr="00064EE3">
              <w:rPr>
                <w:color w:val="FF0000"/>
                <w:sz w:val="24"/>
                <w:szCs w:val="24"/>
              </w:rPr>
              <w:t>63(20.5)</w:t>
            </w:r>
          </w:p>
        </w:tc>
        <w:tc>
          <w:tcPr>
            <w:tcW w:w="810" w:type="pct"/>
            <w:tcBorders>
              <w:top w:val="single" w:sz="4" w:space="0" w:color="000000"/>
              <w:bottom w:val="single" w:sz="4" w:space="0" w:color="000000"/>
            </w:tcBorders>
          </w:tcPr>
          <w:p w14:paraId="04C89764" w14:textId="77777777" w:rsidR="00064EE3" w:rsidRPr="00064EE3" w:rsidRDefault="00064EE3" w:rsidP="006307B0">
            <w:pPr>
              <w:pStyle w:val="TableParagraph"/>
              <w:rPr>
                <w:color w:val="FF0000"/>
                <w:sz w:val="24"/>
                <w:szCs w:val="24"/>
              </w:rPr>
            </w:pPr>
            <w:r w:rsidRPr="00064EE3">
              <w:rPr>
                <w:color w:val="FF0000"/>
                <w:sz w:val="24"/>
                <w:szCs w:val="24"/>
              </w:rPr>
              <w:t>0(0.0)</w:t>
            </w:r>
          </w:p>
        </w:tc>
        <w:tc>
          <w:tcPr>
            <w:tcW w:w="1707" w:type="pct"/>
            <w:tcBorders>
              <w:top w:val="single" w:sz="4" w:space="0" w:color="000000"/>
              <w:bottom w:val="single" w:sz="4" w:space="0" w:color="000000"/>
            </w:tcBorders>
          </w:tcPr>
          <w:p w14:paraId="1E64955F" w14:textId="77777777" w:rsidR="00064EE3" w:rsidRPr="00064EE3" w:rsidRDefault="00064EE3" w:rsidP="006307B0">
            <w:pPr>
              <w:pStyle w:val="TableParagraph"/>
              <w:rPr>
                <w:color w:val="FF0000"/>
                <w:sz w:val="24"/>
                <w:szCs w:val="24"/>
              </w:rPr>
            </w:pPr>
            <w:r w:rsidRPr="00064EE3">
              <w:rPr>
                <w:color w:val="FF0000"/>
                <w:sz w:val="24"/>
                <w:szCs w:val="24"/>
              </w:rPr>
              <w:t>18.4305 (</w:t>
            </w:r>
            <w:proofErr w:type="spellStart"/>
            <w:r w:rsidRPr="00064EE3">
              <w:rPr>
                <w:color w:val="FF0000"/>
                <w:sz w:val="24"/>
                <w:szCs w:val="24"/>
              </w:rPr>
              <w:t>df</w:t>
            </w:r>
            <w:proofErr w:type="spellEnd"/>
            <w:r w:rsidRPr="00064EE3">
              <w:rPr>
                <w:color w:val="FF0000"/>
                <w:sz w:val="24"/>
                <w:szCs w:val="24"/>
              </w:rPr>
              <w:t>=1) p= 0.000</w:t>
            </w:r>
          </w:p>
        </w:tc>
      </w:tr>
      <w:tr w:rsidR="00064EE3" w:rsidRPr="00064EE3" w14:paraId="63DFCC24" w14:textId="77777777" w:rsidTr="006307B0">
        <w:trPr>
          <w:trHeight w:val="290"/>
        </w:trPr>
        <w:tc>
          <w:tcPr>
            <w:tcW w:w="1558" w:type="pct"/>
            <w:tcBorders>
              <w:top w:val="single" w:sz="4" w:space="0" w:color="000000"/>
              <w:bottom w:val="single" w:sz="4" w:space="0" w:color="000000"/>
            </w:tcBorders>
          </w:tcPr>
          <w:p w14:paraId="3FB9F133" w14:textId="77777777" w:rsidR="00064EE3" w:rsidRPr="00064EE3" w:rsidRDefault="00064EE3" w:rsidP="006307B0">
            <w:pPr>
              <w:pStyle w:val="TableParagraph"/>
              <w:spacing w:before="3" w:line="266" w:lineRule="exact"/>
              <w:ind w:left="122"/>
              <w:rPr>
                <w:b/>
                <w:color w:val="FF0000"/>
                <w:sz w:val="24"/>
                <w:szCs w:val="24"/>
              </w:rPr>
            </w:pPr>
            <w:r w:rsidRPr="00064EE3">
              <w:rPr>
                <w:b/>
                <w:color w:val="FF0000"/>
                <w:sz w:val="24"/>
                <w:szCs w:val="24"/>
              </w:rPr>
              <w:t>Yes</w:t>
            </w:r>
          </w:p>
        </w:tc>
        <w:tc>
          <w:tcPr>
            <w:tcW w:w="925" w:type="pct"/>
            <w:tcBorders>
              <w:top w:val="single" w:sz="4" w:space="0" w:color="000000"/>
              <w:bottom w:val="single" w:sz="4" w:space="0" w:color="000000"/>
            </w:tcBorders>
          </w:tcPr>
          <w:p w14:paraId="5B670E36" w14:textId="77777777" w:rsidR="00064EE3" w:rsidRPr="00064EE3" w:rsidRDefault="00064EE3" w:rsidP="006307B0">
            <w:pPr>
              <w:pStyle w:val="TableParagraph"/>
              <w:rPr>
                <w:color w:val="FF0000"/>
                <w:sz w:val="24"/>
                <w:szCs w:val="24"/>
              </w:rPr>
            </w:pPr>
            <w:r w:rsidRPr="00064EE3">
              <w:rPr>
                <w:color w:val="FF0000"/>
                <w:sz w:val="24"/>
                <w:szCs w:val="24"/>
              </w:rPr>
              <w:t>244(79.5)</w:t>
            </w:r>
          </w:p>
        </w:tc>
        <w:tc>
          <w:tcPr>
            <w:tcW w:w="810" w:type="pct"/>
            <w:tcBorders>
              <w:top w:val="single" w:sz="4" w:space="0" w:color="000000"/>
              <w:bottom w:val="single" w:sz="4" w:space="0" w:color="000000"/>
            </w:tcBorders>
          </w:tcPr>
          <w:p w14:paraId="1B9921E9" w14:textId="77777777" w:rsidR="00064EE3" w:rsidRPr="00064EE3" w:rsidRDefault="00064EE3" w:rsidP="006307B0">
            <w:pPr>
              <w:pStyle w:val="TableParagraph"/>
              <w:rPr>
                <w:color w:val="FF0000"/>
                <w:sz w:val="24"/>
                <w:szCs w:val="24"/>
              </w:rPr>
            </w:pPr>
            <w:r w:rsidRPr="00064EE3">
              <w:rPr>
                <w:color w:val="FF0000"/>
                <w:sz w:val="24"/>
                <w:szCs w:val="24"/>
              </w:rPr>
              <w:t>75(100.0)</w:t>
            </w:r>
          </w:p>
        </w:tc>
        <w:tc>
          <w:tcPr>
            <w:tcW w:w="1707" w:type="pct"/>
            <w:tcBorders>
              <w:top w:val="single" w:sz="4" w:space="0" w:color="000000"/>
              <w:bottom w:val="single" w:sz="4" w:space="0" w:color="000000"/>
            </w:tcBorders>
          </w:tcPr>
          <w:p w14:paraId="5CB69786" w14:textId="77777777" w:rsidR="00064EE3" w:rsidRPr="00064EE3" w:rsidRDefault="00064EE3" w:rsidP="006307B0">
            <w:pPr>
              <w:pStyle w:val="TableParagraph"/>
              <w:rPr>
                <w:color w:val="FF0000"/>
                <w:sz w:val="24"/>
                <w:szCs w:val="24"/>
              </w:rPr>
            </w:pPr>
          </w:p>
        </w:tc>
      </w:tr>
    </w:tbl>
    <w:p w14:paraId="5D203011" w14:textId="77777777" w:rsidR="006C5EB3" w:rsidRPr="00064EE3" w:rsidRDefault="006C5EB3" w:rsidP="006C5EB3">
      <w:pPr>
        <w:spacing w:line="360" w:lineRule="auto"/>
        <w:jc w:val="both"/>
        <w:rPr>
          <w:rFonts w:ascii="Times New Roman" w:hAnsi="Times New Roman" w:cs="Times New Roman"/>
          <w:color w:val="FF0000"/>
          <w:sz w:val="24"/>
          <w:szCs w:val="24"/>
        </w:rPr>
      </w:pPr>
    </w:p>
    <w:p w14:paraId="36E0E693" w14:textId="77777777" w:rsidR="006C5EB3" w:rsidRDefault="006C5EB3" w:rsidP="00A225BD">
      <w:pPr>
        <w:spacing w:line="240" w:lineRule="auto"/>
        <w:jc w:val="both"/>
        <w:rPr>
          <w:rFonts w:ascii="Times New Roman" w:hAnsi="Times New Roman" w:cs="Times New Roman"/>
          <w:b/>
          <w:color w:val="000000" w:themeColor="text1"/>
          <w:sz w:val="24"/>
          <w:szCs w:val="24"/>
        </w:rPr>
      </w:pPr>
    </w:p>
    <w:p w14:paraId="6CFA6C8B" w14:textId="77777777" w:rsidR="006C5EB3" w:rsidRDefault="006C5EB3" w:rsidP="00A225BD">
      <w:pPr>
        <w:spacing w:line="240" w:lineRule="auto"/>
        <w:jc w:val="both"/>
        <w:rPr>
          <w:rFonts w:ascii="Times New Roman" w:hAnsi="Times New Roman" w:cs="Times New Roman"/>
          <w:b/>
          <w:color w:val="000000" w:themeColor="text1"/>
          <w:sz w:val="24"/>
          <w:szCs w:val="24"/>
        </w:rPr>
      </w:pPr>
    </w:p>
    <w:p w14:paraId="5E22F3D9" w14:textId="77777777" w:rsidR="006C5EB3" w:rsidRDefault="006C5EB3" w:rsidP="00A225BD">
      <w:pPr>
        <w:spacing w:line="240" w:lineRule="auto"/>
        <w:jc w:val="both"/>
        <w:rPr>
          <w:rFonts w:ascii="Times New Roman" w:hAnsi="Times New Roman" w:cs="Times New Roman"/>
          <w:b/>
          <w:color w:val="000000" w:themeColor="text1"/>
          <w:sz w:val="24"/>
          <w:szCs w:val="24"/>
        </w:rPr>
      </w:pPr>
    </w:p>
    <w:p w14:paraId="7DF1C6A3" w14:textId="77777777" w:rsidR="006C5EB3" w:rsidRDefault="006C5EB3" w:rsidP="00A225BD">
      <w:pPr>
        <w:spacing w:line="240" w:lineRule="auto"/>
        <w:jc w:val="both"/>
        <w:rPr>
          <w:rFonts w:ascii="Times New Roman" w:hAnsi="Times New Roman" w:cs="Times New Roman"/>
          <w:b/>
          <w:color w:val="000000" w:themeColor="text1"/>
          <w:sz w:val="24"/>
          <w:szCs w:val="24"/>
        </w:rPr>
      </w:pPr>
    </w:p>
    <w:p w14:paraId="3F5E5041" w14:textId="77777777" w:rsidR="006C5EB3" w:rsidRDefault="006C5EB3" w:rsidP="00A225BD">
      <w:pPr>
        <w:spacing w:line="240" w:lineRule="auto"/>
        <w:jc w:val="both"/>
        <w:rPr>
          <w:rFonts w:ascii="Times New Roman" w:hAnsi="Times New Roman" w:cs="Times New Roman"/>
          <w:b/>
          <w:color w:val="000000" w:themeColor="text1"/>
          <w:sz w:val="24"/>
          <w:szCs w:val="24"/>
        </w:rPr>
      </w:pPr>
    </w:p>
    <w:p w14:paraId="20399CF7" w14:textId="77777777" w:rsidR="006C5EB3" w:rsidRDefault="006C5EB3" w:rsidP="00A225BD">
      <w:pPr>
        <w:spacing w:line="240" w:lineRule="auto"/>
        <w:jc w:val="both"/>
        <w:rPr>
          <w:rFonts w:ascii="Times New Roman" w:hAnsi="Times New Roman" w:cs="Times New Roman"/>
          <w:b/>
          <w:color w:val="000000" w:themeColor="text1"/>
          <w:sz w:val="24"/>
          <w:szCs w:val="24"/>
        </w:rPr>
      </w:pPr>
    </w:p>
    <w:p w14:paraId="5D4770EB" w14:textId="77777777" w:rsidR="006C5EB3" w:rsidRDefault="006C5EB3" w:rsidP="00A225BD">
      <w:pPr>
        <w:spacing w:line="240" w:lineRule="auto"/>
        <w:jc w:val="both"/>
        <w:rPr>
          <w:rFonts w:ascii="Times New Roman" w:hAnsi="Times New Roman" w:cs="Times New Roman"/>
          <w:b/>
          <w:color w:val="000000" w:themeColor="text1"/>
          <w:sz w:val="24"/>
          <w:szCs w:val="24"/>
        </w:rPr>
      </w:pPr>
    </w:p>
    <w:p w14:paraId="18C3C243" w14:textId="77777777" w:rsidR="006C5EB3" w:rsidRDefault="006C5EB3" w:rsidP="00A225BD">
      <w:pPr>
        <w:spacing w:line="240" w:lineRule="auto"/>
        <w:jc w:val="both"/>
        <w:rPr>
          <w:rFonts w:ascii="Times New Roman" w:hAnsi="Times New Roman" w:cs="Times New Roman"/>
          <w:b/>
          <w:color w:val="000000" w:themeColor="text1"/>
          <w:sz w:val="24"/>
          <w:szCs w:val="24"/>
        </w:rPr>
      </w:pPr>
    </w:p>
    <w:p w14:paraId="2900447B" w14:textId="77777777" w:rsidR="006C5EB3" w:rsidRPr="006C5EB3" w:rsidRDefault="006C5EB3" w:rsidP="006C5EB3">
      <w:pPr>
        <w:jc w:val="both"/>
        <w:rPr>
          <w:rFonts w:ascii="Times New Roman" w:hAnsi="Times New Roman" w:cs="Times New Roman"/>
          <w:b/>
          <w:color w:val="000000" w:themeColor="text1"/>
          <w:sz w:val="24"/>
          <w:szCs w:val="24"/>
        </w:rPr>
      </w:pPr>
      <w:bookmarkStart w:id="6" w:name="_Toc161569877"/>
      <w:bookmarkStart w:id="7" w:name="_Toc166157208"/>
      <w:r w:rsidRPr="006C5EB3">
        <w:rPr>
          <w:rFonts w:ascii="Times New Roman" w:hAnsi="Times New Roman" w:cs="Times New Roman"/>
          <w:b/>
          <w:color w:val="000000" w:themeColor="text1"/>
          <w:sz w:val="24"/>
          <w:szCs w:val="24"/>
        </w:rPr>
        <w:t>Table 3: Cohort Analysis of pregnant mothers who tested for Hep B and Child Hep B outcome.</w:t>
      </w:r>
      <w:bookmarkEnd w:id="6"/>
      <w:bookmarkEnd w:id="7"/>
    </w:p>
    <w:p w14:paraId="0A4FE8BF" w14:textId="77777777" w:rsidR="006C5EB3" w:rsidRPr="00434405" w:rsidRDefault="006C5EB3" w:rsidP="006C5EB3"/>
    <w:tbl>
      <w:tblPr>
        <w:tblW w:w="5000" w:type="pct"/>
        <w:tblLook w:val="04A0" w:firstRow="1" w:lastRow="0" w:firstColumn="1" w:lastColumn="0" w:noHBand="0" w:noVBand="1"/>
      </w:tblPr>
      <w:tblGrid>
        <w:gridCol w:w="3418"/>
        <w:gridCol w:w="1788"/>
        <w:gridCol w:w="2263"/>
        <w:gridCol w:w="1891"/>
      </w:tblGrid>
      <w:tr w:rsidR="006C5EB3" w:rsidRPr="00434405" w14:paraId="267A25C3" w14:textId="77777777" w:rsidTr="00135CF7">
        <w:trPr>
          <w:trHeight w:val="272"/>
        </w:trPr>
        <w:tc>
          <w:tcPr>
            <w:tcW w:w="1826" w:type="pct"/>
            <w:tcBorders>
              <w:top w:val="single" w:sz="8" w:space="0" w:color="auto"/>
              <w:left w:val="nil"/>
              <w:bottom w:val="single" w:sz="12" w:space="0" w:color="auto"/>
              <w:right w:val="nil"/>
            </w:tcBorders>
            <w:shd w:val="clear" w:color="auto" w:fill="auto"/>
            <w:vAlign w:val="center"/>
            <w:hideMark/>
          </w:tcPr>
          <w:p w14:paraId="36A0947F" w14:textId="77777777" w:rsidR="006C5EB3" w:rsidRPr="00434405" w:rsidRDefault="006C5EB3" w:rsidP="00135CF7">
            <w:pPr>
              <w:spacing w:after="0" w:line="240" w:lineRule="auto"/>
              <w:rPr>
                <w:rFonts w:ascii="Times New Roman" w:hAnsi="Times New Roman" w:cs="Times New Roman"/>
                <w:color w:val="000000"/>
                <w:sz w:val="24"/>
                <w:szCs w:val="24"/>
              </w:rPr>
            </w:pPr>
            <w:r w:rsidRPr="00434405">
              <w:rPr>
                <w:rFonts w:ascii="Times New Roman" w:hAnsi="Times New Roman" w:cs="Times New Roman"/>
                <w:color w:val="000000"/>
                <w:sz w:val="24"/>
                <w:szCs w:val="24"/>
              </w:rPr>
              <w:t> </w:t>
            </w:r>
          </w:p>
        </w:tc>
        <w:tc>
          <w:tcPr>
            <w:tcW w:w="955" w:type="pct"/>
            <w:tcBorders>
              <w:top w:val="single" w:sz="8" w:space="0" w:color="auto"/>
              <w:left w:val="nil"/>
              <w:bottom w:val="single" w:sz="12" w:space="0" w:color="auto"/>
              <w:right w:val="nil"/>
            </w:tcBorders>
            <w:shd w:val="clear" w:color="auto" w:fill="auto"/>
            <w:vAlign w:val="center"/>
            <w:hideMark/>
          </w:tcPr>
          <w:p w14:paraId="496D8CF3" w14:textId="77777777" w:rsidR="006C5EB3" w:rsidRPr="00434405" w:rsidRDefault="006C5EB3" w:rsidP="00135CF7">
            <w:pPr>
              <w:spacing w:after="0" w:line="240" w:lineRule="auto"/>
              <w:jc w:val="center"/>
              <w:rPr>
                <w:rFonts w:ascii="Times New Roman" w:hAnsi="Times New Roman" w:cs="Times New Roman"/>
                <w:b/>
                <w:bCs/>
                <w:color w:val="000000"/>
                <w:sz w:val="24"/>
                <w:szCs w:val="24"/>
              </w:rPr>
            </w:pPr>
            <w:r w:rsidRPr="00434405">
              <w:rPr>
                <w:rFonts w:ascii="Times New Roman" w:hAnsi="Times New Roman" w:cs="Times New Roman"/>
                <w:b/>
                <w:bCs/>
                <w:color w:val="000000"/>
                <w:sz w:val="24"/>
                <w:szCs w:val="24"/>
              </w:rPr>
              <w:t>Exposed</w:t>
            </w:r>
          </w:p>
        </w:tc>
        <w:tc>
          <w:tcPr>
            <w:tcW w:w="1209" w:type="pct"/>
            <w:tcBorders>
              <w:top w:val="single" w:sz="8" w:space="0" w:color="auto"/>
              <w:left w:val="nil"/>
              <w:bottom w:val="single" w:sz="12" w:space="0" w:color="auto"/>
              <w:right w:val="nil"/>
            </w:tcBorders>
            <w:shd w:val="clear" w:color="auto" w:fill="auto"/>
            <w:vAlign w:val="center"/>
            <w:hideMark/>
          </w:tcPr>
          <w:p w14:paraId="0AC524B1" w14:textId="77777777" w:rsidR="006C5EB3" w:rsidRPr="00434405" w:rsidRDefault="006C5EB3" w:rsidP="00135CF7">
            <w:pPr>
              <w:spacing w:after="0" w:line="240" w:lineRule="auto"/>
              <w:jc w:val="center"/>
              <w:rPr>
                <w:rFonts w:ascii="Times New Roman" w:hAnsi="Times New Roman" w:cs="Times New Roman"/>
                <w:b/>
                <w:bCs/>
                <w:color w:val="000000"/>
                <w:sz w:val="24"/>
                <w:szCs w:val="24"/>
              </w:rPr>
            </w:pPr>
            <w:r w:rsidRPr="00434405">
              <w:rPr>
                <w:rFonts w:ascii="Times New Roman" w:hAnsi="Times New Roman" w:cs="Times New Roman"/>
                <w:b/>
                <w:bCs/>
                <w:color w:val="000000"/>
                <w:sz w:val="24"/>
                <w:szCs w:val="24"/>
              </w:rPr>
              <w:t>Unexposed</w:t>
            </w:r>
          </w:p>
        </w:tc>
        <w:tc>
          <w:tcPr>
            <w:tcW w:w="1010" w:type="pct"/>
            <w:tcBorders>
              <w:top w:val="single" w:sz="8" w:space="0" w:color="auto"/>
              <w:left w:val="nil"/>
              <w:bottom w:val="single" w:sz="12" w:space="0" w:color="auto"/>
              <w:right w:val="nil"/>
            </w:tcBorders>
            <w:shd w:val="clear" w:color="auto" w:fill="auto"/>
            <w:vAlign w:val="center"/>
            <w:hideMark/>
          </w:tcPr>
          <w:p w14:paraId="481D48AE" w14:textId="77777777" w:rsidR="006C5EB3" w:rsidRPr="00434405" w:rsidRDefault="006C5EB3" w:rsidP="00135CF7">
            <w:pPr>
              <w:spacing w:after="0" w:line="240" w:lineRule="auto"/>
              <w:jc w:val="center"/>
              <w:rPr>
                <w:rFonts w:ascii="Times New Roman" w:hAnsi="Times New Roman" w:cs="Times New Roman"/>
                <w:b/>
                <w:bCs/>
                <w:color w:val="000000"/>
                <w:sz w:val="24"/>
                <w:szCs w:val="24"/>
              </w:rPr>
            </w:pPr>
            <w:r w:rsidRPr="00434405">
              <w:rPr>
                <w:rFonts w:ascii="Times New Roman" w:hAnsi="Times New Roman" w:cs="Times New Roman"/>
                <w:b/>
                <w:bCs/>
                <w:color w:val="000000"/>
                <w:sz w:val="24"/>
                <w:szCs w:val="24"/>
              </w:rPr>
              <w:t>Total</w:t>
            </w:r>
          </w:p>
        </w:tc>
      </w:tr>
      <w:tr w:rsidR="006C5EB3" w:rsidRPr="00434405" w14:paraId="50C1462D" w14:textId="77777777" w:rsidTr="00135CF7">
        <w:trPr>
          <w:trHeight w:val="272"/>
        </w:trPr>
        <w:tc>
          <w:tcPr>
            <w:tcW w:w="1826" w:type="pct"/>
            <w:tcBorders>
              <w:top w:val="nil"/>
              <w:left w:val="nil"/>
              <w:bottom w:val="nil"/>
              <w:right w:val="nil"/>
            </w:tcBorders>
            <w:shd w:val="clear" w:color="auto" w:fill="auto"/>
            <w:vAlign w:val="center"/>
            <w:hideMark/>
          </w:tcPr>
          <w:p w14:paraId="3707688E" w14:textId="77777777" w:rsidR="006C5EB3" w:rsidRPr="00434405" w:rsidRDefault="006C5EB3" w:rsidP="00135CF7">
            <w:pPr>
              <w:spacing w:after="0" w:line="240" w:lineRule="auto"/>
              <w:rPr>
                <w:rFonts w:ascii="Times New Roman" w:hAnsi="Times New Roman" w:cs="Times New Roman"/>
                <w:color w:val="000000"/>
                <w:sz w:val="24"/>
                <w:szCs w:val="24"/>
              </w:rPr>
            </w:pPr>
            <w:r w:rsidRPr="00434405">
              <w:rPr>
                <w:rFonts w:ascii="Times New Roman" w:hAnsi="Times New Roman" w:cs="Times New Roman"/>
                <w:color w:val="000000"/>
                <w:sz w:val="24"/>
                <w:szCs w:val="24"/>
              </w:rPr>
              <w:t xml:space="preserve">Cases </w:t>
            </w:r>
          </w:p>
        </w:tc>
        <w:tc>
          <w:tcPr>
            <w:tcW w:w="955" w:type="pct"/>
            <w:tcBorders>
              <w:top w:val="nil"/>
              <w:left w:val="nil"/>
              <w:bottom w:val="nil"/>
              <w:right w:val="nil"/>
            </w:tcBorders>
            <w:shd w:val="clear" w:color="auto" w:fill="auto"/>
            <w:vAlign w:val="center"/>
            <w:hideMark/>
          </w:tcPr>
          <w:p w14:paraId="3242EAB3" w14:textId="77777777" w:rsidR="006C5EB3" w:rsidRPr="00434405" w:rsidRDefault="006C5EB3" w:rsidP="00135CF7">
            <w:pPr>
              <w:spacing w:after="0" w:line="240" w:lineRule="auto"/>
              <w:jc w:val="center"/>
              <w:rPr>
                <w:rFonts w:ascii="Times New Roman" w:hAnsi="Times New Roman" w:cs="Times New Roman"/>
                <w:color w:val="000000"/>
                <w:sz w:val="24"/>
                <w:szCs w:val="24"/>
              </w:rPr>
            </w:pPr>
            <w:r w:rsidRPr="00434405">
              <w:rPr>
                <w:rFonts w:ascii="Times New Roman" w:hAnsi="Times New Roman" w:cs="Times New Roman"/>
                <w:color w:val="000000"/>
                <w:sz w:val="24"/>
                <w:szCs w:val="24"/>
              </w:rPr>
              <w:t>2</w:t>
            </w:r>
          </w:p>
        </w:tc>
        <w:tc>
          <w:tcPr>
            <w:tcW w:w="1209" w:type="pct"/>
            <w:tcBorders>
              <w:top w:val="nil"/>
              <w:left w:val="nil"/>
              <w:bottom w:val="nil"/>
              <w:right w:val="nil"/>
            </w:tcBorders>
            <w:shd w:val="clear" w:color="auto" w:fill="auto"/>
            <w:vAlign w:val="center"/>
            <w:hideMark/>
          </w:tcPr>
          <w:p w14:paraId="4C32AA12" w14:textId="77777777" w:rsidR="006C5EB3" w:rsidRPr="00434405" w:rsidRDefault="006C5EB3" w:rsidP="00135CF7">
            <w:pPr>
              <w:spacing w:after="0" w:line="240" w:lineRule="auto"/>
              <w:jc w:val="center"/>
              <w:rPr>
                <w:rFonts w:ascii="Times New Roman" w:hAnsi="Times New Roman" w:cs="Times New Roman"/>
                <w:color w:val="000000"/>
                <w:sz w:val="24"/>
                <w:szCs w:val="24"/>
              </w:rPr>
            </w:pPr>
            <w:r w:rsidRPr="00434405">
              <w:rPr>
                <w:rFonts w:ascii="Times New Roman" w:hAnsi="Times New Roman" w:cs="Times New Roman"/>
                <w:color w:val="000000"/>
                <w:sz w:val="24"/>
                <w:szCs w:val="24"/>
              </w:rPr>
              <w:t>45</w:t>
            </w:r>
          </w:p>
        </w:tc>
        <w:tc>
          <w:tcPr>
            <w:tcW w:w="1010" w:type="pct"/>
            <w:tcBorders>
              <w:top w:val="nil"/>
              <w:left w:val="nil"/>
              <w:bottom w:val="nil"/>
              <w:right w:val="nil"/>
            </w:tcBorders>
            <w:shd w:val="clear" w:color="auto" w:fill="auto"/>
            <w:vAlign w:val="center"/>
            <w:hideMark/>
          </w:tcPr>
          <w:p w14:paraId="4EB35499" w14:textId="77777777" w:rsidR="006C5EB3" w:rsidRPr="00434405" w:rsidRDefault="006C5EB3" w:rsidP="00135CF7">
            <w:pPr>
              <w:spacing w:after="0" w:line="240" w:lineRule="auto"/>
              <w:jc w:val="center"/>
              <w:rPr>
                <w:rFonts w:ascii="Times New Roman" w:hAnsi="Times New Roman" w:cs="Times New Roman"/>
                <w:color w:val="000000"/>
                <w:sz w:val="24"/>
                <w:szCs w:val="24"/>
              </w:rPr>
            </w:pPr>
            <w:r w:rsidRPr="00434405">
              <w:rPr>
                <w:rFonts w:ascii="Times New Roman" w:hAnsi="Times New Roman" w:cs="Times New Roman"/>
                <w:color w:val="000000"/>
                <w:sz w:val="24"/>
                <w:szCs w:val="24"/>
              </w:rPr>
              <w:t>47</w:t>
            </w:r>
          </w:p>
        </w:tc>
      </w:tr>
      <w:tr w:rsidR="006C5EB3" w:rsidRPr="00434405" w14:paraId="7723CC89" w14:textId="77777777" w:rsidTr="00135CF7">
        <w:trPr>
          <w:trHeight w:val="263"/>
        </w:trPr>
        <w:tc>
          <w:tcPr>
            <w:tcW w:w="1826" w:type="pct"/>
            <w:tcBorders>
              <w:top w:val="nil"/>
              <w:left w:val="nil"/>
              <w:bottom w:val="nil"/>
              <w:right w:val="nil"/>
            </w:tcBorders>
            <w:shd w:val="clear" w:color="auto" w:fill="auto"/>
            <w:vAlign w:val="center"/>
            <w:hideMark/>
          </w:tcPr>
          <w:p w14:paraId="21AE08F6" w14:textId="77777777" w:rsidR="006C5EB3" w:rsidRPr="00434405" w:rsidRDefault="006C5EB3" w:rsidP="00135CF7">
            <w:pPr>
              <w:spacing w:after="0" w:line="240" w:lineRule="auto"/>
              <w:rPr>
                <w:rFonts w:ascii="Times New Roman" w:hAnsi="Times New Roman" w:cs="Times New Roman"/>
                <w:color w:val="000000"/>
                <w:sz w:val="24"/>
                <w:szCs w:val="24"/>
              </w:rPr>
            </w:pPr>
            <w:r w:rsidRPr="00434405">
              <w:rPr>
                <w:rFonts w:ascii="Times New Roman" w:hAnsi="Times New Roman" w:cs="Times New Roman"/>
                <w:color w:val="000000"/>
                <w:sz w:val="24"/>
                <w:szCs w:val="24"/>
              </w:rPr>
              <w:t xml:space="preserve">Non-cases </w:t>
            </w:r>
          </w:p>
        </w:tc>
        <w:tc>
          <w:tcPr>
            <w:tcW w:w="955" w:type="pct"/>
            <w:tcBorders>
              <w:top w:val="nil"/>
              <w:left w:val="nil"/>
              <w:bottom w:val="nil"/>
              <w:right w:val="nil"/>
            </w:tcBorders>
            <w:shd w:val="clear" w:color="auto" w:fill="auto"/>
            <w:vAlign w:val="center"/>
            <w:hideMark/>
          </w:tcPr>
          <w:p w14:paraId="2C9A8C53" w14:textId="77777777" w:rsidR="006C5EB3" w:rsidRPr="00434405" w:rsidRDefault="006C5EB3" w:rsidP="00135CF7">
            <w:pPr>
              <w:spacing w:after="0" w:line="240" w:lineRule="auto"/>
              <w:jc w:val="center"/>
              <w:rPr>
                <w:rFonts w:ascii="Times New Roman" w:hAnsi="Times New Roman" w:cs="Times New Roman"/>
                <w:color w:val="000000"/>
                <w:sz w:val="24"/>
                <w:szCs w:val="24"/>
              </w:rPr>
            </w:pPr>
            <w:r w:rsidRPr="00434405">
              <w:rPr>
                <w:rFonts w:ascii="Times New Roman" w:hAnsi="Times New Roman" w:cs="Times New Roman"/>
                <w:color w:val="000000"/>
                <w:sz w:val="24"/>
                <w:szCs w:val="24"/>
              </w:rPr>
              <w:t>0</w:t>
            </w:r>
          </w:p>
        </w:tc>
        <w:tc>
          <w:tcPr>
            <w:tcW w:w="1209" w:type="pct"/>
            <w:tcBorders>
              <w:top w:val="nil"/>
              <w:left w:val="nil"/>
              <w:bottom w:val="nil"/>
              <w:right w:val="nil"/>
            </w:tcBorders>
            <w:shd w:val="clear" w:color="auto" w:fill="auto"/>
            <w:vAlign w:val="center"/>
            <w:hideMark/>
          </w:tcPr>
          <w:p w14:paraId="40062684" w14:textId="77777777" w:rsidR="006C5EB3" w:rsidRPr="00434405" w:rsidRDefault="006C5EB3" w:rsidP="00135CF7">
            <w:pPr>
              <w:spacing w:after="0" w:line="240" w:lineRule="auto"/>
              <w:jc w:val="center"/>
              <w:rPr>
                <w:rFonts w:ascii="Times New Roman" w:hAnsi="Times New Roman" w:cs="Times New Roman"/>
                <w:color w:val="000000"/>
                <w:sz w:val="24"/>
                <w:szCs w:val="24"/>
              </w:rPr>
            </w:pPr>
            <w:r w:rsidRPr="00434405">
              <w:rPr>
                <w:rFonts w:ascii="Times New Roman" w:hAnsi="Times New Roman" w:cs="Times New Roman"/>
                <w:color w:val="000000"/>
                <w:sz w:val="24"/>
                <w:szCs w:val="24"/>
              </w:rPr>
              <w:t>47</w:t>
            </w:r>
          </w:p>
        </w:tc>
        <w:tc>
          <w:tcPr>
            <w:tcW w:w="1010" w:type="pct"/>
            <w:tcBorders>
              <w:top w:val="nil"/>
              <w:left w:val="nil"/>
              <w:bottom w:val="nil"/>
              <w:right w:val="nil"/>
            </w:tcBorders>
            <w:shd w:val="clear" w:color="auto" w:fill="auto"/>
            <w:vAlign w:val="center"/>
            <w:hideMark/>
          </w:tcPr>
          <w:p w14:paraId="4700720A" w14:textId="77777777" w:rsidR="006C5EB3" w:rsidRPr="00434405" w:rsidRDefault="006C5EB3" w:rsidP="00135CF7">
            <w:pPr>
              <w:spacing w:after="0" w:line="240" w:lineRule="auto"/>
              <w:jc w:val="center"/>
              <w:rPr>
                <w:rFonts w:ascii="Times New Roman" w:hAnsi="Times New Roman" w:cs="Times New Roman"/>
                <w:color w:val="000000"/>
                <w:sz w:val="24"/>
                <w:szCs w:val="24"/>
              </w:rPr>
            </w:pPr>
            <w:r w:rsidRPr="00434405">
              <w:rPr>
                <w:rFonts w:ascii="Times New Roman" w:hAnsi="Times New Roman" w:cs="Times New Roman"/>
                <w:color w:val="000000"/>
                <w:sz w:val="24"/>
                <w:szCs w:val="24"/>
              </w:rPr>
              <w:t>47</w:t>
            </w:r>
          </w:p>
        </w:tc>
      </w:tr>
      <w:tr w:rsidR="006C5EB3" w:rsidRPr="00434405" w14:paraId="3DE4B7FB" w14:textId="77777777" w:rsidTr="00135CF7">
        <w:trPr>
          <w:trHeight w:val="263"/>
        </w:trPr>
        <w:tc>
          <w:tcPr>
            <w:tcW w:w="1826" w:type="pct"/>
            <w:tcBorders>
              <w:top w:val="nil"/>
              <w:left w:val="nil"/>
              <w:bottom w:val="nil"/>
              <w:right w:val="nil"/>
            </w:tcBorders>
            <w:shd w:val="clear" w:color="auto" w:fill="auto"/>
            <w:vAlign w:val="center"/>
            <w:hideMark/>
          </w:tcPr>
          <w:p w14:paraId="336A9AFB" w14:textId="77777777" w:rsidR="006C5EB3" w:rsidRPr="00434405" w:rsidRDefault="006C5EB3" w:rsidP="00135CF7">
            <w:pPr>
              <w:spacing w:after="0" w:line="240" w:lineRule="auto"/>
              <w:rPr>
                <w:rFonts w:ascii="Times New Roman" w:hAnsi="Times New Roman" w:cs="Times New Roman"/>
                <w:color w:val="000000"/>
                <w:sz w:val="24"/>
                <w:szCs w:val="24"/>
              </w:rPr>
            </w:pPr>
            <w:r w:rsidRPr="00434405">
              <w:rPr>
                <w:rFonts w:ascii="Times New Roman" w:hAnsi="Times New Roman" w:cs="Times New Roman"/>
                <w:color w:val="000000"/>
                <w:sz w:val="24"/>
                <w:szCs w:val="24"/>
              </w:rPr>
              <w:t xml:space="preserve">Total </w:t>
            </w:r>
          </w:p>
        </w:tc>
        <w:tc>
          <w:tcPr>
            <w:tcW w:w="955" w:type="pct"/>
            <w:tcBorders>
              <w:top w:val="nil"/>
              <w:left w:val="nil"/>
              <w:bottom w:val="nil"/>
              <w:right w:val="nil"/>
            </w:tcBorders>
            <w:shd w:val="clear" w:color="auto" w:fill="auto"/>
            <w:vAlign w:val="center"/>
            <w:hideMark/>
          </w:tcPr>
          <w:p w14:paraId="1BC868BA" w14:textId="77777777" w:rsidR="006C5EB3" w:rsidRPr="00434405" w:rsidRDefault="006C5EB3" w:rsidP="00135CF7">
            <w:pPr>
              <w:spacing w:after="0" w:line="240" w:lineRule="auto"/>
              <w:jc w:val="center"/>
              <w:rPr>
                <w:rFonts w:ascii="Times New Roman" w:hAnsi="Times New Roman" w:cs="Times New Roman"/>
                <w:color w:val="000000"/>
                <w:sz w:val="24"/>
                <w:szCs w:val="24"/>
              </w:rPr>
            </w:pPr>
            <w:r w:rsidRPr="00434405">
              <w:rPr>
                <w:rFonts w:ascii="Times New Roman" w:hAnsi="Times New Roman" w:cs="Times New Roman"/>
                <w:color w:val="000000"/>
                <w:sz w:val="24"/>
                <w:szCs w:val="24"/>
              </w:rPr>
              <w:t>2</w:t>
            </w:r>
          </w:p>
        </w:tc>
        <w:tc>
          <w:tcPr>
            <w:tcW w:w="1209" w:type="pct"/>
            <w:tcBorders>
              <w:top w:val="nil"/>
              <w:left w:val="nil"/>
              <w:bottom w:val="nil"/>
              <w:right w:val="nil"/>
            </w:tcBorders>
            <w:shd w:val="clear" w:color="auto" w:fill="auto"/>
            <w:vAlign w:val="center"/>
            <w:hideMark/>
          </w:tcPr>
          <w:p w14:paraId="72665D5E" w14:textId="77777777" w:rsidR="006C5EB3" w:rsidRPr="00434405" w:rsidRDefault="006C5EB3" w:rsidP="00135CF7">
            <w:pPr>
              <w:spacing w:after="0" w:line="240" w:lineRule="auto"/>
              <w:jc w:val="center"/>
              <w:rPr>
                <w:rFonts w:ascii="Times New Roman" w:hAnsi="Times New Roman" w:cs="Times New Roman"/>
                <w:color w:val="000000"/>
                <w:sz w:val="24"/>
                <w:szCs w:val="24"/>
              </w:rPr>
            </w:pPr>
            <w:r w:rsidRPr="00434405">
              <w:rPr>
                <w:rFonts w:ascii="Times New Roman" w:hAnsi="Times New Roman" w:cs="Times New Roman"/>
                <w:color w:val="000000"/>
                <w:sz w:val="24"/>
                <w:szCs w:val="24"/>
              </w:rPr>
              <w:t>92</w:t>
            </w:r>
          </w:p>
        </w:tc>
        <w:tc>
          <w:tcPr>
            <w:tcW w:w="1010" w:type="pct"/>
            <w:tcBorders>
              <w:top w:val="nil"/>
              <w:left w:val="nil"/>
              <w:bottom w:val="nil"/>
              <w:right w:val="nil"/>
            </w:tcBorders>
            <w:shd w:val="clear" w:color="auto" w:fill="auto"/>
            <w:vAlign w:val="center"/>
            <w:hideMark/>
          </w:tcPr>
          <w:p w14:paraId="5C18C905" w14:textId="77777777" w:rsidR="006C5EB3" w:rsidRPr="00434405" w:rsidRDefault="006C5EB3" w:rsidP="00135CF7">
            <w:pPr>
              <w:spacing w:after="0" w:line="240" w:lineRule="auto"/>
              <w:jc w:val="center"/>
              <w:rPr>
                <w:rFonts w:ascii="Times New Roman" w:hAnsi="Times New Roman" w:cs="Times New Roman"/>
                <w:color w:val="000000"/>
                <w:sz w:val="24"/>
                <w:szCs w:val="24"/>
              </w:rPr>
            </w:pPr>
            <w:r w:rsidRPr="00434405">
              <w:rPr>
                <w:rFonts w:ascii="Times New Roman" w:hAnsi="Times New Roman" w:cs="Times New Roman"/>
                <w:color w:val="000000"/>
                <w:sz w:val="24"/>
                <w:szCs w:val="24"/>
              </w:rPr>
              <w:t>94</w:t>
            </w:r>
          </w:p>
        </w:tc>
      </w:tr>
      <w:tr w:rsidR="006C5EB3" w:rsidRPr="00434405" w14:paraId="23C04CA8" w14:textId="77777777" w:rsidTr="00135CF7">
        <w:trPr>
          <w:trHeight w:val="272"/>
        </w:trPr>
        <w:tc>
          <w:tcPr>
            <w:tcW w:w="1826" w:type="pct"/>
            <w:tcBorders>
              <w:top w:val="nil"/>
              <w:left w:val="nil"/>
              <w:bottom w:val="single" w:sz="8" w:space="0" w:color="auto"/>
              <w:right w:val="nil"/>
            </w:tcBorders>
            <w:shd w:val="clear" w:color="auto" w:fill="auto"/>
            <w:vAlign w:val="center"/>
            <w:hideMark/>
          </w:tcPr>
          <w:p w14:paraId="0A72F8FF" w14:textId="77777777" w:rsidR="006C5EB3" w:rsidRPr="00434405" w:rsidRDefault="006C5EB3" w:rsidP="00135CF7">
            <w:pPr>
              <w:spacing w:after="0" w:line="240" w:lineRule="auto"/>
              <w:rPr>
                <w:rFonts w:ascii="Times New Roman" w:hAnsi="Times New Roman" w:cs="Times New Roman"/>
                <w:color w:val="000000"/>
                <w:sz w:val="24"/>
                <w:szCs w:val="24"/>
              </w:rPr>
            </w:pPr>
            <w:r w:rsidRPr="00434405">
              <w:rPr>
                <w:rFonts w:ascii="Times New Roman" w:hAnsi="Times New Roman" w:cs="Times New Roman"/>
                <w:color w:val="000000"/>
                <w:sz w:val="24"/>
                <w:szCs w:val="24"/>
              </w:rPr>
              <w:t xml:space="preserve">Risk </w:t>
            </w:r>
          </w:p>
        </w:tc>
        <w:tc>
          <w:tcPr>
            <w:tcW w:w="955" w:type="pct"/>
            <w:tcBorders>
              <w:top w:val="nil"/>
              <w:left w:val="nil"/>
              <w:bottom w:val="single" w:sz="8" w:space="0" w:color="auto"/>
              <w:right w:val="nil"/>
            </w:tcBorders>
            <w:shd w:val="clear" w:color="auto" w:fill="auto"/>
            <w:vAlign w:val="center"/>
            <w:hideMark/>
          </w:tcPr>
          <w:p w14:paraId="77C6F5D2" w14:textId="77777777" w:rsidR="006C5EB3" w:rsidRPr="00434405" w:rsidRDefault="006C5EB3" w:rsidP="00135CF7">
            <w:pPr>
              <w:spacing w:after="0" w:line="240" w:lineRule="auto"/>
              <w:jc w:val="center"/>
              <w:rPr>
                <w:rFonts w:ascii="Times New Roman" w:hAnsi="Times New Roman" w:cs="Times New Roman"/>
                <w:color w:val="000000"/>
                <w:sz w:val="24"/>
                <w:szCs w:val="24"/>
              </w:rPr>
            </w:pPr>
            <w:r w:rsidRPr="00434405">
              <w:rPr>
                <w:rFonts w:ascii="Times New Roman" w:hAnsi="Times New Roman" w:cs="Times New Roman"/>
                <w:color w:val="000000"/>
                <w:sz w:val="24"/>
                <w:szCs w:val="24"/>
              </w:rPr>
              <w:t>1</w:t>
            </w:r>
          </w:p>
        </w:tc>
        <w:tc>
          <w:tcPr>
            <w:tcW w:w="1209" w:type="pct"/>
            <w:tcBorders>
              <w:top w:val="nil"/>
              <w:left w:val="nil"/>
              <w:bottom w:val="single" w:sz="8" w:space="0" w:color="auto"/>
              <w:right w:val="nil"/>
            </w:tcBorders>
            <w:shd w:val="clear" w:color="auto" w:fill="auto"/>
            <w:vAlign w:val="center"/>
            <w:hideMark/>
          </w:tcPr>
          <w:p w14:paraId="26D1796B" w14:textId="77777777" w:rsidR="006C5EB3" w:rsidRPr="00434405" w:rsidRDefault="006C5EB3" w:rsidP="00135CF7">
            <w:pPr>
              <w:spacing w:after="0" w:line="240" w:lineRule="auto"/>
              <w:jc w:val="center"/>
              <w:rPr>
                <w:rFonts w:ascii="Times New Roman" w:hAnsi="Times New Roman" w:cs="Times New Roman"/>
                <w:color w:val="000000"/>
                <w:sz w:val="24"/>
                <w:szCs w:val="24"/>
              </w:rPr>
            </w:pPr>
            <w:r w:rsidRPr="00434405">
              <w:rPr>
                <w:rFonts w:ascii="Times New Roman" w:hAnsi="Times New Roman" w:cs="Times New Roman"/>
                <w:color w:val="000000"/>
                <w:sz w:val="24"/>
                <w:szCs w:val="24"/>
              </w:rPr>
              <w:t>0.489</w:t>
            </w:r>
          </w:p>
        </w:tc>
        <w:tc>
          <w:tcPr>
            <w:tcW w:w="1010" w:type="pct"/>
            <w:tcBorders>
              <w:top w:val="nil"/>
              <w:left w:val="nil"/>
              <w:bottom w:val="single" w:sz="8" w:space="0" w:color="auto"/>
              <w:right w:val="nil"/>
            </w:tcBorders>
            <w:shd w:val="clear" w:color="auto" w:fill="auto"/>
            <w:vAlign w:val="center"/>
            <w:hideMark/>
          </w:tcPr>
          <w:p w14:paraId="4D2BC8B9" w14:textId="77777777" w:rsidR="006C5EB3" w:rsidRPr="00434405" w:rsidRDefault="006C5EB3" w:rsidP="00135CF7">
            <w:pPr>
              <w:spacing w:after="0" w:line="240" w:lineRule="auto"/>
              <w:jc w:val="center"/>
              <w:rPr>
                <w:rFonts w:ascii="Times New Roman" w:hAnsi="Times New Roman" w:cs="Times New Roman"/>
                <w:color w:val="000000"/>
                <w:sz w:val="24"/>
                <w:szCs w:val="24"/>
              </w:rPr>
            </w:pPr>
            <w:r w:rsidRPr="00434405">
              <w:rPr>
                <w:rFonts w:ascii="Times New Roman" w:hAnsi="Times New Roman" w:cs="Times New Roman"/>
                <w:color w:val="000000"/>
                <w:sz w:val="24"/>
                <w:szCs w:val="24"/>
              </w:rPr>
              <w:t>0.5</w:t>
            </w:r>
          </w:p>
        </w:tc>
      </w:tr>
      <w:tr w:rsidR="006C5EB3" w:rsidRPr="00434405" w14:paraId="7901627B" w14:textId="77777777" w:rsidTr="00135CF7">
        <w:trPr>
          <w:trHeight w:val="254"/>
        </w:trPr>
        <w:tc>
          <w:tcPr>
            <w:tcW w:w="1826" w:type="pct"/>
            <w:tcBorders>
              <w:top w:val="nil"/>
              <w:left w:val="nil"/>
              <w:bottom w:val="nil"/>
              <w:right w:val="nil"/>
            </w:tcBorders>
            <w:shd w:val="clear" w:color="auto" w:fill="auto"/>
            <w:vAlign w:val="center"/>
            <w:hideMark/>
          </w:tcPr>
          <w:p w14:paraId="23498EA4" w14:textId="77777777" w:rsidR="006C5EB3" w:rsidRPr="00434405" w:rsidRDefault="006C5EB3" w:rsidP="00135CF7">
            <w:pPr>
              <w:spacing w:after="0" w:line="240" w:lineRule="auto"/>
              <w:rPr>
                <w:rFonts w:ascii="Times New Roman" w:hAnsi="Times New Roman" w:cs="Times New Roman"/>
                <w:color w:val="000000"/>
                <w:sz w:val="24"/>
                <w:szCs w:val="24"/>
              </w:rPr>
            </w:pPr>
            <w:r w:rsidRPr="00434405">
              <w:rPr>
                <w:rFonts w:ascii="Times New Roman" w:hAnsi="Times New Roman" w:cs="Times New Roman"/>
                <w:color w:val="000000"/>
                <w:sz w:val="24"/>
                <w:szCs w:val="24"/>
              </w:rPr>
              <w:t> </w:t>
            </w:r>
          </w:p>
        </w:tc>
        <w:tc>
          <w:tcPr>
            <w:tcW w:w="3174" w:type="pct"/>
            <w:gridSpan w:val="3"/>
            <w:tcBorders>
              <w:top w:val="single" w:sz="8" w:space="0" w:color="auto"/>
              <w:left w:val="nil"/>
              <w:bottom w:val="nil"/>
              <w:right w:val="nil"/>
            </w:tcBorders>
            <w:shd w:val="clear" w:color="auto" w:fill="auto"/>
            <w:vAlign w:val="center"/>
            <w:hideMark/>
          </w:tcPr>
          <w:p w14:paraId="57F1F99A" w14:textId="77777777" w:rsidR="006C5EB3" w:rsidRPr="00434405" w:rsidRDefault="006C5EB3" w:rsidP="00135CF7">
            <w:pPr>
              <w:spacing w:after="0" w:line="240" w:lineRule="auto"/>
              <w:jc w:val="center"/>
              <w:rPr>
                <w:rFonts w:ascii="Times New Roman" w:hAnsi="Times New Roman" w:cs="Times New Roman"/>
                <w:b/>
                <w:bCs/>
                <w:color w:val="000000"/>
                <w:sz w:val="24"/>
                <w:szCs w:val="24"/>
              </w:rPr>
            </w:pPr>
            <w:r w:rsidRPr="00434405">
              <w:rPr>
                <w:rFonts w:ascii="Times New Roman" w:hAnsi="Times New Roman" w:cs="Times New Roman"/>
                <w:b/>
                <w:bCs/>
                <w:color w:val="000000"/>
                <w:sz w:val="24"/>
                <w:szCs w:val="24"/>
              </w:rPr>
              <w:t>Point estimate [95% conf. interval]</w:t>
            </w:r>
          </w:p>
        </w:tc>
      </w:tr>
      <w:tr w:rsidR="006C5EB3" w:rsidRPr="00434405" w14:paraId="7ACD99DD" w14:textId="77777777" w:rsidTr="00135CF7">
        <w:trPr>
          <w:trHeight w:val="272"/>
        </w:trPr>
        <w:tc>
          <w:tcPr>
            <w:tcW w:w="1826" w:type="pct"/>
            <w:tcBorders>
              <w:top w:val="nil"/>
              <w:left w:val="nil"/>
              <w:bottom w:val="single" w:sz="8" w:space="0" w:color="auto"/>
              <w:right w:val="nil"/>
            </w:tcBorders>
            <w:shd w:val="clear" w:color="auto" w:fill="auto"/>
            <w:vAlign w:val="center"/>
            <w:hideMark/>
          </w:tcPr>
          <w:p w14:paraId="452C0B35" w14:textId="77777777" w:rsidR="006C5EB3" w:rsidRPr="00434405" w:rsidRDefault="006C5EB3" w:rsidP="00135CF7">
            <w:pPr>
              <w:spacing w:after="0" w:line="240" w:lineRule="auto"/>
              <w:rPr>
                <w:rFonts w:ascii="Times New Roman" w:hAnsi="Times New Roman" w:cs="Times New Roman"/>
                <w:color w:val="000000"/>
                <w:sz w:val="24"/>
                <w:szCs w:val="24"/>
              </w:rPr>
            </w:pPr>
            <w:r w:rsidRPr="00434405">
              <w:rPr>
                <w:rFonts w:ascii="Times New Roman" w:hAnsi="Times New Roman" w:cs="Times New Roman"/>
                <w:color w:val="000000"/>
                <w:sz w:val="24"/>
                <w:szCs w:val="24"/>
              </w:rPr>
              <w:t> </w:t>
            </w:r>
          </w:p>
        </w:tc>
        <w:tc>
          <w:tcPr>
            <w:tcW w:w="955" w:type="pct"/>
            <w:tcBorders>
              <w:top w:val="nil"/>
              <w:left w:val="nil"/>
              <w:bottom w:val="single" w:sz="8" w:space="0" w:color="auto"/>
              <w:right w:val="nil"/>
            </w:tcBorders>
            <w:shd w:val="clear" w:color="auto" w:fill="auto"/>
            <w:vAlign w:val="center"/>
            <w:hideMark/>
          </w:tcPr>
          <w:p w14:paraId="45B6DA47" w14:textId="77777777" w:rsidR="006C5EB3" w:rsidRPr="00434405" w:rsidRDefault="006C5EB3" w:rsidP="00135CF7">
            <w:pPr>
              <w:spacing w:after="0" w:line="240" w:lineRule="auto"/>
              <w:rPr>
                <w:rFonts w:ascii="Times New Roman" w:hAnsi="Times New Roman" w:cs="Times New Roman"/>
                <w:color w:val="000000"/>
                <w:sz w:val="24"/>
                <w:szCs w:val="24"/>
              </w:rPr>
            </w:pPr>
            <w:r w:rsidRPr="00434405">
              <w:rPr>
                <w:rFonts w:ascii="Times New Roman" w:hAnsi="Times New Roman" w:cs="Times New Roman"/>
                <w:color w:val="000000"/>
                <w:sz w:val="24"/>
                <w:szCs w:val="24"/>
              </w:rPr>
              <w:t> </w:t>
            </w:r>
          </w:p>
        </w:tc>
        <w:tc>
          <w:tcPr>
            <w:tcW w:w="1209" w:type="pct"/>
            <w:tcBorders>
              <w:top w:val="nil"/>
              <w:left w:val="nil"/>
              <w:bottom w:val="single" w:sz="8" w:space="0" w:color="auto"/>
              <w:right w:val="nil"/>
            </w:tcBorders>
            <w:shd w:val="clear" w:color="auto" w:fill="auto"/>
            <w:vAlign w:val="center"/>
            <w:hideMark/>
          </w:tcPr>
          <w:p w14:paraId="12E0B076" w14:textId="77777777" w:rsidR="006C5EB3" w:rsidRPr="00434405" w:rsidRDefault="006C5EB3" w:rsidP="00135CF7">
            <w:pPr>
              <w:spacing w:after="0" w:line="240" w:lineRule="auto"/>
              <w:rPr>
                <w:rFonts w:ascii="Times New Roman" w:hAnsi="Times New Roman" w:cs="Times New Roman"/>
                <w:b/>
                <w:bCs/>
                <w:color w:val="000000"/>
                <w:sz w:val="24"/>
                <w:szCs w:val="24"/>
              </w:rPr>
            </w:pPr>
            <w:r w:rsidRPr="00434405">
              <w:rPr>
                <w:rFonts w:ascii="Times New Roman" w:hAnsi="Times New Roman" w:cs="Times New Roman"/>
                <w:b/>
                <w:bCs/>
                <w:color w:val="000000"/>
                <w:sz w:val="24"/>
                <w:szCs w:val="24"/>
              </w:rPr>
              <w:t>Lower</w:t>
            </w:r>
          </w:p>
        </w:tc>
        <w:tc>
          <w:tcPr>
            <w:tcW w:w="1010" w:type="pct"/>
            <w:tcBorders>
              <w:top w:val="nil"/>
              <w:left w:val="nil"/>
              <w:bottom w:val="single" w:sz="8" w:space="0" w:color="auto"/>
              <w:right w:val="nil"/>
            </w:tcBorders>
            <w:shd w:val="clear" w:color="auto" w:fill="auto"/>
            <w:vAlign w:val="center"/>
            <w:hideMark/>
          </w:tcPr>
          <w:p w14:paraId="50DE4A1A" w14:textId="77777777" w:rsidR="006C5EB3" w:rsidRPr="00434405" w:rsidRDefault="006C5EB3" w:rsidP="00135CF7">
            <w:pPr>
              <w:spacing w:after="0" w:line="240" w:lineRule="auto"/>
              <w:rPr>
                <w:rFonts w:ascii="Times New Roman" w:hAnsi="Times New Roman" w:cs="Times New Roman"/>
                <w:b/>
                <w:bCs/>
                <w:color w:val="000000"/>
                <w:sz w:val="24"/>
                <w:szCs w:val="24"/>
              </w:rPr>
            </w:pPr>
            <w:r w:rsidRPr="00434405">
              <w:rPr>
                <w:rFonts w:ascii="Times New Roman" w:hAnsi="Times New Roman" w:cs="Times New Roman"/>
                <w:b/>
                <w:bCs/>
                <w:color w:val="000000"/>
                <w:sz w:val="24"/>
                <w:szCs w:val="24"/>
              </w:rPr>
              <w:t>Upper</w:t>
            </w:r>
          </w:p>
        </w:tc>
      </w:tr>
      <w:tr w:rsidR="006C5EB3" w:rsidRPr="00434405" w14:paraId="3C8A5221" w14:textId="77777777" w:rsidTr="00135CF7">
        <w:trPr>
          <w:trHeight w:val="263"/>
        </w:trPr>
        <w:tc>
          <w:tcPr>
            <w:tcW w:w="1826" w:type="pct"/>
            <w:tcBorders>
              <w:top w:val="nil"/>
              <w:left w:val="nil"/>
              <w:bottom w:val="nil"/>
              <w:right w:val="nil"/>
            </w:tcBorders>
            <w:shd w:val="clear" w:color="auto" w:fill="auto"/>
            <w:vAlign w:val="center"/>
            <w:hideMark/>
          </w:tcPr>
          <w:p w14:paraId="3C94ABFF" w14:textId="77777777" w:rsidR="006C5EB3" w:rsidRPr="00434405" w:rsidRDefault="006C5EB3" w:rsidP="00135CF7">
            <w:pPr>
              <w:spacing w:after="0" w:line="240" w:lineRule="auto"/>
              <w:rPr>
                <w:rFonts w:ascii="Times New Roman" w:hAnsi="Times New Roman" w:cs="Times New Roman"/>
                <w:color w:val="000000"/>
                <w:sz w:val="24"/>
                <w:szCs w:val="24"/>
              </w:rPr>
            </w:pPr>
            <w:r w:rsidRPr="00434405">
              <w:rPr>
                <w:rFonts w:ascii="Times New Roman" w:hAnsi="Times New Roman" w:cs="Times New Roman"/>
                <w:color w:val="000000"/>
                <w:sz w:val="24"/>
                <w:szCs w:val="24"/>
              </w:rPr>
              <w:t xml:space="preserve">Risk difference </w:t>
            </w:r>
          </w:p>
        </w:tc>
        <w:tc>
          <w:tcPr>
            <w:tcW w:w="955" w:type="pct"/>
            <w:tcBorders>
              <w:top w:val="nil"/>
              <w:left w:val="nil"/>
              <w:bottom w:val="nil"/>
              <w:right w:val="nil"/>
            </w:tcBorders>
            <w:shd w:val="clear" w:color="auto" w:fill="auto"/>
            <w:vAlign w:val="center"/>
            <w:hideMark/>
          </w:tcPr>
          <w:p w14:paraId="2E972117" w14:textId="77777777" w:rsidR="006C5EB3" w:rsidRPr="00434405" w:rsidRDefault="006C5EB3" w:rsidP="00135CF7">
            <w:pPr>
              <w:spacing w:after="0" w:line="240" w:lineRule="auto"/>
              <w:jc w:val="center"/>
              <w:rPr>
                <w:rFonts w:ascii="Times New Roman" w:hAnsi="Times New Roman" w:cs="Times New Roman"/>
                <w:color w:val="000000"/>
                <w:sz w:val="24"/>
                <w:szCs w:val="24"/>
              </w:rPr>
            </w:pPr>
            <w:r w:rsidRPr="00434405">
              <w:rPr>
                <w:rFonts w:ascii="Times New Roman" w:hAnsi="Times New Roman" w:cs="Times New Roman"/>
                <w:color w:val="000000"/>
                <w:sz w:val="24"/>
                <w:szCs w:val="24"/>
              </w:rPr>
              <w:t>0.511</w:t>
            </w:r>
          </w:p>
        </w:tc>
        <w:tc>
          <w:tcPr>
            <w:tcW w:w="1209" w:type="pct"/>
            <w:tcBorders>
              <w:top w:val="nil"/>
              <w:left w:val="nil"/>
              <w:bottom w:val="nil"/>
              <w:right w:val="nil"/>
            </w:tcBorders>
            <w:shd w:val="clear" w:color="auto" w:fill="auto"/>
            <w:vAlign w:val="center"/>
            <w:hideMark/>
          </w:tcPr>
          <w:p w14:paraId="76DD45D2" w14:textId="77777777" w:rsidR="006C5EB3" w:rsidRPr="00434405" w:rsidRDefault="006C5EB3" w:rsidP="00135CF7">
            <w:pPr>
              <w:spacing w:after="0" w:line="240" w:lineRule="auto"/>
              <w:jc w:val="center"/>
              <w:rPr>
                <w:rFonts w:ascii="Times New Roman" w:hAnsi="Times New Roman" w:cs="Times New Roman"/>
                <w:color w:val="000000"/>
                <w:sz w:val="24"/>
                <w:szCs w:val="24"/>
              </w:rPr>
            </w:pPr>
            <w:r w:rsidRPr="00434405">
              <w:rPr>
                <w:rFonts w:ascii="Times New Roman" w:hAnsi="Times New Roman" w:cs="Times New Roman"/>
                <w:color w:val="000000"/>
                <w:sz w:val="24"/>
                <w:szCs w:val="24"/>
              </w:rPr>
              <w:t>0.409</w:t>
            </w:r>
          </w:p>
        </w:tc>
        <w:tc>
          <w:tcPr>
            <w:tcW w:w="1010" w:type="pct"/>
            <w:tcBorders>
              <w:top w:val="nil"/>
              <w:left w:val="nil"/>
              <w:bottom w:val="nil"/>
              <w:right w:val="nil"/>
            </w:tcBorders>
            <w:shd w:val="clear" w:color="auto" w:fill="auto"/>
            <w:vAlign w:val="center"/>
            <w:hideMark/>
          </w:tcPr>
          <w:p w14:paraId="21CC7AA8" w14:textId="77777777" w:rsidR="006C5EB3" w:rsidRPr="00434405" w:rsidRDefault="006C5EB3" w:rsidP="00135CF7">
            <w:pPr>
              <w:spacing w:after="0" w:line="240" w:lineRule="auto"/>
              <w:jc w:val="center"/>
              <w:rPr>
                <w:rFonts w:ascii="Times New Roman" w:hAnsi="Times New Roman" w:cs="Times New Roman"/>
                <w:color w:val="000000"/>
                <w:sz w:val="24"/>
                <w:szCs w:val="24"/>
              </w:rPr>
            </w:pPr>
            <w:r w:rsidRPr="00434405">
              <w:rPr>
                <w:rFonts w:ascii="Times New Roman" w:hAnsi="Times New Roman" w:cs="Times New Roman"/>
                <w:color w:val="000000"/>
                <w:sz w:val="24"/>
                <w:szCs w:val="24"/>
              </w:rPr>
              <w:t>0.613</w:t>
            </w:r>
          </w:p>
        </w:tc>
      </w:tr>
      <w:tr w:rsidR="006C5EB3" w:rsidRPr="00434405" w14:paraId="155279E1" w14:textId="77777777" w:rsidTr="00135CF7">
        <w:trPr>
          <w:trHeight w:val="263"/>
        </w:trPr>
        <w:tc>
          <w:tcPr>
            <w:tcW w:w="1826" w:type="pct"/>
            <w:tcBorders>
              <w:top w:val="nil"/>
              <w:left w:val="nil"/>
              <w:bottom w:val="nil"/>
              <w:right w:val="nil"/>
            </w:tcBorders>
            <w:shd w:val="clear" w:color="auto" w:fill="auto"/>
            <w:vAlign w:val="center"/>
            <w:hideMark/>
          </w:tcPr>
          <w:p w14:paraId="217D8053" w14:textId="77777777" w:rsidR="006C5EB3" w:rsidRPr="00434405" w:rsidRDefault="006C5EB3" w:rsidP="00135CF7">
            <w:pPr>
              <w:spacing w:after="0" w:line="240" w:lineRule="auto"/>
              <w:rPr>
                <w:rFonts w:ascii="Times New Roman" w:hAnsi="Times New Roman" w:cs="Times New Roman"/>
                <w:color w:val="000000"/>
                <w:sz w:val="24"/>
                <w:szCs w:val="24"/>
              </w:rPr>
            </w:pPr>
            <w:r w:rsidRPr="00434405">
              <w:rPr>
                <w:rFonts w:ascii="Times New Roman" w:hAnsi="Times New Roman" w:cs="Times New Roman"/>
                <w:color w:val="000000"/>
                <w:sz w:val="24"/>
                <w:szCs w:val="24"/>
              </w:rPr>
              <w:t xml:space="preserve">Risk ratio </w:t>
            </w:r>
          </w:p>
        </w:tc>
        <w:tc>
          <w:tcPr>
            <w:tcW w:w="955" w:type="pct"/>
            <w:tcBorders>
              <w:top w:val="nil"/>
              <w:left w:val="nil"/>
              <w:bottom w:val="nil"/>
              <w:right w:val="nil"/>
            </w:tcBorders>
            <w:shd w:val="clear" w:color="auto" w:fill="auto"/>
            <w:vAlign w:val="center"/>
            <w:hideMark/>
          </w:tcPr>
          <w:p w14:paraId="66B0BCCD" w14:textId="77777777" w:rsidR="006C5EB3" w:rsidRPr="00434405" w:rsidRDefault="006C5EB3" w:rsidP="00135CF7">
            <w:pPr>
              <w:spacing w:after="0" w:line="240" w:lineRule="auto"/>
              <w:jc w:val="center"/>
              <w:rPr>
                <w:rFonts w:ascii="Times New Roman" w:hAnsi="Times New Roman" w:cs="Times New Roman"/>
                <w:color w:val="000000"/>
                <w:sz w:val="24"/>
                <w:szCs w:val="24"/>
              </w:rPr>
            </w:pPr>
            <w:r w:rsidRPr="00434405">
              <w:rPr>
                <w:rFonts w:ascii="Times New Roman" w:hAnsi="Times New Roman" w:cs="Times New Roman"/>
                <w:color w:val="000000"/>
                <w:sz w:val="24"/>
                <w:szCs w:val="24"/>
              </w:rPr>
              <w:t>2.044</w:t>
            </w:r>
          </w:p>
        </w:tc>
        <w:tc>
          <w:tcPr>
            <w:tcW w:w="1209" w:type="pct"/>
            <w:tcBorders>
              <w:top w:val="nil"/>
              <w:left w:val="nil"/>
              <w:bottom w:val="nil"/>
              <w:right w:val="nil"/>
            </w:tcBorders>
            <w:shd w:val="clear" w:color="auto" w:fill="auto"/>
            <w:vAlign w:val="center"/>
            <w:hideMark/>
          </w:tcPr>
          <w:p w14:paraId="2547FDB5" w14:textId="77777777" w:rsidR="006C5EB3" w:rsidRPr="00434405" w:rsidRDefault="006C5EB3" w:rsidP="00135CF7">
            <w:pPr>
              <w:spacing w:after="0" w:line="240" w:lineRule="auto"/>
              <w:jc w:val="center"/>
              <w:rPr>
                <w:rFonts w:ascii="Times New Roman" w:hAnsi="Times New Roman" w:cs="Times New Roman"/>
                <w:color w:val="000000"/>
                <w:sz w:val="24"/>
                <w:szCs w:val="24"/>
              </w:rPr>
            </w:pPr>
            <w:r w:rsidRPr="00434405">
              <w:rPr>
                <w:rFonts w:ascii="Times New Roman" w:hAnsi="Times New Roman" w:cs="Times New Roman"/>
                <w:color w:val="000000"/>
                <w:sz w:val="24"/>
                <w:szCs w:val="24"/>
              </w:rPr>
              <w:t>1.659</w:t>
            </w:r>
          </w:p>
        </w:tc>
        <w:tc>
          <w:tcPr>
            <w:tcW w:w="1010" w:type="pct"/>
            <w:tcBorders>
              <w:top w:val="nil"/>
              <w:left w:val="nil"/>
              <w:bottom w:val="nil"/>
              <w:right w:val="nil"/>
            </w:tcBorders>
            <w:shd w:val="clear" w:color="auto" w:fill="auto"/>
            <w:vAlign w:val="center"/>
            <w:hideMark/>
          </w:tcPr>
          <w:p w14:paraId="55DCDE8C" w14:textId="77777777" w:rsidR="006C5EB3" w:rsidRPr="00434405" w:rsidRDefault="006C5EB3" w:rsidP="00135CF7">
            <w:pPr>
              <w:spacing w:after="0" w:line="240" w:lineRule="auto"/>
              <w:jc w:val="center"/>
              <w:rPr>
                <w:rFonts w:ascii="Times New Roman" w:hAnsi="Times New Roman" w:cs="Times New Roman"/>
                <w:color w:val="000000"/>
                <w:sz w:val="24"/>
                <w:szCs w:val="24"/>
              </w:rPr>
            </w:pPr>
            <w:r w:rsidRPr="00434405">
              <w:rPr>
                <w:rFonts w:ascii="Times New Roman" w:hAnsi="Times New Roman" w:cs="Times New Roman"/>
                <w:color w:val="000000"/>
                <w:sz w:val="24"/>
                <w:szCs w:val="24"/>
              </w:rPr>
              <w:t>2.519</w:t>
            </w:r>
          </w:p>
        </w:tc>
      </w:tr>
      <w:tr w:rsidR="006C5EB3" w:rsidRPr="00434405" w14:paraId="691820BF" w14:textId="77777777" w:rsidTr="00135CF7">
        <w:trPr>
          <w:trHeight w:val="263"/>
        </w:trPr>
        <w:tc>
          <w:tcPr>
            <w:tcW w:w="1826" w:type="pct"/>
            <w:tcBorders>
              <w:top w:val="nil"/>
              <w:left w:val="nil"/>
              <w:bottom w:val="nil"/>
              <w:right w:val="nil"/>
            </w:tcBorders>
            <w:shd w:val="clear" w:color="auto" w:fill="auto"/>
            <w:vAlign w:val="center"/>
            <w:hideMark/>
          </w:tcPr>
          <w:p w14:paraId="181A5820" w14:textId="77777777" w:rsidR="006C5EB3" w:rsidRPr="00434405" w:rsidRDefault="006C5EB3" w:rsidP="00135CF7">
            <w:pPr>
              <w:spacing w:after="0" w:line="240" w:lineRule="auto"/>
              <w:rPr>
                <w:rFonts w:ascii="Times New Roman" w:hAnsi="Times New Roman" w:cs="Times New Roman"/>
                <w:color w:val="000000"/>
                <w:sz w:val="24"/>
                <w:szCs w:val="24"/>
              </w:rPr>
            </w:pPr>
            <w:proofErr w:type="spellStart"/>
            <w:r w:rsidRPr="00434405">
              <w:rPr>
                <w:rFonts w:ascii="Times New Roman" w:hAnsi="Times New Roman" w:cs="Times New Roman"/>
                <w:color w:val="000000"/>
                <w:sz w:val="24"/>
                <w:szCs w:val="24"/>
              </w:rPr>
              <w:t>Attr</w:t>
            </w:r>
            <w:proofErr w:type="spellEnd"/>
            <w:r w:rsidRPr="00434405">
              <w:rPr>
                <w:rFonts w:ascii="Times New Roman" w:hAnsi="Times New Roman" w:cs="Times New Roman"/>
                <w:color w:val="000000"/>
                <w:sz w:val="24"/>
                <w:szCs w:val="24"/>
              </w:rPr>
              <w:t>. frac. ex.</w:t>
            </w:r>
          </w:p>
        </w:tc>
        <w:tc>
          <w:tcPr>
            <w:tcW w:w="955" w:type="pct"/>
            <w:tcBorders>
              <w:top w:val="nil"/>
              <w:left w:val="nil"/>
              <w:bottom w:val="nil"/>
              <w:right w:val="nil"/>
            </w:tcBorders>
            <w:shd w:val="clear" w:color="auto" w:fill="auto"/>
            <w:vAlign w:val="center"/>
            <w:hideMark/>
          </w:tcPr>
          <w:p w14:paraId="45B37D9F" w14:textId="77777777" w:rsidR="006C5EB3" w:rsidRPr="00434405" w:rsidRDefault="006C5EB3" w:rsidP="00135CF7">
            <w:pPr>
              <w:spacing w:after="0" w:line="240" w:lineRule="auto"/>
              <w:jc w:val="center"/>
              <w:rPr>
                <w:rFonts w:ascii="Times New Roman" w:hAnsi="Times New Roman" w:cs="Times New Roman"/>
                <w:color w:val="000000"/>
                <w:sz w:val="24"/>
                <w:szCs w:val="24"/>
              </w:rPr>
            </w:pPr>
            <w:r w:rsidRPr="00434405">
              <w:rPr>
                <w:rFonts w:ascii="Times New Roman" w:hAnsi="Times New Roman" w:cs="Times New Roman"/>
                <w:color w:val="000000"/>
                <w:sz w:val="24"/>
                <w:szCs w:val="24"/>
              </w:rPr>
              <w:t>0.511</w:t>
            </w:r>
          </w:p>
        </w:tc>
        <w:tc>
          <w:tcPr>
            <w:tcW w:w="1209" w:type="pct"/>
            <w:tcBorders>
              <w:top w:val="nil"/>
              <w:left w:val="nil"/>
              <w:bottom w:val="nil"/>
              <w:right w:val="nil"/>
            </w:tcBorders>
            <w:shd w:val="clear" w:color="auto" w:fill="auto"/>
            <w:vAlign w:val="center"/>
            <w:hideMark/>
          </w:tcPr>
          <w:p w14:paraId="11E706DE" w14:textId="77777777" w:rsidR="006C5EB3" w:rsidRPr="00434405" w:rsidRDefault="006C5EB3" w:rsidP="00135CF7">
            <w:pPr>
              <w:spacing w:after="0" w:line="240" w:lineRule="auto"/>
              <w:jc w:val="center"/>
              <w:rPr>
                <w:rFonts w:ascii="Times New Roman" w:hAnsi="Times New Roman" w:cs="Times New Roman"/>
                <w:color w:val="000000"/>
                <w:sz w:val="24"/>
                <w:szCs w:val="24"/>
              </w:rPr>
            </w:pPr>
            <w:r w:rsidRPr="00434405">
              <w:rPr>
                <w:rFonts w:ascii="Times New Roman" w:hAnsi="Times New Roman" w:cs="Times New Roman"/>
                <w:color w:val="000000"/>
                <w:sz w:val="24"/>
                <w:szCs w:val="24"/>
              </w:rPr>
              <w:t>0.397</w:t>
            </w:r>
          </w:p>
        </w:tc>
        <w:tc>
          <w:tcPr>
            <w:tcW w:w="1010" w:type="pct"/>
            <w:tcBorders>
              <w:top w:val="nil"/>
              <w:left w:val="nil"/>
              <w:bottom w:val="nil"/>
              <w:right w:val="nil"/>
            </w:tcBorders>
            <w:shd w:val="clear" w:color="auto" w:fill="auto"/>
            <w:vAlign w:val="center"/>
            <w:hideMark/>
          </w:tcPr>
          <w:p w14:paraId="66FF3EC6" w14:textId="77777777" w:rsidR="006C5EB3" w:rsidRPr="00434405" w:rsidRDefault="006C5EB3" w:rsidP="00135CF7">
            <w:pPr>
              <w:spacing w:after="0" w:line="240" w:lineRule="auto"/>
              <w:jc w:val="center"/>
              <w:rPr>
                <w:rFonts w:ascii="Times New Roman" w:hAnsi="Times New Roman" w:cs="Times New Roman"/>
                <w:color w:val="000000"/>
                <w:sz w:val="24"/>
                <w:szCs w:val="24"/>
              </w:rPr>
            </w:pPr>
            <w:r w:rsidRPr="00434405">
              <w:rPr>
                <w:rFonts w:ascii="Times New Roman" w:hAnsi="Times New Roman" w:cs="Times New Roman"/>
                <w:color w:val="000000"/>
                <w:sz w:val="24"/>
                <w:szCs w:val="24"/>
              </w:rPr>
              <w:t>0.603</w:t>
            </w:r>
          </w:p>
        </w:tc>
      </w:tr>
      <w:tr w:rsidR="006C5EB3" w:rsidRPr="00434405" w14:paraId="0602B431" w14:textId="77777777" w:rsidTr="00135CF7">
        <w:trPr>
          <w:trHeight w:val="272"/>
        </w:trPr>
        <w:tc>
          <w:tcPr>
            <w:tcW w:w="1826" w:type="pct"/>
            <w:tcBorders>
              <w:top w:val="nil"/>
              <w:left w:val="nil"/>
              <w:bottom w:val="single" w:sz="8" w:space="0" w:color="auto"/>
              <w:right w:val="nil"/>
            </w:tcBorders>
            <w:shd w:val="clear" w:color="auto" w:fill="auto"/>
            <w:vAlign w:val="center"/>
            <w:hideMark/>
          </w:tcPr>
          <w:p w14:paraId="5DAD3207" w14:textId="77777777" w:rsidR="006C5EB3" w:rsidRPr="00434405" w:rsidRDefault="006C5EB3" w:rsidP="00135CF7">
            <w:pPr>
              <w:spacing w:after="0" w:line="240" w:lineRule="auto"/>
              <w:rPr>
                <w:rFonts w:ascii="Times New Roman" w:hAnsi="Times New Roman" w:cs="Times New Roman"/>
                <w:color w:val="000000"/>
                <w:sz w:val="24"/>
                <w:szCs w:val="24"/>
              </w:rPr>
            </w:pPr>
            <w:proofErr w:type="spellStart"/>
            <w:r w:rsidRPr="00434405">
              <w:rPr>
                <w:rFonts w:ascii="Times New Roman" w:hAnsi="Times New Roman" w:cs="Times New Roman"/>
                <w:color w:val="000000"/>
                <w:sz w:val="24"/>
                <w:szCs w:val="24"/>
              </w:rPr>
              <w:t>Attr</w:t>
            </w:r>
            <w:proofErr w:type="spellEnd"/>
            <w:r w:rsidRPr="00434405">
              <w:rPr>
                <w:rFonts w:ascii="Times New Roman" w:hAnsi="Times New Roman" w:cs="Times New Roman"/>
                <w:color w:val="000000"/>
                <w:sz w:val="24"/>
                <w:szCs w:val="24"/>
              </w:rPr>
              <w:t>. frac. Pop</w:t>
            </w:r>
          </w:p>
        </w:tc>
        <w:tc>
          <w:tcPr>
            <w:tcW w:w="955" w:type="pct"/>
            <w:tcBorders>
              <w:top w:val="nil"/>
              <w:left w:val="nil"/>
              <w:bottom w:val="single" w:sz="8" w:space="0" w:color="auto"/>
              <w:right w:val="nil"/>
            </w:tcBorders>
            <w:shd w:val="clear" w:color="auto" w:fill="auto"/>
            <w:vAlign w:val="center"/>
            <w:hideMark/>
          </w:tcPr>
          <w:p w14:paraId="58650CEF" w14:textId="77777777" w:rsidR="006C5EB3" w:rsidRPr="00434405" w:rsidRDefault="006C5EB3" w:rsidP="00135CF7">
            <w:pPr>
              <w:spacing w:after="0" w:line="240" w:lineRule="auto"/>
              <w:jc w:val="center"/>
              <w:rPr>
                <w:rFonts w:ascii="Times New Roman" w:hAnsi="Times New Roman" w:cs="Times New Roman"/>
                <w:color w:val="000000"/>
                <w:sz w:val="24"/>
                <w:szCs w:val="24"/>
              </w:rPr>
            </w:pPr>
            <w:r w:rsidRPr="00434405">
              <w:rPr>
                <w:rFonts w:ascii="Times New Roman" w:hAnsi="Times New Roman" w:cs="Times New Roman"/>
                <w:color w:val="000000"/>
                <w:sz w:val="24"/>
                <w:szCs w:val="24"/>
              </w:rPr>
              <w:t>0.022</w:t>
            </w:r>
          </w:p>
        </w:tc>
        <w:tc>
          <w:tcPr>
            <w:tcW w:w="1209" w:type="pct"/>
            <w:tcBorders>
              <w:top w:val="nil"/>
              <w:left w:val="nil"/>
              <w:bottom w:val="single" w:sz="8" w:space="0" w:color="auto"/>
              <w:right w:val="nil"/>
            </w:tcBorders>
            <w:shd w:val="clear" w:color="auto" w:fill="auto"/>
            <w:noWrap/>
            <w:vAlign w:val="bottom"/>
            <w:hideMark/>
          </w:tcPr>
          <w:p w14:paraId="37AE1739" w14:textId="77777777" w:rsidR="006C5EB3" w:rsidRPr="00434405" w:rsidRDefault="006C5EB3" w:rsidP="00135CF7">
            <w:pPr>
              <w:spacing w:after="0" w:line="240" w:lineRule="auto"/>
              <w:jc w:val="center"/>
              <w:rPr>
                <w:rFonts w:ascii="Times New Roman" w:hAnsi="Times New Roman" w:cs="Times New Roman"/>
                <w:color w:val="000000"/>
                <w:sz w:val="24"/>
                <w:szCs w:val="24"/>
              </w:rPr>
            </w:pPr>
            <w:r w:rsidRPr="00434405">
              <w:rPr>
                <w:rFonts w:ascii="Times New Roman" w:hAnsi="Times New Roman" w:cs="Times New Roman"/>
                <w:color w:val="000000"/>
                <w:sz w:val="24"/>
                <w:szCs w:val="24"/>
              </w:rPr>
              <w:t> </w:t>
            </w:r>
          </w:p>
        </w:tc>
        <w:tc>
          <w:tcPr>
            <w:tcW w:w="1010" w:type="pct"/>
            <w:tcBorders>
              <w:top w:val="nil"/>
              <w:left w:val="nil"/>
              <w:bottom w:val="single" w:sz="8" w:space="0" w:color="auto"/>
              <w:right w:val="nil"/>
            </w:tcBorders>
            <w:shd w:val="clear" w:color="auto" w:fill="auto"/>
            <w:noWrap/>
            <w:vAlign w:val="bottom"/>
            <w:hideMark/>
          </w:tcPr>
          <w:p w14:paraId="2CBDBCDA" w14:textId="77777777" w:rsidR="006C5EB3" w:rsidRPr="00434405" w:rsidRDefault="006C5EB3" w:rsidP="00135CF7">
            <w:pPr>
              <w:spacing w:after="0" w:line="240" w:lineRule="auto"/>
              <w:jc w:val="center"/>
              <w:rPr>
                <w:rFonts w:ascii="Times New Roman" w:hAnsi="Times New Roman" w:cs="Times New Roman"/>
                <w:color w:val="000000"/>
                <w:sz w:val="24"/>
                <w:szCs w:val="24"/>
              </w:rPr>
            </w:pPr>
            <w:r w:rsidRPr="00434405">
              <w:rPr>
                <w:rFonts w:ascii="Times New Roman" w:hAnsi="Times New Roman" w:cs="Times New Roman"/>
                <w:color w:val="000000"/>
                <w:sz w:val="24"/>
                <w:szCs w:val="24"/>
              </w:rPr>
              <w:t> </w:t>
            </w:r>
          </w:p>
        </w:tc>
      </w:tr>
      <w:tr w:rsidR="006C5EB3" w:rsidRPr="00434405" w14:paraId="6830BAB5" w14:textId="77777777" w:rsidTr="00135CF7">
        <w:trPr>
          <w:trHeight w:val="263"/>
        </w:trPr>
        <w:tc>
          <w:tcPr>
            <w:tcW w:w="3990" w:type="pct"/>
            <w:gridSpan w:val="3"/>
            <w:tcBorders>
              <w:top w:val="single" w:sz="8" w:space="0" w:color="auto"/>
              <w:left w:val="nil"/>
              <w:bottom w:val="nil"/>
              <w:right w:val="nil"/>
            </w:tcBorders>
            <w:shd w:val="clear" w:color="auto" w:fill="auto"/>
            <w:noWrap/>
            <w:vAlign w:val="bottom"/>
            <w:hideMark/>
          </w:tcPr>
          <w:p w14:paraId="30C769BC" w14:textId="77777777" w:rsidR="006C5EB3" w:rsidRPr="00434405" w:rsidRDefault="006C5EB3" w:rsidP="00135CF7">
            <w:pPr>
              <w:spacing w:after="0" w:line="240" w:lineRule="auto"/>
              <w:rPr>
                <w:rFonts w:ascii="Times New Roman" w:hAnsi="Times New Roman" w:cs="Times New Roman"/>
                <w:i/>
                <w:iCs/>
                <w:color w:val="000000"/>
                <w:sz w:val="24"/>
                <w:szCs w:val="24"/>
              </w:rPr>
            </w:pPr>
            <w:r w:rsidRPr="00434405">
              <w:rPr>
                <w:rFonts w:ascii="Times New Roman" w:hAnsi="Times New Roman" w:cs="Times New Roman"/>
                <w:i/>
                <w:iCs/>
                <w:color w:val="000000"/>
                <w:sz w:val="24"/>
                <w:szCs w:val="24"/>
              </w:rPr>
              <w:t xml:space="preserve">                                  1-sided Fisher's exact p = 0.2473</w:t>
            </w:r>
          </w:p>
        </w:tc>
        <w:tc>
          <w:tcPr>
            <w:tcW w:w="1010" w:type="pct"/>
            <w:tcBorders>
              <w:top w:val="nil"/>
              <w:left w:val="nil"/>
              <w:bottom w:val="nil"/>
              <w:right w:val="nil"/>
            </w:tcBorders>
            <w:shd w:val="clear" w:color="auto" w:fill="auto"/>
            <w:noWrap/>
            <w:vAlign w:val="bottom"/>
            <w:hideMark/>
          </w:tcPr>
          <w:p w14:paraId="6D301208" w14:textId="77777777" w:rsidR="006C5EB3" w:rsidRPr="00434405" w:rsidRDefault="006C5EB3" w:rsidP="00135CF7">
            <w:pPr>
              <w:spacing w:after="0" w:line="240" w:lineRule="auto"/>
              <w:rPr>
                <w:rFonts w:ascii="Times New Roman" w:hAnsi="Times New Roman" w:cs="Times New Roman"/>
                <w:color w:val="000000"/>
                <w:sz w:val="24"/>
                <w:szCs w:val="24"/>
              </w:rPr>
            </w:pPr>
            <w:r w:rsidRPr="00434405">
              <w:rPr>
                <w:rFonts w:ascii="Times New Roman" w:hAnsi="Times New Roman" w:cs="Times New Roman"/>
                <w:color w:val="000000"/>
                <w:sz w:val="24"/>
                <w:szCs w:val="24"/>
              </w:rPr>
              <w:t> </w:t>
            </w:r>
          </w:p>
        </w:tc>
      </w:tr>
      <w:tr w:rsidR="006C5EB3" w:rsidRPr="00434405" w14:paraId="25AF308D" w14:textId="77777777" w:rsidTr="00135CF7">
        <w:trPr>
          <w:trHeight w:val="272"/>
        </w:trPr>
        <w:tc>
          <w:tcPr>
            <w:tcW w:w="3990" w:type="pct"/>
            <w:gridSpan w:val="3"/>
            <w:tcBorders>
              <w:top w:val="nil"/>
              <w:left w:val="nil"/>
              <w:bottom w:val="single" w:sz="8" w:space="0" w:color="auto"/>
              <w:right w:val="nil"/>
            </w:tcBorders>
            <w:shd w:val="clear" w:color="auto" w:fill="auto"/>
            <w:noWrap/>
            <w:vAlign w:val="bottom"/>
            <w:hideMark/>
          </w:tcPr>
          <w:p w14:paraId="3077B10F" w14:textId="77777777" w:rsidR="006C5EB3" w:rsidRPr="00434405" w:rsidRDefault="006C5EB3" w:rsidP="00135CF7">
            <w:pPr>
              <w:spacing w:after="0" w:line="240" w:lineRule="auto"/>
              <w:rPr>
                <w:rFonts w:ascii="Times New Roman" w:hAnsi="Times New Roman" w:cs="Times New Roman"/>
                <w:i/>
                <w:iCs/>
                <w:color w:val="000000"/>
                <w:sz w:val="24"/>
                <w:szCs w:val="24"/>
              </w:rPr>
            </w:pPr>
            <w:r w:rsidRPr="00434405">
              <w:rPr>
                <w:rFonts w:ascii="Times New Roman" w:hAnsi="Times New Roman" w:cs="Times New Roman"/>
                <w:i/>
                <w:iCs/>
                <w:color w:val="000000"/>
                <w:sz w:val="24"/>
                <w:szCs w:val="24"/>
              </w:rPr>
              <w:t xml:space="preserve">                                  2-sided Fisher's exact p = 0.4946</w:t>
            </w:r>
          </w:p>
        </w:tc>
        <w:tc>
          <w:tcPr>
            <w:tcW w:w="1010" w:type="pct"/>
            <w:tcBorders>
              <w:top w:val="nil"/>
              <w:left w:val="nil"/>
              <w:bottom w:val="single" w:sz="8" w:space="0" w:color="auto"/>
              <w:right w:val="nil"/>
            </w:tcBorders>
            <w:shd w:val="clear" w:color="auto" w:fill="auto"/>
            <w:noWrap/>
            <w:vAlign w:val="bottom"/>
            <w:hideMark/>
          </w:tcPr>
          <w:p w14:paraId="7AD05739" w14:textId="77777777" w:rsidR="006C5EB3" w:rsidRPr="00434405" w:rsidRDefault="006C5EB3" w:rsidP="00135CF7">
            <w:pPr>
              <w:spacing w:after="0" w:line="240" w:lineRule="auto"/>
              <w:rPr>
                <w:rFonts w:ascii="Times New Roman" w:hAnsi="Times New Roman" w:cs="Times New Roman"/>
                <w:color w:val="000000"/>
                <w:sz w:val="24"/>
                <w:szCs w:val="24"/>
              </w:rPr>
            </w:pPr>
            <w:r w:rsidRPr="00434405">
              <w:rPr>
                <w:rFonts w:ascii="Times New Roman" w:hAnsi="Times New Roman" w:cs="Times New Roman"/>
                <w:color w:val="000000"/>
                <w:sz w:val="24"/>
                <w:szCs w:val="24"/>
              </w:rPr>
              <w:t> </w:t>
            </w:r>
          </w:p>
        </w:tc>
      </w:tr>
    </w:tbl>
    <w:p w14:paraId="4CE65B07" w14:textId="77777777" w:rsidR="006C5EB3" w:rsidRDefault="006C5EB3" w:rsidP="006C5EB3">
      <w:pPr>
        <w:spacing w:line="360" w:lineRule="auto"/>
        <w:jc w:val="both"/>
        <w:rPr>
          <w:rFonts w:ascii="Times New Roman" w:eastAsia="Times New Roman" w:hAnsi="Times New Roman" w:cs="Times New Roman"/>
          <w:sz w:val="24"/>
          <w:szCs w:val="24"/>
        </w:rPr>
      </w:pPr>
    </w:p>
    <w:p w14:paraId="3C3EF229" w14:textId="77777777" w:rsidR="006C5EB3" w:rsidRDefault="006C5EB3" w:rsidP="00A225BD">
      <w:pPr>
        <w:spacing w:line="240" w:lineRule="auto"/>
        <w:jc w:val="both"/>
        <w:rPr>
          <w:rFonts w:ascii="Times New Roman" w:hAnsi="Times New Roman" w:cs="Times New Roman"/>
          <w:b/>
          <w:color w:val="000000" w:themeColor="text1"/>
          <w:sz w:val="24"/>
          <w:szCs w:val="24"/>
        </w:rPr>
      </w:pPr>
    </w:p>
    <w:p w14:paraId="1023D48C" w14:textId="77777777" w:rsidR="006C5EB3" w:rsidRDefault="006C5EB3" w:rsidP="00A225BD">
      <w:pPr>
        <w:spacing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Figures</w:t>
      </w:r>
    </w:p>
    <w:p w14:paraId="499DC36B" w14:textId="77777777" w:rsidR="006C5EB3" w:rsidRDefault="006C5EB3" w:rsidP="00A225BD">
      <w:pPr>
        <w:spacing w:line="240" w:lineRule="auto"/>
        <w:jc w:val="both"/>
        <w:rPr>
          <w:rFonts w:ascii="Times New Roman" w:hAnsi="Times New Roman" w:cs="Times New Roman"/>
          <w:b/>
          <w:color w:val="000000" w:themeColor="text1"/>
          <w:sz w:val="24"/>
          <w:szCs w:val="24"/>
        </w:rPr>
      </w:pPr>
    </w:p>
    <w:p w14:paraId="445EC16E" w14:textId="77777777" w:rsidR="006C5EB3" w:rsidRDefault="006C5EB3" w:rsidP="00A225BD">
      <w:pPr>
        <w:spacing w:line="240" w:lineRule="auto"/>
        <w:jc w:val="both"/>
        <w:rPr>
          <w:rFonts w:ascii="Times New Roman" w:hAnsi="Times New Roman" w:cs="Times New Roman"/>
          <w:b/>
          <w:color w:val="000000" w:themeColor="text1"/>
          <w:sz w:val="24"/>
          <w:szCs w:val="24"/>
        </w:rPr>
      </w:pPr>
    </w:p>
    <w:p w14:paraId="022F5F79" w14:textId="77777777" w:rsidR="006C5EB3" w:rsidRDefault="006C5EB3" w:rsidP="00A225BD">
      <w:pPr>
        <w:spacing w:line="240" w:lineRule="auto"/>
        <w:jc w:val="both"/>
        <w:rPr>
          <w:rFonts w:ascii="Times New Roman" w:hAnsi="Times New Roman" w:cs="Times New Roman"/>
          <w:b/>
          <w:color w:val="000000" w:themeColor="text1"/>
          <w:sz w:val="24"/>
          <w:szCs w:val="24"/>
        </w:rPr>
      </w:pPr>
    </w:p>
    <w:p w14:paraId="6E6E5582" w14:textId="77777777" w:rsidR="006C5EB3" w:rsidRPr="004B724F" w:rsidRDefault="006C5EB3" w:rsidP="006C5EB3">
      <w:pPr>
        <w:spacing w:line="240" w:lineRule="auto"/>
        <w:rPr>
          <w:szCs w:val="24"/>
        </w:rPr>
      </w:pPr>
      <w:r w:rsidRPr="004B724F">
        <w:rPr>
          <w:noProof/>
          <w:szCs w:val="24"/>
        </w:rPr>
        <w:drawing>
          <wp:inline distT="0" distB="0" distL="0" distR="0" wp14:anchorId="59D754AA" wp14:editId="34D7DB58">
            <wp:extent cx="5350042" cy="2705100"/>
            <wp:effectExtent l="0" t="0" r="3175" b="0"/>
            <wp:docPr id="307202491" name="Chart 1">
              <a:extLst xmlns:a="http://schemas.openxmlformats.org/drawingml/2006/main">
                <a:ext uri="{FF2B5EF4-FFF2-40B4-BE49-F238E27FC236}">
                  <a16:creationId xmlns:a16="http://schemas.microsoft.com/office/drawing/2014/main" id="{BC2E6B15-75B4-6342-9762-E7FD1603B6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9D3510B" w14:textId="77777777" w:rsidR="006C5EB3" w:rsidRDefault="006C5EB3" w:rsidP="006C5EB3">
      <w:pPr>
        <w:rPr>
          <w:rFonts w:ascii="Times New Roman" w:hAnsi="Times New Roman" w:cs="Times New Roman"/>
          <w:b/>
          <w:sz w:val="24"/>
          <w:szCs w:val="24"/>
        </w:rPr>
      </w:pPr>
      <w:bookmarkStart w:id="8" w:name="_Toc166157169"/>
    </w:p>
    <w:p w14:paraId="5AD8E44B" w14:textId="77777777" w:rsidR="006C5EB3" w:rsidRPr="00D40109" w:rsidRDefault="006C5EB3" w:rsidP="006C5EB3">
      <w:pPr>
        <w:rPr>
          <w:rFonts w:ascii="Times New Roman" w:hAnsi="Times New Roman" w:cs="Times New Roman"/>
          <w:b/>
          <w:sz w:val="24"/>
          <w:szCs w:val="24"/>
        </w:rPr>
      </w:pPr>
      <w:r w:rsidRPr="00D40109">
        <w:rPr>
          <w:rFonts w:ascii="Times New Roman" w:hAnsi="Times New Roman" w:cs="Times New Roman"/>
          <w:b/>
          <w:sz w:val="24"/>
          <w:szCs w:val="24"/>
        </w:rPr>
        <w:t>Figure 1: Seroprevalence of Hepatitis B among pregnant mothers</w:t>
      </w:r>
      <w:bookmarkEnd w:id="8"/>
    </w:p>
    <w:p w14:paraId="4DBAEE28" w14:textId="77777777" w:rsidR="006C5EB3" w:rsidRPr="006C5EB3" w:rsidRDefault="006C5EB3" w:rsidP="00A225BD">
      <w:pPr>
        <w:spacing w:line="240" w:lineRule="auto"/>
        <w:jc w:val="both"/>
        <w:rPr>
          <w:rFonts w:ascii="Times New Roman" w:hAnsi="Times New Roman" w:cs="Times New Roman"/>
          <w:b/>
          <w:color w:val="000000" w:themeColor="text1"/>
          <w:sz w:val="24"/>
          <w:szCs w:val="24"/>
        </w:rPr>
      </w:pPr>
    </w:p>
    <w:p w14:paraId="174F575D" w14:textId="77777777" w:rsidR="00C15F92" w:rsidRPr="005A6880" w:rsidRDefault="00C15F92" w:rsidP="005A6880">
      <w:pPr>
        <w:jc w:val="both"/>
        <w:rPr>
          <w:rFonts w:ascii="Times New Roman" w:eastAsia="Times New Roman" w:hAnsi="Times New Roman" w:cs="Times New Roman"/>
          <w:sz w:val="24"/>
          <w:szCs w:val="24"/>
        </w:rPr>
      </w:pPr>
    </w:p>
    <w:sectPr w:rsidR="00C15F92" w:rsidRPr="005A688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6CD90" w14:textId="77777777" w:rsidR="006A2D4C" w:rsidRDefault="006A2D4C" w:rsidP="00932894">
      <w:pPr>
        <w:spacing w:after="0" w:line="240" w:lineRule="auto"/>
      </w:pPr>
      <w:r>
        <w:separator/>
      </w:r>
    </w:p>
  </w:endnote>
  <w:endnote w:type="continuationSeparator" w:id="0">
    <w:p w14:paraId="0FA21CA9" w14:textId="77777777" w:rsidR="006A2D4C" w:rsidRDefault="006A2D4C" w:rsidP="00932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enQuanYi Micro Hei">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4FD0E" w14:textId="77777777" w:rsidR="00932894" w:rsidRDefault="009328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8B1F6" w14:textId="77777777" w:rsidR="00932894" w:rsidRDefault="009328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2B2B4" w14:textId="77777777" w:rsidR="00932894" w:rsidRDefault="00932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7AD5B" w14:textId="77777777" w:rsidR="006A2D4C" w:rsidRDefault="006A2D4C" w:rsidP="00932894">
      <w:pPr>
        <w:spacing w:after="0" w:line="240" w:lineRule="auto"/>
      </w:pPr>
      <w:r>
        <w:separator/>
      </w:r>
    </w:p>
  </w:footnote>
  <w:footnote w:type="continuationSeparator" w:id="0">
    <w:p w14:paraId="1631CF25" w14:textId="77777777" w:rsidR="006A2D4C" w:rsidRDefault="006A2D4C" w:rsidP="00932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6B26C" w14:textId="3A0A4CE7" w:rsidR="00932894" w:rsidRDefault="006A2D4C">
    <w:pPr>
      <w:pStyle w:val="Header"/>
    </w:pPr>
    <w:r>
      <w:rPr>
        <w:noProof/>
      </w:rPr>
      <w:pict w14:anchorId="5FF0F5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695090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429C3" w14:textId="4CCEE0F5" w:rsidR="00932894" w:rsidRDefault="006A2D4C">
    <w:pPr>
      <w:pStyle w:val="Header"/>
    </w:pPr>
    <w:r>
      <w:rPr>
        <w:noProof/>
      </w:rPr>
      <w:pict w14:anchorId="15C54A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695090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DBA8C" w14:textId="197DD915" w:rsidR="00932894" w:rsidRDefault="006A2D4C">
    <w:pPr>
      <w:pStyle w:val="Header"/>
    </w:pPr>
    <w:r>
      <w:rPr>
        <w:noProof/>
      </w:rPr>
      <w:pict w14:anchorId="1E5763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695090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40A85"/>
    <w:multiLevelType w:val="multilevel"/>
    <w:tmpl w:val="6076E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9608D4"/>
    <w:multiLevelType w:val="multilevel"/>
    <w:tmpl w:val="9B7A0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C3789D"/>
    <w:multiLevelType w:val="hybridMultilevel"/>
    <w:tmpl w:val="414ED814"/>
    <w:lvl w:ilvl="0" w:tplc="9606EF02">
      <w:start w:val="1"/>
      <w:numFmt w:val="decimal"/>
      <w:lvlText w:val="%1."/>
      <w:lvlJc w:val="right"/>
      <w:pPr>
        <w:ind w:left="360" w:hanging="360"/>
      </w:pPr>
      <w:rPr>
        <w:rFonts w:ascii="Times New Roman" w:eastAsia="Times New Roman" w:hAnsi="Times New Roman" w:cs="Times New Roman"/>
      </w:rPr>
    </w:lvl>
    <w:lvl w:ilvl="1" w:tplc="2B000910">
      <w:start w:val="1"/>
      <w:numFmt w:val="decimal"/>
      <w:lvlText w:val="%2."/>
      <w:lvlJc w:val="left"/>
      <w:pPr>
        <w:ind w:left="36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43A000E0"/>
    <w:multiLevelType w:val="multilevel"/>
    <w:tmpl w:val="8EA48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7cwNTU0srSwMAFBJR2l4NTi4sz8PJACk1oADK2y4ywAAAA="/>
  </w:docVars>
  <w:rsids>
    <w:rsidRoot w:val="004E41CD"/>
    <w:rsid w:val="00027711"/>
    <w:rsid w:val="0003427F"/>
    <w:rsid w:val="00053063"/>
    <w:rsid w:val="00064EE3"/>
    <w:rsid w:val="000C7C42"/>
    <w:rsid w:val="000F7102"/>
    <w:rsid w:val="001B4373"/>
    <w:rsid w:val="001C43FF"/>
    <w:rsid w:val="001D55D7"/>
    <w:rsid w:val="001F4074"/>
    <w:rsid w:val="0026084E"/>
    <w:rsid w:val="002A016F"/>
    <w:rsid w:val="00374F47"/>
    <w:rsid w:val="003D7195"/>
    <w:rsid w:val="003F352F"/>
    <w:rsid w:val="00434405"/>
    <w:rsid w:val="004E41CD"/>
    <w:rsid w:val="005526E3"/>
    <w:rsid w:val="005A6880"/>
    <w:rsid w:val="005B1179"/>
    <w:rsid w:val="005E7C93"/>
    <w:rsid w:val="005F306E"/>
    <w:rsid w:val="00604D00"/>
    <w:rsid w:val="00660FE5"/>
    <w:rsid w:val="006A2D4C"/>
    <w:rsid w:val="006C250B"/>
    <w:rsid w:val="006C5EB3"/>
    <w:rsid w:val="006E7CD4"/>
    <w:rsid w:val="00706D7A"/>
    <w:rsid w:val="00710097"/>
    <w:rsid w:val="007632F3"/>
    <w:rsid w:val="00775963"/>
    <w:rsid w:val="0079459D"/>
    <w:rsid w:val="008C1CCD"/>
    <w:rsid w:val="00932894"/>
    <w:rsid w:val="009937F1"/>
    <w:rsid w:val="009A3ED4"/>
    <w:rsid w:val="00A05834"/>
    <w:rsid w:val="00A225BD"/>
    <w:rsid w:val="00A234D8"/>
    <w:rsid w:val="00A6026A"/>
    <w:rsid w:val="00AC18A3"/>
    <w:rsid w:val="00AC6286"/>
    <w:rsid w:val="00AD5B44"/>
    <w:rsid w:val="00B527FC"/>
    <w:rsid w:val="00B85B81"/>
    <w:rsid w:val="00BC780F"/>
    <w:rsid w:val="00C15F92"/>
    <w:rsid w:val="00C46DE3"/>
    <w:rsid w:val="00C800D0"/>
    <w:rsid w:val="00C95DA2"/>
    <w:rsid w:val="00CE78FD"/>
    <w:rsid w:val="00D35876"/>
    <w:rsid w:val="00D40109"/>
    <w:rsid w:val="00DD56EC"/>
    <w:rsid w:val="00E55564"/>
    <w:rsid w:val="00EC7748"/>
    <w:rsid w:val="00FC29BC"/>
    <w:rsid w:val="00FE4EA4"/>
    <w:rsid w:val="00FF19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1BFBBDD"/>
  <w15:chartTrackingRefBased/>
  <w15:docId w15:val="{0DDD085D-7ECB-4F7A-9B97-1C1521913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A01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4010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C6286"/>
    <w:pPr>
      <w:keepNext/>
      <w:spacing w:after="0" w:line="240" w:lineRule="auto"/>
      <w:jc w:val="both"/>
      <w:outlineLvl w:val="3"/>
    </w:pPr>
    <w:rPr>
      <w:rFonts w:ascii="Times New Roman" w:eastAsiaTheme="minorEastAsia" w:hAnsi="Times New Roman"/>
      <w:b/>
      <w:bCs/>
      <w:iCs/>
      <w:color w:val="000000" w:themeColor="text1" w:themeShade="BF"/>
      <w:sz w:val="24"/>
      <w:szCs w:val="24"/>
      <w:u w:color="0000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E41CD"/>
    <w:pPr>
      <w:adjustRightInd w:val="0"/>
      <w:snapToGrid w:val="0"/>
      <w:spacing w:after="120" w:line="480" w:lineRule="auto"/>
      <w:ind w:left="720"/>
      <w:contextualSpacing/>
      <w:jc w:val="both"/>
    </w:pPr>
    <w:rPr>
      <w:rFonts w:ascii="Times New Roman" w:eastAsia="Times New Roman" w:hAnsi="Times New Roman" w:cs="Times New Roman"/>
      <w:sz w:val="24"/>
      <w:u w:color="0000EE"/>
    </w:rPr>
  </w:style>
  <w:style w:type="character" w:customStyle="1" w:styleId="ListParagraphChar">
    <w:name w:val="List Paragraph Char"/>
    <w:link w:val="ListParagraph"/>
    <w:uiPriority w:val="34"/>
    <w:locked/>
    <w:rsid w:val="004E41CD"/>
    <w:rPr>
      <w:rFonts w:ascii="Times New Roman" w:eastAsia="Times New Roman" w:hAnsi="Times New Roman" w:cs="Times New Roman"/>
      <w:sz w:val="24"/>
      <w:u w:color="0000EE"/>
    </w:rPr>
  </w:style>
  <w:style w:type="character" w:styleId="Strong">
    <w:name w:val="Strong"/>
    <w:basedOn w:val="DefaultParagraphFont"/>
    <w:uiPriority w:val="22"/>
    <w:qFormat/>
    <w:rsid w:val="00FE4EA4"/>
    <w:rPr>
      <w:b/>
      <w:bCs/>
    </w:rPr>
  </w:style>
  <w:style w:type="character" w:customStyle="1" w:styleId="Heading4Char">
    <w:name w:val="Heading 4 Char"/>
    <w:basedOn w:val="DefaultParagraphFont"/>
    <w:link w:val="Heading4"/>
    <w:uiPriority w:val="9"/>
    <w:rsid w:val="00AC6286"/>
    <w:rPr>
      <w:rFonts w:ascii="Times New Roman" w:eastAsiaTheme="minorEastAsia" w:hAnsi="Times New Roman"/>
      <w:b/>
      <w:bCs/>
      <w:iCs/>
      <w:color w:val="000000" w:themeColor="text1" w:themeShade="BF"/>
      <w:sz w:val="24"/>
      <w:szCs w:val="24"/>
      <w:u w:color="0000EE"/>
    </w:rPr>
  </w:style>
  <w:style w:type="table" w:styleId="PlainTable2">
    <w:name w:val="Plain Table 2"/>
    <w:basedOn w:val="TableNormal"/>
    <w:uiPriority w:val="42"/>
    <w:rsid w:val="00AC6286"/>
    <w:pPr>
      <w:spacing w:after="0" w:line="240" w:lineRule="auto"/>
    </w:pPr>
    <w:rPr>
      <w:rFonts w:eastAsia="Times New Roman"/>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3Char">
    <w:name w:val="Heading 3 Char"/>
    <w:basedOn w:val="DefaultParagraphFont"/>
    <w:link w:val="Heading3"/>
    <w:uiPriority w:val="9"/>
    <w:semiHidden/>
    <w:rsid w:val="00D40109"/>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2A016F"/>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434405"/>
    <w:pPr>
      <w:adjustRightInd w:val="0"/>
      <w:snapToGrid w:val="0"/>
      <w:spacing w:after="0" w:line="240" w:lineRule="auto"/>
      <w:jc w:val="both"/>
    </w:pPr>
    <w:rPr>
      <w:rFonts w:ascii="Times New Roman" w:eastAsia="Times New Roman" w:hAnsi="Times New Roman" w:cs="Times New Roman"/>
      <w:sz w:val="24"/>
      <w:u w:color="0000EE"/>
    </w:rPr>
  </w:style>
  <w:style w:type="paragraph" w:styleId="NormalWeb">
    <w:name w:val="Normal (Web)"/>
    <w:basedOn w:val="Normal"/>
    <w:uiPriority w:val="99"/>
    <w:semiHidden/>
    <w:unhideWhenUsed/>
    <w:rsid w:val="00D3587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F4074"/>
    <w:rPr>
      <w:color w:val="0563C1" w:themeColor="hyperlink"/>
      <w:u w:val="single"/>
    </w:rPr>
  </w:style>
  <w:style w:type="character" w:customStyle="1" w:styleId="UnresolvedMention">
    <w:name w:val="Unresolved Mention"/>
    <w:basedOn w:val="DefaultParagraphFont"/>
    <w:uiPriority w:val="99"/>
    <w:semiHidden/>
    <w:unhideWhenUsed/>
    <w:rsid w:val="001F4074"/>
    <w:rPr>
      <w:color w:val="605E5C"/>
      <w:shd w:val="clear" w:color="auto" w:fill="E1DFDD"/>
    </w:rPr>
  </w:style>
  <w:style w:type="paragraph" w:styleId="Header">
    <w:name w:val="header"/>
    <w:basedOn w:val="Normal"/>
    <w:link w:val="HeaderChar"/>
    <w:uiPriority w:val="99"/>
    <w:unhideWhenUsed/>
    <w:rsid w:val="00932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894"/>
  </w:style>
  <w:style w:type="paragraph" w:styleId="Footer">
    <w:name w:val="footer"/>
    <w:basedOn w:val="Normal"/>
    <w:link w:val="FooterChar"/>
    <w:uiPriority w:val="99"/>
    <w:unhideWhenUsed/>
    <w:rsid w:val="00932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894"/>
  </w:style>
  <w:style w:type="paragraph" w:customStyle="1" w:styleId="TableParagraph">
    <w:name w:val="Table Paragraph"/>
    <w:basedOn w:val="Normal"/>
    <w:uiPriority w:val="1"/>
    <w:qFormat/>
    <w:rsid w:val="00064EE3"/>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8859">
      <w:bodyDiv w:val="1"/>
      <w:marLeft w:val="0"/>
      <w:marRight w:val="0"/>
      <w:marTop w:val="0"/>
      <w:marBottom w:val="0"/>
      <w:divBdr>
        <w:top w:val="none" w:sz="0" w:space="0" w:color="auto"/>
        <w:left w:val="none" w:sz="0" w:space="0" w:color="auto"/>
        <w:bottom w:val="none" w:sz="0" w:space="0" w:color="auto"/>
        <w:right w:val="none" w:sz="0" w:space="0" w:color="auto"/>
      </w:divBdr>
    </w:div>
    <w:div w:id="30807819">
      <w:bodyDiv w:val="1"/>
      <w:marLeft w:val="0"/>
      <w:marRight w:val="0"/>
      <w:marTop w:val="0"/>
      <w:marBottom w:val="0"/>
      <w:divBdr>
        <w:top w:val="none" w:sz="0" w:space="0" w:color="auto"/>
        <w:left w:val="none" w:sz="0" w:space="0" w:color="auto"/>
        <w:bottom w:val="none" w:sz="0" w:space="0" w:color="auto"/>
        <w:right w:val="none" w:sz="0" w:space="0" w:color="auto"/>
      </w:divBdr>
    </w:div>
    <w:div w:id="42877689">
      <w:bodyDiv w:val="1"/>
      <w:marLeft w:val="0"/>
      <w:marRight w:val="0"/>
      <w:marTop w:val="0"/>
      <w:marBottom w:val="0"/>
      <w:divBdr>
        <w:top w:val="none" w:sz="0" w:space="0" w:color="auto"/>
        <w:left w:val="none" w:sz="0" w:space="0" w:color="auto"/>
        <w:bottom w:val="none" w:sz="0" w:space="0" w:color="auto"/>
        <w:right w:val="none" w:sz="0" w:space="0" w:color="auto"/>
      </w:divBdr>
    </w:div>
    <w:div w:id="191112793">
      <w:bodyDiv w:val="1"/>
      <w:marLeft w:val="0"/>
      <w:marRight w:val="0"/>
      <w:marTop w:val="0"/>
      <w:marBottom w:val="0"/>
      <w:divBdr>
        <w:top w:val="none" w:sz="0" w:space="0" w:color="auto"/>
        <w:left w:val="none" w:sz="0" w:space="0" w:color="auto"/>
        <w:bottom w:val="none" w:sz="0" w:space="0" w:color="auto"/>
        <w:right w:val="none" w:sz="0" w:space="0" w:color="auto"/>
      </w:divBdr>
    </w:div>
    <w:div w:id="298151324">
      <w:bodyDiv w:val="1"/>
      <w:marLeft w:val="0"/>
      <w:marRight w:val="0"/>
      <w:marTop w:val="0"/>
      <w:marBottom w:val="0"/>
      <w:divBdr>
        <w:top w:val="none" w:sz="0" w:space="0" w:color="auto"/>
        <w:left w:val="none" w:sz="0" w:space="0" w:color="auto"/>
        <w:bottom w:val="none" w:sz="0" w:space="0" w:color="auto"/>
        <w:right w:val="none" w:sz="0" w:space="0" w:color="auto"/>
      </w:divBdr>
    </w:div>
    <w:div w:id="341400182">
      <w:bodyDiv w:val="1"/>
      <w:marLeft w:val="0"/>
      <w:marRight w:val="0"/>
      <w:marTop w:val="0"/>
      <w:marBottom w:val="0"/>
      <w:divBdr>
        <w:top w:val="none" w:sz="0" w:space="0" w:color="auto"/>
        <w:left w:val="none" w:sz="0" w:space="0" w:color="auto"/>
        <w:bottom w:val="none" w:sz="0" w:space="0" w:color="auto"/>
        <w:right w:val="none" w:sz="0" w:space="0" w:color="auto"/>
      </w:divBdr>
    </w:div>
    <w:div w:id="456796523">
      <w:bodyDiv w:val="1"/>
      <w:marLeft w:val="0"/>
      <w:marRight w:val="0"/>
      <w:marTop w:val="0"/>
      <w:marBottom w:val="0"/>
      <w:divBdr>
        <w:top w:val="none" w:sz="0" w:space="0" w:color="auto"/>
        <w:left w:val="none" w:sz="0" w:space="0" w:color="auto"/>
        <w:bottom w:val="none" w:sz="0" w:space="0" w:color="auto"/>
        <w:right w:val="none" w:sz="0" w:space="0" w:color="auto"/>
      </w:divBdr>
    </w:div>
    <w:div w:id="560096039">
      <w:bodyDiv w:val="1"/>
      <w:marLeft w:val="0"/>
      <w:marRight w:val="0"/>
      <w:marTop w:val="0"/>
      <w:marBottom w:val="0"/>
      <w:divBdr>
        <w:top w:val="none" w:sz="0" w:space="0" w:color="auto"/>
        <w:left w:val="none" w:sz="0" w:space="0" w:color="auto"/>
        <w:bottom w:val="none" w:sz="0" w:space="0" w:color="auto"/>
        <w:right w:val="none" w:sz="0" w:space="0" w:color="auto"/>
      </w:divBdr>
    </w:div>
    <w:div w:id="563639283">
      <w:bodyDiv w:val="1"/>
      <w:marLeft w:val="0"/>
      <w:marRight w:val="0"/>
      <w:marTop w:val="0"/>
      <w:marBottom w:val="0"/>
      <w:divBdr>
        <w:top w:val="none" w:sz="0" w:space="0" w:color="auto"/>
        <w:left w:val="none" w:sz="0" w:space="0" w:color="auto"/>
        <w:bottom w:val="none" w:sz="0" w:space="0" w:color="auto"/>
        <w:right w:val="none" w:sz="0" w:space="0" w:color="auto"/>
      </w:divBdr>
    </w:div>
    <w:div w:id="573249331">
      <w:bodyDiv w:val="1"/>
      <w:marLeft w:val="0"/>
      <w:marRight w:val="0"/>
      <w:marTop w:val="0"/>
      <w:marBottom w:val="0"/>
      <w:divBdr>
        <w:top w:val="none" w:sz="0" w:space="0" w:color="auto"/>
        <w:left w:val="none" w:sz="0" w:space="0" w:color="auto"/>
        <w:bottom w:val="none" w:sz="0" w:space="0" w:color="auto"/>
        <w:right w:val="none" w:sz="0" w:space="0" w:color="auto"/>
      </w:divBdr>
    </w:div>
    <w:div w:id="838891549">
      <w:bodyDiv w:val="1"/>
      <w:marLeft w:val="0"/>
      <w:marRight w:val="0"/>
      <w:marTop w:val="0"/>
      <w:marBottom w:val="0"/>
      <w:divBdr>
        <w:top w:val="none" w:sz="0" w:space="0" w:color="auto"/>
        <w:left w:val="none" w:sz="0" w:space="0" w:color="auto"/>
        <w:bottom w:val="none" w:sz="0" w:space="0" w:color="auto"/>
        <w:right w:val="none" w:sz="0" w:space="0" w:color="auto"/>
      </w:divBdr>
    </w:div>
    <w:div w:id="903182164">
      <w:bodyDiv w:val="1"/>
      <w:marLeft w:val="0"/>
      <w:marRight w:val="0"/>
      <w:marTop w:val="0"/>
      <w:marBottom w:val="0"/>
      <w:divBdr>
        <w:top w:val="none" w:sz="0" w:space="0" w:color="auto"/>
        <w:left w:val="none" w:sz="0" w:space="0" w:color="auto"/>
        <w:bottom w:val="none" w:sz="0" w:space="0" w:color="auto"/>
        <w:right w:val="none" w:sz="0" w:space="0" w:color="auto"/>
      </w:divBdr>
    </w:div>
    <w:div w:id="913200574">
      <w:bodyDiv w:val="1"/>
      <w:marLeft w:val="0"/>
      <w:marRight w:val="0"/>
      <w:marTop w:val="0"/>
      <w:marBottom w:val="0"/>
      <w:divBdr>
        <w:top w:val="none" w:sz="0" w:space="0" w:color="auto"/>
        <w:left w:val="none" w:sz="0" w:space="0" w:color="auto"/>
        <w:bottom w:val="none" w:sz="0" w:space="0" w:color="auto"/>
        <w:right w:val="none" w:sz="0" w:space="0" w:color="auto"/>
      </w:divBdr>
    </w:div>
    <w:div w:id="967779214">
      <w:bodyDiv w:val="1"/>
      <w:marLeft w:val="0"/>
      <w:marRight w:val="0"/>
      <w:marTop w:val="0"/>
      <w:marBottom w:val="0"/>
      <w:divBdr>
        <w:top w:val="none" w:sz="0" w:space="0" w:color="auto"/>
        <w:left w:val="none" w:sz="0" w:space="0" w:color="auto"/>
        <w:bottom w:val="none" w:sz="0" w:space="0" w:color="auto"/>
        <w:right w:val="none" w:sz="0" w:space="0" w:color="auto"/>
      </w:divBdr>
    </w:div>
    <w:div w:id="1000305272">
      <w:bodyDiv w:val="1"/>
      <w:marLeft w:val="0"/>
      <w:marRight w:val="0"/>
      <w:marTop w:val="0"/>
      <w:marBottom w:val="0"/>
      <w:divBdr>
        <w:top w:val="none" w:sz="0" w:space="0" w:color="auto"/>
        <w:left w:val="none" w:sz="0" w:space="0" w:color="auto"/>
        <w:bottom w:val="none" w:sz="0" w:space="0" w:color="auto"/>
        <w:right w:val="none" w:sz="0" w:space="0" w:color="auto"/>
      </w:divBdr>
    </w:div>
    <w:div w:id="1048068985">
      <w:bodyDiv w:val="1"/>
      <w:marLeft w:val="0"/>
      <w:marRight w:val="0"/>
      <w:marTop w:val="0"/>
      <w:marBottom w:val="0"/>
      <w:divBdr>
        <w:top w:val="none" w:sz="0" w:space="0" w:color="auto"/>
        <w:left w:val="none" w:sz="0" w:space="0" w:color="auto"/>
        <w:bottom w:val="none" w:sz="0" w:space="0" w:color="auto"/>
        <w:right w:val="none" w:sz="0" w:space="0" w:color="auto"/>
      </w:divBdr>
    </w:div>
    <w:div w:id="1122654413">
      <w:bodyDiv w:val="1"/>
      <w:marLeft w:val="0"/>
      <w:marRight w:val="0"/>
      <w:marTop w:val="0"/>
      <w:marBottom w:val="0"/>
      <w:divBdr>
        <w:top w:val="none" w:sz="0" w:space="0" w:color="auto"/>
        <w:left w:val="none" w:sz="0" w:space="0" w:color="auto"/>
        <w:bottom w:val="none" w:sz="0" w:space="0" w:color="auto"/>
        <w:right w:val="none" w:sz="0" w:space="0" w:color="auto"/>
      </w:divBdr>
    </w:div>
    <w:div w:id="1123772118">
      <w:bodyDiv w:val="1"/>
      <w:marLeft w:val="0"/>
      <w:marRight w:val="0"/>
      <w:marTop w:val="0"/>
      <w:marBottom w:val="0"/>
      <w:divBdr>
        <w:top w:val="none" w:sz="0" w:space="0" w:color="auto"/>
        <w:left w:val="none" w:sz="0" w:space="0" w:color="auto"/>
        <w:bottom w:val="none" w:sz="0" w:space="0" w:color="auto"/>
        <w:right w:val="none" w:sz="0" w:space="0" w:color="auto"/>
      </w:divBdr>
    </w:div>
    <w:div w:id="1442068807">
      <w:bodyDiv w:val="1"/>
      <w:marLeft w:val="0"/>
      <w:marRight w:val="0"/>
      <w:marTop w:val="0"/>
      <w:marBottom w:val="0"/>
      <w:divBdr>
        <w:top w:val="none" w:sz="0" w:space="0" w:color="auto"/>
        <w:left w:val="none" w:sz="0" w:space="0" w:color="auto"/>
        <w:bottom w:val="none" w:sz="0" w:space="0" w:color="auto"/>
        <w:right w:val="none" w:sz="0" w:space="0" w:color="auto"/>
      </w:divBdr>
    </w:div>
    <w:div w:id="1476727120">
      <w:bodyDiv w:val="1"/>
      <w:marLeft w:val="0"/>
      <w:marRight w:val="0"/>
      <w:marTop w:val="0"/>
      <w:marBottom w:val="0"/>
      <w:divBdr>
        <w:top w:val="none" w:sz="0" w:space="0" w:color="auto"/>
        <w:left w:val="none" w:sz="0" w:space="0" w:color="auto"/>
        <w:bottom w:val="none" w:sz="0" w:space="0" w:color="auto"/>
        <w:right w:val="none" w:sz="0" w:space="0" w:color="auto"/>
      </w:divBdr>
    </w:div>
    <w:div w:id="1478034129">
      <w:bodyDiv w:val="1"/>
      <w:marLeft w:val="0"/>
      <w:marRight w:val="0"/>
      <w:marTop w:val="0"/>
      <w:marBottom w:val="0"/>
      <w:divBdr>
        <w:top w:val="none" w:sz="0" w:space="0" w:color="auto"/>
        <w:left w:val="none" w:sz="0" w:space="0" w:color="auto"/>
        <w:bottom w:val="none" w:sz="0" w:space="0" w:color="auto"/>
        <w:right w:val="none" w:sz="0" w:space="0" w:color="auto"/>
      </w:divBdr>
    </w:div>
    <w:div w:id="1536843659">
      <w:bodyDiv w:val="1"/>
      <w:marLeft w:val="0"/>
      <w:marRight w:val="0"/>
      <w:marTop w:val="0"/>
      <w:marBottom w:val="0"/>
      <w:divBdr>
        <w:top w:val="none" w:sz="0" w:space="0" w:color="auto"/>
        <w:left w:val="none" w:sz="0" w:space="0" w:color="auto"/>
        <w:bottom w:val="none" w:sz="0" w:space="0" w:color="auto"/>
        <w:right w:val="none" w:sz="0" w:space="0" w:color="auto"/>
      </w:divBdr>
    </w:div>
    <w:div w:id="1558055544">
      <w:bodyDiv w:val="1"/>
      <w:marLeft w:val="0"/>
      <w:marRight w:val="0"/>
      <w:marTop w:val="0"/>
      <w:marBottom w:val="0"/>
      <w:divBdr>
        <w:top w:val="none" w:sz="0" w:space="0" w:color="auto"/>
        <w:left w:val="none" w:sz="0" w:space="0" w:color="auto"/>
        <w:bottom w:val="none" w:sz="0" w:space="0" w:color="auto"/>
        <w:right w:val="none" w:sz="0" w:space="0" w:color="auto"/>
      </w:divBdr>
    </w:div>
    <w:div w:id="1623877042">
      <w:bodyDiv w:val="1"/>
      <w:marLeft w:val="0"/>
      <w:marRight w:val="0"/>
      <w:marTop w:val="0"/>
      <w:marBottom w:val="0"/>
      <w:divBdr>
        <w:top w:val="none" w:sz="0" w:space="0" w:color="auto"/>
        <w:left w:val="none" w:sz="0" w:space="0" w:color="auto"/>
        <w:bottom w:val="none" w:sz="0" w:space="0" w:color="auto"/>
        <w:right w:val="none" w:sz="0" w:space="0" w:color="auto"/>
      </w:divBdr>
    </w:div>
    <w:div w:id="1751609890">
      <w:bodyDiv w:val="1"/>
      <w:marLeft w:val="0"/>
      <w:marRight w:val="0"/>
      <w:marTop w:val="0"/>
      <w:marBottom w:val="0"/>
      <w:divBdr>
        <w:top w:val="none" w:sz="0" w:space="0" w:color="auto"/>
        <w:left w:val="none" w:sz="0" w:space="0" w:color="auto"/>
        <w:bottom w:val="none" w:sz="0" w:space="0" w:color="auto"/>
        <w:right w:val="none" w:sz="0" w:space="0" w:color="auto"/>
      </w:divBdr>
    </w:div>
    <w:div w:id="1814640641">
      <w:bodyDiv w:val="1"/>
      <w:marLeft w:val="0"/>
      <w:marRight w:val="0"/>
      <w:marTop w:val="0"/>
      <w:marBottom w:val="0"/>
      <w:divBdr>
        <w:top w:val="none" w:sz="0" w:space="0" w:color="auto"/>
        <w:left w:val="none" w:sz="0" w:space="0" w:color="auto"/>
        <w:bottom w:val="none" w:sz="0" w:space="0" w:color="auto"/>
        <w:right w:val="none" w:sz="0" w:space="0" w:color="auto"/>
      </w:divBdr>
    </w:div>
    <w:div w:id="1851213514">
      <w:bodyDiv w:val="1"/>
      <w:marLeft w:val="0"/>
      <w:marRight w:val="0"/>
      <w:marTop w:val="0"/>
      <w:marBottom w:val="0"/>
      <w:divBdr>
        <w:top w:val="none" w:sz="0" w:space="0" w:color="auto"/>
        <w:left w:val="none" w:sz="0" w:space="0" w:color="auto"/>
        <w:bottom w:val="none" w:sz="0" w:space="0" w:color="auto"/>
        <w:right w:val="none" w:sz="0" w:space="0" w:color="auto"/>
      </w:divBdr>
    </w:div>
    <w:div w:id="188077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Lenovo\Desktop\Consulting\RAMZY\Ramzy%20Outpu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latin typeface="Times New Roman" panose="02020603050405020304" pitchFamily="18" charset="0"/>
                <a:ea typeface="Tahoma" panose="020B0604030504040204" pitchFamily="34" charset="0"/>
                <a:cs typeface="Times New Roman" panose="02020603050405020304" pitchFamily="18" charset="0"/>
              </a:rPr>
              <a:t>Seroprevalence of HBsAg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Sheet1!$E$240</c:f>
              <c:strCache>
                <c:ptCount val="1"/>
                <c:pt idx="0">
                  <c:v>Percent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CFC-4EF0-980E-25877910BEC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CFC-4EF0-980E-25877910BEC0}"/>
              </c:ext>
            </c:extLst>
          </c:dPt>
          <c:dLbls>
            <c:dLbl>
              <c:idx val="0"/>
              <c:tx>
                <c:rich>
                  <a:bodyPr/>
                  <a:lstStyle/>
                  <a:p>
                    <a:fld id="{88D5D1AC-FC90-4B50-A793-B5A9647CFE80}" type="CATEGORYNAME">
                      <a:rPr lang="en-US" b="1"/>
                      <a:pPr/>
                      <a:t>[CATEGORY NAME]</a:t>
                    </a:fld>
                    <a:r>
                      <a:rPr lang="en-US" b="1" baseline="0"/>
                      <a:t>
81%</a:t>
                    </a: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CFC-4EF0-980E-25877910BEC0}"/>
                </c:ext>
              </c:extLst>
            </c:dLbl>
            <c:dLbl>
              <c:idx val="1"/>
              <c:tx>
                <c:rich>
                  <a:bodyPr/>
                  <a:lstStyle/>
                  <a:p>
                    <a:fld id="{F86E6B43-3B9A-4B9D-90F4-B44FC8645649}" type="CATEGORYNAME">
                      <a:rPr lang="en-US" b="1"/>
                      <a:pPr/>
                      <a:t>[CATEGORY NAME]</a:t>
                    </a:fld>
                    <a:r>
                      <a:rPr lang="en-US" b="1" baseline="0"/>
                      <a:t>
19%</a:t>
                    </a: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CFC-4EF0-980E-25877910BEC0}"/>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Sheet1!$C$241:$C$242</c:f>
              <c:strCache>
                <c:ptCount val="2"/>
                <c:pt idx="0">
                  <c:v>Negative </c:v>
                </c:pt>
                <c:pt idx="1">
                  <c:v>Positive</c:v>
                </c:pt>
              </c:strCache>
            </c:strRef>
          </c:cat>
          <c:val>
            <c:numRef>
              <c:f>Sheet1!$E$241:$E$242</c:f>
              <c:numCache>
                <c:formatCode>0.0</c:formatCode>
                <c:ptCount val="2"/>
                <c:pt idx="0">
                  <c:v>80.37</c:v>
                </c:pt>
                <c:pt idx="1">
                  <c:v>19.63</c:v>
                </c:pt>
              </c:numCache>
            </c:numRef>
          </c:val>
          <c:extLst>
            <c:ext xmlns:c16="http://schemas.microsoft.com/office/drawing/2014/chart" uri="{C3380CC4-5D6E-409C-BE32-E72D297353CC}">
              <c16:uniqueId val="{00000004-9CFC-4EF0-980E-25877910BEC0}"/>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67033CB-013C-4E8C-AF66-F1BE9549C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14</Pages>
  <Words>15705</Words>
  <Characters>89519</Characters>
  <Application>Microsoft Office Word</Application>
  <DocSecurity>0</DocSecurity>
  <Lines>745</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CPU 1127</cp:lastModifiedBy>
  <cp:revision>6</cp:revision>
  <dcterms:created xsi:type="dcterms:W3CDTF">2025-04-07T13:09:00Z</dcterms:created>
  <dcterms:modified xsi:type="dcterms:W3CDTF">2025-04-11T07:23:00Z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875ddfb5-7a79-34fb-8b71-91f9674f36d8</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