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2BBD" w14:textId="77777777" w:rsidR="00754C9A" w:rsidRDefault="00754C9A" w:rsidP="007E32C4">
      <w:pPr>
        <w:pStyle w:val="Title"/>
        <w:spacing w:after="0"/>
        <w:jc w:val="both"/>
        <w:rPr>
          <w:rFonts w:ascii="Arial" w:hAnsi="Arial" w:cs="Arial"/>
        </w:rPr>
      </w:pPr>
    </w:p>
    <w:p w14:paraId="1B2B946E" w14:textId="238A54B0" w:rsidR="00163BC4" w:rsidRPr="00163BC4" w:rsidRDefault="001E7D80" w:rsidP="00D73E3F">
      <w:pPr>
        <w:pStyle w:val="Author"/>
        <w:spacing w:line="240" w:lineRule="auto"/>
        <w:rPr>
          <w:rFonts w:ascii="Arial" w:hAnsi="Arial" w:cs="Arial"/>
          <w:bCs/>
          <w:iCs/>
          <w:kern w:val="28"/>
          <w:sz w:val="36"/>
        </w:rPr>
      </w:pPr>
      <w:r>
        <w:rPr>
          <w:rFonts w:ascii="Arial" w:hAnsi="Arial" w:cs="Arial"/>
          <w:bCs/>
          <w:iCs/>
          <w:kern w:val="28"/>
          <w:sz w:val="36"/>
        </w:rPr>
        <w:t xml:space="preserve">Examining the Relationship Between </w:t>
      </w:r>
      <w:r w:rsidR="00572951">
        <w:rPr>
          <w:rFonts w:ascii="Arial" w:hAnsi="Arial" w:cs="Arial"/>
          <w:bCs/>
          <w:iCs/>
          <w:kern w:val="28"/>
          <w:sz w:val="36"/>
        </w:rPr>
        <w:t>Self-Assessed Writing Skills, Learning Strategies, and Grammar Proficiency of Undergraduate Students</w:t>
      </w:r>
    </w:p>
    <w:p w14:paraId="71E9FE39" w14:textId="77777777" w:rsidR="00A258C3" w:rsidRPr="00790ADA" w:rsidRDefault="00A258C3" w:rsidP="00D73E3F">
      <w:pPr>
        <w:pStyle w:val="Author"/>
        <w:spacing w:line="240" w:lineRule="auto"/>
        <w:rPr>
          <w:rFonts w:ascii="Arial" w:hAnsi="Arial" w:cs="Arial"/>
          <w:sz w:val="36"/>
        </w:rPr>
      </w:pPr>
    </w:p>
    <w:p w14:paraId="63949329" w14:textId="77777777" w:rsidR="00790ADA" w:rsidRDefault="00790ADA" w:rsidP="00D73E3F">
      <w:pPr>
        <w:pStyle w:val="Affiliation"/>
        <w:spacing w:after="0" w:line="240" w:lineRule="auto"/>
        <w:rPr>
          <w:rFonts w:ascii="Arial" w:hAnsi="Arial" w:cs="Arial"/>
        </w:rPr>
      </w:pPr>
    </w:p>
    <w:p w14:paraId="55DE8055" w14:textId="77777777" w:rsidR="002C57D2" w:rsidRPr="00FB3A86" w:rsidRDefault="002C57D2" w:rsidP="007E32C4">
      <w:pPr>
        <w:pStyle w:val="Affiliation"/>
        <w:spacing w:after="0" w:line="240" w:lineRule="auto"/>
        <w:jc w:val="both"/>
        <w:rPr>
          <w:rFonts w:ascii="Arial" w:hAnsi="Arial" w:cs="Arial"/>
        </w:rPr>
      </w:pPr>
    </w:p>
    <w:p w14:paraId="53EE210F" w14:textId="77777777" w:rsidR="00B01FCD" w:rsidRPr="00FB3A86" w:rsidRDefault="00B024B3" w:rsidP="007E32C4">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6EEF6C15">
          <v:shapetype id="_x0000_t32" coordsize="21600,21600" o:spt="32" o:oned="t" path="m,l21600,21600e" filled="f">
            <v:path arrowok="t" fillok="f" o:connecttype="none"/>
            <o:lock v:ext="edit" shapetype="t"/>
          </v:shapetype>
          <v:shape id="_x0000_s1079"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FC75040" w14:textId="479383F7" w:rsidR="00790ADA" w:rsidRPr="00FB3A86" w:rsidRDefault="00B01FCD" w:rsidP="007E32C4">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143C6BD" w14:textId="77777777" w:rsidTr="001E44FE">
        <w:tc>
          <w:tcPr>
            <w:tcW w:w="9576" w:type="dxa"/>
            <w:shd w:val="clear" w:color="auto" w:fill="F2F2F2"/>
          </w:tcPr>
          <w:p w14:paraId="1C5EA941" w14:textId="049797ED" w:rsidR="00E3114E" w:rsidRDefault="001E7D80" w:rsidP="007E32C4">
            <w:pPr>
              <w:pStyle w:val="Body"/>
              <w:spacing w:after="0"/>
              <w:rPr>
                <w:rFonts w:ascii="Arial" w:eastAsia="Calibri" w:hAnsi="Arial" w:cs="Arial"/>
                <w:szCs w:val="22"/>
              </w:rPr>
            </w:pPr>
            <w:r w:rsidRPr="001E7D80">
              <w:rPr>
                <w:rFonts w:ascii="Arial" w:eastAsia="Calibri" w:hAnsi="Arial" w:cs="Arial"/>
                <w:szCs w:val="22"/>
              </w:rPr>
              <w:t xml:space="preserve">This study investigated the relationship among self-assessed writing skills, learning strategies, and grammar proficiency of undergraduate students. Using a quantitative correlational design, the study involved 200 fourth-year students from two colleges in Davao City. Data were gathered through a structured questionnaire composed of three sections: self-assessed writing skills, learning strategies, and a grammar proficiency test. Findings revealed that while students rated their writing skills and use of learning strategies as high, their actual grammar proficiency was only at a satisfactory level. </w:t>
            </w:r>
            <w:r w:rsidR="001B699B">
              <w:rPr>
                <w:rFonts w:ascii="Arial" w:eastAsia="Calibri" w:hAnsi="Arial" w:cs="Arial"/>
                <w:szCs w:val="22"/>
              </w:rPr>
              <w:t>Correlation analysis indicated a weak but statistically significant relationship between writing skills and grammar proficiency,</w:t>
            </w:r>
            <w:r w:rsidRPr="001E7D80">
              <w:rPr>
                <w:rFonts w:ascii="Arial" w:eastAsia="Calibri" w:hAnsi="Arial" w:cs="Arial"/>
                <w:szCs w:val="22"/>
              </w:rPr>
              <w:t xml:space="preserve"> </w:t>
            </w:r>
            <w:r w:rsidR="001B699B">
              <w:rPr>
                <w:rFonts w:ascii="Arial" w:eastAsia="Calibri" w:hAnsi="Arial" w:cs="Arial"/>
                <w:szCs w:val="22"/>
              </w:rPr>
              <w:t xml:space="preserve">while learning strategies showed a slight correlation but did not significantly predict grammar proficiency in the regression analysis. </w:t>
            </w:r>
            <w:r w:rsidRPr="001E7D80">
              <w:rPr>
                <w:rFonts w:ascii="Arial" w:eastAsia="Calibri" w:hAnsi="Arial" w:cs="Arial"/>
                <w:szCs w:val="22"/>
              </w:rPr>
              <w:t>The results underscore the need for integrated instruction that develops both metacognitive awareness and grammar competence</w:t>
            </w:r>
            <w:r w:rsidR="004677DF">
              <w:rPr>
                <w:rFonts w:ascii="Arial" w:eastAsia="Calibri" w:hAnsi="Arial" w:cs="Arial"/>
                <w:szCs w:val="22"/>
              </w:rPr>
              <w:t>.</w:t>
            </w:r>
          </w:p>
          <w:p w14:paraId="09E0F134" w14:textId="77777777" w:rsidR="00E3114E" w:rsidRDefault="00E3114E" w:rsidP="007E32C4">
            <w:pPr>
              <w:pStyle w:val="Body"/>
              <w:spacing w:after="0"/>
              <w:rPr>
                <w:rFonts w:ascii="Arial" w:eastAsia="Calibri" w:hAnsi="Arial" w:cs="Arial"/>
                <w:b/>
                <w:szCs w:val="22"/>
              </w:rPr>
            </w:pPr>
          </w:p>
          <w:p w14:paraId="15921C4E" w14:textId="6E6883BB"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 xml:space="preserve">Aims: </w:t>
            </w:r>
            <w:r w:rsidR="00572951">
              <w:rPr>
                <w:rFonts w:ascii="Arial" w:eastAsia="Calibri" w:hAnsi="Arial" w:cs="Arial"/>
                <w:szCs w:val="22"/>
              </w:rPr>
              <w:t xml:space="preserve">This study aimed to examine the relationship between self-assessed writing skills, learning strategy use, and grammar proficiency among undergraduate English as </w:t>
            </w:r>
            <w:r w:rsidR="00417267">
              <w:rPr>
                <w:rFonts w:ascii="Arial" w:eastAsia="Calibri" w:hAnsi="Arial" w:cs="Arial"/>
                <w:szCs w:val="22"/>
              </w:rPr>
              <w:t xml:space="preserve">a </w:t>
            </w:r>
            <w:r w:rsidR="00572951">
              <w:rPr>
                <w:rFonts w:ascii="Arial" w:eastAsia="Calibri" w:hAnsi="Arial" w:cs="Arial"/>
                <w:szCs w:val="22"/>
              </w:rPr>
              <w:t>Second Language Students. It also sought to determine the accuracy of students’ self-assessments and identify significant predictors of grammar proficiency</w:t>
            </w:r>
            <w:r w:rsidR="008312D4">
              <w:rPr>
                <w:rFonts w:ascii="Arial" w:eastAsia="Calibri" w:hAnsi="Arial" w:cs="Arial"/>
                <w:szCs w:val="22"/>
              </w:rPr>
              <w:t>.</w:t>
            </w:r>
          </w:p>
          <w:p w14:paraId="305DA60D" w14:textId="77777777" w:rsidR="005D52A1" w:rsidRPr="00BA1B01" w:rsidRDefault="005D52A1" w:rsidP="007E32C4">
            <w:pPr>
              <w:pStyle w:val="Body"/>
              <w:spacing w:after="0"/>
              <w:rPr>
                <w:rFonts w:ascii="Arial" w:eastAsia="Calibri" w:hAnsi="Arial" w:cs="Arial"/>
                <w:szCs w:val="22"/>
              </w:rPr>
            </w:pPr>
          </w:p>
          <w:p w14:paraId="21548998" w14:textId="7A8B75B3"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E7D80" w:rsidRPr="001E7D80">
              <w:rPr>
                <w:rFonts w:ascii="Arial" w:eastAsia="Calibri" w:hAnsi="Arial" w:cs="Arial"/>
                <w:szCs w:val="22"/>
              </w:rPr>
              <w:t>A quantitative correlational design was employed to determine relationships among the variables.</w:t>
            </w:r>
          </w:p>
          <w:p w14:paraId="4A184F41" w14:textId="77777777" w:rsidR="005D52A1" w:rsidRPr="00BA1B01" w:rsidRDefault="005D52A1" w:rsidP="007E32C4">
            <w:pPr>
              <w:pStyle w:val="Body"/>
              <w:spacing w:after="0"/>
              <w:rPr>
                <w:rFonts w:ascii="Arial" w:eastAsia="Calibri" w:hAnsi="Arial" w:cs="Arial"/>
                <w:szCs w:val="22"/>
              </w:rPr>
            </w:pPr>
          </w:p>
          <w:p w14:paraId="432F5AF8" w14:textId="3099B8A0"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E7D80" w:rsidRPr="001E7D80">
              <w:rPr>
                <w:rFonts w:ascii="Arial" w:eastAsia="Calibri" w:hAnsi="Arial" w:cs="Arial"/>
                <w:szCs w:val="22"/>
              </w:rPr>
              <w:t>The study was conducted in two urban colleges in Davao City, Philippines, from November to December 2024.</w:t>
            </w:r>
          </w:p>
          <w:p w14:paraId="41459ECD" w14:textId="77777777" w:rsidR="005D52A1" w:rsidRPr="00BA1B01" w:rsidRDefault="005D52A1" w:rsidP="007E32C4">
            <w:pPr>
              <w:pStyle w:val="Body"/>
              <w:spacing w:after="0"/>
              <w:rPr>
                <w:rFonts w:ascii="Arial" w:eastAsia="Calibri" w:hAnsi="Arial" w:cs="Arial"/>
                <w:szCs w:val="22"/>
              </w:rPr>
            </w:pPr>
          </w:p>
          <w:p w14:paraId="0AC1B244" w14:textId="54F97EAF" w:rsidR="00BA1B01" w:rsidRDefault="00BA1B01" w:rsidP="007E32C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E7D80" w:rsidRPr="001E7D80">
              <w:rPr>
                <w:rFonts w:ascii="Arial" w:eastAsia="Calibri" w:hAnsi="Arial" w:cs="Arial"/>
                <w:szCs w:val="22"/>
              </w:rPr>
              <w:t>A total of 200 fourth-year students enrolled in English for Academic and Specific Purposes courses were selected through stratified random sampling. Data were collected using an adapted version of the ESLP 182 Questionnaire, which assessed students’ self-rated writing skills and learning strategy use. Grammar proficiency was measured using a 20-item multiple-choice test focusing on subject-verb agreement. Statistical analyses included descriptive statistics, Pearson correlation, and multiple regression.</w:t>
            </w:r>
          </w:p>
          <w:p w14:paraId="75284725" w14:textId="77777777" w:rsidR="00387C47" w:rsidRPr="00BA1B01" w:rsidRDefault="00387C47" w:rsidP="007E32C4">
            <w:pPr>
              <w:pStyle w:val="Body"/>
              <w:spacing w:after="0"/>
              <w:rPr>
                <w:rFonts w:ascii="Arial" w:eastAsia="Calibri" w:hAnsi="Arial" w:cs="Arial"/>
                <w:szCs w:val="22"/>
              </w:rPr>
            </w:pPr>
          </w:p>
          <w:p w14:paraId="65459E11" w14:textId="77777777" w:rsidR="00364FC8" w:rsidRDefault="00BA1B01" w:rsidP="007E32C4">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87C47" w:rsidRPr="00387C47">
              <w:rPr>
                <w:rFonts w:ascii="Arial" w:eastAsia="Calibri" w:hAnsi="Arial" w:cs="Arial"/>
                <w:szCs w:val="22"/>
              </w:rPr>
              <w:t xml:space="preserve">Findings indicated that students frequently overestimated their grammar and writing abilities. Learning strategy use showed a stronger predictive relationship with grammar proficiency (β = .43,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.001) compared to self-assessed writing skills (β = .18,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.05). The overall regression model was significant, </w:t>
            </w:r>
            <w:proofErr w:type="gramStart"/>
            <w:r w:rsidR="00387C47" w:rsidRPr="00387C47">
              <w:rPr>
                <w:rFonts w:ascii="Arial" w:eastAsia="Calibri" w:hAnsi="Arial" w:cs="Arial"/>
                <w:szCs w:val="22"/>
              </w:rPr>
              <w:t>F(</w:t>
            </w:r>
            <w:proofErr w:type="gramEnd"/>
            <w:r w:rsidR="00387C47" w:rsidRPr="00387C47">
              <w:rPr>
                <w:rFonts w:ascii="Arial" w:eastAsia="Calibri" w:hAnsi="Arial" w:cs="Arial"/>
                <w:szCs w:val="22"/>
              </w:rPr>
              <w:t xml:space="preserve">2, 197) = 28.56,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.001, explaining 22% of the variance in grammar proficiency (R² = .22).</w:t>
            </w:r>
          </w:p>
          <w:p w14:paraId="69DDA3E1" w14:textId="77777777" w:rsidR="00364FC8" w:rsidRDefault="00364FC8" w:rsidP="007E32C4">
            <w:pPr>
              <w:pStyle w:val="Body"/>
              <w:spacing w:after="0"/>
              <w:rPr>
                <w:rFonts w:ascii="Arial" w:eastAsia="Calibri" w:hAnsi="Arial" w:cs="Arial"/>
                <w:b/>
                <w:bCs/>
                <w:szCs w:val="22"/>
              </w:rPr>
            </w:pPr>
          </w:p>
          <w:p w14:paraId="687A2755" w14:textId="024EC551" w:rsidR="00505F06" w:rsidRPr="00BA1B01" w:rsidRDefault="00BA1B01" w:rsidP="007E32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64FC8" w:rsidRPr="00364FC8">
              <w:rPr>
                <w:rFonts w:ascii="Arial" w:eastAsia="Calibri" w:hAnsi="Arial" w:cs="Arial"/>
                <w:szCs w:val="22"/>
              </w:rPr>
              <w:t>The study highlights a significant gap between students’ perceived writing competence and actual grammar proficiency, emphasizing the need for targeted interventions that bridge metacognitive awareness with effective grammar instruction.</w:t>
            </w:r>
          </w:p>
        </w:tc>
      </w:tr>
    </w:tbl>
    <w:p w14:paraId="102C18DB" w14:textId="77777777" w:rsidR="00636EB2" w:rsidRDefault="00636EB2" w:rsidP="007E32C4">
      <w:pPr>
        <w:pStyle w:val="Body"/>
        <w:spacing w:after="0"/>
        <w:rPr>
          <w:rFonts w:ascii="Arial" w:hAnsi="Arial" w:cs="Arial"/>
          <w:i/>
        </w:rPr>
      </w:pPr>
    </w:p>
    <w:p w14:paraId="06C23505" w14:textId="79B52D4C" w:rsidR="00A24E7E" w:rsidRDefault="00A24E7E" w:rsidP="007E32C4">
      <w:pPr>
        <w:pStyle w:val="Body"/>
        <w:spacing w:after="0"/>
        <w:rPr>
          <w:rFonts w:ascii="Arial" w:hAnsi="Arial" w:cs="Arial"/>
          <w:i/>
        </w:rPr>
      </w:pPr>
      <w:r>
        <w:rPr>
          <w:rFonts w:ascii="Arial" w:hAnsi="Arial" w:cs="Arial"/>
          <w:i/>
        </w:rPr>
        <w:lastRenderedPageBreak/>
        <w:t xml:space="preserve">Keywords: </w:t>
      </w:r>
      <w:r w:rsidR="00387C47">
        <w:rPr>
          <w:rFonts w:ascii="Arial" w:hAnsi="Arial" w:cs="Arial"/>
          <w:i/>
        </w:rPr>
        <w:t>Self-assessment, writing skills, learning strategies, grammar proficiency, Metacognitive Theory, ESL Learners, self-regulation</w:t>
      </w:r>
      <w:r w:rsidR="0066510A">
        <w:rPr>
          <w:rFonts w:ascii="Arial" w:hAnsi="Arial" w:cs="Arial"/>
          <w:i/>
        </w:rPr>
        <w:t xml:space="preserve"> </w:t>
      </w:r>
    </w:p>
    <w:p w14:paraId="46611B59" w14:textId="77777777" w:rsidR="0024282C" w:rsidRDefault="0024282C" w:rsidP="007E32C4">
      <w:pPr>
        <w:pStyle w:val="Body"/>
        <w:spacing w:after="0"/>
        <w:rPr>
          <w:rFonts w:ascii="Arial" w:hAnsi="Arial" w:cs="Arial"/>
          <w:i/>
          <w:sz w:val="18"/>
        </w:rPr>
      </w:pPr>
    </w:p>
    <w:p w14:paraId="1662FD9A" w14:textId="77777777" w:rsidR="00505F06" w:rsidRPr="00A24E7E" w:rsidRDefault="00505F06" w:rsidP="007E32C4">
      <w:pPr>
        <w:pStyle w:val="Body"/>
        <w:spacing w:after="0"/>
        <w:rPr>
          <w:rFonts w:ascii="Arial" w:hAnsi="Arial" w:cs="Arial"/>
          <w:i/>
        </w:rPr>
      </w:pPr>
    </w:p>
    <w:p w14:paraId="6EA7AF5F" w14:textId="2AEE79FC" w:rsidR="007F7B32" w:rsidRDefault="00902823" w:rsidP="007E32C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1FFB2B8" w14:textId="77777777" w:rsidR="00790ADA" w:rsidRPr="00FB3A86" w:rsidRDefault="00790ADA" w:rsidP="007E32C4">
      <w:pPr>
        <w:pStyle w:val="AbstHead"/>
        <w:spacing w:after="0"/>
        <w:jc w:val="both"/>
        <w:rPr>
          <w:rFonts w:ascii="Arial" w:hAnsi="Arial" w:cs="Arial"/>
        </w:rPr>
      </w:pPr>
    </w:p>
    <w:p w14:paraId="4B09CF62" w14:textId="77777777" w:rsidR="00D50341" w:rsidRPr="00D50341" w:rsidRDefault="00D50341" w:rsidP="007E32C4">
      <w:pPr>
        <w:pStyle w:val="Body"/>
        <w:spacing w:after="0"/>
        <w:rPr>
          <w:rFonts w:ascii="Arial" w:hAnsi="Arial" w:cs="Arial"/>
          <w:lang w:val="en-PH"/>
        </w:rPr>
      </w:pPr>
      <w:r w:rsidRPr="00D50341">
        <w:rPr>
          <w:rFonts w:ascii="Arial" w:hAnsi="Arial" w:cs="Arial"/>
          <w:lang w:val="en-PH"/>
        </w:rPr>
        <w:t xml:space="preserve">A persistent problem in language education is students’ inaccurate perception of their grammar proficiency, which negatively affects their academic writing performance. While grammar is foundational to effective writing, many students struggle to assess their abilities accurately. Self-evaluation, as a metacognitive process, is meant to help students identify strengths and weaknesses and adjust their learning strategies (Dunn, 2021). However, it is often unreliable, with students either overestimating or underestimating their grammar skills (Zhang &amp; Zhang, 2022). This misjudgment, often due to the limitations of rubric-based evaluations, leads to a gap between perceived and actual proficiency, which affects learning outcomes (Cole et al., 2019; </w:t>
      </w:r>
      <w:proofErr w:type="spellStart"/>
      <w:r w:rsidRPr="00D50341">
        <w:rPr>
          <w:rFonts w:ascii="Arial" w:hAnsi="Arial" w:cs="Arial"/>
          <w:lang w:val="en-PH"/>
        </w:rPr>
        <w:t>Takarroucht</w:t>
      </w:r>
      <w:proofErr w:type="spellEnd"/>
      <w:r w:rsidRPr="00D50341">
        <w:rPr>
          <w:rFonts w:ascii="Arial" w:hAnsi="Arial" w:cs="Arial"/>
          <w:lang w:val="en-PH"/>
        </w:rPr>
        <w:t>, 2022).</w:t>
      </w:r>
    </w:p>
    <w:p w14:paraId="5265C1AF" w14:textId="77777777" w:rsidR="00D50341" w:rsidRPr="00D50341" w:rsidRDefault="00D50341" w:rsidP="007E32C4">
      <w:pPr>
        <w:pStyle w:val="Body"/>
        <w:spacing w:after="0"/>
        <w:rPr>
          <w:rFonts w:ascii="Arial" w:hAnsi="Arial" w:cs="Arial"/>
          <w:lang w:val="en-PH"/>
        </w:rPr>
      </w:pPr>
      <w:r w:rsidRPr="00D50341">
        <w:rPr>
          <w:rFonts w:ascii="Arial" w:hAnsi="Arial" w:cs="Arial"/>
          <w:lang w:val="en-PH"/>
        </w:rPr>
        <w:t>Studies show that students often focus on surface-level aspects such as punctuation and sentence structure, rather than deeper grammatical cohesion (</w:t>
      </w:r>
      <w:proofErr w:type="spellStart"/>
      <w:r w:rsidRPr="00D50341">
        <w:rPr>
          <w:rFonts w:ascii="Arial" w:hAnsi="Arial" w:cs="Arial"/>
          <w:lang w:val="en-PH"/>
        </w:rPr>
        <w:t>Fitri</w:t>
      </w:r>
      <w:proofErr w:type="spellEnd"/>
      <w:r w:rsidRPr="00D50341">
        <w:rPr>
          <w:rFonts w:ascii="Arial" w:hAnsi="Arial" w:cs="Arial"/>
          <w:lang w:val="en-PH"/>
        </w:rPr>
        <w:t xml:space="preserve"> &amp; </w:t>
      </w:r>
      <w:proofErr w:type="spellStart"/>
      <w:r w:rsidRPr="00D50341">
        <w:rPr>
          <w:rFonts w:ascii="Arial" w:hAnsi="Arial" w:cs="Arial"/>
          <w:lang w:val="en-PH"/>
        </w:rPr>
        <w:t>Rifaat</w:t>
      </w:r>
      <w:proofErr w:type="spellEnd"/>
      <w:r w:rsidRPr="00D50341">
        <w:rPr>
          <w:rFonts w:ascii="Arial" w:hAnsi="Arial" w:cs="Arial"/>
          <w:lang w:val="en-PH"/>
        </w:rPr>
        <w:t>, 2022). They also struggle to interpret rubric criteria, resulting in inconsistent self-assessments (</w:t>
      </w:r>
      <w:proofErr w:type="spellStart"/>
      <w:r w:rsidRPr="00D50341">
        <w:rPr>
          <w:rFonts w:ascii="Arial" w:hAnsi="Arial" w:cs="Arial"/>
          <w:lang w:val="en-PH"/>
        </w:rPr>
        <w:t>Alghizzi</w:t>
      </w:r>
      <w:proofErr w:type="spellEnd"/>
      <w:r w:rsidRPr="00D50341">
        <w:rPr>
          <w:rFonts w:ascii="Arial" w:hAnsi="Arial" w:cs="Arial"/>
          <w:lang w:val="en-PH"/>
        </w:rPr>
        <w:t xml:space="preserve"> &amp; </w:t>
      </w:r>
      <w:proofErr w:type="spellStart"/>
      <w:r w:rsidRPr="00D50341">
        <w:rPr>
          <w:rFonts w:ascii="Arial" w:hAnsi="Arial" w:cs="Arial"/>
          <w:lang w:val="en-PH"/>
        </w:rPr>
        <w:t>Alshahrani</w:t>
      </w:r>
      <w:proofErr w:type="spellEnd"/>
      <w:r w:rsidRPr="00D50341">
        <w:rPr>
          <w:rFonts w:ascii="Arial" w:hAnsi="Arial" w:cs="Arial"/>
          <w:lang w:val="en-PH"/>
        </w:rPr>
        <w:t>, 2024). In China, Zhang and Qin (2022) found that university students overestimated their grammar and mechanics. Similar findings emerged in Thailand, where students had difficulty applying self-assessment strategies (</w:t>
      </w:r>
      <w:proofErr w:type="spellStart"/>
      <w:r w:rsidRPr="00D50341">
        <w:rPr>
          <w:rFonts w:ascii="Arial" w:hAnsi="Arial" w:cs="Arial"/>
          <w:lang w:val="en-PH"/>
        </w:rPr>
        <w:t>Dhanarattigannon</w:t>
      </w:r>
      <w:proofErr w:type="spellEnd"/>
      <w:r w:rsidRPr="00D50341">
        <w:rPr>
          <w:rFonts w:ascii="Arial" w:hAnsi="Arial" w:cs="Arial"/>
          <w:lang w:val="en-PH"/>
        </w:rPr>
        <w:t xml:space="preserve"> &amp; </w:t>
      </w:r>
      <w:proofErr w:type="spellStart"/>
      <w:r w:rsidRPr="00D50341">
        <w:rPr>
          <w:rFonts w:ascii="Arial" w:hAnsi="Arial" w:cs="Arial"/>
          <w:lang w:val="en-PH"/>
        </w:rPr>
        <w:t>Thienpermpool</w:t>
      </w:r>
      <w:proofErr w:type="spellEnd"/>
      <w:r w:rsidRPr="00D50341">
        <w:rPr>
          <w:rFonts w:ascii="Arial" w:hAnsi="Arial" w:cs="Arial"/>
          <w:lang w:val="en-PH"/>
        </w:rPr>
        <w:t>, 2022). In the Philippines, despite an emphasis on grammar instruction, students continued to overrate their skills (Santos et al., 2022).</w:t>
      </w:r>
    </w:p>
    <w:p w14:paraId="24C443AC" w14:textId="24D7E17F" w:rsidR="00D50341" w:rsidRPr="00D50341" w:rsidRDefault="00D50341" w:rsidP="007E32C4">
      <w:pPr>
        <w:pStyle w:val="Body"/>
        <w:spacing w:after="0"/>
        <w:rPr>
          <w:rFonts w:ascii="Arial" w:hAnsi="Arial" w:cs="Arial"/>
          <w:lang w:val="en-PH"/>
        </w:rPr>
      </w:pPr>
      <w:r w:rsidRPr="00D50341">
        <w:rPr>
          <w:rFonts w:ascii="Arial" w:hAnsi="Arial" w:cs="Arial"/>
          <w:lang w:val="en-PH"/>
        </w:rPr>
        <w:t>Flavell’s Metacognitive Theory helps explain this issue. It emphasizes the importance of metacognitive knowledge and regulation</w:t>
      </w:r>
      <w:r w:rsidR="001604A5">
        <w:rPr>
          <w:rFonts w:ascii="Arial" w:hAnsi="Arial" w:cs="Arial"/>
          <w:lang w:val="en-PH"/>
        </w:rPr>
        <w:t xml:space="preserve">, </w:t>
      </w:r>
      <w:r w:rsidRPr="00D50341">
        <w:rPr>
          <w:rFonts w:ascii="Arial" w:hAnsi="Arial" w:cs="Arial"/>
          <w:lang w:val="en-PH"/>
        </w:rPr>
        <w:t>skills that support planning, monitoring, and evaluating one’s learning. Yet many students lack awareness of their grammatical weaknesses and fail to recognize or correct their errors (</w:t>
      </w:r>
      <w:proofErr w:type="spellStart"/>
      <w:r w:rsidRPr="00D50341">
        <w:rPr>
          <w:rFonts w:ascii="Arial" w:hAnsi="Arial" w:cs="Arial"/>
          <w:lang w:val="en-PH"/>
        </w:rPr>
        <w:t>Suastra</w:t>
      </w:r>
      <w:proofErr w:type="spellEnd"/>
      <w:r w:rsidRPr="00D50341">
        <w:rPr>
          <w:rFonts w:ascii="Arial" w:hAnsi="Arial" w:cs="Arial"/>
          <w:lang w:val="en-PH"/>
        </w:rPr>
        <w:t xml:space="preserve"> &amp; </w:t>
      </w:r>
      <w:proofErr w:type="spellStart"/>
      <w:r w:rsidRPr="00D50341">
        <w:rPr>
          <w:rFonts w:ascii="Arial" w:hAnsi="Arial" w:cs="Arial"/>
          <w:lang w:val="en-PH"/>
        </w:rPr>
        <w:t>Menggo</w:t>
      </w:r>
      <w:proofErr w:type="spellEnd"/>
      <w:r w:rsidRPr="00D50341">
        <w:rPr>
          <w:rFonts w:ascii="Arial" w:hAnsi="Arial" w:cs="Arial"/>
          <w:lang w:val="en-PH"/>
        </w:rPr>
        <w:t>, 2020). Still, self-assessment tasks have shown potential in boosting confidence and helping learners identify areas for improvement (Qasem, 2020).</w:t>
      </w:r>
    </w:p>
    <w:p w14:paraId="1864E2F2" w14:textId="77777777" w:rsidR="00D50341" w:rsidRDefault="00D50341" w:rsidP="007E32C4">
      <w:pPr>
        <w:pStyle w:val="Body"/>
        <w:spacing w:after="0"/>
        <w:rPr>
          <w:rFonts w:ascii="Arial" w:hAnsi="Arial" w:cs="Arial"/>
          <w:lang w:val="en-PH"/>
        </w:rPr>
      </w:pPr>
      <w:r w:rsidRPr="00D50341">
        <w:rPr>
          <w:rFonts w:ascii="Arial" w:hAnsi="Arial" w:cs="Arial"/>
          <w:lang w:val="en-PH"/>
        </w:rPr>
        <w:t>Given these challenges, there is a need to investigate the relationship between students’ self-assessment in writing, their use of learning strategies, and their actual grammar proficiency. Understanding how these factors interact can lead to better self-assessment practices and improved alignment between perceived and actual writing skills.</w:t>
      </w:r>
    </w:p>
    <w:p w14:paraId="13EEE0D5" w14:textId="77777777" w:rsidR="0088678D" w:rsidRDefault="0088678D" w:rsidP="007E32C4">
      <w:pPr>
        <w:pStyle w:val="Body"/>
        <w:spacing w:after="0"/>
        <w:rPr>
          <w:rFonts w:ascii="Arial" w:hAnsi="Arial" w:cs="Arial"/>
          <w:lang w:val="en-PH"/>
        </w:rPr>
      </w:pPr>
    </w:p>
    <w:p w14:paraId="7B5668BB" w14:textId="3F2E3492" w:rsidR="002E4906" w:rsidRDefault="002E4906" w:rsidP="007E32C4">
      <w:pPr>
        <w:pStyle w:val="Body"/>
        <w:spacing w:after="0"/>
        <w:rPr>
          <w:rFonts w:ascii="Arial" w:hAnsi="Arial" w:cs="Arial"/>
          <w:lang w:val="en-PH"/>
        </w:rPr>
      </w:pPr>
    </w:p>
    <w:p w14:paraId="54DF0719" w14:textId="58BBA850" w:rsidR="002E4906" w:rsidRPr="00D50341" w:rsidRDefault="002E4906" w:rsidP="007E32C4">
      <w:pPr>
        <w:pStyle w:val="Body"/>
        <w:spacing w:after="0"/>
        <w:rPr>
          <w:rFonts w:ascii="Arial" w:hAnsi="Arial" w:cs="Arial"/>
          <w:lang w:val="en-PH"/>
        </w:rPr>
      </w:pPr>
    </w:p>
    <w:p w14:paraId="036A6163" w14:textId="2E283D1A" w:rsidR="00D50341" w:rsidRDefault="00B024B3" w:rsidP="007E32C4">
      <w:pPr>
        <w:pStyle w:val="Body"/>
        <w:spacing w:after="0"/>
        <w:rPr>
          <w:rFonts w:ascii="Arial" w:hAnsi="Arial" w:cs="Arial"/>
        </w:rPr>
      </w:pPr>
      <w:r>
        <w:rPr>
          <w:noProof/>
        </w:rPr>
        <w:pict w14:anchorId="7C521777">
          <v:shapetype id="_x0000_t202" coordsize="21600,21600" o:spt="202" path="m,l,21600r21600,l21600,xe">
            <v:stroke joinstyle="miter"/>
            <v:path gradientshapeok="t" o:connecttype="rect"/>
          </v:shapetype>
          <v:shape id="Text Box 2" o:spid="_x0000_s1074" type="#_x0000_t202" style="position:absolute;left:0;text-align:left;margin-left:23.9pt;margin-top:1.3pt;width:163.2pt;height:78.25pt;z-index:25167667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Text Box 2;mso-fit-shape-to-text:t">
              <w:txbxContent>
                <w:p w14:paraId="0BEE8952" w14:textId="77777777" w:rsidR="002E4906" w:rsidRDefault="002E4906" w:rsidP="002E4906">
                  <w:pPr>
                    <w:rPr>
                      <w:b/>
                      <w:bCs/>
                    </w:rPr>
                  </w:pPr>
                  <w:r>
                    <w:rPr>
                      <w:b/>
                      <w:bCs/>
                    </w:rPr>
                    <w:t>Self-Assessment of Writing Skills</w:t>
                  </w:r>
                </w:p>
                <w:p w14:paraId="5916C6E9" w14:textId="77777777" w:rsidR="002E4906" w:rsidRDefault="002E4906" w:rsidP="002E4906">
                  <w:pPr>
                    <w:pStyle w:val="ListParagraph"/>
                    <w:numPr>
                      <w:ilvl w:val="0"/>
                      <w:numId w:val="32"/>
                    </w:numPr>
                    <w:spacing w:after="0" w:line="240" w:lineRule="auto"/>
                    <w:rPr>
                      <w:sz w:val="20"/>
                      <w:szCs w:val="20"/>
                    </w:rPr>
                  </w:pPr>
                  <w:r>
                    <w:rPr>
                      <w:sz w:val="20"/>
                      <w:szCs w:val="20"/>
                    </w:rPr>
                    <w:t xml:space="preserve">Students' Independence </w:t>
                  </w:r>
                </w:p>
                <w:p w14:paraId="59D9B45B" w14:textId="77777777" w:rsidR="002E4906" w:rsidRDefault="002E4906" w:rsidP="002E4906">
                  <w:pPr>
                    <w:pStyle w:val="ListParagraph"/>
                    <w:numPr>
                      <w:ilvl w:val="0"/>
                      <w:numId w:val="32"/>
                    </w:numPr>
                    <w:spacing w:after="0" w:line="240" w:lineRule="auto"/>
                    <w:rPr>
                      <w:sz w:val="20"/>
                      <w:szCs w:val="20"/>
                    </w:rPr>
                  </w:pPr>
                  <w:r>
                    <w:rPr>
                      <w:sz w:val="20"/>
                      <w:szCs w:val="20"/>
                    </w:rPr>
                    <w:t>Writing Competence</w:t>
                  </w:r>
                </w:p>
                <w:p w14:paraId="0FE8ED7D" w14:textId="77777777" w:rsidR="002E4906" w:rsidRDefault="002E4906" w:rsidP="002E4906">
                  <w:pPr>
                    <w:rPr>
                      <w:i/>
                      <w:iCs/>
                      <w:sz w:val="18"/>
                      <w:szCs w:val="18"/>
                    </w:rPr>
                  </w:pPr>
                  <w:r>
                    <w:rPr>
                      <w:i/>
                      <w:iCs/>
                      <w:sz w:val="18"/>
                      <w:szCs w:val="18"/>
                    </w:rPr>
                    <w:t xml:space="preserve">     (</w:t>
                  </w:r>
                  <w:r>
                    <w:rPr>
                      <w:rFonts w:ascii="Arial" w:hAnsi="Arial" w:cs="Arial"/>
                      <w:i/>
                      <w:iCs/>
                      <w:sz w:val="18"/>
                      <w:szCs w:val="18"/>
                    </w:rPr>
                    <w:t xml:space="preserve">Andrade &amp; </w:t>
                  </w:r>
                  <w:proofErr w:type="spellStart"/>
                  <w:r>
                    <w:rPr>
                      <w:rFonts w:ascii="Arial" w:hAnsi="Arial" w:cs="Arial"/>
                      <w:i/>
                      <w:iCs/>
                      <w:sz w:val="18"/>
                      <w:szCs w:val="18"/>
                    </w:rPr>
                    <w:t>Valtcheva</w:t>
                  </w:r>
                  <w:proofErr w:type="spellEnd"/>
                  <w:r>
                    <w:rPr>
                      <w:rFonts w:ascii="Arial" w:hAnsi="Arial" w:cs="Arial"/>
                      <w:i/>
                      <w:iCs/>
                      <w:sz w:val="18"/>
                      <w:szCs w:val="18"/>
                    </w:rPr>
                    <w:t>, 2009)</w:t>
                  </w:r>
                </w:p>
                <w:p w14:paraId="51DA3BB1" w14:textId="21B73164" w:rsidR="002E4906" w:rsidRDefault="002E4906"/>
              </w:txbxContent>
            </v:textbox>
            <w10:wrap type="square"/>
          </v:shape>
        </w:pict>
      </w:r>
    </w:p>
    <w:p w14:paraId="53F9F04C" w14:textId="75F91438" w:rsidR="00790ADA" w:rsidRDefault="00790ADA" w:rsidP="007E32C4">
      <w:pPr>
        <w:pStyle w:val="Body"/>
        <w:spacing w:after="0"/>
        <w:rPr>
          <w:rFonts w:ascii="Arial" w:hAnsi="Arial" w:cs="Arial"/>
        </w:rPr>
      </w:pPr>
    </w:p>
    <w:p w14:paraId="22EA11D3" w14:textId="6DF54C43" w:rsidR="002E4906" w:rsidRDefault="002E4906" w:rsidP="007E32C4">
      <w:pPr>
        <w:pStyle w:val="Body"/>
        <w:spacing w:after="0"/>
        <w:rPr>
          <w:rFonts w:ascii="Arial" w:hAnsi="Arial" w:cs="Arial"/>
        </w:rPr>
      </w:pPr>
    </w:p>
    <w:p w14:paraId="021CD3A8" w14:textId="6EB363C5" w:rsidR="002E4906" w:rsidRDefault="00B024B3" w:rsidP="007E32C4">
      <w:pPr>
        <w:pStyle w:val="Body"/>
        <w:spacing w:after="0"/>
        <w:rPr>
          <w:rFonts w:ascii="Arial" w:hAnsi="Arial" w:cs="Arial"/>
        </w:rPr>
      </w:pPr>
      <w:r>
        <w:rPr>
          <w:rFonts w:ascii="Arial" w:hAnsi="Arial" w:cs="Arial"/>
          <w:noProof/>
        </w:rPr>
        <w:pict w14:anchorId="73078143">
          <v:shape id="_x0000_s1077" type="#_x0000_t32" style="position:absolute;left:0;text-align:left;margin-left:-10.1pt;margin-top:6.45pt;width:60.2pt;height:29.85pt;z-index:251679744" o:connectortype="straight">
            <v:stroke endarrow="block"/>
          </v:shape>
        </w:pict>
      </w:r>
    </w:p>
    <w:p w14:paraId="5EF28B31" w14:textId="29FCC277" w:rsidR="002E4906" w:rsidRDefault="00B024B3" w:rsidP="007E32C4">
      <w:pPr>
        <w:pStyle w:val="Body"/>
        <w:spacing w:after="0"/>
        <w:rPr>
          <w:rFonts w:ascii="Arial" w:hAnsi="Arial" w:cs="Arial"/>
        </w:rPr>
      </w:pPr>
      <w:r>
        <w:rPr>
          <w:noProof/>
        </w:rPr>
        <w:pict w14:anchorId="7C521777">
          <v:shape id="_x0000_s1076" type="#_x0000_t202" style="position:absolute;left:0;text-align:left;margin-left:49.05pt;margin-top:8.4pt;width:163pt;height:68pt;z-index:25167872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_x0000_s1076;mso-fit-shape-to-text:t">
              <w:txbxContent>
                <w:p w14:paraId="7BDD7864" w14:textId="77777777" w:rsidR="002E4906" w:rsidRDefault="002E4906" w:rsidP="002E4906">
                  <w:pPr>
                    <w:rPr>
                      <w:b/>
                      <w:bCs/>
                    </w:rPr>
                  </w:pPr>
                  <w:r>
                    <w:rPr>
                      <w:b/>
                      <w:bCs/>
                    </w:rPr>
                    <w:t>Grammar Proficiency</w:t>
                  </w:r>
                </w:p>
                <w:p w14:paraId="7A609B7F" w14:textId="77777777" w:rsidR="002E4906" w:rsidRDefault="002E4906" w:rsidP="002E4906">
                  <w:pPr>
                    <w:pStyle w:val="ListParagraph"/>
                    <w:numPr>
                      <w:ilvl w:val="0"/>
                      <w:numId w:val="33"/>
                    </w:numPr>
                    <w:spacing w:after="0" w:line="240" w:lineRule="auto"/>
                    <w:rPr>
                      <w:sz w:val="20"/>
                      <w:szCs w:val="20"/>
                    </w:rPr>
                  </w:pPr>
                  <w:r>
                    <w:rPr>
                      <w:sz w:val="20"/>
                      <w:szCs w:val="20"/>
                    </w:rPr>
                    <w:t>Comprehensive Understanding of Grammar Rules</w:t>
                  </w:r>
                </w:p>
                <w:p w14:paraId="673A4B0C" w14:textId="77777777" w:rsidR="002E4906" w:rsidRDefault="002E4906" w:rsidP="002E4906">
                  <w:pPr>
                    <w:rPr>
                      <w:i/>
                      <w:iCs/>
                    </w:rPr>
                  </w:pPr>
                  <w:r>
                    <w:rPr>
                      <w:i/>
                      <w:iCs/>
                    </w:rPr>
                    <w:t xml:space="preserve">          (</w:t>
                  </w:r>
                  <w:proofErr w:type="spellStart"/>
                  <w:r>
                    <w:rPr>
                      <w:i/>
                      <w:iCs/>
                    </w:rPr>
                    <w:t>Sioco</w:t>
                  </w:r>
                  <w:proofErr w:type="spellEnd"/>
                  <w:r>
                    <w:rPr>
                      <w:i/>
                      <w:iCs/>
                    </w:rPr>
                    <w:t xml:space="preserve"> &amp; De Vera, 2018)</w:t>
                  </w:r>
                </w:p>
                <w:p w14:paraId="4B6EF328" w14:textId="646E7077" w:rsidR="002E4906" w:rsidRPr="002E4906" w:rsidRDefault="002E4906">
                  <w:pPr>
                    <w:rPr>
                      <w:i/>
                      <w:iCs/>
                      <w:sz w:val="14"/>
                      <w:szCs w:val="14"/>
                    </w:rPr>
                  </w:pPr>
                </w:p>
              </w:txbxContent>
            </v:textbox>
            <w10:wrap type="square"/>
          </v:shape>
        </w:pict>
      </w:r>
    </w:p>
    <w:p w14:paraId="5622A9A7" w14:textId="77777777" w:rsidR="002E4906" w:rsidRDefault="002E4906" w:rsidP="007E32C4">
      <w:pPr>
        <w:pStyle w:val="Body"/>
        <w:spacing w:after="0"/>
        <w:rPr>
          <w:rFonts w:ascii="Arial" w:hAnsi="Arial" w:cs="Arial"/>
        </w:rPr>
      </w:pPr>
    </w:p>
    <w:p w14:paraId="0319A702" w14:textId="61A6B225" w:rsidR="002E4906" w:rsidRDefault="002E4906" w:rsidP="007E32C4">
      <w:pPr>
        <w:pStyle w:val="Body"/>
        <w:spacing w:after="0"/>
        <w:rPr>
          <w:rFonts w:ascii="Arial" w:hAnsi="Arial" w:cs="Arial"/>
        </w:rPr>
      </w:pPr>
    </w:p>
    <w:p w14:paraId="581DB4FE" w14:textId="72B64995" w:rsidR="002E4906" w:rsidRDefault="002E4906" w:rsidP="007E32C4">
      <w:pPr>
        <w:pStyle w:val="Body"/>
        <w:spacing w:after="0"/>
        <w:rPr>
          <w:rFonts w:ascii="Arial" w:hAnsi="Arial" w:cs="Arial"/>
        </w:rPr>
      </w:pPr>
    </w:p>
    <w:p w14:paraId="400DFDD6" w14:textId="4608687E" w:rsidR="002E4906" w:rsidRDefault="00B024B3" w:rsidP="007E32C4">
      <w:pPr>
        <w:pStyle w:val="Body"/>
        <w:spacing w:after="0"/>
        <w:rPr>
          <w:rFonts w:ascii="Arial" w:hAnsi="Arial" w:cs="Arial"/>
        </w:rPr>
      </w:pPr>
      <w:r>
        <w:rPr>
          <w:noProof/>
        </w:rPr>
        <w:pict w14:anchorId="4B9D77C6">
          <v:shape id="_x0000_s1078" type="#_x0000_t32" style="position:absolute;left:0;text-align:left;margin-left:-9.6pt;margin-top:6pt;width:60.65pt;height:31.9pt;flip:y;z-index:251680768" o:connectortype="straight">
            <v:stroke endarrow="block"/>
          </v:shape>
        </w:pict>
      </w:r>
      <w:r>
        <w:rPr>
          <w:noProof/>
        </w:rPr>
        <w:pict w14:anchorId="7C521777">
          <v:shape id="_x0000_s1075" type="#_x0000_t202" style="position:absolute;left:0;text-align:left;margin-left:22.95pt;margin-top:6.75pt;width:163.1pt;height:68pt;z-index:25167769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_x0000_s1075;mso-fit-shape-to-text:t">
              <w:txbxContent>
                <w:p w14:paraId="73BD24C9" w14:textId="77777777" w:rsidR="002E4906" w:rsidRDefault="002E4906" w:rsidP="002E4906">
                  <w:pPr>
                    <w:rPr>
                      <w:b/>
                      <w:bCs/>
                    </w:rPr>
                  </w:pPr>
                  <w:r>
                    <w:rPr>
                      <w:b/>
                      <w:bCs/>
                    </w:rPr>
                    <w:t>Learning Strategies Use</w:t>
                  </w:r>
                </w:p>
                <w:p w14:paraId="3A3919AC" w14:textId="77777777" w:rsidR="002E4906" w:rsidRDefault="002E4906" w:rsidP="002E4906">
                  <w:pPr>
                    <w:pStyle w:val="ListParagraph"/>
                    <w:numPr>
                      <w:ilvl w:val="0"/>
                      <w:numId w:val="34"/>
                    </w:numPr>
                    <w:spacing w:after="0" w:line="240" w:lineRule="auto"/>
                    <w:rPr>
                      <w:sz w:val="20"/>
                      <w:szCs w:val="20"/>
                    </w:rPr>
                  </w:pPr>
                  <w:r>
                    <w:rPr>
                      <w:sz w:val="20"/>
                      <w:szCs w:val="20"/>
                    </w:rPr>
                    <w:t>Value Components</w:t>
                  </w:r>
                </w:p>
                <w:p w14:paraId="3B9AAFA1" w14:textId="77777777" w:rsidR="002E4906" w:rsidRDefault="002E4906" w:rsidP="002E4906">
                  <w:pPr>
                    <w:pStyle w:val="ListParagraph"/>
                    <w:numPr>
                      <w:ilvl w:val="0"/>
                      <w:numId w:val="34"/>
                    </w:numPr>
                    <w:spacing w:after="0" w:line="240" w:lineRule="auto"/>
                    <w:rPr>
                      <w:sz w:val="20"/>
                      <w:szCs w:val="20"/>
                    </w:rPr>
                  </w:pPr>
                  <w:r>
                    <w:rPr>
                      <w:sz w:val="20"/>
                      <w:szCs w:val="20"/>
                    </w:rPr>
                    <w:t>Expectancy Components</w:t>
                  </w:r>
                </w:p>
                <w:p w14:paraId="38508CA7" w14:textId="77777777" w:rsidR="002E4906" w:rsidRDefault="002E4906" w:rsidP="002E4906">
                  <w:pPr>
                    <w:pStyle w:val="ListParagraph"/>
                    <w:numPr>
                      <w:ilvl w:val="0"/>
                      <w:numId w:val="34"/>
                    </w:numPr>
                    <w:spacing w:after="0" w:line="240" w:lineRule="auto"/>
                    <w:rPr>
                      <w:sz w:val="20"/>
                      <w:szCs w:val="20"/>
                    </w:rPr>
                  </w:pPr>
                  <w:r>
                    <w:rPr>
                      <w:sz w:val="20"/>
                      <w:szCs w:val="20"/>
                    </w:rPr>
                    <w:t>Affective Components</w:t>
                  </w:r>
                </w:p>
                <w:p w14:paraId="67E80734" w14:textId="548D307B" w:rsidR="002E4906" w:rsidRPr="002E4906" w:rsidRDefault="002E4906">
                  <w:pPr>
                    <w:rPr>
                      <w:i/>
                      <w:iCs/>
                      <w:sz w:val="14"/>
                      <w:szCs w:val="14"/>
                    </w:rPr>
                  </w:pPr>
                  <w:r>
                    <w:rPr>
                      <w:rFonts w:ascii="Arial" w:hAnsi="Arial" w:cs="Arial"/>
                      <w:i/>
                      <w:iCs/>
                      <w:sz w:val="18"/>
                      <w:szCs w:val="18"/>
                    </w:rPr>
                    <w:t xml:space="preserve">    (Hariri et. al, 2020).</w:t>
                  </w:r>
                </w:p>
              </w:txbxContent>
            </v:textbox>
            <w10:wrap type="square"/>
          </v:shape>
        </w:pict>
      </w:r>
    </w:p>
    <w:p w14:paraId="576B2E29" w14:textId="7B3B38BE" w:rsidR="002E4906" w:rsidRDefault="002E4906" w:rsidP="007E32C4">
      <w:pPr>
        <w:pStyle w:val="Body"/>
        <w:spacing w:after="0"/>
        <w:rPr>
          <w:rFonts w:ascii="Arial" w:hAnsi="Arial" w:cs="Arial"/>
        </w:rPr>
      </w:pPr>
    </w:p>
    <w:p w14:paraId="72DACFDB" w14:textId="2237D542" w:rsidR="002E4906" w:rsidRDefault="002E4906" w:rsidP="007E32C4">
      <w:pPr>
        <w:pStyle w:val="Body"/>
        <w:spacing w:after="0"/>
        <w:rPr>
          <w:rFonts w:ascii="Arial" w:hAnsi="Arial" w:cs="Arial"/>
        </w:rPr>
      </w:pPr>
    </w:p>
    <w:p w14:paraId="01F93388" w14:textId="17A59316" w:rsidR="002E4906" w:rsidRDefault="002E4906" w:rsidP="007E32C4">
      <w:pPr>
        <w:pStyle w:val="Body"/>
        <w:spacing w:after="0"/>
        <w:rPr>
          <w:rFonts w:ascii="Arial" w:hAnsi="Arial" w:cs="Arial"/>
        </w:rPr>
      </w:pPr>
    </w:p>
    <w:p w14:paraId="3D480DAD" w14:textId="77777777" w:rsidR="002E4906" w:rsidRDefault="002E4906" w:rsidP="007E32C4">
      <w:pPr>
        <w:pStyle w:val="Body"/>
        <w:spacing w:after="0"/>
        <w:rPr>
          <w:rFonts w:ascii="Arial" w:hAnsi="Arial" w:cs="Arial"/>
        </w:rPr>
      </w:pPr>
    </w:p>
    <w:p w14:paraId="71DC6975" w14:textId="77777777" w:rsidR="002E4906" w:rsidRDefault="002E4906" w:rsidP="007E32C4">
      <w:pPr>
        <w:pStyle w:val="Body"/>
        <w:spacing w:after="0"/>
        <w:rPr>
          <w:rFonts w:ascii="Arial" w:hAnsi="Arial" w:cs="Arial"/>
        </w:rPr>
      </w:pPr>
    </w:p>
    <w:p w14:paraId="0C7C4E7C" w14:textId="77777777" w:rsidR="002E4906" w:rsidRDefault="002E4906" w:rsidP="007E32C4">
      <w:pPr>
        <w:pStyle w:val="Body"/>
        <w:spacing w:after="0"/>
        <w:rPr>
          <w:rFonts w:ascii="Arial" w:hAnsi="Arial" w:cs="Arial"/>
        </w:rPr>
      </w:pPr>
    </w:p>
    <w:p w14:paraId="5B1889EA" w14:textId="77777777" w:rsidR="002E4906" w:rsidRDefault="002E4906" w:rsidP="007E32C4">
      <w:pPr>
        <w:pStyle w:val="Body"/>
        <w:spacing w:after="0"/>
        <w:rPr>
          <w:rFonts w:ascii="Arial" w:hAnsi="Arial" w:cs="Arial"/>
        </w:rPr>
      </w:pPr>
    </w:p>
    <w:p w14:paraId="70777907" w14:textId="0AE12534" w:rsidR="0088678D" w:rsidRPr="0088678D" w:rsidRDefault="0088678D" w:rsidP="00546DF2">
      <w:pPr>
        <w:pStyle w:val="Body"/>
        <w:spacing w:after="0"/>
        <w:jc w:val="center"/>
        <w:rPr>
          <w:rFonts w:ascii="Arial" w:hAnsi="Arial" w:cs="Arial"/>
          <w:b/>
          <w:bCs/>
          <w:sz w:val="22"/>
          <w:szCs w:val="22"/>
        </w:rPr>
      </w:pPr>
      <w:r w:rsidRPr="0088678D">
        <w:rPr>
          <w:rFonts w:ascii="Arial" w:hAnsi="Arial" w:cs="Arial"/>
          <w:b/>
          <w:bCs/>
          <w:sz w:val="22"/>
          <w:szCs w:val="22"/>
        </w:rPr>
        <w:t>Metacognitive Theory</w:t>
      </w:r>
    </w:p>
    <w:p w14:paraId="66136BFE" w14:textId="52D5D5CA" w:rsidR="002E4906" w:rsidRPr="0088678D" w:rsidRDefault="002E4906" w:rsidP="00546DF2">
      <w:pPr>
        <w:pStyle w:val="Body"/>
        <w:spacing w:after="0"/>
        <w:jc w:val="center"/>
        <w:rPr>
          <w:rFonts w:ascii="Arial" w:hAnsi="Arial" w:cs="Arial"/>
          <w:b/>
          <w:bCs/>
          <w:sz w:val="22"/>
          <w:szCs w:val="22"/>
        </w:rPr>
      </w:pPr>
      <w:r w:rsidRPr="0088678D">
        <w:rPr>
          <w:rFonts w:ascii="Arial" w:hAnsi="Arial" w:cs="Arial"/>
          <w:b/>
          <w:bCs/>
          <w:sz w:val="22"/>
          <w:szCs w:val="22"/>
        </w:rPr>
        <w:t>Fig. 1. Conceptual Framework of the Study</w:t>
      </w:r>
    </w:p>
    <w:p w14:paraId="304E97EF" w14:textId="77777777" w:rsidR="002E4906" w:rsidRPr="0088678D" w:rsidRDefault="002E4906" w:rsidP="007E32C4">
      <w:pPr>
        <w:pStyle w:val="Body"/>
        <w:spacing w:after="0"/>
        <w:rPr>
          <w:rFonts w:ascii="Arial" w:hAnsi="Arial" w:cs="Arial"/>
          <w:b/>
          <w:bCs/>
        </w:rPr>
      </w:pPr>
    </w:p>
    <w:p w14:paraId="541876D8" w14:textId="77777777" w:rsidR="002E4906" w:rsidRPr="00FB3A86" w:rsidRDefault="002E4906" w:rsidP="007E32C4">
      <w:pPr>
        <w:pStyle w:val="Body"/>
        <w:spacing w:after="0"/>
        <w:rPr>
          <w:rFonts w:ascii="Arial" w:hAnsi="Arial" w:cs="Arial"/>
        </w:rPr>
      </w:pPr>
    </w:p>
    <w:p w14:paraId="7694CCB4" w14:textId="6A8D8FA4" w:rsidR="00AD4990" w:rsidRDefault="00902823" w:rsidP="007E32C4">
      <w:pPr>
        <w:pStyle w:val="AbstHead"/>
        <w:spacing w:after="0"/>
        <w:jc w:val="both"/>
        <w:rPr>
          <w:rFonts w:ascii="Arial" w:hAnsi="Arial" w:cs="Arial"/>
        </w:rPr>
      </w:pPr>
      <w:r>
        <w:rPr>
          <w:rFonts w:ascii="Arial" w:hAnsi="Arial" w:cs="Arial"/>
        </w:rPr>
        <w:t>2.</w:t>
      </w:r>
      <w:r w:rsidR="0088678D">
        <w:rPr>
          <w:rFonts w:ascii="Arial" w:hAnsi="Arial" w:cs="Arial"/>
        </w:rPr>
        <w:t xml:space="preserve"> </w:t>
      </w:r>
      <w:r w:rsidR="0065337D">
        <w:rPr>
          <w:rFonts w:ascii="Arial" w:hAnsi="Arial" w:cs="Arial"/>
        </w:rPr>
        <w:t xml:space="preserve">MATERIALS AND </w:t>
      </w:r>
      <w:r w:rsidR="00CD312E">
        <w:rPr>
          <w:rFonts w:ascii="Arial" w:hAnsi="Arial" w:cs="Arial"/>
        </w:rPr>
        <w:t>METHODS</w:t>
      </w:r>
      <w:r w:rsidR="007F7B32">
        <w:rPr>
          <w:rFonts w:ascii="Arial" w:hAnsi="Arial" w:cs="Arial"/>
        </w:rPr>
        <w:t xml:space="preserve"> </w:t>
      </w:r>
    </w:p>
    <w:p w14:paraId="2CC0A303" w14:textId="77777777" w:rsidR="0065337D" w:rsidRDefault="0065337D" w:rsidP="007E32C4">
      <w:pPr>
        <w:pStyle w:val="AbstHead"/>
        <w:spacing w:after="0"/>
        <w:jc w:val="both"/>
        <w:rPr>
          <w:rFonts w:ascii="Arial" w:hAnsi="Arial" w:cs="Arial"/>
        </w:rPr>
      </w:pPr>
    </w:p>
    <w:p w14:paraId="3700A707" w14:textId="77777777" w:rsidR="00EF4403" w:rsidRPr="0088678D" w:rsidRDefault="00EF4403" w:rsidP="007E32C4">
      <w:pPr>
        <w:jc w:val="both"/>
      </w:pPr>
      <w:r w:rsidRPr="0088678D">
        <w:rPr>
          <w:rFonts w:ascii="Arial" w:hAnsi="Arial"/>
          <w:b/>
        </w:rPr>
        <w:t>2.1 Research Design</w:t>
      </w:r>
    </w:p>
    <w:p w14:paraId="2F147BBB" w14:textId="2316835B" w:rsidR="00EF4403" w:rsidRDefault="00EF4403" w:rsidP="007E32C4">
      <w:pPr>
        <w:jc w:val="both"/>
      </w:pPr>
      <w:r>
        <w:t xml:space="preserve">This study </w:t>
      </w:r>
      <w:r w:rsidR="008312D4">
        <w:t>used</w:t>
      </w:r>
      <w:r>
        <w:t xml:space="preserve"> a quantitative correlational research design to explore the relationships among students' self-assessed writing skills, learning strategy use, and grammar proficiency. Correlational research was selected as it allows for the analysis of naturally occurring variables without experimental manipulation (Mekonnen, 2020). This approach enabled the investigation of how metacognitive awareness and strategy use relate to measurable grammar competence, with numerical data being analyzed statistically (</w:t>
      </w:r>
      <w:proofErr w:type="spellStart"/>
      <w:r>
        <w:t>Ghanad</w:t>
      </w:r>
      <w:proofErr w:type="spellEnd"/>
      <w:r>
        <w:t>, 2023).</w:t>
      </w:r>
    </w:p>
    <w:p w14:paraId="4845ACD7" w14:textId="77777777" w:rsidR="001604A5" w:rsidRDefault="001604A5" w:rsidP="007E32C4">
      <w:pPr>
        <w:jc w:val="both"/>
      </w:pPr>
    </w:p>
    <w:p w14:paraId="13C81D94" w14:textId="77777777" w:rsidR="0088678D" w:rsidRDefault="0088678D" w:rsidP="007E32C4">
      <w:pPr>
        <w:jc w:val="both"/>
      </w:pPr>
    </w:p>
    <w:p w14:paraId="05C817EB" w14:textId="1CFF68F8" w:rsidR="00EF4403" w:rsidRPr="0088678D" w:rsidRDefault="00EF4403" w:rsidP="007E32C4">
      <w:pPr>
        <w:jc w:val="both"/>
      </w:pPr>
      <w:r w:rsidRPr="0088678D">
        <w:rPr>
          <w:rFonts w:ascii="Arial" w:hAnsi="Arial"/>
          <w:b/>
        </w:rPr>
        <w:t xml:space="preserve">2.3 </w:t>
      </w:r>
      <w:r w:rsidR="0065337D">
        <w:rPr>
          <w:rFonts w:ascii="Arial" w:hAnsi="Arial"/>
          <w:b/>
        </w:rPr>
        <w:t>Research Respondents</w:t>
      </w:r>
    </w:p>
    <w:p w14:paraId="7BA1ECBD" w14:textId="2DA839B4" w:rsidR="0088678D" w:rsidRDefault="00EF4403" w:rsidP="00E13287">
      <w:pPr>
        <w:jc w:val="both"/>
      </w:pPr>
      <w:r>
        <w:lastRenderedPageBreak/>
        <w:t>The study involved 200 undergraduate students enrolled in E</w:t>
      </w:r>
      <w:r w:rsidR="0065337D">
        <w:t xml:space="preserve">nglish for Specific </w:t>
      </w:r>
      <w:r>
        <w:t>P</w:t>
      </w:r>
      <w:r w:rsidR="0065337D">
        <w:t>urposes</w:t>
      </w:r>
      <w:r>
        <w:t xml:space="preserve"> courses during the 2024–2025 academic year. The inclusion criteria required participants to be actively enrolled in an English course with at least basic proficiency in English to ensure the comprehension of the questionnaire items. Exclusion criteria included students who had received specialized grammar or writing instruction beyond the standard undergraduate curriculum and those unwilling to provide informed consent.</w:t>
      </w:r>
      <w:r w:rsidR="00E13287">
        <w:t xml:space="preserve"> </w:t>
      </w:r>
      <w:r>
        <w:t>A stratified random sampling technique was used to ensure adequate representation across different year levels and academic programs (Bhardwaj, 2019). The strata were proportionally represented based on institutional enrollment data. Participation was voluntary, and ethical considerations, such as informed consent, anonymity, and the right to withdraw, were strictly followed throughout the data collection process.</w:t>
      </w:r>
    </w:p>
    <w:p w14:paraId="3153C34A" w14:textId="77777777" w:rsidR="0088678D" w:rsidRDefault="0088678D" w:rsidP="00E13287">
      <w:pPr>
        <w:jc w:val="both"/>
      </w:pPr>
    </w:p>
    <w:p w14:paraId="0BAF98C9" w14:textId="77777777" w:rsidR="00EF4403" w:rsidRPr="0088678D" w:rsidRDefault="00EF4403" w:rsidP="007E32C4">
      <w:pPr>
        <w:jc w:val="both"/>
      </w:pPr>
      <w:r w:rsidRPr="0088678D">
        <w:rPr>
          <w:rFonts w:ascii="Arial" w:hAnsi="Arial"/>
          <w:b/>
        </w:rPr>
        <w:t>2.4 Research Instrument</w:t>
      </w:r>
    </w:p>
    <w:p w14:paraId="6A85168E" w14:textId="77777777" w:rsidR="00EF4403" w:rsidRDefault="00EF4403" w:rsidP="007E32C4">
      <w:pPr>
        <w:jc w:val="both"/>
      </w:pPr>
      <w:r>
        <w:t>The primary data collection instrument was a structured questionnaire divided into three sections: (1) self-assessed writing skills, (2) learning strategy use, and (3) a grammar proficiency test. This instrument was adapted from the ESLP 182 Questionnaire, a validated tool for assessing ESL learners' self-perception of language performance. Expert validation was conducted, and revisions were made based on feedback from language and education specialists. Cronbach’s alpha was used to assess the internal reliability of the instrument during a pilot test with 30 non-sample participants (Vu, 2021).</w:t>
      </w:r>
    </w:p>
    <w:p w14:paraId="3DD035E3" w14:textId="77777777" w:rsidR="0088678D" w:rsidRDefault="0088678D" w:rsidP="007E32C4">
      <w:pPr>
        <w:jc w:val="both"/>
      </w:pPr>
    </w:p>
    <w:p w14:paraId="0EBF46FE" w14:textId="77777777" w:rsidR="00EF4403" w:rsidRDefault="00EF4403" w:rsidP="007E32C4">
      <w:pPr>
        <w:jc w:val="both"/>
      </w:pPr>
      <w:r>
        <w:rPr>
          <w:rFonts w:ascii="Arial" w:hAnsi="Arial"/>
          <w:b/>
          <w:i/>
        </w:rPr>
        <w:t>2.4.1 Section A: Self-Assessed Writing Skills</w:t>
      </w:r>
    </w:p>
    <w:p w14:paraId="5B1325FC" w14:textId="706373CF" w:rsidR="00EF4403" w:rsidRDefault="00EF4403" w:rsidP="007E32C4">
      <w:pPr>
        <w:jc w:val="both"/>
      </w:pPr>
      <w:r>
        <w:t>This section consisted of 15 items that assessed students' writing independence and competence. Items on writing independence included generating ideas, planning, researching, and revising, while competence items covered aspects such as sentence structure, clarity, coherence, grammar, vocabulary, and adherence to academic writing conventions.</w:t>
      </w:r>
      <w:r>
        <w:br/>
        <w:t>The responses in this section were rated on a five-point Likert scale. The following table shows the Likert scale used for interpreting students’ self-assessed writing skills:</w:t>
      </w:r>
    </w:p>
    <w:p w14:paraId="4A1C80E6" w14:textId="7BBC1F7C" w:rsidR="008312D4" w:rsidRDefault="008312D4" w:rsidP="007E32C4">
      <w:pPr>
        <w:jc w:val="both"/>
      </w:pPr>
    </w:p>
    <w:tbl>
      <w:tblPr>
        <w:tblW w:w="0" w:type="auto"/>
        <w:tblLayout w:type="fixed"/>
        <w:tblLook w:val="04A0" w:firstRow="1" w:lastRow="0" w:firstColumn="1" w:lastColumn="0" w:noHBand="0" w:noVBand="1"/>
      </w:tblPr>
      <w:tblGrid>
        <w:gridCol w:w="2518"/>
        <w:gridCol w:w="2518"/>
        <w:gridCol w:w="5876"/>
      </w:tblGrid>
      <w:tr w:rsidR="00EF4403" w14:paraId="3B601784" w14:textId="77777777" w:rsidTr="00D73E3F">
        <w:trPr>
          <w:trHeight w:val="440"/>
        </w:trPr>
        <w:tc>
          <w:tcPr>
            <w:tcW w:w="2518" w:type="dxa"/>
            <w:tcBorders>
              <w:top w:val="single" w:sz="4" w:space="0" w:color="auto"/>
              <w:bottom w:val="single" w:sz="4" w:space="0" w:color="auto"/>
            </w:tcBorders>
          </w:tcPr>
          <w:p w14:paraId="08A518BB" w14:textId="77777777" w:rsidR="00EF4403" w:rsidRDefault="00EF4403" w:rsidP="007E32C4">
            <w:pPr>
              <w:jc w:val="both"/>
            </w:pPr>
            <w:r>
              <w:rPr>
                <w:b/>
              </w:rPr>
              <w:t>Range of Mean</w:t>
            </w:r>
          </w:p>
        </w:tc>
        <w:tc>
          <w:tcPr>
            <w:tcW w:w="2518" w:type="dxa"/>
            <w:tcBorders>
              <w:top w:val="single" w:sz="4" w:space="0" w:color="auto"/>
              <w:bottom w:val="single" w:sz="4" w:space="0" w:color="auto"/>
            </w:tcBorders>
          </w:tcPr>
          <w:p w14:paraId="40B26BCA" w14:textId="77777777" w:rsidR="00EF4403" w:rsidRDefault="00EF4403" w:rsidP="007E32C4">
            <w:pPr>
              <w:jc w:val="both"/>
            </w:pPr>
            <w:r>
              <w:rPr>
                <w:b/>
              </w:rPr>
              <w:t>Verbal Description</w:t>
            </w:r>
          </w:p>
        </w:tc>
        <w:tc>
          <w:tcPr>
            <w:tcW w:w="5876" w:type="dxa"/>
            <w:tcBorders>
              <w:top w:val="single" w:sz="4" w:space="0" w:color="auto"/>
              <w:bottom w:val="single" w:sz="4" w:space="0" w:color="auto"/>
            </w:tcBorders>
          </w:tcPr>
          <w:p w14:paraId="17DE0485" w14:textId="77777777" w:rsidR="00EF4403" w:rsidRDefault="00EF4403" w:rsidP="007E32C4">
            <w:pPr>
              <w:jc w:val="both"/>
            </w:pPr>
            <w:r>
              <w:rPr>
                <w:b/>
              </w:rPr>
              <w:t>Interpretation</w:t>
            </w:r>
          </w:p>
        </w:tc>
      </w:tr>
      <w:tr w:rsidR="00EF4403" w14:paraId="01DE1FEB" w14:textId="77777777" w:rsidTr="00D73E3F">
        <w:trPr>
          <w:trHeight w:val="451"/>
        </w:trPr>
        <w:tc>
          <w:tcPr>
            <w:tcW w:w="2518" w:type="dxa"/>
            <w:tcBorders>
              <w:top w:val="single" w:sz="4" w:space="0" w:color="auto"/>
            </w:tcBorders>
          </w:tcPr>
          <w:p w14:paraId="7072FB71" w14:textId="77777777" w:rsidR="00EF4403" w:rsidRDefault="00EF4403" w:rsidP="007E32C4">
            <w:pPr>
              <w:jc w:val="both"/>
            </w:pPr>
            <w:r>
              <w:t>4.20 - 5.00</w:t>
            </w:r>
          </w:p>
        </w:tc>
        <w:tc>
          <w:tcPr>
            <w:tcW w:w="2518" w:type="dxa"/>
            <w:tcBorders>
              <w:top w:val="single" w:sz="4" w:space="0" w:color="auto"/>
            </w:tcBorders>
          </w:tcPr>
          <w:p w14:paraId="06250BC0" w14:textId="77777777" w:rsidR="00EF4403" w:rsidRDefault="00EF4403" w:rsidP="007E32C4">
            <w:pPr>
              <w:jc w:val="both"/>
            </w:pPr>
            <w:r>
              <w:t>Very High</w:t>
            </w:r>
          </w:p>
        </w:tc>
        <w:tc>
          <w:tcPr>
            <w:tcW w:w="5876" w:type="dxa"/>
            <w:tcBorders>
              <w:top w:val="single" w:sz="4" w:space="0" w:color="auto"/>
            </w:tcBorders>
          </w:tcPr>
          <w:p w14:paraId="5640753A" w14:textId="77777777" w:rsidR="00EF4403" w:rsidRDefault="00EF4403" w:rsidP="007E32C4">
            <w:pPr>
              <w:jc w:val="both"/>
            </w:pPr>
            <w:r>
              <w:t>Students perceived their writing skills as highly proficient.</w:t>
            </w:r>
          </w:p>
        </w:tc>
      </w:tr>
      <w:tr w:rsidR="00EF4403" w14:paraId="3439DEBE" w14:textId="77777777" w:rsidTr="00D73E3F">
        <w:trPr>
          <w:trHeight w:val="440"/>
        </w:trPr>
        <w:tc>
          <w:tcPr>
            <w:tcW w:w="2518" w:type="dxa"/>
          </w:tcPr>
          <w:p w14:paraId="417B38C9" w14:textId="77777777" w:rsidR="00EF4403" w:rsidRDefault="00EF4403" w:rsidP="007E32C4">
            <w:pPr>
              <w:jc w:val="both"/>
            </w:pPr>
            <w:r>
              <w:t>3.40 - 4.19</w:t>
            </w:r>
          </w:p>
        </w:tc>
        <w:tc>
          <w:tcPr>
            <w:tcW w:w="2518" w:type="dxa"/>
          </w:tcPr>
          <w:p w14:paraId="2F3E5CA0" w14:textId="77777777" w:rsidR="00EF4403" w:rsidRDefault="00EF4403" w:rsidP="007E32C4">
            <w:pPr>
              <w:jc w:val="both"/>
            </w:pPr>
            <w:r>
              <w:t>High</w:t>
            </w:r>
          </w:p>
        </w:tc>
        <w:tc>
          <w:tcPr>
            <w:tcW w:w="5876" w:type="dxa"/>
          </w:tcPr>
          <w:p w14:paraId="06743C4C" w14:textId="77777777" w:rsidR="00EF4403" w:rsidRDefault="00EF4403" w:rsidP="007E32C4">
            <w:pPr>
              <w:jc w:val="both"/>
            </w:pPr>
            <w:r>
              <w:t>Students perceived their writing skills as proficient.</w:t>
            </w:r>
          </w:p>
        </w:tc>
      </w:tr>
      <w:tr w:rsidR="00EF4403" w14:paraId="0B43C269" w14:textId="77777777" w:rsidTr="00D73E3F">
        <w:trPr>
          <w:trHeight w:val="440"/>
        </w:trPr>
        <w:tc>
          <w:tcPr>
            <w:tcW w:w="2518" w:type="dxa"/>
          </w:tcPr>
          <w:p w14:paraId="2B22DC2B" w14:textId="77777777" w:rsidR="00EF4403" w:rsidRDefault="00EF4403" w:rsidP="007E32C4">
            <w:pPr>
              <w:jc w:val="both"/>
            </w:pPr>
            <w:r>
              <w:t>2.60 - 3.39</w:t>
            </w:r>
          </w:p>
        </w:tc>
        <w:tc>
          <w:tcPr>
            <w:tcW w:w="2518" w:type="dxa"/>
          </w:tcPr>
          <w:p w14:paraId="7365197C" w14:textId="77777777" w:rsidR="00EF4403" w:rsidRDefault="00EF4403" w:rsidP="007E32C4">
            <w:pPr>
              <w:jc w:val="both"/>
            </w:pPr>
            <w:r>
              <w:t>Moderate</w:t>
            </w:r>
          </w:p>
        </w:tc>
        <w:tc>
          <w:tcPr>
            <w:tcW w:w="5876" w:type="dxa"/>
          </w:tcPr>
          <w:p w14:paraId="088FAF46" w14:textId="77777777" w:rsidR="00EF4403" w:rsidRDefault="00EF4403" w:rsidP="007E32C4">
            <w:pPr>
              <w:jc w:val="both"/>
            </w:pPr>
            <w:r>
              <w:t>Students perceived their writing skills as moderately proficient.</w:t>
            </w:r>
          </w:p>
        </w:tc>
      </w:tr>
      <w:tr w:rsidR="00EF4403" w14:paraId="42E8C3B9" w14:textId="77777777" w:rsidTr="00D73E3F">
        <w:trPr>
          <w:trHeight w:val="451"/>
        </w:trPr>
        <w:tc>
          <w:tcPr>
            <w:tcW w:w="2518" w:type="dxa"/>
          </w:tcPr>
          <w:p w14:paraId="4185EF8A" w14:textId="77777777" w:rsidR="00EF4403" w:rsidRDefault="00EF4403" w:rsidP="007E32C4">
            <w:pPr>
              <w:jc w:val="both"/>
            </w:pPr>
            <w:r>
              <w:t>1.80 - 2.59</w:t>
            </w:r>
          </w:p>
        </w:tc>
        <w:tc>
          <w:tcPr>
            <w:tcW w:w="2518" w:type="dxa"/>
          </w:tcPr>
          <w:p w14:paraId="4A436037" w14:textId="77777777" w:rsidR="00EF4403" w:rsidRDefault="00EF4403" w:rsidP="007E32C4">
            <w:pPr>
              <w:jc w:val="both"/>
            </w:pPr>
            <w:r>
              <w:t>Low</w:t>
            </w:r>
          </w:p>
        </w:tc>
        <w:tc>
          <w:tcPr>
            <w:tcW w:w="5876" w:type="dxa"/>
          </w:tcPr>
          <w:p w14:paraId="15CF0B14" w14:textId="77777777" w:rsidR="00EF4403" w:rsidRDefault="00EF4403" w:rsidP="007E32C4">
            <w:pPr>
              <w:jc w:val="both"/>
            </w:pPr>
            <w:r>
              <w:t>Students perceived their writing skills as weak.</w:t>
            </w:r>
          </w:p>
        </w:tc>
      </w:tr>
      <w:tr w:rsidR="00EF4403" w14:paraId="7D5DA53E" w14:textId="77777777" w:rsidTr="00D73E3F">
        <w:trPr>
          <w:trHeight w:val="440"/>
        </w:trPr>
        <w:tc>
          <w:tcPr>
            <w:tcW w:w="2518" w:type="dxa"/>
            <w:tcBorders>
              <w:bottom w:val="single" w:sz="4" w:space="0" w:color="auto"/>
            </w:tcBorders>
          </w:tcPr>
          <w:p w14:paraId="76A978A7" w14:textId="77777777" w:rsidR="00EF4403" w:rsidRDefault="00EF4403" w:rsidP="007E32C4">
            <w:pPr>
              <w:jc w:val="both"/>
            </w:pPr>
            <w:r>
              <w:t>1.00 - 1.79</w:t>
            </w:r>
          </w:p>
        </w:tc>
        <w:tc>
          <w:tcPr>
            <w:tcW w:w="2518" w:type="dxa"/>
            <w:tcBorders>
              <w:bottom w:val="single" w:sz="4" w:space="0" w:color="auto"/>
            </w:tcBorders>
          </w:tcPr>
          <w:p w14:paraId="5E86A6D0" w14:textId="77777777" w:rsidR="00EF4403" w:rsidRDefault="00EF4403" w:rsidP="007E32C4">
            <w:pPr>
              <w:jc w:val="both"/>
            </w:pPr>
            <w:r>
              <w:t>Very Low</w:t>
            </w:r>
          </w:p>
        </w:tc>
        <w:tc>
          <w:tcPr>
            <w:tcW w:w="5876" w:type="dxa"/>
            <w:tcBorders>
              <w:bottom w:val="single" w:sz="4" w:space="0" w:color="auto"/>
            </w:tcBorders>
          </w:tcPr>
          <w:p w14:paraId="6EBA550C" w14:textId="77777777" w:rsidR="00EF4403" w:rsidRDefault="00EF4403" w:rsidP="007E32C4">
            <w:pPr>
              <w:jc w:val="both"/>
            </w:pPr>
            <w:r>
              <w:t>Students perceived their writing skills as very weak.</w:t>
            </w:r>
          </w:p>
        </w:tc>
      </w:tr>
    </w:tbl>
    <w:p w14:paraId="0C992D58" w14:textId="013EF17F" w:rsidR="00EF4403" w:rsidRPr="00D76241" w:rsidRDefault="00972AB8" w:rsidP="007E32C4">
      <w:pPr>
        <w:jc w:val="both"/>
        <w:rPr>
          <w:b/>
          <w:bCs/>
        </w:rPr>
      </w:pPr>
      <w:r w:rsidRPr="00D76241">
        <w:rPr>
          <w:b/>
          <w:bCs/>
        </w:rPr>
        <w:t>Table 1- Five-point Likert scale for interpreting students’ self-assessed writing skills</w:t>
      </w:r>
    </w:p>
    <w:p w14:paraId="15A6866D" w14:textId="77777777" w:rsidR="00972AB8" w:rsidRDefault="00972AB8" w:rsidP="007E32C4">
      <w:pPr>
        <w:jc w:val="both"/>
      </w:pPr>
    </w:p>
    <w:p w14:paraId="6B6D3925" w14:textId="77777777" w:rsidR="00EF4403" w:rsidRDefault="00EF4403" w:rsidP="007E32C4">
      <w:pPr>
        <w:jc w:val="both"/>
      </w:pPr>
      <w:r>
        <w:rPr>
          <w:rFonts w:ascii="Arial" w:hAnsi="Arial"/>
          <w:b/>
          <w:i/>
        </w:rPr>
        <w:t>2.4.2 Section B: Learning Strategies</w:t>
      </w:r>
    </w:p>
    <w:p w14:paraId="583638C6" w14:textId="033B0C1F" w:rsidR="00EF4403" w:rsidRDefault="00EF4403" w:rsidP="008A4458">
      <w:pPr>
        <w:jc w:val="both"/>
      </w:pPr>
      <w:r>
        <w:t>This section included 18 items related to the motivational, cognitive, and affective components of metacognitive learning strategies. The value component measured students’ motivation and perceived usefulness of writing; the expectancy component assessed self-regulatory behaviors such as planning, seeking feedback, and monitoring progress; and the affective component evaluated emotional factors like writing-related confidence and anxiety.</w:t>
      </w:r>
      <w:r w:rsidR="008A4458">
        <w:t xml:space="preserve"> </w:t>
      </w:r>
      <w:r>
        <w:t>The responses in this section were also rated on a five-point Likert scale. The following table presents the Likert scale for interpreting students’ use of learning strategies:</w:t>
      </w:r>
    </w:p>
    <w:p w14:paraId="4216FC1B" w14:textId="5CD4EBEC" w:rsidR="00D011EF" w:rsidRDefault="00D011EF" w:rsidP="008A4458"/>
    <w:tbl>
      <w:tblPr>
        <w:tblW w:w="0" w:type="auto"/>
        <w:tblLayout w:type="fixed"/>
        <w:tblLook w:val="04A0" w:firstRow="1" w:lastRow="0" w:firstColumn="1" w:lastColumn="0" w:noHBand="0" w:noVBand="1"/>
      </w:tblPr>
      <w:tblGrid>
        <w:gridCol w:w="2465"/>
        <w:gridCol w:w="2465"/>
        <w:gridCol w:w="5753"/>
      </w:tblGrid>
      <w:tr w:rsidR="00EF4403" w14:paraId="2661C311" w14:textId="77777777" w:rsidTr="00D73E3F">
        <w:trPr>
          <w:trHeight w:val="546"/>
        </w:trPr>
        <w:tc>
          <w:tcPr>
            <w:tcW w:w="2465" w:type="dxa"/>
            <w:tcBorders>
              <w:top w:val="single" w:sz="4" w:space="0" w:color="auto"/>
              <w:bottom w:val="single" w:sz="4" w:space="0" w:color="auto"/>
            </w:tcBorders>
          </w:tcPr>
          <w:p w14:paraId="332CF958" w14:textId="77777777" w:rsidR="00EF4403" w:rsidRDefault="00EF4403" w:rsidP="007E32C4">
            <w:pPr>
              <w:jc w:val="both"/>
            </w:pPr>
            <w:r>
              <w:rPr>
                <w:b/>
              </w:rPr>
              <w:t>Range of Mean</w:t>
            </w:r>
          </w:p>
        </w:tc>
        <w:tc>
          <w:tcPr>
            <w:tcW w:w="2465" w:type="dxa"/>
            <w:tcBorders>
              <w:top w:val="single" w:sz="4" w:space="0" w:color="auto"/>
              <w:bottom w:val="single" w:sz="4" w:space="0" w:color="auto"/>
            </w:tcBorders>
          </w:tcPr>
          <w:p w14:paraId="5F6670A5" w14:textId="77777777" w:rsidR="00EF4403" w:rsidRDefault="00EF4403" w:rsidP="007E32C4">
            <w:pPr>
              <w:jc w:val="both"/>
            </w:pPr>
            <w:r>
              <w:rPr>
                <w:b/>
              </w:rPr>
              <w:t>Verbal Description</w:t>
            </w:r>
          </w:p>
        </w:tc>
        <w:tc>
          <w:tcPr>
            <w:tcW w:w="5753" w:type="dxa"/>
            <w:tcBorders>
              <w:top w:val="single" w:sz="4" w:space="0" w:color="auto"/>
              <w:bottom w:val="single" w:sz="4" w:space="0" w:color="auto"/>
            </w:tcBorders>
          </w:tcPr>
          <w:p w14:paraId="77FC5550" w14:textId="77777777" w:rsidR="00EF4403" w:rsidRDefault="00EF4403" w:rsidP="007E32C4">
            <w:pPr>
              <w:jc w:val="both"/>
            </w:pPr>
            <w:r>
              <w:rPr>
                <w:b/>
              </w:rPr>
              <w:t>Interpretation</w:t>
            </w:r>
          </w:p>
        </w:tc>
      </w:tr>
      <w:tr w:rsidR="00EF4403" w14:paraId="3B16BD45" w14:textId="77777777" w:rsidTr="00D73E3F">
        <w:trPr>
          <w:trHeight w:val="1209"/>
        </w:trPr>
        <w:tc>
          <w:tcPr>
            <w:tcW w:w="2465" w:type="dxa"/>
            <w:tcBorders>
              <w:top w:val="single" w:sz="4" w:space="0" w:color="auto"/>
            </w:tcBorders>
          </w:tcPr>
          <w:p w14:paraId="0F853753" w14:textId="77777777" w:rsidR="00EF4403" w:rsidRDefault="00EF4403" w:rsidP="007E32C4">
            <w:pPr>
              <w:jc w:val="both"/>
            </w:pPr>
            <w:r>
              <w:t>4.20 - 5.00</w:t>
            </w:r>
          </w:p>
        </w:tc>
        <w:tc>
          <w:tcPr>
            <w:tcW w:w="2465" w:type="dxa"/>
            <w:tcBorders>
              <w:top w:val="single" w:sz="4" w:space="0" w:color="auto"/>
            </w:tcBorders>
          </w:tcPr>
          <w:p w14:paraId="04A81DF5" w14:textId="77777777" w:rsidR="00EF4403" w:rsidRDefault="00EF4403" w:rsidP="007E32C4">
            <w:pPr>
              <w:jc w:val="both"/>
            </w:pPr>
            <w:r>
              <w:t>Very High</w:t>
            </w:r>
          </w:p>
        </w:tc>
        <w:tc>
          <w:tcPr>
            <w:tcW w:w="5753" w:type="dxa"/>
            <w:tcBorders>
              <w:top w:val="single" w:sz="4" w:space="0" w:color="auto"/>
            </w:tcBorders>
          </w:tcPr>
          <w:p w14:paraId="4091F953" w14:textId="77777777" w:rsidR="00EF4403" w:rsidRDefault="00EF4403" w:rsidP="007E32C4">
            <w:pPr>
              <w:jc w:val="both"/>
            </w:pPr>
            <w:r>
              <w:t>Students frequently and effectively used learning strategies to improve their writing skills.</w:t>
            </w:r>
          </w:p>
        </w:tc>
      </w:tr>
      <w:tr w:rsidR="00EF4403" w14:paraId="1B10D452" w14:textId="77777777" w:rsidTr="00D73E3F">
        <w:trPr>
          <w:trHeight w:val="792"/>
        </w:trPr>
        <w:tc>
          <w:tcPr>
            <w:tcW w:w="2465" w:type="dxa"/>
          </w:tcPr>
          <w:p w14:paraId="7267CAEB" w14:textId="77777777" w:rsidR="00EF4403" w:rsidRDefault="00EF4403" w:rsidP="007E32C4">
            <w:pPr>
              <w:jc w:val="both"/>
            </w:pPr>
            <w:r>
              <w:t>3.40 - 4.19</w:t>
            </w:r>
          </w:p>
        </w:tc>
        <w:tc>
          <w:tcPr>
            <w:tcW w:w="2465" w:type="dxa"/>
          </w:tcPr>
          <w:p w14:paraId="12E084D2" w14:textId="77777777" w:rsidR="00EF4403" w:rsidRDefault="00EF4403" w:rsidP="007E32C4">
            <w:pPr>
              <w:jc w:val="both"/>
            </w:pPr>
            <w:r>
              <w:t>High</w:t>
            </w:r>
          </w:p>
        </w:tc>
        <w:tc>
          <w:tcPr>
            <w:tcW w:w="5753" w:type="dxa"/>
          </w:tcPr>
          <w:p w14:paraId="4A54320C" w14:textId="77777777" w:rsidR="00EF4403" w:rsidRDefault="00EF4403" w:rsidP="007E32C4">
            <w:pPr>
              <w:jc w:val="both"/>
            </w:pPr>
            <w:r>
              <w:t>Students often used learning strategies to support their writing development.</w:t>
            </w:r>
          </w:p>
        </w:tc>
      </w:tr>
      <w:tr w:rsidR="00EF4403" w14:paraId="514112A1" w14:textId="77777777" w:rsidTr="00D73E3F">
        <w:trPr>
          <w:trHeight w:val="1209"/>
        </w:trPr>
        <w:tc>
          <w:tcPr>
            <w:tcW w:w="2465" w:type="dxa"/>
          </w:tcPr>
          <w:p w14:paraId="6FAE1F15" w14:textId="77777777" w:rsidR="00EF4403" w:rsidRDefault="00EF4403" w:rsidP="007E32C4">
            <w:pPr>
              <w:jc w:val="both"/>
            </w:pPr>
            <w:r>
              <w:lastRenderedPageBreak/>
              <w:t>2.60 - 3.39</w:t>
            </w:r>
          </w:p>
        </w:tc>
        <w:tc>
          <w:tcPr>
            <w:tcW w:w="2465" w:type="dxa"/>
          </w:tcPr>
          <w:p w14:paraId="05EB6BE8" w14:textId="77777777" w:rsidR="00EF4403" w:rsidRDefault="00EF4403" w:rsidP="007E32C4">
            <w:pPr>
              <w:jc w:val="both"/>
            </w:pPr>
            <w:r>
              <w:t>Moderate</w:t>
            </w:r>
          </w:p>
        </w:tc>
        <w:tc>
          <w:tcPr>
            <w:tcW w:w="5753" w:type="dxa"/>
          </w:tcPr>
          <w:p w14:paraId="33975FC0" w14:textId="77777777" w:rsidR="00EF4403" w:rsidRDefault="00EF4403" w:rsidP="007E32C4">
            <w:pPr>
              <w:jc w:val="both"/>
            </w:pPr>
            <w:r>
              <w:t>Students sometimes used learning strategies to support their writing development.</w:t>
            </w:r>
          </w:p>
        </w:tc>
      </w:tr>
      <w:tr w:rsidR="00EF4403" w14:paraId="6DF91B60" w14:textId="77777777" w:rsidTr="00D73E3F">
        <w:trPr>
          <w:trHeight w:val="792"/>
        </w:trPr>
        <w:tc>
          <w:tcPr>
            <w:tcW w:w="2465" w:type="dxa"/>
          </w:tcPr>
          <w:p w14:paraId="48748813" w14:textId="77777777" w:rsidR="00EF4403" w:rsidRDefault="00EF4403" w:rsidP="007E32C4">
            <w:pPr>
              <w:jc w:val="both"/>
            </w:pPr>
            <w:r>
              <w:t>1.80 - 2.59</w:t>
            </w:r>
          </w:p>
        </w:tc>
        <w:tc>
          <w:tcPr>
            <w:tcW w:w="2465" w:type="dxa"/>
          </w:tcPr>
          <w:p w14:paraId="399515B9" w14:textId="77777777" w:rsidR="00EF4403" w:rsidRDefault="00EF4403" w:rsidP="007E32C4">
            <w:pPr>
              <w:jc w:val="both"/>
            </w:pPr>
            <w:r>
              <w:t>Low</w:t>
            </w:r>
          </w:p>
        </w:tc>
        <w:tc>
          <w:tcPr>
            <w:tcW w:w="5753" w:type="dxa"/>
          </w:tcPr>
          <w:p w14:paraId="276F255D" w14:textId="77777777" w:rsidR="00EF4403" w:rsidRDefault="00EF4403" w:rsidP="007E32C4">
            <w:pPr>
              <w:jc w:val="both"/>
            </w:pPr>
            <w:r>
              <w:t>Students rarely used learning strategies to enhance their writing.</w:t>
            </w:r>
          </w:p>
        </w:tc>
      </w:tr>
      <w:tr w:rsidR="00EF4403" w14:paraId="75AB2457" w14:textId="77777777" w:rsidTr="00D73E3F">
        <w:trPr>
          <w:trHeight w:val="792"/>
        </w:trPr>
        <w:tc>
          <w:tcPr>
            <w:tcW w:w="2465" w:type="dxa"/>
            <w:tcBorders>
              <w:bottom w:val="single" w:sz="4" w:space="0" w:color="auto"/>
            </w:tcBorders>
          </w:tcPr>
          <w:p w14:paraId="089C33BB" w14:textId="77777777" w:rsidR="00EF4403" w:rsidRDefault="00EF4403" w:rsidP="007E32C4">
            <w:pPr>
              <w:jc w:val="both"/>
            </w:pPr>
            <w:r>
              <w:t>1.00 - 1.79</w:t>
            </w:r>
          </w:p>
        </w:tc>
        <w:tc>
          <w:tcPr>
            <w:tcW w:w="2465" w:type="dxa"/>
            <w:tcBorders>
              <w:bottom w:val="single" w:sz="4" w:space="0" w:color="auto"/>
            </w:tcBorders>
          </w:tcPr>
          <w:p w14:paraId="6B79382A" w14:textId="77777777" w:rsidR="00EF4403" w:rsidRDefault="00EF4403" w:rsidP="007E32C4">
            <w:pPr>
              <w:jc w:val="both"/>
            </w:pPr>
            <w:r>
              <w:t>Very Low</w:t>
            </w:r>
          </w:p>
        </w:tc>
        <w:tc>
          <w:tcPr>
            <w:tcW w:w="5753" w:type="dxa"/>
            <w:tcBorders>
              <w:bottom w:val="single" w:sz="4" w:space="0" w:color="auto"/>
            </w:tcBorders>
          </w:tcPr>
          <w:p w14:paraId="246C9C0B" w14:textId="77777777" w:rsidR="00EF4403" w:rsidRDefault="00EF4403" w:rsidP="007E32C4">
            <w:pPr>
              <w:jc w:val="both"/>
            </w:pPr>
            <w:r>
              <w:t>Students almost never used learning strategies to improve their writing skills.</w:t>
            </w:r>
          </w:p>
        </w:tc>
      </w:tr>
    </w:tbl>
    <w:p w14:paraId="419E0F59" w14:textId="25A24379" w:rsidR="00EF4403" w:rsidRPr="00D76241" w:rsidRDefault="00972AB8" w:rsidP="007E32C4">
      <w:pPr>
        <w:jc w:val="both"/>
        <w:rPr>
          <w:b/>
          <w:bCs/>
        </w:rPr>
      </w:pPr>
      <w:r w:rsidRPr="00D76241">
        <w:rPr>
          <w:b/>
          <w:bCs/>
        </w:rPr>
        <w:t>Table 2- Five-point Likert scale for interpreting students’ use of learning strategies</w:t>
      </w:r>
    </w:p>
    <w:p w14:paraId="4EE045B8" w14:textId="77777777" w:rsidR="00972AB8" w:rsidRDefault="00972AB8" w:rsidP="007E32C4">
      <w:pPr>
        <w:jc w:val="both"/>
      </w:pPr>
    </w:p>
    <w:p w14:paraId="67BF98FB" w14:textId="77777777" w:rsidR="00EF4403" w:rsidRDefault="00EF4403" w:rsidP="007E32C4">
      <w:pPr>
        <w:jc w:val="both"/>
      </w:pPr>
      <w:r>
        <w:rPr>
          <w:rFonts w:ascii="Arial" w:hAnsi="Arial"/>
          <w:b/>
          <w:i/>
        </w:rPr>
        <w:t>2.4.3 Section C: Grammar Proficiency Test</w:t>
      </w:r>
    </w:p>
    <w:p w14:paraId="3C5CB23F" w14:textId="598595D0" w:rsidR="00EF4403" w:rsidRDefault="00EF4403" w:rsidP="00D011EF">
      <w:pPr>
        <w:jc w:val="both"/>
      </w:pPr>
      <w:r>
        <w:t>This section consisted of 2</w:t>
      </w:r>
      <w:r w:rsidR="008312D4">
        <w:t>0</w:t>
      </w:r>
      <w:r>
        <w:t xml:space="preserve"> multiple-choice items assessing students' grammar proficiency</w:t>
      </w:r>
      <w:r w:rsidR="007E32C4">
        <w:t>. It focused on subject-verb agreement, verb tenses, punctuation, and sentence structure. The items</w:t>
      </w:r>
      <w:r>
        <w:t xml:space="preserve"> were adapted from standard ESL grammar tests</w:t>
      </w:r>
      <w:r w:rsidR="00D011EF">
        <w:t xml:space="preserve"> </w:t>
      </w:r>
      <w:r>
        <w:t>aligned</w:t>
      </w:r>
      <w:r w:rsidR="00D011EF">
        <w:t xml:space="preserve"> </w:t>
      </w:r>
      <w:r>
        <w:t xml:space="preserve">with CEFR </w:t>
      </w:r>
      <w:r w:rsidR="00D011EF">
        <w:t>A2–B2</w:t>
      </w:r>
      <w:r>
        <w:t xml:space="preserve"> levels (Sahagun, 2021).</w:t>
      </w:r>
      <w:r w:rsidR="00D011EF">
        <w:t xml:space="preserve"> </w:t>
      </w:r>
      <w:r>
        <w:t>To maintain consistency with the other sections, the scores from the grammar proficiency test were interpreted using a five-point performance scale as shown in the following table:</w:t>
      </w:r>
    </w:p>
    <w:p w14:paraId="29D0522C" w14:textId="6086C9CB" w:rsidR="00D011EF" w:rsidRDefault="00D011EF" w:rsidP="00D011EF">
      <w:pPr>
        <w:jc w:val="both"/>
      </w:pPr>
    </w:p>
    <w:tbl>
      <w:tblPr>
        <w:tblW w:w="0" w:type="auto"/>
        <w:tblLayout w:type="fixed"/>
        <w:tblLook w:val="04A0" w:firstRow="1" w:lastRow="0" w:firstColumn="1" w:lastColumn="0" w:noHBand="0" w:noVBand="1"/>
      </w:tblPr>
      <w:tblGrid>
        <w:gridCol w:w="2468"/>
        <w:gridCol w:w="3085"/>
        <w:gridCol w:w="5142"/>
      </w:tblGrid>
      <w:tr w:rsidR="007E32C4" w14:paraId="180038E6" w14:textId="77777777" w:rsidTr="00D73E3F">
        <w:trPr>
          <w:trHeight w:val="252"/>
        </w:trPr>
        <w:tc>
          <w:tcPr>
            <w:tcW w:w="2468" w:type="dxa"/>
            <w:tcBorders>
              <w:top w:val="single" w:sz="4" w:space="0" w:color="auto"/>
              <w:bottom w:val="single" w:sz="4" w:space="0" w:color="auto"/>
            </w:tcBorders>
          </w:tcPr>
          <w:p w14:paraId="57CDE14B" w14:textId="77777777" w:rsidR="007E32C4" w:rsidRDefault="007E32C4" w:rsidP="00441AB0">
            <w:pPr>
              <w:jc w:val="both"/>
            </w:pPr>
            <w:r>
              <w:rPr>
                <w:b/>
              </w:rPr>
              <w:t>Score Range</w:t>
            </w:r>
          </w:p>
        </w:tc>
        <w:tc>
          <w:tcPr>
            <w:tcW w:w="3085" w:type="dxa"/>
            <w:tcBorders>
              <w:top w:val="single" w:sz="4" w:space="0" w:color="auto"/>
              <w:bottom w:val="single" w:sz="4" w:space="0" w:color="auto"/>
            </w:tcBorders>
          </w:tcPr>
          <w:p w14:paraId="1048CE18" w14:textId="77777777" w:rsidR="007E32C4" w:rsidRDefault="007E32C4" w:rsidP="00441AB0">
            <w:pPr>
              <w:jc w:val="both"/>
            </w:pPr>
            <w:r>
              <w:rPr>
                <w:b/>
              </w:rPr>
              <w:t>Performance Level</w:t>
            </w:r>
          </w:p>
        </w:tc>
        <w:tc>
          <w:tcPr>
            <w:tcW w:w="5142" w:type="dxa"/>
            <w:tcBorders>
              <w:top w:val="single" w:sz="4" w:space="0" w:color="auto"/>
              <w:bottom w:val="single" w:sz="4" w:space="0" w:color="auto"/>
            </w:tcBorders>
          </w:tcPr>
          <w:p w14:paraId="54172C02" w14:textId="77777777" w:rsidR="007E32C4" w:rsidRDefault="007E32C4" w:rsidP="00441AB0">
            <w:pPr>
              <w:jc w:val="both"/>
            </w:pPr>
            <w:r>
              <w:rPr>
                <w:b/>
              </w:rPr>
              <w:t>Interpretation</w:t>
            </w:r>
          </w:p>
        </w:tc>
      </w:tr>
      <w:tr w:rsidR="007E32C4" w14:paraId="3033920A" w14:textId="77777777" w:rsidTr="00D73E3F">
        <w:trPr>
          <w:trHeight w:val="505"/>
        </w:trPr>
        <w:tc>
          <w:tcPr>
            <w:tcW w:w="2468" w:type="dxa"/>
            <w:tcBorders>
              <w:top w:val="single" w:sz="4" w:space="0" w:color="auto"/>
            </w:tcBorders>
          </w:tcPr>
          <w:p w14:paraId="5B937FCF" w14:textId="77777777" w:rsidR="007E32C4" w:rsidRDefault="007E32C4" w:rsidP="00441AB0">
            <w:pPr>
              <w:jc w:val="both"/>
            </w:pPr>
            <w:r>
              <w:t>90 - 100</w:t>
            </w:r>
          </w:p>
        </w:tc>
        <w:tc>
          <w:tcPr>
            <w:tcW w:w="3085" w:type="dxa"/>
            <w:tcBorders>
              <w:top w:val="single" w:sz="4" w:space="0" w:color="auto"/>
            </w:tcBorders>
          </w:tcPr>
          <w:p w14:paraId="449B0124" w14:textId="77777777" w:rsidR="007E32C4" w:rsidRDefault="007E32C4" w:rsidP="00441AB0">
            <w:pPr>
              <w:jc w:val="both"/>
            </w:pPr>
            <w:r>
              <w:t>Excellent</w:t>
            </w:r>
          </w:p>
        </w:tc>
        <w:tc>
          <w:tcPr>
            <w:tcW w:w="5142" w:type="dxa"/>
            <w:tcBorders>
              <w:top w:val="single" w:sz="4" w:space="0" w:color="auto"/>
            </w:tcBorders>
          </w:tcPr>
          <w:p w14:paraId="09878CDC" w14:textId="77777777" w:rsidR="007E32C4" w:rsidRDefault="007E32C4" w:rsidP="00441AB0">
            <w:pPr>
              <w:jc w:val="both"/>
            </w:pPr>
            <w:r>
              <w:t>Demonstrates strong mastery of grammar rules</w:t>
            </w:r>
          </w:p>
        </w:tc>
      </w:tr>
      <w:tr w:rsidR="007E32C4" w14:paraId="12D7595F" w14:textId="77777777" w:rsidTr="00D73E3F">
        <w:trPr>
          <w:trHeight w:val="505"/>
        </w:trPr>
        <w:tc>
          <w:tcPr>
            <w:tcW w:w="2468" w:type="dxa"/>
          </w:tcPr>
          <w:p w14:paraId="4576535D" w14:textId="77777777" w:rsidR="007E32C4" w:rsidRDefault="007E32C4" w:rsidP="00441AB0">
            <w:pPr>
              <w:jc w:val="both"/>
            </w:pPr>
            <w:r>
              <w:t>80 - 89</w:t>
            </w:r>
          </w:p>
        </w:tc>
        <w:tc>
          <w:tcPr>
            <w:tcW w:w="3085" w:type="dxa"/>
          </w:tcPr>
          <w:p w14:paraId="6768E66F" w14:textId="77777777" w:rsidR="007E32C4" w:rsidRDefault="007E32C4" w:rsidP="00441AB0">
            <w:pPr>
              <w:jc w:val="both"/>
            </w:pPr>
            <w:r>
              <w:t>Good</w:t>
            </w:r>
          </w:p>
        </w:tc>
        <w:tc>
          <w:tcPr>
            <w:tcW w:w="5142" w:type="dxa"/>
          </w:tcPr>
          <w:p w14:paraId="3E5D0D63" w14:textId="77777777" w:rsidR="007E32C4" w:rsidRDefault="007E32C4" w:rsidP="00441AB0">
            <w:pPr>
              <w:jc w:val="both"/>
            </w:pPr>
            <w:r>
              <w:t>Shows solid understanding with minor errors</w:t>
            </w:r>
          </w:p>
        </w:tc>
      </w:tr>
      <w:tr w:rsidR="007E32C4" w14:paraId="28AE72DE" w14:textId="77777777" w:rsidTr="00D73E3F">
        <w:trPr>
          <w:trHeight w:val="518"/>
        </w:trPr>
        <w:tc>
          <w:tcPr>
            <w:tcW w:w="2468" w:type="dxa"/>
          </w:tcPr>
          <w:p w14:paraId="6A8C5326" w14:textId="77777777" w:rsidR="007E32C4" w:rsidRDefault="007E32C4" w:rsidP="00441AB0">
            <w:pPr>
              <w:jc w:val="both"/>
            </w:pPr>
            <w:r>
              <w:t>70 - 79</w:t>
            </w:r>
          </w:p>
        </w:tc>
        <w:tc>
          <w:tcPr>
            <w:tcW w:w="3085" w:type="dxa"/>
          </w:tcPr>
          <w:p w14:paraId="245EB724" w14:textId="77777777" w:rsidR="007E32C4" w:rsidRDefault="007E32C4" w:rsidP="00441AB0">
            <w:pPr>
              <w:jc w:val="both"/>
            </w:pPr>
            <w:r>
              <w:t>Satisfactory</w:t>
            </w:r>
          </w:p>
        </w:tc>
        <w:tc>
          <w:tcPr>
            <w:tcW w:w="5142" w:type="dxa"/>
          </w:tcPr>
          <w:p w14:paraId="60A4ADDA" w14:textId="77777777" w:rsidR="007E32C4" w:rsidRDefault="007E32C4" w:rsidP="00441AB0">
            <w:pPr>
              <w:jc w:val="both"/>
            </w:pPr>
            <w:r>
              <w:t>Adequate proficiency with noticeable errors</w:t>
            </w:r>
          </w:p>
        </w:tc>
      </w:tr>
      <w:tr w:rsidR="007E32C4" w14:paraId="4ECE93A0" w14:textId="77777777" w:rsidTr="00D73E3F">
        <w:trPr>
          <w:trHeight w:val="505"/>
        </w:trPr>
        <w:tc>
          <w:tcPr>
            <w:tcW w:w="2468" w:type="dxa"/>
          </w:tcPr>
          <w:p w14:paraId="47796CFD" w14:textId="77777777" w:rsidR="007E32C4" w:rsidRDefault="007E32C4" w:rsidP="00441AB0">
            <w:pPr>
              <w:jc w:val="both"/>
            </w:pPr>
            <w:r>
              <w:t>60 - 69</w:t>
            </w:r>
          </w:p>
        </w:tc>
        <w:tc>
          <w:tcPr>
            <w:tcW w:w="3085" w:type="dxa"/>
          </w:tcPr>
          <w:p w14:paraId="1857048C" w14:textId="77777777" w:rsidR="007E32C4" w:rsidRDefault="007E32C4" w:rsidP="00441AB0">
            <w:pPr>
              <w:jc w:val="both"/>
            </w:pPr>
            <w:r>
              <w:t>Needs Improvement</w:t>
            </w:r>
          </w:p>
        </w:tc>
        <w:tc>
          <w:tcPr>
            <w:tcW w:w="5142" w:type="dxa"/>
          </w:tcPr>
          <w:p w14:paraId="5D563225" w14:textId="77777777" w:rsidR="007E32C4" w:rsidRDefault="007E32C4" w:rsidP="00441AB0">
            <w:pPr>
              <w:jc w:val="both"/>
            </w:pPr>
            <w:r>
              <w:t>Limited proficiency; frequent grammatical issues</w:t>
            </w:r>
          </w:p>
        </w:tc>
      </w:tr>
      <w:tr w:rsidR="007E32C4" w14:paraId="600E0BE1" w14:textId="77777777" w:rsidTr="00D73E3F">
        <w:trPr>
          <w:trHeight w:val="505"/>
        </w:trPr>
        <w:tc>
          <w:tcPr>
            <w:tcW w:w="2468" w:type="dxa"/>
            <w:tcBorders>
              <w:bottom w:val="single" w:sz="4" w:space="0" w:color="auto"/>
            </w:tcBorders>
          </w:tcPr>
          <w:p w14:paraId="66024753" w14:textId="77777777" w:rsidR="007E32C4" w:rsidRDefault="007E32C4" w:rsidP="00441AB0">
            <w:pPr>
              <w:jc w:val="both"/>
            </w:pPr>
            <w:r>
              <w:t>Below 60</w:t>
            </w:r>
          </w:p>
        </w:tc>
        <w:tc>
          <w:tcPr>
            <w:tcW w:w="3085" w:type="dxa"/>
            <w:tcBorders>
              <w:bottom w:val="single" w:sz="4" w:space="0" w:color="auto"/>
            </w:tcBorders>
          </w:tcPr>
          <w:p w14:paraId="00773211" w14:textId="77777777" w:rsidR="007E32C4" w:rsidRDefault="007E32C4" w:rsidP="00441AB0">
            <w:pPr>
              <w:jc w:val="both"/>
            </w:pPr>
            <w:r>
              <w:t>Poor</w:t>
            </w:r>
          </w:p>
        </w:tc>
        <w:tc>
          <w:tcPr>
            <w:tcW w:w="5142" w:type="dxa"/>
            <w:tcBorders>
              <w:bottom w:val="single" w:sz="4" w:space="0" w:color="auto"/>
            </w:tcBorders>
          </w:tcPr>
          <w:p w14:paraId="77C873C4" w14:textId="77777777" w:rsidR="007E32C4" w:rsidRDefault="007E32C4" w:rsidP="00441AB0">
            <w:pPr>
              <w:jc w:val="both"/>
            </w:pPr>
            <w:r>
              <w:t>Insufficient grammar mastery; errors significantly hinder clarity</w:t>
            </w:r>
          </w:p>
        </w:tc>
      </w:tr>
    </w:tbl>
    <w:p w14:paraId="69DEB9F9" w14:textId="3DC998A5" w:rsidR="0088678D" w:rsidRPr="00D76241" w:rsidRDefault="00972AB8" w:rsidP="007E32C4">
      <w:pPr>
        <w:jc w:val="both"/>
        <w:rPr>
          <w:b/>
          <w:bCs/>
        </w:rPr>
      </w:pPr>
      <w:r w:rsidRPr="00D76241">
        <w:rPr>
          <w:b/>
          <w:bCs/>
        </w:rPr>
        <w:t>Table 3- The scores from the grammar proficiency test were interpreted using a five-point performance scale</w:t>
      </w:r>
    </w:p>
    <w:p w14:paraId="75561E00" w14:textId="77777777" w:rsidR="00EF4403" w:rsidRDefault="00EF4403" w:rsidP="007E32C4">
      <w:pPr>
        <w:jc w:val="both"/>
      </w:pPr>
    </w:p>
    <w:p w14:paraId="03C9EA41" w14:textId="77777777" w:rsidR="00EF4403" w:rsidRPr="0088678D" w:rsidRDefault="00EF4403" w:rsidP="007E32C4">
      <w:pPr>
        <w:jc w:val="both"/>
      </w:pPr>
      <w:r w:rsidRPr="0088678D">
        <w:rPr>
          <w:rFonts w:ascii="Arial" w:hAnsi="Arial"/>
          <w:b/>
        </w:rPr>
        <w:t>2.5 Validation and Reliability</w:t>
      </w:r>
    </w:p>
    <w:p w14:paraId="3B87D1DD" w14:textId="77777777" w:rsidR="007F4F2F" w:rsidRDefault="00EF4403" w:rsidP="007F4F2F">
      <w:pPr>
        <w:jc w:val="both"/>
      </w:pPr>
      <w:r>
        <w:t>Content validation of the adapted questionnaire was conducted by three experts in applied linguistics and educational assessment. Suggestions were incorporated to improve item clarity and alignment with the constructs of writing skill,</w:t>
      </w:r>
      <w:r w:rsidR="00972AB8">
        <w:t xml:space="preserve"> </w:t>
      </w:r>
      <w:r>
        <w:t>strategy use, and grammar proficiency. A pilot test was administered to 30 fourth-year students from a different institution.</w:t>
      </w:r>
      <w:r w:rsidR="00972AB8">
        <w:t xml:space="preserve"> </w:t>
      </w:r>
    </w:p>
    <w:p w14:paraId="63EADD0E" w14:textId="77777777" w:rsidR="007F4F2F" w:rsidRDefault="007F4F2F" w:rsidP="007F4F2F"/>
    <w:p w14:paraId="393F3DB4" w14:textId="45204435" w:rsidR="007E32C4" w:rsidRDefault="00EF4403" w:rsidP="007F4F2F">
      <w:r>
        <w:t>Reliability testing using Cronbach’s alpha yielded the following results:</w:t>
      </w:r>
    </w:p>
    <w:tbl>
      <w:tblPr>
        <w:tblW w:w="0" w:type="auto"/>
        <w:tblLayout w:type="fixed"/>
        <w:tblLook w:val="04A0" w:firstRow="1" w:lastRow="0" w:firstColumn="1" w:lastColumn="0" w:noHBand="0" w:noVBand="1"/>
      </w:tblPr>
      <w:tblGrid>
        <w:gridCol w:w="5605"/>
        <w:gridCol w:w="2547"/>
        <w:gridCol w:w="2547"/>
      </w:tblGrid>
      <w:tr w:rsidR="007E32C4" w14:paraId="5CCCB3D0" w14:textId="77777777" w:rsidTr="00D73E3F">
        <w:trPr>
          <w:trHeight w:val="545"/>
        </w:trPr>
        <w:tc>
          <w:tcPr>
            <w:tcW w:w="5605" w:type="dxa"/>
            <w:tcBorders>
              <w:top w:val="single" w:sz="4" w:space="0" w:color="auto"/>
              <w:bottom w:val="single" w:sz="4" w:space="0" w:color="auto"/>
            </w:tcBorders>
          </w:tcPr>
          <w:p w14:paraId="4A2F0346" w14:textId="77777777" w:rsidR="007E32C4" w:rsidRDefault="007E32C4" w:rsidP="007E32C4">
            <w:pPr>
              <w:jc w:val="both"/>
            </w:pPr>
            <w:r>
              <w:rPr>
                <w:b/>
              </w:rPr>
              <w:t>Instrument Section</w:t>
            </w:r>
          </w:p>
        </w:tc>
        <w:tc>
          <w:tcPr>
            <w:tcW w:w="2547" w:type="dxa"/>
            <w:tcBorders>
              <w:top w:val="single" w:sz="4" w:space="0" w:color="auto"/>
              <w:bottom w:val="single" w:sz="4" w:space="0" w:color="auto"/>
            </w:tcBorders>
          </w:tcPr>
          <w:p w14:paraId="089D68F4" w14:textId="77777777" w:rsidR="007E32C4" w:rsidRDefault="007E32C4" w:rsidP="007E32C4">
            <w:pPr>
              <w:jc w:val="both"/>
            </w:pPr>
            <w:r>
              <w:rPr>
                <w:b/>
              </w:rPr>
              <w:t>Number of Items</w:t>
            </w:r>
          </w:p>
        </w:tc>
        <w:tc>
          <w:tcPr>
            <w:tcW w:w="2547" w:type="dxa"/>
            <w:tcBorders>
              <w:top w:val="single" w:sz="4" w:space="0" w:color="auto"/>
              <w:bottom w:val="single" w:sz="4" w:space="0" w:color="auto"/>
            </w:tcBorders>
          </w:tcPr>
          <w:p w14:paraId="19D007EC" w14:textId="77777777" w:rsidR="007E32C4" w:rsidRDefault="007E32C4" w:rsidP="007E32C4">
            <w:pPr>
              <w:jc w:val="both"/>
            </w:pPr>
            <w:r>
              <w:rPr>
                <w:b/>
              </w:rPr>
              <w:t>Cronbach’s Alpha</w:t>
            </w:r>
          </w:p>
        </w:tc>
      </w:tr>
      <w:tr w:rsidR="007E32C4" w14:paraId="0FE29205" w14:textId="77777777" w:rsidTr="00D73E3F">
        <w:trPr>
          <w:trHeight w:val="272"/>
        </w:trPr>
        <w:tc>
          <w:tcPr>
            <w:tcW w:w="5605" w:type="dxa"/>
            <w:tcBorders>
              <w:top w:val="single" w:sz="4" w:space="0" w:color="auto"/>
            </w:tcBorders>
          </w:tcPr>
          <w:p w14:paraId="341B0C8D" w14:textId="77777777" w:rsidR="007E32C4" w:rsidRDefault="007E32C4" w:rsidP="007E32C4">
            <w:pPr>
              <w:jc w:val="both"/>
            </w:pPr>
            <w:r>
              <w:t>Self-Assessed Writing Skills</w:t>
            </w:r>
          </w:p>
        </w:tc>
        <w:tc>
          <w:tcPr>
            <w:tcW w:w="2547" w:type="dxa"/>
            <w:tcBorders>
              <w:top w:val="single" w:sz="4" w:space="0" w:color="auto"/>
            </w:tcBorders>
          </w:tcPr>
          <w:p w14:paraId="0CBD5CD6" w14:textId="77777777" w:rsidR="007E32C4" w:rsidRDefault="007E32C4" w:rsidP="007E32C4">
            <w:pPr>
              <w:jc w:val="both"/>
            </w:pPr>
            <w:r>
              <w:t>15</w:t>
            </w:r>
          </w:p>
        </w:tc>
        <w:tc>
          <w:tcPr>
            <w:tcW w:w="2547" w:type="dxa"/>
            <w:tcBorders>
              <w:top w:val="single" w:sz="4" w:space="0" w:color="auto"/>
            </w:tcBorders>
          </w:tcPr>
          <w:p w14:paraId="579F2886" w14:textId="77777777" w:rsidR="007E32C4" w:rsidRDefault="007E32C4" w:rsidP="007E32C4">
            <w:pPr>
              <w:jc w:val="both"/>
            </w:pPr>
            <w:r>
              <w:t>0.91</w:t>
            </w:r>
          </w:p>
        </w:tc>
      </w:tr>
      <w:tr w:rsidR="007E32C4" w14:paraId="419B6BB4" w14:textId="77777777" w:rsidTr="00D73E3F">
        <w:trPr>
          <w:trHeight w:val="272"/>
        </w:trPr>
        <w:tc>
          <w:tcPr>
            <w:tcW w:w="5605" w:type="dxa"/>
          </w:tcPr>
          <w:p w14:paraId="02088E88" w14:textId="77777777" w:rsidR="007E32C4" w:rsidRDefault="007E32C4" w:rsidP="007E32C4">
            <w:pPr>
              <w:jc w:val="both"/>
            </w:pPr>
            <w:r>
              <w:t>Learning Strategies</w:t>
            </w:r>
          </w:p>
        </w:tc>
        <w:tc>
          <w:tcPr>
            <w:tcW w:w="2547" w:type="dxa"/>
          </w:tcPr>
          <w:p w14:paraId="1D509A2D" w14:textId="77777777" w:rsidR="007E32C4" w:rsidRDefault="007E32C4" w:rsidP="007E32C4">
            <w:pPr>
              <w:jc w:val="both"/>
            </w:pPr>
            <w:r>
              <w:t>18</w:t>
            </w:r>
          </w:p>
        </w:tc>
        <w:tc>
          <w:tcPr>
            <w:tcW w:w="2547" w:type="dxa"/>
          </w:tcPr>
          <w:p w14:paraId="38376E9E" w14:textId="77777777" w:rsidR="007E32C4" w:rsidRDefault="007E32C4" w:rsidP="007E32C4">
            <w:pPr>
              <w:jc w:val="both"/>
            </w:pPr>
            <w:r>
              <w:t>0.89</w:t>
            </w:r>
          </w:p>
        </w:tc>
      </w:tr>
      <w:tr w:rsidR="007E32C4" w14:paraId="2EC4533C" w14:textId="77777777" w:rsidTr="00D73E3F">
        <w:trPr>
          <w:trHeight w:val="272"/>
        </w:trPr>
        <w:tc>
          <w:tcPr>
            <w:tcW w:w="5605" w:type="dxa"/>
            <w:tcBorders>
              <w:bottom w:val="single" w:sz="4" w:space="0" w:color="auto"/>
            </w:tcBorders>
          </w:tcPr>
          <w:p w14:paraId="027FBD19" w14:textId="77777777" w:rsidR="007E32C4" w:rsidRDefault="007E32C4" w:rsidP="007E32C4">
            <w:pPr>
              <w:jc w:val="both"/>
            </w:pPr>
            <w:r>
              <w:t>Grammar Proficiency Test</w:t>
            </w:r>
          </w:p>
        </w:tc>
        <w:tc>
          <w:tcPr>
            <w:tcW w:w="2547" w:type="dxa"/>
            <w:tcBorders>
              <w:bottom w:val="single" w:sz="4" w:space="0" w:color="auto"/>
            </w:tcBorders>
          </w:tcPr>
          <w:p w14:paraId="7986205A" w14:textId="095BD899" w:rsidR="007E32C4" w:rsidRDefault="007E32C4" w:rsidP="007E32C4">
            <w:pPr>
              <w:jc w:val="both"/>
            </w:pPr>
            <w:r>
              <w:t>2</w:t>
            </w:r>
            <w:r w:rsidR="00B3134C">
              <w:t>0</w:t>
            </w:r>
          </w:p>
        </w:tc>
        <w:tc>
          <w:tcPr>
            <w:tcW w:w="2547" w:type="dxa"/>
            <w:tcBorders>
              <w:bottom w:val="single" w:sz="4" w:space="0" w:color="auto"/>
            </w:tcBorders>
          </w:tcPr>
          <w:p w14:paraId="29940659" w14:textId="77777777" w:rsidR="007E32C4" w:rsidRDefault="007E32C4" w:rsidP="007E32C4">
            <w:pPr>
              <w:jc w:val="both"/>
            </w:pPr>
            <w:r>
              <w:t>0.87</w:t>
            </w:r>
          </w:p>
        </w:tc>
      </w:tr>
    </w:tbl>
    <w:p w14:paraId="341FF0D7" w14:textId="4A1E96B0" w:rsidR="00D73E3F" w:rsidRPr="00D76241" w:rsidRDefault="00972AB8" w:rsidP="007E32C4">
      <w:pPr>
        <w:jc w:val="both"/>
        <w:rPr>
          <w:b/>
          <w:bCs/>
        </w:rPr>
      </w:pPr>
      <w:r w:rsidRPr="00D76241">
        <w:rPr>
          <w:b/>
          <w:bCs/>
        </w:rPr>
        <w:t xml:space="preserve">Table 4- Reliability Testing Using Cronbach’s </w:t>
      </w:r>
      <w:r w:rsidR="00FA2E0D" w:rsidRPr="00D76241">
        <w:rPr>
          <w:b/>
          <w:bCs/>
        </w:rPr>
        <w:t>Alpha</w:t>
      </w:r>
    </w:p>
    <w:p w14:paraId="5940A069" w14:textId="77777777" w:rsidR="00972AB8" w:rsidRDefault="00972AB8" w:rsidP="007E32C4">
      <w:pPr>
        <w:jc w:val="both"/>
      </w:pPr>
    </w:p>
    <w:p w14:paraId="18F7CFCC" w14:textId="77777777" w:rsidR="00EF4403" w:rsidRPr="0088678D" w:rsidRDefault="00EF4403" w:rsidP="007E32C4">
      <w:pPr>
        <w:jc w:val="both"/>
      </w:pPr>
      <w:r w:rsidRPr="0088678D">
        <w:rPr>
          <w:rFonts w:ascii="Arial" w:hAnsi="Arial"/>
          <w:b/>
        </w:rPr>
        <w:t>2.6 Data Collection Procedure</w:t>
      </w:r>
    </w:p>
    <w:p w14:paraId="75EB83D2" w14:textId="77777777" w:rsidR="00EF4403" w:rsidRDefault="00EF4403" w:rsidP="007E32C4">
      <w:pPr>
        <w:jc w:val="both"/>
      </w:pPr>
      <w:r>
        <w:t>Prior to data collection, permission was obtained from institutional authorities, and informed consent was secured from all participants. The questionnaire was administered in person under the supervision of the researcher and designated facilitators. Participants were given 45 minutes to complete the three sections. Completed forms were encoded and stored securely to ensure confidentiality and data integrity.</w:t>
      </w:r>
    </w:p>
    <w:p w14:paraId="24A92FBF" w14:textId="77777777" w:rsidR="0088678D" w:rsidRDefault="0088678D" w:rsidP="007E32C4">
      <w:pPr>
        <w:jc w:val="both"/>
      </w:pPr>
    </w:p>
    <w:p w14:paraId="672D10C3" w14:textId="77777777" w:rsidR="00EF4403" w:rsidRPr="0088678D" w:rsidRDefault="00EF4403" w:rsidP="007E32C4">
      <w:pPr>
        <w:jc w:val="both"/>
      </w:pPr>
      <w:r w:rsidRPr="0088678D">
        <w:rPr>
          <w:rFonts w:ascii="Arial" w:hAnsi="Arial"/>
          <w:b/>
        </w:rPr>
        <w:t>2.7 Data Analysis</w:t>
      </w:r>
    </w:p>
    <w:p w14:paraId="46E9043F" w14:textId="68B601D3" w:rsidR="00EF4403" w:rsidRDefault="00EF4403" w:rsidP="007E32C4">
      <w:pPr>
        <w:jc w:val="both"/>
      </w:pPr>
      <w:r>
        <w:t xml:space="preserve">The collected data were analyzed using SPSS. Descriptive statistics, including means and standard deviations, were used to summarize students' self-assessed writing skills, learning strategy use, and grammar proficiency. Pearson’s correlation coefficient was employed to examine the relationships between the three variables. </w:t>
      </w:r>
      <w:r w:rsidR="00D011EF" w:rsidRPr="00D011EF">
        <w:t>Multiple regression analysis was conducted to determine the extent to which self-assessed writing skills and use of learning strategies predicted students’ grammar proficiency.</w:t>
      </w:r>
      <w:r w:rsidR="00D011EF">
        <w:t xml:space="preserve"> </w:t>
      </w:r>
      <w:r>
        <w:t>The following interpretation was used for the correlation coefficients:</w:t>
      </w:r>
    </w:p>
    <w:p w14:paraId="6B4C489F" w14:textId="07ADAFBA" w:rsidR="00D011EF" w:rsidRDefault="00D011EF" w:rsidP="007E32C4">
      <w:pPr>
        <w:jc w:val="both"/>
      </w:pPr>
    </w:p>
    <w:tbl>
      <w:tblPr>
        <w:tblW w:w="0" w:type="auto"/>
        <w:tblLayout w:type="fixed"/>
        <w:tblLook w:val="04A0" w:firstRow="1" w:lastRow="0" w:firstColumn="1" w:lastColumn="0" w:noHBand="0" w:noVBand="1"/>
      </w:tblPr>
      <w:tblGrid>
        <w:gridCol w:w="2812"/>
        <w:gridCol w:w="6562"/>
      </w:tblGrid>
      <w:tr w:rsidR="00EF4403" w14:paraId="6CC7F3E9" w14:textId="77777777" w:rsidTr="007E32C4">
        <w:trPr>
          <w:trHeight w:val="273"/>
        </w:trPr>
        <w:tc>
          <w:tcPr>
            <w:tcW w:w="2812" w:type="dxa"/>
            <w:tcBorders>
              <w:top w:val="single" w:sz="4" w:space="0" w:color="auto"/>
              <w:bottom w:val="single" w:sz="4" w:space="0" w:color="auto"/>
            </w:tcBorders>
          </w:tcPr>
          <w:p w14:paraId="7454C4F1" w14:textId="44DE9350" w:rsidR="00EF4403" w:rsidRDefault="00D73E3F" w:rsidP="007E32C4">
            <w:pPr>
              <w:jc w:val="both"/>
            </w:pPr>
            <w:r>
              <w:rPr>
                <w:b/>
              </w:rPr>
              <w:lastRenderedPageBreak/>
              <w:t>R-value</w:t>
            </w:r>
          </w:p>
        </w:tc>
        <w:tc>
          <w:tcPr>
            <w:tcW w:w="6562" w:type="dxa"/>
            <w:tcBorders>
              <w:top w:val="single" w:sz="4" w:space="0" w:color="auto"/>
              <w:bottom w:val="single" w:sz="4" w:space="0" w:color="auto"/>
            </w:tcBorders>
          </w:tcPr>
          <w:p w14:paraId="73144C81" w14:textId="77777777" w:rsidR="00EF4403" w:rsidRDefault="00EF4403" w:rsidP="007E32C4">
            <w:pPr>
              <w:jc w:val="both"/>
            </w:pPr>
            <w:r>
              <w:rPr>
                <w:b/>
              </w:rPr>
              <w:t>Interpretation</w:t>
            </w:r>
          </w:p>
        </w:tc>
      </w:tr>
      <w:tr w:rsidR="00EF4403" w14:paraId="130A6A67" w14:textId="77777777" w:rsidTr="007E32C4">
        <w:trPr>
          <w:trHeight w:val="273"/>
        </w:trPr>
        <w:tc>
          <w:tcPr>
            <w:tcW w:w="2812" w:type="dxa"/>
            <w:tcBorders>
              <w:top w:val="single" w:sz="4" w:space="0" w:color="auto"/>
            </w:tcBorders>
          </w:tcPr>
          <w:p w14:paraId="4DE52602" w14:textId="77777777" w:rsidR="00EF4403" w:rsidRDefault="00EF4403" w:rsidP="007E32C4">
            <w:pPr>
              <w:jc w:val="both"/>
            </w:pPr>
            <w:r>
              <w:t>0.90 - 1.00</w:t>
            </w:r>
          </w:p>
        </w:tc>
        <w:tc>
          <w:tcPr>
            <w:tcW w:w="6562" w:type="dxa"/>
            <w:tcBorders>
              <w:top w:val="single" w:sz="4" w:space="0" w:color="auto"/>
            </w:tcBorders>
          </w:tcPr>
          <w:p w14:paraId="6AEFF803" w14:textId="77777777" w:rsidR="00EF4403" w:rsidRDefault="00EF4403" w:rsidP="007E32C4">
            <w:pPr>
              <w:jc w:val="both"/>
            </w:pPr>
            <w:r>
              <w:t>Very High Positive Correlation</w:t>
            </w:r>
          </w:p>
        </w:tc>
      </w:tr>
      <w:tr w:rsidR="00EF4403" w14:paraId="1D28030E" w14:textId="77777777" w:rsidTr="007E32C4">
        <w:trPr>
          <w:trHeight w:val="273"/>
        </w:trPr>
        <w:tc>
          <w:tcPr>
            <w:tcW w:w="2812" w:type="dxa"/>
          </w:tcPr>
          <w:p w14:paraId="11A0A6B2" w14:textId="77777777" w:rsidR="00EF4403" w:rsidRDefault="00EF4403" w:rsidP="007E32C4">
            <w:pPr>
              <w:jc w:val="both"/>
            </w:pPr>
            <w:r>
              <w:t>0.70 - 0.89</w:t>
            </w:r>
          </w:p>
        </w:tc>
        <w:tc>
          <w:tcPr>
            <w:tcW w:w="6562" w:type="dxa"/>
          </w:tcPr>
          <w:p w14:paraId="5B27B3C2" w14:textId="77777777" w:rsidR="00EF4403" w:rsidRDefault="00EF4403" w:rsidP="007E32C4">
            <w:pPr>
              <w:jc w:val="both"/>
            </w:pPr>
            <w:r>
              <w:t>High Positive Correlation</w:t>
            </w:r>
          </w:p>
        </w:tc>
      </w:tr>
      <w:tr w:rsidR="00EF4403" w14:paraId="2A690EC4" w14:textId="77777777" w:rsidTr="007E32C4">
        <w:trPr>
          <w:trHeight w:val="273"/>
        </w:trPr>
        <w:tc>
          <w:tcPr>
            <w:tcW w:w="2812" w:type="dxa"/>
          </w:tcPr>
          <w:p w14:paraId="2309E0F1" w14:textId="77777777" w:rsidR="00EF4403" w:rsidRDefault="00EF4403" w:rsidP="007E32C4">
            <w:pPr>
              <w:jc w:val="both"/>
            </w:pPr>
            <w:r>
              <w:t>0.50 - 0.69</w:t>
            </w:r>
          </w:p>
        </w:tc>
        <w:tc>
          <w:tcPr>
            <w:tcW w:w="6562" w:type="dxa"/>
          </w:tcPr>
          <w:p w14:paraId="4D074183" w14:textId="77777777" w:rsidR="00EF4403" w:rsidRDefault="00EF4403" w:rsidP="007E32C4">
            <w:pPr>
              <w:jc w:val="both"/>
            </w:pPr>
            <w:r>
              <w:t>Moderate Positive Correlation</w:t>
            </w:r>
          </w:p>
        </w:tc>
      </w:tr>
      <w:tr w:rsidR="00EF4403" w14:paraId="66863B97" w14:textId="77777777" w:rsidTr="007E32C4">
        <w:trPr>
          <w:trHeight w:val="273"/>
        </w:trPr>
        <w:tc>
          <w:tcPr>
            <w:tcW w:w="2812" w:type="dxa"/>
          </w:tcPr>
          <w:p w14:paraId="1B683652" w14:textId="77777777" w:rsidR="00EF4403" w:rsidRDefault="00EF4403" w:rsidP="007E32C4">
            <w:pPr>
              <w:jc w:val="both"/>
            </w:pPr>
            <w:r>
              <w:t>0.30 - 0.49</w:t>
            </w:r>
          </w:p>
        </w:tc>
        <w:tc>
          <w:tcPr>
            <w:tcW w:w="6562" w:type="dxa"/>
          </w:tcPr>
          <w:p w14:paraId="07F89559" w14:textId="77777777" w:rsidR="00EF4403" w:rsidRDefault="00EF4403" w:rsidP="007E32C4">
            <w:pPr>
              <w:jc w:val="both"/>
            </w:pPr>
            <w:r>
              <w:t>Low Positive Correlation</w:t>
            </w:r>
          </w:p>
        </w:tc>
      </w:tr>
      <w:tr w:rsidR="00EF4403" w14:paraId="07A0F711" w14:textId="77777777" w:rsidTr="007E32C4">
        <w:trPr>
          <w:trHeight w:val="273"/>
        </w:trPr>
        <w:tc>
          <w:tcPr>
            <w:tcW w:w="2812" w:type="dxa"/>
            <w:tcBorders>
              <w:bottom w:val="single" w:sz="4" w:space="0" w:color="auto"/>
            </w:tcBorders>
          </w:tcPr>
          <w:p w14:paraId="46A8FBE7" w14:textId="77777777" w:rsidR="00EF4403" w:rsidRDefault="00EF4403" w:rsidP="007E32C4">
            <w:pPr>
              <w:jc w:val="both"/>
            </w:pPr>
            <w:r>
              <w:t>0.00 - 0.29</w:t>
            </w:r>
          </w:p>
        </w:tc>
        <w:tc>
          <w:tcPr>
            <w:tcW w:w="6562" w:type="dxa"/>
            <w:tcBorders>
              <w:bottom w:val="single" w:sz="4" w:space="0" w:color="auto"/>
            </w:tcBorders>
          </w:tcPr>
          <w:p w14:paraId="5BD4A3E9" w14:textId="77777777" w:rsidR="00EF4403" w:rsidRDefault="00EF4403" w:rsidP="007E32C4">
            <w:pPr>
              <w:jc w:val="both"/>
            </w:pPr>
            <w:r>
              <w:t>Negligible Correlation</w:t>
            </w:r>
          </w:p>
        </w:tc>
      </w:tr>
    </w:tbl>
    <w:p w14:paraId="4532FD59" w14:textId="63A1951C" w:rsidR="00EF4403" w:rsidRPr="00D76241" w:rsidRDefault="0043238D" w:rsidP="007E32C4">
      <w:pPr>
        <w:jc w:val="both"/>
        <w:rPr>
          <w:b/>
          <w:bCs/>
        </w:rPr>
      </w:pPr>
      <w:r w:rsidRPr="00D76241">
        <w:rPr>
          <w:b/>
          <w:bCs/>
        </w:rPr>
        <w:t>Table 5- Interpretation criteria for R-values</w:t>
      </w:r>
    </w:p>
    <w:p w14:paraId="13D11B7B" w14:textId="77777777" w:rsidR="0043238D" w:rsidRDefault="0043238D" w:rsidP="007E32C4">
      <w:pPr>
        <w:jc w:val="both"/>
      </w:pPr>
    </w:p>
    <w:p w14:paraId="425E6AC1" w14:textId="77777777" w:rsidR="00790ADA" w:rsidRDefault="00790ADA" w:rsidP="007E32C4">
      <w:pPr>
        <w:pStyle w:val="Body"/>
        <w:spacing w:after="0"/>
        <w:rPr>
          <w:rFonts w:ascii="Arial" w:hAnsi="Arial" w:cs="Arial"/>
        </w:rPr>
      </w:pPr>
    </w:p>
    <w:p w14:paraId="0EDD437A" w14:textId="77777777" w:rsidR="00790ADA" w:rsidRPr="00FB3A86" w:rsidRDefault="00790ADA" w:rsidP="007E32C4">
      <w:pPr>
        <w:pStyle w:val="Body"/>
        <w:spacing w:after="0"/>
        <w:rPr>
          <w:rFonts w:ascii="Arial" w:hAnsi="Arial" w:cs="Arial"/>
        </w:rPr>
      </w:pPr>
    </w:p>
    <w:p w14:paraId="0FFC4383" w14:textId="0FE4A723" w:rsidR="00790ADA" w:rsidRPr="00FB3A86" w:rsidRDefault="00000F8F" w:rsidP="007E32C4">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06B410" w14:textId="77777777" w:rsidR="007C6788" w:rsidRDefault="007C6788" w:rsidP="007E32C4">
      <w:pPr>
        <w:pStyle w:val="Body"/>
        <w:spacing w:after="0"/>
        <w:rPr>
          <w:rFonts w:ascii="Arial" w:hAnsi="Arial" w:cs="Arial"/>
          <w:lang w:val="en-PH"/>
        </w:rPr>
      </w:pPr>
      <w:r w:rsidRPr="007C6788">
        <w:rPr>
          <w:rFonts w:ascii="Arial" w:hAnsi="Arial" w:cs="Arial"/>
          <w:lang w:val="en-PH"/>
        </w:rPr>
        <w:t>This chapter presents the findings of the study based on the data gathered. The results are presented in tables and figures, followed by detailed narrative interpretations. Subsections are organized according to the statistical analyses performed.</w:t>
      </w:r>
    </w:p>
    <w:p w14:paraId="61F47D90" w14:textId="77777777" w:rsidR="007C6788" w:rsidRPr="007C6788" w:rsidRDefault="007C6788" w:rsidP="007E32C4">
      <w:pPr>
        <w:pStyle w:val="Body"/>
        <w:spacing w:after="0"/>
        <w:rPr>
          <w:rFonts w:ascii="Arial" w:hAnsi="Arial" w:cs="Arial"/>
          <w:lang w:val="en-PH"/>
        </w:rPr>
      </w:pPr>
    </w:p>
    <w:p w14:paraId="23CA990F" w14:textId="766FBCAE" w:rsidR="007C6788" w:rsidRPr="007C6788" w:rsidRDefault="007C6788" w:rsidP="007E32C4">
      <w:pPr>
        <w:pStyle w:val="Body"/>
        <w:spacing w:after="0"/>
        <w:rPr>
          <w:rFonts w:ascii="Arial" w:hAnsi="Arial" w:cs="Arial"/>
          <w:lang w:val="en-PH"/>
        </w:rPr>
      </w:pPr>
      <w:r w:rsidRPr="007C6788">
        <w:rPr>
          <w:rFonts w:ascii="Arial" w:hAnsi="Arial" w:cs="Arial"/>
          <w:b/>
          <w:bCs/>
          <w:lang w:val="en-PH"/>
        </w:rPr>
        <w:t>3.1 Descriptive Analysis</w:t>
      </w:r>
    </w:p>
    <w:tbl>
      <w:tblPr>
        <w:tblStyle w:val="TableGrid"/>
        <w:tblW w:w="0" w:type="auto"/>
        <w:tblLook w:val="04A0" w:firstRow="1" w:lastRow="0" w:firstColumn="1" w:lastColumn="0" w:noHBand="0" w:noVBand="1"/>
      </w:tblPr>
      <w:tblGrid>
        <w:gridCol w:w="2337"/>
        <w:gridCol w:w="2337"/>
        <w:gridCol w:w="2338"/>
        <w:gridCol w:w="2338"/>
      </w:tblGrid>
      <w:tr w:rsidR="007E32C4" w14:paraId="50FA4865" w14:textId="77777777" w:rsidTr="00441AB0">
        <w:tc>
          <w:tcPr>
            <w:tcW w:w="2337" w:type="dxa"/>
            <w:tcBorders>
              <w:top w:val="single" w:sz="4" w:space="0" w:color="auto"/>
              <w:bottom w:val="single" w:sz="4" w:space="0" w:color="auto"/>
            </w:tcBorders>
            <w:vAlign w:val="center"/>
          </w:tcPr>
          <w:p w14:paraId="5E0CDFE9" w14:textId="77777777" w:rsidR="007E32C4" w:rsidRDefault="007E32C4" w:rsidP="00441AB0">
            <w:r w:rsidRPr="007C6788">
              <w:rPr>
                <w:rFonts w:ascii="Arial" w:hAnsi="Arial" w:cs="Arial"/>
                <w:b/>
                <w:bCs/>
                <w:lang w:val="en-PH"/>
              </w:rPr>
              <w:t>Variables</w:t>
            </w:r>
          </w:p>
        </w:tc>
        <w:tc>
          <w:tcPr>
            <w:tcW w:w="2337" w:type="dxa"/>
            <w:tcBorders>
              <w:top w:val="single" w:sz="4" w:space="0" w:color="auto"/>
              <w:bottom w:val="single" w:sz="4" w:space="0" w:color="auto"/>
            </w:tcBorders>
            <w:vAlign w:val="center"/>
          </w:tcPr>
          <w:p w14:paraId="2EF6E1DC" w14:textId="77777777" w:rsidR="007E32C4" w:rsidRDefault="007E32C4" w:rsidP="00441AB0">
            <w:r w:rsidRPr="007C6788">
              <w:rPr>
                <w:rFonts w:ascii="Arial" w:hAnsi="Arial" w:cs="Arial"/>
                <w:b/>
                <w:bCs/>
                <w:lang w:val="en-PH"/>
              </w:rPr>
              <w:t>SD</w:t>
            </w:r>
          </w:p>
        </w:tc>
        <w:tc>
          <w:tcPr>
            <w:tcW w:w="2338" w:type="dxa"/>
            <w:tcBorders>
              <w:top w:val="single" w:sz="4" w:space="0" w:color="auto"/>
              <w:bottom w:val="single" w:sz="4" w:space="0" w:color="auto"/>
            </w:tcBorders>
            <w:vAlign w:val="center"/>
          </w:tcPr>
          <w:p w14:paraId="50438432" w14:textId="77777777" w:rsidR="007E32C4" w:rsidRDefault="007E32C4" w:rsidP="00441AB0">
            <w:r w:rsidRPr="007C6788">
              <w:rPr>
                <w:rFonts w:ascii="Arial" w:hAnsi="Arial" w:cs="Arial"/>
                <w:b/>
                <w:bCs/>
                <w:lang w:val="en-PH"/>
              </w:rPr>
              <w:t>Mean</w:t>
            </w:r>
          </w:p>
        </w:tc>
        <w:tc>
          <w:tcPr>
            <w:tcW w:w="2338" w:type="dxa"/>
            <w:tcBorders>
              <w:top w:val="single" w:sz="4" w:space="0" w:color="auto"/>
              <w:bottom w:val="single" w:sz="4" w:space="0" w:color="auto"/>
            </w:tcBorders>
            <w:vAlign w:val="center"/>
          </w:tcPr>
          <w:p w14:paraId="493352BF" w14:textId="77777777" w:rsidR="007E32C4" w:rsidRDefault="007E32C4" w:rsidP="00441AB0">
            <w:r w:rsidRPr="007C6788">
              <w:rPr>
                <w:rFonts w:ascii="Arial" w:hAnsi="Arial" w:cs="Arial"/>
                <w:b/>
                <w:bCs/>
                <w:lang w:val="en-PH"/>
              </w:rPr>
              <w:t>Verbal Description</w:t>
            </w:r>
          </w:p>
        </w:tc>
      </w:tr>
      <w:tr w:rsidR="007E32C4" w14:paraId="0D66D23F" w14:textId="77777777" w:rsidTr="00441AB0">
        <w:tc>
          <w:tcPr>
            <w:tcW w:w="2337" w:type="dxa"/>
            <w:tcBorders>
              <w:top w:val="single" w:sz="4" w:space="0" w:color="auto"/>
            </w:tcBorders>
            <w:vAlign w:val="center"/>
          </w:tcPr>
          <w:p w14:paraId="2CB830D2" w14:textId="77777777" w:rsidR="007E32C4" w:rsidRPr="00F77E86" w:rsidRDefault="007E32C4" w:rsidP="00441AB0">
            <w:pPr>
              <w:rPr>
                <w:b/>
                <w:bCs/>
              </w:rPr>
            </w:pPr>
            <w:r w:rsidRPr="00F77E86">
              <w:rPr>
                <w:rFonts w:ascii="Arial" w:hAnsi="Arial" w:cs="Arial"/>
                <w:b/>
                <w:bCs/>
                <w:lang w:val="en-PH"/>
              </w:rPr>
              <w:t>Self-assessed writing skills</w:t>
            </w:r>
          </w:p>
        </w:tc>
        <w:tc>
          <w:tcPr>
            <w:tcW w:w="2337" w:type="dxa"/>
            <w:tcBorders>
              <w:top w:val="single" w:sz="4" w:space="0" w:color="auto"/>
            </w:tcBorders>
            <w:vAlign w:val="center"/>
          </w:tcPr>
          <w:p w14:paraId="3135B1DF" w14:textId="77777777" w:rsidR="007E32C4" w:rsidRDefault="007E32C4" w:rsidP="00441AB0">
            <w:r w:rsidRPr="007C6788">
              <w:rPr>
                <w:rFonts w:ascii="Arial" w:hAnsi="Arial" w:cs="Arial"/>
                <w:lang w:val="en-PH"/>
              </w:rPr>
              <w:t>0.536</w:t>
            </w:r>
          </w:p>
        </w:tc>
        <w:tc>
          <w:tcPr>
            <w:tcW w:w="2338" w:type="dxa"/>
            <w:tcBorders>
              <w:top w:val="single" w:sz="4" w:space="0" w:color="auto"/>
            </w:tcBorders>
            <w:vAlign w:val="center"/>
          </w:tcPr>
          <w:p w14:paraId="73F579B9" w14:textId="77777777" w:rsidR="007E32C4" w:rsidRDefault="007E32C4" w:rsidP="00441AB0">
            <w:r w:rsidRPr="007C6788">
              <w:rPr>
                <w:rFonts w:ascii="Arial" w:hAnsi="Arial" w:cs="Arial"/>
                <w:lang w:val="en-PH"/>
              </w:rPr>
              <w:t>4.06</w:t>
            </w:r>
          </w:p>
        </w:tc>
        <w:tc>
          <w:tcPr>
            <w:tcW w:w="2338" w:type="dxa"/>
            <w:tcBorders>
              <w:top w:val="single" w:sz="4" w:space="0" w:color="auto"/>
            </w:tcBorders>
            <w:vAlign w:val="center"/>
          </w:tcPr>
          <w:p w14:paraId="2B4B9383" w14:textId="77777777" w:rsidR="007E32C4" w:rsidRDefault="007E32C4" w:rsidP="00441AB0">
            <w:r w:rsidRPr="007C6788">
              <w:rPr>
                <w:rFonts w:ascii="Arial" w:hAnsi="Arial" w:cs="Arial"/>
                <w:lang w:val="en-PH"/>
              </w:rPr>
              <w:t>High</w:t>
            </w:r>
          </w:p>
        </w:tc>
      </w:tr>
      <w:tr w:rsidR="007E32C4" w14:paraId="125FE921" w14:textId="77777777" w:rsidTr="00441AB0">
        <w:tc>
          <w:tcPr>
            <w:tcW w:w="2337" w:type="dxa"/>
            <w:vAlign w:val="center"/>
          </w:tcPr>
          <w:p w14:paraId="3C9C8391" w14:textId="77777777" w:rsidR="007E32C4" w:rsidRDefault="007E32C4" w:rsidP="00441AB0">
            <w:r w:rsidRPr="007C6788">
              <w:rPr>
                <w:rFonts w:ascii="Arial" w:hAnsi="Arial" w:cs="Arial"/>
                <w:lang w:val="en-PH"/>
              </w:rPr>
              <w:t>Students’ independence</w:t>
            </w:r>
          </w:p>
        </w:tc>
        <w:tc>
          <w:tcPr>
            <w:tcW w:w="2337" w:type="dxa"/>
            <w:vAlign w:val="center"/>
          </w:tcPr>
          <w:p w14:paraId="5B7032DB" w14:textId="77777777" w:rsidR="007E32C4" w:rsidRDefault="007E32C4" w:rsidP="00441AB0">
            <w:r w:rsidRPr="007C6788">
              <w:rPr>
                <w:rFonts w:ascii="Arial" w:hAnsi="Arial" w:cs="Arial"/>
                <w:lang w:val="en-PH"/>
              </w:rPr>
              <w:t>0.590</w:t>
            </w:r>
          </w:p>
        </w:tc>
        <w:tc>
          <w:tcPr>
            <w:tcW w:w="2338" w:type="dxa"/>
            <w:vAlign w:val="center"/>
          </w:tcPr>
          <w:p w14:paraId="7A5BEBF3" w14:textId="77777777" w:rsidR="007E32C4" w:rsidRDefault="007E32C4" w:rsidP="00441AB0">
            <w:r w:rsidRPr="007C6788">
              <w:rPr>
                <w:rFonts w:ascii="Arial" w:hAnsi="Arial" w:cs="Arial"/>
                <w:lang w:val="en-PH"/>
              </w:rPr>
              <w:t>4.09</w:t>
            </w:r>
          </w:p>
        </w:tc>
        <w:tc>
          <w:tcPr>
            <w:tcW w:w="2338" w:type="dxa"/>
            <w:vAlign w:val="center"/>
          </w:tcPr>
          <w:p w14:paraId="3377B4CD" w14:textId="77777777" w:rsidR="007E32C4" w:rsidRDefault="007E32C4" w:rsidP="00441AB0">
            <w:r w:rsidRPr="007C6788">
              <w:rPr>
                <w:rFonts w:ascii="Arial" w:hAnsi="Arial" w:cs="Arial"/>
                <w:lang w:val="en-PH"/>
              </w:rPr>
              <w:t>High</w:t>
            </w:r>
          </w:p>
        </w:tc>
      </w:tr>
      <w:tr w:rsidR="007E32C4" w14:paraId="4D27BD88" w14:textId="77777777" w:rsidTr="00441AB0">
        <w:tc>
          <w:tcPr>
            <w:tcW w:w="2337" w:type="dxa"/>
            <w:vAlign w:val="center"/>
          </w:tcPr>
          <w:p w14:paraId="047F4380" w14:textId="77777777" w:rsidR="007E32C4" w:rsidRDefault="007E32C4" w:rsidP="00441AB0">
            <w:r w:rsidRPr="007C6788">
              <w:rPr>
                <w:rFonts w:ascii="Arial" w:hAnsi="Arial" w:cs="Arial"/>
                <w:lang w:val="en-PH"/>
              </w:rPr>
              <w:t>Writing competence</w:t>
            </w:r>
          </w:p>
        </w:tc>
        <w:tc>
          <w:tcPr>
            <w:tcW w:w="2337" w:type="dxa"/>
            <w:vAlign w:val="center"/>
          </w:tcPr>
          <w:p w14:paraId="214D34EF" w14:textId="77777777" w:rsidR="007E32C4" w:rsidRDefault="007E32C4" w:rsidP="00441AB0">
            <w:r w:rsidRPr="007C6788">
              <w:rPr>
                <w:rFonts w:ascii="Arial" w:hAnsi="Arial" w:cs="Arial"/>
                <w:lang w:val="en-PH"/>
              </w:rPr>
              <w:t>0.590</w:t>
            </w:r>
          </w:p>
        </w:tc>
        <w:tc>
          <w:tcPr>
            <w:tcW w:w="2338" w:type="dxa"/>
            <w:vAlign w:val="center"/>
          </w:tcPr>
          <w:p w14:paraId="29F4677A" w14:textId="77777777" w:rsidR="007E32C4" w:rsidRDefault="007E32C4" w:rsidP="00441AB0">
            <w:r w:rsidRPr="007C6788">
              <w:rPr>
                <w:rFonts w:ascii="Arial" w:hAnsi="Arial" w:cs="Arial"/>
                <w:lang w:val="en-PH"/>
              </w:rPr>
              <w:t>4.02</w:t>
            </w:r>
          </w:p>
        </w:tc>
        <w:tc>
          <w:tcPr>
            <w:tcW w:w="2338" w:type="dxa"/>
            <w:vAlign w:val="center"/>
          </w:tcPr>
          <w:p w14:paraId="20328512" w14:textId="77777777" w:rsidR="007E32C4" w:rsidRDefault="007E32C4" w:rsidP="00441AB0">
            <w:r w:rsidRPr="007C6788">
              <w:rPr>
                <w:rFonts w:ascii="Arial" w:hAnsi="Arial" w:cs="Arial"/>
                <w:lang w:val="en-PH"/>
              </w:rPr>
              <w:t>High</w:t>
            </w:r>
          </w:p>
        </w:tc>
      </w:tr>
      <w:tr w:rsidR="007E32C4" w14:paraId="79001091" w14:textId="77777777" w:rsidTr="00441AB0">
        <w:tc>
          <w:tcPr>
            <w:tcW w:w="2337" w:type="dxa"/>
            <w:vAlign w:val="center"/>
          </w:tcPr>
          <w:p w14:paraId="089EFAE1" w14:textId="77777777" w:rsidR="007E32C4" w:rsidRPr="00F77E86" w:rsidRDefault="007E32C4" w:rsidP="00441AB0">
            <w:pPr>
              <w:rPr>
                <w:b/>
                <w:bCs/>
              </w:rPr>
            </w:pPr>
            <w:r w:rsidRPr="00F77E86">
              <w:rPr>
                <w:rFonts w:ascii="Arial" w:hAnsi="Arial" w:cs="Arial"/>
                <w:b/>
                <w:bCs/>
                <w:lang w:val="en-PH"/>
              </w:rPr>
              <w:t>Learning Strategies</w:t>
            </w:r>
          </w:p>
        </w:tc>
        <w:tc>
          <w:tcPr>
            <w:tcW w:w="2337" w:type="dxa"/>
            <w:vAlign w:val="center"/>
          </w:tcPr>
          <w:p w14:paraId="560B2F80" w14:textId="77777777" w:rsidR="007E32C4" w:rsidRDefault="007E32C4" w:rsidP="00441AB0">
            <w:r w:rsidRPr="007C6788">
              <w:rPr>
                <w:rFonts w:ascii="Arial" w:hAnsi="Arial" w:cs="Arial"/>
                <w:lang w:val="en-PH"/>
              </w:rPr>
              <w:t>0.539</w:t>
            </w:r>
          </w:p>
        </w:tc>
        <w:tc>
          <w:tcPr>
            <w:tcW w:w="2338" w:type="dxa"/>
            <w:vAlign w:val="center"/>
          </w:tcPr>
          <w:p w14:paraId="062A3053" w14:textId="77777777" w:rsidR="007E32C4" w:rsidRDefault="007E32C4" w:rsidP="00441AB0">
            <w:r w:rsidRPr="007C6788">
              <w:rPr>
                <w:rFonts w:ascii="Arial" w:hAnsi="Arial" w:cs="Arial"/>
                <w:lang w:val="en-PH"/>
              </w:rPr>
              <w:t>4.12</w:t>
            </w:r>
          </w:p>
        </w:tc>
        <w:tc>
          <w:tcPr>
            <w:tcW w:w="2338" w:type="dxa"/>
            <w:vAlign w:val="center"/>
          </w:tcPr>
          <w:p w14:paraId="1B8C8612" w14:textId="77777777" w:rsidR="007E32C4" w:rsidRDefault="007E32C4" w:rsidP="00441AB0">
            <w:r w:rsidRPr="007C6788">
              <w:rPr>
                <w:rFonts w:ascii="Arial" w:hAnsi="Arial" w:cs="Arial"/>
                <w:lang w:val="en-PH"/>
              </w:rPr>
              <w:t>High</w:t>
            </w:r>
          </w:p>
        </w:tc>
      </w:tr>
      <w:tr w:rsidR="007E32C4" w14:paraId="0D796704" w14:textId="77777777" w:rsidTr="00441AB0">
        <w:tc>
          <w:tcPr>
            <w:tcW w:w="2337" w:type="dxa"/>
            <w:vAlign w:val="center"/>
          </w:tcPr>
          <w:p w14:paraId="12887514" w14:textId="77777777" w:rsidR="007E32C4" w:rsidRDefault="007E32C4" w:rsidP="00441AB0">
            <w:r w:rsidRPr="007C6788">
              <w:rPr>
                <w:rFonts w:ascii="Arial" w:hAnsi="Arial" w:cs="Arial"/>
                <w:lang w:val="en-PH"/>
              </w:rPr>
              <w:t>Value Component</w:t>
            </w:r>
          </w:p>
        </w:tc>
        <w:tc>
          <w:tcPr>
            <w:tcW w:w="2337" w:type="dxa"/>
            <w:vAlign w:val="center"/>
          </w:tcPr>
          <w:p w14:paraId="1800310C" w14:textId="77777777" w:rsidR="007E32C4" w:rsidRDefault="007E32C4" w:rsidP="00441AB0">
            <w:r w:rsidRPr="007C6788">
              <w:rPr>
                <w:rFonts w:ascii="Arial" w:hAnsi="Arial" w:cs="Arial"/>
                <w:lang w:val="en-PH"/>
              </w:rPr>
              <w:t>0.570</w:t>
            </w:r>
          </w:p>
        </w:tc>
        <w:tc>
          <w:tcPr>
            <w:tcW w:w="2338" w:type="dxa"/>
            <w:vAlign w:val="center"/>
          </w:tcPr>
          <w:p w14:paraId="5A66565A" w14:textId="77777777" w:rsidR="007E32C4" w:rsidRDefault="007E32C4" w:rsidP="00441AB0">
            <w:r w:rsidRPr="007C6788">
              <w:rPr>
                <w:rFonts w:ascii="Arial" w:hAnsi="Arial" w:cs="Arial"/>
                <w:lang w:val="en-PH"/>
              </w:rPr>
              <w:t>4.35</w:t>
            </w:r>
          </w:p>
        </w:tc>
        <w:tc>
          <w:tcPr>
            <w:tcW w:w="2338" w:type="dxa"/>
            <w:vAlign w:val="center"/>
          </w:tcPr>
          <w:p w14:paraId="230B8EFE" w14:textId="77777777" w:rsidR="007E32C4" w:rsidRDefault="007E32C4" w:rsidP="00441AB0">
            <w:r w:rsidRPr="007C6788">
              <w:rPr>
                <w:rFonts w:ascii="Arial" w:hAnsi="Arial" w:cs="Arial"/>
                <w:lang w:val="en-PH"/>
              </w:rPr>
              <w:t>Very High</w:t>
            </w:r>
          </w:p>
        </w:tc>
      </w:tr>
      <w:tr w:rsidR="007E32C4" w14:paraId="43D42E11" w14:textId="77777777" w:rsidTr="00441AB0">
        <w:tc>
          <w:tcPr>
            <w:tcW w:w="2337" w:type="dxa"/>
            <w:vAlign w:val="center"/>
          </w:tcPr>
          <w:p w14:paraId="0571B589" w14:textId="77777777" w:rsidR="007E32C4" w:rsidRDefault="007E32C4" w:rsidP="00441AB0">
            <w:r w:rsidRPr="007C6788">
              <w:rPr>
                <w:rFonts w:ascii="Arial" w:hAnsi="Arial" w:cs="Arial"/>
                <w:lang w:val="en-PH"/>
              </w:rPr>
              <w:t>Expectancy Component</w:t>
            </w:r>
          </w:p>
        </w:tc>
        <w:tc>
          <w:tcPr>
            <w:tcW w:w="2337" w:type="dxa"/>
            <w:vAlign w:val="center"/>
          </w:tcPr>
          <w:p w14:paraId="764DFB45" w14:textId="77777777" w:rsidR="007E32C4" w:rsidRDefault="007E32C4" w:rsidP="00441AB0">
            <w:r w:rsidRPr="007C6788">
              <w:rPr>
                <w:rFonts w:ascii="Arial" w:hAnsi="Arial" w:cs="Arial"/>
                <w:lang w:val="en-PH"/>
              </w:rPr>
              <w:t>0.620</w:t>
            </w:r>
          </w:p>
        </w:tc>
        <w:tc>
          <w:tcPr>
            <w:tcW w:w="2338" w:type="dxa"/>
            <w:vAlign w:val="center"/>
          </w:tcPr>
          <w:p w14:paraId="28AD703E" w14:textId="77777777" w:rsidR="007E32C4" w:rsidRDefault="007E32C4" w:rsidP="00441AB0">
            <w:r w:rsidRPr="007C6788">
              <w:rPr>
                <w:rFonts w:ascii="Arial" w:hAnsi="Arial" w:cs="Arial"/>
                <w:lang w:val="en-PH"/>
              </w:rPr>
              <w:t>4.06</w:t>
            </w:r>
          </w:p>
        </w:tc>
        <w:tc>
          <w:tcPr>
            <w:tcW w:w="2338" w:type="dxa"/>
            <w:vAlign w:val="center"/>
          </w:tcPr>
          <w:p w14:paraId="20B7BCD6" w14:textId="77777777" w:rsidR="007E32C4" w:rsidRDefault="007E32C4" w:rsidP="00441AB0">
            <w:r w:rsidRPr="007C6788">
              <w:rPr>
                <w:rFonts w:ascii="Arial" w:hAnsi="Arial" w:cs="Arial"/>
                <w:lang w:val="en-PH"/>
              </w:rPr>
              <w:t>High</w:t>
            </w:r>
          </w:p>
        </w:tc>
      </w:tr>
      <w:tr w:rsidR="007E32C4" w14:paraId="333284B3" w14:textId="77777777" w:rsidTr="00441AB0">
        <w:tc>
          <w:tcPr>
            <w:tcW w:w="2337" w:type="dxa"/>
            <w:vAlign w:val="center"/>
          </w:tcPr>
          <w:p w14:paraId="3DF8113A" w14:textId="77777777" w:rsidR="007E32C4" w:rsidRDefault="007E32C4" w:rsidP="00441AB0">
            <w:r w:rsidRPr="007C6788">
              <w:rPr>
                <w:rFonts w:ascii="Arial" w:hAnsi="Arial" w:cs="Arial"/>
                <w:lang w:val="en-PH"/>
              </w:rPr>
              <w:t>Affective Component</w:t>
            </w:r>
          </w:p>
        </w:tc>
        <w:tc>
          <w:tcPr>
            <w:tcW w:w="2337" w:type="dxa"/>
            <w:vAlign w:val="center"/>
          </w:tcPr>
          <w:p w14:paraId="70B9A9BF" w14:textId="77777777" w:rsidR="007E32C4" w:rsidRDefault="007E32C4" w:rsidP="00441AB0">
            <w:r w:rsidRPr="007C6788">
              <w:rPr>
                <w:rFonts w:ascii="Arial" w:hAnsi="Arial" w:cs="Arial"/>
                <w:lang w:val="en-PH"/>
              </w:rPr>
              <w:t>0.690</w:t>
            </w:r>
          </w:p>
        </w:tc>
        <w:tc>
          <w:tcPr>
            <w:tcW w:w="2338" w:type="dxa"/>
            <w:vAlign w:val="center"/>
          </w:tcPr>
          <w:p w14:paraId="1DB1EFC3" w14:textId="77777777" w:rsidR="007E32C4" w:rsidRDefault="007E32C4" w:rsidP="00441AB0">
            <w:r w:rsidRPr="007C6788">
              <w:rPr>
                <w:rFonts w:ascii="Arial" w:hAnsi="Arial" w:cs="Arial"/>
                <w:lang w:val="en-PH"/>
              </w:rPr>
              <w:t>3.96</w:t>
            </w:r>
          </w:p>
        </w:tc>
        <w:tc>
          <w:tcPr>
            <w:tcW w:w="2338" w:type="dxa"/>
            <w:vAlign w:val="center"/>
          </w:tcPr>
          <w:p w14:paraId="4E47CA8E" w14:textId="77777777" w:rsidR="007E32C4" w:rsidRDefault="007E32C4" w:rsidP="00441AB0">
            <w:r w:rsidRPr="007C6788">
              <w:rPr>
                <w:rFonts w:ascii="Arial" w:hAnsi="Arial" w:cs="Arial"/>
                <w:lang w:val="en-PH"/>
              </w:rPr>
              <w:t>High</w:t>
            </w:r>
          </w:p>
        </w:tc>
      </w:tr>
      <w:tr w:rsidR="007E32C4" w14:paraId="2B841E53" w14:textId="77777777" w:rsidTr="00441AB0">
        <w:tc>
          <w:tcPr>
            <w:tcW w:w="2337" w:type="dxa"/>
            <w:tcBorders>
              <w:bottom w:val="single" w:sz="4" w:space="0" w:color="auto"/>
            </w:tcBorders>
            <w:vAlign w:val="center"/>
          </w:tcPr>
          <w:p w14:paraId="34199C12" w14:textId="77777777" w:rsidR="007E32C4" w:rsidRPr="00F77E86" w:rsidRDefault="007E32C4" w:rsidP="00441AB0">
            <w:pPr>
              <w:rPr>
                <w:b/>
                <w:bCs/>
              </w:rPr>
            </w:pPr>
            <w:r w:rsidRPr="00F77E86">
              <w:rPr>
                <w:rFonts w:ascii="Arial" w:hAnsi="Arial" w:cs="Arial"/>
                <w:b/>
                <w:bCs/>
                <w:lang w:val="en-PH"/>
              </w:rPr>
              <w:t>Grammar Proficiency (%)</w:t>
            </w:r>
          </w:p>
        </w:tc>
        <w:tc>
          <w:tcPr>
            <w:tcW w:w="2337" w:type="dxa"/>
            <w:tcBorders>
              <w:bottom w:val="single" w:sz="4" w:space="0" w:color="auto"/>
            </w:tcBorders>
            <w:vAlign w:val="center"/>
          </w:tcPr>
          <w:p w14:paraId="55853E99" w14:textId="30BD799E" w:rsidR="007E32C4" w:rsidRDefault="004114A8" w:rsidP="00441AB0">
            <w:r>
              <w:rPr>
                <w:rFonts w:ascii="Arial" w:hAnsi="Arial" w:cs="Arial"/>
                <w:lang w:val="en-PH"/>
              </w:rPr>
              <w:t>0.392</w:t>
            </w:r>
          </w:p>
        </w:tc>
        <w:tc>
          <w:tcPr>
            <w:tcW w:w="2338" w:type="dxa"/>
            <w:tcBorders>
              <w:bottom w:val="single" w:sz="4" w:space="0" w:color="auto"/>
            </w:tcBorders>
            <w:vAlign w:val="center"/>
          </w:tcPr>
          <w:p w14:paraId="73BF482C" w14:textId="42E2F540" w:rsidR="007E32C4" w:rsidRDefault="004114A8" w:rsidP="00441AB0">
            <w:r>
              <w:rPr>
                <w:rFonts w:ascii="Arial" w:hAnsi="Arial" w:cs="Arial"/>
                <w:lang w:val="en-PH"/>
              </w:rPr>
              <w:t>3.78</w:t>
            </w:r>
          </w:p>
        </w:tc>
        <w:tc>
          <w:tcPr>
            <w:tcW w:w="2338" w:type="dxa"/>
            <w:tcBorders>
              <w:bottom w:val="single" w:sz="4" w:space="0" w:color="auto"/>
            </w:tcBorders>
            <w:vAlign w:val="center"/>
          </w:tcPr>
          <w:p w14:paraId="0C40C2F6" w14:textId="77777777" w:rsidR="007E32C4" w:rsidRDefault="007E32C4" w:rsidP="00441AB0">
            <w:r w:rsidRPr="007C6788">
              <w:rPr>
                <w:rFonts w:ascii="Arial" w:hAnsi="Arial" w:cs="Arial"/>
                <w:lang w:val="en-PH"/>
              </w:rPr>
              <w:t>Satisfactory</w:t>
            </w:r>
          </w:p>
        </w:tc>
      </w:tr>
    </w:tbl>
    <w:p w14:paraId="34FB590F" w14:textId="59049FAC" w:rsidR="00F470F9" w:rsidRPr="00D76241" w:rsidRDefault="0043238D" w:rsidP="007E32C4">
      <w:pPr>
        <w:pStyle w:val="Body"/>
        <w:spacing w:after="0"/>
        <w:rPr>
          <w:rFonts w:cs="Helvetica"/>
          <w:b/>
          <w:bCs/>
          <w:lang w:val="en-PH"/>
        </w:rPr>
      </w:pPr>
      <w:r w:rsidRPr="00D76241">
        <w:rPr>
          <w:rFonts w:cs="Helvetica"/>
          <w:b/>
          <w:bCs/>
          <w:lang w:val="en-PH"/>
        </w:rPr>
        <w:t>Table 6. Descriptive statistics of self-assessed writing skills, learning strategies, and grammar proficiency</w:t>
      </w:r>
    </w:p>
    <w:p w14:paraId="4898C5C3" w14:textId="77777777" w:rsidR="0043238D" w:rsidRDefault="0043238D" w:rsidP="007E32C4">
      <w:pPr>
        <w:pStyle w:val="Body"/>
        <w:spacing w:after="0"/>
        <w:rPr>
          <w:rFonts w:ascii="Arial" w:hAnsi="Arial" w:cs="Arial"/>
          <w:lang w:val="en-PH"/>
        </w:rPr>
      </w:pPr>
    </w:p>
    <w:p w14:paraId="14969FE0" w14:textId="36610AB8" w:rsidR="007C6788" w:rsidRPr="00D76241" w:rsidRDefault="007C6788" w:rsidP="007E32C4">
      <w:pPr>
        <w:pStyle w:val="Body"/>
        <w:spacing w:after="0"/>
        <w:rPr>
          <w:rFonts w:cs="Helvetica"/>
          <w:lang w:val="en-PH"/>
        </w:rPr>
      </w:pPr>
      <w:r w:rsidRPr="00D76241">
        <w:rPr>
          <w:rFonts w:cs="Helvetica"/>
          <w:lang w:val="en-PH"/>
        </w:rPr>
        <w:t xml:space="preserve">Table </w:t>
      </w:r>
      <w:r w:rsidR="009968E7">
        <w:rPr>
          <w:rFonts w:cs="Helvetica"/>
          <w:lang w:val="en-PH"/>
        </w:rPr>
        <w:t>6</w:t>
      </w:r>
      <w:r w:rsidRPr="00D76241">
        <w:rPr>
          <w:rFonts w:cs="Helvetica"/>
          <w:lang w:val="en-PH"/>
        </w:rPr>
        <w:t xml:space="preserve"> presents the descriptive statistics for self-assessed writing skills, learning strategies, and grammar proficiency. Students perceived both their writing skills (M = 4.06, SD = 0.5</w:t>
      </w:r>
      <w:r w:rsidR="00D1214A" w:rsidRPr="00D76241">
        <w:rPr>
          <w:rFonts w:cs="Helvetica"/>
          <w:lang w:val="en-PH"/>
        </w:rPr>
        <w:t>4</w:t>
      </w:r>
      <w:r w:rsidRPr="00D76241">
        <w:rPr>
          <w:rFonts w:cs="Helvetica"/>
          <w:lang w:val="en-PH"/>
        </w:rPr>
        <w:t>) and learning strategy use (M = 4.12, SD = 0.5</w:t>
      </w:r>
      <w:r w:rsidR="00D1214A" w:rsidRPr="00D76241">
        <w:rPr>
          <w:rFonts w:cs="Helvetica"/>
          <w:lang w:val="en-PH"/>
        </w:rPr>
        <w:t>4</w:t>
      </w:r>
      <w:r w:rsidRPr="00D76241">
        <w:rPr>
          <w:rFonts w:cs="Helvetica"/>
          <w:lang w:val="en-PH"/>
        </w:rPr>
        <w:t xml:space="preserve">) as high. However, their actual grammar proficiency (M = </w:t>
      </w:r>
      <w:r w:rsidR="00D1214A" w:rsidRPr="00D76241">
        <w:rPr>
          <w:rFonts w:cs="Helvetica"/>
          <w:lang w:val="en-PH"/>
        </w:rPr>
        <w:t>3.78</w:t>
      </w:r>
      <w:r w:rsidRPr="00D76241">
        <w:rPr>
          <w:rFonts w:cs="Helvetica"/>
          <w:lang w:val="en-PH"/>
        </w:rPr>
        <w:t xml:space="preserve">, SD = </w:t>
      </w:r>
      <w:r w:rsidR="00D1214A" w:rsidRPr="00D76241">
        <w:rPr>
          <w:rFonts w:cs="Helvetica"/>
          <w:lang w:val="en-PH"/>
        </w:rPr>
        <w:t>0.54</w:t>
      </w:r>
      <w:r w:rsidRPr="00D76241">
        <w:rPr>
          <w:rFonts w:cs="Helvetica"/>
          <w:lang w:val="en-PH"/>
        </w:rPr>
        <w:t>) was rated only as satisfactory, revealing a potential gap between perceived competence and actual performance.</w:t>
      </w:r>
    </w:p>
    <w:p w14:paraId="223F3668" w14:textId="77777777" w:rsidR="007C6788" w:rsidRPr="00D76241" w:rsidRDefault="007C6788" w:rsidP="007E32C4">
      <w:pPr>
        <w:pStyle w:val="Body"/>
        <w:spacing w:after="0"/>
        <w:rPr>
          <w:rFonts w:cs="Helvetica"/>
          <w:lang w:val="en-PH"/>
        </w:rPr>
      </w:pPr>
      <w:r w:rsidRPr="00D76241">
        <w:rPr>
          <w:rFonts w:cs="Helvetica"/>
          <w:lang w:val="en-PH"/>
        </w:rPr>
        <w:t>Within writing skills, students reported high levels of independence (M = 4.09) and writing competence (M = 4.02). For learning strategies, the value component received the highest mean rating (M = 4.35), indicating that students strongly valued the use of strategies. The affective component scored the lowest (M = 3.96), though it remained within the high range, reflecting less confidence or greater emotional challenges. The relatively wide standard deviation in grammar proficiency (SD = 7.84) indicated substantial variability in students' grammatical abilities.</w:t>
      </w:r>
    </w:p>
    <w:p w14:paraId="49824D22" w14:textId="77777777" w:rsidR="00E07940" w:rsidRPr="007C6788" w:rsidRDefault="00E07940" w:rsidP="007E32C4">
      <w:pPr>
        <w:pStyle w:val="Body"/>
        <w:spacing w:after="0"/>
        <w:rPr>
          <w:rFonts w:ascii="Arial" w:hAnsi="Arial" w:cs="Arial"/>
          <w:lang w:val="en-PH"/>
        </w:rPr>
      </w:pPr>
    </w:p>
    <w:p w14:paraId="0216E51B" w14:textId="3174815A" w:rsidR="007C6788" w:rsidRPr="00D76241" w:rsidRDefault="007C6788" w:rsidP="007E32C4">
      <w:pPr>
        <w:pStyle w:val="Body"/>
        <w:spacing w:after="0"/>
        <w:rPr>
          <w:rFonts w:cs="Helvetica"/>
          <w:lang w:val="en-PH"/>
        </w:rPr>
      </w:pPr>
      <w:r w:rsidRPr="007C6788">
        <w:rPr>
          <w:rFonts w:ascii="Arial" w:hAnsi="Arial" w:cs="Arial"/>
          <w:b/>
          <w:bCs/>
          <w:lang w:val="en-PH"/>
        </w:rPr>
        <w:t xml:space="preserve">3.2 </w:t>
      </w:r>
      <w:r w:rsidRPr="00D76241">
        <w:rPr>
          <w:rFonts w:cs="Helvetica"/>
          <w:b/>
          <w:bCs/>
          <w:lang w:val="en-PH"/>
        </w:rPr>
        <w:t>Correlation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1"/>
      </w:tblGrid>
      <w:tr w:rsidR="00461A87" w:rsidRPr="00D76241" w14:paraId="15362D69" w14:textId="77777777" w:rsidTr="00461A87">
        <w:trPr>
          <w:trHeight w:val="506"/>
        </w:trPr>
        <w:tc>
          <w:tcPr>
            <w:tcW w:w="2551" w:type="dxa"/>
            <w:tcBorders>
              <w:top w:val="single" w:sz="4" w:space="0" w:color="auto"/>
              <w:bottom w:val="single" w:sz="4" w:space="0" w:color="auto"/>
            </w:tcBorders>
            <w:vAlign w:val="center"/>
          </w:tcPr>
          <w:p w14:paraId="237C7145" w14:textId="77777777" w:rsidR="00461A87" w:rsidRPr="00D76241" w:rsidRDefault="00461A87" w:rsidP="00B876EF">
            <w:pPr>
              <w:rPr>
                <w:rFonts w:cs="Helvetica"/>
                <w:b/>
                <w:bCs/>
              </w:rPr>
            </w:pPr>
            <w:r w:rsidRPr="00D76241">
              <w:rPr>
                <w:rFonts w:cs="Helvetica"/>
                <w:b/>
                <w:bCs/>
                <w:lang w:val="en-PH"/>
              </w:rPr>
              <w:t>Variables</w:t>
            </w:r>
          </w:p>
        </w:tc>
        <w:tc>
          <w:tcPr>
            <w:tcW w:w="2551" w:type="dxa"/>
            <w:tcBorders>
              <w:top w:val="single" w:sz="4" w:space="0" w:color="auto"/>
              <w:bottom w:val="single" w:sz="4" w:space="0" w:color="auto"/>
            </w:tcBorders>
            <w:vAlign w:val="center"/>
          </w:tcPr>
          <w:p w14:paraId="781236A2" w14:textId="77777777" w:rsidR="00461A87" w:rsidRPr="00D76241" w:rsidRDefault="00461A87" w:rsidP="00B876EF">
            <w:pPr>
              <w:rPr>
                <w:rFonts w:cs="Helvetica"/>
                <w:b/>
                <w:bCs/>
              </w:rPr>
            </w:pPr>
            <w:r w:rsidRPr="00D76241">
              <w:rPr>
                <w:rFonts w:cs="Helvetica"/>
                <w:b/>
                <w:bCs/>
                <w:lang w:val="en-PH"/>
              </w:rPr>
              <w:t>Self-Assessed Writing Skills</w:t>
            </w:r>
          </w:p>
        </w:tc>
        <w:tc>
          <w:tcPr>
            <w:tcW w:w="2551" w:type="dxa"/>
            <w:tcBorders>
              <w:top w:val="single" w:sz="4" w:space="0" w:color="auto"/>
              <w:bottom w:val="single" w:sz="4" w:space="0" w:color="auto"/>
            </w:tcBorders>
            <w:vAlign w:val="center"/>
          </w:tcPr>
          <w:p w14:paraId="6DC6EB7F" w14:textId="77777777" w:rsidR="00461A87" w:rsidRPr="00D76241" w:rsidRDefault="00461A87" w:rsidP="00B876EF">
            <w:pPr>
              <w:rPr>
                <w:rFonts w:cs="Helvetica"/>
                <w:b/>
                <w:bCs/>
              </w:rPr>
            </w:pPr>
            <w:r w:rsidRPr="00D76241">
              <w:rPr>
                <w:rFonts w:cs="Helvetica"/>
                <w:b/>
                <w:bCs/>
                <w:lang w:val="en-PH"/>
              </w:rPr>
              <w:t>Learning Strategy Use</w:t>
            </w:r>
          </w:p>
        </w:tc>
        <w:tc>
          <w:tcPr>
            <w:tcW w:w="2551" w:type="dxa"/>
            <w:tcBorders>
              <w:top w:val="single" w:sz="4" w:space="0" w:color="auto"/>
              <w:bottom w:val="single" w:sz="4" w:space="0" w:color="auto"/>
            </w:tcBorders>
            <w:vAlign w:val="center"/>
          </w:tcPr>
          <w:p w14:paraId="034550B7" w14:textId="77777777" w:rsidR="00461A87" w:rsidRPr="00D76241" w:rsidRDefault="00461A87" w:rsidP="00B876EF">
            <w:pPr>
              <w:rPr>
                <w:rFonts w:cs="Helvetica"/>
                <w:b/>
                <w:bCs/>
              </w:rPr>
            </w:pPr>
            <w:r w:rsidRPr="00D76241">
              <w:rPr>
                <w:rFonts w:cs="Helvetica"/>
                <w:b/>
                <w:bCs/>
                <w:lang w:val="en-PH"/>
              </w:rPr>
              <w:t>Grammar Proficiency</w:t>
            </w:r>
          </w:p>
        </w:tc>
      </w:tr>
      <w:tr w:rsidR="00461A87" w:rsidRPr="00D76241" w14:paraId="70339240" w14:textId="77777777" w:rsidTr="00461A87">
        <w:trPr>
          <w:trHeight w:val="519"/>
        </w:trPr>
        <w:tc>
          <w:tcPr>
            <w:tcW w:w="2551" w:type="dxa"/>
            <w:tcBorders>
              <w:top w:val="single" w:sz="4" w:space="0" w:color="auto"/>
            </w:tcBorders>
            <w:vAlign w:val="center"/>
          </w:tcPr>
          <w:p w14:paraId="5A78E013" w14:textId="77777777" w:rsidR="00461A87" w:rsidRPr="00D76241" w:rsidRDefault="00461A87" w:rsidP="00B876EF">
            <w:pPr>
              <w:rPr>
                <w:rFonts w:cs="Helvetica"/>
              </w:rPr>
            </w:pPr>
            <w:r w:rsidRPr="00D76241">
              <w:rPr>
                <w:rFonts w:cs="Helvetica"/>
                <w:b/>
                <w:bCs/>
                <w:lang w:val="en-PH"/>
              </w:rPr>
              <w:t>Self-Assessed Writing Skills</w:t>
            </w:r>
          </w:p>
        </w:tc>
        <w:tc>
          <w:tcPr>
            <w:tcW w:w="2551" w:type="dxa"/>
            <w:tcBorders>
              <w:top w:val="single" w:sz="4" w:space="0" w:color="auto"/>
            </w:tcBorders>
            <w:vAlign w:val="center"/>
          </w:tcPr>
          <w:p w14:paraId="6A391BF5" w14:textId="2DF32948" w:rsidR="00461A87" w:rsidRPr="00D76241" w:rsidRDefault="00461A87" w:rsidP="00B876EF">
            <w:pPr>
              <w:jc w:val="center"/>
              <w:rPr>
                <w:rFonts w:cs="Helvetica"/>
              </w:rPr>
            </w:pPr>
          </w:p>
        </w:tc>
        <w:tc>
          <w:tcPr>
            <w:tcW w:w="2551" w:type="dxa"/>
            <w:tcBorders>
              <w:top w:val="single" w:sz="4" w:space="0" w:color="auto"/>
            </w:tcBorders>
            <w:vAlign w:val="center"/>
          </w:tcPr>
          <w:p w14:paraId="2BF264CA" w14:textId="64837BCE" w:rsidR="00461A87" w:rsidRPr="00D76241" w:rsidRDefault="00461A87" w:rsidP="00B876EF">
            <w:pPr>
              <w:jc w:val="center"/>
              <w:rPr>
                <w:rFonts w:cs="Helvetica"/>
              </w:rPr>
            </w:pPr>
          </w:p>
        </w:tc>
        <w:tc>
          <w:tcPr>
            <w:tcW w:w="2551" w:type="dxa"/>
            <w:tcBorders>
              <w:top w:val="single" w:sz="4" w:space="0" w:color="auto"/>
            </w:tcBorders>
            <w:vAlign w:val="center"/>
          </w:tcPr>
          <w:p w14:paraId="0D116A9C" w14:textId="23318712" w:rsidR="00461A87" w:rsidRPr="00D76241" w:rsidRDefault="00461A87" w:rsidP="00B876EF">
            <w:pPr>
              <w:jc w:val="center"/>
              <w:rPr>
                <w:rFonts w:cs="Helvetica"/>
              </w:rPr>
            </w:pPr>
          </w:p>
        </w:tc>
      </w:tr>
      <w:tr w:rsidR="00461A87" w:rsidRPr="00D76241" w14:paraId="2508E775" w14:textId="77777777" w:rsidTr="00461A87">
        <w:trPr>
          <w:trHeight w:val="506"/>
        </w:trPr>
        <w:tc>
          <w:tcPr>
            <w:tcW w:w="2551" w:type="dxa"/>
            <w:vAlign w:val="center"/>
          </w:tcPr>
          <w:p w14:paraId="057E8835" w14:textId="77777777" w:rsidR="00461A87" w:rsidRPr="00D76241" w:rsidRDefault="00461A87" w:rsidP="00B876EF">
            <w:pPr>
              <w:rPr>
                <w:rFonts w:cs="Helvetica"/>
              </w:rPr>
            </w:pPr>
            <w:r w:rsidRPr="00D76241">
              <w:rPr>
                <w:rFonts w:cs="Helvetica"/>
                <w:b/>
                <w:bCs/>
                <w:lang w:val="en-PH"/>
              </w:rPr>
              <w:t>Learning Strategy Use</w:t>
            </w:r>
          </w:p>
        </w:tc>
        <w:tc>
          <w:tcPr>
            <w:tcW w:w="2551" w:type="dxa"/>
            <w:vAlign w:val="center"/>
          </w:tcPr>
          <w:p w14:paraId="623BFC8B" w14:textId="77777777" w:rsidR="00461A87" w:rsidRPr="00D76241" w:rsidRDefault="00461A87" w:rsidP="00B876EF">
            <w:pPr>
              <w:jc w:val="center"/>
              <w:rPr>
                <w:rFonts w:cs="Helvetica"/>
              </w:rPr>
            </w:pPr>
            <w:r w:rsidRPr="00D76241">
              <w:rPr>
                <w:rFonts w:cs="Helvetica"/>
              </w:rPr>
              <w:t>.72**</w:t>
            </w:r>
          </w:p>
        </w:tc>
        <w:tc>
          <w:tcPr>
            <w:tcW w:w="2551" w:type="dxa"/>
            <w:vAlign w:val="center"/>
          </w:tcPr>
          <w:p w14:paraId="32544F8A" w14:textId="14A1AEF1" w:rsidR="00461A87" w:rsidRPr="00D76241" w:rsidRDefault="00461A87" w:rsidP="00B876EF">
            <w:pPr>
              <w:jc w:val="center"/>
              <w:rPr>
                <w:rFonts w:cs="Helvetica"/>
              </w:rPr>
            </w:pPr>
          </w:p>
        </w:tc>
        <w:tc>
          <w:tcPr>
            <w:tcW w:w="2551" w:type="dxa"/>
            <w:vAlign w:val="center"/>
          </w:tcPr>
          <w:p w14:paraId="677C4250" w14:textId="3E179355" w:rsidR="00461A87" w:rsidRPr="00D76241" w:rsidRDefault="00461A87" w:rsidP="00B876EF">
            <w:pPr>
              <w:jc w:val="center"/>
              <w:rPr>
                <w:rFonts w:cs="Helvetica"/>
              </w:rPr>
            </w:pPr>
          </w:p>
        </w:tc>
      </w:tr>
      <w:tr w:rsidR="00461A87" w:rsidRPr="00D76241" w14:paraId="64308991" w14:textId="77777777" w:rsidTr="00461A87">
        <w:trPr>
          <w:trHeight w:val="519"/>
        </w:trPr>
        <w:tc>
          <w:tcPr>
            <w:tcW w:w="2551" w:type="dxa"/>
            <w:tcBorders>
              <w:bottom w:val="single" w:sz="4" w:space="0" w:color="auto"/>
            </w:tcBorders>
            <w:vAlign w:val="center"/>
          </w:tcPr>
          <w:p w14:paraId="61A438A9" w14:textId="77777777" w:rsidR="00461A87" w:rsidRPr="00D76241" w:rsidRDefault="00461A87" w:rsidP="00B876EF">
            <w:pPr>
              <w:rPr>
                <w:rFonts w:cs="Helvetica"/>
                <w:b/>
                <w:bCs/>
                <w:lang w:val="en-PH"/>
              </w:rPr>
            </w:pPr>
            <w:r w:rsidRPr="00D76241">
              <w:rPr>
                <w:rFonts w:cs="Helvetica"/>
                <w:b/>
                <w:bCs/>
                <w:lang w:val="en-PH"/>
              </w:rPr>
              <w:t>Grammar Proficiency</w:t>
            </w:r>
          </w:p>
        </w:tc>
        <w:tc>
          <w:tcPr>
            <w:tcW w:w="2551" w:type="dxa"/>
            <w:tcBorders>
              <w:bottom w:val="single" w:sz="4" w:space="0" w:color="auto"/>
            </w:tcBorders>
            <w:vAlign w:val="center"/>
          </w:tcPr>
          <w:p w14:paraId="741E9E55" w14:textId="77777777" w:rsidR="00461A87" w:rsidRPr="00D76241" w:rsidRDefault="00461A87" w:rsidP="00B876EF">
            <w:pPr>
              <w:jc w:val="center"/>
              <w:rPr>
                <w:rFonts w:cs="Helvetica"/>
                <w:lang w:val="en-PH"/>
              </w:rPr>
            </w:pPr>
            <w:r w:rsidRPr="00D76241">
              <w:rPr>
                <w:rFonts w:cs="Helvetica"/>
                <w:lang w:val="en-PH"/>
              </w:rPr>
              <w:t>.14*</w:t>
            </w:r>
          </w:p>
        </w:tc>
        <w:tc>
          <w:tcPr>
            <w:tcW w:w="2551" w:type="dxa"/>
            <w:tcBorders>
              <w:bottom w:val="single" w:sz="4" w:space="0" w:color="auto"/>
            </w:tcBorders>
            <w:vAlign w:val="center"/>
          </w:tcPr>
          <w:p w14:paraId="55AD1525" w14:textId="77777777" w:rsidR="00461A87" w:rsidRPr="00D76241" w:rsidRDefault="00461A87" w:rsidP="00B876EF">
            <w:pPr>
              <w:jc w:val="center"/>
              <w:rPr>
                <w:rFonts w:cs="Helvetica"/>
                <w:lang w:val="en-PH"/>
              </w:rPr>
            </w:pPr>
            <w:r w:rsidRPr="00D76241">
              <w:rPr>
                <w:rFonts w:cs="Helvetica"/>
                <w:lang w:val="en-PH"/>
              </w:rPr>
              <w:t>.13</w:t>
            </w:r>
          </w:p>
        </w:tc>
        <w:tc>
          <w:tcPr>
            <w:tcW w:w="2551" w:type="dxa"/>
            <w:tcBorders>
              <w:bottom w:val="single" w:sz="4" w:space="0" w:color="auto"/>
            </w:tcBorders>
            <w:vAlign w:val="center"/>
          </w:tcPr>
          <w:p w14:paraId="6C11066E" w14:textId="297BFCE5" w:rsidR="00461A87" w:rsidRPr="00D76241" w:rsidRDefault="00461A87" w:rsidP="00B876EF">
            <w:pPr>
              <w:jc w:val="center"/>
              <w:rPr>
                <w:rFonts w:cs="Helvetica"/>
                <w:lang w:val="en-PH"/>
              </w:rPr>
            </w:pPr>
          </w:p>
        </w:tc>
      </w:tr>
    </w:tbl>
    <w:p w14:paraId="480A6014" w14:textId="3D89E711" w:rsidR="00F470F9" w:rsidRPr="00D76241" w:rsidRDefault="0043238D" w:rsidP="007E32C4">
      <w:pPr>
        <w:pStyle w:val="Body"/>
        <w:spacing w:after="0"/>
        <w:rPr>
          <w:rFonts w:cs="Helvetica"/>
          <w:b/>
          <w:bCs/>
          <w:lang w:val="en-PH"/>
        </w:rPr>
      </w:pPr>
      <w:r w:rsidRPr="00D76241">
        <w:rPr>
          <w:rFonts w:cs="Helvetica"/>
          <w:b/>
          <w:bCs/>
          <w:lang w:val="en-PH"/>
        </w:rPr>
        <w:t>Table 7. Correlation between measures</w:t>
      </w:r>
    </w:p>
    <w:p w14:paraId="7F0CE7AC" w14:textId="77777777" w:rsidR="0043238D" w:rsidRDefault="0043238D" w:rsidP="007E32C4">
      <w:pPr>
        <w:pStyle w:val="Body"/>
        <w:spacing w:after="0"/>
        <w:rPr>
          <w:rFonts w:ascii="Arial" w:hAnsi="Arial" w:cs="Arial"/>
          <w:lang w:val="en-PH"/>
        </w:rPr>
      </w:pPr>
    </w:p>
    <w:p w14:paraId="6043AF97" w14:textId="57D15F75" w:rsidR="007C6788" w:rsidRPr="00D76241" w:rsidRDefault="007C6788" w:rsidP="007E32C4">
      <w:pPr>
        <w:pStyle w:val="Body"/>
        <w:spacing w:after="0"/>
        <w:rPr>
          <w:rFonts w:cs="Helvetica"/>
          <w:lang w:val="en-PH"/>
        </w:rPr>
      </w:pPr>
      <w:r w:rsidRPr="00D76241">
        <w:rPr>
          <w:rFonts w:cs="Helvetica"/>
          <w:lang w:val="en-PH"/>
        </w:rPr>
        <w:t xml:space="preserve">Table </w:t>
      </w:r>
      <w:r w:rsidR="0022464E">
        <w:rPr>
          <w:rFonts w:cs="Helvetica"/>
          <w:lang w:val="en-PH"/>
        </w:rPr>
        <w:t>7</w:t>
      </w:r>
      <w:r w:rsidRPr="00D76241">
        <w:rPr>
          <w:rFonts w:cs="Helvetica"/>
          <w:lang w:val="en-PH"/>
        </w:rPr>
        <w:t xml:space="preserve"> presents the results of </w:t>
      </w:r>
      <w:r w:rsidR="00D73E3F" w:rsidRPr="00D76241">
        <w:rPr>
          <w:rFonts w:cs="Helvetica"/>
          <w:lang w:val="en-PH"/>
        </w:rPr>
        <w:t xml:space="preserve">the </w:t>
      </w:r>
      <w:r w:rsidRPr="00D76241">
        <w:rPr>
          <w:rFonts w:cs="Helvetica"/>
          <w:lang w:val="en-PH"/>
        </w:rPr>
        <w:t xml:space="preserve">Pearson correlation analysis. A weak but statistically significant positive correlation was found between self-assessed writing skills and grammar proficiency (r = 0.144, </w:t>
      </w:r>
      <w:r w:rsidR="003D4DD1" w:rsidRPr="00D76241">
        <w:rPr>
          <w:rFonts w:cs="Helvetica"/>
          <w:lang w:val="en-PH"/>
        </w:rPr>
        <w:t>p</w:t>
      </w:r>
      <w:r w:rsidRPr="00D76241">
        <w:rPr>
          <w:rFonts w:cs="Helvetica"/>
          <w:lang w:val="en-PH"/>
        </w:rPr>
        <w:t xml:space="preserve"> = .041). This implies that students who rated themselves higher in writing competence tended to achieve slightly better scores in grammar.</w:t>
      </w:r>
    </w:p>
    <w:p w14:paraId="1FB42C7E" w14:textId="04ED088F" w:rsidR="007C6788" w:rsidRPr="00D76241" w:rsidRDefault="007C6788" w:rsidP="007E32C4">
      <w:pPr>
        <w:pStyle w:val="Body"/>
        <w:spacing w:after="0"/>
        <w:rPr>
          <w:rFonts w:cs="Helvetica"/>
          <w:lang w:val="en-PH"/>
        </w:rPr>
      </w:pPr>
      <w:r w:rsidRPr="00D76241">
        <w:rPr>
          <w:rFonts w:cs="Helvetica"/>
          <w:lang w:val="en-PH"/>
        </w:rPr>
        <w:lastRenderedPageBreak/>
        <w:t xml:space="preserve">Conversely, no significant correlation was found between learning strategy use and grammar proficiency (r = 0.130, </w:t>
      </w:r>
      <w:r w:rsidR="003D4DD1" w:rsidRPr="00D76241">
        <w:rPr>
          <w:rFonts w:cs="Helvetica"/>
          <w:lang w:val="en-PH"/>
        </w:rPr>
        <w:t>p</w:t>
      </w:r>
      <w:r w:rsidRPr="00D76241">
        <w:rPr>
          <w:rFonts w:cs="Helvetica"/>
          <w:lang w:val="en-PH"/>
        </w:rPr>
        <w:t xml:space="preserve"> = .067). This suggests that the strategies reported by students did not significantly influence their grammatical performance, pointing to possible misalignment in the application of these strategies.</w:t>
      </w:r>
    </w:p>
    <w:p w14:paraId="5476C9C9" w14:textId="77777777" w:rsidR="007C6788" w:rsidRPr="00D76241" w:rsidRDefault="007C6788" w:rsidP="007E32C4">
      <w:pPr>
        <w:pStyle w:val="Body"/>
        <w:spacing w:after="0"/>
        <w:rPr>
          <w:rFonts w:cs="Helvetica"/>
          <w:lang w:val="en-PH"/>
        </w:rPr>
      </w:pPr>
    </w:p>
    <w:p w14:paraId="6529B8B1" w14:textId="1BC04CC8" w:rsidR="007C6788" w:rsidRPr="00D76241" w:rsidRDefault="007C6788" w:rsidP="007E32C4">
      <w:pPr>
        <w:pStyle w:val="Body"/>
        <w:spacing w:after="0"/>
        <w:rPr>
          <w:rFonts w:cs="Helvetica"/>
          <w:lang w:val="en-PH"/>
        </w:rPr>
      </w:pPr>
      <w:r w:rsidRPr="007C6788">
        <w:rPr>
          <w:rFonts w:ascii="Arial" w:hAnsi="Arial" w:cs="Arial"/>
          <w:b/>
          <w:bCs/>
          <w:lang w:val="en-PH"/>
        </w:rPr>
        <w:t xml:space="preserve">3.3 </w:t>
      </w:r>
      <w:r w:rsidRPr="00D76241">
        <w:rPr>
          <w:rFonts w:cs="Helvetica"/>
          <w:b/>
          <w:bCs/>
          <w:lang w:val="en-PH"/>
        </w:rPr>
        <w:t>Regression Analysis</w:t>
      </w:r>
    </w:p>
    <w:tbl>
      <w:tblPr>
        <w:tblStyle w:val="TableGrid"/>
        <w:tblW w:w="0" w:type="auto"/>
        <w:tblLook w:val="04A0" w:firstRow="1" w:lastRow="0" w:firstColumn="1" w:lastColumn="0" w:noHBand="0" w:noVBand="1"/>
      </w:tblPr>
      <w:tblGrid>
        <w:gridCol w:w="1558"/>
        <w:gridCol w:w="1558"/>
        <w:gridCol w:w="1558"/>
        <w:gridCol w:w="1558"/>
        <w:gridCol w:w="1559"/>
        <w:gridCol w:w="1634"/>
      </w:tblGrid>
      <w:tr w:rsidR="007E32C4" w:rsidRPr="00D76241" w14:paraId="387FB837" w14:textId="77777777" w:rsidTr="0043238D">
        <w:tc>
          <w:tcPr>
            <w:tcW w:w="1558" w:type="dxa"/>
            <w:tcBorders>
              <w:top w:val="single" w:sz="4" w:space="0" w:color="auto"/>
              <w:bottom w:val="single" w:sz="4" w:space="0" w:color="auto"/>
            </w:tcBorders>
            <w:vAlign w:val="center"/>
          </w:tcPr>
          <w:p w14:paraId="3ECAD0DC" w14:textId="77777777" w:rsidR="007E32C4" w:rsidRPr="00D76241" w:rsidRDefault="007E32C4" w:rsidP="00441AB0">
            <w:pPr>
              <w:rPr>
                <w:rFonts w:cs="Helvetica"/>
                <w:b/>
                <w:bCs/>
              </w:rPr>
            </w:pPr>
            <w:r w:rsidRPr="00D76241">
              <w:rPr>
                <w:rFonts w:cs="Helvetica"/>
                <w:b/>
                <w:bCs/>
                <w:lang w:val="en-PH"/>
              </w:rPr>
              <w:t>Predictor</w:t>
            </w:r>
          </w:p>
        </w:tc>
        <w:tc>
          <w:tcPr>
            <w:tcW w:w="1558" w:type="dxa"/>
            <w:tcBorders>
              <w:top w:val="single" w:sz="4" w:space="0" w:color="auto"/>
              <w:bottom w:val="single" w:sz="4" w:space="0" w:color="auto"/>
            </w:tcBorders>
            <w:vAlign w:val="center"/>
          </w:tcPr>
          <w:p w14:paraId="05BB6091" w14:textId="77777777" w:rsidR="007E32C4" w:rsidRPr="00D76241" w:rsidRDefault="007E32C4" w:rsidP="00441AB0">
            <w:pPr>
              <w:rPr>
                <w:rFonts w:cs="Helvetica"/>
                <w:b/>
                <w:bCs/>
              </w:rPr>
            </w:pPr>
            <w:r w:rsidRPr="00D76241">
              <w:rPr>
                <w:rFonts w:cs="Helvetica"/>
                <w:b/>
                <w:bCs/>
                <w:lang w:val="en-PH"/>
              </w:rPr>
              <w:t>Estimate</w:t>
            </w:r>
          </w:p>
        </w:tc>
        <w:tc>
          <w:tcPr>
            <w:tcW w:w="1558" w:type="dxa"/>
            <w:tcBorders>
              <w:top w:val="single" w:sz="4" w:space="0" w:color="auto"/>
              <w:bottom w:val="single" w:sz="4" w:space="0" w:color="auto"/>
            </w:tcBorders>
            <w:vAlign w:val="center"/>
          </w:tcPr>
          <w:p w14:paraId="00744996" w14:textId="77777777" w:rsidR="007E32C4" w:rsidRPr="00D76241" w:rsidRDefault="007E32C4" w:rsidP="00441AB0">
            <w:pPr>
              <w:rPr>
                <w:rFonts w:cs="Helvetica"/>
                <w:b/>
                <w:bCs/>
              </w:rPr>
            </w:pPr>
            <w:r w:rsidRPr="00D76241">
              <w:rPr>
                <w:rFonts w:cs="Helvetica"/>
                <w:b/>
                <w:bCs/>
                <w:lang w:val="en-PH"/>
              </w:rPr>
              <w:t>SE</w:t>
            </w:r>
          </w:p>
        </w:tc>
        <w:tc>
          <w:tcPr>
            <w:tcW w:w="1558" w:type="dxa"/>
            <w:tcBorders>
              <w:top w:val="single" w:sz="4" w:space="0" w:color="auto"/>
              <w:bottom w:val="single" w:sz="4" w:space="0" w:color="auto"/>
            </w:tcBorders>
            <w:vAlign w:val="center"/>
          </w:tcPr>
          <w:p w14:paraId="0837A7BB" w14:textId="26EAED72" w:rsidR="007E32C4" w:rsidRPr="00D76241" w:rsidRDefault="00F712D8" w:rsidP="00441AB0">
            <w:pPr>
              <w:rPr>
                <w:rFonts w:cs="Helvetica"/>
                <w:b/>
                <w:bCs/>
              </w:rPr>
            </w:pPr>
            <w:r w:rsidRPr="00D76241">
              <w:rPr>
                <w:rFonts w:cs="Helvetica"/>
                <w:b/>
                <w:bCs/>
                <w:i/>
                <w:iCs/>
                <w:lang w:val="en-PH"/>
              </w:rPr>
              <w:t>p</w:t>
            </w:r>
            <w:r w:rsidR="007E32C4" w:rsidRPr="00D76241">
              <w:rPr>
                <w:rFonts w:cs="Helvetica"/>
                <w:b/>
                <w:bCs/>
                <w:lang w:val="en-PH"/>
              </w:rPr>
              <w:t xml:space="preserve"> value</w:t>
            </w:r>
          </w:p>
        </w:tc>
        <w:tc>
          <w:tcPr>
            <w:tcW w:w="1559" w:type="dxa"/>
            <w:tcBorders>
              <w:top w:val="single" w:sz="4" w:space="0" w:color="auto"/>
              <w:bottom w:val="single" w:sz="4" w:space="0" w:color="auto"/>
            </w:tcBorders>
            <w:vAlign w:val="center"/>
          </w:tcPr>
          <w:p w14:paraId="5A2A792A" w14:textId="77777777" w:rsidR="007E32C4" w:rsidRPr="00D76241" w:rsidRDefault="007E32C4" w:rsidP="00441AB0">
            <w:pPr>
              <w:rPr>
                <w:rFonts w:cs="Helvetica"/>
                <w:b/>
                <w:bCs/>
              </w:rPr>
            </w:pPr>
            <w:r w:rsidRPr="00D76241">
              <w:rPr>
                <w:rFonts w:cs="Helvetica"/>
                <w:b/>
                <w:bCs/>
                <w:lang w:val="en-PH"/>
              </w:rPr>
              <w:t>Decision on H</w:t>
            </w:r>
            <w:r w:rsidRPr="00D76241">
              <w:rPr>
                <w:rFonts w:ascii="Cambria Math" w:hAnsi="Cambria Math" w:cs="Cambria Math"/>
                <w:b/>
                <w:bCs/>
                <w:lang w:val="en-PH"/>
              </w:rPr>
              <w:t>₀</w:t>
            </w:r>
          </w:p>
        </w:tc>
        <w:tc>
          <w:tcPr>
            <w:tcW w:w="1634" w:type="dxa"/>
            <w:tcBorders>
              <w:top w:val="single" w:sz="4" w:space="0" w:color="auto"/>
              <w:bottom w:val="single" w:sz="4" w:space="0" w:color="auto"/>
            </w:tcBorders>
          </w:tcPr>
          <w:p w14:paraId="2A77297F" w14:textId="77777777" w:rsidR="007E32C4" w:rsidRPr="00D76241" w:rsidRDefault="007E32C4" w:rsidP="00441AB0">
            <w:pPr>
              <w:rPr>
                <w:rFonts w:cs="Helvetica"/>
                <w:b/>
                <w:bCs/>
              </w:rPr>
            </w:pPr>
            <w:r w:rsidRPr="00D76241">
              <w:rPr>
                <w:rFonts w:cs="Helvetica"/>
                <w:b/>
                <w:bCs/>
                <w:lang w:val="en-PH"/>
              </w:rPr>
              <w:t>Interpretation</w:t>
            </w:r>
          </w:p>
        </w:tc>
      </w:tr>
      <w:tr w:rsidR="007E32C4" w:rsidRPr="00D76241" w14:paraId="5B79FA63" w14:textId="77777777" w:rsidTr="0043238D">
        <w:tc>
          <w:tcPr>
            <w:tcW w:w="1558" w:type="dxa"/>
            <w:tcBorders>
              <w:top w:val="single" w:sz="4" w:space="0" w:color="auto"/>
            </w:tcBorders>
            <w:vAlign w:val="center"/>
          </w:tcPr>
          <w:p w14:paraId="16CAEFF9" w14:textId="77777777" w:rsidR="007E32C4" w:rsidRPr="00D76241" w:rsidRDefault="007E32C4" w:rsidP="00441AB0">
            <w:pPr>
              <w:rPr>
                <w:rFonts w:cs="Helvetica"/>
                <w:b/>
                <w:bCs/>
              </w:rPr>
            </w:pPr>
            <w:r w:rsidRPr="00D76241">
              <w:rPr>
                <w:rFonts w:cs="Helvetica"/>
                <w:b/>
                <w:bCs/>
                <w:lang w:val="en-PH"/>
              </w:rPr>
              <w:t>Intercept</w:t>
            </w:r>
          </w:p>
        </w:tc>
        <w:tc>
          <w:tcPr>
            <w:tcW w:w="1558" w:type="dxa"/>
            <w:tcBorders>
              <w:top w:val="single" w:sz="4" w:space="0" w:color="auto"/>
            </w:tcBorders>
            <w:vAlign w:val="center"/>
          </w:tcPr>
          <w:p w14:paraId="0264DCB5" w14:textId="77777777" w:rsidR="007E32C4" w:rsidRPr="00D76241" w:rsidRDefault="007E32C4" w:rsidP="00441AB0">
            <w:pPr>
              <w:rPr>
                <w:rFonts w:cs="Helvetica"/>
              </w:rPr>
            </w:pPr>
            <w:r w:rsidRPr="00D76241">
              <w:rPr>
                <w:rFonts w:cs="Helvetica"/>
                <w:lang w:val="en-PH"/>
              </w:rPr>
              <w:t>65.880</w:t>
            </w:r>
          </w:p>
        </w:tc>
        <w:tc>
          <w:tcPr>
            <w:tcW w:w="1558" w:type="dxa"/>
            <w:tcBorders>
              <w:top w:val="single" w:sz="4" w:space="0" w:color="auto"/>
            </w:tcBorders>
            <w:vAlign w:val="center"/>
          </w:tcPr>
          <w:p w14:paraId="7273B689" w14:textId="77777777" w:rsidR="007E32C4" w:rsidRPr="00D76241" w:rsidRDefault="007E32C4" w:rsidP="00441AB0">
            <w:pPr>
              <w:rPr>
                <w:rFonts w:cs="Helvetica"/>
              </w:rPr>
            </w:pPr>
            <w:r w:rsidRPr="00D76241">
              <w:rPr>
                <w:rFonts w:cs="Helvetica"/>
                <w:lang w:val="en-PH"/>
              </w:rPr>
              <w:t>4.63</w:t>
            </w:r>
          </w:p>
        </w:tc>
        <w:tc>
          <w:tcPr>
            <w:tcW w:w="1558" w:type="dxa"/>
            <w:tcBorders>
              <w:top w:val="single" w:sz="4" w:space="0" w:color="auto"/>
            </w:tcBorders>
            <w:vAlign w:val="center"/>
          </w:tcPr>
          <w:p w14:paraId="5C2E9B1C" w14:textId="3F019BAF" w:rsidR="007E32C4" w:rsidRPr="00D76241" w:rsidRDefault="00F712D8" w:rsidP="00441AB0">
            <w:pPr>
              <w:rPr>
                <w:rFonts w:cs="Helvetica"/>
              </w:rPr>
            </w:pPr>
            <w:r w:rsidRPr="00D76241">
              <w:rPr>
                <w:rFonts w:cs="Helvetica"/>
                <w:i/>
                <w:iCs/>
                <w:lang w:val="en-PH"/>
              </w:rPr>
              <w:t>p</w:t>
            </w:r>
            <w:r w:rsidR="007E32C4" w:rsidRPr="00D76241">
              <w:rPr>
                <w:rFonts w:cs="Helvetica"/>
                <w:lang w:val="en-PH"/>
              </w:rPr>
              <w:t xml:space="preserve"> &lt; .001</w:t>
            </w:r>
          </w:p>
        </w:tc>
        <w:tc>
          <w:tcPr>
            <w:tcW w:w="1559" w:type="dxa"/>
            <w:tcBorders>
              <w:top w:val="single" w:sz="4" w:space="0" w:color="auto"/>
            </w:tcBorders>
            <w:vAlign w:val="center"/>
          </w:tcPr>
          <w:p w14:paraId="03015CF7" w14:textId="77777777" w:rsidR="007E32C4" w:rsidRPr="00D76241" w:rsidRDefault="007E32C4" w:rsidP="00441AB0">
            <w:pPr>
              <w:rPr>
                <w:rFonts w:cs="Helvetica"/>
              </w:rPr>
            </w:pPr>
            <w:r w:rsidRPr="00D76241">
              <w:rPr>
                <w:rFonts w:cs="Helvetica"/>
                <w:lang w:val="en-PH"/>
              </w:rPr>
              <w:t>Reject</w:t>
            </w:r>
          </w:p>
        </w:tc>
        <w:tc>
          <w:tcPr>
            <w:tcW w:w="1634" w:type="dxa"/>
            <w:tcBorders>
              <w:top w:val="single" w:sz="4" w:space="0" w:color="auto"/>
            </w:tcBorders>
          </w:tcPr>
          <w:p w14:paraId="66581066" w14:textId="77777777" w:rsidR="007E32C4" w:rsidRPr="00D76241" w:rsidRDefault="007E32C4" w:rsidP="00441AB0">
            <w:pPr>
              <w:rPr>
                <w:rFonts w:cs="Helvetica"/>
              </w:rPr>
            </w:pPr>
            <w:r w:rsidRPr="00D76241">
              <w:rPr>
                <w:rFonts w:cs="Helvetica"/>
                <w:lang w:val="en-PH"/>
              </w:rPr>
              <w:t>Significant</w:t>
            </w:r>
          </w:p>
        </w:tc>
      </w:tr>
      <w:tr w:rsidR="007E32C4" w:rsidRPr="00D76241" w14:paraId="0BB41120" w14:textId="77777777" w:rsidTr="0043238D">
        <w:tc>
          <w:tcPr>
            <w:tcW w:w="1558" w:type="dxa"/>
            <w:vAlign w:val="center"/>
          </w:tcPr>
          <w:p w14:paraId="718796EE" w14:textId="77777777" w:rsidR="007E32C4" w:rsidRPr="00D76241" w:rsidRDefault="007E32C4" w:rsidP="00441AB0">
            <w:pPr>
              <w:rPr>
                <w:rFonts w:cs="Helvetica"/>
                <w:b/>
                <w:bCs/>
              </w:rPr>
            </w:pPr>
            <w:r w:rsidRPr="00D76241">
              <w:rPr>
                <w:rFonts w:cs="Helvetica"/>
                <w:b/>
                <w:bCs/>
                <w:lang w:val="en-PH"/>
              </w:rPr>
              <w:t>Self-assessed writing skills</w:t>
            </w:r>
          </w:p>
        </w:tc>
        <w:tc>
          <w:tcPr>
            <w:tcW w:w="1558" w:type="dxa"/>
            <w:vAlign w:val="center"/>
          </w:tcPr>
          <w:p w14:paraId="79B62909" w14:textId="77777777" w:rsidR="007E32C4" w:rsidRPr="00D76241" w:rsidRDefault="007E32C4" w:rsidP="00441AB0">
            <w:pPr>
              <w:rPr>
                <w:rFonts w:cs="Helvetica"/>
              </w:rPr>
            </w:pPr>
            <w:r w:rsidRPr="00D76241">
              <w:rPr>
                <w:rFonts w:cs="Helvetica"/>
                <w:lang w:val="en-PH"/>
              </w:rPr>
              <w:t>1.528</w:t>
            </w:r>
          </w:p>
        </w:tc>
        <w:tc>
          <w:tcPr>
            <w:tcW w:w="1558" w:type="dxa"/>
            <w:vAlign w:val="center"/>
          </w:tcPr>
          <w:p w14:paraId="5C5132C8" w14:textId="77777777" w:rsidR="007E32C4" w:rsidRPr="00D76241" w:rsidRDefault="007E32C4" w:rsidP="00441AB0">
            <w:pPr>
              <w:rPr>
                <w:rFonts w:cs="Helvetica"/>
              </w:rPr>
            </w:pPr>
            <w:r w:rsidRPr="00D76241">
              <w:rPr>
                <w:rFonts w:cs="Helvetica"/>
                <w:lang w:val="en-PH"/>
              </w:rPr>
              <w:t>1.38</w:t>
            </w:r>
          </w:p>
        </w:tc>
        <w:tc>
          <w:tcPr>
            <w:tcW w:w="1558" w:type="dxa"/>
            <w:vAlign w:val="center"/>
          </w:tcPr>
          <w:p w14:paraId="32160DE1" w14:textId="0EC4715C" w:rsidR="007E32C4" w:rsidRPr="00D76241" w:rsidRDefault="00F712D8" w:rsidP="00441AB0">
            <w:pPr>
              <w:rPr>
                <w:rFonts w:cs="Helvetica"/>
              </w:rPr>
            </w:pPr>
            <w:r w:rsidRPr="00D76241">
              <w:rPr>
                <w:rFonts w:cs="Helvetica"/>
                <w:i/>
                <w:iCs/>
                <w:lang w:val="en-PH"/>
              </w:rPr>
              <w:t>p</w:t>
            </w:r>
            <w:r w:rsidR="007E32C4" w:rsidRPr="00D76241">
              <w:rPr>
                <w:rFonts w:cs="Helvetica"/>
                <w:lang w:val="en-PH"/>
              </w:rPr>
              <w:t xml:space="preserve"> = .271</w:t>
            </w:r>
          </w:p>
        </w:tc>
        <w:tc>
          <w:tcPr>
            <w:tcW w:w="1559" w:type="dxa"/>
            <w:vAlign w:val="center"/>
          </w:tcPr>
          <w:p w14:paraId="131F47CF" w14:textId="77777777" w:rsidR="007E32C4" w:rsidRPr="00D76241" w:rsidRDefault="007E32C4" w:rsidP="00441AB0">
            <w:pPr>
              <w:rPr>
                <w:rFonts w:cs="Helvetica"/>
              </w:rPr>
            </w:pPr>
            <w:r w:rsidRPr="00D76241">
              <w:rPr>
                <w:rFonts w:cs="Helvetica"/>
                <w:lang w:val="en-PH"/>
              </w:rPr>
              <w:t>Fail to Reject</w:t>
            </w:r>
          </w:p>
        </w:tc>
        <w:tc>
          <w:tcPr>
            <w:tcW w:w="1634" w:type="dxa"/>
          </w:tcPr>
          <w:p w14:paraId="32128639" w14:textId="77777777" w:rsidR="007E32C4" w:rsidRPr="00D76241" w:rsidRDefault="007E32C4" w:rsidP="00441AB0">
            <w:pPr>
              <w:rPr>
                <w:rFonts w:cs="Helvetica"/>
              </w:rPr>
            </w:pPr>
            <w:r w:rsidRPr="00D76241">
              <w:rPr>
                <w:rFonts w:cs="Helvetica"/>
                <w:lang w:val="en-PH"/>
              </w:rPr>
              <w:t>Not Significant</w:t>
            </w:r>
          </w:p>
        </w:tc>
      </w:tr>
      <w:tr w:rsidR="007E32C4" w:rsidRPr="00D76241" w14:paraId="0145115B" w14:textId="77777777" w:rsidTr="0043238D">
        <w:tc>
          <w:tcPr>
            <w:tcW w:w="1558" w:type="dxa"/>
            <w:tcBorders>
              <w:bottom w:val="single" w:sz="4" w:space="0" w:color="auto"/>
            </w:tcBorders>
            <w:vAlign w:val="center"/>
          </w:tcPr>
          <w:p w14:paraId="1601B8FE" w14:textId="77777777" w:rsidR="007E32C4" w:rsidRPr="00D76241" w:rsidRDefault="007E32C4" w:rsidP="00441AB0">
            <w:pPr>
              <w:rPr>
                <w:rFonts w:cs="Helvetica"/>
                <w:b/>
                <w:bCs/>
              </w:rPr>
            </w:pPr>
            <w:r w:rsidRPr="00D76241">
              <w:rPr>
                <w:rFonts w:cs="Helvetica"/>
                <w:b/>
                <w:bCs/>
                <w:lang w:val="en-PH"/>
              </w:rPr>
              <w:t>Learning strategy</w:t>
            </w:r>
          </w:p>
        </w:tc>
        <w:tc>
          <w:tcPr>
            <w:tcW w:w="1558" w:type="dxa"/>
            <w:tcBorders>
              <w:bottom w:val="single" w:sz="4" w:space="0" w:color="auto"/>
            </w:tcBorders>
            <w:vAlign w:val="center"/>
          </w:tcPr>
          <w:p w14:paraId="5B229CDF" w14:textId="77777777" w:rsidR="007E32C4" w:rsidRPr="00D76241" w:rsidRDefault="007E32C4" w:rsidP="00441AB0">
            <w:pPr>
              <w:rPr>
                <w:rFonts w:cs="Helvetica"/>
              </w:rPr>
            </w:pPr>
            <w:r w:rsidRPr="00D76241">
              <w:rPr>
                <w:rFonts w:cs="Helvetica"/>
                <w:lang w:val="en-PH"/>
              </w:rPr>
              <w:t>0.873</w:t>
            </w:r>
          </w:p>
        </w:tc>
        <w:tc>
          <w:tcPr>
            <w:tcW w:w="1558" w:type="dxa"/>
            <w:tcBorders>
              <w:bottom w:val="single" w:sz="4" w:space="0" w:color="auto"/>
            </w:tcBorders>
            <w:vAlign w:val="center"/>
          </w:tcPr>
          <w:p w14:paraId="59E9047B" w14:textId="77777777" w:rsidR="007E32C4" w:rsidRPr="00D76241" w:rsidRDefault="007E32C4" w:rsidP="00441AB0">
            <w:pPr>
              <w:rPr>
                <w:rFonts w:cs="Helvetica"/>
              </w:rPr>
            </w:pPr>
            <w:r w:rsidRPr="00D76241">
              <w:rPr>
                <w:rFonts w:cs="Helvetica"/>
                <w:lang w:val="en-PH"/>
              </w:rPr>
              <w:t>1.37</w:t>
            </w:r>
          </w:p>
        </w:tc>
        <w:tc>
          <w:tcPr>
            <w:tcW w:w="1558" w:type="dxa"/>
            <w:tcBorders>
              <w:bottom w:val="single" w:sz="4" w:space="0" w:color="auto"/>
            </w:tcBorders>
            <w:vAlign w:val="center"/>
          </w:tcPr>
          <w:p w14:paraId="5B5DCAFC" w14:textId="5210C084" w:rsidR="007E32C4" w:rsidRPr="00D76241" w:rsidRDefault="00F712D8" w:rsidP="00441AB0">
            <w:pPr>
              <w:rPr>
                <w:rFonts w:cs="Helvetica"/>
              </w:rPr>
            </w:pPr>
            <w:r w:rsidRPr="00D76241">
              <w:rPr>
                <w:rFonts w:cs="Helvetica"/>
                <w:i/>
                <w:iCs/>
                <w:lang w:val="en-PH"/>
              </w:rPr>
              <w:t>p</w:t>
            </w:r>
            <w:r w:rsidR="007E32C4" w:rsidRPr="00D76241">
              <w:rPr>
                <w:rFonts w:cs="Helvetica"/>
                <w:lang w:val="en-PH"/>
              </w:rPr>
              <w:t xml:space="preserve"> = .526</w:t>
            </w:r>
          </w:p>
        </w:tc>
        <w:tc>
          <w:tcPr>
            <w:tcW w:w="1559" w:type="dxa"/>
            <w:tcBorders>
              <w:bottom w:val="single" w:sz="4" w:space="0" w:color="auto"/>
            </w:tcBorders>
            <w:vAlign w:val="center"/>
          </w:tcPr>
          <w:p w14:paraId="3840F964" w14:textId="77777777" w:rsidR="007E32C4" w:rsidRPr="00D76241" w:rsidRDefault="007E32C4" w:rsidP="00441AB0">
            <w:pPr>
              <w:rPr>
                <w:rFonts w:cs="Helvetica"/>
              </w:rPr>
            </w:pPr>
            <w:r w:rsidRPr="00D76241">
              <w:rPr>
                <w:rFonts w:cs="Helvetica"/>
                <w:lang w:val="en-PH"/>
              </w:rPr>
              <w:t>Fail to Reject</w:t>
            </w:r>
          </w:p>
        </w:tc>
        <w:tc>
          <w:tcPr>
            <w:tcW w:w="1634" w:type="dxa"/>
            <w:tcBorders>
              <w:bottom w:val="single" w:sz="4" w:space="0" w:color="auto"/>
            </w:tcBorders>
          </w:tcPr>
          <w:p w14:paraId="2FAC54FC" w14:textId="77777777" w:rsidR="007E32C4" w:rsidRPr="00D76241" w:rsidRDefault="007E32C4" w:rsidP="00441AB0">
            <w:pPr>
              <w:rPr>
                <w:rFonts w:cs="Helvetica"/>
              </w:rPr>
            </w:pPr>
            <w:r w:rsidRPr="00D76241">
              <w:rPr>
                <w:rFonts w:cs="Helvetica"/>
                <w:lang w:val="en-PH"/>
              </w:rPr>
              <w:t>Not Significant</w:t>
            </w:r>
          </w:p>
        </w:tc>
      </w:tr>
    </w:tbl>
    <w:p w14:paraId="4B73011D" w14:textId="480EC8C9" w:rsidR="00F470F9" w:rsidRPr="00D76241" w:rsidRDefault="0043238D" w:rsidP="007E32C4">
      <w:pPr>
        <w:pStyle w:val="Body"/>
        <w:spacing w:after="0"/>
        <w:rPr>
          <w:rFonts w:cs="Helvetica"/>
          <w:b/>
          <w:bCs/>
          <w:lang w:val="en-PH"/>
        </w:rPr>
      </w:pPr>
      <w:r w:rsidRPr="00D76241">
        <w:rPr>
          <w:rFonts w:cs="Helvetica"/>
          <w:b/>
          <w:bCs/>
          <w:lang w:val="en-PH"/>
        </w:rPr>
        <w:t>Table 8. Multiple regression analysis predicting grammar proficiency</w:t>
      </w:r>
    </w:p>
    <w:p w14:paraId="7E26A430" w14:textId="77777777" w:rsidR="0043238D" w:rsidRPr="00D76241" w:rsidRDefault="0043238D" w:rsidP="007E32C4">
      <w:pPr>
        <w:pStyle w:val="Body"/>
        <w:spacing w:after="0"/>
        <w:rPr>
          <w:rFonts w:cs="Helvetica"/>
          <w:lang w:val="en-PH"/>
        </w:rPr>
      </w:pPr>
    </w:p>
    <w:p w14:paraId="78A4C7A4" w14:textId="1126CC04" w:rsidR="007C6788" w:rsidRPr="00D76241" w:rsidRDefault="007C6788" w:rsidP="007E32C4">
      <w:pPr>
        <w:pStyle w:val="Body"/>
        <w:spacing w:after="0"/>
        <w:rPr>
          <w:rFonts w:cs="Helvetica"/>
          <w:lang w:val="en-PH"/>
        </w:rPr>
      </w:pPr>
      <w:r w:rsidRPr="00D76241">
        <w:rPr>
          <w:rFonts w:cs="Helvetica"/>
          <w:lang w:val="en-PH"/>
        </w:rPr>
        <w:t xml:space="preserve">Table </w:t>
      </w:r>
      <w:r w:rsidR="007E617A">
        <w:rPr>
          <w:rFonts w:cs="Helvetica"/>
          <w:lang w:val="en-PH"/>
        </w:rPr>
        <w:t>8</w:t>
      </w:r>
      <w:r w:rsidRPr="00D76241">
        <w:rPr>
          <w:rFonts w:cs="Helvetica"/>
          <w:lang w:val="en-PH"/>
        </w:rPr>
        <w:t xml:space="preserve"> summarizes the multiple regression analysis. Although the overall model was statistically significant (F = 2.30, P &lt; .05), it explained only 2.29% of the variance in grammar proficiency (R² = 0.0229). Neither self-assessed writing skills (P = .271) nor learning strategies (P = .526) significantly predicted grammar proficiency.</w:t>
      </w:r>
    </w:p>
    <w:p w14:paraId="1153BD5A" w14:textId="77777777" w:rsidR="007C6788" w:rsidRPr="00D76241" w:rsidRDefault="007C6788" w:rsidP="007E32C4">
      <w:pPr>
        <w:pStyle w:val="Body"/>
        <w:spacing w:after="0"/>
        <w:rPr>
          <w:rFonts w:cs="Helvetica"/>
          <w:lang w:val="en-PH"/>
        </w:rPr>
      </w:pPr>
      <w:r w:rsidRPr="00D76241">
        <w:rPr>
          <w:rFonts w:cs="Helvetica"/>
          <w:lang w:val="en-PH"/>
        </w:rPr>
        <w:t>This aligns with Flavell’s Metacognitive Theory (1979), which emphasizes the importance of aligning strategy use with specific cognitive demands. The results suggest that students' metacognitive awareness and strategy deployment may have been insufficient or not optimally matched to grammar learning requirements.</w:t>
      </w:r>
    </w:p>
    <w:p w14:paraId="4B05A008" w14:textId="77777777" w:rsidR="007C6788" w:rsidRPr="00D76241" w:rsidRDefault="007C6788" w:rsidP="007E32C4">
      <w:pPr>
        <w:pStyle w:val="Body"/>
        <w:spacing w:after="0"/>
        <w:rPr>
          <w:rFonts w:cs="Helvetica"/>
          <w:lang w:val="en-PH"/>
        </w:rPr>
      </w:pPr>
    </w:p>
    <w:p w14:paraId="64123729" w14:textId="348F422D" w:rsidR="00F470F9" w:rsidRPr="00D76241" w:rsidRDefault="007C6788" w:rsidP="007E32C4">
      <w:pPr>
        <w:pStyle w:val="Body"/>
        <w:spacing w:after="0"/>
        <w:rPr>
          <w:rFonts w:cs="Helvetica"/>
          <w:lang w:val="en-PH"/>
        </w:rPr>
      </w:pPr>
      <w:r w:rsidRPr="00D76241">
        <w:rPr>
          <w:rFonts w:cs="Helvetica"/>
          <w:b/>
          <w:bCs/>
          <w:lang w:val="en-PH"/>
        </w:rPr>
        <w:t>3.4 Summary of Findings</w:t>
      </w:r>
    </w:p>
    <w:p w14:paraId="41EC132B" w14:textId="2CCFC7E3" w:rsidR="007C6788" w:rsidRPr="00D76241" w:rsidRDefault="008F0533" w:rsidP="008F0533">
      <w:pPr>
        <w:pStyle w:val="Body"/>
        <w:rPr>
          <w:rFonts w:cs="Helvetica"/>
          <w:lang w:val="en-PH"/>
        </w:rPr>
      </w:pPr>
      <w:r w:rsidRPr="00D76241">
        <w:rPr>
          <w:rFonts w:cs="Helvetica"/>
          <w:lang w:val="en-PH"/>
        </w:rPr>
        <w:t xml:space="preserve">The results indicate a clear disparity between students' perceived writing competence and their actual grammar proficiency. Although students rated their writing skills and use of learning strategies as high, their grammar performance was only satisfactory. A weak yet significant correlation was found between self-assessed writing skills and grammar proficiency, while no significant relationship emerged between learning strategy use and grammar proficiency. Furthermore, regression analysis revealed that neither variable significantly predicted grammar proficiency, together accounting for only a small portion of the variance. This persistent gap between perceived competence and actual performance reflects trends found in earlier studies. For instance, Yan et al. (2023) and Fahimi and Rahimi (2024) highlighted that self-assessed writing abilities often overestimate actual proficiency, pointing to underdeveloped metacognitive monitoring as a likely cause. Similarly, </w:t>
      </w:r>
      <w:proofErr w:type="spellStart"/>
      <w:r w:rsidRPr="00D76241">
        <w:rPr>
          <w:rFonts w:cs="Helvetica"/>
          <w:lang w:val="en-PH"/>
        </w:rPr>
        <w:t>Eswaey</w:t>
      </w:r>
      <w:proofErr w:type="spellEnd"/>
      <w:r w:rsidRPr="00D76241">
        <w:rPr>
          <w:rFonts w:cs="Helvetica"/>
          <w:lang w:val="en-PH"/>
        </w:rPr>
        <w:t xml:space="preserve"> and </w:t>
      </w:r>
      <w:proofErr w:type="spellStart"/>
      <w:r w:rsidRPr="00D76241">
        <w:rPr>
          <w:rFonts w:cs="Helvetica"/>
          <w:lang w:val="en-PH"/>
        </w:rPr>
        <w:t>Ihmoumah</w:t>
      </w:r>
      <w:proofErr w:type="spellEnd"/>
      <w:r w:rsidRPr="00D76241">
        <w:rPr>
          <w:rFonts w:cs="Helvetica"/>
          <w:lang w:val="en-PH"/>
        </w:rPr>
        <w:t xml:space="preserve"> (2024) reported a weak but significant relationship between self-assessments and actual grammar performance, underscoring that learners' perceptions do not always align with their true capabilities. Garcia-Martínez et al. (2022) further noted that students tend to prioritize content and structure over grammatical accuracy, which may contribute to inflated perceptions of writing competence. This discrepancy can be better explained through Flavell’s Metacognitive Theory, which distinguishes between metacognitive knowledge and metacognitive regulation (Flavell, 1979; Schraw &amp; Dennison, 1994). Metacognitive knowledge includes awareness of linguistic demands, such as the importance of grammar in academic writing or the utility of feedback. Metacognitive regulation, on the other hand, involves planning, monitoring, and evaluating one’s output—skills that are crucial for applying grammatical rules accurately. In practice, this includes setting goals to reduce specific grammatical errors, consciously applying rules during writing, and reviewing work for correctness. Many students may possess general awareness (e.g., understanding the importance of subject-verb agreement) but lack the regulatory strategies to identify and correct such errors in their own writing (Zimmerman &amp; Schunk, 2011). This inability to effectively self-monitor leads to overconfidence and reinforces the mismatch between self-perceived competence and actual proficiency. Thus, improving grammar performance requires not only raising students’ awareness but also explicitly training them in metacognitive regulation through scaffolded instruction, guided practice, and feedback mechanisms. These results support the recommendations of Pawlak (2024) and Rodriguez (2023), who emphasize the value of grammar-specific learning strategies and reflective grammar instruction. Future research should further examine variables such as feedback quality, instructional design, and students’ language exposure to better understand the multifaceted influences on grammar proficiency in academic writing.</w:t>
      </w:r>
    </w:p>
    <w:p w14:paraId="19D8AA7D" w14:textId="77777777" w:rsidR="00790ADA" w:rsidRPr="00FB3A86" w:rsidRDefault="00790ADA" w:rsidP="007E32C4">
      <w:pPr>
        <w:pStyle w:val="Body"/>
        <w:spacing w:after="0"/>
        <w:rPr>
          <w:rFonts w:ascii="Arial" w:hAnsi="Arial" w:cs="Arial"/>
        </w:rPr>
      </w:pPr>
    </w:p>
    <w:p w14:paraId="35DB0E28" w14:textId="349A6BE5" w:rsidR="00790ADA" w:rsidRPr="00D76241" w:rsidRDefault="00000F8F" w:rsidP="007E32C4">
      <w:pPr>
        <w:pStyle w:val="ConcHead"/>
        <w:spacing w:after="0"/>
        <w:jc w:val="both"/>
        <w:rPr>
          <w:rFonts w:cs="Helvetica"/>
        </w:rPr>
      </w:pPr>
      <w:r>
        <w:rPr>
          <w:rFonts w:ascii="Arial" w:hAnsi="Arial" w:cs="Arial"/>
        </w:rPr>
        <w:t xml:space="preserve">4. </w:t>
      </w:r>
      <w:r w:rsidR="00B01FCD" w:rsidRPr="00D76241">
        <w:rPr>
          <w:rFonts w:cs="Helvetica"/>
        </w:rPr>
        <w:t>Conclusion</w:t>
      </w:r>
    </w:p>
    <w:p w14:paraId="410B47F6" w14:textId="33F4475A" w:rsidR="00364FC8" w:rsidRPr="00D76241" w:rsidRDefault="007B0BCB" w:rsidP="007E32C4">
      <w:pPr>
        <w:pStyle w:val="Body"/>
        <w:spacing w:after="0"/>
        <w:rPr>
          <w:rFonts w:cs="Helvetica"/>
          <w:lang w:val="en-PH"/>
        </w:rPr>
      </w:pPr>
      <w:r w:rsidRPr="00D76241">
        <w:rPr>
          <w:rFonts w:cs="Helvetica"/>
          <w:lang w:val="en-PH"/>
        </w:rPr>
        <w:t>In this study, a quantitative correlational research design was used to examine the relationship between self-assessed writing skills, learning strategies, and grammar proficiency among undergraduate students. The results showed a weak but statistically significant correlation between self-assessed writing skills and grammar proficiency, suggesting that students engage in some level of metacognitive monitoring. However, there was no significant correlation between learning strategies and grammar proficiency, indicating that students may lack the ability to apply learning strategies effectively in improving grammar.</w:t>
      </w:r>
      <w:r w:rsidR="00865F18">
        <w:rPr>
          <w:rFonts w:cs="Helvetica"/>
          <w:lang w:val="en-PH"/>
        </w:rPr>
        <w:t xml:space="preserve"> </w:t>
      </w:r>
      <w:r w:rsidRPr="00D76241">
        <w:rPr>
          <w:rFonts w:cs="Helvetica"/>
          <w:lang w:val="en-PH"/>
        </w:rPr>
        <w:t xml:space="preserve">These findings support aspects of Metacognitive Theory, particularly the role of self-awareness in writing, but also highlight the limitations of students in regulating their learning processes. While students </w:t>
      </w:r>
      <w:r w:rsidRPr="00D76241">
        <w:rPr>
          <w:rFonts w:cs="Helvetica"/>
          <w:lang w:val="en-PH"/>
        </w:rPr>
        <w:lastRenderedPageBreak/>
        <w:t xml:space="preserve">appear to have some awareness of their writing abilities, their struggle to convert this awareness into effective grammar performance points to a gap in metacognitive regulation. </w:t>
      </w:r>
    </w:p>
    <w:p w14:paraId="4AA6C3DF" w14:textId="364829CD" w:rsidR="007B0BCB" w:rsidRPr="00D76241" w:rsidRDefault="007B0BCB" w:rsidP="007E32C4">
      <w:pPr>
        <w:pStyle w:val="Body"/>
        <w:spacing w:after="0"/>
        <w:rPr>
          <w:rFonts w:cs="Helvetica"/>
          <w:lang w:val="en-PH"/>
        </w:rPr>
      </w:pPr>
      <w:r w:rsidRPr="00D76241">
        <w:rPr>
          <w:rFonts w:cs="Helvetica"/>
          <w:lang w:val="en-PH"/>
        </w:rPr>
        <w:t>The study also aligns with Sustainable Development Goal (SDG) 4: Quality Education, particularly in relation to developing foundational skills and promoting lifelong learning.</w:t>
      </w:r>
      <w:r w:rsidR="00364FC8" w:rsidRPr="00D76241">
        <w:rPr>
          <w:rFonts w:cs="Helvetica"/>
          <w:lang w:val="en-PH"/>
        </w:rPr>
        <w:t xml:space="preserve"> These findings contribute to the broader discourse on ESL learner autonomy by showing that overconfidence in writing competence may mask grammar gaps. Educators are encouraged to embed metacognitive reflection and strategy training within writing instruction. Future research could incorporate qualitative methods to explore how students internalize feedback and self-assessment.</w:t>
      </w:r>
    </w:p>
    <w:p w14:paraId="7AB510FC" w14:textId="226BB242" w:rsidR="007B0BCB" w:rsidRPr="00D76241" w:rsidRDefault="007B0BCB" w:rsidP="007E32C4">
      <w:pPr>
        <w:pStyle w:val="Body"/>
        <w:spacing w:after="0"/>
        <w:rPr>
          <w:rFonts w:cs="Helvetica"/>
          <w:lang w:val="en-PH"/>
        </w:rPr>
      </w:pPr>
      <w:r w:rsidRPr="00D76241">
        <w:rPr>
          <w:rFonts w:cs="Helvetica"/>
          <w:lang w:val="en-PH"/>
        </w:rPr>
        <w:t>Despite the relevance of the findings, there remains a need for grammar instruction that explicitly integrates self-assessment and learning strategy use. Structured grammar workshops, diagnostic activities, and reflective tools could help bridge the gap between self-awareness and actual writing performance. Future studies should explore other contributing factors, such as language exposure, teacher feedback, and digital tools. Further investigation into these areas can provide deeper insights into how students’ grammar and writing skills can be more effectively supported in academic contexts.</w:t>
      </w:r>
    </w:p>
    <w:p w14:paraId="2F521B77" w14:textId="77777777" w:rsidR="00790ADA" w:rsidRPr="00FB3A86" w:rsidRDefault="00790ADA" w:rsidP="007E32C4">
      <w:pPr>
        <w:pStyle w:val="Body"/>
        <w:spacing w:after="0"/>
        <w:rPr>
          <w:rFonts w:ascii="Arial" w:hAnsi="Arial" w:cs="Arial"/>
        </w:rPr>
      </w:pPr>
    </w:p>
    <w:p w14:paraId="7BF46424" w14:textId="77777777" w:rsidR="00B01FCD" w:rsidRPr="00D76241" w:rsidRDefault="00B01FCD" w:rsidP="007E32C4">
      <w:pPr>
        <w:pStyle w:val="AcknHead"/>
        <w:spacing w:after="0"/>
        <w:jc w:val="both"/>
        <w:rPr>
          <w:rFonts w:cs="Helvetica"/>
        </w:rPr>
      </w:pPr>
      <w:r w:rsidRPr="00D76241">
        <w:rPr>
          <w:rFonts w:cs="Helvetica"/>
        </w:rPr>
        <w:t>Acknowledg</w:t>
      </w:r>
      <w:r w:rsidR="003E2904" w:rsidRPr="00D76241">
        <w:rPr>
          <w:rFonts w:cs="Helvetica"/>
        </w:rPr>
        <w:t>E</w:t>
      </w:r>
      <w:r w:rsidRPr="00D76241">
        <w:rPr>
          <w:rFonts w:cs="Helvetica"/>
        </w:rPr>
        <w:t>ments</w:t>
      </w:r>
    </w:p>
    <w:p w14:paraId="10235BCC" w14:textId="604DEA53" w:rsidR="00315186" w:rsidRPr="00D76241" w:rsidRDefault="007B0BCB" w:rsidP="007E32C4">
      <w:pPr>
        <w:jc w:val="both"/>
        <w:rPr>
          <w:rFonts w:cs="Helvetica"/>
        </w:rPr>
      </w:pPr>
      <w:r w:rsidRPr="00D76241">
        <w:rPr>
          <w:rFonts w:cs="Helvetica"/>
        </w:rPr>
        <w:t>The author extends sincere gratitude to the Graduate School of Holy Cross of Davao College for the academic guidance and institutional support provided throughout the development and completion of this study.</w:t>
      </w:r>
    </w:p>
    <w:p w14:paraId="378563B9" w14:textId="77777777" w:rsidR="00315186" w:rsidRPr="00D76241" w:rsidRDefault="00315186" w:rsidP="007E32C4">
      <w:pPr>
        <w:jc w:val="both"/>
        <w:rPr>
          <w:rFonts w:cs="Helvetica"/>
        </w:rPr>
      </w:pPr>
    </w:p>
    <w:p w14:paraId="23354C1D" w14:textId="1CEF5BAA" w:rsidR="002B704C" w:rsidRPr="00D76241" w:rsidRDefault="002B704C" w:rsidP="007E32C4">
      <w:pPr>
        <w:jc w:val="both"/>
        <w:rPr>
          <w:rFonts w:cs="Helvetica"/>
          <w:b/>
          <w:bCs/>
          <w:sz w:val="22"/>
          <w:szCs w:val="22"/>
        </w:rPr>
      </w:pPr>
      <w:r w:rsidRPr="00D76241">
        <w:rPr>
          <w:rFonts w:cs="Helvetica"/>
          <w:b/>
          <w:bCs/>
          <w:sz w:val="22"/>
          <w:szCs w:val="22"/>
        </w:rPr>
        <w:t>DISCLAIMER (ARTIFICIAL INTELLIGENCE)</w:t>
      </w:r>
    </w:p>
    <w:p w14:paraId="1838A937" w14:textId="2261FC44" w:rsidR="002B704C" w:rsidRPr="00D76241" w:rsidRDefault="002B704C" w:rsidP="007E32C4">
      <w:pPr>
        <w:jc w:val="both"/>
        <w:rPr>
          <w:rFonts w:cs="Helvetica"/>
        </w:rPr>
      </w:pPr>
      <w:r w:rsidRPr="00D76241">
        <w:rPr>
          <w:rFonts w:cs="Helvetica"/>
        </w:rPr>
        <w:t>Grammarly was used to enhance grammar and structure. No generative AI was used to write content.</w:t>
      </w:r>
    </w:p>
    <w:p w14:paraId="0B61802A" w14:textId="77777777" w:rsidR="002B704C" w:rsidRPr="00D76241" w:rsidRDefault="002B704C" w:rsidP="007E32C4">
      <w:pPr>
        <w:jc w:val="both"/>
        <w:rPr>
          <w:rFonts w:cs="Helvetica"/>
        </w:rPr>
      </w:pPr>
    </w:p>
    <w:p w14:paraId="20FA110C" w14:textId="77777777" w:rsidR="002B704C" w:rsidRPr="00D76241" w:rsidRDefault="002B704C" w:rsidP="007E32C4">
      <w:pPr>
        <w:jc w:val="both"/>
        <w:rPr>
          <w:rFonts w:cs="Helvetica"/>
        </w:rPr>
      </w:pPr>
      <w:bookmarkStart w:id="0" w:name="_GoBack"/>
      <w:bookmarkEnd w:id="0"/>
    </w:p>
    <w:p w14:paraId="41B5D9F3" w14:textId="7B41FB7C" w:rsidR="00926E6E" w:rsidRPr="00926E6E" w:rsidRDefault="002B704C" w:rsidP="00926E6E">
      <w:pPr>
        <w:jc w:val="both"/>
        <w:rPr>
          <w:rFonts w:cs="Helvetica"/>
          <w:b/>
          <w:bCs/>
          <w:sz w:val="22"/>
          <w:szCs w:val="22"/>
        </w:rPr>
      </w:pPr>
      <w:r w:rsidRPr="00D76241">
        <w:rPr>
          <w:rFonts w:cs="Helvetica"/>
          <w:b/>
          <w:bCs/>
          <w:sz w:val="22"/>
          <w:szCs w:val="22"/>
        </w:rPr>
        <w:t>ETHICAL APPROVAL</w:t>
      </w:r>
      <w:r w:rsidR="00926E6E">
        <w:rPr>
          <w:rFonts w:cs="Helvetica"/>
          <w:b/>
          <w:bCs/>
          <w:sz w:val="22"/>
          <w:szCs w:val="22"/>
        </w:rPr>
        <w:t xml:space="preserve"> </w:t>
      </w:r>
      <w:proofErr w:type="gramStart"/>
      <w:r w:rsidR="00926E6E">
        <w:rPr>
          <w:rFonts w:cs="Helvetica"/>
          <w:b/>
          <w:bCs/>
          <w:sz w:val="22"/>
          <w:szCs w:val="22"/>
        </w:rPr>
        <w:t xml:space="preserve">AND  </w:t>
      </w:r>
      <w:r w:rsidR="00926E6E" w:rsidRPr="00926E6E">
        <w:rPr>
          <w:rFonts w:cs="Helvetica"/>
          <w:b/>
          <w:bCs/>
          <w:sz w:val="22"/>
          <w:szCs w:val="22"/>
        </w:rPr>
        <w:t>CONSENT</w:t>
      </w:r>
      <w:proofErr w:type="gramEnd"/>
    </w:p>
    <w:p w14:paraId="7731D316" w14:textId="7877233B" w:rsidR="002B704C" w:rsidRPr="00D76241" w:rsidRDefault="00926E6E" w:rsidP="00926E6E">
      <w:pPr>
        <w:jc w:val="both"/>
        <w:rPr>
          <w:rFonts w:cs="Helvetica"/>
        </w:rPr>
      </w:pPr>
      <w:r w:rsidRPr="00926E6E">
        <w:rPr>
          <w:rFonts w:cs="Helvetica"/>
        </w:rPr>
        <w:t xml:space="preserve">The study adhered to ethical standards for research involving human participants. Participation was voluntary, and written informed consent </w:t>
      </w:r>
      <w:proofErr w:type="gramStart"/>
      <w:r w:rsidRPr="00926E6E">
        <w:rPr>
          <w:rFonts w:cs="Helvetica"/>
        </w:rPr>
        <w:t>was obtained</w:t>
      </w:r>
      <w:proofErr w:type="gramEnd"/>
      <w:r w:rsidRPr="00926E6E">
        <w:rPr>
          <w:rFonts w:cs="Helvetica"/>
        </w:rPr>
        <w:t xml:space="preserve"> prior to participation. Anonymity and confidentiality </w:t>
      </w:r>
      <w:proofErr w:type="gramStart"/>
      <w:r w:rsidRPr="00926E6E">
        <w:rPr>
          <w:rFonts w:cs="Helvetica"/>
        </w:rPr>
        <w:t>were ensured</w:t>
      </w:r>
      <w:proofErr w:type="gramEnd"/>
      <w:r w:rsidRPr="00926E6E">
        <w:rPr>
          <w:rFonts w:cs="Helvetica"/>
        </w:rPr>
        <w:t xml:space="preserve"> by assigning identification codes and securing all data in password-protected devices. The </w:t>
      </w:r>
      <w:proofErr w:type="gramStart"/>
      <w:r w:rsidRPr="00926E6E">
        <w:rPr>
          <w:rFonts w:cs="Helvetica"/>
        </w:rPr>
        <w:t>study was approved by the institutional ethics committee</w:t>
      </w:r>
      <w:proofErr w:type="gramEnd"/>
      <w:r w:rsidRPr="00926E6E">
        <w:rPr>
          <w:rFonts w:cs="Helvetica"/>
        </w:rPr>
        <w:t>, and all procedures complied with the Data Privacy Act of 2012.</w:t>
      </w:r>
    </w:p>
    <w:p w14:paraId="152B25FF" w14:textId="77777777" w:rsidR="002B704C" w:rsidRPr="00D76241" w:rsidRDefault="002B704C" w:rsidP="007E32C4">
      <w:pPr>
        <w:jc w:val="both"/>
        <w:rPr>
          <w:rFonts w:cs="Helvetica"/>
        </w:rPr>
      </w:pPr>
    </w:p>
    <w:p w14:paraId="6FB65B7C" w14:textId="77777777" w:rsidR="00860000" w:rsidRPr="00D76241" w:rsidRDefault="00860000" w:rsidP="007E32C4">
      <w:pPr>
        <w:pStyle w:val="ReferHead"/>
        <w:spacing w:after="0"/>
        <w:jc w:val="both"/>
        <w:rPr>
          <w:rFonts w:cs="Helvetica"/>
          <w:bCs/>
        </w:rPr>
      </w:pPr>
      <w:r w:rsidRPr="00D76241">
        <w:rPr>
          <w:rFonts w:cs="Helvetica"/>
          <w:bCs/>
        </w:rPr>
        <w:t>Competing interests</w:t>
      </w:r>
    </w:p>
    <w:p w14:paraId="04E2A9F8" w14:textId="5C8882EC" w:rsidR="00371FB6" w:rsidRPr="00D76241" w:rsidRDefault="007B0BCB" w:rsidP="007E32C4">
      <w:pPr>
        <w:pStyle w:val="ReferHead"/>
        <w:spacing w:after="0"/>
        <w:jc w:val="both"/>
        <w:rPr>
          <w:rFonts w:cs="Helvetica"/>
          <w:b w:val="0"/>
          <w:caps w:val="0"/>
          <w:sz w:val="20"/>
        </w:rPr>
      </w:pPr>
      <w:r w:rsidRPr="00D76241">
        <w:rPr>
          <w:rFonts w:cs="Helvetica"/>
          <w:b w:val="0"/>
          <w:caps w:val="0"/>
          <w:sz w:val="20"/>
        </w:rPr>
        <w:t xml:space="preserve">The author </w:t>
      </w:r>
      <w:r w:rsidR="002B704C" w:rsidRPr="00D76241">
        <w:rPr>
          <w:rFonts w:cs="Helvetica"/>
          <w:b w:val="0"/>
          <w:caps w:val="0"/>
          <w:sz w:val="20"/>
        </w:rPr>
        <w:t>declares no competing interests</w:t>
      </w:r>
      <w:r w:rsidRPr="00D76241">
        <w:rPr>
          <w:rFonts w:cs="Helvetica"/>
          <w:b w:val="0"/>
          <w:caps w:val="0"/>
          <w:sz w:val="20"/>
        </w:rPr>
        <w:t>.</w:t>
      </w:r>
    </w:p>
    <w:p w14:paraId="62316DB0" w14:textId="77777777" w:rsidR="001A29D8" w:rsidRPr="00D76241" w:rsidRDefault="001A29D8" w:rsidP="007E32C4">
      <w:pPr>
        <w:pStyle w:val="ReferHead"/>
        <w:spacing w:after="0"/>
        <w:jc w:val="both"/>
        <w:rPr>
          <w:rFonts w:cs="Helvetica"/>
          <w:b w:val="0"/>
          <w:caps w:val="0"/>
          <w:sz w:val="20"/>
        </w:rPr>
      </w:pPr>
    </w:p>
    <w:p w14:paraId="1D49E390" w14:textId="77777777" w:rsidR="005C784C" w:rsidRPr="00D76241" w:rsidRDefault="005C784C" w:rsidP="007E32C4">
      <w:pPr>
        <w:pStyle w:val="ReferHead"/>
        <w:spacing w:after="0"/>
        <w:jc w:val="both"/>
        <w:rPr>
          <w:rFonts w:cs="Helvetica"/>
          <w:b w:val="0"/>
          <w:caps w:val="0"/>
          <w:sz w:val="20"/>
        </w:rPr>
      </w:pPr>
    </w:p>
    <w:p w14:paraId="67351224" w14:textId="77777777" w:rsidR="00B01FCD" w:rsidRPr="00D76241" w:rsidRDefault="00B01FCD" w:rsidP="007E32C4">
      <w:pPr>
        <w:pStyle w:val="ReferHead"/>
        <w:spacing w:after="0"/>
        <w:jc w:val="both"/>
        <w:rPr>
          <w:rFonts w:cs="Helvetica"/>
        </w:rPr>
      </w:pPr>
      <w:r w:rsidRPr="00D76241">
        <w:rPr>
          <w:rFonts w:cs="Helvetica"/>
        </w:rPr>
        <w:t>References</w:t>
      </w:r>
    </w:p>
    <w:p w14:paraId="7A05DB45" w14:textId="77777777" w:rsidR="00790ADA" w:rsidRPr="00FB3A86" w:rsidRDefault="00790ADA" w:rsidP="007E32C4">
      <w:pPr>
        <w:pStyle w:val="ReferHead"/>
        <w:spacing w:after="0"/>
        <w:jc w:val="both"/>
        <w:rPr>
          <w:rFonts w:ascii="Arial" w:hAnsi="Arial" w:cs="Arial"/>
        </w:rPr>
      </w:pPr>
    </w:p>
    <w:p w14:paraId="0C71872A" w14:textId="656D48ED"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Alghizzi</w:t>
      </w:r>
      <w:proofErr w:type="spellEnd"/>
      <w:r w:rsidRPr="00125816">
        <w:rPr>
          <w:color w:val="000000" w:themeColor="text1"/>
          <w:lang w:val="en-PH"/>
        </w:rPr>
        <w:t xml:space="preserve">, T. M., &amp; Alshahrani, T. M. (2024). Effects of grading rubrics on EFL learners’ writing in an EMI setting. </w:t>
      </w:r>
      <w:proofErr w:type="spellStart"/>
      <w:r w:rsidRPr="00125816">
        <w:rPr>
          <w:i/>
          <w:iCs/>
          <w:color w:val="000000" w:themeColor="text1"/>
          <w:lang w:val="en-PH"/>
        </w:rPr>
        <w:t>Heliyon</w:t>
      </w:r>
      <w:proofErr w:type="spellEnd"/>
      <w:r w:rsidRPr="00125816">
        <w:rPr>
          <w:i/>
          <w:iCs/>
          <w:color w:val="000000" w:themeColor="text1"/>
          <w:lang w:val="en-PH"/>
        </w:rPr>
        <w:t>, 10(4)</w:t>
      </w:r>
      <w:r w:rsidRPr="00125816">
        <w:rPr>
          <w:color w:val="000000" w:themeColor="text1"/>
          <w:lang w:val="en-PH"/>
        </w:rPr>
        <w:t xml:space="preserve">, e36394. </w:t>
      </w:r>
      <w:hyperlink r:id="rId11" w:tgtFrame="_new" w:history="1">
        <w:r w:rsidRPr="00125816">
          <w:rPr>
            <w:rStyle w:val="Hyperlink"/>
            <w:color w:val="000000" w:themeColor="text1"/>
            <w:u w:val="none"/>
            <w:lang w:val="en-PH"/>
          </w:rPr>
          <w:t>https://doi.org/10.1016/j.heliyon.2024.e36394</w:t>
        </w:r>
      </w:hyperlink>
    </w:p>
    <w:p w14:paraId="43770AC4" w14:textId="77777777" w:rsidR="00125816" w:rsidRPr="00125816" w:rsidRDefault="00125816" w:rsidP="00125816">
      <w:pPr>
        <w:pStyle w:val="Body"/>
        <w:spacing w:after="0"/>
        <w:rPr>
          <w:color w:val="000000" w:themeColor="text1"/>
          <w:lang w:val="en-PH"/>
        </w:rPr>
      </w:pPr>
    </w:p>
    <w:p w14:paraId="7A5B156B" w14:textId="72985D92" w:rsidR="00125816" w:rsidRPr="00125816" w:rsidRDefault="00125816" w:rsidP="00125816">
      <w:pPr>
        <w:pStyle w:val="Body"/>
        <w:spacing w:after="0"/>
        <w:rPr>
          <w:color w:val="000000" w:themeColor="text1"/>
          <w:lang w:val="en-PH"/>
        </w:rPr>
      </w:pPr>
      <w:r w:rsidRPr="00125816">
        <w:rPr>
          <w:color w:val="000000" w:themeColor="text1"/>
          <w:lang w:val="en-PH"/>
        </w:rPr>
        <w:t xml:space="preserve">Andrade, H., &amp; </w:t>
      </w:r>
      <w:proofErr w:type="spellStart"/>
      <w:r w:rsidRPr="00125816">
        <w:rPr>
          <w:color w:val="000000" w:themeColor="text1"/>
          <w:lang w:val="en-PH"/>
        </w:rPr>
        <w:t>Valtcheva</w:t>
      </w:r>
      <w:proofErr w:type="spellEnd"/>
      <w:r w:rsidRPr="00125816">
        <w:rPr>
          <w:color w:val="000000" w:themeColor="text1"/>
          <w:lang w:val="en-PH"/>
        </w:rPr>
        <w:t xml:space="preserve">, A. (2009). Promoting learning and achievement through self-assessment. </w:t>
      </w:r>
      <w:r w:rsidRPr="00125816">
        <w:rPr>
          <w:i/>
          <w:iCs/>
          <w:color w:val="000000" w:themeColor="text1"/>
          <w:lang w:val="en-PH"/>
        </w:rPr>
        <w:t xml:space="preserve">Theory Into </w:t>
      </w:r>
      <w:proofErr w:type="spellStart"/>
      <w:r w:rsidRPr="00125816">
        <w:rPr>
          <w:i/>
          <w:iCs/>
          <w:color w:val="000000" w:themeColor="text1"/>
          <w:lang w:val="en-PH"/>
        </w:rPr>
        <w:t>Pract</w:t>
      </w:r>
      <w:proofErr w:type="spellEnd"/>
      <w:r w:rsidRPr="00125816">
        <w:rPr>
          <w:i/>
          <w:iCs/>
          <w:color w:val="000000" w:themeColor="text1"/>
          <w:lang w:val="en-PH"/>
        </w:rPr>
        <w:t>., 48(1)</w:t>
      </w:r>
      <w:r w:rsidRPr="00125816">
        <w:rPr>
          <w:color w:val="000000" w:themeColor="text1"/>
          <w:lang w:val="en-PH"/>
        </w:rPr>
        <w:t xml:space="preserve">, 12–19. </w:t>
      </w:r>
      <w:hyperlink r:id="rId12" w:tgtFrame="_new" w:history="1">
        <w:r w:rsidRPr="00125816">
          <w:rPr>
            <w:rStyle w:val="Hyperlink"/>
            <w:color w:val="000000" w:themeColor="text1"/>
            <w:u w:val="none"/>
            <w:lang w:val="en-PH"/>
          </w:rPr>
          <w:t>https://doi.org/10.1080/00405840802577544</w:t>
        </w:r>
      </w:hyperlink>
    </w:p>
    <w:p w14:paraId="4FE7D39F" w14:textId="77777777" w:rsidR="00125816" w:rsidRPr="00125816" w:rsidRDefault="00125816" w:rsidP="00125816">
      <w:pPr>
        <w:pStyle w:val="Body"/>
        <w:spacing w:after="0"/>
        <w:rPr>
          <w:color w:val="000000" w:themeColor="text1"/>
          <w:lang w:val="en-PH"/>
        </w:rPr>
      </w:pPr>
    </w:p>
    <w:p w14:paraId="1351AECC" w14:textId="6AEDDA8B" w:rsidR="00125816" w:rsidRPr="00125816" w:rsidRDefault="00125816" w:rsidP="00125816">
      <w:pPr>
        <w:pStyle w:val="Body"/>
        <w:spacing w:after="0"/>
        <w:rPr>
          <w:color w:val="000000" w:themeColor="text1"/>
          <w:lang w:val="en-PH"/>
        </w:rPr>
      </w:pPr>
      <w:r w:rsidRPr="00125816">
        <w:rPr>
          <w:color w:val="000000" w:themeColor="text1"/>
          <w:lang w:val="en-PH"/>
        </w:rPr>
        <w:t xml:space="preserve">Bhardwaj, P. (2019). Types of sampling in research. </w:t>
      </w:r>
      <w:r w:rsidRPr="00125816">
        <w:rPr>
          <w:i/>
          <w:iCs/>
          <w:color w:val="000000" w:themeColor="text1"/>
          <w:lang w:val="en-PH"/>
        </w:rPr>
        <w:t xml:space="preserve">J. </w:t>
      </w:r>
      <w:proofErr w:type="spellStart"/>
      <w:r w:rsidRPr="00125816">
        <w:rPr>
          <w:i/>
          <w:iCs/>
          <w:color w:val="000000" w:themeColor="text1"/>
          <w:lang w:val="en-PH"/>
        </w:rPr>
        <w:t>Pract</w:t>
      </w:r>
      <w:proofErr w:type="spellEnd"/>
      <w:r w:rsidRPr="00125816">
        <w:rPr>
          <w:i/>
          <w:iCs/>
          <w:color w:val="000000" w:themeColor="text1"/>
          <w:lang w:val="en-PH"/>
        </w:rPr>
        <w:t>. Cardiovasc. Sci., 5(3)</w:t>
      </w:r>
      <w:r w:rsidRPr="00125816">
        <w:rPr>
          <w:color w:val="000000" w:themeColor="text1"/>
          <w:lang w:val="en-PH"/>
        </w:rPr>
        <w:t xml:space="preserve">, 157–163. </w:t>
      </w:r>
      <w:hyperlink r:id="rId13" w:tgtFrame="_new" w:history="1">
        <w:r w:rsidRPr="00125816">
          <w:rPr>
            <w:rStyle w:val="Hyperlink"/>
            <w:color w:val="000000" w:themeColor="text1"/>
            <w:u w:val="none"/>
            <w:lang w:val="en-PH"/>
          </w:rPr>
          <w:t>https://doi.org/10.4103/jpcs.jpcs_62_19</w:t>
        </w:r>
      </w:hyperlink>
    </w:p>
    <w:p w14:paraId="0310CB97" w14:textId="77777777" w:rsidR="00125816" w:rsidRPr="00125816" w:rsidRDefault="00125816" w:rsidP="00125816">
      <w:pPr>
        <w:pStyle w:val="Body"/>
        <w:spacing w:after="0"/>
        <w:rPr>
          <w:color w:val="000000" w:themeColor="text1"/>
          <w:lang w:val="en-PH"/>
        </w:rPr>
      </w:pPr>
    </w:p>
    <w:p w14:paraId="3FAB8494" w14:textId="2ACF0C2B" w:rsidR="00125816" w:rsidRPr="00125816" w:rsidRDefault="00125816" w:rsidP="00125816">
      <w:pPr>
        <w:pStyle w:val="Body"/>
        <w:spacing w:after="0"/>
        <w:rPr>
          <w:color w:val="000000" w:themeColor="text1"/>
          <w:lang w:val="en-PH"/>
        </w:rPr>
      </w:pPr>
      <w:r w:rsidRPr="00125816">
        <w:rPr>
          <w:color w:val="000000" w:themeColor="text1"/>
          <w:lang w:val="en-PH"/>
        </w:rPr>
        <w:t xml:space="preserve">Cole, R., Reynders, G., Ruder, S., Stanford, C., Lantz, J., et al. (2019). Constructive alignment beyond content: Assessing professional skills in student group interactions and written work. In M. H. Boeck &amp; P. M. Lang (Eds.), </w:t>
      </w:r>
      <w:r w:rsidRPr="00125816">
        <w:rPr>
          <w:i/>
          <w:iCs/>
          <w:color w:val="000000" w:themeColor="text1"/>
          <w:lang w:val="en-PH"/>
        </w:rPr>
        <w:t xml:space="preserve">Res. </w:t>
      </w:r>
      <w:proofErr w:type="spellStart"/>
      <w:r w:rsidRPr="00125816">
        <w:rPr>
          <w:i/>
          <w:iCs/>
          <w:color w:val="000000" w:themeColor="text1"/>
          <w:lang w:val="en-PH"/>
        </w:rPr>
        <w:t>Pract</w:t>
      </w:r>
      <w:proofErr w:type="spellEnd"/>
      <w:r w:rsidRPr="00125816">
        <w:rPr>
          <w:i/>
          <w:iCs/>
          <w:color w:val="000000" w:themeColor="text1"/>
          <w:lang w:val="en-PH"/>
        </w:rPr>
        <w:t>. Chem. Educ.</w:t>
      </w:r>
      <w:r w:rsidRPr="00125816">
        <w:rPr>
          <w:color w:val="000000" w:themeColor="text1"/>
          <w:lang w:val="en-PH"/>
        </w:rPr>
        <w:t xml:space="preserve">, 203–222. Springer. </w:t>
      </w:r>
      <w:hyperlink r:id="rId14" w:tgtFrame="_new" w:history="1">
        <w:r w:rsidRPr="00125816">
          <w:rPr>
            <w:rStyle w:val="Hyperlink"/>
            <w:color w:val="000000" w:themeColor="text1"/>
            <w:u w:val="none"/>
            <w:lang w:val="en-PH"/>
          </w:rPr>
          <w:t>https://doi.org/10.1007/978-981-13-6998-8_13</w:t>
        </w:r>
      </w:hyperlink>
    </w:p>
    <w:p w14:paraId="67BB8E53" w14:textId="77777777" w:rsidR="00125816" w:rsidRPr="00125816" w:rsidRDefault="00125816" w:rsidP="00125816">
      <w:pPr>
        <w:pStyle w:val="Body"/>
        <w:spacing w:after="0"/>
        <w:rPr>
          <w:color w:val="000000" w:themeColor="text1"/>
          <w:lang w:val="en-PH"/>
        </w:rPr>
      </w:pPr>
    </w:p>
    <w:p w14:paraId="3209EBA5" w14:textId="19F18C7B"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Dhanarattigannon</w:t>
      </w:r>
      <w:proofErr w:type="spellEnd"/>
      <w:r w:rsidRPr="00125816">
        <w:rPr>
          <w:color w:val="000000" w:themeColor="text1"/>
          <w:lang w:val="en-PH"/>
        </w:rPr>
        <w:t xml:space="preserve">, J., &amp; </w:t>
      </w:r>
      <w:proofErr w:type="spellStart"/>
      <w:r w:rsidRPr="00125816">
        <w:rPr>
          <w:color w:val="000000" w:themeColor="text1"/>
          <w:lang w:val="en-PH"/>
        </w:rPr>
        <w:t>Thienpermpool</w:t>
      </w:r>
      <w:proofErr w:type="spellEnd"/>
      <w:r w:rsidRPr="00125816">
        <w:rPr>
          <w:color w:val="000000" w:themeColor="text1"/>
          <w:lang w:val="en-PH"/>
        </w:rPr>
        <w:t xml:space="preserve">, P. (2022). EFL tertiary learners’ perceptions of self-assessment on writing in English. </w:t>
      </w:r>
      <w:r w:rsidRPr="00125816">
        <w:rPr>
          <w:i/>
          <w:iCs/>
          <w:color w:val="000000" w:themeColor="text1"/>
          <w:lang w:val="en-PH"/>
        </w:rPr>
        <w:t xml:space="preserve">LEARN J. Lang. Educ. Acquis. Res. </w:t>
      </w:r>
      <w:proofErr w:type="spellStart"/>
      <w:r w:rsidRPr="00125816">
        <w:rPr>
          <w:i/>
          <w:iCs/>
          <w:color w:val="000000" w:themeColor="text1"/>
          <w:lang w:val="en-PH"/>
        </w:rPr>
        <w:t>Netw</w:t>
      </w:r>
      <w:proofErr w:type="spellEnd"/>
      <w:r w:rsidRPr="00125816">
        <w:rPr>
          <w:i/>
          <w:iCs/>
          <w:color w:val="000000" w:themeColor="text1"/>
          <w:lang w:val="en-PH"/>
        </w:rPr>
        <w:t>., 15(2)</w:t>
      </w:r>
      <w:r w:rsidRPr="00125816">
        <w:rPr>
          <w:color w:val="000000" w:themeColor="text1"/>
          <w:lang w:val="en-PH"/>
        </w:rPr>
        <w:t xml:space="preserve">, 521–545. </w:t>
      </w:r>
      <w:hyperlink r:id="rId15" w:tgtFrame="_new" w:history="1">
        <w:r w:rsidRPr="00125816">
          <w:rPr>
            <w:rStyle w:val="Hyperlink"/>
            <w:color w:val="000000" w:themeColor="text1"/>
            <w:u w:val="none"/>
            <w:lang w:val="en-PH"/>
          </w:rPr>
          <w:t>https://doi.org/10.21512/lc.v12i3.4064</w:t>
        </w:r>
      </w:hyperlink>
    </w:p>
    <w:p w14:paraId="007147EF" w14:textId="77777777" w:rsidR="00125816" w:rsidRPr="00125816" w:rsidRDefault="00125816" w:rsidP="00125816">
      <w:pPr>
        <w:pStyle w:val="Body"/>
        <w:spacing w:after="0"/>
        <w:rPr>
          <w:color w:val="000000" w:themeColor="text1"/>
          <w:lang w:val="en-PH"/>
        </w:rPr>
      </w:pPr>
    </w:p>
    <w:p w14:paraId="41A1F687" w14:textId="2D3E63C3" w:rsidR="00125816" w:rsidRPr="00125816" w:rsidRDefault="00125816" w:rsidP="00125816">
      <w:pPr>
        <w:pStyle w:val="Body"/>
        <w:spacing w:after="0"/>
        <w:rPr>
          <w:color w:val="000000" w:themeColor="text1"/>
          <w:lang w:val="en-PH"/>
        </w:rPr>
      </w:pPr>
      <w:r w:rsidRPr="00125816">
        <w:rPr>
          <w:color w:val="000000" w:themeColor="text1"/>
          <w:lang w:val="en-PH"/>
        </w:rPr>
        <w:t xml:space="preserve">Dunn, M. (2021). The challenges of struggling writers: Strategies that can help. </w:t>
      </w:r>
      <w:r w:rsidRPr="00125816">
        <w:rPr>
          <w:i/>
          <w:iCs/>
          <w:color w:val="000000" w:themeColor="text1"/>
          <w:lang w:val="en-PH"/>
        </w:rPr>
        <w:t>Educ. Sci., 11(12)</w:t>
      </w:r>
      <w:r w:rsidRPr="00125816">
        <w:rPr>
          <w:color w:val="000000" w:themeColor="text1"/>
          <w:lang w:val="en-PH"/>
        </w:rPr>
        <w:t xml:space="preserve">, 795. </w:t>
      </w:r>
      <w:hyperlink r:id="rId16" w:tgtFrame="_new" w:history="1">
        <w:r w:rsidRPr="00125816">
          <w:rPr>
            <w:rStyle w:val="Hyperlink"/>
            <w:color w:val="000000" w:themeColor="text1"/>
            <w:u w:val="none"/>
            <w:lang w:val="en-PH"/>
          </w:rPr>
          <w:t>https://doi.org/10.3390/educsci11120795</w:t>
        </w:r>
      </w:hyperlink>
    </w:p>
    <w:p w14:paraId="5B98B12D" w14:textId="77777777" w:rsidR="00125816" w:rsidRPr="00125816" w:rsidRDefault="00125816" w:rsidP="00125816">
      <w:pPr>
        <w:pStyle w:val="Body"/>
        <w:spacing w:after="0"/>
        <w:rPr>
          <w:color w:val="000000" w:themeColor="text1"/>
          <w:lang w:val="en-PH"/>
        </w:rPr>
      </w:pPr>
    </w:p>
    <w:p w14:paraId="7D7B6DDC" w14:textId="0BFEC6E8"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Fitri</w:t>
      </w:r>
      <w:proofErr w:type="spellEnd"/>
      <w:r w:rsidRPr="00125816">
        <w:rPr>
          <w:color w:val="000000" w:themeColor="text1"/>
          <w:lang w:val="en-PH"/>
        </w:rPr>
        <w:t xml:space="preserve">, A., &amp; Rifaat, A. A. (2022). The effectiveness of using self-assessment on student writing achievement. </w:t>
      </w:r>
      <w:r w:rsidRPr="00125816">
        <w:rPr>
          <w:i/>
          <w:iCs/>
          <w:color w:val="000000" w:themeColor="text1"/>
          <w:lang w:val="en-PH"/>
        </w:rPr>
        <w:t>IDEAS J. Lang. Teach. Learn. Linguist. Lit., 10(1)</w:t>
      </w:r>
      <w:r w:rsidRPr="00125816">
        <w:rPr>
          <w:color w:val="000000" w:themeColor="text1"/>
          <w:lang w:val="en-PH"/>
        </w:rPr>
        <w:t xml:space="preserve">, 618–631. </w:t>
      </w:r>
      <w:hyperlink r:id="rId17" w:tgtFrame="_new" w:history="1">
        <w:r w:rsidRPr="00125816">
          <w:rPr>
            <w:rStyle w:val="Hyperlink"/>
            <w:color w:val="000000" w:themeColor="text1"/>
            <w:u w:val="none"/>
            <w:lang w:val="en-PH"/>
          </w:rPr>
          <w:t>https://doi.org/10.24256/ideas.v10i1.2708</w:t>
        </w:r>
      </w:hyperlink>
    </w:p>
    <w:p w14:paraId="52C8D284" w14:textId="77777777" w:rsidR="00125816" w:rsidRPr="00125816" w:rsidRDefault="00125816" w:rsidP="00125816">
      <w:pPr>
        <w:pStyle w:val="Body"/>
        <w:spacing w:after="0"/>
        <w:rPr>
          <w:color w:val="000000" w:themeColor="text1"/>
          <w:lang w:val="en-PH"/>
        </w:rPr>
      </w:pPr>
    </w:p>
    <w:p w14:paraId="03328271" w14:textId="08124931" w:rsidR="00125816" w:rsidRPr="00125816" w:rsidRDefault="00125816" w:rsidP="00125816">
      <w:pPr>
        <w:pStyle w:val="Body"/>
        <w:spacing w:after="0"/>
        <w:rPr>
          <w:color w:val="000000" w:themeColor="text1"/>
          <w:lang w:val="en-PH"/>
        </w:rPr>
      </w:pPr>
      <w:r w:rsidRPr="00125816">
        <w:rPr>
          <w:color w:val="000000" w:themeColor="text1"/>
          <w:lang w:val="en-PH"/>
        </w:rPr>
        <w:t xml:space="preserve">Flavell, J. H. (1979). Metacognition and cognitive monitoring: A new area of cognitive-developmental inquiry. </w:t>
      </w:r>
      <w:r w:rsidRPr="00125816">
        <w:rPr>
          <w:i/>
          <w:iCs/>
          <w:color w:val="000000" w:themeColor="text1"/>
          <w:lang w:val="en-PH"/>
        </w:rPr>
        <w:t>Am. Psychol., 34(10)</w:t>
      </w:r>
      <w:r w:rsidRPr="00125816">
        <w:rPr>
          <w:color w:val="000000" w:themeColor="text1"/>
          <w:lang w:val="en-PH"/>
        </w:rPr>
        <w:t xml:space="preserve">, 906–911. </w:t>
      </w:r>
      <w:hyperlink r:id="rId18" w:tgtFrame="_new" w:history="1">
        <w:r w:rsidRPr="00125816">
          <w:rPr>
            <w:rStyle w:val="Hyperlink"/>
            <w:color w:val="000000" w:themeColor="text1"/>
            <w:u w:val="none"/>
            <w:lang w:val="en-PH"/>
          </w:rPr>
          <w:t>https://doi.org/10.1037/0003-066X.34.10.906</w:t>
        </w:r>
      </w:hyperlink>
    </w:p>
    <w:p w14:paraId="38EAA5C8" w14:textId="77777777" w:rsidR="00125816" w:rsidRPr="00125816" w:rsidRDefault="00125816" w:rsidP="00125816">
      <w:pPr>
        <w:pStyle w:val="Body"/>
        <w:spacing w:after="0"/>
        <w:rPr>
          <w:color w:val="000000" w:themeColor="text1"/>
          <w:lang w:val="en-PH"/>
        </w:rPr>
      </w:pPr>
    </w:p>
    <w:p w14:paraId="43C2E3B8" w14:textId="33186C12"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Ghanad</w:t>
      </w:r>
      <w:proofErr w:type="spellEnd"/>
      <w:r w:rsidRPr="00125816">
        <w:rPr>
          <w:color w:val="000000" w:themeColor="text1"/>
          <w:lang w:val="en-PH"/>
        </w:rPr>
        <w:t xml:space="preserve">, A. (2023). An overview of quantitative research methods. </w:t>
      </w:r>
      <w:r w:rsidRPr="00125816">
        <w:rPr>
          <w:i/>
          <w:iCs/>
          <w:color w:val="000000" w:themeColor="text1"/>
          <w:lang w:val="en-PH"/>
        </w:rPr>
        <w:t xml:space="preserve">Int. J. </w:t>
      </w:r>
      <w:proofErr w:type="spellStart"/>
      <w:r w:rsidRPr="00125816">
        <w:rPr>
          <w:i/>
          <w:iCs/>
          <w:color w:val="000000" w:themeColor="text1"/>
          <w:lang w:val="en-PH"/>
        </w:rPr>
        <w:t>Multidiscip</w:t>
      </w:r>
      <w:proofErr w:type="spellEnd"/>
      <w:r w:rsidRPr="00125816">
        <w:rPr>
          <w:i/>
          <w:iCs/>
          <w:color w:val="000000" w:themeColor="text1"/>
          <w:lang w:val="en-PH"/>
        </w:rPr>
        <w:t>. Res. Anal., 6(8)</w:t>
      </w:r>
      <w:r w:rsidRPr="00125816">
        <w:rPr>
          <w:color w:val="000000" w:themeColor="text1"/>
          <w:lang w:val="en-PH"/>
        </w:rPr>
        <w:t xml:space="preserve">. </w:t>
      </w:r>
      <w:hyperlink r:id="rId19" w:tgtFrame="_new" w:history="1">
        <w:r w:rsidRPr="00125816">
          <w:rPr>
            <w:rStyle w:val="Hyperlink"/>
            <w:color w:val="000000" w:themeColor="text1"/>
            <w:u w:val="none"/>
            <w:lang w:val="en-PH"/>
          </w:rPr>
          <w:t>https://doi.org/10.47191/ijmra/v6-i8-52</w:t>
        </w:r>
      </w:hyperlink>
    </w:p>
    <w:p w14:paraId="0F87C236" w14:textId="77777777" w:rsidR="00125816" w:rsidRPr="00125816" w:rsidRDefault="00125816" w:rsidP="00125816">
      <w:pPr>
        <w:pStyle w:val="Body"/>
        <w:spacing w:after="0"/>
        <w:rPr>
          <w:color w:val="000000" w:themeColor="text1"/>
          <w:lang w:val="en-PH"/>
        </w:rPr>
      </w:pPr>
    </w:p>
    <w:p w14:paraId="26A6EC4E" w14:textId="4F2DD3B0" w:rsidR="00125816" w:rsidRPr="00125816" w:rsidRDefault="00125816" w:rsidP="00125816">
      <w:pPr>
        <w:pStyle w:val="Body"/>
        <w:spacing w:after="0"/>
        <w:rPr>
          <w:color w:val="000000" w:themeColor="text1"/>
          <w:lang w:val="en-PH"/>
        </w:rPr>
      </w:pPr>
      <w:r w:rsidRPr="00125816">
        <w:rPr>
          <w:color w:val="000000" w:themeColor="text1"/>
          <w:lang w:val="en-PH"/>
        </w:rPr>
        <w:t xml:space="preserve">Hariri, H., Karwan, D. H., </w:t>
      </w:r>
      <w:proofErr w:type="spellStart"/>
      <w:r w:rsidRPr="00125816">
        <w:rPr>
          <w:color w:val="000000" w:themeColor="text1"/>
          <w:lang w:val="en-PH"/>
        </w:rPr>
        <w:t>Haenilah</w:t>
      </w:r>
      <w:proofErr w:type="spellEnd"/>
      <w:r w:rsidRPr="00125816">
        <w:rPr>
          <w:color w:val="000000" w:themeColor="text1"/>
          <w:lang w:val="en-PH"/>
        </w:rPr>
        <w:t xml:space="preserve">, E. Y., Rini, R., Suparman, U., et al. (2020). Motivation and learning strategies: Student motivation affects student learning strategies. </w:t>
      </w:r>
      <w:r w:rsidRPr="00125816">
        <w:rPr>
          <w:i/>
          <w:iCs/>
          <w:color w:val="000000" w:themeColor="text1"/>
          <w:lang w:val="en-PH"/>
        </w:rPr>
        <w:t>Eur. J. Educ. Res., 10(1)</w:t>
      </w:r>
      <w:r w:rsidRPr="00125816">
        <w:rPr>
          <w:color w:val="000000" w:themeColor="text1"/>
          <w:lang w:val="en-PH"/>
        </w:rPr>
        <w:t xml:space="preserve">, 39–49. </w:t>
      </w:r>
      <w:hyperlink r:id="rId20" w:tgtFrame="_new" w:history="1">
        <w:r w:rsidRPr="00125816">
          <w:rPr>
            <w:rStyle w:val="Hyperlink"/>
            <w:color w:val="000000" w:themeColor="text1"/>
            <w:u w:val="none"/>
            <w:lang w:val="en-PH"/>
          </w:rPr>
          <w:t>https://doi.org/10.12973/eu-jer.10.1.39</w:t>
        </w:r>
      </w:hyperlink>
    </w:p>
    <w:p w14:paraId="71B8BECC" w14:textId="77777777" w:rsidR="00125816" w:rsidRPr="00125816" w:rsidRDefault="00125816" w:rsidP="00125816">
      <w:pPr>
        <w:pStyle w:val="Body"/>
        <w:spacing w:after="0"/>
        <w:rPr>
          <w:color w:val="000000" w:themeColor="text1"/>
          <w:lang w:val="en-PH"/>
        </w:rPr>
      </w:pPr>
    </w:p>
    <w:p w14:paraId="6CC42A60" w14:textId="73754BA8" w:rsidR="00125816" w:rsidRPr="00125816" w:rsidRDefault="00125816" w:rsidP="00125816">
      <w:pPr>
        <w:pStyle w:val="Body"/>
        <w:spacing w:after="0"/>
        <w:rPr>
          <w:color w:val="000000" w:themeColor="text1"/>
          <w:lang w:val="en-PH"/>
        </w:rPr>
      </w:pPr>
      <w:r w:rsidRPr="00125816">
        <w:rPr>
          <w:color w:val="000000" w:themeColor="text1"/>
          <w:lang w:val="en-PH"/>
        </w:rPr>
        <w:t xml:space="preserve">Mekonnen, W. (2020). Review on correlation research. </w:t>
      </w:r>
      <w:r w:rsidRPr="00125816">
        <w:rPr>
          <w:i/>
          <w:iCs/>
          <w:color w:val="000000" w:themeColor="text1"/>
          <w:lang w:val="en-PH"/>
        </w:rPr>
        <w:t>Int. J. Engl. Lang. Commun., 8(4)</w:t>
      </w:r>
      <w:r w:rsidRPr="00125816">
        <w:rPr>
          <w:color w:val="000000" w:themeColor="text1"/>
          <w:lang w:val="en-PH"/>
        </w:rPr>
        <w:t xml:space="preserve">, 99–106. </w:t>
      </w:r>
      <w:hyperlink r:id="rId21" w:tgtFrame="_new" w:history="1">
        <w:r w:rsidRPr="00125816">
          <w:rPr>
            <w:rStyle w:val="Hyperlink"/>
            <w:color w:val="000000" w:themeColor="text1"/>
            <w:u w:val="none"/>
            <w:lang w:val="en-PH"/>
          </w:rPr>
          <w:t>https://doi.org/10.14662/IJELC2020.085</w:t>
        </w:r>
      </w:hyperlink>
    </w:p>
    <w:p w14:paraId="5F9715DE" w14:textId="77777777" w:rsidR="00125816" w:rsidRPr="00125816" w:rsidRDefault="00125816" w:rsidP="00125816">
      <w:pPr>
        <w:pStyle w:val="Body"/>
        <w:spacing w:after="0"/>
        <w:rPr>
          <w:color w:val="000000" w:themeColor="text1"/>
          <w:lang w:val="en-PH"/>
        </w:rPr>
      </w:pPr>
    </w:p>
    <w:p w14:paraId="3C9A8E00" w14:textId="6B329A4C" w:rsidR="00125816" w:rsidRPr="00125816" w:rsidRDefault="00125816" w:rsidP="00125816">
      <w:pPr>
        <w:pStyle w:val="Body"/>
        <w:spacing w:after="0"/>
        <w:rPr>
          <w:color w:val="000000" w:themeColor="text1"/>
          <w:lang w:val="en-PH"/>
        </w:rPr>
      </w:pPr>
      <w:r w:rsidRPr="00125816">
        <w:rPr>
          <w:color w:val="000000" w:themeColor="text1"/>
          <w:lang w:val="en-PH"/>
        </w:rPr>
        <w:t xml:space="preserve">Qasem, F. A. A. (2020). The effective role of learners’ self-assessment tasks in enhancing learning English as a second language. </w:t>
      </w:r>
      <w:r w:rsidRPr="00125816">
        <w:rPr>
          <w:i/>
          <w:iCs/>
          <w:color w:val="000000" w:themeColor="text1"/>
          <w:lang w:val="en-PH"/>
        </w:rPr>
        <w:t>Arab World Engl. J., 11(3)</w:t>
      </w:r>
      <w:r w:rsidRPr="00125816">
        <w:rPr>
          <w:color w:val="000000" w:themeColor="text1"/>
          <w:lang w:val="en-PH"/>
        </w:rPr>
        <w:t xml:space="preserve">, 502–514. </w:t>
      </w:r>
      <w:hyperlink r:id="rId22" w:tgtFrame="_new" w:history="1">
        <w:r w:rsidRPr="00125816">
          <w:rPr>
            <w:rStyle w:val="Hyperlink"/>
            <w:color w:val="000000" w:themeColor="text1"/>
            <w:u w:val="none"/>
            <w:lang w:val="en-PH"/>
          </w:rPr>
          <w:t>https://doi.org/10.24093/awej/vol11no3.33</w:t>
        </w:r>
      </w:hyperlink>
    </w:p>
    <w:p w14:paraId="3912E9A1" w14:textId="77777777" w:rsidR="00125816" w:rsidRPr="00125816" w:rsidRDefault="00125816" w:rsidP="00125816">
      <w:pPr>
        <w:pStyle w:val="Body"/>
        <w:spacing w:after="0"/>
        <w:rPr>
          <w:color w:val="000000" w:themeColor="text1"/>
          <w:lang w:val="en-PH"/>
        </w:rPr>
      </w:pPr>
    </w:p>
    <w:p w14:paraId="104669D9" w14:textId="4D55CB35" w:rsidR="00125816" w:rsidRPr="00125816" w:rsidRDefault="00125816" w:rsidP="00125816">
      <w:pPr>
        <w:pStyle w:val="Body"/>
        <w:spacing w:after="0"/>
        <w:rPr>
          <w:color w:val="000000" w:themeColor="text1"/>
          <w:lang w:val="en-PH"/>
        </w:rPr>
      </w:pPr>
      <w:r w:rsidRPr="00125816">
        <w:rPr>
          <w:color w:val="000000" w:themeColor="text1"/>
          <w:lang w:val="en-PH"/>
        </w:rPr>
        <w:t xml:space="preserve">Sahagun, R. L. A. (2021). Grammar skills of secondary teacher education students in a state university: Basis for worktext development. </w:t>
      </w:r>
      <w:r w:rsidRPr="00125816">
        <w:rPr>
          <w:i/>
          <w:iCs/>
          <w:color w:val="000000" w:themeColor="text1"/>
          <w:lang w:val="en-PH"/>
        </w:rPr>
        <w:t xml:space="preserve">Int. J. </w:t>
      </w:r>
      <w:proofErr w:type="spellStart"/>
      <w:r w:rsidRPr="00125816">
        <w:rPr>
          <w:i/>
          <w:iCs/>
          <w:color w:val="000000" w:themeColor="text1"/>
          <w:lang w:val="en-PH"/>
        </w:rPr>
        <w:t>Multidiscip</w:t>
      </w:r>
      <w:proofErr w:type="spellEnd"/>
      <w:r w:rsidRPr="00125816">
        <w:rPr>
          <w:i/>
          <w:iCs/>
          <w:color w:val="000000" w:themeColor="text1"/>
          <w:lang w:val="en-PH"/>
        </w:rPr>
        <w:t>. Appl. Bus. Educ. Res., 2(9)</w:t>
      </w:r>
      <w:r w:rsidRPr="00125816">
        <w:rPr>
          <w:color w:val="000000" w:themeColor="text1"/>
          <w:lang w:val="en-PH"/>
        </w:rPr>
        <w:t xml:space="preserve">, 843–849. </w:t>
      </w:r>
      <w:hyperlink r:id="rId23" w:tgtFrame="_new" w:history="1">
        <w:r w:rsidRPr="00125816">
          <w:rPr>
            <w:rStyle w:val="Hyperlink"/>
            <w:color w:val="000000" w:themeColor="text1"/>
            <w:u w:val="none"/>
            <w:lang w:val="en-PH"/>
          </w:rPr>
          <w:t>https://doi.org/10.11594/ijmaber.02.09.15</w:t>
        </w:r>
      </w:hyperlink>
    </w:p>
    <w:p w14:paraId="5D9E5AC9" w14:textId="77777777" w:rsidR="00125816" w:rsidRPr="00125816" w:rsidRDefault="00125816" w:rsidP="00125816">
      <w:pPr>
        <w:pStyle w:val="Body"/>
        <w:spacing w:after="0"/>
        <w:rPr>
          <w:color w:val="000000" w:themeColor="text1"/>
          <w:lang w:val="en-PH"/>
        </w:rPr>
      </w:pPr>
    </w:p>
    <w:p w14:paraId="7857671F" w14:textId="70F0C376" w:rsidR="00125816" w:rsidRPr="00125816" w:rsidRDefault="00125816" w:rsidP="00125816">
      <w:pPr>
        <w:pStyle w:val="Body"/>
        <w:spacing w:after="0"/>
        <w:rPr>
          <w:color w:val="000000" w:themeColor="text1"/>
          <w:lang w:val="en-PH"/>
        </w:rPr>
      </w:pPr>
      <w:r w:rsidRPr="00125816">
        <w:rPr>
          <w:color w:val="000000" w:themeColor="text1"/>
          <w:lang w:val="en-PH"/>
        </w:rPr>
        <w:t xml:space="preserve">Santos, M. T., Guillermo, J. C., &amp; Almonte, R. M. (2022). Grammar awareness and student self-assessment in Philippine EAP classrooms. </w:t>
      </w:r>
      <w:r w:rsidRPr="00125816">
        <w:rPr>
          <w:i/>
          <w:iCs/>
          <w:color w:val="000000" w:themeColor="text1"/>
          <w:lang w:val="en-PH"/>
        </w:rPr>
        <w:t>Asian EFL J., 29(3.1)</w:t>
      </w:r>
      <w:r w:rsidRPr="00125816">
        <w:rPr>
          <w:color w:val="000000" w:themeColor="text1"/>
          <w:lang w:val="en-PH"/>
        </w:rPr>
        <w:t>, 154–170.</w:t>
      </w:r>
    </w:p>
    <w:p w14:paraId="65BAFD5A" w14:textId="77777777" w:rsidR="00125816" w:rsidRPr="00125816" w:rsidRDefault="00125816" w:rsidP="00125816">
      <w:pPr>
        <w:pStyle w:val="Body"/>
        <w:spacing w:after="0"/>
        <w:rPr>
          <w:color w:val="000000" w:themeColor="text1"/>
          <w:lang w:val="en-PH"/>
        </w:rPr>
      </w:pPr>
    </w:p>
    <w:p w14:paraId="4C1C006E" w14:textId="03C69C33"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Sioco</w:t>
      </w:r>
      <w:proofErr w:type="spellEnd"/>
      <w:r w:rsidRPr="00125816">
        <w:rPr>
          <w:color w:val="000000" w:themeColor="text1"/>
          <w:lang w:val="en-PH"/>
        </w:rPr>
        <w:t xml:space="preserve">, J. R., &amp; De Vera, J. E. (2018). English grammar proficiency level of freshmen college students. </w:t>
      </w:r>
      <w:r w:rsidRPr="00125816">
        <w:rPr>
          <w:i/>
          <w:iCs/>
          <w:color w:val="000000" w:themeColor="text1"/>
          <w:lang w:val="en-PH"/>
        </w:rPr>
        <w:t xml:space="preserve">Asia Pac. J. </w:t>
      </w:r>
      <w:proofErr w:type="spellStart"/>
      <w:r w:rsidRPr="00125816">
        <w:rPr>
          <w:i/>
          <w:iCs/>
          <w:color w:val="000000" w:themeColor="text1"/>
          <w:lang w:val="en-PH"/>
        </w:rPr>
        <w:t>Multidiscip</w:t>
      </w:r>
      <w:proofErr w:type="spellEnd"/>
      <w:r w:rsidRPr="00125816">
        <w:rPr>
          <w:i/>
          <w:iCs/>
          <w:color w:val="000000" w:themeColor="text1"/>
          <w:lang w:val="en-PH"/>
        </w:rPr>
        <w:t>. Res., 6(1)</w:t>
      </w:r>
      <w:r w:rsidRPr="00125816">
        <w:rPr>
          <w:color w:val="000000" w:themeColor="text1"/>
          <w:lang w:val="en-PH"/>
        </w:rPr>
        <w:t xml:space="preserve">, 101–106. </w:t>
      </w:r>
      <w:hyperlink r:id="rId24" w:tgtFrame="_new" w:history="1">
        <w:r w:rsidRPr="00125816">
          <w:rPr>
            <w:rStyle w:val="Hyperlink"/>
            <w:color w:val="000000" w:themeColor="text1"/>
            <w:u w:val="none"/>
            <w:lang w:val="en-PH"/>
          </w:rPr>
          <w:t>https://files.eric.ed.gov/fulltext/EJ1247221.pdf</w:t>
        </w:r>
      </w:hyperlink>
    </w:p>
    <w:p w14:paraId="15B2C0BD" w14:textId="77777777" w:rsidR="00125816" w:rsidRPr="00125816" w:rsidRDefault="00125816" w:rsidP="00125816">
      <w:pPr>
        <w:pStyle w:val="Body"/>
        <w:spacing w:after="0"/>
        <w:rPr>
          <w:color w:val="000000" w:themeColor="text1"/>
          <w:lang w:val="en-PH"/>
        </w:rPr>
      </w:pPr>
    </w:p>
    <w:p w14:paraId="694952A7" w14:textId="59D44519"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Suastra</w:t>
      </w:r>
      <w:proofErr w:type="spellEnd"/>
      <w:r w:rsidRPr="00125816">
        <w:rPr>
          <w:color w:val="000000" w:themeColor="text1"/>
          <w:lang w:val="en-PH"/>
        </w:rPr>
        <w:t xml:space="preserve">, I. M., &amp; </w:t>
      </w:r>
      <w:proofErr w:type="spellStart"/>
      <w:r w:rsidRPr="00125816">
        <w:rPr>
          <w:color w:val="000000" w:themeColor="text1"/>
          <w:lang w:val="en-PH"/>
        </w:rPr>
        <w:t>Menggo</w:t>
      </w:r>
      <w:proofErr w:type="spellEnd"/>
      <w:r w:rsidRPr="00125816">
        <w:rPr>
          <w:color w:val="000000" w:themeColor="text1"/>
          <w:lang w:val="en-PH"/>
        </w:rPr>
        <w:t xml:space="preserve">, S. (2020). Developing metacognitive awareness in English writing: A case study. </w:t>
      </w:r>
      <w:r w:rsidRPr="00125816">
        <w:rPr>
          <w:i/>
          <w:iCs/>
          <w:color w:val="000000" w:themeColor="text1"/>
          <w:lang w:val="en-PH"/>
        </w:rPr>
        <w:t>Int. J. Lang. Lit. Stud., 2(3)</w:t>
      </w:r>
      <w:r w:rsidRPr="00125816">
        <w:rPr>
          <w:color w:val="000000" w:themeColor="text1"/>
          <w:lang w:val="en-PH"/>
        </w:rPr>
        <w:t xml:space="preserve">, 54–64. </w:t>
      </w:r>
      <w:hyperlink r:id="rId25" w:tgtFrame="_new" w:history="1">
        <w:r w:rsidRPr="00125816">
          <w:rPr>
            <w:rStyle w:val="Hyperlink"/>
            <w:color w:val="000000" w:themeColor="text1"/>
            <w:u w:val="none"/>
            <w:lang w:val="en-PH"/>
          </w:rPr>
          <w:t>https://doi.org/10.36892/ijlls.v2i3.330</w:t>
        </w:r>
      </w:hyperlink>
    </w:p>
    <w:p w14:paraId="10B2DA84" w14:textId="77777777" w:rsidR="00125816" w:rsidRPr="00125816" w:rsidRDefault="00125816" w:rsidP="00125816">
      <w:pPr>
        <w:pStyle w:val="Body"/>
        <w:spacing w:after="0"/>
        <w:rPr>
          <w:color w:val="000000" w:themeColor="text1"/>
          <w:lang w:val="en-PH"/>
        </w:rPr>
      </w:pPr>
    </w:p>
    <w:p w14:paraId="3CF4B094" w14:textId="6F1F559C" w:rsidR="00125816" w:rsidRPr="00125816" w:rsidRDefault="00125816" w:rsidP="00125816">
      <w:pPr>
        <w:pStyle w:val="Body"/>
        <w:spacing w:after="0"/>
        <w:rPr>
          <w:color w:val="000000" w:themeColor="text1"/>
          <w:lang w:val="en-PH"/>
        </w:rPr>
      </w:pPr>
      <w:proofErr w:type="spellStart"/>
      <w:r w:rsidRPr="00125816">
        <w:rPr>
          <w:color w:val="000000" w:themeColor="text1"/>
          <w:lang w:val="en-PH"/>
        </w:rPr>
        <w:t>Takarroucht</w:t>
      </w:r>
      <w:proofErr w:type="spellEnd"/>
      <w:r w:rsidRPr="00125816">
        <w:rPr>
          <w:color w:val="000000" w:themeColor="text1"/>
          <w:lang w:val="en-PH"/>
        </w:rPr>
        <w:t xml:space="preserve">, K. (2022). The effect of self-assessment on the development of EFL writing self-efficacy. </w:t>
      </w:r>
      <w:r w:rsidRPr="00125816">
        <w:rPr>
          <w:i/>
          <w:iCs/>
          <w:color w:val="000000" w:themeColor="text1"/>
          <w:lang w:val="en-PH"/>
        </w:rPr>
        <w:t>Int. J. Lang. Educ., 6(2)</w:t>
      </w:r>
      <w:r w:rsidRPr="00125816">
        <w:rPr>
          <w:color w:val="000000" w:themeColor="text1"/>
          <w:lang w:val="en-PH"/>
        </w:rPr>
        <w:t xml:space="preserve">, 157–168. </w:t>
      </w:r>
      <w:hyperlink r:id="rId26" w:tgtFrame="_new" w:history="1">
        <w:r w:rsidRPr="00125816">
          <w:rPr>
            <w:rStyle w:val="Hyperlink"/>
            <w:color w:val="000000" w:themeColor="text1"/>
            <w:u w:val="none"/>
            <w:lang w:val="en-PH"/>
          </w:rPr>
          <w:t>https://doi.org/10.26858/ijole.v6i2.22065</w:t>
        </w:r>
      </w:hyperlink>
    </w:p>
    <w:p w14:paraId="09AF2C51" w14:textId="77777777" w:rsidR="00125816" w:rsidRPr="00125816" w:rsidRDefault="00125816" w:rsidP="00125816">
      <w:pPr>
        <w:pStyle w:val="Body"/>
        <w:spacing w:after="0"/>
        <w:rPr>
          <w:color w:val="000000" w:themeColor="text1"/>
          <w:lang w:val="en-PH"/>
        </w:rPr>
      </w:pPr>
    </w:p>
    <w:p w14:paraId="1226E46D" w14:textId="590EAAAA" w:rsidR="00125816" w:rsidRPr="00125816" w:rsidRDefault="00125816" w:rsidP="00125816">
      <w:pPr>
        <w:pStyle w:val="Body"/>
        <w:spacing w:after="0"/>
        <w:rPr>
          <w:color w:val="000000" w:themeColor="text1"/>
          <w:lang w:val="en-PH"/>
        </w:rPr>
      </w:pPr>
      <w:r w:rsidRPr="00125816">
        <w:rPr>
          <w:color w:val="000000" w:themeColor="text1"/>
          <w:lang w:val="en-PH"/>
        </w:rPr>
        <w:t xml:space="preserve">Vu, N. (2021). Understanding validity and reliability from qualitative and quantitative research traditions. </w:t>
      </w:r>
      <w:r w:rsidRPr="00125816">
        <w:rPr>
          <w:i/>
          <w:iCs/>
          <w:color w:val="000000" w:themeColor="text1"/>
          <w:lang w:val="en-PH"/>
        </w:rPr>
        <w:t>VNU J. Foreign Stud., 37(3)</w:t>
      </w:r>
      <w:r w:rsidRPr="00125816">
        <w:rPr>
          <w:color w:val="000000" w:themeColor="text1"/>
          <w:lang w:val="en-PH"/>
        </w:rPr>
        <w:t xml:space="preserve">. </w:t>
      </w:r>
      <w:hyperlink r:id="rId27" w:tgtFrame="_new" w:history="1">
        <w:r w:rsidRPr="00125816">
          <w:rPr>
            <w:rStyle w:val="Hyperlink"/>
            <w:color w:val="000000" w:themeColor="text1"/>
            <w:u w:val="none"/>
            <w:lang w:val="en-PH"/>
          </w:rPr>
          <w:t>https://doi.org/10.25073/2525-2445/vnufs.4672</w:t>
        </w:r>
      </w:hyperlink>
    </w:p>
    <w:p w14:paraId="4C2AB558" w14:textId="77777777" w:rsidR="00125816" w:rsidRPr="00125816" w:rsidRDefault="00125816" w:rsidP="00125816">
      <w:pPr>
        <w:pStyle w:val="Body"/>
        <w:spacing w:after="0"/>
        <w:rPr>
          <w:color w:val="000000" w:themeColor="text1"/>
          <w:lang w:val="en-PH"/>
        </w:rPr>
      </w:pPr>
    </w:p>
    <w:p w14:paraId="7915E816" w14:textId="422946B9" w:rsidR="00125816" w:rsidRPr="000D2A50" w:rsidRDefault="00125816" w:rsidP="00125816">
      <w:pPr>
        <w:pStyle w:val="Body"/>
        <w:spacing w:after="0"/>
        <w:rPr>
          <w:lang w:val="en-PH"/>
        </w:rPr>
      </w:pPr>
      <w:r w:rsidRPr="00125816">
        <w:rPr>
          <w:color w:val="000000" w:themeColor="text1"/>
          <w:lang w:val="en-PH"/>
        </w:rPr>
        <w:t xml:space="preserve">Zhang, L., &amp; Qin, S. (2022). Promoting sustainable writing development through self-assessment-based intervention in Chinese tertiary EFL writing classes. </w:t>
      </w:r>
      <w:r w:rsidRPr="00125816">
        <w:rPr>
          <w:i/>
          <w:iCs/>
          <w:color w:val="000000" w:themeColor="text1"/>
          <w:lang w:val="en-PH"/>
        </w:rPr>
        <w:t>Sustainability, 14(22)</w:t>
      </w:r>
      <w:r w:rsidRPr="00125816">
        <w:rPr>
          <w:color w:val="000000" w:themeColor="text1"/>
          <w:lang w:val="en-PH"/>
        </w:rPr>
        <w:t xml:space="preserve">, 14686. </w:t>
      </w:r>
      <w:r w:rsidR="000D2A50" w:rsidRPr="000D2A50">
        <w:t> </w:t>
      </w:r>
      <w:hyperlink r:id="rId28" w:history="1">
        <w:r w:rsidR="000D2A50" w:rsidRPr="000D2A50">
          <w:rPr>
            <w:rStyle w:val="Hyperlink"/>
            <w:color w:val="auto"/>
            <w:u w:val="none"/>
          </w:rPr>
          <w:t>https://doi.org/10.3390/su132111655</w:t>
        </w:r>
      </w:hyperlink>
    </w:p>
    <w:p w14:paraId="6B512F4F" w14:textId="77777777" w:rsidR="00125816" w:rsidRPr="00125816" w:rsidRDefault="00125816" w:rsidP="00125816">
      <w:pPr>
        <w:pStyle w:val="Body"/>
        <w:spacing w:after="0"/>
        <w:rPr>
          <w:color w:val="000000" w:themeColor="text1"/>
          <w:lang w:val="en-PH"/>
        </w:rPr>
      </w:pPr>
    </w:p>
    <w:p w14:paraId="58758090" w14:textId="2D359C0E" w:rsidR="00125816" w:rsidRPr="00125816" w:rsidRDefault="00125816" w:rsidP="00125816">
      <w:pPr>
        <w:pStyle w:val="Body"/>
        <w:spacing w:after="0"/>
        <w:rPr>
          <w:color w:val="000000" w:themeColor="text1"/>
          <w:lang w:val="en-PH"/>
        </w:rPr>
      </w:pPr>
      <w:r w:rsidRPr="00125816">
        <w:rPr>
          <w:color w:val="000000" w:themeColor="text1"/>
          <w:lang w:val="en-PH"/>
        </w:rPr>
        <w:t xml:space="preserve">Zhang, X. S., &amp; Zhang, L. J. (2022). Sustaining learners’ writing development: Effects of using self-assessment. </w:t>
      </w:r>
      <w:r w:rsidRPr="00125816">
        <w:rPr>
          <w:i/>
          <w:iCs/>
          <w:color w:val="000000" w:themeColor="text1"/>
          <w:lang w:val="en-PH"/>
        </w:rPr>
        <w:t>Sustainability, 14(22)</w:t>
      </w:r>
      <w:r w:rsidRPr="00125816">
        <w:rPr>
          <w:color w:val="000000" w:themeColor="text1"/>
          <w:lang w:val="en-PH"/>
        </w:rPr>
        <w:t xml:space="preserve">, 14686. </w:t>
      </w:r>
      <w:hyperlink r:id="rId29" w:tgtFrame="_new" w:history="1">
        <w:r w:rsidRPr="00125816">
          <w:rPr>
            <w:rStyle w:val="Hyperlink"/>
            <w:color w:val="000000" w:themeColor="text1"/>
            <w:u w:val="none"/>
            <w:lang w:val="en-PH"/>
          </w:rPr>
          <w:t>https://doi.org/10.3390/su142214686</w:t>
        </w:r>
      </w:hyperlink>
    </w:p>
    <w:p w14:paraId="68BBE844" w14:textId="407610DB" w:rsidR="00B01FCD" w:rsidRPr="00125816" w:rsidRDefault="00B01FCD" w:rsidP="00125816">
      <w:pPr>
        <w:pStyle w:val="Body"/>
        <w:spacing w:after="0"/>
        <w:rPr>
          <w:color w:val="000000" w:themeColor="text1"/>
          <w:lang w:val="en-PH"/>
        </w:rPr>
      </w:pPr>
    </w:p>
    <w:sectPr w:rsidR="00B01FCD" w:rsidRPr="00125816" w:rsidSect="00412475">
      <w:footerReference w:type="default" r:id="rId30"/>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14E1" w14:textId="77777777" w:rsidR="00B024B3" w:rsidRDefault="00B024B3" w:rsidP="00C37E61">
      <w:r>
        <w:separator/>
      </w:r>
    </w:p>
  </w:endnote>
  <w:endnote w:type="continuationSeparator" w:id="0">
    <w:p w14:paraId="236F60A8" w14:textId="77777777" w:rsidR="00B024B3" w:rsidRDefault="00B024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F315" w14:textId="28B3ECFD" w:rsidR="00C37E61" w:rsidRDefault="00364FC8" w:rsidP="00364FC8">
    <w:pPr>
      <w:pStyle w:val="Footer"/>
      <w:tabs>
        <w:tab w:val="clear" w:pos="4320"/>
        <w:tab w:val="clear" w:pos="8640"/>
        <w:tab w:val="center" w:pos="4104"/>
      </w:tabs>
    </w:pPr>
    <w:r>
      <w:tab/>
    </w:r>
  </w:p>
  <w:p w14:paraId="2D30039C" w14:textId="77777777" w:rsidR="00364FC8" w:rsidRDefault="00364FC8" w:rsidP="00364FC8">
    <w:pPr>
      <w:pStyle w:val="Footer"/>
      <w:tabs>
        <w:tab w:val="clear" w:pos="4320"/>
        <w:tab w:val="clear" w:pos="8640"/>
        <w:tab w:val="center" w:pos="4104"/>
      </w:tabs>
    </w:pPr>
  </w:p>
  <w:p w14:paraId="4CF6ED9D" w14:textId="77777777" w:rsidR="00364FC8" w:rsidRDefault="00364FC8"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7D33" w14:textId="77777777" w:rsidR="009E048A" w:rsidRDefault="009E048A">
    <w:pPr>
      <w:pStyle w:val="Footer"/>
      <w:rPr>
        <w:rFonts w:ascii="Arial" w:hAnsi="Arial" w:cs="Arial"/>
        <w:sz w:val="16"/>
      </w:rPr>
    </w:pPr>
  </w:p>
  <w:p w14:paraId="50D4FE3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6298B61" w14:textId="77777777" w:rsidR="009E048A" w:rsidRDefault="009E048A">
    <w:pPr>
      <w:pStyle w:val="Footer"/>
      <w:rPr>
        <w:rFonts w:ascii="Arial" w:hAnsi="Arial" w:cs="Arial"/>
        <w:sz w:val="16"/>
      </w:rPr>
    </w:pPr>
  </w:p>
  <w:p w14:paraId="52D4C45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9BF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3DB44" w14:textId="77777777" w:rsidR="00B024B3" w:rsidRDefault="00B024B3" w:rsidP="00C37E61">
      <w:r>
        <w:separator/>
      </w:r>
    </w:p>
  </w:footnote>
  <w:footnote w:type="continuationSeparator" w:id="0">
    <w:p w14:paraId="77CFF8C8" w14:textId="77777777" w:rsidR="00B024B3" w:rsidRDefault="00B024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2CBA" w14:textId="77777777" w:rsidR="00296529" w:rsidRPr="00296529" w:rsidRDefault="00296529" w:rsidP="00296529">
    <w:pPr>
      <w:ind w:left="2160"/>
      <w:jc w:val="center"/>
      <w:rPr>
        <w:rFonts w:ascii="Times New Roman" w:eastAsia="Calibri" w:hAnsi="Times New Roman"/>
        <w:i/>
        <w:sz w:val="18"/>
        <w:szCs w:val="22"/>
      </w:rPr>
    </w:pPr>
  </w:p>
  <w:p w14:paraId="5192A1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5AF0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C6F5B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CE5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5CF7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A24BB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2F83"/>
    <w:multiLevelType w:val="multilevel"/>
    <w:tmpl w:val="006E2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323FA"/>
    <w:multiLevelType w:val="multilevel"/>
    <w:tmpl w:val="09D3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396D62"/>
    <w:multiLevelType w:val="multilevel"/>
    <w:tmpl w:val="10A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225886"/>
    <w:multiLevelType w:val="multilevel"/>
    <w:tmpl w:val="33225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563084"/>
    <w:multiLevelType w:val="multilevel"/>
    <w:tmpl w:val="072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2"/>
  </w:num>
  <w:num w:numId="14">
    <w:abstractNumId w:val="11"/>
  </w:num>
  <w:num w:numId="15">
    <w:abstractNumId w:val="26"/>
  </w:num>
  <w:num w:numId="16">
    <w:abstractNumId w:val="6"/>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3"/>
  </w:num>
  <w:num w:numId="31">
    <w:abstractNumId w:val="9"/>
  </w:num>
  <w:num w:numId="32">
    <w:abstractNumId w:val="18"/>
  </w:num>
  <w:num w:numId="33">
    <w:abstractNumId w:val="1"/>
  </w:num>
  <w:num w:numId="34">
    <w:abstractNumId w:val="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2DBC"/>
    <w:rsid w:val="00014F29"/>
    <w:rsid w:val="00030174"/>
    <w:rsid w:val="0004579C"/>
    <w:rsid w:val="000A26FA"/>
    <w:rsid w:val="000A47FA"/>
    <w:rsid w:val="000A65D3"/>
    <w:rsid w:val="000B1E33"/>
    <w:rsid w:val="000D2A50"/>
    <w:rsid w:val="000D570D"/>
    <w:rsid w:val="000D689F"/>
    <w:rsid w:val="000E5A2A"/>
    <w:rsid w:val="000E7B7B"/>
    <w:rsid w:val="000E7D62"/>
    <w:rsid w:val="0010218D"/>
    <w:rsid w:val="00103357"/>
    <w:rsid w:val="00123C9F"/>
    <w:rsid w:val="00125816"/>
    <w:rsid w:val="00126190"/>
    <w:rsid w:val="00130F17"/>
    <w:rsid w:val="001320BF"/>
    <w:rsid w:val="001604A5"/>
    <w:rsid w:val="00163BC4"/>
    <w:rsid w:val="00191062"/>
    <w:rsid w:val="00192B72"/>
    <w:rsid w:val="001A29D8"/>
    <w:rsid w:val="001A5CAA"/>
    <w:rsid w:val="001B0427"/>
    <w:rsid w:val="001B699B"/>
    <w:rsid w:val="001D3A51"/>
    <w:rsid w:val="001E10D2"/>
    <w:rsid w:val="001E25B4"/>
    <w:rsid w:val="001E44FE"/>
    <w:rsid w:val="001E7D80"/>
    <w:rsid w:val="00200595"/>
    <w:rsid w:val="00204835"/>
    <w:rsid w:val="0022464E"/>
    <w:rsid w:val="00224F2B"/>
    <w:rsid w:val="00231920"/>
    <w:rsid w:val="0023195C"/>
    <w:rsid w:val="0024282C"/>
    <w:rsid w:val="002460DC"/>
    <w:rsid w:val="00250985"/>
    <w:rsid w:val="002556F6"/>
    <w:rsid w:val="00283105"/>
    <w:rsid w:val="00284C4C"/>
    <w:rsid w:val="00287E68"/>
    <w:rsid w:val="00296529"/>
    <w:rsid w:val="002B27FB"/>
    <w:rsid w:val="002B685A"/>
    <w:rsid w:val="002B704C"/>
    <w:rsid w:val="002C57D2"/>
    <w:rsid w:val="002C6B02"/>
    <w:rsid w:val="002E0D56"/>
    <w:rsid w:val="002E4906"/>
    <w:rsid w:val="00306676"/>
    <w:rsid w:val="00315186"/>
    <w:rsid w:val="0033343E"/>
    <w:rsid w:val="003512C2"/>
    <w:rsid w:val="00364FC8"/>
    <w:rsid w:val="00371FB6"/>
    <w:rsid w:val="003763C1"/>
    <w:rsid w:val="00376BBE"/>
    <w:rsid w:val="00387C47"/>
    <w:rsid w:val="0039224F"/>
    <w:rsid w:val="003A43A4"/>
    <w:rsid w:val="003A7E18"/>
    <w:rsid w:val="003C4C86"/>
    <w:rsid w:val="003C6258"/>
    <w:rsid w:val="003D4DD1"/>
    <w:rsid w:val="003E2904"/>
    <w:rsid w:val="00401927"/>
    <w:rsid w:val="0041027F"/>
    <w:rsid w:val="004114A8"/>
    <w:rsid w:val="00412475"/>
    <w:rsid w:val="00417267"/>
    <w:rsid w:val="00423789"/>
    <w:rsid w:val="00426C08"/>
    <w:rsid w:val="00430E3F"/>
    <w:rsid w:val="0043238D"/>
    <w:rsid w:val="00440F43"/>
    <w:rsid w:val="00441B6F"/>
    <w:rsid w:val="00446221"/>
    <w:rsid w:val="00450E62"/>
    <w:rsid w:val="004539DB"/>
    <w:rsid w:val="00461A87"/>
    <w:rsid w:val="004677DF"/>
    <w:rsid w:val="00471A80"/>
    <w:rsid w:val="00473ECC"/>
    <w:rsid w:val="004D305E"/>
    <w:rsid w:val="004D4277"/>
    <w:rsid w:val="004F4C93"/>
    <w:rsid w:val="004F7B91"/>
    <w:rsid w:val="00502516"/>
    <w:rsid w:val="00505F06"/>
    <w:rsid w:val="00506828"/>
    <w:rsid w:val="0053056E"/>
    <w:rsid w:val="00546DF2"/>
    <w:rsid w:val="00554FDA"/>
    <w:rsid w:val="005633B0"/>
    <w:rsid w:val="00572951"/>
    <w:rsid w:val="005B3E4F"/>
    <w:rsid w:val="005C784C"/>
    <w:rsid w:val="005D17F6"/>
    <w:rsid w:val="005D52A1"/>
    <w:rsid w:val="005E5539"/>
    <w:rsid w:val="006028C7"/>
    <w:rsid w:val="00602BF5"/>
    <w:rsid w:val="006151FD"/>
    <w:rsid w:val="00617FDD"/>
    <w:rsid w:val="00633614"/>
    <w:rsid w:val="00633F68"/>
    <w:rsid w:val="00636EB2"/>
    <w:rsid w:val="006375B8"/>
    <w:rsid w:val="0065337D"/>
    <w:rsid w:val="00657588"/>
    <w:rsid w:val="00662A00"/>
    <w:rsid w:val="0066510A"/>
    <w:rsid w:val="00673F9F"/>
    <w:rsid w:val="00686953"/>
    <w:rsid w:val="00687DEA"/>
    <w:rsid w:val="00687E67"/>
    <w:rsid w:val="006967F7"/>
    <w:rsid w:val="006A250C"/>
    <w:rsid w:val="006B21D3"/>
    <w:rsid w:val="006B57D0"/>
    <w:rsid w:val="006C740A"/>
    <w:rsid w:val="006D30FF"/>
    <w:rsid w:val="006D33F1"/>
    <w:rsid w:val="006D6940"/>
    <w:rsid w:val="006F11EC"/>
    <w:rsid w:val="0070082C"/>
    <w:rsid w:val="007369E6"/>
    <w:rsid w:val="00746E59"/>
    <w:rsid w:val="00754C9A"/>
    <w:rsid w:val="0075599A"/>
    <w:rsid w:val="00761D52"/>
    <w:rsid w:val="0077749E"/>
    <w:rsid w:val="00782C47"/>
    <w:rsid w:val="00790ADA"/>
    <w:rsid w:val="00797497"/>
    <w:rsid w:val="007B0BCB"/>
    <w:rsid w:val="007C32A5"/>
    <w:rsid w:val="007C3E1B"/>
    <w:rsid w:val="007C6788"/>
    <w:rsid w:val="007D2288"/>
    <w:rsid w:val="007E088F"/>
    <w:rsid w:val="007E32C4"/>
    <w:rsid w:val="007E617A"/>
    <w:rsid w:val="007F4F2F"/>
    <w:rsid w:val="007F7B32"/>
    <w:rsid w:val="00804BC2"/>
    <w:rsid w:val="0081431A"/>
    <w:rsid w:val="008312D4"/>
    <w:rsid w:val="0083216F"/>
    <w:rsid w:val="00860000"/>
    <w:rsid w:val="00863BD3"/>
    <w:rsid w:val="008641ED"/>
    <w:rsid w:val="00865F18"/>
    <w:rsid w:val="00866D66"/>
    <w:rsid w:val="008671C6"/>
    <w:rsid w:val="00875803"/>
    <w:rsid w:val="00881A41"/>
    <w:rsid w:val="0088678D"/>
    <w:rsid w:val="008A4458"/>
    <w:rsid w:val="008B459E"/>
    <w:rsid w:val="008E13AE"/>
    <w:rsid w:val="008E1506"/>
    <w:rsid w:val="008E6EF9"/>
    <w:rsid w:val="008E710C"/>
    <w:rsid w:val="008F0533"/>
    <w:rsid w:val="008F69D6"/>
    <w:rsid w:val="00901F6B"/>
    <w:rsid w:val="00902823"/>
    <w:rsid w:val="00915CA6"/>
    <w:rsid w:val="00926E6E"/>
    <w:rsid w:val="00927834"/>
    <w:rsid w:val="009500A6"/>
    <w:rsid w:val="00957C18"/>
    <w:rsid w:val="009659BA"/>
    <w:rsid w:val="00972AB8"/>
    <w:rsid w:val="00983040"/>
    <w:rsid w:val="009968E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812"/>
    <w:rsid w:val="00A51431"/>
    <w:rsid w:val="00A539AD"/>
    <w:rsid w:val="00A94063"/>
    <w:rsid w:val="00AA6219"/>
    <w:rsid w:val="00AA74E0"/>
    <w:rsid w:val="00AB57B9"/>
    <w:rsid w:val="00AB703F"/>
    <w:rsid w:val="00AC4EB8"/>
    <w:rsid w:val="00AC6BB8"/>
    <w:rsid w:val="00AD4990"/>
    <w:rsid w:val="00AE008F"/>
    <w:rsid w:val="00B01FCD"/>
    <w:rsid w:val="00B024B3"/>
    <w:rsid w:val="00B1776C"/>
    <w:rsid w:val="00B26A56"/>
    <w:rsid w:val="00B3134C"/>
    <w:rsid w:val="00B46BCC"/>
    <w:rsid w:val="00B52583"/>
    <w:rsid w:val="00B52896"/>
    <w:rsid w:val="00B52920"/>
    <w:rsid w:val="00B75519"/>
    <w:rsid w:val="00B95236"/>
    <w:rsid w:val="00B96BD9"/>
    <w:rsid w:val="00BA1A8A"/>
    <w:rsid w:val="00BA1B01"/>
    <w:rsid w:val="00BA2641"/>
    <w:rsid w:val="00BB37AA"/>
    <w:rsid w:val="00BC53A0"/>
    <w:rsid w:val="00BD2DF6"/>
    <w:rsid w:val="00BE62AD"/>
    <w:rsid w:val="00BF121F"/>
    <w:rsid w:val="00BF1F80"/>
    <w:rsid w:val="00C16643"/>
    <w:rsid w:val="00C166EF"/>
    <w:rsid w:val="00C17EB0"/>
    <w:rsid w:val="00C26122"/>
    <w:rsid w:val="00C27F5F"/>
    <w:rsid w:val="00C30A0F"/>
    <w:rsid w:val="00C332D9"/>
    <w:rsid w:val="00C37E61"/>
    <w:rsid w:val="00C508D7"/>
    <w:rsid w:val="00C560EA"/>
    <w:rsid w:val="00C70F1B"/>
    <w:rsid w:val="00C71A47"/>
    <w:rsid w:val="00C7464C"/>
    <w:rsid w:val="00C81901"/>
    <w:rsid w:val="00C85588"/>
    <w:rsid w:val="00C94972"/>
    <w:rsid w:val="00CD312E"/>
    <w:rsid w:val="00CD6755"/>
    <w:rsid w:val="00CD6856"/>
    <w:rsid w:val="00CE0089"/>
    <w:rsid w:val="00CE793C"/>
    <w:rsid w:val="00CF193C"/>
    <w:rsid w:val="00CF611E"/>
    <w:rsid w:val="00D011EF"/>
    <w:rsid w:val="00D1214A"/>
    <w:rsid w:val="00D173F1"/>
    <w:rsid w:val="00D50341"/>
    <w:rsid w:val="00D73E3F"/>
    <w:rsid w:val="00D74CB0"/>
    <w:rsid w:val="00D76241"/>
    <w:rsid w:val="00D8295D"/>
    <w:rsid w:val="00DC2A65"/>
    <w:rsid w:val="00DE15F0"/>
    <w:rsid w:val="00DE21B7"/>
    <w:rsid w:val="00DE5663"/>
    <w:rsid w:val="00DE78AA"/>
    <w:rsid w:val="00E053D0"/>
    <w:rsid w:val="00E07940"/>
    <w:rsid w:val="00E13287"/>
    <w:rsid w:val="00E15994"/>
    <w:rsid w:val="00E3114E"/>
    <w:rsid w:val="00E31A70"/>
    <w:rsid w:val="00E35B02"/>
    <w:rsid w:val="00E66496"/>
    <w:rsid w:val="00E66B35"/>
    <w:rsid w:val="00E66E10"/>
    <w:rsid w:val="00E734E0"/>
    <w:rsid w:val="00E769F6"/>
    <w:rsid w:val="00E8407C"/>
    <w:rsid w:val="00E84F3C"/>
    <w:rsid w:val="00EA012C"/>
    <w:rsid w:val="00EC6A55"/>
    <w:rsid w:val="00ED0288"/>
    <w:rsid w:val="00ED7B56"/>
    <w:rsid w:val="00EE37BB"/>
    <w:rsid w:val="00EE52CB"/>
    <w:rsid w:val="00EF4401"/>
    <w:rsid w:val="00EF4403"/>
    <w:rsid w:val="00EF581D"/>
    <w:rsid w:val="00EF7FD8"/>
    <w:rsid w:val="00F06F59"/>
    <w:rsid w:val="00F17988"/>
    <w:rsid w:val="00F469F0"/>
    <w:rsid w:val="00F470F9"/>
    <w:rsid w:val="00F53273"/>
    <w:rsid w:val="00F712D8"/>
    <w:rsid w:val="00F755E4"/>
    <w:rsid w:val="00F77D02"/>
    <w:rsid w:val="00F87D2D"/>
    <w:rsid w:val="00FA2E0D"/>
    <w:rsid w:val="00FB3A86"/>
    <w:rsid w:val="00FB6290"/>
    <w:rsid w:val="00FB6B67"/>
    <w:rsid w:val="00FD36C8"/>
    <w:rsid w:val="00FD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9"/>
        <o:r id="V:Rule2" type="connector" idref="#_x0000_s1077"/>
        <o:r id="V:Rule3" type="connector" idref="#_x0000_s1078"/>
      </o:rules>
    </o:shapelayout>
  </w:shapeDefaults>
  <w:decimalSymbol w:val="."/>
  <w:listSeparator w:val=","/>
  <w14:docId w14:val="3F891E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4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CF61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semiHidden/>
    <w:rsid w:val="00CF611E"/>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2E4906"/>
    <w:pPr>
      <w:spacing w:after="200" w:line="276" w:lineRule="auto"/>
      <w:ind w:left="720"/>
      <w:contextualSpacing/>
    </w:pPr>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39">
      <w:bodyDiv w:val="1"/>
      <w:marLeft w:val="0"/>
      <w:marRight w:val="0"/>
      <w:marTop w:val="0"/>
      <w:marBottom w:val="0"/>
      <w:divBdr>
        <w:top w:val="none" w:sz="0" w:space="0" w:color="auto"/>
        <w:left w:val="none" w:sz="0" w:space="0" w:color="auto"/>
        <w:bottom w:val="none" w:sz="0" w:space="0" w:color="auto"/>
        <w:right w:val="none" w:sz="0" w:space="0" w:color="auto"/>
      </w:divBdr>
      <w:divsChild>
        <w:div w:id="949047799">
          <w:marLeft w:val="0"/>
          <w:marRight w:val="0"/>
          <w:marTop w:val="0"/>
          <w:marBottom w:val="0"/>
          <w:divBdr>
            <w:top w:val="none" w:sz="0" w:space="0" w:color="auto"/>
            <w:left w:val="none" w:sz="0" w:space="0" w:color="auto"/>
            <w:bottom w:val="none" w:sz="0" w:space="0" w:color="auto"/>
            <w:right w:val="none" w:sz="0" w:space="0" w:color="auto"/>
          </w:divBdr>
          <w:divsChild>
            <w:div w:id="18826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72317">
      <w:bodyDiv w:val="1"/>
      <w:marLeft w:val="0"/>
      <w:marRight w:val="0"/>
      <w:marTop w:val="0"/>
      <w:marBottom w:val="0"/>
      <w:divBdr>
        <w:top w:val="none" w:sz="0" w:space="0" w:color="auto"/>
        <w:left w:val="none" w:sz="0" w:space="0" w:color="auto"/>
        <w:bottom w:val="none" w:sz="0" w:space="0" w:color="auto"/>
        <w:right w:val="none" w:sz="0" w:space="0" w:color="auto"/>
      </w:divBdr>
      <w:divsChild>
        <w:div w:id="134296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95318">
      <w:bodyDiv w:val="1"/>
      <w:marLeft w:val="0"/>
      <w:marRight w:val="0"/>
      <w:marTop w:val="0"/>
      <w:marBottom w:val="0"/>
      <w:divBdr>
        <w:top w:val="none" w:sz="0" w:space="0" w:color="auto"/>
        <w:left w:val="none" w:sz="0" w:space="0" w:color="auto"/>
        <w:bottom w:val="none" w:sz="0" w:space="0" w:color="auto"/>
        <w:right w:val="none" w:sz="0" w:space="0" w:color="auto"/>
      </w:divBdr>
    </w:div>
    <w:div w:id="144441910">
      <w:bodyDiv w:val="1"/>
      <w:marLeft w:val="0"/>
      <w:marRight w:val="0"/>
      <w:marTop w:val="0"/>
      <w:marBottom w:val="0"/>
      <w:divBdr>
        <w:top w:val="none" w:sz="0" w:space="0" w:color="auto"/>
        <w:left w:val="none" w:sz="0" w:space="0" w:color="auto"/>
        <w:bottom w:val="none" w:sz="0" w:space="0" w:color="auto"/>
        <w:right w:val="none" w:sz="0" w:space="0" w:color="auto"/>
      </w:divBdr>
      <w:divsChild>
        <w:div w:id="1808815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4085926">
      <w:bodyDiv w:val="1"/>
      <w:marLeft w:val="0"/>
      <w:marRight w:val="0"/>
      <w:marTop w:val="0"/>
      <w:marBottom w:val="0"/>
      <w:divBdr>
        <w:top w:val="none" w:sz="0" w:space="0" w:color="auto"/>
        <w:left w:val="none" w:sz="0" w:space="0" w:color="auto"/>
        <w:bottom w:val="none" w:sz="0" w:space="0" w:color="auto"/>
        <w:right w:val="none" w:sz="0" w:space="0" w:color="auto"/>
      </w:divBdr>
    </w:div>
    <w:div w:id="475948485">
      <w:bodyDiv w:val="1"/>
      <w:marLeft w:val="0"/>
      <w:marRight w:val="0"/>
      <w:marTop w:val="0"/>
      <w:marBottom w:val="0"/>
      <w:divBdr>
        <w:top w:val="none" w:sz="0" w:space="0" w:color="auto"/>
        <w:left w:val="none" w:sz="0" w:space="0" w:color="auto"/>
        <w:bottom w:val="none" w:sz="0" w:space="0" w:color="auto"/>
        <w:right w:val="none" w:sz="0" w:space="0" w:color="auto"/>
      </w:divBdr>
    </w:div>
    <w:div w:id="551964367">
      <w:bodyDiv w:val="1"/>
      <w:marLeft w:val="0"/>
      <w:marRight w:val="0"/>
      <w:marTop w:val="0"/>
      <w:marBottom w:val="0"/>
      <w:divBdr>
        <w:top w:val="none" w:sz="0" w:space="0" w:color="auto"/>
        <w:left w:val="none" w:sz="0" w:space="0" w:color="auto"/>
        <w:bottom w:val="none" w:sz="0" w:space="0" w:color="auto"/>
        <w:right w:val="none" w:sz="0" w:space="0" w:color="auto"/>
      </w:divBdr>
      <w:divsChild>
        <w:div w:id="319425140">
          <w:marLeft w:val="0"/>
          <w:marRight w:val="0"/>
          <w:marTop w:val="0"/>
          <w:marBottom w:val="0"/>
          <w:divBdr>
            <w:top w:val="none" w:sz="0" w:space="0" w:color="auto"/>
            <w:left w:val="none" w:sz="0" w:space="0" w:color="auto"/>
            <w:bottom w:val="none" w:sz="0" w:space="0" w:color="auto"/>
            <w:right w:val="none" w:sz="0" w:space="0" w:color="auto"/>
          </w:divBdr>
          <w:divsChild>
            <w:div w:id="573013091">
              <w:marLeft w:val="0"/>
              <w:marRight w:val="0"/>
              <w:marTop w:val="0"/>
              <w:marBottom w:val="0"/>
              <w:divBdr>
                <w:top w:val="none" w:sz="0" w:space="0" w:color="auto"/>
                <w:left w:val="none" w:sz="0" w:space="0" w:color="auto"/>
                <w:bottom w:val="none" w:sz="0" w:space="0" w:color="auto"/>
                <w:right w:val="none" w:sz="0" w:space="0" w:color="auto"/>
              </w:divBdr>
            </w:div>
          </w:divsChild>
        </w:div>
        <w:div w:id="972254630">
          <w:marLeft w:val="0"/>
          <w:marRight w:val="0"/>
          <w:marTop w:val="0"/>
          <w:marBottom w:val="0"/>
          <w:divBdr>
            <w:top w:val="none" w:sz="0" w:space="0" w:color="auto"/>
            <w:left w:val="none" w:sz="0" w:space="0" w:color="auto"/>
            <w:bottom w:val="none" w:sz="0" w:space="0" w:color="auto"/>
            <w:right w:val="none" w:sz="0" w:space="0" w:color="auto"/>
          </w:divBdr>
          <w:divsChild>
            <w:div w:id="1648246376">
              <w:marLeft w:val="0"/>
              <w:marRight w:val="0"/>
              <w:marTop w:val="0"/>
              <w:marBottom w:val="0"/>
              <w:divBdr>
                <w:top w:val="none" w:sz="0" w:space="0" w:color="auto"/>
                <w:left w:val="none" w:sz="0" w:space="0" w:color="auto"/>
                <w:bottom w:val="none" w:sz="0" w:space="0" w:color="auto"/>
                <w:right w:val="none" w:sz="0" w:space="0" w:color="auto"/>
              </w:divBdr>
            </w:div>
          </w:divsChild>
        </w:div>
        <w:div w:id="663123232">
          <w:marLeft w:val="0"/>
          <w:marRight w:val="0"/>
          <w:marTop w:val="0"/>
          <w:marBottom w:val="0"/>
          <w:divBdr>
            <w:top w:val="none" w:sz="0" w:space="0" w:color="auto"/>
            <w:left w:val="none" w:sz="0" w:space="0" w:color="auto"/>
            <w:bottom w:val="none" w:sz="0" w:space="0" w:color="auto"/>
            <w:right w:val="none" w:sz="0" w:space="0" w:color="auto"/>
          </w:divBdr>
          <w:divsChild>
            <w:div w:id="1659113821">
              <w:marLeft w:val="0"/>
              <w:marRight w:val="0"/>
              <w:marTop w:val="0"/>
              <w:marBottom w:val="0"/>
              <w:divBdr>
                <w:top w:val="none" w:sz="0" w:space="0" w:color="auto"/>
                <w:left w:val="none" w:sz="0" w:space="0" w:color="auto"/>
                <w:bottom w:val="none" w:sz="0" w:space="0" w:color="auto"/>
                <w:right w:val="none" w:sz="0" w:space="0" w:color="auto"/>
              </w:divBdr>
            </w:div>
          </w:divsChild>
        </w:div>
        <w:div w:id="356472315">
          <w:marLeft w:val="0"/>
          <w:marRight w:val="0"/>
          <w:marTop w:val="0"/>
          <w:marBottom w:val="0"/>
          <w:divBdr>
            <w:top w:val="none" w:sz="0" w:space="0" w:color="auto"/>
            <w:left w:val="none" w:sz="0" w:space="0" w:color="auto"/>
            <w:bottom w:val="none" w:sz="0" w:space="0" w:color="auto"/>
            <w:right w:val="none" w:sz="0" w:space="0" w:color="auto"/>
          </w:divBdr>
          <w:divsChild>
            <w:div w:id="16592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496188">
      <w:bodyDiv w:val="1"/>
      <w:marLeft w:val="0"/>
      <w:marRight w:val="0"/>
      <w:marTop w:val="0"/>
      <w:marBottom w:val="0"/>
      <w:divBdr>
        <w:top w:val="none" w:sz="0" w:space="0" w:color="auto"/>
        <w:left w:val="none" w:sz="0" w:space="0" w:color="auto"/>
        <w:bottom w:val="none" w:sz="0" w:space="0" w:color="auto"/>
        <w:right w:val="none" w:sz="0" w:space="0" w:color="auto"/>
      </w:divBdr>
    </w:div>
    <w:div w:id="710493954">
      <w:bodyDiv w:val="1"/>
      <w:marLeft w:val="0"/>
      <w:marRight w:val="0"/>
      <w:marTop w:val="0"/>
      <w:marBottom w:val="0"/>
      <w:divBdr>
        <w:top w:val="none" w:sz="0" w:space="0" w:color="auto"/>
        <w:left w:val="none" w:sz="0" w:space="0" w:color="auto"/>
        <w:bottom w:val="none" w:sz="0" w:space="0" w:color="auto"/>
        <w:right w:val="none" w:sz="0" w:space="0" w:color="auto"/>
      </w:divBdr>
    </w:div>
    <w:div w:id="732193625">
      <w:bodyDiv w:val="1"/>
      <w:marLeft w:val="0"/>
      <w:marRight w:val="0"/>
      <w:marTop w:val="0"/>
      <w:marBottom w:val="0"/>
      <w:divBdr>
        <w:top w:val="none" w:sz="0" w:space="0" w:color="auto"/>
        <w:left w:val="none" w:sz="0" w:space="0" w:color="auto"/>
        <w:bottom w:val="none" w:sz="0" w:space="0" w:color="auto"/>
        <w:right w:val="none" w:sz="0" w:space="0" w:color="auto"/>
      </w:divBdr>
      <w:divsChild>
        <w:div w:id="1927110167">
          <w:marLeft w:val="0"/>
          <w:marRight w:val="0"/>
          <w:marTop w:val="0"/>
          <w:marBottom w:val="0"/>
          <w:divBdr>
            <w:top w:val="none" w:sz="0" w:space="0" w:color="auto"/>
            <w:left w:val="none" w:sz="0" w:space="0" w:color="auto"/>
            <w:bottom w:val="none" w:sz="0" w:space="0" w:color="auto"/>
            <w:right w:val="none" w:sz="0" w:space="0" w:color="auto"/>
          </w:divBdr>
          <w:divsChild>
            <w:div w:id="86773857">
              <w:marLeft w:val="0"/>
              <w:marRight w:val="0"/>
              <w:marTop w:val="0"/>
              <w:marBottom w:val="0"/>
              <w:divBdr>
                <w:top w:val="none" w:sz="0" w:space="0" w:color="auto"/>
                <w:left w:val="none" w:sz="0" w:space="0" w:color="auto"/>
                <w:bottom w:val="none" w:sz="0" w:space="0" w:color="auto"/>
                <w:right w:val="none" w:sz="0" w:space="0" w:color="auto"/>
              </w:divBdr>
            </w:div>
          </w:divsChild>
        </w:div>
        <w:div w:id="1396469481">
          <w:marLeft w:val="0"/>
          <w:marRight w:val="0"/>
          <w:marTop w:val="0"/>
          <w:marBottom w:val="0"/>
          <w:divBdr>
            <w:top w:val="none" w:sz="0" w:space="0" w:color="auto"/>
            <w:left w:val="none" w:sz="0" w:space="0" w:color="auto"/>
            <w:bottom w:val="none" w:sz="0" w:space="0" w:color="auto"/>
            <w:right w:val="none" w:sz="0" w:space="0" w:color="auto"/>
          </w:divBdr>
          <w:divsChild>
            <w:div w:id="356004659">
              <w:marLeft w:val="0"/>
              <w:marRight w:val="0"/>
              <w:marTop w:val="0"/>
              <w:marBottom w:val="0"/>
              <w:divBdr>
                <w:top w:val="none" w:sz="0" w:space="0" w:color="auto"/>
                <w:left w:val="none" w:sz="0" w:space="0" w:color="auto"/>
                <w:bottom w:val="none" w:sz="0" w:space="0" w:color="auto"/>
                <w:right w:val="none" w:sz="0" w:space="0" w:color="auto"/>
              </w:divBdr>
            </w:div>
          </w:divsChild>
        </w:div>
        <w:div w:id="1493450003">
          <w:marLeft w:val="0"/>
          <w:marRight w:val="0"/>
          <w:marTop w:val="0"/>
          <w:marBottom w:val="0"/>
          <w:divBdr>
            <w:top w:val="none" w:sz="0" w:space="0" w:color="auto"/>
            <w:left w:val="none" w:sz="0" w:space="0" w:color="auto"/>
            <w:bottom w:val="none" w:sz="0" w:space="0" w:color="auto"/>
            <w:right w:val="none" w:sz="0" w:space="0" w:color="auto"/>
          </w:divBdr>
          <w:divsChild>
            <w:div w:id="1398552649">
              <w:marLeft w:val="0"/>
              <w:marRight w:val="0"/>
              <w:marTop w:val="0"/>
              <w:marBottom w:val="0"/>
              <w:divBdr>
                <w:top w:val="none" w:sz="0" w:space="0" w:color="auto"/>
                <w:left w:val="none" w:sz="0" w:space="0" w:color="auto"/>
                <w:bottom w:val="none" w:sz="0" w:space="0" w:color="auto"/>
                <w:right w:val="none" w:sz="0" w:space="0" w:color="auto"/>
              </w:divBdr>
            </w:div>
          </w:divsChild>
        </w:div>
        <w:div w:id="485128869">
          <w:marLeft w:val="0"/>
          <w:marRight w:val="0"/>
          <w:marTop w:val="0"/>
          <w:marBottom w:val="0"/>
          <w:divBdr>
            <w:top w:val="none" w:sz="0" w:space="0" w:color="auto"/>
            <w:left w:val="none" w:sz="0" w:space="0" w:color="auto"/>
            <w:bottom w:val="none" w:sz="0" w:space="0" w:color="auto"/>
            <w:right w:val="none" w:sz="0" w:space="0" w:color="auto"/>
          </w:divBdr>
          <w:divsChild>
            <w:div w:id="1893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863">
      <w:bodyDiv w:val="1"/>
      <w:marLeft w:val="0"/>
      <w:marRight w:val="0"/>
      <w:marTop w:val="0"/>
      <w:marBottom w:val="0"/>
      <w:divBdr>
        <w:top w:val="none" w:sz="0" w:space="0" w:color="auto"/>
        <w:left w:val="none" w:sz="0" w:space="0" w:color="auto"/>
        <w:bottom w:val="none" w:sz="0" w:space="0" w:color="auto"/>
        <w:right w:val="none" w:sz="0" w:space="0" w:color="auto"/>
      </w:divBdr>
    </w:div>
    <w:div w:id="901407395">
      <w:bodyDiv w:val="1"/>
      <w:marLeft w:val="0"/>
      <w:marRight w:val="0"/>
      <w:marTop w:val="0"/>
      <w:marBottom w:val="0"/>
      <w:divBdr>
        <w:top w:val="none" w:sz="0" w:space="0" w:color="auto"/>
        <w:left w:val="none" w:sz="0" w:space="0" w:color="auto"/>
        <w:bottom w:val="none" w:sz="0" w:space="0" w:color="auto"/>
        <w:right w:val="none" w:sz="0" w:space="0" w:color="auto"/>
      </w:divBdr>
    </w:div>
    <w:div w:id="926572347">
      <w:bodyDiv w:val="1"/>
      <w:marLeft w:val="0"/>
      <w:marRight w:val="0"/>
      <w:marTop w:val="0"/>
      <w:marBottom w:val="0"/>
      <w:divBdr>
        <w:top w:val="none" w:sz="0" w:space="0" w:color="auto"/>
        <w:left w:val="none" w:sz="0" w:space="0" w:color="auto"/>
        <w:bottom w:val="none" w:sz="0" w:space="0" w:color="auto"/>
        <w:right w:val="none" w:sz="0" w:space="0" w:color="auto"/>
      </w:divBdr>
      <w:divsChild>
        <w:div w:id="1222592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63013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189542">
      <w:bodyDiv w:val="1"/>
      <w:marLeft w:val="0"/>
      <w:marRight w:val="0"/>
      <w:marTop w:val="0"/>
      <w:marBottom w:val="0"/>
      <w:divBdr>
        <w:top w:val="none" w:sz="0" w:space="0" w:color="auto"/>
        <w:left w:val="none" w:sz="0" w:space="0" w:color="auto"/>
        <w:bottom w:val="none" w:sz="0" w:space="0" w:color="auto"/>
        <w:right w:val="none" w:sz="0" w:space="0" w:color="auto"/>
      </w:divBdr>
    </w:div>
    <w:div w:id="1257666357">
      <w:bodyDiv w:val="1"/>
      <w:marLeft w:val="0"/>
      <w:marRight w:val="0"/>
      <w:marTop w:val="0"/>
      <w:marBottom w:val="0"/>
      <w:divBdr>
        <w:top w:val="none" w:sz="0" w:space="0" w:color="auto"/>
        <w:left w:val="none" w:sz="0" w:space="0" w:color="auto"/>
        <w:bottom w:val="none" w:sz="0" w:space="0" w:color="auto"/>
        <w:right w:val="none" w:sz="0" w:space="0" w:color="auto"/>
      </w:divBdr>
    </w:div>
    <w:div w:id="1317489432">
      <w:bodyDiv w:val="1"/>
      <w:marLeft w:val="0"/>
      <w:marRight w:val="0"/>
      <w:marTop w:val="0"/>
      <w:marBottom w:val="0"/>
      <w:divBdr>
        <w:top w:val="none" w:sz="0" w:space="0" w:color="auto"/>
        <w:left w:val="none" w:sz="0" w:space="0" w:color="auto"/>
        <w:bottom w:val="none" w:sz="0" w:space="0" w:color="auto"/>
        <w:right w:val="none" w:sz="0" w:space="0" w:color="auto"/>
      </w:divBdr>
      <w:divsChild>
        <w:div w:id="228855591">
          <w:marLeft w:val="0"/>
          <w:marRight w:val="0"/>
          <w:marTop w:val="0"/>
          <w:marBottom w:val="0"/>
          <w:divBdr>
            <w:top w:val="none" w:sz="0" w:space="0" w:color="auto"/>
            <w:left w:val="none" w:sz="0" w:space="0" w:color="auto"/>
            <w:bottom w:val="none" w:sz="0" w:space="0" w:color="auto"/>
            <w:right w:val="none" w:sz="0" w:space="0" w:color="auto"/>
          </w:divBdr>
          <w:divsChild>
            <w:div w:id="1349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7468">
      <w:bodyDiv w:val="1"/>
      <w:marLeft w:val="0"/>
      <w:marRight w:val="0"/>
      <w:marTop w:val="0"/>
      <w:marBottom w:val="0"/>
      <w:divBdr>
        <w:top w:val="none" w:sz="0" w:space="0" w:color="auto"/>
        <w:left w:val="none" w:sz="0" w:space="0" w:color="auto"/>
        <w:bottom w:val="none" w:sz="0" w:space="0" w:color="auto"/>
        <w:right w:val="none" w:sz="0" w:space="0" w:color="auto"/>
      </w:divBdr>
    </w:div>
    <w:div w:id="1447041263">
      <w:bodyDiv w:val="1"/>
      <w:marLeft w:val="0"/>
      <w:marRight w:val="0"/>
      <w:marTop w:val="0"/>
      <w:marBottom w:val="0"/>
      <w:divBdr>
        <w:top w:val="none" w:sz="0" w:space="0" w:color="auto"/>
        <w:left w:val="none" w:sz="0" w:space="0" w:color="auto"/>
        <w:bottom w:val="none" w:sz="0" w:space="0" w:color="auto"/>
        <w:right w:val="none" w:sz="0" w:space="0" w:color="auto"/>
      </w:divBdr>
      <w:divsChild>
        <w:div w:id="1144352067">
          <w:marLeft w:val="0"/>
          <w:marRight w:val="0"/>
          <w:marTop w:val="0"/>
          <w:marBottom w:val="0"/>
          <w:divBdr>
            <w:top w:val="none" w:sz="0" w:space="0" w:color="auto"/>
            <w:left w:val="none" w:sz="0" w:space="0" w:color="auto"/>
            <w:bottom w:val="none" w:sz="0" w:space="0" w:color="auto"/>
            <w:right w:val="none" w:sz="0" w:space="0" w:color="auto"/>
          </w:divBdr>
          <w:divsChild>
            <w:div w:id="229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56">
      <w:bodyDiv w:val="1"/>
      <w:marLeft w:val="0"/>
      <w:marRight w:val="0"/>
      <w:marTop w:val="0"/>
      <w:marBottom w:val="0"/>
      <w:divBdr>
        <w:top w:val="none" w:sz="0" w:space="0" w:color="auto"/>
        <w:left w:val="none" w:sz="0" w:space="0" w:color="auto"/>
        <w:bottom w:val="none" w:sz="0" w:space="0" w:color="auto"/>
        <w:right w:val="none" w:sz="0" w:space="0" w:color="auto"/>
      </w:divBdr>
    </w:div>
    <w:div w:id="1539005862">
      <w:bodyDiv w:val="1"/>
      <w:marLeft w:val="0"/>
      <w:marRight w:val="0"/>
      <w:marTop w:val="0"/>
      <w:marBottom w:val="0"/>
      <w:divBdr>
        <w:top w:val="none" w:sz="0" w:space="0" w:color="auto"/>
        <w:left w:val="none" w:sz="0" w:space="0" w:color="auto"/>
        <w:bottom w:val="none" w:sz="0" w:space="0" w:color="auto"/>
        <w:right w:val="none" w:sz="0" w:space="0" w:color="auto"/>
      </w:divBdr>
    </w:div>
    <w:div w:id="1544245378">
      <w:bodyDiv w:val="1"/>
      <w:marLeft w:val="0"/>
      <w:marRight w:val="0"/>
      <w:marTop w:val="0"/>
      <w:marBottom w:val="0"/>
      <w:divBdr>
        <w:top w:val="none" w:sz="0" w:space="0" w:color="auto"/>
        <w:left w:val="none" w:sz="0" w:space="0" w:color="auto"/>
        <w:bottom w:val="none" w:sz="0" w:space="0" w:color="auto"/>
        <w:right w:val="none" w:sz="0" w:space="0" w:color="auto"/>
      </w:divBdr>
      <w:divsChild>
        <w:div w:id="854463555">
          <w:marLeft w:val="0"/>
          <w:marRight w:val="0"/>
          <w:marTop w:val="0"/>
          <w:marBottom w:val="0"/>
          <w:divBdr>
            <w:top w:val="none" w:sz="0" w:space="0" w:color="auto"/>
            <w:left w:val="none" w:sz="0" w:space="0" w:color="auto"/>
            <w:bottom w:val="none" w:sz="0" w:space="0" w:color="auto"/>
            <w:right w:val="none" w:sz="0" w:space="0" w:color="auto"/>
          </w:divBdr>
          <w:divsChild>
            <w:div w:id="293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1942">
      <w:bodyDiv w:val="1"/>
      <w:marLeft w:val="0"/>
      <w:marRight w:val="0"/>
      <w:marTop w:val="0"/>
      <w:marBottom w:val="0"/>
      <w:divBdr>
        <w:top w:val="none" w:sz="0" w:space="0" w:color="auto"/>
        <w:left w:val="none" w:sz="0" w:space="0" w:color="auto"/>
        <w:bottom w:val="none" w:sz="0" w:space="0" w:color="auto"/>
        <w:right w:val="none" w:sz="0" w:space="0" w:color="auto"/>
      </w:divBdr>
      <w:divsChild>
        <w:div w:id="773405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923785">
      <w:bodyDiv w:val="1"/>
      <w:marLeft w:val="0"/>
      <w:marRight w:val="0"/>
      <w:marTop w:val="0"/>
      <w:marBottom w:val="0"/>
      <w:divBdr>
        <w:top w:val="none" w:sz="0" w:space="0" w:color="auto"/>
        <w:left w:val="none" w:sz="0" w:space="0" w:color="auto"/>
        <w:bottom w:val="none" w:sz="0" w:space="0" w:color="auto"/>
        <w:right w:val="none" w:sz="0" w:space="0" w:color="auto"/>
      </w:divBdr>
    </w:div>
    <w:div w:id="190201156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3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4103/jpcs.jpcs_62_19" TargetMode="External"/><Relationship Id="rId18" Type="http://schemas.openxmlformats.org/officeDocument/2006/relationships/hyperlink" Target="https://doi.org/10.1037/0003-066X.34.10.906" TargetMode="External"/><Relationship Id="rId26" Type="http://schemas.openxmlformats.org/officeDocument/2006/relationships/hyperlink" Target="https://doi.org/10.26858/ijole.v6i2.22065" TargetMode="External"/><Relationship Id="rId3" Type="http://schemas.openxmlformats.org/officeDocument/2006/relationships/styles" Target="styles.xml"/><Relationship Id="rId21" Type="http://schemas.openxmlformats.org/officeDocument/2006/relationships/hyperlink" Target="https://doi.org/10.14662/IJELC2020.085" TargetMode="External"/><Relationship Id="rId7" Type="http://schemas.openxmlformats.org/officeDocument/2006/relationships/endnotes" Target="endnotes.xml"/><Relationship Id="rId12" Type="http://schemas.openxmlformats.org/officeDocument/2006/relationships/hyperlink" Target="https://doi.org/10.1080/00405840802577544" TargetMode="External"/><Relationship Id="rId17" Type="http://schemas.openxmlformats.org/officeDocument/2006/relationships/hyperlink" Target="https://doi.org/10.24256/ideas.v10i1.2708" TargetMode="External"/><Relationship Id="rId25" Type="http://schemas.openxmlformats.org/officeDocument/2006/relationships/hyperlink" Target="https://doi.org/10.36892/ijlls.v2i3.330" TargetMode="External"/><Relationship Id="rId2" Type="http://schemas.openxmlformats.org/officeDocument/2006/relationships/numbering" Target="numbering.xml"/><Relationship Id="rId16" Type="http://schemas.openxmlformats.org/officeDocument/2006/relationships/hyperlink" Target="https://doi.org/10.3390/educsci11120795" TargetMode="External"/><Relationship Id="rId20" Type="http://schemas.openxmlformats.org/officeDocument/2006/relationships/hyperlink" Target="https://doi.org/10.12973/eu-jer.10.1.39" TargetMode="External"/><Relationship Id="rId29" Type="http://schemas.openxmlformats.org/officeDocument/2006/relationships/hyperlink" Target="https://doi.org/10.3390/su142214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heliyon.2024.e36394" TargetMode="External"/><Relationship Id="rId24" Type="http://schemas.openxmlformats.org/officeDocument/2006/relationships/hyperlink" Target="https://files.eric.ed.gov/fulltext/EJ1247221.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512/lc.v12i3.4064" TargetMode="External"/><Relationship Id="rId23" Type="http://schemas.openxmlformats.org/officeDocument/2006/relationships/hyperlink" Target="https://doi.org/10.11594/ijmaber.02.09.15" TargetMode="External"/><Relationship Id="rId28" Type="http://schemas.openxmlformats.org/officeDocument/2006/relationships/hyperlink" Target="https://doi.org/10.3390/su132111655" TargetMode="External"/><Relationship Id="rId10" Type="http://schemas.openxmlformats.org/officeDocument/2006/relationships/footer" Target="footer2.xml"/><Relationship Id="rId19" Type="http://schemas.openxmlformats.org/officeDocument/2006/relationships/hyperlink" Target="https://doi.org/10.47191/ijmra/v6-i8-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978-981-13-6998-8_13" TargetMode="External"/><Relationship Id="rId22" Type="http://schemas.openxmlformats.org/officeDocument/2006/relationships/hyperlink" Target="https://doi.org/10.24093/awej/vol11no3.33" TargetMode="External"/><Relationship Id="rId27" Type="http://schemas.openxmlformats.org/officeDocument/2006/relationships/hyperlink" Target="https://doi.org/10.25073/2525-2445/vnufs.4672" TargetMode="Externa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F377-BB2D-4C6F-BD1C-6E4F249D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581</TotalTime>
  <Pages>8</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50</cp:revision>
  <cp:lastPrinted>1999-07-06T11:00:00Z</cp:lastPrinted>
  <dcterms:created xsi:type="dcterms:W3CDTF">2014-10-25T14:34:00Z</dcterms:created>
  <dcterms:modified xsi:type="dcterms:W3CDTF">2025-04-25T08:47:00Z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1940ddad30b27c664403562105ce1cfa5b60fa343a7371d209dd9b0151207dfe</vt:lpwstr>
  </property>
</Properties>
</file>