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3CBE7" w14:textId="77777777" w:rsidR="00382604" w:rsidRDefault="00F91166">
      <w:pPr>
        <w:jc w:val="right"/>
        <w:rPr>
          <w:rFonts w:ascii="Arial" w:eastAsia="Arial" w:hAnsi="Arial" w:cs="Arial"/>
          <w:b/>
          <w:color w:val="000000"/>
          <w:sz w:val="36"/>
          <w:szCs w:val="36"/>
        </w:rPr>
      </w:pPr>
      <w:r>
        <w:rPr>
          <w:rFonts w:ascii="Arial" w:eastAsia="Arial" w:hAnsi="Arial" w:cs="Arial"/>
          <w:b/>
          <w:color w:val="000000"/>
          <w:sz w:val="36"/>
          <w:szCs w:val="36"/>
          <w:highlight w:val="cyan"/>
        </w:rPr>
        <w:t xml:space="preserve">An Exploratory Study on the Correlation </w:t>
      </w:r>
      <w:r>
        <w:rPr>
          <w:rFonts w:ascii="Arial" w:eastAsia="Arial" w:hAnsi="Arial" w:cs="Arial"/>
          <w:b/>
          <w:sz w:val="36"/>
          <w:szCs w:val="36"/>
          <w:highlight w:val="cyan"/>
        </w:rPr>
        <w:t>B</w:t>
      </w:r>
      <w:r>
        <w:rPr>
          <w:rFonts w:ascii="Arial" w:eastAsia="Arial" w:hAnsi="Arial" w:cs="Arial"/>
          <w:b/>
          <w:color w:val="000000"/>
          <w:sz w:val="36"/>
          <w:szCs w:val="36"/>
          <w:highlight w:val="cyan"/>
        </w:rPr>
        <w:t>etween Motivation, Self-esteem, and Filipino Language Proficiency of Junior High School Students</w:t>
      </w:r>
      <w:r>
        <w:rPr>
          <w:rFonts w:ascii="Arial" w:eastAsia="Arial" w:hAnsi="Arial" w:cs="Arial"/>
          <w:b/>
          <w:color w:val="000000"/>
          <w:sz w:val="36"/>
          <w:szCs w:val="36"/>
        </w:rPr>
        <w:t xml:space="preserve"> </w:t>
      </w:r>
    </w:p>
    <w:p w14:paraId="5D621A48" w14:textId="77777777" w:rsidR="00382604" w:rsidRDefault="00382604">
      <w:pPr>
        <w:jc w:val="both"/>
        <w:rPr>
          <w:rFonts w:ascii="Arial" w:eastAsia="Arial" w:hAnsi="Arial" w:cs="Arial"/>
          <w:b/>
          <w:color w:val="000000"/>
          <w:sz w:val="24"/>
          <w:szCs w:val="24"/>
        </w:rPr>
      </w:pPr>
    </w:p>
    <w:p w14:paraId="1797334C" w14:textId="77777777" w:rsidR="00382604" w:rsidRDefault="00F91166">
      <w:pPr>
        <w:jc w:val="both"/>
        <w:rPr>
          <w:rFonts w:ascii="Arial" w:eastAsia="Arial" w:hAnsi="Arial" w:cs="Arial"/>
          <w:color w:val="000000"/>
          <w:sz w:val="16"/>
          <w:szCs w:val="16"/>
        </w:rPr>
        <w:sectPr w:rsidR="00382604">
          <w:headerReference w:type="even" r:id="rId9"/>
          <w:headerReference w:type="default" r:id="rId10"/>
          <w:head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49F64D1D" wp14:editId="08F93D1E">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Freeform: Shape 1" o:spid="_x0000_s1026" o:spt="100" style="height:1.5pt;width:0pt;v-text-anchor:middle;" fillcolor="#FFFFFF" filled="t" stroked="t" coordsize="5303520,1" o:gfxdata="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CdaNDOAAAAAAEAAA8AAAAAAAAAAQAgAAAA&#10;IgAAAGRycy9kb3ducmV2LnhtbFBLAQIUABQAAAAIAIdO4kA0hY7qhwIAAHsFAAAOAAAAAAAAAAEA&#10;IAAAAB0BAABkcnMvZTJvRG9jLnhtbFBLBQYAAAAABgAGAFkBAAAWBgAAAAA=&#10;" path="m0,0l5303520,0e">
                <v:fill on="t" focussize="0,0"/>
                <v:stroke weight="1.5pt" color="#000000" joinstyle="round" startarrowwidth="narrow" startarrowlength="short" endarrowwidth="narrow" endarrowlength="short"/>
                <v:imagedata o:title=""/>
                <o:lock v:ext="edit" aspectratio="f"/>
                <v:textbox inset="7.1988188976378pt,7.1988188976378pt,7.1988188976378pt,7.1988188976378pt"/>
                <w10:wrap type="none"/>
                <w10:anchorlock/>
              </v:shape>
            </w:pict>
          </mc:Fallback>
        </mc:AlternateContent>
      </w:r>
    </w:p>
    <w:p w14:paraId="1E9796BF"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387ED057" w14:textId="77777777" w:rsidR="00382604" w:rsidRDefault="00382604">
      <w:pPr>
        <w:keepNext/>
        <w:jc w:val="both"/>
        <w:rPr>
          <w:rFonts w:ascii="Arial" w:eastAsia="Arial" w:hAnsi="Arial" w:cs="Arial"/>
          <w:b/>
          <w:smallCaps/>
          <w:color w:val="000000"/>
          <w:sz w:val="22"/>
          <w:szCs w:val="22"/>
        </w:rPr>
      </w:pPr>
    </w:p>
    <w:tbl>
      <w:tblPr>
        <w:tblStyle w:val="Style7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382604" w14:paraId="700AA6E9" w14:textId="77777777">
        <w:trPr>
          <w:trHeight w:val="530"/>
        </w:trPr>
        <w:tc>
          <w:tcPr>
            <w:tcW w:w="8424" w:type="dxa"/>
            <w:shd w:val="clear" w:color="auto" w:fill="F2F2F2"/>
          </w:tcPr>
          <w:p w14:paraId="740B60DC" w14:textId="77777777" w:rsidR="00382604" w:rsidRDefault="00F91166">
            <w:pP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This study investigate</w:t>
            </w:r>
            <w:r>
              <w:rPr>
                <w:rFonts w:ascii="Arial" w:eastAsia="Arial" w:hAnsi="Arial" w:cs="Arial"/>
              </w:rPr>
              <w:t>d</w:t>
            </w:r>
            <w:r>
              <w:rPr>
                <w:rFonts w:ascii="Arial" w:eastAsia="Arial" w:hAnsi="Arial" w:cs="Arial"/>
                <w:color w:val="000000"/>
              </w:rPr>
              <w:t xml:space="preserve"> the relationship between levels of motivation (intrinsic and extrinsic), self-esteem (identity, belonging, purpose, and competence), and Filipino language proficiency among Junior High School students.</w:t>
            </w:r>
          </w:p>
          <w:p w14:paraId="738FCE28" w14:textId="77777777" w:rsidR="00382604" w:rsidRDefault="00F91166">
            <w:pPr>
              <w:jc w:val="both"/>
              <w:rPr>
                <w:rFonts w:ascii="Arial" w:eastAsia="Arial" w:hAnsi="Arial" w:cs="Arial"/>
                <w:color w:val="000000"/>
              </w:rPr>
            </w:pPr>
            <w:r>
              <w:rPr>
                <w:rFonts w:ascii="Arial" w:eastAsia="Arial" w:hAnsi="Arial" w:cs="Arial"/>
                <w:b/>
                <w:color w:val="000000"/>
              </w:rPr>
              <w:t xml:space="preserve">Study design: </w:t>
            </w:r>
            <w:r>
              <w:rPr>
                <w:rFonts w:ascii="Arial" w:eastAsia="Arial" w:hAnsi="Arial" w:cs="Arial"/>
                <w:color w:val="000000"/>
              </w:rPr>
              <w:t>A descriptive-correlational research design was employed to explore the possible associations among the variables.</w:t>
            </w:r>
          </w:p>
          <w:p w14:paraId="6EE4C6A5" w14:textId="77777777" w:rsidR="00382604" w:rsidRDefault="00F91166">
            <w:pP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The study was conducted at San Isidro College, Malaybalay City, Bukidnon, Philippines, during the academic year 2024–2025.</w:t>
            </w:r>
          </w:p>
          <w:p w14:paraId="59A59A5B" w14:textId="77777777" w:rsidR="00382604" w:rsidRDefault="00F91166">
            <w:pP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A total of 213 Junior High School students from Grades 7 to 10 were selected through simple random sampling. Data were gathered using an adapted and researcher-made questionnaire that measured intrinsic and extrinsic motivation, self-esteem in terms of identity, belonging, purpose, and competence, as well as the students’ Filipino language proficiency. </w:t>
            </w:r>
            <w:r>
              <w:rPr>
                <w:rFonts w:ascii="Arial" w:eastAsia="Arial" w:hAnsi="Arial" w:cs="Arial"/>
                <w:color w:val="000000"/>
                <w:highlight w:val="cyan"/>
              </w:rPr>
              <w:t>The research instrument was validated by experts to ensure content accuracy and clarity, and a pilot test involving 42 students was conducted, yielding acceptable reliability coefficients (ranging from α = .750 to α = .920).</w:t>
            </w:r>
            <w:r>
              <w:rPr>
                <w:rFonts w:ascii="Arial" w:eastAsia="Arial" w:hAnsi="Arial" w:cs="Arial"/>
                <w:color w:val="000000"/>
              </w:rPr>
              <w:t xml:space="preserve"> Descriptive statistics were used to describe student levels, while Pearson correlation analysis was conducted to determine relationships among variables.</w:t>
            </w:r>
          </w:p>
          <w:p w14:paraId="411F7CFC" w14:textId="77777777" w:rsidR="00382604" w:rsidRDefault="00F91166" w:rsidP="008E7D0A">
            <w:pP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results revealed high levels of motivation among students, with intrinsic motivation </w:t>
            </w:r>
            <w:r>
              <w:rPr>
                <w:rFonts w:ascii="Arial" w:eastAsia="Arial" w:hAnsi="Arial" w:cs="Arial"/>
                <w:i/>
                <w:color w:val="000000"/>
              </w:rPr>
              <w:t>(M = 4.13, SD = 0.46)</w:t>
            </w:r>
            <w:r>
              <w:rPr>
                <w:rFonts w:ascii="Arial" w:eastAsia="Arial" w:hAnsi="Arial" w:cs="Arial"/>
                <w:color w:val="000000"/>
              </w:rPr>
              <w:t xml:space="preserve"> and extrinsic motivation </w:t>
            </w:r>
            <w:r>
              <w:rPr>
                <w:rFonts w:ascii="Arial" w:eastAsia="Arial" w:hAnsi="Arial" w:cs="Arial"/>
                <w:i/>
                <w:color w:val="000000"/>
              </w:rPr>
              <w:t>(M = 4.08, SD = 0.54)</w:t>
            </w:r>
            <w:r>
              <w:rPr>
                <w:rFonts w:ascii="Arial" w:eastAsia="Arial" w:hAnsi="Arial" w:cs="Arial"/>
                <w:color w:val="000000"/>
              </w:rPr>
              <w:t xml:space="preserve"> having an overall mean of 4.11 </w:t>
            </w:r>
            <w:r>
              <w:rPr>
                <w:rFonts w:ascii="Arial" w:eastAsia="Arial" w:hAnsi="Arial" w:cs="Arial"/>
                <w:i/>
                <w:color w:val="000000"/>
              </w:rPr>
              <w:t>(SD = 0.50).</w:t>
            </w:r>
            <w:r>
              <w:rPr>
                <w:rFonts w:ascii="Arial" w:eastAsia="Arial" w:hAnsi="Arial" w:cs="Arial"/>
                <w:color w:val="000000"/>
              </w:rPr>
              <w:t xml:space="preserve"> Self-esteem also resulted as high across the dimensions of identity </w:t>
            </w:r>
            <w:r>
              <w:rPr>
                <w:rFonts w:ascii="Arial" w:eastAsia="Arial" w:hAnsi="Arial" w:cs="Arial"/>
                <w:i/>
                <w:color w:val="000000"/>
              </w:rPr>
              <w:t>(M = 4.11, SD = 0.59)</w:t>
            </w:r>
            <w:r>
              <w:rPr>
                <w:rFonts w:ascii="Arial" w:eastAsia="Arial" w:hAnsi="Arial" w:cs="Arial"/>
                <w:color w:val="000000"/>
              </w:rPr>
              <w:t xml:space="preserve">, belonging </w:t>
            </w:r>
            <w:r>
              <w:rPr>
                <w:rFonts w:ascii="Arial" w:eastAsia="Arial" w:hAnsi="Arial" w:cs="Arial"/>
                <w:i/>
                <w:color w:val="000000"/>
              </w:rPr>
              <w:t>(M = 4.06, SD = 0.60)</w:t>
            </w:r>
            <w:r>
              <w:rPr>
                <w:rFonts w:ascii="Arial" w:eastAsia="Arial" w:hAnsi="Arial" w:cs="Arial"/>
                <w:color w:val="000000"/>
              </w:rPr>
              <w:t xml:space="preserve">, purpose </w:t>
            </w:r>
            <w:r>
              <w:rPr>
                <w:rFonts w:ascii="Arial" w:eastAsia="Arial" w:hAnsi="Arial" w:cs="Arial"/>
                <w:i/>
                <w:color w:val="000000"/>
              </w:rPr>
              <w:t>(M = 4.05, SD = 0.59)</w:t>
            </w:r>
            <w:r>
              <w:rPr>
                <w:rFonts w:ascii="Arial" w:eastAsia="Arial" w:hAnsi="Arial" w:cs="Arial"/>
                <w:color w:val="000000"/>
              </w:rPr>
              <w:t xml:space="preserve">, and competence </w:t>
            </w:r>
            <w:r>
              <w:rPr>
                <w:rFonts w:ascii="Arial" w:eastAsia="Arial" w:hAnsi="Arial" w:cs="Arial"/>
                <w:i/>
                <w:color w:val="000000"/>
              </w:rPr>
              <w:t>(M = 4.05, SD = 0.61)</w:t>
            </w:r>
            <w:r>
              <w:rPr>
                <w:rFonts w:ascii="Arial" w:eastAsia="Arial" w:hAnsi="Arial" w:cs="Arial"/>
                <w:color w:val="000000"/>
              </w:rPr>
              <w:t xml:space="preserve">, having an overall mean of 4.06 </w:t>
            </w:r>
            <w:r>
              <w:rPr>
                <w:rFonts w:ascii="Arial" w:eastAsia="Arial" w:hAnsi="Arial" w:cs="Arial"/>
                <w:i/>
                <w:color w:val="000000"/>
              </w:rPr>
              <w:t>(SD = 0.03)</w:t>
            </w:r>
            <w:r>
              <w:rPr>
                <w:rFonts w:ascii="Arial" w:eastAsia="Arial" w:hAnsi="Arial" w:cs="Arial"/>
                <w:color w:val="000000"/>
              </w:rPr>
              <w:t xml:space="preserve">. However, the students’ Filipino language proficiency was generally low </w:t>
            </w:r>
            <w:r>
              <w:rPr>
                <w:rFonts w:ascii="Arial" w:eastAsia="Arial" w:hAnsi="Arial" w:cs="Arial"/>
                <w:i/>
                <w:color w:val="000000"/>
              </w:rPr>
              <w:t>(M = 2.76, SD = 1.17)</w:t>
            </w:r>
            <w:r>
              <w:rPr>
                <w:rFonts w:ascii="Arial" w:eastAsia="Arial" w:hAnsi="Arial" w:cs="Arial"/>
                <w:color w:val="000000"/>
              </w:rPr>
              <w:t xml:space="preserve">, with vocabulary </w:t>
            </w:r>
            <w:r>
              <w:rPr>
                <w:rFonts w:ascii="Arial" w:eastAsia="Arial" w:hAnsi="Arial" w:cs="Arial"/>
                <w:i/>
                <w:color w:val="000000"/>
              </w:rPr>
              <w:t>(M = 2.63)</w:t>
            </w:r>
            <w:r>
              <w:rPr>
                <w:rFonts w:ascii="Arial" w:eastAsia="Arial" w:hAnsi="Arial" w:cs="Arial"/>
                <w:color w:val="000000"/>
              </w:rPr>
              <w:t xml:space="preserve">, mechanics </w:t>
            </w:r>
            <w:r>
              <w:rPr>
                <w:rFonts w:ascii="Arial" w:eastAsia="Arial" w:hAnsi="Arial" w:cs="Arial"/>
                <w:i/>
                <w:color w:val="000000"/>
              </w:rPr>
              <w:t>(M = 2.69)</w:t>
            </w:r>
            <w:r>
              <w:rPr>
                <w:rFonts w:ascii="Arial" w:eastAsia="Arial" w:hAnsi="Arial" w:cs="Arial"/>
                <w:color w:val="000000"/>
              </w:rPr>
              <w:t xml:space="preserve">, grammar </w:t>
            </w:r>
            <w:r>
              <w:rPr>
                <w:rFonts w:ascii="Arial" w:eastAsia="Arial" w:hAnsi="Arial" w:cs="Arial"/>
                <w:i/>
                <w:color w:val="000000"/>
              </w:rPr>
              <w:t>(M = 2.78),</w:t>
            </w:r>
            <w:r>
              <w:rPr>
                <w:rFonts w:ascii="Arial" w:eastAsia="Arial" w:hAnsi="Arial" w:cs="Arial"/>
                <w:color w:val="000000"/>
              </w:rPr>
              <w:t xml:space="preserve"> and organization </w:t>
            </w:r>
            <w:r>
              <w:rPr>
                <w:rFonts w:ascii="Arial" w:eastAsia="Arial" w:hAnsi="Arial" w:cs="Arial"/>
                <w:i/>
                <w:color w:val="000000"/>
              </w:rPr>
              <w:t xml:space="preserve">(M = 2.64) </w:t>
            </w:r>
            <w:r>
              <w:rPr>
                <w:rFonts w:ascii="Arial" w:eastAsia="Arial" w:hAnsi="Arial" w:cs="Arial"/>
                <w:color w:val="000000"/>
              </w:rPr>
              <w:t xml:space="preserve">all falling within the low range. Only content scored moderately </w:t>
            </w:r>
            <w:r>
              <w:rPr>
                <w:rFonts w:ascii="Arial" w:eastAsia="Arial" w:hAnsi="Arial" w:cs="Arial"/>
                <w:i/>
                <w:color w:val="000000"/>
              </w:rPr>
              <w:t>(M = 3.08, SD = 1.17)</w:t>
            </w:r>
            <w:r>
              <w:rPr>
                <w:rFonts w:ascii="Arial" w:eastAsia="Arial" w:hAnsi="Arial" w:cs="Arial"/>
                <w:color w:val="000000"/>
              </w:rPr>
              <w:t xml:space="preserve">. Furthermore, based on total proficiency scores, 5.16% of students fell under the very low level of proficiency, 25.82% under low, 31.46% moderate level, 21.60% high, and 15.96% of students were under the very high level of proficiency. The correlation analysis revealed no significant relationship between motivation and Filipino language proficiency, with intrinsic motivation </w:t>
            </w:r>
            <w:r>
              <w:rPr>
                <w:rFonts w:ascii="Arial" w:eastAsia="Arial" w:hAnsi="Arial" w:cs="Arial"/>
                <w:i/>
                <w:color w:val="000000"/>
              </w:rPr>
              <w:t xml:space="preserve">(r = 0.024, </w:t>
            </w:r>
            <w:r>
              <w:rPr>
                <w:rFonts w:ascii="Arial" w:eastAsia="Arial" w:hAnsi="Arial" w:cs="Arial"/>
                <w:i/>
              </w:rPr>
              <w:t>P</w:t>
            </w:r>
            <w:r>
              <w:rPr>
                <w:rFonts w:ascii="Arial" w:eastAsia="Arial" w:hAnsi="Arial" w:cs="Arial"/>
                <w:i/>
                <w:color w:val="000000"/>
              </w:rPr>
              <w:t xml:space="preserve"> = 0.727)</w:t>
            </w:r>
            <w:r>
              <w:rPr>
                <w:rFonts w:ascii="Arial" w:eastAsia="Arial" w:hAnsi="Arial" w:cs="Arial"/>
                <w:color w:val="000000"/>
              </w:rPr>
              <w:t xml:space="preserve"> and extrinsic motivation </w:t>
            </w:r>
            <w:r>
              <w:rPr>
                <w:rFonts w:ascii="Arial" w:eastAsia="Arial" w:hAnsi="Arial" w:cs="Arial"/>
                <w:i/>
                <w:color w:val="000000"/>
              </w:rPr>
              <w:t xml:space="preserve">(r = -0.084, </w:t>
            </w:r>
            <w:r>
              <w:rPr>
                <w:rFonts w:ascii="Arial" w:eastAsia="Arial" w:hAnsi="Arial" w:cs="Arial"/>
                <w:i/>
              </w:rPr>
              <w:t>P</w:t>
            </w:r>
            <w:r>
              <w:rPr>
                <w:rFonts w:ascii="Arial" w:eastAsia="Arial" w:hAnsi="Arial" w:cs="Arial"/>
                <w:i/>
                <w:color w:val="000000"/>
              </w:rPr>
              <w:t xml:space="preserve"> = 0.227)</w:t>
            </w:r>
            <w:r>
              <w:rPr>
                <w:rFonts w:ascii="Arial" w:eastAsia="Arial" w:hAnsi="Arial" w:cs="Arial"/>
                <w:color w:val="000000"/>
              </w:rPr>
              <w:t xml:space="preserve"> both showing very weak and non-significant correlations. Similarly, self-esteem dimensions also resulted to very weak correlations toward language proficiency, with identity </w:t>
            </w:r>
            <w:r>
              <w:rPr>
                <w:rFonts w:ascii="Arial" w:eastAsia="Arial" w:hAnsi="Arial" w:cs="Arial"/>
                <w:i/>
                <w:color w:val="000000"/>
              </w:rPr>
              <w:t xml:space="preserve">(r = -0.030, </w:t>
            </w:r>
            <w:r>
              <w:rPr>
                <w:rFonts w:ascii="Arial" w:eastAsia="Arial" w:hAnsi="Arial" w:cs="Arial"/>
                <w:i/>
              </w:rPr>
              <w:t>P</w:t>
            </w:r>
            <w:r>
              <w:rPr>
                <w:rFonts w:ascii="Arial" w:eastAsia="Arial" w:hAnsi="Arial" w:cs="Arial"/>
                <w:i/>
                <w:color w:val="000000"/>
              </w:rPr>
              <w:t xml:space="preserve"> = 0.663)</w:t>
            </w:r>
            <w:r>
              <w:rPr>
                <w:rFonts w:ascii="Arial" w:eastAsia="Arial" w:hAnsi="Arial" w:cs="Arial"/>
                <w:color w:val="000000"/>
              </w:rPr>
              <w:t xml:space="preserve">, belonging </w:t>
            </w:r>
            <w:r>
              <w:rPr>
                <w:rFonts w:ascii="Arial" w:eastAsia="Arial" w:hAnsi="Arial" w:cs="Arial"/>
                <w:i/>
                <w:color w:val="000000"/>
              </w:rPr>
              <w:t xml:space="preserve">(r = -0.036, </w:t>
            </w:r>
            <w:r>
              <w:rPr>
                <w:rFonts w:ascii="Arial" w:eastAsia="Arial" w:hAnsi="Arial" w:cs="Arial"/>
                <w:i/>
              </w:rPr>
              <w:t>P</w:t>
            </w:r>
            <w:r>
              <w:rPr>
                <w:rFonts w:ascii="Arial" w:eastAsia="Arial" w:hAnsi="Arial" w:cs="Arial"/>
                <w:i/>
                <w:color w:val="000000"/>
              </w:rPr>
              <w:t xml:space="preserve"> = 0.611)</w:t>
            </w:r>
            <w:r>
              <w:rPr>
                <w:rFonts w:ascii="Arial" w:eastAsia="Arial" w:hAnsi="Arial" w:cs="Arial"/>
                <w:color w:val="000000"/>
              </w:rPr>
              <w:t xml:space="preserve">, purpose </w:t>
            </w:r>
            <w:r>
              <w:rPr>
                <w:rFonts w:ascii="Arial" w:eastAsia="Arial" w:hAnsi="Arial" w:cs="Arial"/>
                <w:i/>
                <w:color w:val="000000"/>
              </w:rPr>
              <w:t xml:space="preserve">(r = -0.057, </w:t>
            </w:r>
            <w:r>
              <w:rPr>
                <w:rFonts w:ascii="Arial" w:eastAsia="Arial" w:hAnsi="Arial" w:cs="Arial"/>
                <w:i/>
              </w:rPr>
              <w:t>P</w:t>
            </w:r>
            <w:r>
              <w:rPr>
                <w:rFonts w:ascii="Arial" w:eastAsia="Arial" w:hAnsi="Arial" w:cs="Arial"/>
                <w:i/>
                <w:color w:val="000000"/>
              </w:rPr>
              <w:t xml:space="preserve"> = 0.407)</w:t>
            </w:r>
            <w:r>
              <w:rPr>
                <w:rFonts w:ascii="Arial" w:eastAsia="Arial" w:hAnsi="Arial" w:cs="Arial"/>
                <w:color w:val="000000"/>
              </w:rPr>
              <w:t xml:space="preserve">, and competence </w:t>
            </w:r>
            <w:r>
              <w:rPr>
                <w:rFonts w:ascii="Arial" w:eastAsia="Arial" w:hAnsi="Arial" w:cs="Arial"/>
                <w:i/>
                <w:color w:val="000000"/>
              </w:rPr>
              <w:t xml:space="preserve">(r = 0.019, </w:t>
            </w:r>
            <w:r>
              <w:rPr>
                <w:rFonts w:ascii="Arial" w:eastAsia="Arial" w:hAnsi="Arial" w:cs="Arial"/>
                <w:i/>
              </w:rPr>
              <w:t>P</w:t>
            </w:r>
            <w:r>
              <w:rPr>
                <w:rFonts w:ascii="Arial" w:eastAsia="Arial" w:hAnsi="Arial" w:cs="Arial"/>
                <w:i/>
                <w:color w:val="000000"/>
              </w:rPr>
              <w:t xml:space="preserve"> = 0.788)</w:t>
            </w:r>
            <w:r>
              <w:rPr>
                <w:rFonts w:ascii="Arial" w:eastAsia="Arial" w:hAnsi="Arial" w:cs="Arial"/>
                <w:color w:val="000000"/>
              </w:rPr>
              <w:t>, all statistically non-significant.</w:t>
            </w:r>
            <w:r>
              <w:rPr>
                <w:rFonts w:ascii="Arial" w:eastAsia="Arial" w:hAnsi="Arial" w:cs="Arial"/>
                <w:color w:val="000000"/>
              </w:rPr>
              <w:br/>
            </w:r>
            <w:r>
              <w:rPr>
                <w:rFonts w:ascii="Arial" w:eastAsia="Arial" w:hAnsi="Arial" w:cs="Arial"/>
                <w:b/>
                <w:color w:val="000000"/>
              </w:rPr>
              <w:t>Conclusion:</w:t>
            </w:r>
            <w:r>
              <w:rPr>
                <w:rFonts w:ascii="Arial" w:eastAsia="Arial" w:hAnsi="Arial" w:cs="Arial"/>
                <w:color w:val="000000"/>
              </w:rPr>
              <w:t xml:space="preserve"> The Junior High School students showed high levels of motivation and self-esteem. However, the results indicate that motivation and self-esteem show very weak </w:t>
            </w:r>
            <w:r w:rsidR="008E7D0A">
              <w:rPr>
                <w:rFonts w:ascii="Arial" w:eastAsia="Arial" w:hAnsi="Arial" w:cs="Arial"/>
                <w:color w:val="000000"/>
              </w:rPr>
              <w:t>correlation</w:t>
            </w:r>
            <w:r>
              <w:rPr>
                <w:rFonts w:ascii="Arial" w:eastAsia="Arial" w:hAnsi="Arial" w:cs="Arial"/>
                <w:color w:val="000000"/>
              </w:rPr>
              <w:t xml:space="preserve"> with Filipino language proficiency. Further investigation is needed to identify other influencing factors and to develop more targeted interventions for improving Filipino language skills among students.</w:t>
            </w:r>
          </w:p>
        </w:tc>
      </w:tr>
    </w:tbl>
    <w:p w14:paraId="63B230E7" w14:textId="77777777" w:rsidR="00382604" w:rsidRDefault="00382604">
      <w:pPr>
        <w:jc w:val="both"/>
        <w:rPr>
          <w:rFonts w:ascii="Arial" w:eastAsia="Arial" w:hAnsi="Arial" w:cs="Arial"/>
          <w:i/>
          <w:color w:val="000000"/>
        </w:rPr>
      </w:pPr>
    </w:p>
    <w:p w14:paraId="460AFC4A" w14:textId="77777777" w:rsidR="00382604" w:rsidRDefault="00F91166">
      <w:pPr>
        <w:jc w:val="both"/>
        <w:rPr>
          <w:rFonts w:ascii="Arial" w:eastAsia="Arial" w:hAnsi="Arial" w:cs="Arial"/>
          <w:i/>
          <w:color w:val="000000"/>
        </w:rPr>
      </w:pPr>
      <w:r>
        <w:rPr>
          <w:rFonts w:ascii="Arial" w:eastAsia="Arial" w:hAnsi="Arial" w:cs="Arial"/>
          <w:i/>
          <w:color w:val="000000"/>
        </w:rPr>
        <w:t>Keywords: Belonging, Competence, Descriptive Correlational, Extrinsic motivation, Filipino language proficiency, Intrinsic motivation, Identity, Junior High School students, Motivation, Purpose, Self-esteem</w:t>
      </w:r>
    </w:p>
    <w:p w14:paraId="2E7D6BB7"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1. INTRODUCTION</w:t>
      </w:r>
    </w:p>
    <w:p w14:paraId="1C9A143D" w14:textId="77777777" w:rsidR="00382604" w:rsidRDefault="00382604">
      <w:pPr>
        <w:keepNext/>
        <w:jc w:val="both"/>
        <w:rPr>
          <w:rFonts w:ascii="Arial" w:eastAsia="Arial" w:hAnsi="Arial" w:cs="Arial"/>
          <w:b/>
          <w:smallCaps/>
          <w:color w:val="000000"/>
          <w:sz w:val="22"/>
          <w:szCs w:val="22"/>
        </w:rPr>
      </w:pPr>
    </w:p>
    <w:p w14:paraId="5E0729F2" w14:textId="77777777" w:rsidR="00382604" w:rsidRDefault="00F91166">
      <w:pPr>
        <w:spacing w:after="240"/>
        <w:jc w:val="both"/>
        <w:rPr>
          <w:rFonts w:ascii="Arial" w:eastAsia="Arial" w:hAnsi="Arial" w:cs="Arial"/>
          <w:color w:val="000000"/>
        </w:rPr>
      </w:pPr>
      <w:r>
        <w:rPr>
          <w:rFonts w:ascii="Arial" w:eastAsia="Arial" w:hAnsi="Arial" w:cs="Arial"/>
          <w:color w:val="000000"/>
        </w:rPr>
        <w:t>In today’s generation, the growing emphasis on the globalization of languages, particularly English, has led to the decline of Filipino language proficiency among Filipino students (Blasco and Elizalde, 2024; Laminoras et al., 2024). Since the American colonization, English has served as a second language for Filipinos, becoming deeply ingrained in their daily communication alongside their native tongues (Esquivel 2019). Tagalog, which is now known as Filipino, became the basis of the Filipino national language and culture, shifting from a regional language to a nationally recognized lingua franca (Zeng and Li, 2023). Despite being the national language among Filipinos, it has been observed that some students lack proficiency in the Filipino language, which may stem from factors such as low motivation and self-esteem towards language learning (Nisperos, 2018).</w:t>
      </w:r>
    </w:p>
    <w:p w14:paraId="53E1152F" w14:textId="77777777" w:rsidR="00382604" w:rsidRDefault="00F91166">
      <w:pPr>
        <w:spacing w:after="240"/>
        <w:jc w:val="both"/>
        <w:rPr>
          <w:rFonts w:ascii="Arial" w:eastAsia="Arial" w:hAnsi="Arial" w:cs="Arial"/>
          <w:color w:val="000000"/>
        </w:rPr>
      </w:pPr>
      <w:r>
        <w:rPr>
          <w:rFonts w:ascii="Arial" w:eastAsia="Arial" w:hAnsi="Arial" w:cs="Arial"/>
          <w:color w:val="000000"/>
        </w:rPr>
        <w:t>Language proficiency is a critical factor in academic success, as it impacts students' ability to comprehend, communicate, and engage across subjects (Riad et al., 2023). Limited language skills can hinder the understanding of complex concepts, resulting in lower academic performance (Al-Jarrah et al., 2019). In addition to language skills, motivation is a key factor in language development. Çelik et al. (2020) emphasize that motivation significantly impacts the development of language proficiency, while Dewi and Jimmi (2018), highlight the role of motivation in achieving educational goals and promoting student engagement in language learning.</w:t>
      </w:r>
    </w:p>
    <w:p w14:paraId="7CF697F8" w14:textId="77777777" w:rsidR="00382604" w:rsidRDefault="00F91166">
      <w:pPr>
        <w:spacing w:after="240"/>
        <w:jc w:val="both"/>
        <w:rPr>
          <w:rFonts w:ascii="Arial" w:eastAsia="Arial" w:hAnsi="Arial" w:cs="Arial"/>
          <w:color w:val="000000"/>
        </w:rPr>
      </w:pPr>
      <w:r>
        <w:rPr>
          <w:rFonts w:ascii="Arial" w:eastAsia="Arial" w:hAnsi="Arial" w:cs="Arial"/>
          <w:color w:val="000000"/>
        </w:rPr>
        <w:t>Moreover, Self-esteem may also be an important psychological aspect that strongly impacts an individual's academic performance and overall achievement. Self-esteem is defined as an individual's general assessment of their ability in relation to their own value (Clucas 2020; Alsaker et al., 2020). This dimension is important in language learning, as learners with high self-esteem have a tendency to participate more actively in their studies and exhibit better language proficiency (Anjali et al. 2024), while low self-esteem could hinder an individual’s capacity to perform with confidence and efficacy, influencing their motivation and overall performance in school.</w:t>
      </w:r>
    </w:p>
    <w:p w14:paraId="1B30F484" w14:textId="77777777" w:rsidR="00382604" w:rsidRDefault="00F91166">
      <w:pPr>
        <w:spacing w:after="240"/>
        <w:jc w:val="both"/>
        <w:rPr>
          <w:rFonts w:ascii="Arial" w:eastAsia="Arial" w:hAnsi="Arial" w:cs="Arial"/>
          <w:color w:val="000000"/>
        </w:rPr>
      </w:pPr>
      <w:r>
        <w:rPr>
          <w:rFonts w:ascii="Arial" w:eastAsia="Arial" w:hAnsi="Arial" w:cs="Arial"/>
          <w:color w:val="000000"/>
        </w:rPr>
        <w:t>It has been observed that some students of San Isidro College, particularly Junior High School students, struggle with the use of the Filipino language. Many students find it difficult to comprehend and complete Filipino related tasks, such as exams, essay writing, and using the language for communication or oral recitations.</w:t>
      </w:r>
    </w:p>
    <w:p w14:paraId="40212353"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Furthermore, challenges in areas such as </w:t>
      </w:r>
      <w:proofErr w:type="spellStart"/>
      <w:r>
        <w:rPr>
          <w:rFonts w:ascii="Arial" w:eastAsia="Arial" w:hAnsi="Arial" w:cs="Arial"/>
          <w:color w:val="000000"/>
        </w:rPr>
        <w:t>Nillaman</w:t>
      </w:r>
      <w:proofErr w:type="spellEnd"/>
      <w:r>
        <w:rPr>
          <w:rFonts w:ascii="Arial" w:eastAsia="Arial" w:hAnsi="Arial" w:cs="Arial"/>
          <w:color w:val="000000"/>
        </w:rPr>
        <w:t xml:space="preserve"> (content), </w:t>
      </w:r>
      <w:proofErr w:type="spellStart"/>
      <w:r>
        <w:rPr>
          <w:rFonts w:ascii="Arial" w:eastAsia="Arial" w:hAnsi="Arial" w:cs="Arial"/>
          <w:color w:val="000000"/>
        </w:rPr>
        <w:t>Talasalitan</w:t>
      </w:r>
      <w:proofErr w:type="spellEnd"/>
      <w:r>
        <w:rPr>
          <w:rFonts w:ascii="Arial" w:eastAsia="Arial" w:hAnsi="Arial" w:cs="Arial"/>
          <w:color w:val="000000"/>
        </w:rPr>
        <w:t xml:space="preserve"> (vocabulary), </w:t>
      </w:r>
      <w:proofErr w:type="spellStart"/>
      <w:r>
        <w:rPr>
          <w:rFonts w:ascii="Arial" w:eastAsia="Arial" w:hAnsi="Arial" w:cs="Arial"/>
          <w:color w:val="000000"/>
        </w:rPr>
        <w:t>Mekaniks</w:t>
      </w:r>
      <w:proofErr w:type="spellEnd"/>
      <w:r>
        <w:rPr>
          <w:rFonts w:ascii="Arial" w:eastAsia="Arial" w:hAnsi="Arial" w:cs="Arial"/>
          <w:color w:val="000000"/>
        </w:rPr>
        <w:t xml:space="preserve"> (</w:t>
      </w:r>
      <w:r>
        <w:rPr>
          <w:rFonts w:ascii="Arial" w:eastAsia="Arial" w:hAnsi="Arial" w:cs="Arial"/>
        </w:rPr>
        <w:t>mechanics</w:t>
      </w:r>
      <w:r>
        <w:rPr>
          <w:rFonts w:ascii="Arial" w:eastAsia="Arial" w:hAnsi="Arial" w:cs="Arial"/>
          <w:color w:val="000000"/>
        </w:rPr>
        <w:t xml:space="preserve">), </w:t>
      </w:r>
      <w:proofErr w:type="spellStart"/>
      <w:r>
        <w:rPr>
          <w:rFonts w:ascii="Arial" w:eastAsia="Arial" w:hAnsi="Arial" w:cs="Arial"/>
          <w:color w:val="000000"/>
        </w:rPr>
        <w:t>Gramatika</w:t>
      </w:r>
      <w:proofErr w:type="spellEnd"/>
      <w:r>
        <w:rPr>
          <w:rFonts w:ascii="Arial" w:eastAsia="Arial" w:hAnsi="Arial" w:cs="Arial"/>
          <w:color w:val="000000"/>
        </w:rPr>
        <w:t xml:space="preserve"> (grammar), and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in writing are also observed to be common among students. Thus, conducting this study can help identify the factors contributing to these struggles by examining the role of motivation and self-esteem towards students’ language proficiency.</w:t>
      </w:r>
    </w:p>
    <w:p w14:paraId="525509E8" w14:textId="77777777" w:rsidR="00382604" w:rsidRDefault="00F91166">
      <w:pPr>
        <w:jc w:val="both"/>
        <w:rPr>
          <w:rFonts w:ascii="Arial" w:eastAsia="Arial" w:hAnsi="Arial" w:cs="Arial"/>
          <w:color w:val="000000"/>
        </w:rPr>
      </w:pPr>
      <w:r>
        <w:rPr>
          <w:rFonts w:ascii="Arial" w:eastAsia="Arial" w:hAnsi="Arial" w:cs="Arial"/>
          <w:color w:val="000000"/>
        </w:rPr>
        <w:t>The study sought to address the following questions:</w:t>
      </w:r>
    </w:p>
    <w:p w14:paraId="2369F28F" w14:textId="77777777" w:rsidR="00382604" w:rsidRDefault="00382604">
      <w:pPr>
        <w:jc w:val="both"/>
        <w:rPr>
          <w:rFonts w:ascii="Arial" w:eastAsia="Arial" w:hAnsi="Arial" w:cs="Arial"/>
          <w:color w:val="000000"/>
        </w:rPr>
      </w:pPr>
    </w:p>
    <w:p w14:paraId="328B134B" w14:textId="77777777" w:rsidR="00382604" w:rsidRDefault="00F91166">
      <w:pPr>
        <w:jc w:val="both"/>
        <w:rPr>
          <w:rFonts w:ascii="Arial" w:eastAsia="Arial" w:hAnsi="Arial" w:cs="Arial"/>
          <w:color w:val="000000"/>
        </w:rPr>
      </w:pPr>
      <w:r>
        <w:rPr>
          <w:rFonts w:ascii="Arial" w:eastAsia="Arial" w:hAnsi="Arial" w:cs="Arial"/>
          <w:color w:val="000000"/>
        </w:rPr>
        <w:t>1. What is the Junior High School Students' level of motivation in terms of:</w:t>
      </w:r>
    </w:p>
    <w:p w14:paraId="1C6FF8B1" w14:textId="77777777" w:rsidR="00382604" w:rsidRDefault="00F91166">
      <w:pPr>
        <w:jc w:val="both"/>
        <w:rPr>
          <w:rFonts w:ascii="Arial" w:eastAsia="Arial" w:hAnsi="Arial" w:cs="Arial"/>
          <w:color w:val="000000"/>
        </w:rPr>
      </w:pPr>
      <w:r>
        <w:rPr>
          <w:rFonts w:ascii="Arial" w:eastAsia="Arial" w:hAnsi="Arial" w:cs="Arial"/>
          <w:color w:val="000000"/>
        </w:rPr>
        <w:tab/>
        <w:t>1.1 Intrinsic Motivation; and</w:t>
      </w:r>
    </w:p>
    <w:p w14:paraId="0EA46CFB" w14:textId="77777777" w:rsidR="00382604" w:rsidRDefault="00F91166">
      <w:pPr>
        <w:jc w:val="both"/>
        <w:rPr>
          <w:rFonts w:ascii="Arial" w:eastAsia="Arial" w:hAnsi="Arial" w:cs="Arial"/>
          <w:color w:val="000000"/>
        </w:rPr>
      </w:pPr>
      <w:r>
        <w:rPr>
          <w:rFonts w:ascii="Arial" w:eastAsia="Arial" w:hAnsi="Arial" w:cs="Arial"/>
          <w:color w:val="000000"/>
        </w:rPr>
        <w:tab/>
        <w:t xml:space="preserve">1.2 Extrinsic Motivation? </w:t>
      </w:r>
    </w:p>
    <w:p w14:paraId="54F58205" w14:textId="77777777" w:rsidR="00382604" w:rsidRDefault="00382604">
      <w:pPr>
        <w:jc w:val="both"/>
        <w:rPr>
          <w:rFonts w:ascii="Arial" w:eastAsia="Arial" w:hAnsi="Arial" w:cs="Arial"/>
          <w:color w:val="000000"/>
        </w:rPr>
      </w:pPr>
    </w:p>
    <w:p w14:paraId="6989D36E" w14:textId="77777777" w:rsidR="00382604" w:rsidRDefault="00F91166">
      <w:pPr>
        <w:jc w:val="both"/>
        <w:rPr>
          <w:rFonts w:ascii="Arial" w:eastAsia="Arial" w:hAnsi="Arial" w:cs="Arial"/>
          <w:color w:val="000000"/>
        </w:rPr>
      </w:pPr>
      <w:r>
        <w:rPr>
          <w:rFonts w:ascii="Arial" w:eastAsia="Arial" w:hAnsi="Arial" w:cs="Arial"/>
          <w:color w:val="000000"/>
        </w:rPr>
        <w:t>2. What is the Junior High School students’ levels of self-esteem in terms of:</w:t>
      </w:r>
    </w:p>
    <w:p w14:paraId="67810617" w14:textId="77777777" w:rsidR="00382604" w:rsidRDefault="00F91166">
      <w:pPr>
        <w:jc w:val="both"/>
        <w:rPr>
          <w:rFonts w:ascii="Arial" w:eastAsia="Arial" w:hAnsi="Arial" w:cs="Arial"/>
          <w:color w:val="000000"/>
        </w:rPr>
      </w:pPr>
      <w:r>
        <w:rPr>
          <w:rFonts w:ascii="Arial" w:eastAsia="Arial" w:hAnsi="Arial" w:cs="Arial"/>
          <w:color w:val="000000"/>
        </w:rPr>
        <w:tab/>
        <w:t>2.1 Identity;</w:t>
      </w:r>
    </w:p>
    <w:p w14:paraId="5BD3861B" w14:textId="77777777" w:rsidR="00382604" w:rsidRDefault="00F91166">
      <w:pPr>
        <w:jc w:val="both"/>
        <w:rPr>
          <w:rFonts w:ascii="Arial" w:eastAsia="Arial" w:hAnsi="Arial" w:cs="Arial"/>
          <w:color w:val="000000"/>
        </w:rPr>
      </w:pPr>
      <w:r>
        <w:rPr>
          <w:rFonts w:ascii="Arial" w:eastAsia="Arial" w:hAnsi="Arial" w:cs="Arial"/>
          <w:color w:val="000000"/>
        </w:rPr>
        <w:tab/>
        <w:t>2.2 Belonging;</w:t>
      </w:r>
    </w:p>
    <w:p w14:paraId="5CCCAD46" w14:textId="77777777" w:rsidR="00382604" w:rsidRDefault="00F91166">
      <w:pPr>
        <w:jc w:val="both"/>
        <w:rPr>
          <w:rFonts w:ascii="Arial" w:eastAsia="Arial" w:hAnsi="Arial" w:cs="Arial"/>
          <w:color w:val="000000"/>
        </w:rPr>
      </w:pPr>
      <w:r>
        <w:rPr>
          <w:rFonts w:ascii="Arial" w:eastAsia="Arial" w:hAnsi="Arial" w:cs="Arial"/>
          <w:color w:val="000000"/>
        </w:rPr>
        <w:tab/>
        <w:t>2.3 Purpose; and</w:t>
      </w:r>
    </w:p>
    <w:p w14:paraId="33202CC0" w14:textId="77777777" w:rsidR="00382604" w:rsidRDefault="00F91166">
      <w:pPr>
        <w:jc w:val="both"/>
        <w:rPr>
          <w:rFonts w:ascii="Arial" w:eastAsia="Arial" w:hAnsi="Arial" w:cs="Arial"/>
          <w:color w:val="000000"/>
        </w:rPr>
      </w:pPr>
      <w:r>
        <w:rPr>
          <w:rFonts w:ascii="Arial" w:eastAsia="Arial" w:hAnsi="Arial" w:cs="Arial"/>
          <w:color w:val="000000"/>
        </w:rPr>
        <w:tab/>
        <w:t>2.4 Competence?</w:t>
      </w:r>
    </w:p>
    <w:p w14:paraId="74617ED0" w14:textId="77777777" w:rsidR="00382604" w:rsidRDefault="00382604">
      <w:pPr>
        <w:jc w:val="both"/>
        <w:rPr>
          <w:rFonts w:ascii="Arial" w:eastAsia="Arial" w:hAnsi="Arial" w:cs="Arial"/>
          <w:color w:val="000000"/>
        </w:rPr>
      </w:pPr>
    </w:p>
    <w:p w14:paraId="5B4AF330" w14:textId="77777777" w:rsidR="00382604" w:rsidRDefault="00F91166">
      <w:pPr>
        <w:jc w:val="both"/>
        <w:rPr>
          <w:rFonts w:ascii="Arial" w:eastAsia="Arial" w:hAnsi="Arial" w:cs="Arial"/>
          <w:color w:val="000000"/>
        </w:rPr>
      </w:pPr>
      <w:r>
        <w:rPr>
          <w:rFonts w:ascii="Arial" w:eastAsia="Arial" w:hAnsi="Arial" w:cs="Arial"/>
          <w:color w:val="000000"/>
        </w:rPr>
        <w:t>3. What is the Junior High School students’ level of Filipino Language Proficiency?</w:t>
      </w:r>
    </w:p>
    <w:p w14:paraId="65605B91" w14:textId="77777777" w:rsidR="00382604" w:rsidRDefault="00382604">
      <w:pPr>
        <w:jc w:val="both"/>
        <w:rPr>
          <w:rFonts w:ascii="Arial" w:eastAsia="Arial" w:hAnsi="Arial" w:cs="Arial"/>
          <w:color w:val="000000"/>
        </w:rPr>
      </w:pPr>
    </w:p>
    <w:p w14:paraId="3CA5AF6E" w14:textId="77777777" w:rsidR="00382604" w:rsidRDefault="00F91166">
      <w:pPr>
        <w:jc w:val="both"/>
        <w:rPr>
          <w:rFonts w:ascii="Arial" w:eastAsia="Arial" w:hAnsi="Arial" w:cs="Arial"/>
          <w:color w:val="000000"/>
        </w:rPr>
      </w:pPr>
      <w:r>
        <w:rPr>
          <w:rFonts w:ascii="Arial" w:eastAsia="Arial" w:hAnsi="Arial" w:cs="Arial"/>
          <w:color w:val="000000"/>
        </w:rPr>
        <w:t>4. Is there a significant relationship between students’ Filipino Language Proficiency in terms of;</w:t>
      </w:r>
    </w:p>
    <w:p w14:paraId="3B47DC10" w14:textId="77777777" w:rsidR="00382604" w:rsidRDefault="00F91166">
      <w:pPr>
        <w:jc w:val="both"/>
        <w:rPr>
          <w:rFonts w:ascii="Arial" w:eastAsia="Arial" w:hAnsi="Arial" w:cs="Arial"/>
          <w:color w:val="000000"/>
        </w:rPr>
      </w:pPr>
      <w:r>
        <w:rPr>
          <w:rFonts w:ascii="Arial" w:eastAsia="Arial" w:hAnsi="Arial" w:cs="Arial"/>
          <w:color w:val="000000"/>
        </w:rPr>
        <w:tab/>
        <w:t xml:space="preserve">4.1 Level of Motivation; and </w:t>
      </w:r>
    </w:p>
    <w:p w14:paraId="4ED22821" w14:textId="77777777" w:rsidR="00382604" w:rsidRDefault="00F91166">
      <w:pPr>
        <w:jc w:val="both"/>
        <w:rPr>
          <w:rFonts w:ascii="Arial" w:eastAsia="Arial" w:hAnsi="Arial" w:cs="Arial"/>
          <w:color w:val="000000"/>
        </w:rPr>
      </w:pPr>
      <w:r>
        <w:rPr>
          <w:rFonts w:ascii="Arial" w:eastAsia="Arial" w:hAnsi="Arial" w:cs="Arial"/>
          <w:color w:val="000000"/>
        </w:rPr>
        <w:tab/>
        <w:t>4.2 Level of Self-esteem?</w:t>
      </w:r>
    </w:p>
    <w:p w14:paraId="6F5A5D6A" w14:textId="77777777" w:rsidR="00382604" w:rsidRDefault="00F91166">
      <w:pPr>
        <w:jc w:val="both"/>
        <w:rPr>
          <w:rFonts w:ascii="Arial" w:eastAsia="Arial" w:hAnsi="Arial" w:cs="Arial"/>
          <w:color w:val="000000"/>
        </w:rPr>
      </w:pPr>
      <w:r>
        <w:rPr>
          <w:rFonts w:ascii="Arial" w:eastAsia="Arial" w:hAnsi="Arial" w:cs="Arial"/>
          <w:color w:val="000000"/>
        </w:rPr>
        <w:tab/>
      </w:r>
    </w:p>
    <w:p w14:paraId="78BEAD21" w14:textId="77777777" w:rsidR="00382604" w:rsidRDefault="00F91166">
      <w:pPr>
        <w:jc w:val="both"/>
        <w:rPr>
          <w:rFonts w:ascii="Arial" w:eastAsia="Arial" w:hAnsi="Arial" w:cs="Arial"/>
          <w:color w:val="000000"/>
        </w:rPr>
      </w:pPr>
      <w:r>
        <w:rPr>
          <w:rFonts w:ascii="Arial" w:eastAsia="Arial" w:hAnsi="Arial" w:cs="Arial"/>
          <w:color w:val="000000"/>
        </w:rPr>
        <w:t>The findings of the study can offer insightful information on how teachers can assist students in developing the necessary levels of motivation and self-esteem to improve their proficiency in the Filipino language. Several studies have conducted similar ideas, however, there is a lack of research on how different levels of motivation, alongside self-esteem interact specifically to influence Filipino language proficiency among junior high school students, leaving a gap in research exploring the factors that influence students' proficiency in using the Filipino language, particularly in academic writing. This study aim</w:t>
      </w:r>
      <w:r>
        <w:rPr>
          <w:rFonts w:ascii="Arial" w:eastAsia="Arial" w:hAnsi="Arial" w:cs="Arial"/>
        </w:rPr>
        <w:t>ed</w:t>
      </w:r>
      <w:r>
        <w:rPr>
          <w:rFonts w:ascii="Arial" w:eastAsia="Arial" w:hAnsi="Arial" w:cs="Arial"/>
          <w:color w:val="000000"/>
        </w:rPr>
        <w:t xml:space="preserve"> to fill that gap by investigating how these psychological factors influence the students’ level of proficiency in the Filipino language.</w:t>
      </w:r>
    </w:p>
    <w:p w14:paraId="4604D47B" w14:textId="77777777" w:rsidR="00382604" w:rsidRDefault="00382604">
      <w:pPr>
        <w:jc w:val="both"/>
        <w:rPr>
          <w:rFonts w:ascii="Arial" w:eastAsia="Arial" w:hAnsi="Arial" w:cs="Arial"/>
          <w:color w:val="000000"/>
        </w:rPr>
      </w:pPr>
    </w:p>
    <w:p w14:paraId="42585883" w14:textId="77777777" w:rsidR="00382604" w:rsidRDefault="00F91166">
      <w:pPr>
        <w:spacing w:after="240"/>
        <w:jc w:val="both"/>
        <w:rPr>
          <w:rFonts w:ascii="Arial" w:eastAsia="Arial" w:hAnsi="Arial" w:cs="Arial"/>
          <w:b/>
          <w:color w:val="000000"/>
          <w:sz w:val="22"/>
          <w:szCs w:val="22"/>
        </w:rPr>
      </w:pPr>
      <w:r>
        <w:rPr>
          <w:rFonts w:ascii="Arial" w:eastAsia="Arial" w:hAnsi="Arial" w:cs="Arial"/>
          <w:b/>
          <w:color w:val="000000"/>
          <w:sz w:val="22"/>
          <w:szCs w:val="22"/>
        </w:rPr>
        <w:t>1.1 Hypothesis</w:t>
      </w:r>
    </w:p>
    <w:p w14:paraId="52486DA9" w14:textId="77777777" w:rsidR="00382604" w:rsidRDefault="00F91166">
      <w:pPr>
        <w:spacing w:after="240"/>
        <w:jc w:val="both"/>
        <w:rPr>
          <w:rFonts w:ascii="Arial" w:eastAsia="Arial" w:hAnsi="Arial" w:cs="Arial"/>
          <w:color w:val="000000"/>
        </w:rPr>
      </w:pPr>
      <w:r>
        <w:rPr>
          <w:rFonts w:ascii="Arial" w:eastAsia="Arial" w:hAnsi="Arial" w:cs="Arial"/>
          <w:color w:val="000000"/>
        </w:rPr>
        <w:t>HO</w:t>
      </w:r>
      <w:r>
        <w:rPr>
          <w:rFonts w:ascii="Arial" w:eastAsia="Arial" w:hAnsi="Arial" w:cs="Arial"/>
          <w:color w:val="000000"/>
          <w:vertAlign w:val="superscript"/>
        </w:rPr>
        <w:t>1</w:t>
      </w:r>
      <w:r>
        <w:rPr>
          <w:rFonts w:ascii="Arial" w:eastAsia="Arial" w:hAnsi="Arial" w:cs="Arial"/>
          <w:color w:val="000000"/>
        </w:rPr>
        <w:t>: There is no significant relationship between students' level of motivation and self-esteem on Filipino language proficiency.</w:t>
      </w:r>
    </w:p>
    <w:p w14:paraId="3FA3BE97" w14:textId="77777777" w:rsidR="00382604" w:rsidRDefault="00F91166">
      <w:pPr>
        <w:spacing w:after="240"/>
        <w:jc w:val="both"/>
        <w:rPr>
          <w:rFonts w:ascii="Arial" w:eastAsia="Arial" w:hAnsi="Arial" w:cs="Arial"/>
          <w:b/>
          <w:color w:val="000000"/>
          <w:sz w:val="22"/>
          <w:szCs w:val="22"/>
        </w:rPr>
      </w:pPr>
      <w:r>
        <w:rPr>
          <w:rFonts w:ascii="Arial" w:eastAsia="Arial" w:hAnsi="Arial" w:cs="Arial"/>
          <w:b/>
          <w:color w:val="000000"/>
          <w:sz w:val="22"/>
          <w:szCs w:val="22"/>
        </w:rPr>
        <w:t>1.2 Scope and Delimitation of the Study</w:t>
      </w:r>
    </w:p>
    <w:p w14:paraId="07D38AAA"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The scope of this study </w:t>
      </w:r>
      <w:r>
        <w:rPr>
          <w:rFonts w:ascii="Arial" w:eastAsia="Arial" w:hAnsi="Arial" w:cs="Arial"/>
        </w:rPr>
        <w:t>was</w:t>
      </w:r>
      <w:r>
        <w:rPr>
          <w:rFonts w:ascii="Arial" w:eastAsia="Arial" w:hAnsi="Arial" w:cs="Arial"/>
          <w:color w:val="000000"/>
        </w:rPr>
        <w:t xml:space="preserve"> to examine the relationship between junior high school students' levels of motivation, self-esteem, and proficiency in the Filipino language. Among five hundred sixteen (516) Junior High School students enrolled for the school year 2024-2025 of San Isidro College, a total of two hundred thirteen (213) students were selected randomly as participants, based on the sample size calculated using the Cochran Sample Size Calculator. Additionally, the study was conducted at San Isidro College, </w:t>
      </w:r>
      <w:proofErr w:type="spellStart"/>
      <w:r>
        <w:rPr>
          <w:rFonts w:ascii="Arial" w:eastAsia="Arial" w:hAnsi="Arial" w:cs="Arial"/>
          <w:color w:val="000000"/>
        </w:rPr>
        <w:t>Impalambong</w:t>
      </w:r>
      <w:proofErr w:type="spellEnd"/>
      <w:r>
        <w:rPr>
          <w:rFonts w:ascii="Arial" w:eastAsia="Arial" w:hAnsi="Arial" w:cs="Arial"/>
          <w:color w:val="000000"/>
        </w:rPr>
        <w:t xml:space="preserve">, </w:t>
      </w:r>
      <w:proofErr w:type="spellStart"/>
      <w:r>
        <w:rPr>
          <w:rFonts w:ascii="Arial" w:eastAsia="Arial" w:hAnsi="Arial" w:cs="Arial"/>
          <w:color w:val="000000"/>
        </w:rPr>
        <w:t>Malaybalay</w:t>
      </w:r>
      <w:proofErr w:type="spellEnd"/>
      <w:r>
        <w:rPr>
          <w:rFonts w:ascii="Arial" w:eastAsia="Arial" w:hAnsi="Arial" w:cs="Arial"/>
          <w:color w:val="000000"/>
        </w:rPr>
        <w:t xml:space="preserve"> City, </w:t>
      </w:r>
      <w:proofErr w:type="spellStart"/>
      <w:r>
        <w:rPr>
          <w:rFonts w:ascii="Arial" w:eastAsia="Arial" w:hAnsi="Arial" w:cs="Arial"/>
          <w:color w:val="000000"/>
        </w:rPr>
        <w:t>Bukidnon</w:t>
      </w:r>
      <w:proofErr w:type="spellEnd"/>
      <w:r>
        <w:rPr>
          <w:rFonts w:ascii="Arial" w:eastAsia="Arial" w:hAnsi="Arial" w:cs="Arial"/>
          <w:color w:val="000000"/>
        </w:rPr>
        <w:t>, Philippines, with a time frame delimitation of seven months.</w:t>
      </w:r>
    </w:p>
    <w:p w14:paraId="597B4D22"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Prior to gathering final data, a pilot test was conducted involving forty-two (42) junior high school students, in order to ensure the validity and reliability of the research instrument. The non-participants were excluded from the final data gathering to ensure the integrity of the study. Moreover, the researchers utilized a quantitative research design, employing a descriptive correlational analysis to explore the relationship among students' levels of motivation, self-esteem, and Filipino language proficiency. </w:t>
      </w:r>
    </w:p>
    <w:p w14:paraId="6A4B0616"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The data was collected through an adapted and researcher-made questionnaire. The questionnaire for the motivation variable is adapted from the study of Torres and </w:t>
      </w:r>
      <w:proofErr w:type="spellStart"/>
      <w:r>
        <w:rPr>
          <w:rFonts w:ascii="Arial" w:eastAsia="Arial" w:hAnsi="Arial" w:cs="Arial"/>
          <w:color w:val="000000"/>
        </w:rPr>
        <w:t>Alieto</w:t>
      </w:r>
      <w:proofErr w:type="spellEnd"/>
      <w:r>
        <w:rPr>
          <w:rFonts w:ascii="Arial" w:eastAsia="Arial" w:hAnsi="Arial" w:cs="Arial"/>
          <w:color w:val="000000"/>
        </w:rPr>
        <w:t xml:space="preserve"> (2019). Meanwhile, the questionnaire for the self-esteem variable is adapted from the study of Reasoner (2020). Moreover, the data was analyzed and calculated using descriptive statistics, including mean, frequency, percentage, and standard deviation, and as well as inferential statistics, such as the Pearson-Correlation Coefficient (r) to measure the relationship between levels of motivation (both intrinsic and extrinsic) and self-esteem (identity, belonging, purpose, and competence) towards students’ Filipino language proficiency.</w:t>
      </w:r>
    </w:p>
    <w:p w14:paraId="5B357A0B" w14:textId="77777777" w:rsidR="00382604" w:rsidRDefault="00F91166">
      <w:pPr>
        <w:spacing w:after="240"/>
        <w:jc w:val="both"/>
        <w:rPr>
          <w:rFonts w:ascii="Arial" w:eastAsia="Arial" w:hAnsi="Arial" w:cs="Arial"/>
          <w:color w:val="000000"/>
        </w:rPr>
      </w:pPr>
      <w:r>
        <w:rPr>
          <w:rFonts w:ascii="Arial" w:eastAsia="Arial" w:hAnsi="Arial" w:cs="Arial"/>
          <w:color w:val="000000"/>
        </w:rPr>
        <w:t>Furthermore, in examining the proficiency levels of students in the Filipino language, the study evaluated their writing skills, wherein the randomly selected participants were tasked to respond to a given topic and write an essay with a minimum of 5 sentences</w:t>
      </w:r>
      <w:r>
        <w:rPr>
          <w:rFonts w:ascii="Arial" w:eastAsia="Arial" w:hAnsi="Arial" w:cs="Arial"/>
          <w:i/>
          <w:color w:val="000000"/>
        </w:rPr>
        <w:t>.</w:t>
      </w:r>
      <w:r>
        <w:rPr>
          <w:rFonts w:ascii="Arial" w:eastAsia="Arial" w:hAnsi="Arial" w:cs="Arial"/>
          <w:color w:val="000000"/>
        </w:rPr>
        <w:t xml:space="preserve"> Consequently, the responses were assessed by a qualified Filipino instructor, using a Likert scale criterion </w:t>
      </w:r>
      <w:r>
        <w:rPr>
          <w:rFonts w:ascii="Arial" w:eastAsia="Arial" w:hAnsi="Arial" w:cs="Arial"/>
          <w:color w:val="000000"/>
        </w:rPr>
        <w:lastRenderedPageBreak/>
        <w:t xml:space="preserve">that includes </w:t>
      </w:r>
      <w:proofErr w:type="spellStart"/>
      <w:r>
        <w:rPr>
          <w:rFonts w:ascii="Arial" w:eastAsia="Arial" w:hAnsi="Arial" w:cs="Arial"/>
          <w:color w:val="000000"/>
        </w:rPr>
        <w:t>Nilalaman</w:t>
      </w:r>
      <w:proofErr w:type="spellEnd"/>
      <w:r>
        <w:rPr>
          <w:rFonts w:ascii="Arial" w:eastAsia="Arial" w:hAnsi="Arial" w:cs="Arial"/>
          <w:color w:val="000000"/>
        </w:rPr>
        <w:t xml:space="preserve"> (content),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w:t>
      </w:r>
      <w:proofErr w:type="spellStart"/>
      <w:r>
        <w:rPr>
          <w:rFonts w:ascii="Arial" w:eastAsia="Arial" w:hAnsi="Arial" w:cs="Arial"/>
          <w:color w:val="000000"/>
        </w:rPr>
        <w:t>Mekaniks</w:t>
      </w:r>
      <w:proofErr w:type="spellEnd"/>
      <w:r>
        <w:rPr>
          <w:rFonts w:ascii="Arial" w:eastAsia="Arial" w:hAnsi="Arial" w:cs="Arial"/>
          <w:color w:val="000000"/>
        </w:rPr>
        <w:t xml:space="preserve"> (mechanics), </w:t>
      </w:r>
      <w:proofErr w:type="spellStart"/>
      <w:r>
        <w:rPr>
          <w:rFonts w:ascii="Arial" w:eastAsia="Arial" w:hAnsi="Arial" w:cs="Arial"/>
          <w:color w:val="000000"/>
        </w:rPr>
        <w:t>Gramatika</w:t>
      </w:r>
      <w:proofErr w:type="spellEnd"/>
      <w:r>
        <w:rPr>
          <w:rFonts w:ascii="Arial" w:eastAsia="Arial" w:hAnsi="Arial" w:cs="Arial"/>
          <w:color w:val="000000"/>
        </w:rPr>
        <w:t xml:space="preserve"> (grammar), and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with each component rated on a scale of 1 to 5, wherein it indicates: (1) Very Low, (2) Low, (3) Moderate, (4) High, and (5) Very High.</w:t>
      </w:r>
    </w:p>
    <w:p w14:paraId="2D97E219"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36C9945A" w14:textId="77777777" w:rsidR="00382604" w:rsidRDefault="00382604">
      <w:pPr>
        <w:keepNext/>
        <w:jc w:val="both"/>
        <w:rPr>
          <w:rFonts w:ascii="Arial" w:eastAsia="Arial" w:hAnsi="Arial" w:cs="Arial"/>
          <w:b/>
          <w:smallCaps/>
          <w:color w:val="000000"/>
          <w:sz w:val="22"/>
          <w:szCs w:val="22"/>
        </w:rPr>
      </w:pPr>
    </w:p>
    <w:p w14:paraId="6E4D0E2B"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Research Design</w:t>
      </w:r>
    </w:p>
    <w:p w14:paraId="1D2580C8" w14:textId="77777777" w:rsidR="00382604" w:rsidRDefault="00382604">
      <w:pPr>
        <w:jc w:val="both"/>
        <w:rPr>
          <w:rFonts w:ascii="Arial" w:eastAsia="Arial" w:hAnsi="Arial" w:cs="Arial"/>
          <w:color w:val="000000"/>
        </w:rPr>
      </w:pPr>
    </w:p>
    <w:p w14:paraId="42CA478E" w14:textId="77777777" w:rsidR="00382604" w:rsidRDefault="00F91166">
      <w:pPr>
        <w:jc w:val="both"/>
        <w:rPr>
          <w:rFonts w:ascii="Arial" w:eastAsia="Arial" w:hAnsi="Arial" w:cs="Arial"/>
          <w:color w:val="000000"/>
        </w:rPr>
      </w:pPr>
      <w:r>
        <w:rPr>
          <w:rFonts w:ascii="Arial" w:eastAsia="Arial" w:hAnsi="Arial" w:cs="Arial"/>
          <w:color w:val="000000"/>
        </w:rPr>
        <w:t>This study utilized a quantitative descriptive-correlational design to explore the relationship between junior high school students’ level of motivation, self-esteem, and Filipino language proficiency. With the use of this method, it allowed a systematic measurement and analysis of data, helping to identify the correlation between the variables of motivation, in terms of intrinsic motivation and extrinsic motivation, as well as self-esteem in terms of identity, belonging, purpose, and competence, in relation to junior high school students’ Filipino language proficiency.</w:t>
      </w:r>
    </w:p>
    <w:p w14:paraId="6527F6B0" w14:textId="77777777" w:rsidR="00382604" w:rsidRDefault="00F91166">
      <w:pPr>
        <w:jc w:val="both"/>
        <w:rPr>
          <w:rFonts w:ascii="Arial" w:eastAsia="Arial" w:hAnsi="Arial" w:cs="Arial"/>
          <w:color w:val="000000"/>
        </w:rPr>
      </w:pPr>
      <w:r>
        <w:rPr>
          <w:rFonts w:ascii="Arial" w:eastAsia="Arial" w:hAnsi="Arial" w:cs="Arial"/>
          <w:color w:val="000000"/>
        </w:rPr>
        <w:t xml:space="preserve"> </w:t>
      </w:r>
    </w:p>
    <w:p w14:paraId="492FB18D" w14:textId="77777777" w:rsidR="00382604" w:rsidRDefault="00F91166">
      <w:pPr>
        <w:jc w:val="both"/>
        <w:rPr>
          <w:rFonts w:ascii="Arial" w:eastAsia="Arial" w:hAnsi="Arial" w:cs="Arial"/>
          <w:color w:val="000000"/>
        </w:rPr>
      </w:pPr>
      <w:r>
        <w:rPr>
          <w:rFonts w:ascii="Arial" w:eastAsia="Arial" w:hAnsi="Arial" w:cs="Arial"/>
          <w:b/>
          <w:smallCaps/>
          <w:color w:val="000000"/>
          <w:sz w:val="22"/>
          <w:szCs w:val="22"/>
        </w:rPr>
        <w:t xml:space="preserve">2.2 </w:t>
      </w:r>
      <w:r>
        <w:rPr>
          <w:rFonts w:ascii="Arial" w:eastAsia="Arial" w:hAnsi="Arial" w:cs="Arial"/>
          <w:b/>
          <w:color w:val="000000"/>
          <w:sz w:val="22"/>
          <w:szCs w:val="22"/>
        </w:rPr>
        <w:t>Research Participants</w:t>
      </w:r>
    </w:p>
    <w:p w14:paraId="45BB527A" w14:textId="77777777" w:rsidR="00382604" w:rsidRDefault="00382604">
      <w:pPr>
        <w:jc w:val="both"/>
        <w:rPr>
          <w:rFonts w:ascii="Arial" w:eastAsia="Arial" w:hAnsi="Arial" w:cs="Arial"/>
          <w:color w:val="000000"/>
        </w:rPr>
      </w:pPr>
    </w:p>
    <w:p w14:paraId="3E57ED82" w14:textId="77777777" w:rsidR="00382604" w:rsidRDefault="00F91166">
      <w:pPr>
        <w:jc w:val="both"/>
        <w:rPr>
          <w:rFonts w:ascii="Arial" w:eastAsia="Arial" w:hAnsi="Arial" w:cs="Arial"/>
          <w:color w:val="000000"/>
        </w:rPr>
      </w:pPr>
      <w:r>
        <w:rPr>
          <w:rFonts w:ascii="Arial" w:eastAsia="Arial" w:hAnsi="Arial" w:cs="Arial"/>
          <w:color w:val="000000"/>
        </w:rPr>
        <w:t>This study involved a total of two hundred thirteen (213) Junior High School students, who are enrolled at San Isidro College for the academic year 2024-2025. The participants' involvement provided critical insights into the study's exploration of the relationships between the levels of motivation, in terms of intrinsic motivation and extrinsic motivation, as well as self-esteem, which was examined in terms of identity, belonging, purpose, and competence, in relation to junior high school students’ Filipino language proficiency. The data collected from the participants acts as the basis for analyzing the proposed key variables and understanding how they correlate with each other.</w:t>
      </w:r>
    </w:p>
    <w:p w14:paraId="4E3F703D" w14:textId="77777777" w:rsidR="00382604" w:rsidRDefault="00382604">
      <w:pPr>
        <w:jc w:val="both"/>
        <w:rPr>
          <w:rFonts w:ascii="Arial" w:eastAsia="Arial" w:hAnsi="Arial" w:cs="Arial"/>
          <w:color w:val="000000"/>
        </w:rPr>
      </w:pPr>
    </w:p>
    <w:p w14:paraId="72C1B018"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2.3 </w:t>
      </w:r>
      <w:r>
        <w:rPr>
          <w:rFonts w:ascii="Arial" w:eastAsia="Arial" w:hAnsi="Arial" w:cs="Arial"/>
          <w:b/>
          <w:color w:val="000000"/>
          <w:sz w:val="22"/>
          <w:szCs w:val="22"/>
        </w:rPr>
        <w:t>Research Instrument</w:t>
      </w:r>
    </w:p>
    <w:p w14:paraId="0B8D840E" w14:textId="77777777" w:rsidR="00382604" w:rsidRDefault="00382604">
      <w:pPr>
        <w:jc w:val="both"/>
        <w:rPr>
          <w:rFonts w:ascii="Arial" w:eastAsia="Arial" w:hAnsi="Arial" w:cs="Arial"/>
          <w:b/>
          <w:color w:val="000000"/>
          <w:sz w:val="22"/>
          <w:szCs w:val="22"/>
        </w:rPr>
      </w:pPr>
    </w:p>
    <w:p w14:paraId="4F0FBFF6"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The study utilized a validated, adapted and researcher-made questionnaire to obtain the required data for the study’s objectives. The questionnaire for motivation, in terms of intrinsic motivation and extrinsic motivation, was adapted from Torres and </w:t>
      </w:r>
      <w:proofErr w:type="spellStart"/>
      <w:r>
        <w:rPr>
          <w:rFonts w:ascii="Arial" w:eastAsia="Arial" w:hAnsi="Arial" w:cs="Arial"/>
          <w:color w:val="000000"/>
        </w:rPr>
        <w:t>Alieto</w:t>
      </w:r>
      <w:proofErr w:type="spellEnd"/>
      <w:r>
        <w:rPr>
          <w:rFonts w:ascii="Arial" w:eastAsia="Arial" w:hAnsi="Arial" w:cs="Arial"/>
          <w:color w:val="000000"/>
        </w:rPr>
        <w:t xml:space="preserve"> (2019). This was aligned to assess the participants' levels of motivation in learning Filipino. Additionally, the self-esteem questionnaire used in this study was adapted from the framework proposed by Reasoner and Dusa (1991), which outlines five components of self-esteem: identity, belonging, purpose, competence, and security. However, for this study, the "security" component was excluded to better align the instrument with the study's objectives. The adapted and researcher-made questionnaire assessed motivation in terms of intrinsic motivation and extrinsic motivation, as well as self-esteem in terms of identity, belonging, purpose, and competence, with the objective of examining how these dimensions interact with students’ Filipino language proficiency.</w:t>
      </w:r>
    </w:p>
    <w:p w14:paraId="2A442705"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Both the motivation and self-esteem scales used a five-point Likert scale. The interpretation scale for the junior high school students’ levels of motivation, specifically intrinsic and extrinsic motivation, was adapted from Deci </w:t>
      </w:r>
      <w:r>
        <w:rPr>
          <w:rFonts w:ascii="Arial" w:eastAsia="Arial" w:hAnsi="Arial" w:cs="Arial"/>
        </w:rPr>
        <w:t>and</w:t>
      </w:r>
      <w:r>
        <w:rPr>
          <w:rFonts w:ascii="Arial" w:eastAsia="Arial" w:hAnsi="Arial" w:cs="Arial"/>
          <w:color w:val="000000"/>
        </w:rPr>
        <w:t xml:space="preserve"> Ryan (1985); the interpretation scale for self-esteem, specifically identity, belonging, purpose, and competence, was adapted from the Rosenberg Self-Esteem Scale (RSES) (1965). The five-point Likert scale interprets 5 as Very High, 4 as High, 3 as Moderate, 2 as Low, and 1 as Very Low. It provides a structured and objective way to assess participants' responses, assigning scores and corresponding interpretations (Joshi, et al., 2015). This system allows for a detailed and accurate analysis of students' motivation and self-esteem levels, ensuring the integrity and reliability of the data.</w:t>
      </w:r>
    </w:p>
    <w:p w14:paraId="1399BED0" w14:textId="77777777" w:rsidR="0068275E" w:rsidRPr="00E0669F" w:rsidRDefault="0068275E" w:rsidP="0068275E">
      <w:pPr>
        <w:jc w:val="both"/>
        <w:rPr>
          <w:rFonts w:ascii="Arial" w:eastAsia="Arial" w:hAnsi="Arial" w:cs="Arial"/>
          <w:color w:val="000000"/>
          <w:highlight w:val="cyan"/>
        </w:rPr>
      </w:pPr>
      <w:r w:rsidRPr="003448F3">
        <w:rPr>
          <w:rFonts w:ascii="Arial" w:eastAsia="Arial" w:hAnsi="Arial" w:cs="Arial"/>
          <w:color w:val="000000"/>
        </w:rPr>
        <w:lastRenderedPageBreak/>
        <w:t xml:space="preserve">Furthermore, the Filipino language proficiency test used in this study is analyzed based on The Common European Framework of Reference for Languages (CEFR) (2001), which was adapted to focus on the specific aspects of Filipino language proficiency relevant to this study. </w:t>
      </w:r>
      <w:r w:rsidR="00E0669F">
        <w:rPr>
          <w:rFonts w:ascii="Arial" w:eastAsia="Arial" w:hAnsi="Arial" w:cs="Arial"/>
          <w:color w:val="000000"/>
          <w:highlight w:val="cyan"/>
        </w:rPr>
        <w:t>The participants</w:t>
      </w:r>
      <w:r w:rsidRPr="00E0669F">
        <w:rPr>
          <w:rFonts w:ascii="Arial" w:eastAsia="Arial" w:hAnsi="Arial" w:cs="Arial"/>
          <w:color w:val="000000"/>
          <w:highlight w:val="cyan"/>
        </w:rPr>
        <w:t xml:space="preserve"> were asked to write a short composition in response to the prompt: “Sa </w:t>
      </w:r>
      <w:proofErr w:type="spellStart"/>
      <w:r w:rsidRPr="00E0669F">
        <w:rPr>
          <w:rFonts w:ascii="Arial" w:eastAsia="Arial" w:hAnsi="Arial" w:cs="Arial"/>
          <w:color w:val="000000"/>
          <w:highlight w:val="cyan"/>
        </w:rPr>
        <w:t>iyong</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palagay</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bakit</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mahalagang</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pag-aralan</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ang</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wikang</w:t>
      </w:r>
      <w:proofErr w:type="spellEnd"/>
      <w:r w:rsidRPr="00E0669F">
        <w:rPr>
          <w:rFonts w:ascii="Arial" w:eastAsia="Arial" w:hAnsi="Arial" w:cs="Arial"/>
          <w:color w:val="000000"/>
          <w:highlight w:val="cyan"/>
        </w:rPr>
        <w:t xml:space="preserve"> Filipino </w:t>
      </w:r>
      <w:proofErr w:type="spellStart"/>
      <w:r w:rsidRPr="00E0669F">
        <w:rPr>
          <w:rFonts w:ascii="Arial" w:eastAsia="Arial" w:hAnsi="Arial" w:cs="Arial"/>
          <w:color w:val="000000"/>
          <w:highlight w:val="cyan"/>
        </w:rPr>
        <w:t>sa</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kasalukuyang</w:t>
      </w:r>
      <w:proofErr w:type="spellEnd"/>
      <w:r w:rsidRPr="00E0669F">
        <w:rPr>
          <w:rFonts w:ascii="Arial" w:eastAsia="Arial" w:hAnsi="Arial" w:cs="Arial"/>
          <w:color w:val="000000"/>
          <w:highlight w:val="cyan"/>
        </w:rPr>
        <w:t xml:space="preserve"> </w:t>
      </w:r>
      <w:proofErr w:type="spellStart"/>
      <w:r w:rsidRPr="00E0669F">
        <w:rPr>
          <w:rFonts w:ascii="Arial" w:eastAsia="Arial" w:hAnsi="Arial" w:cs="Arial"/>
          <w:color w:val="000000"/>
          <w:highlight w:val="cyan"/>
        </w:rPr>
        <w:t>henerasyon</w:t>
      </w:r>
      <w:proofErr w:type="spellEnd"/>
      <w:r w:rsidRPr="00E0669F">
        <w:rPr>
          <w:rFonts w:ascii="Arial" w:eastAsia="Arial" w:hAnsi="Arial" w:cs="Arial"/>
          <w:color w:val="000000"/>
          <w:highlight w:val="cyan"/>
        </w:rPr>
        <w:t>?” (“In your opinion, why is it important to learn the Filipino language in today’s generation?”).</w:t>
      </w:r>
    </w:p>
    <w:p w14:paraId="0C39FCCB" w14:textId="77777777" w:rsidR="0068275E" w:rsidRPr="00E0669F" w:rsidRDefault="0068275E" w:rsidP="0068275E">
      <w:pPr>
        <w:jc w:val="both"/>
        <w:rPr>
          <w:rFonts w:ascii="Arial" w:eastAsia="Arial" w:hAnsi="Arial" w:cs="Arial"/>
          <w:color w:val="000000"/>
          <w:highlight w:val="cyan"/>
        </w:rPr>
      </w:pPr>
    </w:p>
    <w:p w14:paraId="27A3B94F" w14:textId="77777777" w:rsidR="0068275E" w:rsidRPr="003448F3" w:rsidRDefault="0068275E" w:rsidP="0068275E">
      <w:pPr>
        <w:jc w:val="both"/>
        <w:rPr>
          <w:rFonts w:ascii="Arial" w:hAnsi="Arial" w:cs="Arial"/>
        </w:rPr>
      </w:pPr>
      <w:r w:rsidRPr="00E0669F">
        <w:rPr>
          <w:rFonts w:ascii="Arial" w:hAnsi="Arial" w:cs="Arial"/>
          <w:highlight w:val="cyan"/>
        </w:rPr>
        <w:t xml:space="preserve">To assess the written compositions, a scoring rubric was employed, evaluating five areas: </w:t>
      </w:r>
      <w:proofErr w:type="spellStart"/>
      <w:r w:rsidRPr="00E0669F">
        <w:rPr>
          <w:rStyle w:val="Emphasis"/>
          <w:rFonts w:ascii="Arial" w:hAnsi="Arial" w:cs="Arial"/>
          <w:i w:val="0"/>
          <w:highlight w:val="cyan"/>
        </w:rPr>
        <w:t>Nilalaman</w:t>
      </w:r>
      <w:proofErr w:type="spellEnd"/>
      <w:r w:rsidRPr="00E0669F">
        <w:rPr>
          <w:rFonts w:ascii="Arial" w:hAnsi="Arial" w:cs="Arial"/>
          <w:i/>
          <w:highlight w:val="cyan"/>
        </w:rPr>
        <w:t xml:space="preserve"> </w:t>
      </w:r>
      <w:r w:rsidRPr="00E0669F">
        <w:rPr>
          <w:rFonts w:ascii="Arial" w:hAnsi="Arial" w:cs="Arial"/>
          <w:highlight w:val="cyan"/>
        </w:rPr>
        <w:t xml:space="preserve">(Content), </w:t>
      </w:r>
      <w:proofErr w:type="spellStart"/>
      <w:r w:rsidRPr="00E0669F">
        <w:rPr>
          <w:rStyle w:val="Emphasis"/>
          <w:rFonts w:ascii="Arial" w:hAnsi="Arial" w:cs="Arial"/>
          <w:i w:val="0"/>
          <w:highlight w:val="cyan"/>
        </w:rPr>
        <w:t>Talasalitaan</w:t>
      </w:r>
      <w:proofErr w:type="spellEnd"/>
      <w:r w:rsidRPr="00E0669F">
        <w:rPr>
          <w:rFonts w:ascii="Arial" w:hAnsi="Arial" w:cs="Arial"/>
          <w:highlight w:val="cyan"/>
        </w:rPr>
        <w:t xml:space="preserve"> (Vocabulary), </w:t>
      </w:r>
      <w:proofErr w:type="spellStart"/>
      <w:r w:rsidRPr="00E0669F">
        <w:rPr>
          <w:rStyle w:val="Emphasis"/>
          <w:rFonts w:ascii="Arial" w:hAnsi="Arial" w:cs="Arial"/>
          <w:i w:val="0"/>
          <w:highlight w:val="cyan"/>
        </w:rPr>
        <w:t>Mekaniks</w:t>
      </w:r>
      <w:proofErr w:type="spellEnd"/>
      <w:r w:rsidRPr="00E0669F">
        <w:rPr>
          <w:rFonts w:ascii="Arial" w:hAnsi="Arial" w:cs="Arial"/>
          <w:i/>
          <w:highlight w:val="cyan"/>
        </w:rPr>
        <w:t xml:space="preserve"> </w:t>
      </w:r>
      <w:r w:rsidRPr="00E0669F">
        <w:rPr>
          <w:rFonts w:ascii="Arial" w:hAnsi="Arial" w:cs="Arial"/>
          <w:highlight w:val="cyan"/>
        </w:rPr>
        <w:t>(Mechanics),</w:t>
      </w:r>
      <w:r w:rsidR="003448F3" w:rsidRPr="00E0669F">
        <w:rPr>
          <w:rFonts w:ascii="Arial" w:hAnsi="Arial" w:cs="Arial"/>
          <w:highlight w:val="cyan"/>
        </w:rPr>
        <w:t xml:space="preserve"> </w:t>
      </w:r>
      <w:proofErr w:type="spellStart"/>
      <w:r w:rsidRPr="00E0669F">
        <w:rPr>
          <w:rStyle w:val="Emphasis"/>
          <w:rFonts w:ascii="Arial" w:hAnsi="Arial" w:cs="Arial"/>
          <w:i w:val="0"/>
          <w:highlight w:val="cyan"/>
        </w:rPr>
        <w:t>Gramatika</w:t>
      </w:r>
      <w:proofErr w:type="spellEnd"/>
      <w:r w:rsidRPr="00E0669F">
        <w:rPr>
          <w:rFonts w:ascii="Arial" w:hAnsi="Arial" w:cs="Arial"/>
          <w:i/>
          <w:highlight w:val="cyan"/>
        </w:rPr>
        <w:t xml:space="preserve"> </w:t>
      </w:r>
      <w:r w:rsidRPr="00E0669F">
        <w:rPr>
          <w:rFonts w:ascii="Arial" w:hAnsi="Arial" w:cs="Arial"/>
          <w:highlight w:val="cyan"/>
        </w:rPr>
        <w:t xml:space="preserve">(Grammar), and </w:t>
      </w:r>
      <w:proofErr w:type="spellStart"/>
      <w:r w:rsidRPr="00E0669F">
        <w:rPr>
          <w:rStyle w:val="Emphasis"/>
          <w:rFonts w:ascii="Arial" w:hAnsi="Arial" w:cs="Arial"/>
          <w:i w:val="0"/>
          <w:highlight w:val="cyan"/>
        </w:rPr>
        <w:t>Organisasyon</w:t>
      </w:r>
      <w:proofErr w:type="spellEnd"/>
      <w:r w:rsidRPr="00E0669F">
        <w:rPr>
          <w:rFonts w:ascii="Arial" w:hAnsi="Arial" w:cs="Arial"/>
          <w:highlight w:val="cyan"/>
        </w:rPr>
        <w:t xml:space="preserve"> (Organization). Each area was rated on a scale of 1 to 5, with 5 being the highest. The rubric was developed based on established writing performance standards and was specifically tailored to reflect the academic context of junior high school students and the study’s local linguistic objectives. The assessments were conducted by a qualified Filipino subject instructor to ensure consistency, objectivity, and reliability in evaluating the participants' Filipino language proficiency.</w:t>
      </w:r>
    </w:p>
    <w:p w14:paraId="4F08E311" w14:textId="77777777" w:rsidR="003448F3" w:rsidRDefault="003448F3" w:rsidP="0068275E">
      <w:pPr>
        <w:jc w:val="both"/>
        <w:rPr>
          <w:rFonts w:ascii="Arial" w:eastAsia="Arial" w:hAnsi="Arial" w:cs="Arial"/>
          <w:b/>
          <w:color w:val="000000"/>
          <w:sz w:val="22"/>
          <w:szCs w:val="22"/>
        </w:rPr>
      </w:pPr>
    </w:p>
    <w:p w14:paraId="22FBD513" w14:textId="77777777" w:rsidR="00382604" w:rsidRDefault="00F91166">
      <w:pPr>
        <w:jc w:val="both"/>
        <w:rPr>
          <w:rFonts w:ascii="Arial" w:eastAsia="Arial" w:hAnsi="Arial" w:cs="Arial"/>
          <w:b/>
          <w:color w:val="000000"/>
          <w:sz w:val="22"/>
          <w:szCs w:val="22"/>
        </w:rPr>
      </w:pPr>
      <w:r>
        <w:rPr>
          <w:rFonts w:ascii="Arial" w:eastAsia="Arial" w:hAnsi="Arial" w:cs="Arial"/>
          <w:b/>
          <w:color w:val="000000"/>
          <w:sz w:val="22"/>
          <w:szCs w:val="22"/>
        </w:rPr>
        <w:t>2.4 Validity and Reliability of the Instruments</w:t>
      </w:r>
    </w:p>
    <w:p w14:paraId="322A01D6" w14:textId="77777777" w:rsidR="00382604" w:rsidRDefault="00382604">
      <w:pPr>
        <w:jc w:val="both"/>
        <w:rPr>
          <w:rFonts w:ascii="Arial" w:eastAsia="Arial" w:hAnsi="Arial" w:cs="Arial"/>
          <w:b/>
          <w:color w:val="000000"/>
          <w:sz w:val="22"/>
          <w:szCs w:val="22"/>
        </w:rPr>
      </w:pPr>
    </w:p>
    <w:p w14:paraId="1095309B"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To ensure the validity of the research instruments, experts </w:t>
      </w:r>
      <w:r>
        <w:rPr>
          <w:rFonts w:ascii="Arial" w:eastAsia="Arial" w:hAnsi="Arial" w:cs="Arial"/>
        </w:rPr>
        <w:t>were</w:t>
      </w:r>
      <w:r>
        <w:rPr>
          <w:rFonts w:ascii="Arial" w:eastAsia="Arial" w:hAnsi="Arial" w:cs="Arial"/>
          <w:color w:val="000000"/>
        </w:rPr>
        <w:t xml:space="preserve"> consulted for validation. The adapted and researcher-made questionnaire was reviewed by the research advisers to assess its clarity, relevance, and appropriateness in measuring the intended variables. The research advisers provided feedback and suggestions, which were used to refine and improve the questionnaire, ensuring its consistency and accuracy.</w:t>
      </w:r>
    </w:p>
    <w:p w14:paraId="4676772F" w14:textId="77777777" w:rsidR="00382604" w:rsidRDefault="00F91166">
      <w:pPr>
        <w:jc w:val="both"/>
        <w:rPr>
          <w:rFonts w:ascii="Arial" w:eastAsia="Arial" w:hAnsi="Arial" w:cs="Arial"/>
          <w:color w:val="000000"/>
        </w:rPr>
      </w:pPr>
      <w:r>
        <w:rPr>
          <w:rFonts w:ascii="Arial" w:eastAsia="Arial" w:hAnsi="Arial" w:cs="Arial"/>
          <w:color w:val="000000"/>
        </w:rPr>
        <w:t xml:space="preserve">Moreover, to ensure the reliability of the research instrument, a pilot test was conducted involving forty-two (42) junior high school students. The responses of the non-participants were analyzed using Cronbach's alpha, which resulted in a reliability coefficient of </w:t>
      </w:r>
      <w:r>
        <w:rPr>
          <w:rFonts w:ascii="Arial" w:eastAsia="Arial" w:hAnsi="Arial" w:cs="Arial"/>
          <w:i/>
          <w:color w:val="000000"/>
        </w:rPr>
        <w:t>α = 0.750</w:t>
      </w:r>
      <w:r>
        <w:rPr>
          <w:rFonts w:ascii="Arial" w:eastAsia="Arial" w:hAnsi="Arial" w:cs="Arial"/>
          <w:color w:val="000000"/>
        </w:rPr>
        <w:t xml:space="preserve"> for Intrinsic motivation and </w:t>
      </w:r>
      <w:r>
        <w:rPr>
          <w:rFonts w:ascii="Arial" w:eastAsia="Arial" w:hAnsi="Arial" w:cs="Arial"/>
          <w:i/>
          <w:color w:val="000000"/>
        </w:rPr>
        <w:t>α = 0.75</w:t>
      </w:r>
      <w:r>
        <w:rPr>
          <w:rFonts w:ascii="Arial" w:eastAsia="Arial" w:hAnsi="Arial" w:cs="Arial"/>
          <w:color w:val="000000"/>
        </w:rPr>
        <w:t xml:space="preserve">9 for Extrinsic motivation in the motivation scale. For the self-esteem scale, the coefficients were </w:t>
      </w:r>
      <w:r>
        <w:rPr>
          <w:rFonts w:ascii="Arial" w:eastAsia="Arial" w:hAnsi="Arial" w:cs="Arial"/>
          <w:i/>
          <w:color w:val="000000"/>
        </w:rPr>
        <w:t>α = 0.871</w:t>
      </w:r>
      <w:r>
        <w:rPr>
          <w:rFonts w:ascii="Arial" w:eastAsia="Arial" w:hAnsi="Arial" w:cs="Arial"/>
          <w:color w:val="000000"/>
        </w:rPr>
        <w:t xml:space="preserve"> for Identity, </w:t>
      </w:r>
      <w:r>
        <w:rPr>
          <w:rFonts w:ascii="Arial" w:eastAsia="Arial" w:hAnsi="Arial" w:cs="Arial"/>
          <w:i/>
          <w:color w:val="000000"/>
        </w:rPr>
        <w:t>α = 0.899</w:t>
      </w:r>
      <w:r>
        <w:rPr>
          <w:rFonts w:ascii="Arial" w:eastAsia="Arial" w:hAnsi="Arial" w:cs="Arial"/>
          <w:color w:val="000000"/>
        </w:rPr>
        <w:t xml:space="preserve"> for Belonging, </w:t>
      </w:r>
      <w:r>
        <w:rPr>
          <w:rFonts w:ascii="Arial" w:eastAsia="Arial" w:hAnsi="Arial" w:cs="Arial"/>
          <w:i/>
          <w:color w:val="000000"/>
        </w:rPr>
        <w:t>α = 0.898</w:t>
      </w:r>
      <w:r>
        <w:rPr>
          <w:rFonts w:ascii="Arial" w:eastAsia="Arial" w:hAnsi="Arial" w:cs="Arial"/>
          <w:color w:val="000000"/>
        </w:rPr>
        <w:t xml:space="preserve"> for Purpose, and </w:t>
      </w:r>
      <w:r>
        <w:rPr>
          <w:rFonts w:ascii="Arial" w:eastAsia="Arial" w:hAnsi="Arial" w:cs="Arial"/>
          <w:i/>
          <w:color w:val="000000"/>
        </w:rPr>
        <w:t>α = 0.920</w:t>
      </w:r>
      <w:r>
        <w:rPr>
          <w:rFonts w:ascii="Arial" w:eastAsia="Arial" w:hAnsi="Arial" w:cs="Arial"/>
          <w:color w:val="000000"/>
        </w:rPr>
        <w:t xml:space="preserve"> for Competence. These results indicate reliability of the instruments in measuring the motivation and self-esteem levels of the participants.</w:t>
      </w:r>
    </w:p>
    <w:p w14:paraId="49C72DDA" w14:textId="77777777" w:rsidR="00382604" w:rsidRDefault="00382604">
      <w:pPr>
        <w:jc w:val="both"/>
        <w:rPr>
          <w:rFonts w:ascii="Arial" w:eastAsia="Arial" w:hAnsi="Arial" w:cs="Arial"/>
          <w:b/>
          <w:color w:val="000000"/>
        </w:rPr>
      </w:pPr>
    </w:p>
    <w:p w14:paraId="7936CD9F" w14:textId="77777777" w:rsidR="00382604" w:rsidRDefault="00F91166">
      <w:pPr>
        <w:jc w:val="both"/>
        <w:rPr>
          <w:rFonts w:ascii="Arial" w:eastAsia="Arial" w:hAnsi="Arial" w:cs="Arial"/>
          <w:b/>
          <w:color w:val="000000"/>
          <w:sz w:val="22"/>
          <w:szCs w:val="22"/>
        </w:rPr>
      </w:pPr>
      <w:r>
        <w:rPr>
          <w:rFonts w:ascii="Arial" w:eastAsia="Arial" w:hAnsi="Arial" w:cs="Arial"/>
          <w:b/>
          <w:color w:val="000000"/>
          <w:sz w:val="22"/>
          <w:szCs w:val="22"/>
        </w:rPr>
        <w:t>2.5 Data Gathering Procedure</w:t>
      </w:r>
    </w:p>
    <w:p w14:paraId="467B4D44" w14:textId="77777777" w:rsidR="00382604" w:rsidRDefault="00382604">
      <w:pPr>
        <w:jc w:val="both"/>
        <w:rPr>
          <w:rFonts w:ascii="Arial" w:eastAsia="Arial" w:hAnsi="Arial" w:cs="Arial"/>
          <w:b/>
          <w:color w:val="000000"/>
          <w:sz w:val="22"/>
          <w:szCs w:val="22"/>
        </w:rPr>
      </w:pPr>
    </w:p>
    <w:p w14:paraId="034FF0F7" w14:textId="77777777" w:rsidR="00382604" w:rsidRDefault="00F91166">
      <w:pPr>
        <w:jc w:val="both"/>
        <w:rPr>
          <w:rFonts w:ascii="Arial" w:eastAsia="Arial" w:hAnsi="Arial" w:cs="Arial"/>
          <w:color w:val="000000"/>
        </w:rPr>
      </w:pPr>
      <w:r>
        <w:rPr>
          <w:rFonts w:ascii="Arial" w:eastAsia="Arial" w:hAnsi="Arial" w:cs="Arial"/>
          <w:color w:val="000000"/>
        </w:rPr>
        <w:t>Prior to gathering data, the researchers provided a letter for permission to conduct the study and obtained approval from the School Principal, Vice Principal for Academics, Class Advisers and the Participants. The form contained an outline of the confidentiality measures that were taken to safeguard their privacy, and provided information regarding the study's objectives, methodologies, and the rights of each participant. Consequently, the participants were requested to sign the consent form to signify their participation agreement.</w:t>
      </w:r>
    </w:p>
    <w:p w14:paraId="2CDBDD3E" w14:textId="77777777" w:rsidR="00382604" w:rsidRDefault="00382604">
      <w:pPr>
        <w:jc w:val="both"/>
        <w:rPr>
          <w:rFonts w:ascii="Arial" w:eastAsia="Arial" w:hAnsi="Arial" w:cs="Arial"/>
          <w:color w:val="000000"/>
        </w:rPr>
      </w:pPr>
    </w:p>
    <w:p w14:paraId="09C35F22" w14:textId="77777777" w:rsidR="00382604" w:rsidRDefault="00F91166">
      <w:pPr>
        <w:jc w:val="both"/>
        <w:rPr>
          <w:rFonts w:ascii="Arial" w:eastAsia="Arial" w:hAnsi="Arial" w:cs="Arial"/>
          <w:b/>
          <w:color w:val="000000"/>
          <w:sz w:val="22"/>
          <w:szCs w:val="22"/>
        </w:rPr>
      </w:pPr>
      <w:r>
        <w:rPr>
          <w:rFonts w:ascii="Arial" w:eastAsia="Arial" w:hAnsi="Arial" w:cs="Arial"/>
          <w:b/>
          <w:color w:val="000000"/>
          <w:sz w:val="22"/>
          <w:szCs w:val="22"/>
        </w:rPr>
        <w:t>2.6 Scoring Procedure</w:t>
      </w:r>
    </w:p>
    <w:p w14:paraId="27254A09" w14:textId="77777777" w:rsidR="00382604" w:rsidRDefault="00382604">
      <w:pPr>
        <w:jc w:val="both"/>
        <w:rPr>
          <w:rFonts w:ascii="Arial" w:eastAsia="Arial" w:hAnsi="Arial" w:cs="Arial"/>
          <w:b/>
          <w:color w:val="000000"/>
          <w:sz w:val="22"/>
          <w:szCs w:val="22"/>
        </w:rPr>
      </w:pPr>
    </w:p>
    <w:p w14:paraId="5C95F4F7" w14:textId="77777777" w:rsidR="00382604" w:rsidRDefault="00F91166">
      <w:pPr>
        <w:jc w:val="both"/>
        <w:rPr>
          <w:rFonts w:ascii="Arial" w:eastAsia="Arial" w:hAnsi="Arial" w:cs="Arial"/>
          <w:color w:val="000000"/>
        </w:rPr>
      </w:pPr>
      <w:r>
        <w:rPr>
          <w:rFonts w:ascii="Arial" w:eastAsia="Arial" w:hAnsi="Arial" w:cs="Arial"/>
          <w:color w:val="000000"/>
        </w:rPr>
        <w:t>To evaluate the participants' levels of motivation, self-esteem, and Filipino language proficiency, the study utilized three scoring systems. The first employs a five-point Likert scale adapted from Joshi et al. (2015), while the second uses a scoring method adapted and revised from the Common European Framework of Reference for Languages (CEFR, 2001) to assess overall Filipino language proficiency.</w:t>
      </w:r>
    </w:p>
    <w:p w14:paraId="7FE37C52" w14:textId="77777777" w:rsidR="00382604" w:rsidRDefault="00382604">
      <w:pPr>
        <w:jc w:val="both"/>
        <w:rPr>
          <w:rFonts w:ascii="Arial" w:eastAsia="Arial" w:hAnsi="Arial" w:cs="Arial"/>
          <w:color w:val="000000"/>
        </w:rPr>
      </w:pPr>
    </w:p>
    <w:p w14:paraId="552558C3" w14:textId="77777777" w:rsidR="00382604" w:rsidRDefault="00F91166">
      <w:pPr>
        <w:jc w:val="both"/>
        <w:rPr>
          <w:rFonts w:ascii="Arial" w:eastAsia="Arial" w:hAnsi="Arial" w:cs="Arial"/>
          <w:b/>
          <w:color w:val="000000"/>
          <w:u w:val="single"/>
        </w:rPr>
      </w:pPr>
      <w:r>
        <w:rPr>
          <w:rFonts w:ascii="Arial" w:eastAsia="Arial" w:hAnsi="Arial" w:cs="Arial"/>
          <w:b/>
          <w:color w:val="000000"/>
          <w:u w:val="single"/>
        </w:rPr>
        <w:t>2.6.1 list 1 - Interpretation of Likert Scale for Motivation, Self-Esteem, and Filipino Language Proficiency Components</w:t>
      </w:r>
    </w:p>
    <w:p w14:paraId="14CB1E2A" w14:textId="77777777" w:rsidR="00382604" w:rsidRDefault="00382604">
      <w:pPr>
        <w:jc w:val="both"/>
        <w:rPr>
          <w:rFonts w:ascii="Arial" w:eastAsia="Arial" w:hAnsi="Arial" w:cs="Arial"/>
          <w:color w:val="000000"/>
        </w:rPr>
      </w:pPr>
    </w:p>
    <w:tbl>
      <w:tblPr>
        <w:tblStyle w:val="Style72"/>
        <w:tblW w:w="6374" w:type="dxa"/>
        <w:jc w:val="center"/>
        <w:tblBorders>
          <w:insideH w:val="single" w:sz="4" w:space="0" w:color="000000"/>
          <w:insideV w:val="single" w:sz="4" w:space="0" w:color="000000"/>
        </w:tblBorders>
        <w:tblLayout w:type="fixed"/>
        <w:tblLook w:val="04A0" w:firstRow="1" w:lastRow="0" w:firstColumn="1" w:lastColumn="0" w:noHBand="0" w:noVBand="1"/>
      </w:tblPr>
      <w:tblGrid>
        <w:gridCol w:w="1980"/>
        <w:gridCol w:w="1843"/>
        <w:gridCol w:w="2551"/>
      </w:tblGrid>
      <w:tr w:rsidR="00382604" w14:paraId="037EC4B2" w14:textId="77777777">
        <w:trPr>
          <w:trHeight w:val="350"/>
          <w:jc w:val="center"/>
        </w:trPr>
        <w:tc>
          <w:tcPr>
            <w:tcW w:w="1980" w:type="dxa"/>
            <w:tcBorders>
              <w:top w:val="single" w:sz="4" w:space="0" w:color="000000"/>
              <w:left w:val="nil"/>
              <w:bottom w:val="single" w:sz="4" w:space="0" w:color="000000"/>
              <w:right w:val="nil"/>
            </w:tcBorders>
            <w:vAlign w:val="center"/>
          </w:tcPr>
          <w:p w14:paraId="4F50E542" w14:textId="77777777" w:rsidR="00382604" w:rsidRDefault="00F91166">
            <w:pPr>
              <w:jc w:val="center"/>
              <w:rPr>
                <w:rFonts w:ascii="Arial" w:eastAsia="Arial" w:hAnsi="Arial" w:cs="Arial"/>
                <w:b/>
              </w:rPr>
            </w:pPr>
            <w:r>
              <w:rPr>
                <w:rFonts w:ascii="Arial" w:eastAsia="Arial" w:hAnsi="Arial" w:cs="Arial"/>
                <w:b/>
              </w:rPr>
              <w:lastRenderedPageBreak/>
              <w:t>Scale</w:t>
            </w:r>
          </w:p>
        </w:tc>
        <w:tc>
          <w:tcPr>
            <w:tcW w:w="1843" w:type="dxa"/>
            <w:tcBorders>
              <w:top w:val="single" w:sz="4" w:space="0" w:color="000000"/>
              <w:left w:val="nil"/>
              <w:bottom w:val="single" w:sz="4" w:space="0" w:color="000000"/>
              <w:right w:val="nil"/>
            </w:tcBorders>
            <w:vAlign w:val="center"/>
          </w:tcPr>
          <w:p w14:paraId="6D77F110" w14:textId="77777777" w:rsidR="00382604" w:rsidRDefault="00F91166">
            <w:pPr>
              <w:jc w:val="center"/>
              <w:rPr>
                <w:rFonts w:ascii="Arial" w:eastAsia="Arial" w:hAnsi="Arial" w:cs="Arial"/>
                <w:b/>
              </w:rPr>
            </w:pPr>
            <w:r>
              <w:rPr>
                <w:rFonts w:ascii="Arial" w:eastAsia="Arial" w:hAnsi="Arial" w:cs="Arial"/>
                <w:b/>
              </w:rPr>
              <w:t>Range</w:t>
            </w:r>
          </w:p>
        </w:tc>
        <w:tc>
          <w:tcPr>
            <w:tcW w:w="2551" w:type="dxa"/>
            <w:tcBorders>
              <w:top w:val="single" w:sz="4" w:space="0" w:color="000000"/>
              <w:left w:val="nil"/>
              <w:bottom w:val="single" w:sz="4" w:space="0" w:color="000000"/>
              <w:right w:val="nil"/>
            </w:tcBorders>
            <w:vAlign w:val="center"/>
          </w:tcPr>
          <w:p w14:paraId="2D67D5B8" w14:textId="77777777" w:rsidR="00382604" w:rsidRDefault="00F91166">
            <w:pPr>
              <w:jc w:val="center"/>
              <w:rPr>
                <w:rFonts w:ascii="Arial" w:eastAsia="Arial" w:hAnsi="Arial" w:cs="Arial"/>
                <w:b/>
              </w:rPr>
            </w:pPr>
            <w:r>
              <w:rPr>
                <w:rFonts w:ascii="Arial" w:eastAsia="Arial" w:hAnsi="Arial" w:cs="Arial"/>
                <w:b/>
              </w:rPr>
              <w:t>Interpretation</w:t>
            </w:r>
          </w:p>
        </w:tc>
      </w:tr>
      <w:tr w:rsidR="00382604" w14:paraId="5996AF4A" w14:textId="77777777">
        <w:trPr>
          <w:trHeight w:val="437"/>
          <w:jc w:val="center"/>
        </w:trPr>
        <w:tc>
          <w:tcPr>
            <w:tcW w:w="1980" w:type="dxa"/>
            <w:tcBorders>
              <w:top w:val="single" w:sz="4" w:space="0" w:color="000000"/>
              <w:left w:val="nil"/>
              <w:bottom w:val="nil"/>
              <w:right w:val="nil"/>
            </w:tcBorders>
            <w:vAlign w:val="center"/>
          </w:tcPr>
          <w:p w14:paraId="314C93C4" w14:textId="77777777" w:rsidR="00382604" w:rsidRDefault="00F91166">
            <w:pPr>
              <w:spacing w:line="480" w:lineRule="auto"/>
              <w:jc w:val="center"/>
              <w:rPr>
                <w:rFonts w:ascii="Arial" w:eastAsia="Arial" w:hAnsi="Arial" w:cs="Arial"/>
              </w:rPr>
            </w:pPr>
            <w:r>
              <w:rPr>
                <w:rFonts w:ascii="Arial" w:eastAsia="Arial" w:hAnsi="Arial" w:cs="Arial"/>
              </w:rPr>
              <w:t>5</w:t>
            </w:r>
          </w:p>
        </w:tc>
        <w:tc>
          <w:tcPr>
            <w:tcW w:w="1843" w:type="dxa"/>
            <w:tcBorders>
              <w:top w:val="single" w:sz="4" w:space="0" w:color="000000"/>
              <w:left w:val="nil"/>
              <w:bottom w:val="nil"/>
              <w:right w:val="nil"/>
            </w:tcBorders>
            <w:vAlign w:val="center"/>
          </w:tcPr>
          <w:p w14:paraId="61CD9B65" w14:textId="77777777" w:rsidR="00382604" w:rsidRDefault="00F91166">
            <w:pPr>
              <w:spacing w:line="480" w:lineRule="auto"/>
              <w:jc w:val="center"/>
              <w:rPr>
                <w:rFonts w:ascii="Arial" w:eastAsia="Arial" w:hAnsi="Arial" w:cs="Arial"/>
              </w:rPr>
            </w:pPr>
            <w:r>
              <w:rPr>
                <w:rFonts w:ascii="Arial" w:eastAsia="Arial" w:hAnsi="Arial" w:cs="Arial"/>
              </w:rPr>
              <w:t xml:space="preserve">4.21 - 5.00 </w:t>
            </w:r>
          </w:p>
        </w:tc>
        <w:tc>
          <w:tcPr>
            <w:tcW w:w="2551" w:type="dxa"/>
            <w:tcBorders>
              <w:top w:val="single" w:sz="4" w:space="0" w:color="000000"/>
              <w:left w:val="nil"/>
              <w:bottom w:val="nil"/>
              <w:right w:val="nil"/>
            </w:tcBorders>
            <w:vAlign w:val="center"/>
          </w:tcPr>
          <w:p w14:paraId="27CF5FB0" w14:textId="77777777" w:rsidR="00382604" w:rsidRDefault="00F91166">
            <w:pPr>
              <w:spacing w:line="480" w:lineRule="auto"/>
              <w:jc w:val="center"/>
              <w:rPr>
                <w:rFonts w:ascii="Arial" w:eastAsia="Arial" w:hAnsi="Arial" w:cs="Arial"/>
              </w:rPr>
            </w:pPr>
            <w:r>
              <w:rPr>
                <w:rFonts w:ascii="Arial" w:eastAsia="Arial" w:hAnsi="Arial" w:cs="Arial"/>
              </w:rPr>
              <w:t>Very High</w:t>
            </w:r>
          </w:p>
        </w:tc>
      </w:tr>
      <w:tr w:rsidR="00382604" w14:paraId="65A10FBE" w14:textId="77777777">
        <w:trPr>
          <w:trHeight w:val="427"/>
          <w:jc w:val="center"/>
        </w:trPr>
        <w:tc>
          <w:tcPr>
            <w:tcW w:w="1980" w:type="dxa"/>
            <w:tcBorders>
              <w:top w:val="nil"/>
              <w:left w:val="nil"/>
              <w:bottom w:val="nil"/>
              <w:right w:val="nil"/>
            </w:tcBorders>
            <w:vAlign w:val="center"/>
          </w:tcPr>
          <w:p w14:paraId="04CF873F" w14:textId="77777777" w:rsidR="00382604" w:rsidRDefault="00F91166">
            <w:pPr>
              <w:spacing w:line="480" w:lineRule="auto"/>
              <w:jc w:val="center"/>
              <w:rPr>
                <w:rFonts w:ascii="Arial" w:eastAsia="Arial" w:hAnsi="Arial" w:cs="Arial"/>
              </w:rPr>
            </w:pPr>
            <w:r>
              <w:rPr>
                <w:rFonts w:ascii="Arial" w:eastAsia="Arial" w:hAnsi="Arial" w:cs="Arial"/>
              </w:rPr>
              <w:t>4</w:t>
            </w:r>
          </w:p>
        </w:tc>
        <w:tc>
          <w:tcPr>
            <w:tcW w:w="1843" w:type="dxa"/>
            <w:tcBorders>
              <w:top w:val="nil"/>
              <w:left w:val="nil"/>
              <w:bottom w:val="nil"/>
              <w:right w:val="nil"/>
            </w:tcBorders>
            <w:vAlign w:val="center"/>
          </w:tcPr>
          <w:p w14:paraId="28843BCD" w14:textId="77777777" w:rsidR="00382604" w:rsidRDefault="00F91166">
            <w:pPr>
              <w:spacing w:line="480" w:lineRule="auto"/>
              <w:jc w:val="center"/>
              <w:rPr>
                <w:rFonts w:ascii="Arial" w:eastAsia="Arial" w:hAnsi="Arial" w:cs="Arial"/>
              </w:rPr>
            </w:pPr>
            <w:r>
              <w:rPr>
                <w:rFonts w:ascii="Arial" w:eastAsia="Arial" w:hAnsi="Arial" w:cs="Arial"/>
              </w:rPr>
              <w:t>3.41 - 4.20</w:t>
            </w:r>
          </w:p>
        </w:tc>
        <w:tc>
          <w:tcPr>
            <w:tcW w:w="2551" w:type="dxa"/>
            <w:tcBorders>
              <w:top w:val="nil"/>
              <w:left w:val="nil"/>
              <w:bottom w:val="nil"/>
              <w:right w:val="nil"/>
            </w:tcBorders>
            <w:vAlign w:val="center"/>
          </w:tcPr>
          <w:p w14:paraId="73F6FEFC"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114EE1EB" w14:textId="77777777">
        <w:trPr>
          <w:trHeight w:val="427"/>
          <w:jc w:val="center"/>
        </w:trPr>
        <w:tc>
          <w:tcPr>
            <w:tcW w:w="1980" w:type="dxa"/>
            <w:tcBorders>
              <w:top w:val="nil"/>
              <w:left w:val="nil"/>
              <w:bottom w:val="nil"/>
              <w:right w:val="nil"/>
            </w:tcBorders>
            <w:vAlign w:val="center"/>
          </w:tcPr>
          <w:p w14:paraId="6EE5D226" w14:textId="77777777" w:rsidR="00382604" w:rsidRDefault="00F91166">
            <w:pPr>
              <w:spacing w:line="480" w:lineRule="auto"/>
              <w:jc w:val="center"/>
              <w:rPr>
                <w:rFonts w:ascii="Arial" w:eastAsia="Arial" w:hAnsi="Arial" w:cs="Arial"/>
              </w:rPr>
            </w:pPr>
            <w:r>
              <w:rPr>
                <w:rFonts w:ascii="Arial" w:eastAsia="Arial" w:hAnsi="Arial" w:cs="Arial"/>
              </w:rPr>
              <w:t>3</w:t>
            </w:r>
          </w:p>
        </w:tc>
        <w:tc>
          <w:tcPr>
            <w:tcW w:w="1843" w:type="dxa"/>
            <w:tcBorders>
              <w:top w:val="nil"/>
              <w:left w:val="nil"/>
              <w:bottom w:val="nil"/>
              <w:right w:val="nil"/>
            </w:tcBorders>
            <w:vAlign w:val="center"/>
          </w:tcPr>
          <w:p w14:paraId="01BBEBC0" w14:textId="77777777" w:rsidR="00382604" w:rsidRDefault="00F91166">
            <w:pPr>
              <w:spacing w:line="480" w:lineRule="auto"/>
              <w:jc w:val="center"/>
              <w:rPr>
                <w:rFonts w:ascii="Arial" w:eastAsia="Arial" w:hAnsi="Arial" w:cs="Arial"/>
              </w:rPr>
            </w:pPr>
            <w:r>
              <w:rPr>
                <w:rFonts w:ascii="Arial" w:eastAsia="Arial" w:hAnsi="Arial" w:cs="Arial"/>
              </w:rPr>
              <w:t>2.61 – 3.40</w:t>
            </w:r>
          </w:p>
        </w:tc>
        <w:tc>
          <w:tcPr>
            <w:tcW w:w="2551" w:type="dxa"/>
            <w:tcBorders>
              <w:top w:val="nil"/>
              <w:left w:val="nil"/>
              <w:bottom w:val="nil"/>
              <w:right w:val="nil"/>
            </w:tcBorders>
            <w:vAlign w:val="center"/>
          </w:tcPr>
          <w:p w14:paraId="214FE69D" w14:textId="77777777" w:rsidR="00382604" w:rsidRDefault="00F91166">
            <w:pPr>
              <w:spacing w:line="480" w:lineRule="auto"/>
              <w:jc w:val="center"/>
              <w:rPr>
                <w:rFonts w:ascii="Arial" w:eastAsia="Arial" w:hAnsi="Arial" w:cs="Arial"/>
              </w:rPr>
            </w:pPr>
            <w:r>
              <w:rPr>
                <w:rFonts w:ascii="Arial" w:eastAsia="Arial" w:hAnsi="Arial" w:cs="Arial"/>
              </w:rPr>
              <w:t>Moderate</w:t>
            </w:r>
          </w:p>
        </w:tc>
      </w:tr>
      <w:tr w:rsidR="00382604" w14:paraId="49B416FC" w14:textId="77777777">
        <w:trPr>
          <w:trHeight w:val="408"/>
          <w:jc w:val="center"/>
        </w:trPr>
        <w:tc>
          <w:tcPr>
            <w:tcW w:w="1980" w:type="dxa"/>
            <w:tcBorders>
              <w:top w:val="nil"/>
              <w:left w:val="nil"/>
              <w:bottom w:val="nil"/>
              <w:right w:val="nil"/>
            </w:tcBorders>
            <w:vAlign w:val="center"/>
          </w:tcPr>
          <w:p w14:paraId="1A3DA66D" w14:textId="77777777" w:rsidR="00382604" w:rsidRDefault="00F91166">
            <w:pPr>
              <w:spacing w:line="480" w:lineRule="auto"/>
              <w:jc w:val="center"/>
              <w:rPr>
                <w:rFonts w:ascii="Arial" w:eastAsia="Arial" w:hAnsi="Arial" w:cs="Arial"/>
              </w:rPr>
            </w:pPr>
            <w:r>
              <w:rPr>
                <w:rFonts w:ascii="Arial" w:eastAsia="Arial" w:hAnsi="Arial" w:cs="Arial"/>
              </w:rPr>
              <w:t>2</w:t>
            </w:r>
          </w:p>
        </w:tc>
        <w:tc>
          <w:tcPr>
            <w:tcW w:w="1843" w:type="dxa"/>
            <w:tcBorders>
              <w:top w:val="nil"/>
              <w:left w:val="nil"/>
              <w:bottom w:val="nil"/>
              <w:right w:val="nil"/>
            </w:tcBorders>
            <w:vAlign w:val="center"/>
          </w:tcPr>
          <w:p w14:paraId="4A2663F6" w14:textId="77777777" w:rsidR="00382604" w:rsidRDefault="00F91166">
            <w:pPr>
              <w:spacing w:line="480" w:lineRule="auto"/>
              <w:jc w:val="center"/>
              <w:rPr>
                <w:rFonts w:ascii="Arial" w:eastAsia="Arial" w:hAnsi="Arial" w:cs="Arial"/>
              </w:rPr>
            </w:pPr>
            <w:r>
              <w:rPr>
                <w:rFonts w:ascii="Arial" w:eastAsia="Arial" w:hAnsi="Arial" w:cs="Arial"/>
              </w:rPr>
              <w:t>1.81 – 2.60</w:t>
            </w:r>
          </w:p>
        </w:tc>
        <w:tc>
          <w:tcPr>
            <w:tcW w:w="2551" w:type="dxa"/>
            <w:tcBorders>
              <w:top w:val="nil"/>
              <w:left w:val="nil"/>
              <w:bottom w:val="nil"/>
              <w:right w:val="nil"/>
            </w:tcBorders>
            <w:vAlign w:val="center"/>
          </w:tcPr>
          <w:p w14:paraId="3DD5AF55"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232113AB" w14:textId="77777777">
        <w:trPr>
          <w:trHeight w:val="399"/>
          <w:jc w:val="center"/>
        </w:trPr>
        <w:tc>
          <w:tcPr>
            <w:tcW w:w="1980" w:type="dxa"/>
            <w:tcBorders>
              <w:top w:val="nil"/>
              <w:left w:val="nil"/>
              <w:bottom w:val="single" w:sz="4" w:space="0" w:color="000000"/>
              <w:right w:val="nil"/>
            </w:tcBorders>
            <w:vAlign w:val="center"/>
          </w:tcPr>
          <w:p w14:paraId="1CE2A9D9" w14:textId="77777777" w:rsidR="00382604" w:rsidRDefault="00F91166">
            <w:pPr>
              <w:spacing w:line="480" w:lineRule="auto"/>
              <w:jc w:val="center"/>
              <w:rPr>
                <w:rFonts w:ascii="Arial" w:eastAsia="Arial" w:hAnsi="Arial" w:cs="Arial"/>
              </w:rPr>
            </w:pPr>
            <w:r>
              <w:rPr>
                <w:rFonts w:ascii="Arial" w:eastAsia="Arial" w:hAnsi="Arial" w:cs="Arial"/>
              </w:rPr>
              <w:t>1</w:t>
            </w:r>
          </w:p>
        </w:tc>
        <w:tc>
          <w:tcPr>
            <w:tcW w:w="1843" w:type="dxa"/>
            <w:tcBorders>
              <w:top w:val="nil"/>
              <w:left w:val="nil"/>
              <w:bottom w:val="single" w:sz="4" w:space="0" w:color="000000"/>
              <w:right w:val="nil"/>
            </w:tcBorders>
            <w:vAlign w:val="center"/>
          </w:tcPr>
          <w:p w14:paraId="3E9ABDAD" w14:textId="77777777" w:rsidR="00382604" w:rsidRDefault="00F91166">
            <w:pPr>
              <w:spacing w:line="480" w:lineRule="auto"/>
              <w:jc w:val="center"/>
              <w:rPr>
                <w:rFonts w:ascii="Arial" w:eastAsia="Arial" w:hAnsi="Arial" w:cs="Arial"/>
              </w:rPr>
            </w:pPr>
            <w:r>
              <w:rPr>
                <w:rFonts w:ascii="Arial" w:eastAsia="Arial" w:hAnsi="Arial" w:cs="Arial"/>
              </w:rPr>
              <w:t>1.00 – 1.80</w:t>
            </w:r>
          </w:p>
        </w:tc>
        <w:tc>
          <w:tcPr>
            <w:tcW w:w="2551" w:type="dxa"/>
            <w:tcBorders>
              <w:top w:val="nil"/>
              <w:left w:val="nil"/>
              <w:bottom w:val="single" w:sz="4" w:space="0" w:color="000000"/>
              <w:right w:val="nil"/>
            </w:tcBorders>
            <w:vAlign w:val="center"/>
          </w:tcPr>
          <w:p w14:paraId="516B7980" w14:textId="77777777" w:rsidR="00382604" w:rsidRDefault="00F91166">
            <w:pPr>
              <w:spacing w:line="480" w:lineRule="auto"/>
              <w:jc w:val="center"/>
              <w:rPr>
                <w:rFonts w:ascii="Arial" w:eastAsia="Arial" w:hAnsi="Arial" w:cs="Arial"/>
              </w:rPr>
            </w:pPr>
            <w:r>
              <w:rPr>
                <w:rFonts w:ascii="Arial" w:eastAsia="Arial" w:hAnsi="Arial" w:cs="Arial"/>
              </w:rPr>
              <w:t>Very Low</w:t>
            </w:r>
          </w:p>
        </w:tc>
      </w:tr>
    </w:tbl>
    <w:p w14:paraId="46FC5DBD"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*This table presents the scale, range, and corresponding interpretation used to score the students' responses regarding motivation (intrinsic and extrinsic), self-esteem (identity, purpose, belonging, and competence), and Filipino language proficiency components (Content, Vocabulary, Mechanics, Grammar, and Organization). Adapted from Joshi et al. (2015).</w:t>
      </w:r>
    </w:p>
    <w:p w14:paraId="5AA4F499" w14:textId="77777777" w:rsidR="00382604" w:rsidRDefault="00382604">
      <w:pPr>
        <w:jc w:val="both"/>
        <w:rPr>
          <w:rFonts w:ascii="Arial" w:eastAsia="Arial" w:hAnsi="Arial" w:cs="Arial"/>
          <w:b/>
          <w:color w:val="000000"/>
          <w:sz w:val="22"/>
          <w:szCs w:val="22"/>
        </w:rPr>
      </w:pPr>
    </w:p>
    <w:p w14:paraId="054882BA" w14:textId="77777777" w:rsidR="00382604" w:rsidRDefault="00F91166">
      <w:pPr>
        <w:jc w:val="both"/>
        <w:rPr>
          <w:rFonts w:ascii="Arial" w:eastAsia="Arial" w:hAnsi="Arial" w:cs="Arial"/>
          <w:b/>
          <w:color w:val="000000"/>
          <w:u w:val="single"/>
        </w:rPr>
      </w:pPr>
      <w:r>
        <w:rPr>
          <w:rFonts w:ascii="Arial" w:eastAsia="Arial" w:hAnsi="Arial" w:cs="Arial"/>
          <w:b/>
          <w:color w:val="000000"/>
          <w:u w:val="single"/>
        </w:rPr>
        <w:t>2.6.2 list -2 Scoring Interpretation for Overall Filipino Language Proficiency Assessment</w:t>
      </w:r>
    </w:p>
    <w:p w14:paraId="49CBD7B0" w14:textId="77777777" w:rsidR="00382604" w:rsidRDefault="00382604">
      <w:pPr>
        <w:jc w:val="both"/>
        <w:rPr>
          <w:rFonts w:ascii="Arial" w:eastAsia="Arial" w:hAnsi="Arial" w:cs="Arial"/>
          <w:b/>
          <w:color w:val="000000"/>
          <w:u w:val="single"/>
        </w:rPr>
      </w:pPr>
    </w:p>
    <w:tbl>
      <w:tblPr>
        <w:tblStyle w:val="Style73"/>
        <w:tblW w:w="6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2168"/>
        <w:gridCol w:w="2275"/>
      </w:tblGrid>
      <w:tr w:rsidR="00382604" w14:paraId="53EDFFE4" w14:textId="77777777">
        <w:trPr>
          <w:trHeight w:val="359"/>
          <w:jc w:val="center"/>
        </w:trPr>
        <w:tc>
          <w:tcPr>
            <w:tcW w:w="1710" w:type="dxa"/>
            <w:tcBorders>
              <w:top w:val="single" w:sz="4" w:space="0" w:color="000000"/>
              <w:left w:val="nil"/>
              <w:bottom w:val="single" w:sz="4" w:space="0" w:color="000000"/>
              <w:right w:val="nil"/>
            </w:tcBorders>
            <w:vAlign w:val="center"/>
          </w:tcPr>
          <w:p w14:paraId="2C1E44AB" w14:textId="77777777" w:rsidR="00382604" w:rsidRDefault="00F91166">
            <w:pPr>
              <w:jc w:val="center"/>
              <w:rPr>
                <w:rFonts w:ascii="Arial" w:eastAsia="Arial" w:hAnsi="Arial" w:cs="Arial"/>
                <w:b/>
              </w:rPr>
            </w:pPr>
            <w:r>
              <w:rPr>
                <w:rFonts w:ascii="Arial" w:eastAsia="Arial" w:hAnsi="Arial" w:cs="Arial"/>
                <w:b/>
              </w:rPr>
              <w:t>Score</w:t>
            </w:r>
          </w:p>
        </w:tc>
        <w:tc>
          <w:tcPr>
            <w:tcW w:w="2168" w:type="dxa"/>
            <w:tcBorders>
              <w:top w:val="single" w:sz="4" w:space="0" w:color="000000"/>
              <w:left w:val="nil"/>
              <w:bottom w:val="single" w:sz="4" w:space="0" w:color="000000"/>
              <w:right w:val="nil"/>
            </w:tcBorders>
            <w:vAlign w:val="center"/>
          </w:tcPr>
          <w:p w14:paraId="203D23C6" w14:textId="77777777" w:rsidR="00382604" w:rsidRDefault="00F91166">
            <w:pPr>
              <w:jc w:val="center"/>
              <w:rPr>
                <w:rFonts w:ascii="Arial" w:eastAsia="Arial" w:hAnsi="Arial" w:cs="Arial"/>
                <w:b/>
              </w:rPr>
            </w:pPr>
            <w:r>
              <w:rPr>
                <w:rFonts w:ascii="Arial" w:eastAsia="Arial" w:hAnsi="Arial" w:cs="Arial"/>
                <w:b/>
              </w:rPr>
              <w:t>Range</w:t>
            </w:r>
          </w:p>
        </w:tc>
        <w:tc>
          <w:tcPr>
            <w:tcW w:w="2275" w:type="dxa"/>
            <w:tcBorders>
              <w:top w:val="single" w:sz="4" w:space="0" w:color="000000"/>
              <w:left w:val="nil"/>
              <w:bottom w:val="single" w:sz="4" w:space="0" w:color="000000"/>
              <w:right w:val="nil"/>
            </w:tcBorders>
            <w:vAlign w:val="center"/>
          </w:tcPr>
          <w:p w14:paraId="649219A0" w14:textId="77777777" w:rsidR="00382604" w:rsidRDefault="00F91166">
            <w:pPr>
              <w:jc w:val="center"/>
              <w:rPr>
                <w:rFonts w:ascii="Arial" w:eastAsia="Arial" w:hAnsi="Arial" w:cs="Arial"/>
                <w:b/>
              </w:rPr>
            </w:pPr>
            <w:r>
              <w:rPr>
                <w:rFonts w:ascii="Arial" w:eastAsia="Arial" w:hAnsi="Arial" w:cs="Arial"/>
                <w:b/>
              </w:rPr>
              <w:t>Interpretation</w:t>
            </w:r>
          </w:p>
        </w:tc>
      </w:tr>
      <w:tr w:rsidR="00382604" w14:paraId="0CEF3023" w14:textId="77777777">
        <w:trPr>
          <w:trHeight w:val="437"/>
          <w:jc w:val="center"/>
        </w:trPr>
        <w:tc>
          <w:tcPr>
            <w:tcW w:w="1710" w:type="dxa"/>
            <w:tcBorders>
              <w:top w:val="single" w:sz="4" w:space="0" w:color="000000"/>
              <w:left w:val="nil"/>
              <w:bottom w:val="nil"/>
              <w:right w:val="nil"/>
            </w:tcBorders>
            <w:vAlign w:val="center"/>
          </w:tcPr>
          <w:p w14:paraId="6C7EB5D4" w14:textId="77777777" w:rsidR="00382604" w:rsidRDefault="00F91166">
            <w:pPr>
              <w:spacing w:line="480" w:lineRule="auto"/>
              <w:jc w:val="center"/>
              <w:rPr>
                <w:rFonts w:ascii="Arial" w:eastAsia="Arial" w:hAnsi="Arial" w:cs="Arial"/>
              </w:rPr>
            </w:pPr>
            <w:r>
              <w:rPr>
                <w:rFonts w:ascii="Arial" w:eastAsia="Arial" w:hAnsi="Arial" w:cs="Arial"/>
              </w:rPr>
              <w:t>25</w:t>
            </w:r>
          </w:p>
        </w:tc>
        <w:tc>
          <w:tcPr>
            <w:tcW w:w="2168" w:type="dxa"/>
            <w:tcBorders>
              <w:top w:val="single" w:sz="4" w:space="0" w:color="000000"/>
              <w:left w:val="nil"/>
              <w:bottom w:val="nil"/>
              <w:right w:val="nil"/>
            </w:tcBorders>
            <w:vAlign w:val="center"/>
          </w:tcPr>
          <w:p w14:paraId="54126459" w14:textId="77777777" w:rsidR="00382604" w:rsidRDefault="00F91166">
            <w:pPr>
              <w:spacing w:line="480" w:lineRule="auto"/>
              <w:jc w:val="center"/>
              <w:rPr>
                <w:rFonts w:ascii="Arial" w:eastAsia="Arial" w:hAnsi="Arial" w:cs="Arial"/>
              </w:rPr>
            </w:pPr>
            <w:r>
              <w:rPr>
                <w:rFonts w:ascii="Arial" w:eastAsia="Arial" w:hAnsi="Arial" w:cs="Arial"/>
              </w:rPr>
              <w:t>20.01 - 25.00</w:t>
            </w:r>
          </w:p>
        </w:tc>
        <w:tc>
          <w:tcPr>
            <w:tcW w:w="2275" w:type="dxa"/>
            <w:tcBorders>
              <w:top w:val="single" w:sz="4" w:space="0" w:color="000000"/>
              <w:left w:val="nil"/>
              <w:bottom w:val="nil"/>
              <w:right w:val="nil"/>
            </w:tcBorders>
            <w:vAlign w:val="center"/>
          </w:tcPr>
          <w:p w14:paraId="60A09E8B" w14:textId="77777777" w:rsidR="00382604" w:rsidRDefault="00F91166">
            <w:pPr>
              <w:spacing w:line="480" w:lineRule="auto"/>
              <w:jc w:val="center"/>
              <w:rPr>
                <w:rFonts w:ascii="Arial" w:eastAsia="Arial" w:hAnsi="Arial" w:cs="Arial"/>
              </w:rPr>
            </w:pPr>
            <w:r>
              <w:rPr>
                <w:rFonts w:ascii="Arial" w:eastAsia="Arial" w:hAnsi="Arial" w:cs="Arial"/>
              </w:rPr>
              <w:t>Very High</w:t>
            </w:r>
          </w:p>
        </w:tc>
      </w:tr>
      <w:tr w:rsidR="00382604" w14:paraId="418AA0CE" w14:textId="77777777">
        <w:trPr>
          <w:trHeight w:val="427"/>
          <w:jc w:val="center"/>
        </w:trPr>
        <w:tc>
          <w:tcPr>
            <w:tcW w:w="1710" w:type="dxa"/>
            <w:tcBorders>
              <w:top w:val="nil"/>
              <w:left w:val="nil"/>
              <w:bottom w:val="nil"/>
              <w:right w:val="nil"/>
            </w:tcBorders>
            <w:vAlign w:val="center"/>
          </w:tcPr>
          <w:p w14:paraId="4F1668EF" w14:textId="77777777" w:rsidR="00382604" w:rsidRDefault="00F91166">
            <w:pPr>
              <w:spacing w:line="480" w:lineRule="auto"/>
              <w:jc w:val="center"/>
              <w:rPr>
                <w:rFonts w:ascii="Arial" w:eastAsia="Arial" w:hAnsi="Arial" w:cs="Arial"/>
              </w:rPr>
            </w:pPr>
            <w:r>
              <w:rPr>
                <w:rFonts w:ascii="Arial" w:eastAsia="Arial" w:hAnsi="Arial" w:cs="Arial"/>
              </w:rPr>
              <w:t>20</w:t>
            </w:r>
          </w:p>
        </w:tc>
        <w:tc>
          <w:tcPr>
            <w:tcW w:w="2168" w:type="dxa"/>
            <w:tcBorders>
              <w:top w:val="nil"/>
              <w:left w:val="nil"/>
              <w:bottom w:val="nil"/>
              <w:right w:val="nil"/>
            </w:tcBorders>
            <w:vAlign w:val="center"/>
          </w:tcPr>
          <w:p w14:paraId="29C477D6" w14:textId="77777777" w:rsidR="00382604" w:rsidRDefault="00F91166">
            <w:pPr>
              <w:spacing w:line="480" w:lineRule="auto"/>
              <w:jc w:val="center"/>
              <w:rPr>
                <w:rFonts w:ascii="Arial" w:eastAsia="Arial" w:hAnsi="Arial" w:cs="Arial"/>
              </w:rPr>
            </w:pPr>
            <w:r>
              <w:rPr>
                <w:rFonts w:ascii="Arial" w:eastAsia="Arial" w:hAnsi="Arial" w:cs="Arial"/>
              </w:rPr>
              <w:t>15.01 - 20.00</w:t>
            </w:r>
          </w:p>
        </w:tc>
        <w:tc>
          <w:tcPr>
            <w:tcW w:w="2275" w:type="dxa"/>
            <w:tcBorders>
              <w:top w:val="nil"/>
              <w:left w:val="nil"/>
              <w:bottom w:val="nil"/>
              <w:right w:val="nil"/>
            </w:tcBorders>
            <w:vAlign w:val="center"/>
          </w:tcPr>
          <w:p w14:paraId="71360C81"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1AB485A7" w14:textId="77777777">
        <w:trPr>
          <w:trHeight w:val="427"/>
          <w:jc w:val="center"/>
        </w:trPr>
        <w:tc>
          <w:tcPr>
            <w:tcW w:w="1710" w:type="dxa"/>
            <w:tcBorders>
              <w:top w:val="nil"/>
              <w:left w:val="nil"/>
              <w:bottom w:val="nil"/>
              <w:right w:val="nil"/>
            </w:tcBorders>
            <w:vAlign w:val="center"/>
          </w:tcPr>
          <w:p w14:paraId="7E47E70F" w14:textId="77777777" w:rsidR="00382604" w:rsidRDefault="00F91166">
            <w:pPr>
              <w:spacing w:line="480" w:lineRule="auto"/>
              <w:jc w:val="center"/>
              <w:rPr>
                <w:rFonts w:ascii="Arial" w:eastAsia="Arial" w:hAnsi="Arial" w:cs="Arial"/>
              </w:rPr>
            </w:pPr>
            <w:r>
              <w:rPr>
                <w:rFonts w:ascii="Arial" w:eastAsia="Arial" w:hAnsi="Arial" w:cs="Arial"/>
              </w:rPr>
              <w:t>15</w:t>
            </w:r>
          </w:p>
        </w:tc>
        <w:tc>
          <w:tcPr>
            <w:tcW w:w="2168" w:type="dxa"/>
            <w:tcBorders>
              <w:top w:val="nil"/>
              <w:left w:val="nil"/>
              <w:bottom w:val="nil"/>
              <w:right w:val="nil"/>
            </w:tcBorders>
            <w:vAlign w:val="center"/>
          </w:tcPr>
          <w:p w14:paraId="27781DB1" w14:textId="77777777" w:rsidR="00382604" w:rsidRDefault="00F91166">
            <w:pPr>
              <w:spacing w:line="480" w:lineRule="auto"/>
              <w:jc w:val="center"/>
              <w:rPr>
                <w:rFonts w:ascii="Arial" w:eastAsia="Arial" w:hAnsi="Arial" w:cs="Arial"/>
              </w:rPr>
            </w:pPr>
            <w:r>
              <w:rPr>
                <w:rFonts w:ascii="Arial" w:eastAsia="Arial" w:hAnsi="Arial" w:cs="Arial"/>
              </w:rPr>
              <w:t>10.01 - 15.00</w:t>
            </w:r>
          </w:p>
        </w:tc>
        <w:tc>
          <w:tcPr>
            <w:tcW w:w="2275" w:type="dxa"/>
            <w:tcBorders>
              <w:top w:val="nil"/>
              <w:left w:val="nil"/>
              <w:bottom w:val="nil"/>
              <w:right w:val="nil"/>
            </w:tcBorders>
            <w:vAlign w:val="center"/>
          </w:tcPr>
          <w:p w14:paraId="4617D0DD" w14:textId="77777777" w:rsidR="00382604" w:rsidRDefault="00F91166">
            <w:pPr>
              <w:spacing w:line="480" w:lineRule="auto"/>
              <w:jc w:val="center"/>
              <w:rPr>
                <w:rFonts w:ascii="Arial" w:eastAsia="Arial" w:hAnsi="Arial" w:cs="Arial"/>
              </w:rPr>
            </w:pPr>
            <w:r>
              <w:rPr>
                <w:rFonts w:ascii="Arial" w:eastAsia="Arial" w:hAnsi="Arial" w:cs="Arial"/>
              </w:rPr>
              <w:t>Moderate</w:t>
            </w:r>
          </w:p>
        </w:tc>
      </w:tr>
      <w:tr w:rsidR="00382604" w14:paraId="49C08DA5" w14:textId="77777777">
        <w:trPr>
          <w:trHeight w:val="438"/>
          <w:jc w:val="center"/>
        </w:trPr>
        <w:tc>
          <w:tcPr>
            <w:tcW w:w="1710" w:type="dxa"/>
            <w:tcBorders>
              <w:top w:val="nil"/>
              <w:left w:val="nil"/>
              <w:bottom w:val="nil"/>
              <w:right w:val="nil"/>
            </w:tcBorders>
            <w:vAlign w:val="center"/>
          </w:tcPr>
          <w:p w14:paraId="1A782991" w14:textId="77777777" w:rsidR="00382604" w:rsidRDefault="00F91166">
            <w:pPr>
              <w:spacing w:line="480" w:lineRule="auto"/>
              <w:jc w:val="center"/>
              <w:rPr>
                <w:rFonts w:ascii="Arial" w:eastAsia="Arial" w:hAnsi="Arial" w:cs="Arial"/>
              </w:rPr>
            </w:pPr>
            <w:r>
              <w:rPr>
                <w:rFonts w:ascii="Arial" w:eastAsia="Arial" w:hAnsi="Arial" w:cs="Arial"/>
              </w:rPr>
              <w:t>10</w:t>
            </w:r>
          </w:p>
        </w:tc>
        <w:tc>
          <w:tcPr>
            <w:tcW w:w="2168" w:type="dxa"/>
            <w:tcBorders>
              <w:top w:val="nil"/>
              <w:left w:val="nil"/>
              <w:bottom w:val="nil"/>
              <w:right w:val="nil"/>
            </w:tcBorders>
            <w:vAlign w:val="center"/>
          </w:tcPr>
          <w:p w14:paraId="0EDF679C" w14:textId="77777777" w:rsidR="00382604" w:rsidRDefault="00F91166">
            <w:pPr>
              <w:spacing w:line="480" w:lineRule="auto"/>
              <w:jc w:val="center"/>
              <w:rPr>
                <w:rFonts w:ascii="Arial" w:eastAsia="Arial" w:hAnsi="Arial" w:cs="Arial"/>
              </w:rPr>
            </w:pPr>
            <w:r>
              <w:rPr>
                <w:rFonts w:ascii="Arial" w:eastAsia="Arial" w:hAnsi="Arial" w:cs="Arial"/>
              </w:rPr>
              <w:t>5.01 - 10.00</w:t>
            </w:r>
          </w:p>
        </w:tc>
        <w:tc>
          <w:tcPr>
            <w:tcW w:w="2275" w:type="dxa"/>
            <w:tcBorders>
              <w:top w:val="nil"/>
              <w:left w:val="nil"/>
              <w:bottom w:val="nil"/>
              <w:right w:val="nil"/>
            </w:tcBorders>
            <w:vAlign w:val="center"/>
          </w:tcPr>
          <w:p w14:paraId="2B968D89"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1B95C139" w14:textId="77777777">
        <w:trPr>
          <w:trHeight w:val="126"/>
          <w:jc w:val="center"/>
        </w:trPr>
        <w:tc>
          <w:tcPr>
            <w:tcW w:w="1710" w:type="dxa"/>
            <w:tcBorders>
              <w:top w:val="nil"/>
              <w:left w:val="nil"/>
              <w:bottom w:val="single" w:sz="4" w:space="0" w:color="000000"/>
              <w:right w:val="nil"/>
            </w:tcBorders>
            <w:vAlign w:val="center"/>
          </w:tcPr>
          <w:p w14:paraId="7B06DAB7" w14:textId="77777777" w:rsidR="00382604" w:rsidRDefault="00F91166">
            <w:pPr>
              <w:spacing w:line="480" w:lineRule="auto"/>
              <w:jc w:val="center"/>
              <w:rPr>
                <w:rFonts w:ascii="Arial" w:eastAsia="Arial" w:hAnsi="Arial" w:cs="Arial"/>
              </w:rPr>
            </w:pPr>
            <w:r>
              <w:rPr>
                <w:rFonts w:ascii="Arial" w:eastAsia="Arial" w:hAnsi="Arial" w:cs="Arial"/>
              </w:rPr>
              <w:t>5</w:t>
            </w:r>
          </w:p>
        </w:tc>
        <w:tc>
          <w:tcPr>
            <w:tcW w:w="2168" w:type="dxa"/>
            <w:tcBorders>
              <w:top w:val="nil"/>
              <w:left w:val="nil"/>
              <w:bottom w:val="single" w:sz="4" w:space="0" w:color="000000"/>
              <w:right w:val="nil"/>
            </w:tcBorders>
            <w:vAlign w:val="center"/>
          </w:tcPr>
          <w:p w14:paraId="51018E46" w14:textId="77777777" w:rsidR="00382604" w:rsidRDefault="00F91166">
            <w:pPr>
              <w:spacing w:line="480" w:lineRule="auto"/>
              <w:jc w:val="center"/>
              <w:rPr>
                <w:rFonts w:ascii="Arial" w:eastAsia="Arial" w:hAnsi="Arial" w:cs="Arial"/>
              </w:rPr>
            </w:pPr>
            <w:r>
              <w:rPr>
                <w:rFonts w:ascii="Arial" w:eastAsia="Arial" w:hAnsi="Arial" w:cs="Arial"/>
              </w:rPr>
              <w:t>1.00 – 5.00</w:t>
            </w:r>
          </w:p>
        </w:tc>
        <w:tc>
          <w:tcPr>
            <w:tcW w:w="2275" w:type="dxa"/>
            <w:tcBorders>
              <w:top w:val="nil"/>
              <w:left w:val="nil"/>
              <w:bottom w:val="single" w:sz="4" w:space="0" w:color="000000"/>
              <w:right w:val="nil"/>
            </w:tcBorders>
            <w:vAlign w:val="center"/>
          </w:tcPr>
          <w:p w14:paraId="43BBED92" w14:textId="77777777" w:rsidR="00382604" w:rsidRDefault="00F91166">
            <w:pPr>
              <w:spacing w:line="480" w:lineRule="auto"/>
              <w:jc w:val="center"/>
              <w:rPr>
                <w:rFonts w:ascii="Arial" w:eastAsia="Arial" w:hAnsi="Arial" w:cs="Arial"/>
              </w:rPr>
            </w:pPr>
            <w:r>
              <w:rPr>
                <w:rFonts w:ascii="Arial" w:eastAsia="Arial" w:hAnsi="Arial" w:cs="Arial"/>
              </w:rPr>
              <w:t>Very Low</w:t>
            </w:r>
          </w:p>
        </w:tc>
      </w:tr>
    </w:tbl>
    <w:p w14:paraId="5B22709C" w14:textId="77777777" w:rsidR="00382604" w:rsidRDefault="00F91166">
      <w:pPr>
        <w:jc w:val="both"/>
        <w:rPr>
          <w:rFonts w:ascii="Arial" w:eastAsia="Arial" w:hAnsi="Arial" w:cs="Arial"/>
          <w:b/>
          <w:color w:val="000000"/>
          <w:sz w:val="22"/>
          <w:szCs w:val="22"/>
        </w:rPr>
      </w:pPr>
      <w:r>
        <w:rPr>
          <w:rFonts w:ascii="Arial" w:eastAsia="Arial" w:hAnsi="Arial" w:cs="Arial"/>
          <w:i/>
          <w:color w:val="000000"/>
          <w:vertAlign w:val="subscript"/>
        </w:rPr>
        <w:t xml:space="preserve">*This table presents the scoring scheme used to determine students’ total proficiency in the Filipino language based on five evaluated areas: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(Content),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(Vocabulary),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(Mechanics), </w:t>
      </w:r>
      <w:proofErr w:type="spellStart"/>
      <w:r>
        <w:rPr>
          <w:rFonts w:ascii="Arial" w:eastAsia="Arial" w:hAnsi="Arial" w:cs="Arial"/>
          <w:i/>
          <w:color w:val="000000"/>
          <w:vertAlign w:val="subscript"/>
        </w:rPr>
        <w:t>Gramatika</w:t>
      </w:r>
      <w:proofErr w:type="spellEnd"/>
      <w:r>
        <w:rPr>
          <w:rFonts w:ascii="Arial" w:eastAsia="Arial" w:hAnsi="Arial" w:cs="Arial"/>
          <w:i/>
          <w:color w:val="000000"/>
          <w:vertAlign w:val="subscript"/>
        </w:rPr>
        <w:t xml:space="preserve"> (Grammar), and </w:t>
      </w:r>
      <w:proofErr w:type="spellStart"/>
      <w:r>
        <w:rPr>
          <w:rFonts w:ascii="Arial" w:eastAsia="Arial" w:hAnsi="Arial" w:cs="Arial"/>
          <w:i/>
          <w:color w:val="000000"/>
          <w:vertAlign w:val="subscript"/>
        </w:rPr>
        <w:t>Organisasyon</w:t>
      </w:r>
      <w:proofErr w:type="spellEnd"/>
      <w:r>
        <w:rPr>
          <w:rFonts w:ascii="Arial" w:eastAsia="Arial" w:hAnsi="Arial" w:cs="Arial"/>
          <w:i/>
          <w:color w:val="000000"/>
          <w:vertAlign w:val="subscript"/>
        </w:rPr>
        <w:t xml:space="preserve"> (Organization). Adapted and revised from the CEFR (2001).</w:t>
      </w:r>
    </w:p>
    <w:p w14:paraId="534706C2" w14:textId="77777777" w:rsidR="00382604" w:rsidRDefault="00382604">
      <w:pPr>
        <w:jc w:val="both"/>
        <w:rPr>
          <w:rFonts w:ascii="Arial" w:eastAsia="Arial" w:hAnsi="Arial" w:cs="Arial"/>
          <w:b/>
          <w:color w:val="000000"/>
          <w:sz w:val="22"/>
          <w:szCs w:val="22"/>
        </w:rPr>
      </w:pPr>
    </w:p>
    <w:p w14:paraId="66DB2481" w14:textId="77777777" w:rsidR="00330D58" w:rsidRDefault="00330D58" w:rsidP="00330D58">
      <w:pPr>
        <w:jc w:val="both"/>
        <w:rPr>
          <w:rFonts w:ascii="Arial" w:eastAsia="Arial" w:hAnsi="Arial" w:cs="Arial"/>
          <w:b/>
          <w:color w:val="000000"/>
          <w:u w:val="single"/>
        </w:rPr>
      </w:pPr>
      <w:r w:rsidRPr="00D80AA7">
        <w:rPr>
          <w:rFonts w:ascii="Arial" w:eastAsia="Arial" w:hAnsi="Arial" w:cs="Arial"/>
          <w:b/>
          <w:color w:val="000000"/>
          <w:highlight w:val="cyan"/>
          <w:u w:val="single"/>
        </w:rPr>
        <w:t>2.6.3 list -3 Scoring Rubric for students’ Filipino Language Proficiency Assessment</w:t>
      </w:r>
    </w:p>
    <w:p w14:paraId="00145583" w14:textId="77777777" w:rsidR="00330D58" w:rsidRDefault="00330D58">
      <w:pPr>
        <w:jc w:val="both"/>
        <w:rPr>
          <w:rFonts w:ascii="Arial" w:eastAsia="Arial" w:hAnsi="Arial" w:cs="Arial"/>
          <w:b/>
          <w:color w:val="000000"/>
          <w:sz w:val="22"/>
          <w:szCs w:val="22"/>
        </w:rPr>
      </w:pPr>
    </w:p>
    <w:tbl>
      <w:tblPr>
        <w:tblStyle w:val="Style73"/>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350"/>
        <w:gridCol w:w="1530"/>
        <w:gridCol w:w="1440"/>
        <w:gridCol w:w="1800"/>
        <w:gridCol w:w="1710"/>
      </w:tblGrid>
      <w:tr w:rsidR="00630B61" w:rsidRPr="006E3D67" w14:paraId="18E6DB08" w14:textId="77777777" w:rsidTr="002D3D28">
        <w:trPr>
          <w:trHeight w:val="359"/>
          <w:jc w:val="center"/>
        </w:trPr>
        <w:tc>
          <w:tcPr>
            <w:tcW w:w="720" w:type="dxa"/>
            <w:tcBorders>
              <w:top w:val="single" w:sz="4" w:space="0" w:color="000000"/>
              <w:left w:val="nil"/>
              <w:bottom w:val="single" w:sz="4" w:space="0" w:color="000000"/>
              <w:right w:val="nil"/>
            </w:tcBorders>
            <w:vAlign w:val="center"/>
          </w:tcPr>
          <w:p w14:paraId="2721449A" w14:textId="77777777" w:rsidR="00630B61" w:rsidRPr="00E71E26" w:rsidRDefault="00630B61" w:rsidP="002D3D28">
            <w:pPr>
              <w:rPr>
                <w:rFonts w:ascii="Arial" w:eastAsia="Times New Roman" w:hAnsi="Arial" w:cs="Arial"/>
                <w:b/>
                <w:bCs/>
                <w:sz w:val="18"/>
                <w:szCs w:val="18"/>
                <w:lang w:eastAsia="en-US"/>
              </w:rPr>
            </w:pPr>
            <w:r w:rsidRPr="00E71E26">
              <w:rPr>
                <w:rStyle w:val="Strong"/>
                <w:rFonts w:ascii="Arial" w:hAnsi="Arial" w:cs="Arial"/>
                <w:sz w:val="18"/>
                <w:szCs w:val="18"/>
              </w:rPr>
              <w:t>Score</w:t>
            </w:r>
          </w:p>
        </w:tc>
        <w:tc>
          <w:tcPr>
            <w:tcW w:w="1350" w:type="dxa"/>
            <w:tcBorders>
              <w:top w:val="single" w:sz="4" w:space="0" w:color="000000"/>
              <w:left w:val="nil"/>
              <w:bottom w:val="single" w:sz="4" w:space="0" w:color="000000"/>
              <w:right w:val="nil"/>
            </w:tcBorders>
            <w:vAlign w:val="center"/>
          </w:tcPr>
          <w:p w14:paraId="4251A2C3" w14:textId="77777777" w:rsidR="00630B61" w:rsidRPr="006E3D67" w:rsidRDefault="00630B61" w:rsidP="002D3D28">
            <w:pPr>
              <w:jc w:val="center"/>
              <w:rPr>
                <w:rFonts w:ascii="Arial" w:hAnsi="Arial" w:cs="Arial"/>
                <w:b/>
                <w:bCs/>
                <w:sz w:val="20"/>
                <w:szCs w:val="20"/>
              </w:rPr>
            </w:pPr>
            <w:r w:rsidRPr="006E3D67">
              <w:rPr>
                <w:rStyle w:val="Strong"/>
                <w:rFonts w:ascii="Arial" w:hAnsi="Arial" w:cs="Arial"/>
                <w:sz w:val="20"/>
                <w:szCs w:val="20"/>
              </w:rPr>
              <w:t>Content</w:t>
            </w:r>
            <w:r>
              <w:rPr>
                <w:rStyle w:val="Strong"/>
                <w:rFonts w:ascii="Arial" w:hAnsi="Arial" w:cs="Arial"/>
                <w:sz w:val="20"/>
                <w:szCs w:val="20"/>
              </w:rPr>
              <w:t xml:space="preserve"> (</w:t>
            </w:r>
            <w:proofErr w:type="spellStart"/>
            <w:r>
              <w:rPr>
                <w:rStyle w:val="Strong"/>
                <w:rFonts w:ascii="Arial" w:hAnsi="Arial" w:cs="Arial"/>
                <w:sz w:val="20"/>
                <w:szCs w:val="20"/>
              </w:rPr>
              <w:t>Nilalaman</w:t>
            </w:r>
            <w:proofErr w:type="spellEnd"/>
            <w:r>
              <w:rPr>
                <w:rStyle w:val="Strong"/>
                <w:rFonts w:ascii="Arial" w:hAnsi="Arial" w:cs="Arial"/>
                <w:sz w:val="20"/>
                <w:szCs w:val="20"/>
              </w:rPr>
              <w:t>)</w:t>
            </w:r>
          </w:p>
        </w:tc>
        <w:tc>
          <w:tcPr>
            <w:tcW w:w="1530" w:type="dxa"/>
            <w:tcBorders>
              <w:top w:val="single" w:sz="4" w:space="0" w:color="000000"/>
              <w:left w:val="nil"/>
              <w:bottom w:val="single" w:sz="4" w:space="0" w:color="000000"/>
              <w:right w:val="nil"/>
            </w:tcBorders>
            <w:vAlign w:val="center"/>
          </w:tcPr>
          <w:p w14:paraId="50DDD9A5" w14:textId="77777777" w:rsidR="00630B61" w:rsidRPr="006E3D67" w:rsidRDefault="00630B61" w:rsidP="002D3D28">
            <w:pPr>
              <w:jc w:val="center"/>
              <w:rPr>
                <w:rFonts w:ascii="Arial" w:hAnsi="Arial" w:cs="Arial"/>
                <w:b/>
                <w:bCs/>
                <w:sz w:val="20"/>
                <w:szCs w:val="20"/>
              </w:rPr>
            </w:pPr>
            <w:r w:rsidRPr="006E3D67">
              <w:rPr>
                <w:rStyle w:val="Strong"/>
                <w:rFonts w:ascii="Arial" w:hAnsi="Arial" w:cs="Arial"/>
                <w:sz w:val="20"/>
                <w:szCs w:val="20"/>
              </w:rPr>
              <w:t>Vocabulary</w:t>
            </w:r>
            <w:r>
              <w:rPr>
                <w:rStyle w:val="Strong"/>
                <w:rFonts w:ascii="Arial" w:hAnsi="Arial" w:cs="Arial"/>
                <w:sz w:val="20"/>
                <w:szCs w:val="20"/>
              </w:rPr>
              <w:t xml:space="preserve"> (</w:t>
            </w:r>
            <w:proofErr w:type="spellStart"/>
            <w:r>
              <w:rPr>
                <w:rStyle w:val="Strong"/>
                <w:rFonts w:ascii="Arial" w:hAnsi="Arial" w:cs="Arial"/>
                <w:sz w:val="20"/>
                <w:szCs w:val="20"/>
              </w:rPr>
              <w:t>Talasalitaan</w:t>
            </w:r>
            <w:proofErr w:type="spellEnd"/>
            <w:r>
              <w:rPr>
                <w:rStyle w:val="Strong"/>
                <w:rFonts w:ascii="Arial" w:hAnsi="Arial" w:cs="Arial"/>
                <w:sz w:val="20"/>
                <w:szCs w:val="20"/>
              </w:rPr>
              <w:t>)</w:t>
            </w:r>
          </w:p>
        </w:tc>
        <w:tc>
          <w:tcPr>
            <w:tcW w:w="1440" w:type="dxa"/>
            <w:tcBorders>
              <w:top w:val="single" w:sz="4" w:space="0" w:color="000000"/>
              <w:left w:val="nil"/>
              <w:bottom w:val="single" w:sz="4" w:space="0" w:color="000000"/>
              <w:right w:val="nil"/>
            </w:tcBorders>
            <w:vAlign w:val="center"/>
          </w:tcPr>
          <w:p w14:paraId="69F381BB" w14:textId="77777777" w:rsidR="00630B61" w:rsidRPr="006E3D67" w:rsidRDefault="00630B61" w:rsidP="002D3D28">
            <w:pPr>
              <w:jc w:val="center"/>
              <w:rPr>
                <w:rFonts w:ascii="Arial" w:hAnsi="Arial" w:cs="Arial"/>
                <w:b/>
                <w:bCs/>
                <w:sz w:val="20"/>
                <w:szCs w:val="20"/>
              </w:rPr>
            </w:pPr>
            <w:r w:rsidRPr="006E3D67">
              <w:rPr>
                <w:rStyle w:val="Strong"/>
                <w:rFonts w:ascii="Arial" w:hAnsi="Arial" w:cs="Arial"/>
                <w:sz w:val="20"/>
                <w:szCs w:val="20"/>
              </w:rPr>
              <w:t>Mechanics</w:t>
            </w:r>
            <w:r>
              <w:rPr>
                <w:rStyle w:val="Strong"/>
                <w:rFonts w:ascii="Arial" w:hAnsi="Arial" w:cs="Arial"/>
                <w:sz w:val="20"/>
                <w:szCs w:val="20"/>
              </w:rPr>
              <w:t xml:space="preserve"> (</w:t>
            </w:r>
            <w:proofErr w:type="spellStart"/>
            <w:r>
              <w:rPr>
                <w:rStyle w:val="Strong"/>
                <w:rFonts w:ascii="Arial" w:hAnsi="Arial" w:cs="Arial"/>
                <w:sz w:val="20"/>
                <w:szCs w:val="20"/>
              </w:rPr>
              <w:t>Mekaniks</w:t>
            </w:r>
            <w:proofErr w:type="spellEnd"/>
            <w:r>
              <w:rPr>
                <w:rStyle w:val="Strong"/>
                <w:rFonts w:ascii="Arial" w:hAnsi="Arial" w:cs="Arial"/>
                <w:sz w:val="20"/>
                <w:szCs w:val="20"/>
              </w:rPr>
              <w:t>)</w:t>
            </w:r>
          </w:p>
        </w:tc>
        <w:tc>
          <w:tcPr>
            <w:tcW w:w="1800" w:type="dxa"/>
            <w:tcBorders>
              <w:top w:val="single" w:sz="4" w:space="0" w:color="000000"/>
              <w:left w:val="nil"/>
              <w:bottom w:val="single" w:sz="4" w:space="0" w:color="000000"/>
              <w:right w:val="nil"/>
            </w:tcBorders>
            <w:vAlign w:val="center"/>
          </w:tcPr>
          <w:p w14:paraId="3DC4C743" w14:textId="77777777" w:rsidR="00630B61" w:rsidRPr="006E3D67" w:rsidRDefault="00630B61" w:rsidP="002D3D28">
            <w:pPr>
              <w:jc w:val="center"/>
              <w:rPr>
                <w:rFonts w:ascii="Arial" w:hAnsi="Arial" w:cs="Arial"/>
                <w:b/>
                <w:bCs/>
                <w:sz w:val="20"/>
                <w:szCs w:val="20"/>
              </w:rPr>
            </w:pPr>
            <w:r w:rsidRPr="006E3D67">
              <w:rPr>
                <w:rStyle w:val="Strong"/>
                <w:rFonts w:ascii="Arial" w:hAnsi="Arial" w:cs="Arial"/>
                <w:sz w:val="20"/>
                <w:szCs w:val="20"/>
              </w:rPr>
              <w:t>Grammar</w:t>
            </w:r>
            <w:r>
              <w:rPr>
                <w:rStyle w:val="Strong"/>
                <w:rFonts w:ascii="Arial" w:hAnsi="Arial" w:cs="Arial"/>
                <w:sz w:val="20"/>
                <w:szCs w:val="20"/>
              </w:rPr>
              <w:t xml:space="preserve"> (</w:t>
            </w:r>
            <w:proofErr w:type="spellStart"/>
            <w:r>
              <w:rPr>
                <w:rStyle w:val="Strong"/>
                <w:rFonts w:ascii="Arial" w:hAnsi="Arial" w:cs="Arial"/>
                <w:sz w:val="20"/>
                <w:szCs w:val="20"/>
              </w:rPr>
              <w:t>Grammatika</w:t>
            </w:r>
            <w:proofErr w:type="spellEnd"/>
            <w:r>
              <w:rPr>
                <w:rStyle w:val="Strong"/>
                <w:rFonts w:ascii="Arial" w:hAnsi="Arial" w:cs="Arial"/>
                <w:sz w:val="20"/>
                <w:szCs w:val="20"/>
              </w:rPr>
              <w:t>)</w:t>
            </w:r>
          </w:p>
        </w:tc>
        <w:tc>
          <w:tcPr>
            <w:tcW w:w="1710" w:type="dxa"/>
            <w:tcBorders>
              <w:top w:val="single" w:sz="4" w:space="0" w:color="000000"/>
              <w:left w:val="nil"/>
              <w:bottom w:val="single" w:sz="4" w:space="0" w:color="000000"/>
              <w:right w:val="nil"/>
            </w:tcBorders>
            <w:vAlign w:val="center"/>
          </w:tcPr>
          <w:p w14:paraId="411D377F" w14:textId="77777777" w:rsidR="00630B61" w:rsidRPr="006E3D67" w:rsidRDefault="00630B61" w:rsidP="002D3D28">
            <w:pPr>
              <w:jc w:val="center"/>
              <w:rPr>
                <w:rFonts w:ascii="Arial" w:hAnsi="Arial" w:cs="Arial"/>
                <w:b/>
                <w:bCs/>
                <w:sz w:val="20"/>
                <w:szCs w:val="20"/>
              </w:rPr>
            </w:pPr>
            <w:r w:rsidRPr="006E3D67">
              <w:rPr>
                <w:rStyle w:val="Strong"/>
                <w:rFonts w:ascii="Arial" w:hAnsi="Arial" w:cs="Arial"/>
                <w:sz w:val="20"/>
                <w:szCs w:val="20"/>
              </w:rPr>
              <w:t>Organization</w:t>
            </w:r>
            <w:r>
              <w:rPr>
                <w:rStyle w:val="Strong"/>
                <w:rFonts w:ascii="Arial" w:hAnsi="Arial" w:cs="Arial"/>
                <w:sz w:val="20"/>
                <w:szCs w:val="20"/>
              </w:rPr>
              <w:t xml:space="preserve"> (</w:t>
            </w:r>
            <w:proofErr w:type="spellStart"/>
            <w:r>
              <w:rPr>
                <w:rStyle w:val="Strong"/>
                <w:rFonts w:ascii="Arial" w:hAnsi="Arial" w:cs="Arial"/>
                <w:sz w:val="20"/>
                <w:szCs w:val="20"/>
              </w:rPr>
              <w:t>Organisasyon</w:t>
            </w:r>
            <w:proofErr w:type="spellEnd"/>
          </w:p>
        </w:tc>
      </w:tr>
      <w:tr w:rsidR="00630B61" w:rsidRPr="006E3D67" w14:paraId="111ABB49" w14:textId="77777777" w:rsidTr="002D3D28">
        <w:trPr>
          <w:trHeight w:val="1673"/>
          <w:jc w:val="center"/>
        </w:trPr>
        <w:tc>
          <w:tcPr>
            <w:tcW w:w="720" w:type="dxa"/>
            <w:tcBorders>
              <w:top w:val="single" w:sz="4" w:space="0" w:color="000000"/>
              <w:left w:val="nil"/>
              <w:bottom w:val="nil"/>
              <w:right w:val="nil"/>
            </w:tcBorders>
            <w:vAlign w:val="center"/>
          </w:tcPr>
          <w:p w14:paraId="6B6D77DA" w14:textId="77777777" w:rsidR="00630B61" w:rsidRPr="00E71E26" w:rsidRDefault="00630B61" w:rsidP="002D3D28">
            <w:pPr>
              <w:spacing w:before="240"/>
              <w:jc w:val="center"/>
              <w:rPr>
                <w:rFonts w:ascii="Arial" w:hAnsi="Arial" w:cs="Arial"/>
                <w:sz w:val="18"/>
                <w:szCs w:val="18"/>
              </w:rPr>
            </w:pPr>
            <w:r w:rsidRPr="00E71E26">
              <w:rPr>
                <w:rStyle w:val="Strong"/>
                <w:rFonts w:ascii="Arial" w:hAnsi="Arial" w:cs="Arial"/>
                <w:sz w:val="18"/>
                <w:szCs w:val="18"/>
              </w:rPr>
              <w:t>5</w:t>
            </w:r>
          </w:p>
        </w:tc>
        <w:tc>
          <w:tcPr>
            <w:tcW w:w="1350" w:type="dxa"/>
            <w:tcBorders>
              <w:top w:val="single" w:sz="4" w:space="0" w:color="000000"/>
              <w:left w:val="nil"/>
              <w:bottom w:val="nil"/>
              <w:right w:val="nil"/>
            </w:tcBorders>
          </w:tcPr>
          <w:p w14:paraId="619BDE01"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Demonstrates full understanding of the topic and effectively expresses ideas.</w:t>
            </w:r>
          </w:p>
        </w:tc>
        <w:tc>
          <w:tcPr>
            <w:tcW w:w="1530" w:type="dxa"/>
            <w:tcBorders>
              <w:top w:val="single" w:sz="4" w:space="0" w:color="000000"/>
              <w:left w:val="nil"/>
              <w:bottom w:val="nil"/>
              <w:right w:val="nil"/>
            </w:tcBorders>
          </w:tcPr>
          <w:p w14:paraId="33A0B749"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Uses a wide range of appropriate vocabulary.</w:t>
            </w:r>
          </w:p>
        </w:tc>
        <w:tc>
          <w:tcPr>
            <w:tcW w:w="1440" w:type="dxa"/>
            <w:tcBorders>
              <w:top w:val="single" w:sz="4" w:space="0" w:color="000000"/>
              <w:left w:val="nil"/>
              <w:bottom w:val="nil"/>
              <w:right w:val="nil"/>
            </w:tcBorders>
          </w:tcPr>
          <w:p w14:paraId="37A44D14"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No errors in spelling, punctuation, or other mechanics.</w:t>
            </w:r>
          </w:p>
        </w:tc>
        <w:tc>
          <w:tcPr>
            <w:tcW w:w="1800" w:type="dxa"/>
            <w:tcBorders>
              <w:top w:val="single" w:sz="4" w:space="0" w:color="000000"/>
              <w:left w:val="nil"/>
              <w:bottom w:val="nil"/>
              <w:right w:val="nil"/>
            </w:tcBorders>
          </w:tcPr>
          <w:p w14:paraId="352DBEC6"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No</w:t>
            </w:r>
            <w:r>
              <w:rPr>
                <w:rFonts w:ascii="Arial" w:hAnsi="Arial" w:cs="Arial"/>
                <w:sz w:val="16"/>
                <w:szCs w:val="16"/>
              </w:rPr>
              <w:t>ne</w:t>
            </w:r>
            <w:r w:rsidRPr="006E3D67">
              <w:rPr>
                <w:rFonts w:ascii="Arial" w:hAnsi="Arial" w:cs="Arial"/>
                <w:sz w:val="16"/>
                <w:szCs w:val="16"/>
              </w:rPr>
              <w:t xml:space="preserve"> or almost no grammatical errors. Sentences are clear, precise, and stylistically effective.</w:t>
            </w:r>
          </w:p>
        </w:tc>
        <w:tc>
          <w:tcPr>
            <w:tcW w:w="1710" w:type="dxa"/>
            <w:tcBorders>
              <w:top w:val="single" w:sz="4" w:space="0" w:color="000000"/>
              <w:left w:val="nil"/>
              <w:bottom w:val="nil"/>
              <w:right w:val="nil"/>
            </w:tcBorders>
          </w:tcPr>
          <w:p w14:paraId="36FC88D9"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Ideas are well-organized and logically sequenced; the essay clearly shows the beginning, middle, and end.</w:t>
            </w:r>
          </w:p>
        </w:tc>
      </w:tr>
      <w:tr w:rsidR="00630B61" w:rsidRPr="006E3D67" w14:paraId="43694B18" w14:textId="77777777" w:rsidTr="002D3D28">
        <w:trPr>
          <w:trHeight w:val="1179"/>
          <w:jc w:val="center"/>
        </w:trPr>
        <w:tc>
          <w:tcPr>
            <w:tcW w:w="720" w:type="dxa"/>
            <w:tcBorders>
              <w:top w:val="nil"/>
              <w:left w:val="nil"/>
              <w:bottom w:val="nil"/>
              <w:right w:val="nil"/>
            </w:tcBorders>
            <w:vAlign w:val="center"/>
          </w:tcPr>
          <w:p w14:paraId="498F99D0" w14:textId="77777777" w:rsidR="00630B61" w:rsidRPr="00E71E26" w:rsidRDefault="00630B61" w:rsidP="002D3D28">
            <w:pPr>
              <w:jc w:val="center"/>
              <w:rPr>
                <w:rFonts w:ascii="Arial" w:hAnsi="Arial" w:cs="Arial"/>
                <w:sz w:val="18"/>
                <w:szCs w:val="18"/>
              </w:rPr>
            </w:pPr>
            <w:r w:rsidRPr="00E71E26">
              <w:rPr>
                <w:rStyle w:val="Strong"/>
                <w:rFonts w:ascii="Arial" w:hAnsi="Arial" w:cs="Arial"/>
                <w:sz w:val="18"/>
                <w:szCs w:val="18"/>
              </w:rPr>
              <w:t>4</w:t>
            </w:r>
          </w:p>
        </w:tc>
        <w:tc>
          <w:tcPr>
            <w:tcW w:w="1350" w:type="dxa"/>
            <w:tcBorders>
              <w:top w:val="nil"/>
              <w:left w:val="nil"/>
              <w:bottom w:val="nil"/>
              <w:right w:val="nil"/>
            </w:tcBorders>
          </w:tcPr>
          <w:p w14:paraId="250CA68B"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Clearly understands the topic and expresses ideas well.</w:t>
            </w:r>
          </w:p>
        </w:tc>
        <w:tc>
          <w:tcPr>
            <w:tcW w:w="1530" w:type="dxa"/>
            <w:tcBorders>
              <w:top w:val="nil"/>
              <w:left w:val="nil"/>
              <w:bottom w:val="nil"/>
              <w:right w:val="nil"/>
            </w:tcBorders>
          </w:tcPr>
          <w:p w14:paraId="715DDE23"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Uses sufficient and appropriate vocabulary.</w:t>
            </w:r>
          </w:p>
        </w:tc>
        <w:tc>
          <w:tcPr>
            <w:tcW w:w="1440" w:type="dxa"/>
            <w:tcBorders>
              <w:top w:val="nil"/>
              <w:left w:val="nil"/>
              <w:bottom w:val="nil"/>
              <w:right w:val="nil"/>
            </w:tcBorders>
          </w:tcPr>
          <w:p w14:paraId="391FD508"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One to two errors in spelling, punctuation, or mechanics.</w:t>
            </w:r>
          </w:p>
        </w:tc>
        <w:tc>
          <w:tcPr>
            <w:tcW w:w="1800" w:type="dxa"/>
            <w:tcBorders>
              <w:top w:val="nil"/>
              <w:left w:val="nil"/>
              <w:bottom w:val="nil"/>
              <w:right w:val="nil"/>
            </w:tcBorders>
          </w:tcPr>
          <w:p w14:paraId="153C788A"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Minor grammatical errors that do not affect the meaning of the sentences.</w:t>
            </w:r>
          </w:p>
        </w:tc>
        <w:tc>
          <w:tcPr>
            <w:tcW w:w="1710" w:type="dxa"/>
            <w:tcBorders>
              <w:top w:val="nil"/>
              <w:left w:val="nil"/>
              <w:bottom w:val="nil"/>
              <w:right w:val="nil"/>
            </w:tcBorders>
          </w:tcPr>
          <w:p w14:paraId="4BE8F76F"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Logical organization of ideas with slight weaknesses in transitions between parts.</w:t>
            </w:r>
          </w:p>
        </w:tc>
      </w:tr>
      <w:tr w:rsidR="00630B61" w:rsidRPr="006E3D67" w14:paraId="0EF6A0AC" w14:textId="77777777" w:rsidTr="002D3D28">
        <w:trPr>
          <w:trHeight w:val="990"/>
          <w:jc w:val="center"/>
        </w:trPr>
        <w:tc>
          <w:tcPr>
            <w:tcW w:w="720" w:type="dxa"/>
            <w:tcBorders>
              <w:top w:val="nil"/>
              <w:left w:val="nil"/>
              <w:bottom w:val="nil"/>
              <w:right w:val="nil"/>
            </w:tcBorders>
            <w:vAlign w:val="center"/>
          </w:tcPr>
          <w:p w14:paraId="3972B588" w14:textId="77777777" w:rsidR="00630B61" w:rsidRPr="00E71E26" w:rsidRDefault="00630B61" w:rsidP="002D3D28">
            <w:pPr>
              <w:jc w:val="center"/>
              <w:rPr>
                <w:rFonts w:ascii="Arial" w:hAnsi="Arial" w:cs="Arial"/>
                <w:sz w:val="18"/>
                <w:szCs w:val="18"/>
              </w:rPr>
            </w:pPr>
            <w:r w:rsidRPr="00E71E26">
              <w:rPr>
                <w:rStyle w:val="Strong"/>
                <w:rFonts w:ascii="Arial" w:hAnsi="Arial" w:cs="Arial"/>
                <w:sz w:val="18"/>
                <w:szCs w:val="18"/>
              </w:rPr>
              <w:lastRenderedPageBreak/>
              <w:t>3</w:t>
            </w:r>
          </w:p>
        </w:tc>
        <w:tc>
          <w:tcPr>
            <w:tcW w:w="1350" w:type="dxa"/>
            <w:tcBorders>
              <w:top w:val="nil"/>
              <w:left w:val="nil"/>
              <w:bottom w:val="nil"/>
              <w:right w:val="nil"/>
            </w:tcBorders>
          </w:tcPr>
          <w:p w14:paraId="00AAE5C5"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Partially understands the topic, but some parts are unclear.</w:t>
            </w:r>
          </w:p>
        </w:tc>
        <w:tc>
          <w:tcPr>
            <w:tcW w:w="1530" w:type="dxa"/>
            <w:tcBorders>
              <w:top w:val="nil"/>
              <w:left w:val="nil"/>
              <w:bottom w:val="nil"/>
              <w:right w:val="nil"/>
            </w:tcBorders>
          </w:tcPr>
          <w:p w14:paraId="373D755B"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Limited but appropriate vocabulary.</w:t>
            </w:r>
          </w:p>
        </w:tc>
        <w:tc>
          <w:tcPr>
            <w:tcW w:w="1440" w:type="dxa"/>
            <w:tcBorders>
              <w:top w:val="nil"/>
              <w:left w:val="nil"/>
              <w:bottom w:val="nil"/>
              <w:right w:val="nil"/>
            </w:tcBorders>
          </w:tcPr>
          <w:p w14:paraId="4BCC0624"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Three to four errors in spelling, punctuation, or mechanics.</w:t>
            </w:r>
          </w:p>
        </w:tc>
        <w:tc>
          <w:tcPr>
            <w:tcW w:w="1800" w:type="dxa"/>
            <w:tcBorders>
              <w:top w:val="nil"/>
              <w:left w:val="nil"/>
              <w:bottom w:val="nil"/>
              <w:right w:val="nil"/>
            </w:tcBorders>
          </w:tcPr>
          <w:p w14:paraId="6D146F76"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Some grammatical errors that slightly affect clarity, though the overall message remains understandable.</w:t>
            </w:r>
          </w:p>
        </w:tc>
        <w:tc>
          <w:tcPr>
            <w:tcW w:w="1710" w:type="dxa"/>
            <w:tcBorders>
              <w:top w:val="nil"/>
              <w:left w:val="nil"/>
              <w:bottom w:val="nil"/>
              <w:right w:val="nil"/>
            </w:tcBorders>
          </w:tcPr>
          <w:p w14:paraId="440500A5" w14:textId="77777777" w:rsidR="00630B61" w:rsidRPr="006E3D67" w:rsidRDefault="00630B61" w:rsidP="002D3D28">
            <w:pPr>
              <w:jc w:val="both"/>
              <w:rPr>
                <w:rFonts w:ascii="Arial" w:hAnsi="Arial" w:cs="Arial"/>
                <w:sz w:val="16"/>
                <w:szCs w:val="16"/>
              </w:rPr>
            </w:pPr>
            <w:r w:rsidRPr="006E3D67">
              <w:rPr>
                <w:rFonts w:ascii="Arial" w:hAnsi="Arial" w:cs="Arial"/>
                <w:sz w:val="16"/>
                <w:szCs w:val="16"/>
              </w:rPr>
              <w:t>Organization of ideas is somewhat unclear, with some disconnected sections.</w:t>
            </w:r>
          </w:p>
        </w:tc>
      </w:tr>
      <w:tr w:rsidR="00630B61" w:rsidRPr="006E3D67" w14:paraId="064D3397" w14:textId="77777777" w:rsidTr="002D3D28">
        <w:trPr>
          <w:trHeight w:val="438"/>
          <w:jc w:val="center"/>
        </w:trPr>
        <w:tc>
          <w:tcPr>
            <w:tcW w:w="720" w:type="dxa"/>
            <w:tcBorders>
              <w:top w:val="nil"/>
              <w:left w:val="nil"/>
              <w:bottom w:val="nil"/>
              <w:right w:val="nil"/>
            </w:tcBorders>
            <w:vAlign w:val="center"/>
          </w:tcPr>
          <w:p w14:paraId="267E9B16" w14:textId="77777777" w:rsidR="00630B61" w:rsidRPr="00E71E26" w:rsidRDefault="00630B61" w:rsidP="002D3D28">
            <w:pPr>
              <w:spacing w:before="240"/>
              <w:jc w:val="center"/>
              <w:rPr>
                <w:rFonts w:ascii="Arial" w:hAnsi="Arial" w:cs="Arial"/>
                <w:sz w:val="18"/>
                <w:szCs w:val="18"/>
              </w:rPr>
            </w:pPr>
            <w:r w:rsidRPr="00E71E26">
              <w:rPr>
                <w:rStyle w:val="Strong"/>
                <w:rFonts w:ascii="Arial" w:hAnsi="Arial" w:cs="Arial"/>
                <w:sz w:val="18"/>
                <w:szCs w:val="18"/>
              </w:rPr>
              <w:t>2</w:t>
            </w:r>
          </w:p>
        </w:tc>
        <w:tc>
          <w:tcPr>
            <w:tcW w:w="1350" w:type="dxa"/>
            <w:tcBorders>
              <w:top w:val="nil"/>
              <w:left w:val="nil"/>
              <w:bottom w:val="nil"/>
              <w:right w:val="nil"/>
            </w:tcBorders>
          </w:tcPr>
          <w:p w14:paraId="62106219"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Limited understanding of the topic and unclear ideas.</w:t>
            </w:r>
          </w:p>
        </w:tc>
        <w:tc>
          <w:tcPr>
            <w:tcW w:w="1530" w:type="dxa"/>
            <w:tcBorders>
              <w:top w:val="nil"/>
              <w:left w:val="nil"/>
              <w:bottom w:val="nil"/>
              <w:right w:val="nil"/>
            </w:tcBorders>
          </w:tcPr>
          <w:p w14:paraId="29904162"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Narrow vocabulary, sometimes inappropriate to the context.</w:t>
            </w:r>
          </w:p>
        </w:tc>
        <w:tc>
          <w:tcPr>
            <w:tcW w:w="1440" w:type="dxa"/>
            <w:tcBorders>
              <w:top w:val="nil"/>
              <w:left w:val="nil"/>
              <w:bottom w:val="nil"/>
              <w:right w:val="nil"/>
            </w:tcBorders>
          </w:tcPr>
          <w:p w14:paraId="1E292073"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Five or more errors in spelling, punctuation, or mechanics.</w:t>
            </w:r>
          </w:p>
        </w:tc>
        <w:tc>
          <w:tcPr>
            <w:tcW w:w="1800" w:type="dxa"/>
            <w:tcBorders>
              <w:top w:val="nil"/>
              <w:left w:val="nil"/>
              <w:bottom w:val="nil"/>
              <w:right w:val="nil"/>
            </w:tcBorders>
          </w:tcPr>
          <w:p w14:paraId="2ACE9912"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Frequent grammatical errors that reduce the clarity of the content.</w:t>
            </w:r>
          </w:p>
        </w:tc>
        <w:tc>
          <w:tcPr>
            <w:tcW w:w="1710" w:type="dxa"/>
            <w:tcBorders>
              <w:top w:val="nil"/>
              <w:left w:val="nil"/>
              <w:bottom w:val="nil"/>
              <w:right w:val="nil"/>
            </w:tcBorders>
          </w:tcPr>
          <w:p w14:paraId="52D31158"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Disorganized structure; some parts lack clear connection with others.</w:t>
            </w:r>
          </w:p>
        </w:tc>
      </w:tr>
      <w:tr w:rsidR="00630B61" w:rsidRPr="006E3D67" w14:paraId="250D81B2" w14:textId="77777777" w:rsidTr="002D3D28">
        <w:trPr>
          <w:trHeight w:val="1377"/>
          <w:jc w:val="center"/>
        </w:trPr>
        <w:tc>
          <w:tcPr>
            <w:tcW w:w="720" w:type="dxa"/>
            <w:tcBorders>
              <w:top w:val="nil"/>
              <w:left w:val="nil"/>
              <w:bottom w:val="single" w:sz="4" w:space="0" w:color="000000"/>
              <w:right w:val="nil"/>
            </w:tcBorders>
            <w:vAlign w:val="center"/>
          </w:tcPr>
          <w:p w14:paraId="5AC0DA6E" w14:textId="77777777" w:rsidR="00630B61" w:rsidRPr="00E71E26" w:rsidRDefault="00630B61" w:rsidP="002D3D28">
            <w:pPr>
              <w:spacing w:before="240"/>
              <w:jc w:val="center"/>
              <w:rPr>
                <w:rFonts w:ascii="Arial" w:hAnsi="Arial" w:cs="Arial"/>
                <w:sz w:val="18"/>
                <w:szCs w:val="18"/>
              </w:rPr>
            </w:pPr>
            <w:r w:rsidRPr="00E71E26">
              <w:rPr>
                <w:rStyle w:val="Strong"/>
                <w:rFonts w:ascii="Arial" w:hAnsi="Arial" w:cs="Arial"/>
                <w:sz w:val="18"/>
                <w:szCs w:val="18"/>
              </w:rPr>
              <w:t>1</w:t>
            </w:r>
          </w:p>
        </w:tc>
        <w:tc>
          <w:tcPr>
            <w:tcW w:w="1350" w:type="dxa"/>
            <w:tcBorders>
              <w:top w:val="nil"/>
              <w:left w:val="nil"/>
              <w:bottom w:val="single" w:sz="4" w:space="0" w:color="000000"/>
              <w:right w:val="nil"/>
            </w:tcBorders>
          </w:tcPr>
          <w:p w14:paraId="33889F1B"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Lacks understanding of the topic and ideas are unclear.</w:t>
            </w:r>
          </w:p>
        </w:tc>
        <w:tc>
          <w:tcPr>
            <w:tcW w:w="1530" w:type="dxa"/>
            <w:tcBorders>
              <w:top w:val="nil"/>
              <w:left w:val="nil"/>
              <w:bottom w:val="single" w:sz="4" w:space="0" w:color="000000"/>
              <w:right w:val="nil"/>
            </w:tcBorders>
          </w:tcPr>
          <w:p w14:paraId="1B4C8CED"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Very limited and inappropriate vocabulary.</w:t>
            </w:r>
          </w:p>
        </w:tc>
        <w:tc>
          <w:tcPr>
            <w:tcW w:w="1440" w:type="dxa"/>
            <w:tcBorders>
              <w:top w:val="nil"/>
              <w:left w:val="nil"/>
              <w:bottom w:val="single" w:sz="4" w:space="0" w:color="000000"/>
              <w:right w:val="nil"/>
            </w:tcBorders>
          </w:tcPr>
          <w:p w14:paraId="62C729D3"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Numerous errors in spelling, punctuation, and mechanics.</w:t>
            </w:r>
          </w:p>
        </w:tc>
        <w:tc>
          <w:tcPr>
            <w:tcW w:w="1800" w:type="dxa"/>
            <w:tcBorders>
              <w:top w:val="nil"/>
              <w:left w:val="nil"/>
              <w:bottom w:val="single" w:sz="4" w:space="0" w:color="000000"/>
              <w:right w:val="nil"/>
            </w:tcBorders>
          </w:tcPr>
          <w:p w14:paraId="0D9C79AB"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Extensive grammatical errors that hinder understanding.</w:t>
            </w:r>
          </w:p>
        </w:tc>
        <w:tc>
          <w:tcPr>
            <w:tcW w:w="1710" w:type="dxa"/>
            <w:tcBorders>
              <w:top w:val="nil"/>
              <w:left w:val="nil"/>
              <w:bottom w:val="single" w:sz="4" w:space="0" w:color="000000"/>
              <w:right w:val="nil"/>
            </w:tcBorders>
          </w:tcPr>
          <w:p w14:paraId="46F44BD2" w14:textId="77777777" w:rsidR="00630B61" w:rsidRPr="006E3D67" w:rsidRDefault="00630B61" w:rsidP="002D3D28">
            <w:pPr>
              <w:spacing w:before="240"/>
              <w:jc w:val="both"/>
              <w:rPr>
                <w:rFonts w:ascii="Arial" w:hAnsi="Arial" w:cs="Arial"/>
                <w:sz w:val="16"/>
                <w:szCs w:val="16"/>
              </w:rPr>
            </w:pPr>
            <w:r w:rsidRPr="006E3D67">
              <w:rPr>
                <w:rFonts w:ascii="Arial" w:hAnsi="Arial" w:cs="Arial"/>
                <w:sz w:val="16"/>
                <w:szCs w:val="16"/>
              </w:rPr>
              <w:t>Lacks logical organization; the flow of ideas is difficult to follow.</w:t>
            </w:r>
          </w:p>
        </w:tc>
      </w:tr>
    </w:tbl>
    <w:p w14:paraId="12354B4E" w14:textId="77777777" w:rsidR="00D80AA7" w:rsidRDefault="00E83D68">
      <w:pPr>
        <w:jc w:val="both"/>
        <w:rPr>
          <w:rFonts w:ascii="Arial" w:eastAsia="Arial" w:hAnsi="Arial" w:cs="Arial"/>
          <w:b/>
          <w:color w:val="000000"/>
          <w:sz w:val="22"/>
          <w:szCs w:val="22"/>
        </w:rPr>
      </w:pPr>
      <w:r w:rsidRPr="00C7452B">
        <w:rPr>
          <w:rFonts w:ascii="Arial" w:eastAsia="Arial" w:hAnsi="Arial" w:cs="Arial"/>
          <w:i/>
          <w:color w:val="000000"/>
          <w:highlight w:val="cyan"/>
          <w:vertAlign w:val="subscript"/>
        </w:rPr>
        <w:t>*This scoring rubric was developed to assess Filipino language proficiency through written composition, focusing on five components: Content, Vocabulary, Mechanics, Grammar, and Organization. While inspired by the writing performance expectations described in the Common European Framework of Reference for Languages (CEFR, 2001), the rubric itself is researcher-designed and adapted to suit the local academic context.</w:t>
      </w:r>
    </w:p>
    <w:p w14:paraId="2196A74F" w14:textId="77777777" w:rsidR="006E3D67" w:rsidRDefault="006E3D67">
      <w:pPr>
        <w:jc w:val="both"/>
        <w:rPr>
          <w:rFonts w:ascii="Arial" w:eastAsia="Arial" w:hAnsi="Arial" w:cs="Arial"/>
          <w:b/>
          <w:color w:val="000000"/>
          <w:sz w:val="22"/>
          <w:szCs w:val="22"/>
        </w:rPr>
      </w:pPr>
    </w:p>
    <w:p w14:paraId="2B9D4F7A" w14:textId="77777777" w:rsidR="00382604" w:rsidRDefault="00F91166">
      <w:pPr>
        <w:jc w:val="both"/>
        <w:rPr>
          <w:rFonts w:ascii="Arial" w:eastAsia="Arial" w:hAnsi="Arial" w:cs="Arial"/>
          <w:b/>
          <w:color w:val="000000"/>
          <w:sz w:val="22"/>
          <w:szCs w:val="22"/>
        </w:rPr>
      </w:pPr>
      <w:r>
        <w:rPr>
          <w:rFonts w:ascii="Arial" w:eastAsia="Arial" w:hAnsi="Arial" w:cs="Arial"/>
          <w:b/>
          <w:color w:val="000000"/>
          <w:sz w:val="22"/>
          <w:szCs w:val="22"/>
        </w:rPr>
        <w:t>2.7 Statistical Treatment</w:t>
      </w:r>
    </w:p>
    <w:p w14:paraId="4CFEC3A0" w14:textId="77777777" w:rsidR="00382604" w:rsidRDefault="00382604">
      <w:pPr>
        <w:jc w:val="both"/>
        <w:rPr>
          <w:rFonts w:ascii="Arial" w:eastAsia="Arial" w:hAnsi="Arial" w:cs="Arial"/>
          <w:b/>
          <w:color w:val="000000"/>
          <w:sz w:val="22"/>
          <w:szCs w:val="22"/>
        </w:rPr>
      </w:pPr>
    </w:p>
    <w:p w14:paraId="64A3B5D4" w14:textId="77777777" w:rsidR="00382604" w:rsidRDefault="00F91166">
      <w:pPr>
        <w:spacing w:after="240"/>
        <w:jc w:val="both"/>
        <w:rPr>
          <w:rFonts w:ascii="Arial" w:eastAsia="Arial" w:hAnsi="Arial" w:cs="Arial"/>
          <w:color w:val="000000"/>
        </w:rPr>
      </w:pPr>
      <w:r>
        <w:rPr>
          <w:rFonts w:ascii="Arial" w:eastAsia="Arial" w:hAnsi="Arial" w:cs="Arial"/>
          <w:color w:val="000000"/>
        </w:rPr>
        <w:t>To obtain an extensive understanding of the data, the following statistical tools were used. For problems 1 to 3, descriptive statistics such as mean, standard deviation, frequency, and percentage were used in this study to assess the levels of motivation (Intrinsic and Extrinsic), self-esteem (Identity, Belonging, Purpose, and Competence), and the level of Filipino language proficiency among junior high school students. For problem 4, inferential statistics, specifically the Pearson-Correlation Coefficient (r), were applied to determine if significant relationships exist between students’ motivation, self-esteem, and Filipino language proficiency.</w:t>
      </w:r>
    </w:p>
    <w:p w14:paraId="778364A6"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06B91DF5" w14:textId="77777777" w:rsidR="00382604" w:rsidRDefault="00382604">
      <w:pPr>
        <w:jc w:val="both"/>
        <w:rPr>
          <w:rFonts w:ascii="Arial" w:eastAsia="Arial" w:hAnsi="Arial" w:cs="Arial"/>
          <w:color w:val="000000"/>
        </w:rPr>
      </w:pPr>
    </w:p>
    <w:p w14:paraId="06BEF7FB" w14:textId="77777777" w:rsidR="00382604" w:rsidRDefault="00F91166">
      <w:pPr>
        <w:jc w:val="both"/>
        <w:rPr>
          <w:rFonts w:ascii="Arial" w:eastAsia="Arial" w:hAnsi="Arial" w:cs="Arial"/>
          <w:color w:val="000000"/>
        </w:rPr>
      </w:pPr>
      <w:r>
        <w:rPr>
          <w:rFonts w:ascii="Arial" w:eastAsia="Arial" w:hAnsi="Arial" w:cs="Arial"/>
          <w:b/>
          <w:smallCaps/>
          <w:color w:val="000000"/>
          <w:sz w:val="22"/>
          <w:szCs w:val="22"/>
        </w:rPr>
        <w:t xml:space="preserve">3.1 </w:t>
      </w:r>
      <w:r>
        <w:rPr>
          <w:rFonts w:ascii="Arial" w:eastAsia="Arial" w:hAnsi="Arial" w:cs="Arial"/>
          <w:b/>
          <w:color w:val="000000"/>
          <w:sz w:val="22"/>
          <w:szCs w:val="22"/>
        </w:rPr>
        <w:t>Junior High School Students’ level of Motivation</w:t>
      </w:r>
    </w:p>
    <w:p w14:paraId="673BFF98" w14:textId="77777777" w:rsidR="00382604" w:rsidRDefault="00F91166">
      <w:pPr>
        <w:spacing w:before="240"/>
        <w:rPr>
          <w:rFonts w:ascii="Arial" w:eastAsia="Arial" w:hAnsi="Arial" w:cs="Arial"/>
          <w:b/>
        </w:rPr>
      </w:pPr>
      <w:r>
        <w:rPr>
          <w:rFonts w:ascii="Arial" w:eastAsia="Arial" w:hAnsi="Arial" w:cs="Arial"/>
          <w:b/>
        </w:rPr>
        <w:t>Table 1. Mean, Standard Deviation, and Interpretation of the Extent of the Junior High School Students level of Motivation (Intrinsic Motivation)</w:t>
      </w:r>
      <w:r>
        <w:rPr>
          <w:rFonts w:ascii="Arial" w:eastAsia="Arial" w:hAnsi="Arial" w:cs="Arial"/>
          <w:b/>
        </w:rPr>
        <w:br/>
      </w:r>
    </w:p>
    <w:tbl>
      <w:tblPr>
        <w:tblStyle w:val="Style74"/>
        <w:tblpPr w:leftFromText="180" w:rightFromText="180" w:vertAnchor="text" w:tblpX="144" w:tblpY="4"/>
        <w:tblW w:w="8118" w:type="dxa"/>
        <w:tblBorders>
          <w:top w:val="single" w:sz="4" w:space="0" w:color="000000"/>
          <w:bottom w:val="single" w:sz="4" w:space="0" w:color="000000"/>
        </w:tblBorders>
        <w:tblLayout w:type="fixed"/>
        <w:tblLook w:val="04A0" w:firstRow="1" w:lastRow="0" w:firstColumn="1" w:lastColumn="0" w:noHBand="0" w:noVBand="1"/>
      </w:tblPr>
      <w:tblGrid>
        <w:gridCol w:w="4248"/>
        <w:gridCol w:w="990"/>
        <w:gridCol w:w="1260"/>
        <w:gridCol w:w="90"/>
        <w:gridCol w:w="1530"/>
      </w:tblGrid>
      <w:tr w:rsidR="00382604" w14:paraId="5610C886" w14:textId="77777777">
        <w:trPr>
          <w:trHeight w:val="710"/>
        </w:trPr>
        <w:tc>
          <w:tcPr>
            <w:tcW w:w="4248" w:type="dxa"/>
            <w:tcBorders>
              <w:bottom w:val="single" w:sz="4" w:space="0" w:color="000000"/>
            </w:tcBorders>
            <w:vAlign w:val="center"/>
          </w:tcPr>
          <w:p w14:paraId="03C958E4"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INTRINSIC MOTIVATION</w:t>
            </w:r>
          </w:p>
        </w:tc>
        <w:tc>
          <w:tcPr>
            <w:tcW w:w="990" w:type="dxa"/>
            <w:tcBorders>
              <w:bottom w:val="single" w:sz="4" w:space="0" w:color="000000"/>
            </w:tcBorders>
            <w:vAlign w:val="center"/>
          </w:tcPr>
          <w:p w14:paraId="5E63E12B"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Mean</w:t>
            </w:r>
          </w:p>
        </w:tc>
        <w:tc>
          <w:tcPr>
            <w:tcW w:w="1350" w:type="dxa"/>
            <w:gridSpan w:val="2"/>
            <w:tcBorders>
              <w:bottom w:val="single" w:sz="4" w:space="0" w:color="000000"/>
            </w:tcBorders>
            <w:vAlign w:val="center"/>
          </w:tcPr>
          <w:p w14:paraId="38C20D42" w14:textId="77777777" w:rsidR="00382604" w:rsidRDefault="00F91166">
            <w:pPr>
              <w:spacing w:before="240" w:after="240"/>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07836044"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Interpretation</w:t>
            </w:r>
          </w:p>
        </w:tc>
      </w:tr>
      <w:tr w:rsidR="00382604" w14:paraId="4762842A" w14:textId="77777777">
        <w:trPr>
          <w:trHeight w:val="366"/>
        </w:trPr>
        <w:tc>
          <w:tcPr>
            <w:tcW w:w="4248" w:type="dxa"/>
            <w:tcBorders>
              <w:top w:val="single" w:sz="4" w:space="0" w:color="000000"/>
              <w:bottom w:val="nil"/>
            </w:tcBorders>
            <w:vAlign w:val="center"/>
          </w:tcPr>
          <w:p w14:paraId="5CE9A2E1" w14:textId="77777777" w:rsidR="00382604" w:rsidRDefault="00F91166">
            <w:pPr>
              <w:spacing w:before="240" w:line="480" w:lineRule="auto"/>
              <w:jc w:val="both"/>
              <w:rPr>
                <w:rFonts w:ascii="Arial" w:eastAsia="Arial" w:hAnsi="Arial" w:cs="Arial"/>
                <w:sz w:val="20"/>
                <w:szCs w:val="20"/>
              </w:rPr>
            </w:pPr>
            <w:r>
              <w:rPr>
                <w:rFonts w:ascii="Arial" w:eastAsia="Arial" w:hAnsi="Arial" w:cs="Arial"/>
                <w:sz w:val="20"/>
                <w:szCs w:val="20"/>
              </w:rPr>
              <w:t>1. I want to understand Filipino films/videos, pop music, or books/magazines.</w:t>
            </w:r>
          </w:p>
        </w:tc>
        <w:tc>
          <w:tcPr>
            <w:tcW w:w="990" w:type="dxa"/>
            <w:tcBorders>
              <w:top w:val="single" w:sz="4" w:space="0" w:color="000000"/>
              <w:bottom w:val="nil"/>
            </w:tcBorders>
            <w:vAlign w:val="center"/>
          </w:tcPr>
          <w:p w14:paraId="0A1A88A7"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4.30</w:t>
            </w:r>
          </w:p>
        </w:tc>
        <w:tc>
          <w:tcPr>
            <w:tcW w:w="1260" w:type="dxa"/>
            <w:tcBorders>
              <w:top w:val="single" w:sz="4" w:space="0" w:color="000000"/>
              <w:bottom w:val="nil"/>
            </w:tcBorders>
            <w:vAlign w:val="center"/>
          </w:tcPr>
          <w:p w14:paraId="36F92C43"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0.69</w:t>
            </w:r>
          </w:p>
        </w:tc>
        <w:tc>
          <w:tcPr>
            <w:tcW w:w="1620" w:type="dxa"/>
            <w:gridSpan w:val="2"/>
            <w:tcBorders>
              <w:top w:val="single" w:sz="4" w:space="0" w:color="000000"/>
              <w:bottom w:val="nil"/>
            </w:tcBorders>
            <w:vAlign w:val="center"/>
          </w:tcPr>
          <w:p w14:paraId="1023C5A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52AD960F" w14:textId="77777777">
        <w:trPr>
          <w:trHeight w:val="74"/>
        </w:trPr>
        <w:tc>
          <w:tcPr>
            <w:tcW w:w="4248" w:type="dxa"/>
            <w:tcBorders>
              <w:top w:val="nil"/>
            </w:tcBorders>
            <w:vAlign w:val="center"/>
          </w:tcPr>
          <w:p w14:paraId="297519B3"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2. Filipino helps me to understand Filipino-speaking people and their way of life.</w:t>
            </w:r>
          </w:p>
        </w:tc>
        <w:tc>
          <w:tcPr>
            <w:tcW w:w="990" w:type="dxa"/>
            <w:tcBorders>
              <w:top w:val="nil"/>
            </w:tcBorders>
            <w:vAlign w:val="center"/>
          </w:tcPr>
          <w:p w14:paraId="0C67A4B9"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4.38</w:t>
            </w:r>
          </w:p>
        </w:tc>
        <w:tc>
          <w:tcPr>
            <w:tcW w:w="1260" w:type="dxa"/>
            <w:tcBorders>
              <w:top w:val="nil"/>
            </w:tcBorders>
            <w:vAlign w:val="center"/>
          </w:tcPr>
          <w:p w14:paraId="7F2705A0"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0.65</w:t>
            </w:r>
          </w:p>
        </w:tc>
        <w:tc>
          <w:tcPr>
            <w:tcW w:w="1620" w:type="dxa"/>
            <w:gridSpan w:val="2"/>
            <w:tcBorders>
              <w:top w:val="nil"/>
            </w:tcBorders>
            <w:vAlign w:val="center"/>
          </w:tcPr>
          <w:p w14:paraId="170FC2B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09E3D1B1" w14:textId="77777777">
        <w:trPr>
          <w:trHeight w:val="146"/>
        </w:trPr>
        <w:tc>
          <w:tcPr>
            <w:tcW w:w="4248" w:type="dxa"/>
            <w:vAlign w:val="center"/>
          </w:tcPr>
          <w:p w14:paraId="6862A466"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lastRenderedPageBreak/>
              <w:t>3. I am interested in Filipino culture, history, and literature.</w:t>
            </w:r>
          </w:p>
        </w:tc>
        <w:tc>
          <w:tcPr>
            <w:tcW w:w="990" w:type="dxa"/>
            <w:vAlign w:val="center"/>
          </w:tcPr>
          <w:p w14:paraId="2B49CCED"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4.34</w:t>
            </w:r>
          </w:p>
        </w:tc>
        <w:tc>
          <w:tcPr>
            <w:tcW w:w="1260" w:type="dxa"/>
            <w:vAlign w:val="center"/>
          </w:tcPr>
          <w:p w14:paraId="49475AD7"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1620" w:type="dxa"/>
            <w:gridSpan w:val="2"/>
            <w:vAlign w:val="center"/>
          </w:tcPr>
          <w:p w14:paraId="5174D38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504EB02" w14:textId="77777777">
        <w:trPr>
          <w:trHeight w:val="115"/>
        </w:trPr>
        <w:tc>
          <w:tcPr>
            <w:tcW w:w="4248" w:type="dxa"/>
            <w:vAlign w:val="center"/>
          </w:tcPr>
          <w:p w14:paraId="03F01925"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4. I feel Filipino is an important language in the world.</w:t>
            </w:r>
          </w:p>
        </w:tc>
        <w:tc>
          <w:tcPr>
            <w:tcW w:w="990" w:type="dxa"/>
            <w:vAlign w:val="center"/>
          </w:tcPr>
          <w:p w14:paraId="2D014981"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3.98</w:t>
            </w:r>
          </w:p>
        </w:tc>
        <w:tc>
          <w:tcPr>
            <w:tcW w:w="1260" w:type="dxa"/>
            <w:vAlign w:val="center"/>
          </w:tcPr>
          <w:p w14:paraId="256DA205"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0.94</w:t>
            </w:r>
          </w:p>
        </w:tc>
        <w:tc>
          <w:tcPr>
            <w:tcW w:w="1620" w:type="dxa"/>
            <w:gridSpan w:val="2"/>
            <w:vAlign w:val="center"/>
          </w:tcPr>
          <w:p w14:paraId="79ED709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4891E4B0" w14:textId="77777777">
        <w:trPr>
          <w:trHeight w:val="131"/>
        </w:trPr>
        <w:tc>
          <w:tcPr>
            <w:tcW w:w="4248" w:type="dxa"/>
            <w:vAlign w:val="center"/>
          </w:tcPr>
          <w:p w14:paraId="48B86E56"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5. I feel Filipino is mentally challenging.</w:t>
            </w:r>
          </w:p>
        </w:tc>
        <w:tc>
          <w:tcPr>
            <w:tcW w:w="990" w:type="dxa"/>
            <w:vAlign w:val="center"/>
          </w:tcPr>
          <w:p w14:paraId="666DC570"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3.73</w:t>
            </w:r>
          </w:p>
        </w:tc>
        <w:tc>
          <w:tcPr>
            <w:tcW w:w="1260" w:type="dxa"/>
            <w:vAlign w:val="center"/>
          </w:tcPr>
          <w:p w14:paraId="1C3C3E9E"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0.93</w:t>
            </w:r>
          </w:p>
        </w:tc>
        <w:tc>
          <w:tcPr>
            <w:tcW w:w="1620" w:type="dxa"/>
            <w:gridSpan w:val="2"/>
            <w:vAlign w:val="center"/>
          </w:tcPr>
          <w:p w14:paraId="4E3B0093"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0657091A" w14:textId="77777777">
        <w:trPr>
          <w:trHeight w:val="177"/>
        </w:trPr>
        <w:tc>
          <w:tcPr>
            <w:tcW w:w="4248" w:type="dxa"/>
            <w:vAlign w:val="center"/>
          </w:tcPr>
          <w:p w14:paraId="1FFF1340"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6. I can get pleasure from learning Filipino.</w:t>
            </w:r>
          </w:p>
        </w:tc>
        <w:tc>
          <w:tcPr>
            <w:tcW w:w="990" w:type="dxa"/>
            <w:vAlign w:val="center"/>
          </w:tcPr>
          <w:p w14:paraId="17923387"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3.68</w:t>
            </w:r>
          </w:p>
        </w:tc>
        <w:tc>
          <w:tcPr>
            <w:tcW w:w="1260" w:type="dxa"/>
            <w:vAlign w:val="center"/>
          </w:tcPr>
          <w:p w14:paraId="5ECF7B23"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0.90</w:t>
            </w:r>
          </w:p>
        </w:tc>
        <w:tc>
          <w:tcPr>
            <w:tcW w:w="1620" w:type="dxa"/>
            <w:gridSpan w:val="2"/>
            <w:vAlign w:val="center"/>
          </w:tcPr>
          <w:p w14:paraId="58B3D74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3350858D" w14:textId="77777777">
        <w:trPr>
          <w:trHeight w:val="223"/>
        </w:trPr>
        <w:tc>
          <w:tcPr>
            <w:tcW w:w="4248" w:type="dxa"/>
            <w:vAlign w:val="center"/>
          </w:tcPr>
          <w:p w14:paraId="5404EE68"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7. I am interested in increasing my Filipino vocabulary.</w:t>
            </w:r>
          </w:p>
        </w:tc>
        <w:tc>
          <w:tcPr>
            <w:tcW w:w="990" w:type="dxa"/>
            <w:vAlign w:val="center"/>
          </w:tcPr>
          <w:p w14:paraId="5C3ADBF4"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4.36</w:t>
            </w:r>
          </w:p>
        </w:tc>
        <w:tc>
          <w:tcPr>
            <w:tcW w:w="1260" w:type="dxa"/>
            <w:vAlign w:val="center"/>
          </w:tcPr>
          <w:p w14:paraId="5915071E"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0.78</w:t>
            </w:r>
          </w:p>
        </w:tc>
        <w:tc>
          <w:tcPr>
            <w:tcW w:w="1620" w:type="dxa"/>
            <w:gridSpan w:val="2"/>
            <w:vAlign w:val="center"/>
          </w:tcPr>
          <w:p w14:paraId="16BEDDD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6F4A8980" w14:textId="77777777">
        <w:trPr>
          <w:trHeight w:val="188"/>
        </w:trPr>
        <w:tc>
          <w:tcPr>
            <w:tcW w:w="4248" w:type="dxa"/>
            <w:vAlign w:val="center"/>
          </w:tcPr>
          <w:p w14:paraId="332037E8"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8. Knowledge of the Filipino language helps me to become a better person.</w:t>
            </w:r>
          </w:p>
        </w:tc>
        <w:tc>
          <w:tcPr>
            <w:tcW w:w="990" w:type="dxa"/>
            <w:vAlign w:val="center"/>
          </w:tcPr>
          <w:p w14:paraId="760D9645"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4.07</w:t>
            </w:r>
          </w:p>
        </w:tc>
        <w:tc>
          <w:tcPr>
            <w:tcW w:w="1260" w:type="dxa"/>
            <w:vAlign w:val="center"/>
          </w:tcPr>
          <w:p w14:paraId="024AD0DA"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0.76</w:t>
            </w:r>
          </w:p>
        </w:tc>
        <w:tc>
          <w:tcPr>
            <w:tcW w:w="1620" w:type="dxa"/>
            <w:gridSpan w:val="2"/>
            <w:vAlign w:val="center"/>
          </w:tcPr>
          <w:p w14:paraId="0B3AF15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2C314A5F" w14:textId="77777777">
        <w:trPr>
          <w:trHeight w:val="234"/>
        </w:trPr>
        <w:tc>
          <w:tcPr>
            <w:tcW w:w="4248" w:type="dxa"/>
            <w:tcBorders>
              <w:bottom w:val="nil"/>
            </w:tcBorders>
            <w:vAlign w:val="center"/>
          </w:tcPr>
          <w:p w14:paraId="1989E8FB"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9. I gain confidence when I know I use the Filipino language well.</w:t>
            </w:r>
          </w:p>
        </w:tc>
        <w:tc>
          <w:tcPr>
            <w:tcW w:w="990" w:type="dxa"/>
            <w:tcBorders>
              <w:bottom w:val="nil"/>
            </w:tcBorders>
            <w:vAlign w:val="center"/>
          </w:tcPr>
          <w:p w14:paraId="5ABBA8B1"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4.20</w:t>
            </w:r>
          </w:p>
        </w:tc>
        <w:tc>
          <w:tcPr>
            <w:tcW w:w="1260" w:type="dxa"/>
            <w:tcBorders>
              <w:bottom w:val="nil"/>
            </w:tcBorders>
            <w:vAlign w:val="center"/>
          </w:tcPr>
          <w:p w14:paraId="6C438163" w14:textId="77777777" w:rsidR="00382604" w:rsidRDefault="00F91166">
            <w:pPr>
              <w:spacing w:line="480"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1620" w:type="dxa"/>
            <w:gridSpan w:val="2"/>
            <w:tcBorders>
              <w:bottom w:val="nil"/>
            </w:tcBorders>
            <w:vAlign w:val="center"/>
          </w:tcPr>
          <w:p w14:paraId="74C7B32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59D16580" w14:textId="77777777">
        <w:trPr>
          <w:trHeight w:val="306"/>
        </w:trPr>
        <w:tc>
          <w:tcPr>
            <w:tcW w:w="4248" w:type="dxa"/>
            <w:tcBorders>
              <w:top w:val="nil"/>
              <w:bottom w:val="single" w:sz="4" w:space="0" w:color="000000"/>
            </w:tcBorders>
          </w:tcPr>
          <w:p w14:paraId="79FED894" w14:textId="77777777" w:rsidR="00382604" w:rsidRDefault="00F91166">
            <w:pPr>
              <w:spacing w:line="480" w:lineRule="auto"/>
              <w:jc w:val="both"/>
              <w:rPr>
                <w:rFonts w:ascii="Arial" w:eastAsia="Arial" w:hAnsi="Arial" w:cs="Arial"/>
                <w:sz w:val="20"/>
                <w:szCs w:val="20"/>
              </w:rPr>
            </w:pPr>
            <w:r>
              <w:rPr>
                <w:rFonts w:ascii="Arial" w:eastAsia="Arial" w:hAnsi="Arial" w:cs="Arial"/>
                <w:sz w:val="20"/>
                <w:szCs w:val="20"/>
              </w:rPr>
              <w:t>10. Learning and mastering the Filipino language is very fulfilling.</w:t>
            </w:r>
          </w:p>
        </w:tc>
        <w:tc>
          <w:tcPr>
            <w:tcW w:w="990" w:type="dxa"/>
            <w:tcBorders>
              <w:top w:val="nil"/>
              <w:bottom w:val="single" w:sz="4" w:space="0" w:color="000000"/>
            </w:tcBorders>
          </w:tcPr>
          <w:p w14:paraId="40C79D34" w14:textId="77777777" w:rsidR="00382604" w:rsidRDefault="00F91166">
            <w:pPr>
              <w:jc w:val="center"/>
              <w:rPr>
                <w:rFonts w:ascii="Arial" w:eastAsia="Arial" w:hAnsi="Arial" w:cs="Arial"/>
                <w:color w:val="000000"/>
                <w:sz w:val="20"/>
                <w:szCs w:val="20"/>
              </w:rPr>
            </w:pPr>
            <w:r>
              <w:rPr>
                <w:rFonts w:ascii="Arial" w:eastAsia="Arial" w:hAnsi="Arial" w:cs="Arial"/>
                <w:color w:val="000000"/>
                <w:sz w:val="20"/>
                <w:szCs w:val="20"/>
              </w:rPr>
              <w:t>4.32</w:t>
            </w:r>
          </w:p>
        </w:tc>
        <w:tc>
          <w:tcPr>
            <w:tcW w:w="1260" w:type="dxa"/>
            <w:tcBorders>
              <w:top w:val="nil"/>
              <w:bottom w:val="single" w:sz="4" w:space="0" w:color="000000"/>
            </w:tcBorders>
          </w:tcPr>
          <w:p w14:paraId="44E69C0C" w14:textId="77777777" w:rsidR="00382604" w:rsidRDefault="00F91166">
            <w:pPr>
              <w:jc w:val="center"/>
              <w:rPr>
                <w:rFonts w:ascii="Arial" w:eastAsia="Arial" w:hAnsi="Arial" w:cs="Arial"/>
                <w:color w:val="000000"/>
                <w:sz w:val="20"/>
                <w:szCs w:val="20"/>
              </w:rPr>
            </w:pPr>
            <w:r>
              <w:rPr>
                <w:rFonts w:ascii="Arial" w:eastAsia="Arial" w:hAnsi="Arial" w:cs="Arial"/>
                <w:color w:val="000000"/>
                <w:sz w:val="20"/>
                <w:szCs w:val="20"/>
              </w:rPr>
              <w:t>0.78</w:t>
            </w:r>
          </w:p>
        </w:tc>
        <w:tc>
          <w:tcPr>
            <w:tcW w:w="1620" w:type="dxa"/>
            <w:gridSpan w:val="2"/>
            <w:tcBorders>
              <w:top w:val="nil"/>
              <w:bottom w:val="single" w:sz="4" w:space="0" w:color="000000"/>
            </w:tcBorders>
          </w:tcPr>
          <w:p w14:paraId="5DFD4F20" w14:textId="77777777" w:rsidR="00382604" w:rsidRDefault="00F91166">
            <w:pPr>
              <w:jc w:val="center"/>
              <w:rPr>
                <w:rFonts w:ascii="Arial" w:eastAsia="Arial" w:hAnsi="Arial" w:cs="Arial"/>
                <w:sz w:val="20"/>
                <w:szCs w:val="20"/>
              </w:rPr>
            </w:pPr>
            <w:r>
              <w:rPr>
                <w:rFonts w:ascii="Arial" w:eastAsia="Arial" w:hAnsi="Arial" w:cs="Arial"/>
                <w:sz w:val="20"/>
                <w:szCs w:val="20"/>
              </w:rPr>
              <w:t>Very High</w:t>
            </w:r>
          </w:p>
        </w:tc>
      </w:tr>
      <w:tr w:rsidR="00382604" w14:paraId="4E85B8E5" w14:textId="77777777">
        <w:trPr>
          <w:trHeight w:val="467"/>
        </w:trPr>
        <w:tc>
          <w:tcPr>
            <w:tcW w:w="4248" w:type="dxa"/>
            <w:tcBorders>
              <w:top w:val="single" w:sz="4" w:space="0" w:color="000000"/>
            </w:tcBorders>
            <w:vAlign w:val="center"/>
          </w:tcPr>
          <w:p w14:paraId="512FC866" w14:textId="77777777" w:rsidR="00382604" w:rsidRDefault="00F91166">
            <w:pPr>
              <w:spacing w:before="240" w:after="240"/>
              <w:jc w:val="both"/>
              <w:rPr>
                <w:rFonts w:ascii="Arial" w:eastAsia="Arial" w:hAnsi="Arial" w:cs="Arial"/>
                <w:b/>
                <w:sz w:val="20"/>
                <w:szCs w:val="20"/>
              </w:rPr>
            </w:pPr>
            <w:r>
              <w:rPr>
                <w:rFonts w:ascii="Arial" w:eastAsia="Arial" w:hAnsi="Arial" w:cs="Arial"/>
                <w:b/>
                <w:sz w:val="20"/>
                <w:szCs w:val="20"/>
              </w:rPr>
              <w:t>Total:</w:t>
            </w:r>
          </w:p>
        </w:tc>
        <w:tc>
          <w:tcPr>
            <w:tcW w:w="990" w:type="dxa"/>
            <w:tcBorders>
              <w:top w:val="single" w:sz="4" w:space="0" w:color="000000"/>
            </w:tcBorders>
            <w:vAlign w:val="center"/>
          </w:tcPr>
          <w:p w14:paraId="3127D649" w14:textId="77777777" w:rsidR="00382604" w:rsidRDefault="00F91166">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4.13</w:t>
            </w:r>
          </w:p>
        </w:tc>
        <w:tc>
          <w:tcPr>
            <w:tcW w:w="1260" w:type="dxa"/>
            <w:tcBorders>
              <w:top w:val="single" w:sz="4" w:space="0" w:color="000000"/>
            </w:tcBorders>
            <w:vAlign w:val="center"/>
          </w:tcPr>
          <w:p w14:paraId="60547134" w14:textId="77777777" w:rsidR="00382604" w:rsidRDefault="00F91166">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0.46</w:t>
            </w:r>
          </w:p>
        </w:tc>
        <w:tc>
          <w:tcPr>
            <w:tcW w:w="1620" w:type="dxa"/>
            <w:gridSpan w:val="2"/>
            <w:tcBorders>
              <w:top w:val="single" w:sz="4" w:space="0" w:color="000000"/>
            </w:tcBorders>
            <w:vAlign w:val="center"/>
          </w:tcPr>
          <w:p w14:paraId="2287CB0F" w14:textId="77777777" w:rsidR="00382604" w:rsidRDefault="00F91166">
            <w:pPr>
              <w:spacing w:before="240" w:after="240"/>
              <w:jc w:val="center"/>
              <w:rPr>
                <w:rFonts w:ascii="Arial" w:eastAsia="Arial" w:hAnsi="Arial" w:cs="Arial"/>
                <w:b/>
                <w:sz w:val="20"/>
                <w:szCs w:val="20"/>
              </w:rPr>
            </w:pPr>
            <w:r>
              <w:rPr>
                <w:rFonts w:ascii="Arial" w:eastAsia="Arial" w:hAnsi="Arial" w:cs="Arial"/>
                <w:b/>
                <w:sz w:val="20"/>
                <w:szCs w:val="20"/>
              </w:rPr>
              <w:t>High</w:t>
            </w:r>
          </w:p>
        </w:tc>
      </w:tr>
    </w:tbl>
    <w:p w14:paraId="7B12F6BD" w14:textId="77777777" w:rsidR="00382604" w:rsidRDefault="00F91166">
      <w:pPr>
        <w:tabs>
          <w:tab w:val="left" w:pos="1080"/>
        </w:tabs>
        <w:ind w:left="1080" w:hanging="1080"/>
        <w:jc w:val="both"/>
        <w:rPr>
          <w:rFonts w:ascii="Arial" w:eastAsia="Arial" w:hAnsi="Arial" w:cs="Arial"/>
          <w:b/>
          <w:color w:val="000000"/>
          <w:vertAlign w:val="subscript"/>
        </w:rPr>
      </w:pPr>
      <w:r>
        <w:rPr>
          <w:rFonts w:ascii="Arial" w:eastAsia="Arial" w:hAnsi="Arial" w:cs="Arial"/>
          <w:i/>
          <w:color w:val="000000"/>
          <w:vertAlign w:val="subscript"/>
        </w:rPr>
        <w:t>*Students level of Intrinsic Motivation</w:t>
      </w:r>
    </w:p>
    <w:p w14:paraId="2190B0CA" w14:textId="77777777" w:rsidR="00382604" w:rsidRDefault="00382604">
      <w:pPr>
        <w:tabs>
          <w:tab w:val="left" w:pos="1080"/>
        </w:tabs>
        <w:ind w:left="1080" w:hanging="1080"/>
        <w:jc w:val="both"/>
        <w:rPr>
          <w:rFonts w:ascii="Arial" w:eastAsia="Arial" w:hAnsi="Arial" w:cs="Arial"/>
          <w:b/>
          <w:color w:val="000000"/>
        </w:rPr>
      </w:pPr>
    </w:p>
    <w:p w14:paraId="46DB003C" w14:textId="77777777" w:rsidR="00382604" w:rsidRDefault="00F91166">
      <w:pPr>
        <w:spacing w:after="240"/>
        <w:jc w:val="both"/>
        <w:rPr>
          <w:rFonts w:ascii="Arial" w:eastAsia="Arial" w:hAnsi="Arial" w:cs="Arial"/>
          <w:color w:val="000000"/>
        </w:rPr>
      </w:pPr>
      <w:r>
        <w:rPr>
          <w:rFonts w:ascii="Arial" w:eastAsia="Arial" w:hAnsi="Arial" w:cs="Arial"/>
          <w:color w:val="000000"/>
        </w:rPr>
        <w:t>Intrinsic motivation refers to the internal drive that encourages individuals to engage in activities for personal satisfaction rather than external rewards. In the context of education, it plays a vital role in fostering students' enthusiasm, persistence, and overall learning experience (Serin, 2018). When students are intrinsically motivated, they are more likely to engage deeply with the subject matter and develop a genuine interest in learning. Table 1 presents the level of intrinsic motivation among junior high school students in learning Filipino.</w:t>
      </w:r>
    </w:p>
    <w:p w14:paraId="5AA4E93E" w14:textId="77777777" w:rsidR="00382604" w:rsidRDefault="00F91166">
      <w:pPr>
        <w:spacing w:after="240"/>
        <w:jc w:val="both"/>
        <w:rPr>
          <w:rFonts w:ascii="Arial" w:eastAsia="Arial" w:hAnsi="Arial" w:cs="Arial"/>
          <w:color w:val="000000"/>
        </w:rPr>
      </w:pPr>
      <w:r>
        <w:rPr>
          <w:rFonts w:ascii="Arial" w:eastAsia="Arial" w:hAnsi="Arial" w:cs="Arial"/>
          <w:color w:val="000000"/>
        </w:rPr>
        <w:t>The results indicate that the junior high school students exhibit a generally high level of intrinsic motivation, with a mean score of 4.13. Specifically, 46% demonstrated a very high level of intrinsic motivation, while 31.96% fall into the “High” category. Nearly 78% of students exhibit strong intrinsic motivation, driven by factors such as personal interest, passion, or enjoyment of the learning process. Meanwhile, 9.86% have a moderate level of intrinsic motivation, suggesting that while they engage in language learning, their internal drive is less consistent. Only one participant (0.47%) reported very low intrinsic motivation.</w:t>
      </w:r>
    </w:p>
    <w:p w14:paraId="0394DB80"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The findings align with the Self-Determination Theory (Deci and Ryan, 1985), which emphasizes the role of autonomy, competence, and relatedness in fostering intrinsic motivation. The high levels of intrinsic motivation imply that the students feel a sense of autonomy in learning Filipino, demonstrating personal interest and engagement. Additionally, their competence is reflected in their willingness to expand their vocabulary and understanding </w:t>
      </w:r>
      <w:r>
        <w:rPr>
          <w:rFonts w:ascii="Arial" w:eastAsia="Arial" w:hAnsi="Arial" w:cs="Arial"/>
          <w:color w:val="000000"/>
        </w:rPr>
        <w:lastRenderedPageBreak/>
        <w:t>of Filipino culture, and the strong connection to Filipino-speaking communities further supports the role of relatedness. A high level of intrinsic motivation contributes to academic success by fostering creativity, deep learning, and perseverance. Additionally, these findings are consistent with the study of Khan and Ewe (2024), who emphasize that highly motivated students tend to remain engaged, embrace challenges, and develop a passion for studying.</w:t>
      </w:r>
    </w:p>
    <w:p w14:paraId="00B5672A" w14:textId="77777777" w:rsidR="00382604" w:rsidRDefault="00F91166">
      <w:pPr>
        <w:jc w:val="both"/>
        <w:rPr>
          <w:rFonts w:ascii="Arial" w:eastAsia="Arial" w:hAnsi="Arial" w:cs="Arial"/>
          <w:color w:val="000000"/>
        </w:rPr>
      </w:pPr>
      <w:r>
        <w:rPr>
          <w:rFonts w:ascii="Arial" w:eastAsia="Arial" w:hAnsi="Arial" w:cs="Arial"/>
          <w:color w:val="000000"/>
        </w:rPr>
        <w:t>In the same way, Bernal and Palma (2025) emphasize the significance of motivation in Filipino language learning, finding that while effective teaching and student engagement were highly rated, the classroom learning environment had the most significant impact on students’ motivation. Their study supports the idea that fostering a positive and meaningful learning environment is crucial in sustaining students' intrinsic motivation.</w:t>
      </w:r>
    </w:p>
    <w:p w14:paraId="4A43696F" w14:textId="77777777" w:rsidR="00382604" w:rsidRDefault="00F91166">
      <w:pPr>
        <w:spacing w:before="240"/>
        <w:rPr>
          <w:rFonts w:ascii="Arial" w:eastAsia="Arial" w:hAnsi="Arial" w:cs="Arial"/>
          <w:b/>
        </w:rPr>
      </w:pPr>
      <w:r>
        <w:rPr>
          <w:rFonts w:ascii="Arial" w:eastAsia="Arial" w:hAnsi="Arial" w:cs="Arial"/>
          <w:b/>
        </w:rPr>
        <w:t>Table 2. Mean, Standard Deviation, and Interpretation of the Extent of the Junior High School Students level of Motivation (Extrinsic Motivation)</w:t>
      </w:r>
      <w:r>
        <w:rPr>
          <w:rFonts w:ascii="Arial" w:eastAsia="Arial" w:hAnsi="Arial" w:cs="Arial"/>
          <w:b/>
        </w:rPr>
        <w:br/>
      </w:r>
    </w:p>
    <w:tbl>
      <w:tblPr>
        <w:tblStyle w:val="Style75"/>
        <w:tblpPr w:leftFromText="180" w:rightFromText="180" w:vertAnchor="text" w:tblpX="72" w:tblpY="4"/>
        <w:tblW w:w="8190" w:type="dxa"/>
        <w:tblBorders>
          <w:top w:val="single" w:sz="4" w:space="0" w:color="000000"/>
          <w:bottom w:val="single" w:sz="4" w:space="0" w:color="000000"/>
        </w:tblBorders>
        <w:tblLayout w:type="fixed"/>
        <w:tblLook w:val="04A0" w:firstRow="1" w:lastRow="0" w:firstColumn="1" w:lastColumn="0" w:noHBand="0" w:noVBand="1"/>
      </w:tblPr>
      <w:tblGrid>
        <w:gridCol w:w="4320"/>
        <w:gridCol w:w="990"/>
        <w:gridCol w:w="1260"/>
        <w:gridCol w:w="90"/>
        <w:gridCol w:w="1530"/>
      </w:tblGrid>
      <w:tr w:rsidR="00382604" w14:paraId="1035CB74" w14:textId="77777777">
        <w:trPr>
          <w:trHeight w:val="526"/>
        </w:trPr>
        <w:tc>
          <w:tcPr>
            <w:tcW w:w="4320" w:type="dxa"/>
            <w:tcBorders>
              <w:bottom w:val="single" w:sz="4" w:space="0" w:color="000000"/>
            </w:tcBorders>
            <w:vAlign w:val="center"/>
          </w:tcPr>
          <w:p w14:paraId="1730A37D"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EXTRINSIC MOTIVATION</w:t>
            </w:r>
          </w:p>
        </w:tc>
        <w:tc>
          <w:tcPr>
            <w:tcW w:w="990" w:type="dxa"/>
            <w:tcBorders>
              <w:bottom w:val="single" w:sz="4" w:space="0" w:color="000000"/>
            </w:tcBorders>
            <w:vAlign w:val="center"/>
          </w:tcPr>
          <w:p w14:paraId="3FFCC163"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Mean</w:t>
            </w:r>
          </w:p>
        </w:tc>
        <w:tc>
          <w:tcPr>
            <w:tcW w:w="1350" w:type="dxa"/>
            <w:gridSpan w:val="2"/>
            <w:tcBorders>
              <w:bottom w:val="single" w:sz="4" w:space="0" w:color="000000"/>
            </w:tcBorders>
            <w:vAlign w:val="center"/>
          </w:tcPr>
          <w:p w14:paraId="5E93B7AC"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63FA30FA" w14:textId="77777777" w:rsidR="00382604" w:rsidRDefault="00F91166">
            <w:pPr>
              <w:spacing w:before="240" w:line="480" w:lineRule="auto"/>
              <w:jc w:val="center"/>
              <w:rPr>
                <w:rFonts w:ascii="Arial" w:eastAsia="Arial" w:hAnsi="Arial" w:cs="Arial"/>
                <w:b/>
                <w:sz w:val="20"/>
                <w:szCs w:val="20"/>
              </w:rPr>
            </w:pPr>
            <w:r>
              <w:rPr>
                <w:rFonts w:ascii="Arial" w:eastAsia="Arial" w:hAnsi="Arial" w:cs="Arial"/>
                <w:b/>
                <w:sz w:val="20"/>
                <w:szCs w:val="20"/>
              </w:rPr>
              <w:t>Interpretation</w:t>
            </w:r>
          </w:p>
        </w:tc>
      </w:tr>
      <w:tr w:rsidR="00382604" w14:paraId="5C4579E1" w14:textId="77777777">
        <w:trPr>
          <w:trHeight w:val="366"/>
        </w:trPr>
        <w:tc>
          <w:tcPr>
            <w:tcW w:w="4320" w:type="dxa"/>
            <w:tcBorders>
              <w:top w:val="single" w:sz="4" w:space="0" w:color="000000"/>
              <w:bottom w:val="nil"/>
            </w:tcBorders>
          </w:tcPr>
          <w:p w14:paraId="7ACAD27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 Filipino language skills will be helpful for my future career.</w:t>
            </w:r>
          </w:p>
        </w:tc>
        <w:tc>
          <w:tcPr>
            <w:tcW w:w="990" w:type="dxa"/>
            <w:tcBorders>
              <w:top w:val="single" w:sz="4" w:space="0" w:color="000000"/>
              <w:bottom w:val="nil"/>
            </w:tcBorders>
          </w:tcPr>
          <w:p w14:paraId="51F826D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4.25</w:t>
            </w:r>
          </w:p>
        </w:tc>
        <w:tc>
          <w:tcPr>
            <w:tcW w:w="1260" w:type="dxa"/>
            <w:tcBorders>
              <w:top w:val="single" w:sz="4" w:space="0" w:color="000000"/>
              <w:bottom w:val="nil"/>
            </w:tcBorders>
          </w:tcPr>
          <w:p w14:paraId="37F6242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single" w:sz="4" w:space="0" w:color="000000"/>
              <w:bottom w:val="nil"/>
            </w:tcBorders>
          </w:tcPr>
          <w:p w14:paraId="78D69CA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7707241C" w14:textId="77777777">
        <w:trPr>
          <w:trHeight w:val="74"/>
        </w:trPr>
        <w:tc>
          <w:tcPr>
            <w:tcW w:w="4320" w:type="dxa"/>
            <w:tcBorders>
              <w:top w:val="nil"/>
            </w:tcBorders>
          </w:tcPr>
          <w:p w14:paraId="70618F44"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2. I put effort into learning Filipino to gain praise from my teachers and parents.</w:t>
            </w:r>
          </w:p>
        </w:tc>
        <w:tc>
          <w:tcPr>
            <w:tcW w:w="990" w:type="dxa"/>
            <w:tcBorders>
              <w:top w:val="nil"/>
            </w:tcBorders>
          </w:tcPr>
          <w:p w14:paraId="69C21E6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3.91</w:t>
            </w:r>
          </w:p>
        </w:tc>
        <w:tc>
          <w:tcPr>
            <w:tcW w:w="1260" w:type="dxa"/>
            <w:tcBorders>
              <w:top w:val="nil"/>
            </w:tcBorders>
          </w:tcPr>
          <w:p w14:paraId="5716768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0.98</w:t>
            </w:r>
          </w:p>
        </w:tc>
        <w:tc>
          <w:tcPr>
            <w:tcW w:w="1620" w:type="dxa"/>
            <w:gridSpan w:val="2"/>
            <w:tcBorders>
              <w:top w:val="nil"/>
            </w:tcBorders>
          </w:tcPr>
          <w:p w14:paraId="13CE93C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6B8EBEF" w14:textId="77777777">
        <w:trPr>
          <w:trHeight w:val="146"/>
        </w:trPr>
        <w:tc>
          <w:tcPr>
            <w:tcW w:w="4320" w:type="dxa"/>
          </w:tcPr>
          <w:p w14:paraId="68012D92"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3. Knowledge of the Filipino language will be helpful when I take examinations.</w:t>
            </w:r>
          </w:p>
        </w:tc>
        <w:tc>
          <w:tcPr>
            <w:tcW w:w="990" w:type="dxa"/>
          </w:tcPr>
          <w:p w14:paraId="103E2D5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4.45</w:t>
            </w:r>
          </w:p>
        </w:tc>
        <w:tc>
          <w:tcPr>
            <w:tcW w:w="1260" w:type="dxa"/>
          </w:tcPr>
          <w:p w14:paraId="3C5EC47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0.65</w:t>
            </w:r>
          </w:p>
        </w:tc>
        <w:tc>
          <w:tcPr>
            <w:tcW w:w="1620" w:type="dxa"/>
            <w:gridSpan w:val="2"/>
          </w:tcPr>
          <w:p w14:paraId="1AA2E85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0CC1A065" w14:textId="77777777">
        <w:trPr>
          <w:trHeight w:val="115"/>
        </w:trPr>
        <w:tc>
          <w:tcPr>
            <w:tcW w:w="4320" w:type="dxa"/>
          </w:tcPr>
          <w:p w14:paraId="2F4019D9"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4. Filipino helps me to perform well in other subjects.</w:t>
            </w:r>
          </w:p>
        </w:tc>
        <w:tc>
          <w:tcPr>
            <w:tcW w:w="990" w:type="dxa"/>
          </w:tcPr>
          <w:p w14:paraId="492C749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3.92</w:t>
            </w:r>
          </w:p>
        </w:tc>
        <w:tc>
          <w:tcPr>
            <w:tcW w:w="1260" w:type="dxa"/>
          </w:tcPr>
          <w:p w14:paraId="4980DD9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0.90</w:t>
            </w:r>
          </w:p>
        </w:tc>
        <w:tc>
          <w:tcPr>
            <w:tcW w:w="1620" w:type="dxa"/>
            <w:gridSpan w:val="2"/>
          </w:tcPr>
          <w:p w14:paraId="6FC2519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004F1CD4" w14:textId="77777777">
        <w:trPr>
          <w:trHeight w:val="131"/>
        </w:trPr>
        <w:tc>
          <w:tcPr>
            <w:tcW w:w="4320" w:type="dxa"/>
          </w:tcPr>
          <w:p w14:paraId="7B330A8B"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5. I gain recognition when I have a good command of Filipino.</w:t>
            </w:r>
          </w:p>
        </w:tc>
        <w:tc>
          <w:tcPr>
            <w:tcW w:w="990" w:type="dxa"/>
          </w:tcPr>
          <w:p w14:paraId="70287E1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3.75</w:t>
            </w:r>
          </w:p>
        </w:tc>
        <w:tc>
          <w:tcPr>
            <w:tcW w:w="1260" w:type="dxa"/>
          </w:tcPr>
          <w:p w14:paraId="5C7B160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0.95</w:t>
            </w:r>
          </w:p>
        </w:tc>
        <w:tc>
          <w:tcPr>
            <w:tcW w:w="1620" w:type="dxa"/>
            <w:gridSpan w:val="2"/>
          </w:tcPr>
          <w:p w14:paraId="7909996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4C1184BB" w14:textId="77777777">
        <w:trPr>
          <w:trHeight w:val="177"/>
        </w:trPr>
        <w:tc>
          <w:tcPr>
            <w:tcW w:w="4320" w:type="dxa"/>
          </w:tcPr>
          <w:p w14:paraId="76118FCF"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6. Skills in the use of Filipino help me to improve my life in the future.</w:t>
            </w:r>
          </w:p>
        </w:tc>
        <w:tc>
          <w:tcPr>
            <w:tcW w:w="990" w:type="dxa"/>
          </w:tcPr>
          <w:p w14:paraId="1AC6EB2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4.07</w:t>
            </w:r>
          </w:p>
        </w:tc>
        <w:tc>
          <w:tcPr>
            <w:tcW w:w="1260" w:type="dxa"/>
          </w:tcPr>
          <w:p w14:paraId="5C379E5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Pr>
          <w:p w14:paraId="5CC3514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6F19B438" w14:textId="77777777">
        <w:trPr>
          <w:trHeight w:val="223"/>
        </w:trPr>
        <w:tc>
          <w:tcPr>
            <w:tcW w:w="4320" w:type="dxa"/>
          </w:tcPr>
          <w:p w14:paraId="571DCA68"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7.  It pays to learn and master Filipino because of the many benefits that come along with it</w:t>
            </w:r>
          </w:p>
        </w:tc>
        <w:tc>
          <w:tcPr>
            <w:tcW w:w="990" w:type="dxa"/>
          </w:tcPr>
          <w:p w14:paraId="2CEAD4C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4.05</w:t>
            </w:r>
          </w:p>
        </w:tc>
        <w:tc>
          <w:tcPr>
            <w:tcW w:w="1260" w:type="dxa"/>
          </w:tcPr>
          <w:p w14:paraId="47F14D0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0F23E52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267C521" w14:textId="77777777">
        <w:trPr>
          <w:trHeight w:val="188"/>
        </w:trPr>
        <w:tc>
          <w:tcPr>
            <w:tcW w:w="4320" w:type="dxa"/>
          </w:tcPr>
          <w:p w14:paraId="4823C00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8. Filipino helps me to accomplish school requirements.</w:t>
            </w:r>
          </w:p>
        </w:tc>
        <w:tc>
          <w:tcPr>
            <w:tcW w:w="990" w:type="dxa"/>
          </w:tcPr>
          <w:p w14:paraId="1E89C35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4.15</w:t>
            </w:r>
          </w:p>
        </w:tc>
        <w:tc>
          <w:tcPr>
            <w:tcW w:w="1260" w:type="dxa"/>
          </w:tcPr>
          <w:p w14:paraId="2618172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053C391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D7688D6" w14:textId="77777777">
        <w:trPr>
          <w:trHeight w:val="234"/>
        </w:trPr>
        <w:tc>
          <w:tcPr>
            <w:tcW w:w="4320" w:type="dxa"/>
            <w:tcBorders>
              <w:bottom w:val="nil"/>
            </w:tcBorders>
          </w:tcPr>
          <w:p w14:paraId="12027AA7"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lastRenderedPageBreak/>
              <w:t>9. Proficiency in Filipino is necessary for top job opportunities.</w:t>
            </w:r>
          </w:p>
        </w:tc>
        <w:tc>
          <w:tcPr>
            <w:tcW w:w="990" w:type="dxa"/>
            <w:tcBorders>
              <w:bottom w:val="nil"/>
            </w:tcBorders>
          </w:tcPr>
          <w:p w14:paraId="04280F4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3.97</w:t>
            </w:r>
          </w:p>
        </w:tc>
        <w:tc>
          <w:tcPr>
            <w:tcW w:w="1260" w:type="dxa"/>
            <w:tcBorders>
              <w:bottom w:val="nil"/>
            </w:tcBorders>
          </w:tcPr>
          <w:p w14:paraId="0FDF73A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0.89</w:t>
            </w:r>
          </w:p>
        </w:tc>
        <w:tc>
          <w:tcPr>
            <w:tcW w:w="1620" w:type="dxa"/>
            <w:gridSpan w:val="2"/>
            <w:tcBorders>
              <w:bottom w:val="nil"/>
            </w:tcBorders>
          </w:tcPr>
          <w:p w14:paraId="0A65C656"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0BE0A369" w14:textId="77777777">
        <w:trPr>
          <w:trHeight w:val="306"/>
        </w:trPr>
        <w:tc>
          <w:tcPr>
            <w:tcW w:w="4320" w:type="dxa"/>
            <w:tcBorders>
              <w:top w:val="nil"/>
              <w:bottom w:val="single" w:sz="4" w:space="0" w:color="000000"/>
            </w:tcBorders>
          </w:tcPr>
          <w:p w14:paraId="476C7167"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10. Filipino will be useful when I transact business in government, economics, and school.</w:t>
            </w:r>
          </w:p>
        </w:tc>
        <w:tc>
          <w:tcPr>
            <w:tcW w:w="990" w:type="dxa"/>
            <w:tcBorders>
              <w:top w:val="nil"/>
              <w:bottom w:val="single" w:sz="4" w:space="0" w:color="000000"/>
            </w:tcBorders>
          </w:tcPr>
          <w:p w14:paraId="2647596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4.23</w:t>
            </w:r>
          </w:p>
        </w:tc>
        <w:tc>
          <w:tcPr>
            <w:tcW w:w="1260" w:type="dxa"/>
            <w:tcBorders>
              <w:top w:val="nil"/>
              <w:bottom w:val="single" w:sz="4" w:space="0" w:color="000000"/>
            </w:tcBorders>
          </w:tcPr>
          <w:p w14:paraId="1A3DAE3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0.77</w:t>
            </w:r>
          </w:p>
        </w:tc>
        <w:tc>
          <w:tcPr>
            <w:tcW w:w="1620" w:type="dxa"/>
            <w:gridSpan w:val="2"/>
            <w:tcBorders>
              <w:top w:val="nil"/>
              <w:bottom w:val="single" w:sz="4" w:space="0" w:color="000000"/>
            </w:tcBorders>
          </w:tcPr>
          <w:p w14:paraId="4B51601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BE24763" w14:textId="77777777">
        <w:trPr>
          <w:trHeight w:val="467"/>
        </w:trPr>
        <w:tc>
          <w:tcPr>
            <w:tcW w:w="4320" w:type="dxa"/>
            <w:tcBorders>
              <w:top w:val="single" w:sz="4" w:space="0" w:color="000000"/>
            </w:tcBorders>
          </w:tcPr>
          <w:p w14:paraId="43E99E14" w14:textId="77777777" w:rsidR="00382604" w:rsidRDefault="00F91166">
            <w:pPr>
              <w:spacing w:line="480" w:lineRule="auto"/>
              <w:rPr>
                <w:rFonts w:ascii="Arial" w:eastAsia="Arial" w:hAnsi="Arial" w:cs="Arial"/>
                <w:b/>
                <w:sz w:val="20"/>
                <w:szCs w:val="20"/>
              </w:rPr>
            </w:pPr>
            <w:r>
              <w:rPr>
                <w:rFonts w:ascii="Arial" w:eastAsia="Arial" w:hAnsi="Arial" w:cs="Arial"/>
                <w:b/>
                <w:sz w:val="20"/>
                <w:szCs w:val="20"/>
              </w:rPr>
              <w:t>Total:</w:t>
            </w:r>
          </w:p>
        </w:tc>
        <w:tc>
          <w:tcPr>
            <w:tcW w:w="990" w:type="dxa"/>
            <w:tcBorders>
              <w:top w:val="single" w:sz="4" w:space="0" w:color="000000"/>
            </w:tcBorders>
          </w:tcPr>
          <w:p w14:paraId="7462422D" w14:textId="77777777" w:rsidR="00382604" w:rsidRDefault="00F91166">
            <w:pPr>
              <w:spacing w:line="480" w:lineRule="auto"/>
              <w:jc w:val="center"/>
              <w:rPr>
                <w:rFonts w:ascii="Arial" w:eastAsia="Arial" w:hAnsi="Arial" w:cs="Arial"/>
                <w:b/>
                <w:sz w:val="20"/>
                <w:szCs w:val="20"/>
              </w:rPr>
            </w:pPr>
            <w:r>
              <w:rPr>
                <w:rFonts w:ascii="Arial" w:eastAsia="Arial" w:hAnsi="Arial" w:cs="Arial"/>
                <w:b/>
                <w:sz w:val="20"/>
                <w:szCs w:val="20"/>
              </w:rPr>
              <w:t>4.08</w:t>
            </w:r>
          </w:p>
        </w:tc>
        <w:tc>
          <w:tcPr>
            <w:tcW w:w="1260" w:type="dxa"/>
            <w:tcBorders>
              <w:top w:val="single" w:sz="4" w:space="0" w:color="000000"/>
            </w:tcBorders>
          </w:tcPr>
          <w:p w14:paraId="78919B2D" w14:textId="77777777" w:rsidR="00382604" w:rsidRDefault="00F91166">
            <w:pPr>
              <w:spacing w:line="480" w:lineRule="auto"/>
              <w:jc w:val="center"/>
              <w:rPr>
                <w:rFonts w:ascii="Arial" w:eastAsia="Arial" w:hAnsi="Arial" w:cs="Arial"/>
                <w:b/>
                <w:sz w:val="20"/>
                <w:szCs w:val="20"/>
              </w:rPr>
            </w:pPr>
            <w:r>
              <w:rPr>
                <w:rFonts w:ascii="Arial" w:eastAsia="Arial" w:hAnsi="Arial" w:cs="Arial"/>
                <w:b/>
                <w:sz w:val="20"/>
                <w:szCs w:val="20"/>
              </w:rPr>
              <w:t>0.54</w:t>
            </w:r>
          </w:p>
        </w:tc>
        <w:tc>
          <w:tcPr>
            <w:tcW w:w="1620" w:type="dxa"/>
            <w:gridSpan w:val="2"/>
            <w:tcBorders>
              <w:top w:val="single" w:sz="4" w:space="0" w:color="000000"/>
            </w:tcBorders>
          </w:tcPr>
          <w:p w14:paraId="04FAFDAB" w14:textId="77777777" w:rsidR="00382604" w:rsidRDefault="00F91166">
            <w:pPr>
              <w:spacing w:line="480" w:lineRule="auto"/>
              <w:jc w:val="center"/>
              <w:rPr>
                <w:rFonts w:ascii="Arial" w:eastAsia="Arial" w:hAnsi="Arial" w:cs="Arial"/>
                <w:b/>
                <w:sz w:val="20"/>
                <w:szCs w:val="20"/>
              </w:rPr>
            </w:pPr>
            <w:r>
              <w:rPr>
                <w:rFonts w:ascii="Arial" w:eastAsia="Arial" w:hAnsi="Arial" w:cs="Arial"/>
                <w:b/>
                <w:sz w:val="20"/>
                <w:szCs w:val="20"/>
              </w:rPr>
              <w:t>High</w:t>
            </w:r>
          </w:p>
        </w:tc>
      </w:tr>
    </w:tbl>
    <w:p w14:paraId="22D978A2" w14:textId="77777777" w:rsidR="00382604" w:rsidRDefault="00F91166">
      <w:pPr>
        <w:jc w:val="both"/>
        <w:rPr>
          <w:rFonts w:ascii="Arial" w:eastAsia="Arial" w:hAnsi="Arial" w:cs="Arial"/>
          <w:b/>
          <w:smallCaps/>
          <w:color w:val="000000"/>
          <w:vertAlign w:val="subscript"/>
        </w:rPr>
      </w:pPr>
      <w:r>
        <w:rPr>
          <w:rFonts w:ascii="Arial" w:eastAsia="Arial" w:hAnsi="Arial" w:cs="Arial"/>
          <w:i/>
          <w:color w:val="000000"/>
          <w:vertAlign w:val="subscript"/>
        </w:rPr>
        <w:t>*Students level of Extrinsic Motivation</w:t>
      </w:r>
    </w:p>
    <w:p w14:paraId="0BF5A643" w14:textId="77777777" w:rsidR="00382604" w:rsidRDefault="00F91166">
      <w:pPr>
        <w:spacing w:before="240"/>
        <w:jc w:val="both"/>
        <w:rPr>
          <w:rFonts w:ascii="Arial" w:eastAsia="Arial" w:hAnsi="Arial" w:cs="Arial"/>
          <w:color w:val="000000"/>
        </w:rPr>
      </w:pPr>
      <w:r>
        <w:rPr>
          <w:rFonts w:ascii="Arial" w:eastAsia="Arial" w:hAnsi="Arial" w:cs="Arial"/>
          <w:color w:val="000000"/>
        </w:rPr>
        <w:t>Extrinsic motivation refers to the drive to engage in an activity due to external rewards or pressures rather than inherent enjoyment. It plays a crucial role in students' learning experiences, particularly in language acquisition (Serin, 2018). The results in Table 2 show that the Junior High School students generally exhibit a high level of extrinsic motivation in learning the Filipino language.</w:t>
      </w:r>
    </w:p>
    <w:p w14:paraId="69F80FC9" w14:textId="77777777" w:rsidR="00382604" w:rsidRDefault="00382604">
      <w:pPr>
        <w:jc w:val="both"/>
        <w:rPr>
          <w:rFonts w:ascii="Arial" w:eastAsia="Arial" w:hAnsi="Arial" w:cs="Arial"/>
          <w:color w:val="000000"/>
        </w:rPr>
      </w:pPr>
    </w:p>
    <w:p w14:paraId="6C827BBE" w14:textId="77777777" w:rsidR="00382604" w:rsidRDefault="00F91166">
      <w:pPr>
        <w:jc w:val="both"/>
        <w:rPr>
          <w:rFonts w:ascii="Arial" w:eastAsia="Arial" w:hAnsi="Arial" w:cs="Arial"/>
          <w:color w:val="000000"/>
        </w:rPr>
      </w:pPr>
      <w:r>
        <w:rPr>
          <w:rFonts w:ascii="Arial" w:eastAsia="Arial" w:hAnsi="Arial" w:cs="Arial"/>
          <w:color w:val="000000"/>
        </w:rPr>
        <w:t>The findings indicate that the students also rely on external factors such as prizes, recognition, grades, or peer approval to stay motivated in learning. With a mean score of 4.08, the overall level of extrinsic motivation is categorized as high, implying that external rewards strongly influence most students. The largest cluster, which consists of 46.01% students, reported a high level of extrinsic motivation, while 41.31% fell into the very high category. This means that approximately 87.32% of students are equally impacted by external rewards and pressures in their academic engagement. Since no students were classified in the extremely low category, and only 1.41% reported low motivation, the findings suggest that extrinsic motivators play a crucial role in sustaining students' drive to learn Filipino. Furthermore, the 11.27% of students who demonstrated a moderate level of extrinsic motivation imply that while they acknowledge the impact of external factors, their motivation may not be as consistent or intense.</w:t>
      </w:r>
    </w:p>
    <w:p w14:paraId="64D20D2D" w14:textId="77777777" w:rsidR="00382604" w:rsidRDefault="00382604">
      <w:pPr>
        <w:jc w:val="both"/>
        <w:rPr>
          <w:rFonts w:ascii="Arial" w:eastAsia="Arial" w:hAnsi="Arial" w:cs="Arial"/>
          <w:color w:val="000000"/>
        </w:rPr>
      </w:pPr>
    </w:p>
    <w:p w14:paraId="69505994" w14:textId="77777777" w:rsidR="00382604" w:rsidRDefault="00F91166">
      <w:pPr>
        <w:jc w:val="both"/>
        <w:rPr>
          <w:rFonts w:ascii="Arial" w:eastAsia="Arial" w:hAnsi="Arial" w:cs="Arial"/>
          <w:color w:val="000000"/>
        </w:rPr>
      </w:pPr>
      <w:r>
        <w:rPr>
          <w:rFonts w:ascii="Arial" w:eastAsia="Arial" w:hAnsi="Arial" w:cs="Arial"/>
          <w:color w:val="000000"/>
        </w:rPr>
        <w:t>These findings support the idea that students' engagement in language learning is still significantly influenced by external rewards, such as positive reinforcement and recognition. In addition, this is in line with the results of Maisarah (2024), who demonstrated that student engagement and emotional well-being are improved by motivational support, such as encouragement and recognition. Also, Jiang et al. (2024) emphasizes that extrinsic motivation greatly influences the acquisition of a second language by motivating learners to persist in their studies by providing them with external rewards. Their study underscores the potential of external motivators to help improve learning outcomes through maintaining students' engagement and commitment. However, they also advise against putting too much emphasis on extrinsic motivation, as it might hinder the development of a more significant, intrinsic appreciation for the language. Given that a high percentage of students in this study exhibit extrinsic motivation, these findings suggest that external rewards can effectively sustain their interest and participation in learning Filipino while underscoring the need to balance external motivation with internal motivation.</w:t>
      </w:r>
    </w:p>
    <w:p w14:paraId="4A8961A0" w14:textId="77777777" w:rsidR="00382604" w:rsidRDefault="00F91166">
      <w:pPr>
        <w:spacing w:before="240"/>
        <w:jc w:val="both"/>
        <w:rPr>
          <w:rFonts w:ascii="Arial" w:eastAsia="Arial" w:hAnsi="Arial" w:cs="Arial"/>
          <w:b/>
        </w:rPr>
      </w:pPr>
      <w:r>
        <w:rPr>
          <w:rFonts w:ascii="Arial" w:eastAsia="Arial" w:hAnsi="Arial" w:cs="Arial"/>
          <w:b/>
        </w:rPr>
        <w:t>Table 3. Summary table of the Extent of the Junior High School Students level of Motivation (Intrinsic and Extrinsic Motivation)</w:t>
      </w:r>
    </w:p>
    <w:tbl>
      <w:tblPr>
        <w:tblStyle w:val="Style76"/>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2380"/>
        <w:gridCol w:w="540"/>
        <w:gridCol w:w="810"/>
        <w:gridCol w:w="1170"/>
        <w:gridCol w:w="2930"/>
      </w:tblGrid>
      <w:tr w:rsidR="00382604" w14:paraId="7DA6073B" w14:textId="77777777">
        <w:trPr>
          <w:trHeight w:val="271"/>
        </w:trPr>
        <w:tc>
          <w:tcPr>
            <w:tcW w:w="2740" w:type="dxa"/>
            <w:gridSpan w:val="2"/>
            <w:tcBorders>
              <w:top w:val="single" w:sz="6" w:space="0" w:color="000000"/>
              <w:left w:val="nil"/>
              <w:bottom w:val="single" w:sz="6" w:space="0" w:color="000000"/>
              <w:right w:val="nil"/>
            </w:tcBorders>
            <w:shd w:val="clear" w:color="auto" w:fill="FFFFFF"/>
            <w:vAlign w:val="center"/>
          </w:tcPr>
          <w:p w14:paraId="13730F52" w14:textId="77777777" w:rsidR="00382604" w:rsidRDefault="00F91166">
            <w:pPr>
              <w:jc w:val="center"/>
              <w:rPr>
                <w:rFonts w:ascii="Arial" w:eastAsia="Arial" w:hAnsi="Arial" w:cs="Arial"/>
              </w:rPr>
            </w:pPr>
            <w:r>
              <w:rPr>
                <w:rFonts w:ascii="Arial" w:eastAsia="Arial" w:hAnsi="Arial" w:cs="Arial"/>
                <w:b/>
              </w:rPr>
              <w:t>Dimensions</w:t>
            </w:r>
          </w:p>
        </w:tc>
        <w:tc>
          <w:tcPr>
            <w:tcW w:w="1350" w:type="dxa"/>
            <w:gridSpan w:val="2"/>
            <w:tcBorders>
              <w:top w:val="single" w:sz="6" w:space="0" w:color="000000"/>
              <w:left w:val="nil"/>
              <w:bottom w:val="single" w:sz="6" w:space="0" w:color="000000"/>
              <w:right w:val="nil"/>
            </w:tcBorders>
            <w:shd w:val="clear" w:color="auto" w:fill="FFFFFF"/>
            <w:vAlign w:val="center"/>
          </w:tcPr>
          <w:p w14:paraId="401F683F" w14:textId="77777777" w:rsidR="00382604" w:rsidRDefault="00F91166">
            <w:pPr>
              <w:jc w:val="center"/>
              <w:rPr>
                <w:rFonts w:ascii="Arial" w:eastAsia="Arial" w:hAnsi="Arial" w:cs="Arial"/>
                <w:b/>
              </w:rPr>
            </w:pPr>
            <w:r>
              <w:rPr>
                <w:rFonts w:ascii="Arial" w:eastAsia="Arial" w:hAnsi="Arial" w:cs="Arial"/>
                <w:b/>
              </w:rPr>
              <w:t>Mean</w:t>
            </w:r>
          </w:p>
        </w:tc>
        <w:tc>
          <w:tcPr>
            <w:tcW w:w="1170" w:type="dxa"/>
            <w:tcBorders>
              <w:top w:val="single" w:sz="6" w:space="0" w:color="000000"/>
              <w:left w:val="nil"/>
              <w:bottom w:val="single" w:sz="6" w:space="0" w:color="000000"/>
              <w:right w:val="nil"/>
            </w:tcBorders>
            <w:shd w:val="clear" w:color="auto" w:fill="FFFFFF"/>
            <w:vAlign w:val="center"/>
          </w:tcPr>
          <w:p w14:paraId="0FEF2037" w14:textId="77777777" w:rsidR="00382604" w:rsidRDefault="00F91166">
            <w:pPr>
              <w:jc w:val="center"/>
              <w:rPr>
                <w:rFonts w:ascii="Arial" w:eastAsia="Arial" w:hAnsi="Arial" w:cs="Arial"/>
              </w:rPr>
            </w:pPr>
            <w:r>
              <w:rPr>
                <w:rFonts w:ascii="Arial" w:eastAsia="Arial" w:hAnsi="Arial" w:cs="Arial"/>
                <w:b/>
              </w:rPr>
              <w:t>SD</w:t>
            </w:r>
          </w:p>
        </w:tc>
        <w:tc>
          <w:tcPr>
            <w:tcW w:w="2930" w:type="dxa"/>
            <w:tcBorders>
              <w:top w:val="single" w:sz="6" w:space="0" w:color="000000"/>
              <w:left w:val="nil"/>
              <w:bottom w:val="single" w:sz="6" w:space="0" w:color="000000"/>
              <w:right w:val="nil"/>
            </w:tcBorders>
            <w:shd w:val="clear" w:color="auto" w:fill="FFFFFF"/>
            <w:vAlign w:val="center"/>
          </w:tcPr>
          <w:p w14:paraId="63B3A3F6" w14:textId="77777777" w:rsidR="00382604" w:rsidRDefault="00F91166">
            <w:pPr>
              <w:jc w:val="center"/>
              <w:rPr>
                <w:rFonts w:ascii="Arial" w:eastAsia="Arial" w:hAnsi="Arial" w:cs="Arial"/>
              </w:rPr>
            </w:pPr>
            <w:r>
              <w:rPr>
                <w:rFonts w:ascii="Arial" w:eastAsia="Arial" w:hAnsi="Arial" w:cs="Arial"/>
                <w:b/>
              </w:rPr>
              <w:t xml:space="preserve">Interpretation </w:t>
            </w:r>
          </w:p>
        </w:tc>
      </w:tr>
      <w:tr w:rsidR="00382604" w14:paraId="5D59B2D2" w14:textId="77777777">
        <w:tc>
          <w:tcPr>
            <w:tcW w:w="2740" w:type="dxa"/>
            <w:gridSpan w:val="2"/>
            <w:tcBorders>
              <w:top w:val="single" w:sz="6" w:space="0" w:color="000000"/>
              <w:left w:val="nil"/>
              <w:bottom w:val="nil"/>
              <w:right w:val="nil"/>
            </w:tcBorders>
            <w:shd w:val="clear" w:color="auto" w:fill="FFFFFF"/>
            <w:vAlign w:val="center"/>
          </w:tcPr>
          <w:p w14:paraId="65704DBB" w14:textId="77777777" w:rsidR="00382604" w:rsidRDefault="00F91166">
            <w:pPr>
              <w:spacing w:before="240" w:line="480" w:lineRule="auto"/>
              <w:jc w:val="center"/>
              <w:rPr>
                <w:rFonts w:ascii="Arial" w:eastAsia="Arial" w:hAnsi="Arial" w:cs="Arial"/>
              </w:rPr>
            </w:pPr>
            <w:r>
              <w:rPr>
                <w:rFonts w:ascii="Arial" w:eastAsia="Arial" w:hAnsi="Arial" w:cs="Arial"/>
              </w:rPr>
              <w:lastRenderedPageBreak/>
              <w:t>Intrinsic Motivation</w:t>
            </w:r>
          </w:p>
        </w:tc>
        <w:tc>
          <w:tcPr>
            <w:tcW w:w="1350" w:type="dxa"/>
            <w:gridSpan w:val="2"/>
            <w:tcBorders>
              <w:top w:val="single" w:sz="6" w:space="0" w:color="000000"/>
              <w:left w:val="nil"/>
              <w:bottom w:val="nil"/>
              <w:right w:val="nil"/>
            </w:tcBorders>
            <w:shd w:val="clear" w:color="auto" w:fill="FFFFFF"/>
            <w:vAlign w:val="center"/>
          </w:tcPr>
          <w:p w14:paraId="2062DCF9" w14:textId="77777777" w:rsidR="00382604" w:rsidRDefault="00F91166">
            <w:pPr>
              <w:spacing w:before="240" w:line="480" w:lineRule="auto"/>
              <w:jc w:val="center"/>
              <w:rPr>
                <w:rFonts w:ascii="Arial" w:eastAsia="Arial" w:hAnsi="Arial" w:cs="Arial"/>
              </w:rPr>
            </w:pPr>
            <w:r>
              <w:rPr>
                <w:rFonts w:ascii="Arial" w:eastAsia="Arial" w:hAnsi="Arial" w:cs="Arial"/>
              </w:rPr>
              <w:t>4.13</w:t>
            </w:r>
          </w:p>
        </w:tc>
        <w:tc>
          <w:tcPr>
            <w:tcW w:w="1170" w:type="dxa"/>
            <w:tcBorders>
              <w:top w:val="single" w:sz="6" w:space="0" w:color="000000"/>
              <w:left w:val="nil"/>
              <w:bottom w:val="nil"/>
              <w:right w:val="nil"/>
            </w:tcBorders>
            <w:shd w:val="clear" w:color="auto" w:fill="FFFFFF"/>
            <w:vAlign w:val="center"/>
          </w:tcPr>
          <w:p w14:paraId="0BC3EE5D" w14:textId="77777777" w:rsidR="00382604" w:rsidRDefault="00F91166">
            <w:pPr>
              <w:spacing w:before="240" w:line="480" w:lineRule="auto"/>
              <w:jc w:val="center"/>
              <w:rPr>
                <w:rFonts w:ascii="Arial" w:eastAsia="Arial" w:hAnsi="Arial" w:cs="Arial"/>
              </w:rPr>
            </w:pPr>
            <w:r>
              <w:rPr>
                <w:rFonts w:ascii="Arial" w:eastAsia="Arial" w:hAnsi="Arial" w:cs="Arial"/>
              </w:rPr>
              <w:t>0.46</w:t>
            </w:r>
          </w:p>
        </w:tc>
        <w:tc>
          <w:tcPr>
            <w:tcW w:w="2930" w:type="dxa"/>
            <w:tcBorders>
              <w:top w:val="single" w:sz="6" w:space="0" w:color="000000"/>
              <w:left w:val="nil"/>
              <w:bottom w:val="nil"/>
              <w:right w:val="nil"/>
            </w:tcBorders>
            <w:shd w:val="clear" w:color="auto" w:fill="FFFFFF"/>
            <w:vAlign w:val="center"/>
          </w:tcPr>
          <w:p w14:paraId="769C1835" w14:textId="77777777" w:rsidR="00382604" w:rsidRDefault="00F91166">
            <w:pPr>
              <w:spacing w:before="240" w:line="480" w:lineRule="auto"/>
              <w:jc w:val="center"/>
              <w:rPr>
                <w:rFonts w:ascii="Arial" w:eastAsia="Arial" w:hAnsi="Arial" w:cs="Arial"/>
              </w:rPr>
            </w:pPr>
            <w:r>
              <w:rPr>
                <w:rFonts w:ascii="Arial" w:eastAsia="Arial" w:hAnsi="Arial" w:cs="Arial"/>
              </w:rPr>
              <w:t>High</w:t>
            </w:r>
          </w:p>
        </w:tc>
      </w:tr>
      <w:tr w:rsidR="00382604" w14:paraId="5E446DA0" w14:textId="77777777">
        <w:trPr>
          <w:trHeight w:val="264"/>
        </w:trPr>
        <w:tc>
          <w:tcPr>
            <w:tcW w:w="2740" w:type="dxa"/>
            <w:gridSpan w:val="2"/>
            <w:tcBorders>
              <w:top w:val="nil"/>
              <w:left w:val="nil"/>
              <w:bottom w:val="single" w:sz="6" w:space="0" w:color="000000"/>
              <w:right w:val="nil"/>
            </w:tcBorders>
            <w:shd w:val="clear" w:color="auto" w:fill="FFFFFF"/>
            <w:vAlign w:val="center"/>
          </w:tcPr>
          <w:p w14:paraId="552E0F02" w14:textId="77777777" w:rsidR="00382604" w:rsidRDefault="00F91166">
            <w:pPr>
              <w:spacing w:line="480" w:lineRule="auto"/>
              <w:jc w:val="center"/>
              <w:rPr>
                <w:rFonts w:ascii="Arial" w:eastAsia="Arial" w:hAnsi="Arial" w:cs="Arial"/>
              </w:rPr>
            </w:pPr>
            <w:r>
              <w:rPr>
                <w:rFonts w:ascii="Arial" w:eastAsia="Arial" w:hAnsi="Arial" w:cs="Arial"/>
              </w:rPr>
              <w:t>Extrinsic Motivation</w:t>
            </w:r>
          </w:p>
        </w:tc>
        <w:tc>
          <w:tcPr>
            <w:tcW w:w="1350" w:type="dxa"/>
            <w:gridSpan w:val="2"/>
            <w:tcBorders>
              <w:top w:val="nil"/>
              <w:left w:val="nil"/>
              <w:bottom w:val="single" w:sz="6" w:space="0" w:color="000000"/>
              <w:right w:val="nil"/>
            </w:tcBorders>
            <w:shd w:val="clear" w:color="auto" w:fill="FFFFFF"/>
            <w:vAlign w:val="center"/>
          </w:tcPr>
          <w:p w14:paraId="6302AF11" w14:textId="77777777" w:rsidR="00382604" w:rsidRDefault="00F91166">
            <w:pPr>
              <w:spacing w:line="480" w:lineRule="auto"/>
              <w:jc w:val="center"/>
              <w:rPr>
                <w:rFonts w:ascii="Arial" w:eastAsia="Arial" w:hAnsi="Arial" w:cs="Arial"/>
              </w:rPr>
            </w:pPr>
            <w:r>
              <w:rPr>
                <w:rFonts w:ascii="Arial" w:eastAsia="Arial" w:hAnsi="Arial" w:cs="Arial"/>
              </w:rPr>
              <w:t>4.08</w:t>
            </w:r>
          </w:p>
        </w:tc>
        <w:tc>
          <w:tcPr>
            <w:tcW w:w="1170" w:type="dxa"/>
            <w:tcBorders>
              <w:top w:val="nil"/>
              <w:left w:val="nil"/>
              <w:bottom w:val="single" w:sz="6" w:space="0" w:color="000000"/>
              <w:right w:val="nil"/>
            </w:tcBorders>
            <w:shd w:val="clear" w:color="auto" w:fill="FFFFFF"/>
            <w:vAlign w:val="center"/>
          </w:tcPr>
          <w:p w14:paraId="79031C3A" w14:textId="77777777" w:rsidR="00382604" w:rsidRDefault="00F91166">
            <w:pPr>
              <w:spacing w:line="480" w:lineRule="auto"/>
              <w:jc w:val="center"/>
              <w:rPr>
                <w:rFonts w:ascii="Arial" w:eastAsia="Arial" w:hAnsi="Arial" w:cs="Arial"/>
              </w:rPr>
            </w:pPr>
            <w:r>
              <w:rPr>
                <w:rFonts w:ascii="Arial" w:eastAsia="Arial" w:hAnsi="Arial" w:cs="Arial"/>
              </w:rPr>
              <w:t>0.54</w:t>
            </w:r>
          </w:p>
        </w:tc>
        <w:tc>
          <w:tcPr>
            <w:tcW w:w="2930" w:type="dxa"/>
            <w:tcBorders>
              <w:top w:val="nil"/>
              <w:left w:val="nil"/>
              <w:bottom w:val="single" w:sz="6" w:space="0" w:color="000000"/>
              <w:right w:val="nil"/>
            </w:tcBorders>
            <w:shd w:val="clear" w:color="auto" w:fill="FFFFFF"/>
            <w:vAlign w:val="center"/>
          </w:tcPr>
          <w:p w14:paraId="075EE358"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2A40C8E4"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022E77FC" w14:textId="77777777" w:rsidR="00382604" w:rsidRDefault="00382604">
            <w:pPr>
              <w:spacing w:line="480" w:lineRule="auto"/>
              <w:jc w:val="center"/>
              <w:rPr>
                <w:rFonts w:ascii="Arial" w:eastAsia="Arial" w:hAnsi="Arial" w:cs="Arial"/>
              </w:rPr>
            </w:pPr>
          </w:p>
        </w:tc>
        <w:tc>
          <w:tcPr>
            <w:tcW w:w="3730" w:type="dxa"/>
            <w:gridSpan w:val="3"/>
            <w:tcBorders>
              <w:top w:val="single" w:sz="6" w:space="0" w:color="000000"/>
              <w:left w:val="nil"/>
              <w:bottom w:val="single" w:sz="4" w:space="0" w:color="000000"/>
              <w:right w:val="nil"/>
            </w:tcBorders>
            <w:shd w:val="clear" w:color="auto" w:fill="FFFFFF"/>
            <w:vAlign w:val="center"/>
          </w:tcPr>
          <w:p w14:paraId="4BBD9E64" w14:textId="77777777" w:rsidR="00382604" w:rsidRDefault="00F91166">
            <w:pPr>
              <w:rPr>
                <w:rFonts w:ascii="Arial" w:eastAsia="Arial" w:hAnsi="Arial" w:cs="Arial"/>
              </w:rPr>
            </w:pPr>
            <w:r>
              <w:rPr>
                <w:rFonts w:ascii="Arial" w:eastAsia="Arial" w:hAnsi="Arial" w:cs="Arial"/>
                <w:b/>
              </w:rPr>
              <w:t>Total</w:t>
            </w:r>
          </w:p>
        </w:tc>
        <w:tc>
          <w:tcPr>
            <w:tcW w:w="1170" w:type="dxa"/>
            <w:tcBorders>
              <w:top w:val="single" w:sz="6" w:space="0" w:color="000000"/>
              <w:left w:val="nil"/>
              <w:bottom w:val="single" w:sz="4" w:space="0" w:color="000000"/>
              <w:right w:val="nil"/>
            </w:tcBorders>
            <w:shd w:val="clear" w:color="auto" w:fill="FFFFFF"/>
            <w:vAlign w:val="center"/>
          </w:tcPr>
          <w:p w14:paraId="447243BD" w14:textId="77777777" w:rsidR="00382604" w:rsidRDefault="00382604">
            <w:pPr>
              <w:jc w:val="center"/>
              <w:rPr>
                <w:rFonts w:ascii="Arial" w:eastAsia="Arial" w:hAnsi="Arial" w:cs="Arial"/>
              </w:rPr>
            </w:pPr>
          </w:p>
        </w:tc>
        <w:tc>
          <w:tcPr>
            <w:tcW w:w="2930" w:type="dxa"/>
            <w:tcBorders>
              <w:top w:val="single" w:sz="6" w:space="0" w:color="000000"/>
              <w:left w:val="nil"/>
              <w:bottom w:val="single" w:sz="4" w:space="0" w:color="000000"/>
              <w:right w:val="nil"/>
            </w:tcBorders>
            <w:shd w:val="clear" w:color="auto" w:fill="FFFFFF"/>
            <w:vAlign w:val="center"/>
          </w:tcPr>
          <w:p w14:paraId="6E9D793B" w14:textId="77777777" w:rsidR="00382604" w:rsidRDefault="00382604">
            <w:pPr>
              <w:jc w:val="center"/>
              <w:rPr>
                <w:rFonts w:ascii="Arial" w:eastAsia="Arial" w:hAnsi="Arial" w:cs="Arial"/>
              </w:rPr>
            </w:pPr>
          </w:p>
        </w:tc>
      </w:tr>
      <w:tr w:rsidR="00382604" w14:paraId="17533487" w14:textId="77777777">
        <w:trPr>
          <w:trHeight w:val="356"/>
        </w:trPr>
        <w:tc>
          <w:tcPr>
            <w:tcW w:w="360" w:type="dxa"/>
            <w:tcBorders>
              <w:top w:val="single" w:sz="4" w:space="0" w:color="000000"/>
              <w:left w:val="nil"/>
              <w:bottom w:val="nil"/>
              <w:right w:val="nil"/>
            </w:tcBorders>
            <w:shd w:val="clear" w:color="auto" w:fill="FFFFFF"/>
            <w:vAlign w:val="center"/>
          </w:tcPr>
          <w:p w14:paraId="1267A16E" w14:textId="77777777" w:rsidR="00382604" w:rsidRDefault="00382604">
            <w:pPr>
              <w:spacing w:before="240" w:line="480" w:lineRule="auto"/>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2CA8C131" w14:textId="77777777" w:rsidR="00382604" w:rsidRDefault="00F91166">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61085289" w14:textId="77777777" w:rsidR="00382604" w:rsidRDefault="00F91166">
            <w:pPr>
              <w:spacing w:before="240" w:line="480" w:lineRule="auto"/>
              <w:rPr>
                <w:rFonts w:ascii="Arial" w:eastAsia="Arial" w:hAnsi="Arial" w:cs="Arial"/>
                <w:b/>
              </w:rPr>
            </w:pPr>
            <w:r>
              <w:rPr>
                <w:rFonts w:ascii="Arial" w:eastAsia="Arial" w:hAnsi="Arial" w:cs="Arial"/>
                <w:b/>
              </w:rPr>
              <w:t>4.11</w:t>
            </w:r>
          </w:p>
        </w:tc>
      </w:tr>
      <w:tr w:rsidR="00382604" w14:paraId="180AC9F8" w14:textId="77777777">
        <w:tc>
          <w:tcPr>
            <w:tcW w:w="360" w:type="dxa"/>
            <w:tcBorders>
              <w:top w:val="nil"/>
              <w:left w:val="nil"/>
              <w:bottom w:val="nil"/>
              <w:right w:val="nil"/>
            </w:tcBorders>
            <w:shd w:val="clear" w:color="auto" w:fill="FFFFFF"/>
            <w:vAlign w:val="center"/>
          </w:tcPr>
          <w:p w14:paraId="6E12E1F4" w14:textId="77777777" w:rsidR="00382604" w:rsidRDefault="00382604">
            <w:pPr>
              <w:spacing w:line="480" w:lineRule="auto"/>
              <w:rPr>
                <w:rFonts w:ascii="Arial" w:eastAsia="Arial" w:hAnsi="Arial" w:cs="Arial"/>
              </w:rPr>
            </w:pPr>
          </w:p>
        </w:tc>
        <w:tc>
          <w:tcPr>
            <w:tcW w:w="2920" w:type="dxa"/>
            <w:gridSpan w:val="2"/>
            <w:tcBorders>
              <w:top w:val="nil"/>
              <w:left w:val="nil"/>
              <w:bottom w:val="nil"/>
              <w:right w:val="nil"/>
            </w:tcBorders>
            <w:shd w:val="clear" w:color="auto" w:fill="auto"/>
            <w:vAlign w:val="center"/>
          </w:tcPr>
          <w:p w14:paraId="65732F58"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0EEC3DC8" w14:textId="77777777" w:rsidR="00382604" w:rsidRDefault="00F91166">
            <w:pPr>
              <w:spacing w:line="480" w:lineRule="auto"/>
              <w:rPr>
                <w:rFonts w:ascii="Arial" w:eastAsia="Arial" w:hAnsi="Arial" w:cs="Arial"/>
                <w:b/>
              </w:rPr>
            </w:pPr>
            <w:r>
              <w:rPr>
                <w:rFonts w:ascii="Arial" w:eastAsia="Arial" w:hAnsi="Arial" w:cs="Arial"/>
                <w:b/>
              </w:rPr>
              <w:t>High</w:t>
            </w:r>
          </w:p>
        </w:tc>
      </w:tr>
      <w:tr w:rsidR="00382604" w14:paraId="268FA37A" w14:textId="77777777">
        <w:tc>
          <w:tcPr>
            <w:tcW w:w="360" w:type="dxa"/>
            <w:tcBorders>
              <w:top w:val="nil"/>
              <w:left w:val="nil"/>
              <w:bottom w:val="single" w:sz="6" w:space="0" w:color="000000"/>
              <w:right w:val="nil"/>
            </w:tcBorders>
            <w:shd w:val="clear" w:color="auto" w:fill="FFFFFF"/>
            <w:vAlign w:val="center"/>
          </w:tcPr>
          <w:p w14:paraId="70F2FE4A" w14:textId="77777777" w:rsidR="00382604" w:rsidRDefault="00382604">
            <w:pPr>
              <w:spacing w:line="480" w:lineRule="auto"/>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35125CDC" w14:textId="77777777" w:rsidR="00382604" w:rsidRDefault="00F91166">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C81470E" w14:textId="77777777" w:rsidR="00382604" w:rsidRDefault="00F91166">
            <w:pPr>
              <w:spacing w:line="480" w:lineRule="auto"/>
              <w:rPr>
                <w:rFonts w:ascii="Arial" w:eastAsia="Arial" w:hAnsi="Arial" w:cs="Arial"/>
                <w:b/>
              </w:rPr>
            </w:pPr>
            <w:r>
              <w:rPr>
                <w:rFonts w:ascii="Arial" w:eastAsia="Arial" w:hAnsi="Arial" w:cs="Arial"/>
                <w:b/>
              </w:rPr>
              <w:t>0.50</w:t>
            </w:r>
          </w:p>
        </w:tc>
      </w:tr>
    </w:tbl>
    <w:p w14:paraId="6F7F4C6B"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*Summary of Junior High School Students’ level of motivation in terms of Intrinsic and Extrinsic Motivation</w:t>
      </w:r>
    </w:p>
    <w:p w14:paraId="01A3A18E" w14:textId="77777777" w:rsidR="00382604" w:rsidRDefault="00382604">
      <w:pPr>
        <w:jc w:val="both"/>
        <w:rPr>
          <w:rFonts w:ascii="Arial" w:eastAsia="Arial" w:hAnsi="Arial" w:cs="Arial"/>
          <w:color w:val="000000"/>
        </w:rPr>
      </w:pPr>
    </w:p>
    <w:p w14:paraId="7D7981A6" w14:textId="77777777" w:rsidR="00382604" w:rsidRDefault="00F91166">
      <w:pPr>
        <w:spacing w:after="240"/>
        <w:jc w:val="both"/>
        <w:rPr>
          <w:rFonts w:ascii="Arial" w:eastAsia="Arial" w:hAnsi="Arial" w:cs="Arial"/>
          <w:color w:val="000000"/>
        </w:rPr>
      </w:pPr>
      <w:r>
        <w:rPr>
          <w:rFonts w:ascii="Arial" w:eastAsia="Arial" w:hAnsi="Arial" w:cs="Arial"/>
          <w:color w:val="000000"/>
        </w:rPr>
        <w:t>Table 3 indicates that both intrinsic and extrinsic motivation are rated as high, with an overall mean of 4.11. This suggests that students are generally well-motivated in their academic pursuits, driven by both internal factors, such as personal interest and enjoyment of learning, and external influences such as rewards, recognition, and social expectations.</w:t>
      </w:r>
    </w:p>
    <w:p w14:paraId="396FBEEF"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Although intrinsic motivation with a mean of 4.13 is slightly higher than extrinsic motivation with a mean of 4.08, the difference is minimal, indicating that students are almost equally influenced by both types of motivation. </w:t>
      </w:r>
      <w:r>
        <w:rPr>
          <w:rFonts w:ascii="Arial" w:eastAsia="Arial" w:hAnsi="Arial" w:cs="Arial"/>
          <w:color w:val="000000"/>
        </w:rPr>
        <w:tab/>
        <w:t xml:space="preserve">The standard deviations suggest a moderate level of variability in responses, meaning that while most students exhibit high motivation, there are some individual differences in how strongly they are intrinsically or extrinsically motivated. These findings imply that while students generally have a strong internal motivation to learn, external motivators still play an important role in keeping them engaged. </w:t>
      </w:r>
    </w:p>
    <w:p w14:paraId="0EFC9EFC" w14:textId="77777777" w:rsidR="00382604" w:rsidRDefault="00F91166">
      <w:pPr>
        <w:jc w:val="both"/>
        <w:rPr>
          <w:rFonts w:ascii="Arial" w:eastAsia="Arial" w:hAnsi="Arial" w:cs="Arial"/>
          <w:color w:val="000000"/>
        </w:rPr>
      </w:pPr>
      <w:r>
        <w:rPr>
          <w:rFonts w:ascii="Arial" w:eastAsia="Arial" w:hAnsi="Arial" w:cs="Arial"/>
          <w:color w:val="000000"/>
        </w:rPr>
        <w:t>This aligns with a study that emphasizes that both intrinsic and extrinsic rewards contribute to students' motivation, their findings highlight that while intrinsic motivation fosters deeper engagement, extrinsic rewards serve as initial motivators that help sustain students' academic commitment (</w:t>
      </w:r>
      <w:proofErr w:type="spellStart"/>
      <w:r>
        <w:rPr>
          <w:rFonts w:ascii="Arial" w:eastAsia="Arial" w:hAnsi="Arial" w:cs="Arial"/>
          <w:color w:val="000000"/>
        </w:rPr>
        <w:t>Sya’ban</w:t>
      </w:r>
      <w:proofErr w:type="spellEnd"/>
      <w:r>
        <w:rPr>
          <w:rFonts w:ascii="Arial" w:eastAsia="Arial" w:hAnsi="Arial" w:cs="Arial"/>
          <w:color w:val="000000"/>
        </w:rPr>
        <w:t xml:space="preserve"> et al., 2025).</w:t>
      </w:r>
    </w:p>
    <w:p w14:paraId="0C6BD9F4" w14:textId="77777777" w:rsidR="00382604" w:rsidRDefault="00382604">
      <w:pPr>
        <w:jc w:val="both"/>
        <w:rPr>
          <w:rFonts w:ascii="Arial" w:eastAsia="Arial" w:hAnsi="Arial" w:cs="Arial"/>
          <w:color w:val="000000"/>
        </w:rPr>
      </w:pPr>
    </w:p>
    <w:p w14:paraId="20952628"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3.4 </w:t>
      </w:r>
      <w:r>
        <w:rPr>
          <w:rFonts w:ascii="Arial" w:eastAsia="Arial" w:hAnsi="Arial" w:cs="Arial"/>
          <w:b/>
          <w:color w:val="000000"/>
          <w:sz w:val="22"/>
          <w:szCs w:val="22"/>
        </w:rPr>
        <w:t>Junior High School Students’ level of Self-esteem</w:t>
      </w:r>
    </w:p>
    <w:p w14:paraId="14E58F12" w14:textId="77777777" w:rsidR="00382604" w:rsidRDefault="00382604">
      <w:pPr>
        <w:jc w:val="both"/>
        <w:rPr>
          <w:rFonts w:ascii="Arial" w:eastAsia="Arial" w:hAnsi="Arial" w:cs="Arial"/>
          <w:b/>
          <w:color w:val="000000"/>
          <w:sz w:val="22"/>
          <w:szCs w:val="22"/>
        </w:rPr>
      </w:pPr>
    </w:p>
    <w:p w14:paraId="45AE6467" w14:textId="77777777" w:rsidR="00382604" w:rsidRDefault="00F91166">
      <w:pPr>
        <w:keepNext/>
        <w:jc w:val="both"/>
        <w:rPr>
          <w:rFonts w:ascii="Arial" w:eastAsia="Arial" w:hAnsi="Arial" w:cs="Arial"/>
          <w:b/>
          <w:color w:val="000000"/>
        </w:rPr>
      </w:pPr>
      <w:r>
        <w:rPr>
          <w:rFonts w:ascii="Arial" w:eastAsia="Arial" w:hAnsi="Arial" w:cs="Arial"/>
          <w:b/>
          <w:color w:val="000000"/>
        </w:rPr>
        <w:t>Table 4. Mean, Standard Deviation, and Interpretation of the Extent of the Junior High School Students Level of Self-esteem (Identity)</w:t>
      </w:r>
    </w:p>
    <w:p w14:paraId="4E4EAC78" w14:textId="77777777" w:rsidR="00382604" w:rsidRDefault="00382604">
      <w:pPr>
        <w:keepNext/>
        <w:jc w:val="both"/>
        <w:rPr>
          <w:rFonts w:ascii="Arial" w:eastAsia="Arial" w:hAnsi="Arial" w:cs="Arial"/>
          <w:b/>
          <w:color w:val="000000"/>
          <w:sz w:val="22"/>
          <w:szCs w:val="22"/>
        </w:rPr>
      </w:pPr>
    </w:p>
    <w:tbl>
      <w:tblPr>
        <w:tblStyle w:val="Style77"/>
        <w:tblpPr w:leftFromText="180" w:rightFromText="180" w:vertAnchor="text" w:tblpX="72" w:tblpY="4"/>
        <w:tblW w:w="8190" w:type="dxa"/>
        <w:tblBorders>
          <w:top w:val="single" w:sz="4" w:space="0" w:color="000000"/>
          <w:bottom w:val="single" w:sz="4" w:space="0" w:color="000000"/>
        </w:tblBorders>
        <w:tblLayout w:type="fixed"/>
        <w:tblLook w:val="04A0" w:firstRow="1" w:lastRow="0" w:firstColumn="1" w:lastColumn="0" w:noHBand="0" w:noVBand="1"/>
      </w:tblPr>
      <w:tblGrid>
        <w:gridCol w:w="4788"/>
        <w:gridCol w:w="810"/>
        <w:gridCol w:w="972"/>
        <w:gridCol w:w="90"/>
        <w:gridCol w:w="1530"/>
      </w:tblGrid>
      <w:tr w:rsidR="00382604" w14:paraId="2595F0FC" w14:textId="77777777">
        <w:trPr>
          <w:trHeight w:val="528"/>
        </w:trPr>
        <w:tc>
          <w:tcPr>
            <w:tcW w:w="4788" w:type="dxa"/>
            <w:tcBorders>
              <w:bottom w:val="single" w:sz="4" w:space="0" w:color="000000"/>
            </w:tcBorders>
            <w:vAlign w:val="center"/>
          </w:tcPr>
          <w:p w14:paraId="3B3B4465" w14:textId="77777777" w:rsidR="00382604" w:rsidRDefault="00F91166">
            <w:pPr>
              <w:jc w:val="center"/>
              <w:rPr>
                <w:rFonts w:ascii="Arial" w:eastAsia="Arial" w:hAnsi="Arial" w:cs="Arial"/>
                <w:b/>
                <w:sz w:val="20"/>
                <w:szCs w:val="20"/>
              </w:rPr>
            </w:pPr>
            <w:r>
              <w:rPr>
                <w:rFonts w:ascii="Arial" w:eastAsia="Arial" w:hAnsi="Arial" w:cs="Arial"/>
                <w:b/>
                <w:sz w:val="20"/>
                <w:szCs w:val="20"/>
              </w:rPr>
              <w:t>IDENTITY</w:t>
            </w:r>
          </w:p>
        </w:tc>
        <w:tc>
          <w:tcPr>
            <w:tcW w:w="810" w:type="dxa"/>
            <w:tcBorders>
              <w:bottom w:val="single" w:sz="4" w:space="0" w:color="000000"/>
            </w:tcBorders>
            <w:vAlign w:val="center"/>
          </w:tcPr>
          <w:p w14:paraId="6BBBB77F" w14:textId="77777777" w:rsidR="00382604" w:rsidRDefault="00F91166">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1B7B770E" w14:textId="77777777" w:rsidR="00382604" w:rsidRDefault="00F91166">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6A93078F" w14:textId="77777777" w:rsidR="00382604" w:rsidRDefault="00F91166">
            <w:pPr>
              <w:jc w:val="center"/>
              <w:rPr>
                <w:rFonts w:ascii="Arial" w:eastAsia="Arial" w:hAnsi="Arial" w:cs="Arial"/>
                <w:b/>
                <w:sz w:val="20"/>
                <w:szCs w:val="20"/>
              </w:rPr>
            </w:pPr>
            <w:r>
              <w:rPr>
                <w:rFonts w:ascii="Arial" w:eastAsia="Arial" w:hAnsi="Arial" w:cs="Arial"/>
                <w:b/>
                <w:sz w:val="20"/>
                <w:szCs w:val="20"/>
              </w:rPr>
              <w:t>Interpretation</w:t>
            </w:r>
          </w:p>
        </w:tc>
      </w:tr>
      <w:tr w:rsidR="00382604" w14:paraId="3823C54F" w14:textId="77777777">
        <w:trPr>
          <w:trHeight w:val="366"/>
        </w:trPr>
        <w:tc>
          <w:tcPr>
            <w:tcW w:w="4788" w:type="dxa"/>
            <w:tcBorders>
              <w:top w:val="single" w:sz="4" w:space="0" w:color="000000"/>
              <w:bottom w:val="nil"/>
            </w:tcBorders>
          </w:tcPr>
          <w:p w14:paraId="044ACCF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 Learning Filipino strengthens my sense of self.</w:t>
            </w:r>
          </w:p>
        </w:tc>
        <w:tc>
          <w:tcPr>
            <w:tcW w:w="810" w:type="dxa"/>
            <w:tcBorders>
              <w:top w:val="single" w:sz="4" w:space="0" w:color="000000"/>
              <w:bottom w:val="nil"/>
            </w:tcBorders>
          </w:tcPr>
          <w:p w14:paraId="44A4E16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4.06</w:t>
            </w:r>
          </w:p>
        </w:tc>
        <w:tc>
          <w:tcPr>
            <w:tcW w:w="972" w:type="dxa"/>
            <w:tcBorders>
              <w:top w:val="single" w:sz="4" w:space="0" w:color="000000"/>
              <w:bottom w:val="nil"/>
            </w:tcBorders>
          </w:tcPr>
          <w:p w14:paraId="04686B4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single" w:sz="4" w:space="0" w:color="000000"/>
              <w:bottom w:val="nil"/>
            </w:tcBorders>
          </w:tcPr>
          <w:p w14:paraId="34E7B55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41F19B2A" w14:textId="77777777">
        <w:trPr>
          <w:trHeight w:val="74"/>
        </w:trPr>
        <w:tc>
          <w:tcPr>
            <w:tcW w:w="4788" w:type="dxa"/>
            <w:tcBorders>
              <w:top w:val="nil"/>
            </w:tcBorders>
          </w:tcPr>
          <w:p w14:paraId="4F553C38"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2. Speaking Filipino makes me proud of my background.</w:t>
            </w:r>
          </w:p>
        </w:tc>
        <w:tc>
          <w:tcPr>
            <w:tcW w:w="810" w:type="dxa"/>
            <w:tcBorders>
              <w:top w:val="nil"/>
            </w:tcBorders>
          </w:tcPr>
          <w:p w14:paraId="13F405F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4.31</w:t>
            </w:r>
          </w:p>
        </w:tc>
        <w:tc>
          <w:tcPr>
            <w:tcW w:w="972" w:type="dxa"/>
            <w:tcBorders>
              <w:top w:val="nil"/>
            </w:tcBorders>
          </w:tcPr>
          <w:p w14:paraId="139685F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0.81</w:t>
            </w:r>
          </w:p>
        </w:tc>
        <w:tc>
          <w:tcPr>
            <w:tcW w:w="1620" w:type="dxa"/>
            <w:gridSpan w:val="2"/>
            <w:tcBorders>
              <w:top w:val="nil"/>
            </w:tcBorders>
          </w:tcPr>
          <w:p w14:paraId="109F14E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6AE6316" w14:textId="77777777">
        <w:trPr>
          <w:trHeight w:val="146"/>
        </w:trPr>
        <w:tc>
          <w:tcPr>
            <w:tcW w:w="4788" w:type="dxa"/>
          </w:tcPr>
          <w:p w14:paraId="6CDA6B67"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3. Filipino language proficiency makes me feel unique and authentic.</w:t>
            </w:r>
          </w:p>
        </w:tc>
        <w:tc>
          <w:tcPr>
            <w:tcW w:w="810" w:type="dxa"/>
          </w:tcPr>
          <w:p w14:paraId="125743C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w:t>
            </w:r>
          </w:p>
        </w:tc>
        <w:tc>
          <w:tcPr>
            <w:tcW w:w="972" w:type="dxa"/>
          </w:tcPr>
          <w:p w14:paraId="38CF2E56"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Pr>
          <w:p w14:paraId="7F31704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07B266F4" w14:textId="77777777">
        <w:trPr>
          <w:trHeight w:val="115"/>
        </w:trPr>
        <w:tc>
          <w:tcPr>
            <w:tcW w:w="4788" w:type="dxa"/>
          </w:tcPr>
          <w:p w14:paraId="0B1C1B7C"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lastRenderedPageBreak/>
              <w:t>4. My identity feels more complete when I can express myself in Filipino.</w:t>
            </w:r>
          </w:p>
        </w:tc>
        <w:tc>
          <w:tcPr>
            <w:tcW w:w="810" w:type="dxa"/>
          </w:tcPr>
          <w:p w14:paraId="50572B6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4.04</w:t>
            </w:r>
          </w:p>
        </w:tc>
        <w:tc>
          <w:tcPr>
            <w:tcW w:w="972" w:type="dxa"/>
          </w:tcPr>
          <w:p w14:paraId="3B27FF1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0871901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10698020" w14:textId="77777777">
        <w:trPr>
          <w:trHeight w:val="131"/>
        </w:trPr>
        <w:tc>
          <w:tcPr>
            <w:tcW w:w="4788" w:type="dxa"/>
          </w:tcPr>
          <w:p w14:paraId="62245DE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5. Knowing Filipino allows me to share my personal story more effectively.</w:t>
            </w:r>
          </w:p>
        </w:tc>
        <w:tc>
          <w:tcPr>
            <w:tcW w:w="810" w:type="dxa"/>
          </w:tcPr>
          <w:p w14:paraId="2832664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3.81</w:t>
            </w:r>
          </w:p>
        </w:tc>
        <w:tc>
          <w:tcPr>
            <w:tcW w:w="972" w:type="dxa"/>
          </w:tcPr>
          <w:p w14:paraId="308A1D4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0.89</w:t>
            </w:r>
          </w:p>
        </w:tc>
        <w:tc>
          <w:tcPr>
            <w:tcW w:w="1620" w:type="dxa"/>
            <w:gridSpan w:val="2"/>
          </w:tcPr>
          <w:p w14:paraId="3D91760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432A3F7" w14:textId="77777777">
        <w:trPr>
          <w:trHeight w:val="177"/>
        </w:trPr>
        <w:tc>
          <w:tcPr>
            <w:tcW w:w="4788" w:type="dxa"/>
          </w:tcPr>
          <w:p w14:paraId="3A650B17"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6. I identify with Filipino culture more when I speak the language fluently.</w:t>
            </w:r>
          </w:p>
        </w:tc>
        <w:tc>
          <w:tcPr>
            <w:tcW w:w="810" w:type="dxa"/>
          </w:tcPr>
          <w:p w14:paraId="5167456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4.07</w:t>
            </w:r>
          </w:p>
        </w:tc>
        <w:tc>
          <w:tcPr>
            <w:tcW w:w="972" w:type="dxa"/>
          </w:tcPr>
          <w:p w14:paraId="01DF38C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0.84</w:t>
            </w:r>
          </w:p>
        </w:tc>
        <w:tc>
          <w:tcPr>
            <w:tcW w:w="1620" w:type="dxa"/>
            <w:gridSpan w:val="2"/>
          </w:tcPr>
          <w:p w14:paraId="6B92A78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1C12B6EC" w14:textId="77777777">
        <w:trPr>
          <w:trHeight w:val="223"/>
        </w:trPr>
        <w:tc>
          <w:tcPr>
            <w:tcW w:w="4788" w:type="dxa"/>
          </w:tcPr>
          <w:p w14:paraId="55C9201C"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7. I feel a deeper connection to my family's history by learning Filipino.</w:t>
            </w:r>
          </w:p>
        </w:tc>
        <w:tc>
          <w:tcPr>
            <w:tcW w:w="810" w:type="dxa"/>
          </w:tcPr>
          <w:p w14:paraId="1FE1A2D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4.03</w:t>
            </w:r>
          </w:p>
        </w:tc>
        <w:tc>
          <w:tcPr>
            <w:tcW w:w="972" w:type="dxa"/>
          </w:tcPr>
          <w:p w14:paraId="2E32108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51B15B9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1DFF6F9" w14:textId="77777777">
        <w:trPr>
          <w:trHeight w:val="188"/>
        </w:trPr>
        <w:tc>
          <w:tcPr>
            <w:tcW w:w="4788" w:type="dxa"/>
          </w:tcPr>
          <w:p w14:paraId="15004F22"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8. Mastering Filipino enhances my self-awareness and cultural pride.</w:t>
            </w:r>
          </w:p>
        </w:tc>
        <w:tc>
          <w:tcPr>
            <w:tcW w:w="810" w:type="dxa"/>
          </w:tcPr>
          <w:p w14:paraId="47E8853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4.26</w:t>
            </w:r>
          </w:p>
        </w:tc>
        <w:tc>
          <w:tcPr>
            <w:tcW w:w="972" w:type="dxa"/>
          </w:tcPr>
          <w:p w14:paraId="3E4AB1B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0.75</w:t>
            </w:r>
          </w:p>
        </w:tc>
        <w:tc>
          <w:tcPr>
            <w:tcW w:w="1620" w:type="dxa"/>
            <w:gridSpan w:val="2"/>
          </w:tcPr>
          <w:p w14:paraId="528FCE0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CD1B492" w14:textId="77777777">
        <w:trPr>
          <w:trHeight w:val="234"/>
        </w:trPr>
        <w:tc>
          <w:tcPr>
            <w:tcW w:w="4788" w:type="dxa"/>
            <w:tcBorders>
              <w:bottom w:val="nil"/>
            </w:tcBorders>
          </w:tcPr>
          <w:p w14:paraId="3812A824"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9. Speaking Filipino gives me a clearer sense of where I come from.</w:t>
            </w:r>
          </w:p>
        </w:tc>
        <w:tc>
          <w:tcPr>
            <w:tcW w:w="810" w:type="dxa"/>
            <w:tcBorders>
              <w:bottom w:val="nil"/>
            </w:tcBorders>
          </w:tcPr>
          <w:p w14:paraId="3EC9465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4.31</w:t>
            </w:r>
          </w:p>
        </w:tc>
        <w:tc>
          <w:tcPr>
            <w:tcW w:w="972" w:type="dxa"/>
            <w:tcBorders>
              <w:bottom w:val="nil"/>
            </w:tcBorders>
          </w:tcPr>
          <w:p w14:paraId="4A9B781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Borders>
              <w:bottom w:val="nil"/>
            </w:tcBorders>
          </w:tcPr>
          <w:p w14:paraId="495A6B43"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184277D6" w14:textId="77777777">
        <w:trPr>
          <w:trHeight w:val="306"/>
        </w:trPr>
        <w:tc>
          <w:tcPr>
            <w:tcW w:w="4788" w:type="dxa"/>
            <w:tcBorders>
              <w:top w:val="nil"/>
              <w:bottom w:val="single" w:sz="4" w:space="0" w:color="000000"/>
            </w:tcBorders>
          </w:tcPr>
          <w:p w14:paraId="0409069B"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10. Learning Filipino allows me to confidently share my identity with others.</w:t>
            </w:r>
          </w:p>
        </w:tc>
        <w:tc>
          <w:tcPr>
            <w:tcW w:w="810" w:type="dxa"/>
            <w:tcBorders>
              <w:top w:val="nil"/>
              <w:bottom w:val="single" w:sz="4" w:space="0" w:color="000000"/>
            </w:tcBorders>
          </w:tcPr>
          <w:p w14:paraId="694F194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top w:val="nil"/>
              <w:bottom w:val="single" w:sz="4" w:space="0" w:color="000000"/>
            </w:tcBorders>
          </w:tcPr>
          <w:p w14:paraId="1A8AE3F6"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Borders>
              <w:top w:val="nil"/>
              <w:bottom w:val="single" w:sz="4" w:space="0" w:color="000000"/>
            </w:tcBorders>
          </w:tcPr>
          <w:p w14:paraId="5D581C4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44243695" w14:textId="77777777">
        <w:trPr>
          <w:trHeight w:val="467"/>
        </w:trPr>
        <w:tc>
          <w:tcPr>
            <w:tcW w:w="4788" w:type="dxa"/>
            <w:tcBorders>
              <w:top w:val="single" w:sz="4" w:space="0" w:color="000000"/>
            </w:tcBorders>
          </w:tcPr>
          <w:p w14:paraId="48FC199E" w14:textId="77777777" w:rsidR="00382604" w:rsidRDefault="00F91166">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0A6FAA2D" w14:textId="77777777" w:rsidR="00382604" w:rsidRDefault="00F91166">
            <w:pPr>
              <w:jc w:val="center"/>
              <w:rPr>
                <w:rFonts w:ascii="Arial" w:eastAsia="Arial" w:hAnsi="Arial" w:cs="Arial"/>
                <w:b/>
                <w:sz w:val="20"/>
                <w:szCs w:val="20"/>
              </w:rPr>
            </w:pPr>
            <w:r>
              <w:rPr>
                <w:rFonts w:ascii="Arial" w:eastAsia="Arial" w:hAnsi="Arial" w:cs="Arial"/>
                <w:b/>
                <w:sz w:val="20"/>
                <w:szCs w:val="20"/>
              </w:rPr>
              <w:t>4.11</w:t>
            </w:r>
          </w:p>
        </w:tc>
        <w:tc>
          <w:tcPr>
            <w:tcW w:w="972" w:type="dxa"/>
            <w:tcBorders>
              <w:top w:val="single" w:sz="4" w:space="0" w:color="000000"/>
            </w:tcBorders>
          </w:tcPr>
          <w:p w14:paraId="78E049C6" w14:textId="77777777" w:rsidR="00382604" w:rsidRDefault="00F91166">
            <w:pPr>
              <w:jc w:val="center"/>
              <w:rPr>
                <w:rFonts w:ascii="Arial" w:eastAsia="Arial" w:hAnsi="Arial" w:cs="Arial"/>
                <w:b/>
                <w:sz w:val="20"/>
                <w:szCs w:val="20"/>
              </w:rPr>
            </w:pPr>
            <w:r>
              <w:rPr>
                <w:rFonts w:ascii="Arial" w:eastAsia="Arial" w:hAnsi="Arial" w:cs="Arial"/>
                <w:b/>
                <w:sz w:val="20"/>
                <w:szCs w:val="20"/>
              </w:rPr>
              <w:t>0.59</w:t>
            </w:r>
          </w:p>
        </w:tc>
        <w:tc>
          <w:tcPr>
            <w:tcW w:w="1620" w:type="dxa"/>
            <w:gridSpan w:val="2"/>
            <w:tcBorders>
              <w:top w:val="single" w:sz="4" w:space="0" w:color="000000"/>
            </w:tcBorders>
          </w:tcPr>
          <w:p w14:paraId="4F7B316E" w14:textId="77777777" w:rsidR="00382604" w:rsidRDefault="00F91166">
            <w:pPr>
              <w:jc w:val="center"/>
              <w:rPr>
                <w:rFonts w:ascii="Arial" w:eastAsia="Arial" w:hAnsi="Arial" w:cs="Arial"/>
                <w:b/>
                <w:sz w:val="20"/>
                <w:szCs w:val="20"/>
              </w:rPr>
            </w:pPr>
            <w:r>
              <w:rPr>
                <w:rFonts w:ascii="Arial" w:eastAsia="Arial" w:hAnsi="Arial" w:cs="Arial"/>
                <w:b/>
                <w:sz w:val="20"/>
                <w:szCs w:val="20"/>
              </w:rPr>
              <w:t>High</w:t>
            </w:r>
          </w:p>
        </w:tc>
      </w:tr>
    </w:tbl>
    <w:p w14:paraId="3C4EC201"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Identity</w:t>
      </w:r>
    </w:p>
    <w:p w14:paraId="34756BF8" w14:textId="77777777" w:rsidR="00382604" w:rsidRDefault="00382604">
      <w:pPr>
        <w:jc w:val="both"/>
        <w:rPr>
          <w:rFonts w:ascii="Arial" w:eastAsia="Arial" w:hAnsi="Arial" w:cs="Arial"/>
          <w:i/>
          <w:color w:val="000000"/>
          <w:vertAlign w:val="subscript"/>
        </w:rPr>
      </w:pPr>
    </w:p>
    <w:p w14:paraId="17BBC723" w14:textId="77777777" w:rsidR="00382604" w:rsidRDefault="00F91166">
      <w:pPr>
        <w:jc w:val="both"/>
        <w:rPr>
          <w:rFonts w:ascii="Arial" w:eastAsia="Arial" w:hAnsi="Arial" w:cs="Arial"/>
          <w:smallCaps/>
          <w:color w:val="000000"/>
          <w:vertAlign w:val="subscript"/>
        </w:rPr>
      </w:pPr>
      <w:r>
        <w:rPr>
          <w:rFonts w:ascii="Arial" w:eastAsia="Arial" w:hAnsi="Arial" w:cs="Arial"/>
          <w:color w:val="000000"/>
        </w:rPr>
        <w:t xml:space="preserve">Table 4 presents the level of self-esteem among junior high school students in relation to identity. The highest-rated indicator is the sense of pride in speaking Filipino </w:t>
      </w:r>
      <w:r>
        <w:rPr>
          <w:rFonts w:ascii="Arial" w:eastAsia="Arial" w:hAnsi="Arial" w:cs="Arial"/>
          <w:i/>
          <w:color w:val="000000"/>
        </w:rPr>
        <w:t>(M = 4.31,</w:t>
      </w:r>
      <w:r>
        <w:rPr>
          <w:rFonts w:ascii="Arial" w:eastAsia="Arial" w:hAnsi="Arial" w:cs="Arial"/>
          <w:color w:val="000000"/>
        </w:rPr>
        <w:t xml:space="preserve"> Very High</w:t>
      </w:r>
      <w:r>
        <w:rPr>
          <w:rFonts w:ascii="Arial" w:eastAsia="Arial" w:hAnsi="Arial" w:cs="Arial"/>
          <w:i/>
          <w:color w:val="000000"/>
        </w:rPr>
        <w:t>)</w:t>
      </w:r>
      <w:r>
        <w:rPr>
          <w:rFonts w:ascii="Arial" w:eastAsia="Arial" w:hAnsi="Arial" w:cs="Arial"/>
          <w:color w:val="000000"/>
        </w:rPr>
        <w:t xml:space="preserve">, emphasizing how language fosters national pride and strengthens cultural unity. Conversely, the lowest-rated indicator is the role of Filipino proficiency in effectively sharing personal experiences </w:t>
      </w:r>
      <w:r>
        <w:rPr>
          <w:rFonts w:ascii="Arial" w:eastAsia="Arial" w:hAnsi="Arial" w:cs="Arial"/>
          <w:i/>
          <w:color w:val="000000"/>
        </w:rPr>
        <w:t xml:space="preserve">(M = 3.81, </w:t>
      </w:r>
      <w:r>
        <w:rPr>
          <w:rFonts w:ascii="Arial" w:eastAsia="Arial" w:hAnsi="Arial" w:cs="Arial"/>
          <w:color w:val="000000"/>
        </w:rPr>
        <w:t>High</w:t>
      </w:r>
      <w:r>
        <w:rPr>
          <w:rFonts w:ascii="Arial" w:eastAsia="Arial" w:hAnsi="Arial" w:cs="Arial"/>
          <w:i/>
          <w:color w:val="000000"/>
        </w:rPr>
        <w:t>),</w:t>
      </w:r>
      <w:r>
        <w:rPr>
          <w:rFonts w:ascii="Arial" w:eastAsia="Arial" w:hAnsi="Arial" w:cs="Arial"/>
          <w:color w:val="000000"/>
        </w:rPr>
        <w:t xml:space="preserve"> suggesting that while language contributes to identity, its impact on personal storytelling is comparatively less emphasized. </w:t>
      </w:r>
    </w:p>
    <w:p w14:paraId="19D34C7B" w14:textId="77777777" w:rsidR="00382604" w:rsidRDefault="00F91166">
      <w:pPr>
        <w:keepNext/>
        <w:spacing w:after="240"/>
        <w:jc w:val="both"/>
        <w:rPr>
          <w:rFonts w:ascii="Arial" w:eastAsia="Arial" w:hAnsi="Arial" w:cs="Arial"/>
          <w:color w:val="000000"/>
        </w:rPr>
      </w:pPr>
      <w:r>
        <w:rPr>
          <w:rFonts w:ascii="Arial" w:eastAsia="Arial" w:hAnsi="Arial" w:cs="Arial"/>
          <w:color w:val="000000"/>
        </w:rPr>
        <w:t>These findings align with a study that highlights the crucial role of language in shaping both personal and cultural identity (Yu, 2020). Additionally, another study supports this, emphasizing Filipino as a unifying force across regions (Laminoras et al., 2024). Furthermore, research underscores the importance of cultural exposure in deepening students’ connection to intangible cultural heritage (ICH) (</w:t>
      </w:r>
      <w:proofErr w:type="spellStart"/>
      <w:r>
        <w:rPr>
          <w:rFonts w:ascii="Arial" w:eastAsia="Arial" w:hAnsi="Arial" w:cs="Arial"/>
          <w:color w:val="000000"/>
        </w:rPr>
        <w:t>Pastera</w:t>
      </w:r>
      <w:proofErr w:type="spellEnd"/>
      <w:r>
        <w:rPr>
          <w:rFonts w:ascii="Arial" w:eastAsia="Arial" w:hAnsi="Arial" w:cs="Arial"/>
          <w:color w:val="000000"/>
        </w:rPr>
        <w:t>, 2024).</w:t>
      </w:r>
    </w:p>
    <w:p w14:paraId="5A29B817" w14:textId="77777777" w:rsidR="00382604" w:rsidRDefault="00F91166">
      <w:pPr>
        <w:keepNext/>
        <w:jc w:val="both"/>
        <w:rPr>
          <w:rFonts w:ascii="Arial" w:eastAsia="Arial" w:hAnsi="Arial" w:cs="Arial"/>
          <w:b/>
          <w:color w:val="000000"/>
          <w:sz w:val="22"/>
          <w:szCs w:val="22"/>
        </w:rPr>
      </w:pPr>
      <w:r>
        <w:rPr>
          <w:rFonts w:ascii="Arial" w:eastAsia="Arial" w:hAnsi="Arial" w:cs="Arial"/>
          <w:color w:val="000000"/>
        </w:rPr>
        <w:t xml:space="preserve">The results imply that students perceive Filipino not just as an academic subject but as a vital link to their heritage and cultural appreciation. However, the relatively lower ratings in personal </w:t>
      </w:r>
      <w:r>
        <w:rPr>
          <w:rFonts w:ascii="Arial" w:eastAsia="Arial" w:hAnsi="Arial" w:cs="Arial"/>
          <w:color w:val="000000"/>
        </w:rPr>
        <w:lastRenderedPageBreak/>
        <w:t>expression suggest a need for more narrative-driven learning approaches to further enhance students' identity formation through language.</w:t>
      </w:r>
    </w:p>
    <w:p w14:paraId="0D88270C" w14:textId="77777777" w:rsidR="00382604" w:rsidRDefault="00382604">
      <w:pPr>
        <w:keepNext/>
        <w:jc w:val="both"/>
        <w:rPr>
          <w:rFonts w:ascii="Arial" w:eastAsia="Arial" w:hAnsi="Arial" w:cs="Arial"/>
          <w:b/>
          <w:color w:val="000000"/>
          <w:sz w:val="22"/>
          <w:szCs w:val="22"/>
        </w:rPr>
      </w:pPr>
    </w:p>
    <w:p w14:paraId="3B4E9EEC" w14:textId="77777777" w:rsidR="00382604" w:rsidRDefault="00F91166">
      <w:pPr>
        <w:keepNext/>
        <w:jc w:val="both"/>
        <w:rPr>
          <w:rFonts w:ascii="Arial" w:eastAsia="Arial" w:hAnsi="Arial" w:cs="Arial"/>
          <w:b/>
          <w:color w:val="000000"/>
        </w:rPr>
      </w:pPr>
      <w:r>
        <w:rPr>
          <w:rFonts w:ascii="Arial" w:eastAsia="Arial" w:hAnsi="Arial" w:cs="Arial"/>
          <w:b/>
          <w:color w:val="000000"/>
        </w:rPr>
        <w:t>Table 5. Mean, Standard Deviation, and Interpretation of the Extent of the Junior High School Students Level of Self-esteem (Belonging)</w:t>
      </w:r>
    </w:p>
    <w:p w14:paraId="523399FA" w14:textId="77777777" w:rsidR="00382604" w:rsidRDefault="00382604">
      <w:pPr>
        <w:keepNext/>
        <w:jc w:val="both"/>
        <w:rPr>
          <w:rFonts w:ascii="Arial" w:eastAsia="Arial" w:hAnsi="Arial" w:cs="Arial"/>
          <w:b/>
          <w:color w:val="000000"/>
          <w:sz w:val="22"/>
          <w:szCs w:val="22"/>
        </w:rPr>
      </w:pPr>
    </w:p>
    <w:tbl>
      <w:tblPr>
        <w:tblStyle w:val="Style78"/>
        <w:tblpPr w:leftFromText="180" w:rightFromText="180" w:vertAnchor="text" w:tblpX="72" w:tblpY="4"/>
        <w:tblW w:w="8190" w:type="dxa"/>
        <w:tblBorders>
          <w:top w:val="single" w:sz="4" w:space="0" w:color="000000"/>
          <w:bottom w:val="single" w:sz="4" w:space="0" w:color="000000"/>
        </w:tblBorders>
        <w:tblLayout w:type="fixed"/>
        <w:tblLook w:val="04A0" w:firstRow="1" w:lastRow="0" w:firstColumn="1" w:lastColumn="0" w:noHBand="0" w:noVBand="1"/>
      </w:tblPr>
      <w:tblGrid>
        <w:gridCol w:w="4788"/>
        <w:gridCol w:w="810"/>
        <w:gridCol w:w="972"/>
        <w:gridCol w:w="90"/>
        <w:gridCol w:w="1530"/>
      </w:tblGrid>
      <w:tr w:rsidR="00382604" w14:paraId="389A3E96" w14:textId="77777777">
        <w:trPr>
          <w:trHeight w:val="528"/>
        </w:trPr>
        <w:tc>
          <w:tcPr>
            <w:tcW w:w="4788" w:type="dxa"/>
            <w:tcBorders>
              <w:bottom w:val="single" w:sz="4" w:space="0" w:color="000000"/>
            </w:tcBorders>
            <w:vAlign w:val="center"/>
          </w:tcPr>
          <w:p w14:paraId="20A6E849" w14:textId="77777777" w:rsidR="00382604" w:rsidRDefault="00F91166">
            <w:pPr>
              <w:jc w:val="center"/>
              <w:rPr>
                <w:rFonts w:ascii="Arial" w:eastAsia="Arial" w:hAnsi="Arial" w:cs="Arial"/>
                <w:b/>
                <w:sz w:val="20"/>
                <w:szCs w:val="20"/>
              </w:rPr>
            </w:pPr>
            <w:r>
              <w:rPr>
                <w:rFonts w:ascii="Arial" w:eastAsia="Arial" w:hAnsi="Arial" w:cs="Arial"/>
                <w:b/>
                <w:sz w:val="20"/>
                <w:szCs w:val="20"/>
              </w:rPr>
              <w:t>BELONGING</w:t>
            </w:r>
          </w:p>
        </w:tc>
        <w:tc>
          <w:tcPr>
            <w:tcW w:w="810" w:type="dxa"/>
            <w:tcBorders>
              <w:bottom w:val="single" w:sz="4" w:space="0" w:color="000000"/>
            </w:tcBorders>
            <w:vAlign w:val="center"/>
          </w:tcPr>
          <w:p w14:paraId="3E29F18A" w14:textId="77777777" w:rsidR="00382604" w:rsidRDefault="00F91166">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6A241DBC" w14:textId="77777777" w:rsidR="00382604" w:rsidRDefault="00F91166">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0695B700" w14:textId="77777777" w:rsidR="00382604" w:rsidRDefault="00F91166">
            <w:pPr>
              <w:jc w:val="center"/>
              <w:rPr>
                <w:rFonts w:ascii="Arial" w:eastAsia="Arial" w:hAnsi="Arial" w:cs="Arial"/>
                <w:b/>
                <w:sz w:val="20"/>
                <w:szCs w:val="20"/>
              </w:rPr>
            </w:pPr>
            <w:r>
              <w:rPr>
                <w:rFonts w:ascii="Arial" w:eastAsia="Arial" w:hAnsi="Arial" w:cs="Arial"/>
                <w:b/>
                <w:sz w:val="20"/>
                <w:szCs w:val="20"/>
              </w:rPr>
              <w:t>Interpretation</w:t>
            </w:r>
          </w:p>
        </w:tc>
      </w:tr>
      <w:tr w:rsidR="00382604" w14:paraId="5D08C4D5" w14:textId="77777777">
        <w:trPr>
          <w:trHeight w:val="366"/>
        </w:trPr>
        <w:tc>
          <w:tcPr>
            <w:tcW w:w="4788" w:type="dxa"/>
            <w:tcBorders>
              <w:top w:val="single" w:sz="4" w:space="0" w:color="000000"/>
              <w:bottom w:val="nil"/>
            </w:tcBorders>
          </w:tcPr>
          <w:p w14:paraId="105FD43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 When I speak Filipino, I feel like part of a larger community.</w:t>
            </w:r>
          </w:p>
        </w:tc>
        <w:tc>
          <w:tcPr>
            <w:tcW w:w="810" w:type="dxa"/>
            <w:tcBorders>
              <w:top w:val="single" w:sz="4" w:space="0" w:color="000000"/>
              <w:bottom w:val="nil"/>
            </w:tcBorders>
          </w:tcPr>
          <w:p w14:paraId="475C0B2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4.22</w:t>
            </w:r>
          </w:p>
        </w:tc>
        <w:tc>
          <w:tcPr>
            <w:tcW w:w="972" w:type="dxa"/>
            <w:tcBorders>
              <w:top w:val="single" w:sz="4" w:space="0" w:color="000000"/>
              <w:bottom w:val="nil"/>
            </w:tcBorders>
          </w:tcPr>
          <w:p w14:paraId="3124CF9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Borders>
              <w:top w:val="single" w:sz="4" w:space="0" w:color="000000"/>
              <w:bottom w:val="nil"/>
            </w:tcBorders>
          </w:tcPr>
          <w:p w14:paraId="6C3C36A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F2EC0B7" w14:textId="77777777">
        <w:trPr>
          <w:trHeight w:val="74"/>
        </w:trPr>
        <w:tc>
          <w:tcPr>
            <w:tcW w:w="4788" w:type="dxa"/>
            <w:tcBorders>
              <w:top w:val="nil"/>
            </w:tcBorders>
          </w:tcPr>
          <w:p w14:paraId="34741372"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2. Using Filipino makes me feel more accepted in Filipino-speaking groups.</w:t>
            </w:r>
          </w:p>
        </w:tc>
        <w:tc>
          <w:tcPr>
            <w:tcW w:w="810" w:type="dxa"/>
            <w:tcBorders>
              <w:top w:val="nil"/>
            </w:tcBorders>
          </w:tcPr>
          <w:p w14:paraId="641ABDC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4.21</w:t>
            </w:r>
          </w:p>
        </w:tc>
        <w:tc>
          <w:tcPr>
            <w:tcW w:w="972" w:type="dxa"/>
            <w:tcBorders>
              <w:top w:val="nil"/>
            </w:tcBorders>
          </w:tcPr>
          <w:p w14:paraId="70EE579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0.82</w:t>
            </w:r>
          </w:p>
        </w:tc>
        <w:tc>
          <w:tcPr>
            <w:tcW w:w="1620" w:type="dxa"/>
            <w:gridSpan w:val="2"/>
            <w:tcBorders>
              <w:top w:val="nil"/>
            </w:tcBorders>
          </w:tcPr>
          <w:p w14:paraId="02A280A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49F2877A" w14:textId="77777777">
        <w:trPr>
          <w:trHeight w:val="146"/>
        </w:trPr>
        <w:tc>
          <w:tcPr>
            <w:tcW w:w="4788" w:type="dxa"/>
          </w:tcPr>
          <w:p w14:paraId="2FA406D9"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3. I feel respected by others when I use Filipino in conversation.</w:t>
            </w:r>
          </w:p>
        </w:tc>
        <w:tc>
          <w:tcPr>
            <w:tcW w:w="810" w:type="dxa"/>
          </w:tcPr>
          <w:p w14:paraId="42A77F8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2ED56AC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0.88</w:t>
            </w:r>
          </w:p>
        </w:tc>
        <w:tc>
          <w:tcPr>
            <w:tcW w:w="1620" w:type="dxa"/>
            <w:gridSpan w:val="2"/>
          </w:tcPr>
          <w:p w14:paraId="4C6E990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3AACAFDE" w14:textId="77777777">
        <w:trPr>
          <w:trHeight w:val="115"/>
        </w:trPr>
        <w:tc>
          <w:tcPr>
            <w:tcW w:w="4788" w:type="dxa"/>
          </w:tcPr>
          <w:p w14:paraId="7844218B"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4. I notice that others appreciate my efforts to learn and speak Filipino.</w:t>
            </w:r>
          </w:p>
        </w:tc>
        <w:tc>
          <w:tcPr>
            <w:tcW w:w="810" w:type="dxa"/>
          </w:tcPr>
          <w:p w14:paraId="68C7C39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3.86</w:t>
            </w:r>
          </w:p>
        </w:tc>
        <w:tc>
          <w:tcPr>
            <w:tcW w:w="972" w:type="dxa"/>
          </w:tcPr>
          <w:p w14:paraId="52A82A16"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0.94</w:t>
            </w:r>
          </w:p>
        </w:tc>
        <w:tc>
          <w:tcPr>
            <w:tcW w:w="1620" w:type="dxa"/>
            <w:gridSpan w:val="2"/>
          </w:tcPr>
          <w:p w14:paraId="186375D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67BC58AB" w14:textId="77777777">
        <w:trPr>
          <w:trHeight w:val="131"/>
        </w:trPr>
        <w:tc>
          <w:tcPr>
            <w:tcW w:w="4788" w:type="dxa"/>
          </w:tcPr>
          <w:p w14:paraId="0DE3ADAB"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5. Speaking Filipino helps me feel connected to my family and their experiences.</w:t>
            </w:r>
          </w:p>
        </w:tc>
        <w:tc>
          <w:tcPr>
            <w:tcW w:w="810" w:type="dxa"/>
          </w:tcPr>
          <w:p w14:paraId="728A40A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4.02</w:t>
            </w:r>
          </w:p>
        </w:tc>
        <w:tc>
          <w:tcPr>
            <w:tcW w:w="972" w:type="dxa"/>
          </w:tcPr>
          <w:p w14:paraId="3CE01898"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0.95</w:t>
            </w:r>
          </w:p>
        </w:tc>
        <w:tc>
          <w:tcPr>
            <w:tcW w:w="1620" w:type="dxa"/>
            <w:gridSpan w:val="2"/>
          </w:tcPr>
          <w:p w14:paraId="7C1C60D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196EA984" w14:textId="77777777">
        <w:trPr>
          <w:trHeight w:val="177"/>
        </w:trPr>
        <w:tc>
          <w:tcPr>
            <w:tcW w:w="4788" w:type="dxa"/>
          </w:tcPr>
          <w:p w14:paraId="3FA2916E"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6. I feel more included in social events or activities when I speak Filipino.</w:t>
            </w:r>
          </w:p>
        </w:tc>
        <w:tc>
          <w:tcPr>
            <w:tcW w:w="810" w:type="dxa"/>
          </w:tcPr>
          <w:p w14:paraId="5AB205B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3.8</w:t>
            </w:r>
          </w:p>
        </w:tc>
        <w:tc>
          <w:tcPr>
            <w:tcW w:w="972" w:type="dxa"/>
          </w:tcPr>
          <w:p w14:paraId="7A925F1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0.93</w:t>
            </w:r>
          </w:p>
        </w:tc>
        <w:tc>
          <w:tcPr>
            <w:tcW w:w="1620" w:type="dxa"/>
            <w:gridSpan w:val="2"/>
          </w:tcPr>
          <w:p w14:paraId="5C573A9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2CC78178" w14:textId="77777777">
        <w:trPr>
          <w:trHeight w:val="223"/>
        </w:trPr>
        <w:tc>
          <w:tcPr>
            <w:tcW w:w="4788" w:type="dxa"/>
          </w:tcPr>
          <w:p w14:paraId="4569E274"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7. Knowing Filipino allows me to participate fully in Filipino cultural traditions.</w:t>
            </w:r>
          </w:p>
        </w:tc>
        <w:tc>
          <w:tcPr>
            <w:tcW w:w="810" w:type="dxa"/>
          </w:tcPr>
          <w:p w14:paraId="0A214A2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4.26</w:t>
            </w:r>
          </w:p>
        </w:tc>
        <w:tc>
          <w:tcPr>
            <w:tcW w:w="972" w:type="dxa"/>
          </w:tcPr>
          <w:p w14:paraId="3A26244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0.75</w:t>
            </w:r>
          </w:p>
        </w:tc>
        <w:tc>
          <w:tcPr>
            <w:tcW w:w="1620" w:type="dxa"/>
            <w:gridSpan w:val="2"/>
          </w:tcPr>
          <w:p w14:paraId="644B033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2D7ACB60" w14:textId="77777777">
        <w:trPr>
          <w:trHeight w:val="188"/>
        </w:trPr>
        <w:tc>
          <w:tcPr>
            <w:tcW w:w="4788" w:type="dxa"/>
          </w:tcPr>
          <w:p w14:paraId="7CBE9150"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8. I feel a sense of belonging when I can communicate effectively in Filipino.</w:t>
            </w:r>
          </w:p>
        </w:tc>
        <w:tc>
          <w:tcPr>
            <w:tcW w:w="810" w:type="dxa"/>
          </w:tcPr>
          <w:p w14:paraId="35D9972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Pr>
          <w:p w14:paraId="7788C55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5507F62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2D7FD88F" w14:textId="77777777">
        <w:trPr>
          <w:trHeight w:val="234"/>
        </w:trPr>
        <w:tc>
          <w:tcPr>
            <w:tcW w:w="4788" w:type="dxa"/>
            <w:tcBorders>
              <w:bottom w:val="nil"/>
            </w:tcBorders>
          </w:tcPr>
          <w:p w14:paraId="5AD8E4DC"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9. Being fluent in Filipino makes me feel like I fit into Filipino culture better.</w:t>
            </w:r>
          </w:p>
        </w:tc>
        <w:tc>
          <w:tcPr>
            <w:tcW w:w="810" w:type="dxa"/>
            <w:tcBorders>
              <w:bottom w:val="nil"/>
            </w:tcBorders>
          </w:tcPr>
          <w:p w14:paraId="4DD0B49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4.21</w:t>
            </w:r>
          </w:p>
        </w:tc>
        <w:tc>
          <w:tcPr>
            <w:tcW w:w="972" w:type="dxa"/>
            <w:tcBorders>
              <w:bottom w:val="nil"/>
            </w:tcBorders>
          </w:tcPr>
          <w:p w14:paraId="5AAD21E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Borders>
              <w:bottom w:val="nil"/>
            </w:tcBorders>
          </w:tcPr>
          <w:p w14:paraId="3EFA905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Very High</w:t>
            </w:r>
          </w:p>
        </w:tc>
      </w:tr>
      <w:tr w:rsidR="00382604" w14:paraId="7FC44807" w14:textId="77777777">
        <w:trPr>
          <w:trHeight w:val="306"/>
        </w:trPr>
        <w:tc>
          <w:tcPr>
            <w:tcW w:w="4788" w:type="dxa"/>
            <w:tcBorders>
              <w:top w:val="nil"/>
              <w:bottom w:val="single" w:sz="4" w:space="0" w:color="000000"/>
            </w:tcBorders>
          </w:tcPr>
          <w:p w14:paraId="1CA3AAF6"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10. When I speak Filipino well, I feel accepted by native speakers.</w:t>
            </w:r>
          </w:p>
        </w:tc>
        <w:tc>
          <w:tcPr>
            <w:tcW w:w="810" w:type="dxa"/>
            <w:tcBorders>
              <w:top w:val="nil"/>
              <w:bottom w:val="single" w:sz="4" w:space="0" w:color="000000"/>
            </w:tcBorders>
          </w:tcPr>
          <w:p w14:paraId="4DE25E0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3.98</w:t>
            </w:r>
          </w:p>
        </w:tc>
        <w:tc>
          <w:tcPr>
            <w:tcW w:w="972" w:type="dxa"/>
            <w:tcBorders>
              <w:top w:val="nil"/>
              <w:bottom w:val="single" w:sz="4" w:space="0" w:color="000000"/>
            </w:tcBorders>
          </w:tcPr>
          <w:p w14:paraId="003D46E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0.93</w:t>
            </w:r>
          </w:p>
        </w:tc>
        <w:tc>
          <w:tcPr>
            <w:tcW w:w="1620" w:type="dxa"/>
            <w:gridSpan w:val="2"/>
            <w:tcBorders>
              <w:top w:val="nil"/>
              <w:bottom w:val="single" w:sz="4" w:space="0" w:color="000000"/>
            </w:tcBorders>
          </w:tcPr>
          <w:p w14:paraId="49D4B22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B1824BB" w14:textId="77777777">
        <w:trPr>
          <w:trHeight w:val="467"/>
        </w:trPr>
        <w:tc>
          <w:tcPr>
            <w:tcW w:w="4788" w:type="dxa"/>
            <w:tcBorders>
              <w:top w:val="single" w:sz="4" w:space="0" w:color="000000"/>
            </w:tcBorders>
          </w:tcPr>
          <w:p w14:paraId="280C4169" w14:textId="77777777" w:rsidR="00382604" w:rsidRDefault="00F91166">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79361F33" w14:textId="77777777" w:rsidR="00382604" w:rsidRDefault="00F91166">
            <w:pPr>
              <w:jc w:val="center"/>
              <w:rPr>
                <w:rFonts w:ascii="Arial" w:eastAsia="Arial" w:hAnsi="Arial" w:cs="Arial"/>
                <w:b/>
                <w:sz w:val="20"/>
                <w:szCs w:val="20"/>
              </w:rPr>
            </w:pPr>
            <w:r>
              <w:rPr>
                <w:rFonts w:ascii="Arial" w:eastAsia="Arial" w:hAnsi="Arial" w:cs="Arial"/>
                <w:b/>
                <w:sz w:val="20"/>
                <w:szCs w:val="20"/>
              </w:rPr>
              <w:t>4.06</w:t>
            </w:r>
          </w:p>
        </w:tc>
        <w:tc>
          <w:tcPr>
            <w:tcW w:w="972" w:type="dxa"/>
            <w:tcBorders>
              <w:top w:val="single" w:sz="4" w:space="0" w:color="000000"/>
            </w:tcBorders>
          </w:tcPr>
          <w:p w14:paraId="2C57E15D" w14:textId="77777777" w:rsidR="00382604" w:rsidRDefault="00F91166">
            <w:pPr>
              <w:jc w:val="center"/>
              <w:rPr>
                <w:rFonts w:ascii="Arial" w:eastAsia="Arial" w:hAnsi="Arial" w:cs="Arial"/>
                <w:b/>
                <w:sz w:val="20"/>
                <w:szCs w:val="20"/>
              </w:rPr>
            </w:pPr>
            <w:r>
              <w:rPr>
                <w:rFonts w:ascii="Arial" w:eastAsia="Arial" w:hAnsi="Arial" w:cs="Arial"/>
                <w:b/>
                <w:sz w:val="20"/>
                <w:szCs w:val="20"/>
              </w:rPr>
              <w:t>0.60</w:t>
            </w:r>
          </w:p>
        </w:tc>
        <w:tc>
          <w:tcPr>
            <w:tcW w:w="1620" w:type="dxa"/>
            <w:gridSpan w:val="2"/>
            <w:tcBorders>
              <w:top w:val="single" w:sz="4" w:space="0" w:color="000000"/>
            </w:tcBorders>
          </w:tcPr>
          <w:p w14:paraId="426D6DC0" w14:textId="77777777" w:rsidR="00382604" w:rsidRDefault="00F91166">
            <w:pPr>
              <w:jc w:val="center"/>
              <w:rPr>
                <w:rFonts w:ascii="Arial" w:eastAsia="Arial" w:hAnsi="Arial" w:cs="Arial"/>
                <w:b/>
                <w:sz w:val="20"/>
                <w:szCs w:val="20"/>
              </w:rPr>
            </w:pPr>
            <w:r>
              <w:rPr>
                <w:rFonts w:ascii="Arial" w:eastAsia="Arial" w:hAnsi="Arial" w:cs="Arial"/>
                <w:b/>
                <w:sz w:val="20"/>
                <w:szCs w:val="20"/>
              </w:rPr>
              <w:t>High</w:t>
            </w:r>
          </w:p>
        </w:tc>
      </w:tr>
    </w:tbl>
    <w:p w14:paraId="68460CCC"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Belonging</w:t>
      </w:r>
    </w:p>
    <w:p w14:paraId="6265D97B" w14:textId="77777777" w:rsidR="00382604" w:rsidRDefault="00382604">
      <w:pPr>
        <w:jc w:val="both"/>
        <w:rPr>
          <w:rFonts w:ascii="Arial" w:eastAsia="Arial" w:hAnsi="Arial" w:cs="Arial"/>
          <w:i/>
          <w:color w:val="000000"/>
          <w:vertAlign w:val="subscript"/>
        </w:rPr>
      </w:pPr>
    </w:p>
    <w:p w14:paraId="785528AF" w14:textId="77777777" w:rsidR="00382604" w:rsidRDefault="00F91166">
      <w:pPr>
        <w:jc w:val="both"/>
        <w:rPr>
          <w:rFonts w:ascii="Arial" w:eastAsia="Arial" w:hAnsi="Arial" w:cs="Arial"/>
          <w:color w:val="000000"/>
        </w:rPr>
      </w:pPr>
      <w:r>
        <w:rPr>
          <w:rFonts w:ascii="Arial" w:eastAsia="Arial" w:hAnsi="Arial" w:cs="Arial"/>
          <w:color w:val="000000"/>
        </w:rPr>
        <w:lastRenderedPageBreak/>
        <w:t xml:space="preserve">Table 5 presents the level of self-esteem among junior high school students in relation to belonging, illustrating how language proficiency influences their sense of connection in social environments. The highest-rated indicator is the role of Filipino language proficiency in cultural participation </w:t>
      </w:r>
      <w:r>
        <w:rPr>
          <w:rFonts w:ascii="Arial" w:eastAsia="Arial" w:hAnsi="Arial" w:cs="Arial"/>
          <w:i/>
          <w:color w:val="000000"/>
        </w:rPr>
        <w:t xml:space="preserve">(M = 4.26, </w:t>
      </w:r>
      <w:r>
        <w:rPr>
          <w:rFonts w:ascii="Arial" w:eastAsia="Arial" w:hAnsi="Arial" w:cs="Arial"/>
          <w:color w:val="000000"/>
        </w:rPr>
        <w:t>Very High</w:t>
      </w:r>
      <w:r>
        <w:rPr>
          <w:rFonts w:ascii="Arial" w:eastAsia="Arial" w:hAnsi="Arial" w:cs="Arial"/>
          <w:i/>
          <w:color w:val="000000"/>
        </w:rPr>
        <w:t>)</w:t>
      </w:r>
      <w:r>
        <w:rPr>
          <w:rFonts w:ascii="Arial" w:eastAsia="Arial" w:hAnsi="Arial" w:cs="Arial"/>
          <w:color w:val="000000"/>
        </w:rPr>
        <w:t xml:space="preserve">, emphasizing how students associate language skills with social inclusion and cultural engagement. In contrast, the lowest-rated indicator is the perception of being more included in social events when speaking Filipino </w:t>
      </w:r>
      <w:r>
        <w:rPr>
          <w:rFonts w:ascii="Arial" w:eastAsia="Arial" w:hAnsi="Arial" w:cs="Arial"/>
          <w:i/>
          <w:color w:val="000000"/>
        </w:rPr>
        <w:t xml:space="preserve">(M = 3.80, </w:t>
      </w:r>
      <w:r>
        <w:rPr>
          <w:rFonts w:ascii="Arial" w:eastAsia="Arial" w:hAnsi="Arial" w:cs="Arial"/>
          <w:color w:val="000000"/>
        </w:rPr>
        <w:t>High</w:t>
      </w:r>
      <w:r>
        <w:rPr>
          <w:rFonts w:ascii="Arial" w:eastAsia="Arial" w:hAnsi="Arial" w:cs="Arial"/>
          <w:i/>
          <w:color w:val="000000"/>
        </w:rPr>
        <w:t>)</w:t>
      </w:r>
      <w:r>
        <w:rPr>
          <w:rFonts w:ascii="Arial" w:eastAsia="Arial" w:hAnsi="Arial" w:cs="Arial"/>
          <w:color w:val="000000"/>
        </w:rPr>
        <w:t>, suggesting that while language facilitates belonging, its impact on participation in social activities is relatively less pronounced.</w:t>
      </w:r>
    </w:p>
    <w:p w14:paraId="7606BC14" w14:textId="77777777" w:rsidR="00382604" w:rsidRDefault="00382604">
      <w:pPr>
        <w:jc w:val="both"/>
        <w:rPr>
          <w:rFonts w:ascii="Arial" w:eastAsia="Arial" w:hAnsi="Arial" w:cs="Arial"/>
          <w:smallCaps/>
          <w:color w:val="000000"/>
          <w:vertAlign w:val="subscript"/>
        </w:rPr>
      </w:pPr>
    </w:p>
    <w:p w14:paraId="7B6A4ADD" w14:textId="77777777" w:rsidR="00382604" w:rsidRDefault="00F91166">
      <w:pPr>
        <w:keepNext/>
        <w:spacing w:after="240"/>
        <w:jc w:val="both"/>
        <w:rPr>
          <w:rFonts w:ascii="Arial" w:eastAsia="Arial" w:hAnsi="Arial" w:cs="Arial"/>
          <w:color w:val="000000"/>
        </w:rPr>
      </w:pPr>
      <w:r>
        <w:rPr>
          <w:rFonts w:ascii="Arial" w:eastAsia="Arial" w:hAnsi="Arial" w:cs="Arial"/>
          <w:color w:val="000000"/>
        </w:rPr>
        <w:t>These findings align with research emphasizing the link between a strong sense of belonging and increased motivation, academic confidence, and engagement (Pedler et al., 2022). Additionally, they support studies highlighting the positive relationship between belonging, self-esteem, and academic performance (Habib and Hossain, 2018).</w:t>
      </w:r>
    </w:p>
    <w:p w14:paraId="37C70D60" w14:textId="77777777" w:rsidR="00382604" w:rsidRDefault="00F91166">
      <w:pPr>
        <w:keepNext/>
        <w:spacing w:after="240"/>
        <w:jc w:val="both"/>
        <w:rPr>
          <w:rFonts w:ascii="Arial" w:eastAsia="Arial" w:hAnsi="Arial" w:cs="Arial"/>
          <w:color w:val="000000"/>
        </w:rPr>
      </w:pPr>
      <w:r>
        <w:rPr>
          <w:rFonts w:ascii="Arial" w:eastAsia="Arial" w:hAnsi="Arial" w:cs="Arial"/>
          <w:color w:val="000000"/>
        </w:rPr>
        <w:t>The results imply that Filipino language proficiency fosters a strong sense of identity and inclusion among students. However, the lower ratings in social event participation and recognition suggest opportunities to further enhance students’ sense of belonging through language-based community activities and peer engagement strategies.</w:t>
      </w:r>
    </w:p>
    <w:p w14:paraId="6A58F6E9" w14:textId="77777777" w:rsidR="00382604" w:rsidRDefault="00F91166">
      <w:pPr>
        <w:keepNext/>
        <w:jc w:val="both"/>
        <w:rPr>
          <w:rFonts w:ascii="Arial" w:eastAsia="Arial" w:hAnsi="Arial" w:cs="Arial"/>
          <w:b/>
          <w:color w:val="000000"/>
        </w:rPr>
      </w:pPr>
      <w:r>
        <w:rPr>
          <w:rFonts w:ascii="Arial" w:eastAsia="Arial" w:hAnsi="Arial" w:cs="Arial"/>
          <w:b/>
          <w:color w:val="000000"/>
        </w:rPr>
        <w:t xml:space="preserve">Table 6. Mean, Standard Deviation, and Interpretation of the Extent of the Junior High School Students Level of Self-esteem (Purpose) </w:t>
      </w:r>
    </w:p>
    <w:p w14:paraId="72053D15" w14:textId="77777777" w:rsidR="00382604" w:rsidRDefault="00382604">
      <w:pPr>
        <w:keepNext/>
        <w:jc w:val="both"/>
        <w:rPr>
          <w:rFonts w:ascii="Arial" w:eastAsia="Arial" w:hAnsi="Arial" w:cs="Arial"/>
          <w:b/>
          <w:color w:val="000000"/>
          <w:sz w:val="22"/>
          <w:szCs w:val="22"/>
        </w:rPr>
      </w:pPr>
    </w:p>
    <w:tbl>
      <w:tblPr>
        <w:tblStyle w:val="Style79"/>
        <w:tblpPr w:leftFromText="180" w:rightFromText="180" w:vertAnchor="text" w:tblpX="72" w:tblpY="4"/>
        <w:tblW w:w="8190" w:type="dxa"/>
        <w:tblBorders>
          <w:top w:val="single" w:sz="4" w:space="0" w:color="000000"/>
          <w:bottom w:val="single" w:sz="4" w:space="0" w:color="000000"/>
        </w:tblBorders>
        <w:tblLayout w:type="fixed"/>
        <w:tblLook w:val="04A0" w:firstRow="1" w:lastRow="0" w:firstColumn="1" w:lastColumn="0" w:noHBand="0" w:noVBand="1"/>
      </w:tblPr>
      <w:tblGrid>
        <w:gridCol w:w="4788"/>
        <w:gridCol w:w="810"/>
        <w:gridCol w:w="972"/>
        <w:gridCol w:w="90"/>
        <w:gridCol w:w="1530"/>
      </w:tblGrid>
      <w:tr w:rsidR="00382604" w14:paraId="06D309CB" w14:textId="77777777">
        <w:trPr>
          <w:trHeight w:val="528"/>
        </w:trPr>
        <w:tc>
          <w:tcPr>
            <w:tcW w:w="4788" w:type="dxa"/>
            <w:tcBorders>
              <w:bottom w:val="single" w:sz="4" w:space="0" w:color="000000"/>
            </w:tcBorders>
            <w:vAlign w:val="center"/>
          </w:tcPr>
          <w:p w14:paraId="4E0532CF" w14:textId="77777777" w:rsidR="00382604" w:rsidRDefault="00F91166">
            <w:pPr>
              <w:jc w:val="center"/>
              <w:rPr>
                <w:rFonts w:ascii="Arial" w:eastAsia="Arial" w:hAnsi="Arial" w:cs="Arial"/>
                <w:b/>
                <w:sz w:val="20"/>
                <w:szCs w:val="20"/>
              </w:rPr>
            </w:pPr>
            <w:r>
              <w:rPr>
                <w:rFonts w:ascii="Arial" w:eastAsia="Arial" w:hAnsi="Arial" w:cs="Arial"/>
                <w:b/>
                <w:sz w:val="20"/>
                <w:szCs w:val="20"/>
              </w:rPr>
              <w:t>PURPOSE</w:t>
            </w:r>
          </w:p>
        </w:tc>
        <w:tc>
          <w:tcPr>
            <w:tcW w:w="810" w:type="dxa"/>
            <w:tcBorders>
              <w:bottom w:val="single" w:sz="4" w:space="0" w:color="000000"/>
            </w:tcBorders>
            <w:vAlign w:val="center"/>
          </w:tcPr>
          <w:p w14:paraId="387B037F" w14:textId="77777777" w:rsidR="00382604" w:rsidRDefault="00F91166">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6241DFDF" w14:textId="77777777" w:rsidR="00382604" w:rsidRDefault="00F91166">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14366BD2" w14:textId="77777777" w:rsidR="00382604" w:rsidRDefault="00F91166">
            <w:pPr>
              <w:jc w:val="center"/>
              <w:rPr>
                <w:rFonts w:ascii="Arial" w:eastAsia="Arial" w:hAnsi="Arial" w:cs="Arial"/>
                <w:b/>
                <w:sz w:val="20"/>
                <w:szCs w:val="20"/>
              </w:rPr>
            </w:pPr>
            <w:r>
              <w:rPr>
                <w:rFonts w:ascii="Arial" w:eastAsia="Arial" w:hAnsi="Arial" w:cs="Arial"/>
                <w:b/>
                <w:sz w:val="20"/>
                <w:szCs w:val="20"/>
              </w:rPr>
              <w:t>Interpretation</w:t>
            </w:r>
          </w:p>
        </w:tc>
      </w:tr>
      <w:tr w:rsidR="00382604" w14:paraId="12AB76AD" w14:textId="77777777">
        <w:trPr>
          <w:trHeight w:val="366"/>
        </w:trPr>
        <w:tc>
          <w:tcPr>
            <w:tcW w:w="4788" w:type="dxa"/>
            <w:tcBorders>
              <w:top w:val="single" w:sz="4" w:space="0" w:color="000000"/>
              <w:bottom w:val="nil"/>
            </w:tcBorders>
          </w:tcPr>
          <w:p w14:paraId="692B748E"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 Learning Filipino is part of my plan to connect with my heritage.</w:t>
            </w:r>
          </w:p>
        </w:tc>
        <w:tc>
          <w:tcPr>
            <w:tcW w:w="810" w:type="dxa"/>
            <w:tcBorders>
              <w:top w:val="single" w:sz="4" w:space="0" w:color="000000"/>
              <w:bottom w:val="nil"/>
            </w:tcBorders>
          </w:tcPr>
          <w:p w14:paraId="4323543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4.15</w:t>
            </w:r>
          </w:p>
        </w:tc>
        <w:tc>
          <w:tcPr>
            <w:tcW w:w="972" w:type="dxa"/>
            <w:tcBorders>
              <w:top w:val="single" w:sz="4" w:space="0" w:color="000000"/>
              <w:bottom w:val="nil"/>
            </w:tcBorders>
          </w:tcPr>
          <w:p w14:paraId="3D617EC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0.79</w:t>
            </w:r>
          </w:p>
        </w:tc>
        <w:tc>
          <w:tcPr>
            <w:tcW w:w="1620" w:type="dxa"/>
            <w:gridSpan w:val="2"/>
            <w:tcBorders>
              <w:top w:val="single" w:sz="4" w:space="0" w:color="000000"/>
              <w:bottom w:val="nil"/>
            </w:tcBorders>
          </w:tcPr>
          <w:p w14:paraId="604A04E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F34FBE3" w14:textId="77777777">
        <w:trPr>
          <w:trHeight w:val="74"/>
        </w:trPr>
        <w:tc>
          <w:tcPr>
            <w:tcW w:w="4788" w:type="dxa"/>
            <w:tcBorders>
              <w:top w:val="nil"/>
            </w:tcBorders>
          </w:tcPr>
          <w:p w14:paraId="56F4936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2. I aim to use my Filipino language skills to contribute to my community.</w:t>
            </w:r>
          </w:p>
        </w:tc>
        <w:tc>
          <w:tcPr>
            <w:tcW w:w="810" w:type="dxa"/>
            <w:tcBorders>
              <w:top w:val="nil"/>
            </w:tcBorders>
          </w:tcPr>
          <w:p w14:paraId="7FC6C37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4.15</w:t>
            </w:r>
          </w:p>
        </w:tc>
        <w:tc>
          <w:tcPr>
            <w:tcW w:w="972" w:type="dxa"/>
            <w:tcBorders>
              <w:top w:val="nil"/>
            </w:tcBorders>
          </w:tcPr>
          <w:p w14:paraId="07463E52"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0.76</w:t>
            </w:r>
          </w:p>
        </w:tc>
        <w:tc>
          <w:tcPr>
            <w:tcW w:w="1620" w:type="dxa"/>
            <w:gridSpan w:val="2"/>
            <w:tcBorders>
              <w:top w:val="nil"/>
            </w:tcBorders>
          </w:tcPr>
          <w:p w14:paraId="2CD1945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4B0B8D4E" w14:textId="77777777">
        <w:trPr>
          <w:trHeight w:val="146"/>
        </w:trPr>
        <w:tc>
          <w:tcPr>
            <w:tcW w:w="4788" w:type="dxa"/>
          </w:tcPr>
          <w:p w14:paraId="2EB02056"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3. Mastering Filipino is one of the key goals in my personal development.</w:t>
            </w:r>
          </w:p>
        </w:tc>
        <w:tc>
          <w:tcPr>
            <w:tcW w:w="810" w:type="dxa"/>
          </w:tcPr>
          <w:p w14:paraId="35D55A3C"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4.04</w:t>
            </w:r>
          </w:p>
        </w:tc>
        <w:tc>
          <w:tcPr>
            <w:tcW w:w="972" w:type="dxa"/>
          </w:tcPr>
          <w:p w14:paraId="54F3853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1D4A6B8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1946EA51" w14:textId="77777777">
        <w:trPr>
          <w:trHeight w:val="115"/>
        </w:trPr>
        <w:tc>
          <w:tcPr>
            <w:tcW w:w="4788" w:type="dxa"/>
          </w:tcPr>
          <w:p w14:paraId="1538C7D3"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4. Learning Filipino supports my long-term vision for personal growth.</w:t>
            </w:r>
          </w:p>
        </w:tc>
        <w:tc>
          <w:tcPr>
            <w:tcW w:w="810" w:type="dxa"/>
          </w:tcPr>
          <w:p w14:paraId="3E569F00"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4.02</w:t>
            </w:r>
          </w:p>
        </w:tc>
        <w:tc>
          <w:tcPr>
            <w:tcW w:w="972" w:type="dxa"/>
          </w:tcPr>
          <w:p w14:paraId="1C1EA96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0.78</w:t>
            </w:r>
          </w:p>
        </w:tc>
        <w:tc>
          <w:tcPr>
            <w:tcW w:w="1620" w:type="dxa"/>
            <w:gridSpan w:val="2"/>
          </w:tcPr>
          <w:p w14:paraId="5F56A00D"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37A89EDE" w14:textId="77777777">
        <w:trPr>
          <w:trHeight w:val="131"/>
        </w:trPr>
        <w:tc>
          <w:tcPr>
            <w:tcW w:w="4788" w:type="dxa"/>
          </w:tcPr>
          <w:p w14:paraId="5097E5DD"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5. I view learning Filipino as essential for achieving my career goals.</w:t>
            </w:r>
          </w:p>
        </w:tc>
        <w:tc>
          <w:tcPr>
            <w:tcW w:w="810" w:type="dxa"/>
          </w:tcPr>
          <w:p w14:paraId="6E5A313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4.00</w:t>
            </w:r>
          </w:p>
        </w:tc>
        <w:tc>
          <w:tcPr>
            <w:tcW w:w="972" w:type="dxa"/>
          </w:tcPr>
          <w:p w14:paraId="151EF455"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Pr>
          <w:p w14:paraId="5F90235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50EC1406" w14:textId="77777777">
        <w:trPr>
          <w:trHeight w:val="177"/>
        </w:trPr>
        <w:tc>
          <w:tcPr>
            <w:tcW w:w="4788" w:type="dxa"/>
          </w:tcPr>
          <w:p w14:paraId="5AE37174"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6. The effort I put into learning Filipino helps me stay focused on my ambitions.</w:t>
            </w:r>
          </w:p>
        </w:tc>
        <w:tc>
          <w:tcPr>
            <w:tcW w:w="810" w:type="dxa"/>
          </w:tcPr>
          <w:p w14:paraId="628461EE"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0BADCBC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0.87</w:t>
            </w:r>
          </w:p>
        </w:tc>
        <w:tc>
          <w:tcPr>
            <w:tcW w:w="1620" w:type="dxa"/>
            <w:gridSpan w:val="2"/>
          </w:tcPr>
          <w:p w14:paraId="256FE68A"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5EA5CF4" w14:textId="77777777">
        <w:trPr>
          <w:trHeight w:val="223"/>
        </w:trPr>
        <w:tc>
          <w:tcPr>
            <w:tcW w:w="4788" w:type="dxa"/>
          </w:tcPr>
          <w:p w14:paraId="0BC9067F"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7. I study Filipino with the goal of using it in future professional settings.</w:t>
            </w:r>
          </w:p>
        </w:tc>
        <w:tc>
          <w:tcPr>
            <w:tcW w:w="810" w:type="dxa"/>
          </w:tcPr>
          <w:p w14:paraId="3A0AE13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3.92</w:t>
            </w:r>
          </w:p>
        </w:tc>
        <w:tc>
          <w:tcPr>
            <w:tcW w:w="972" w:type="dxa"/>
          </w:tcPr>
          <w:p w14:paraId="4E6F0C31"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0.88</w:t>
            </w:r>
          </w:p>
        </w:tc>
        <w:tc>
          <w:tcPr>
            <w:tcW w:w="1620" w:type="dxa"/>
            <w:gridSpan w:val="2"/>
          </w:tcPr>
          <w:p w14:paraId="15338E6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3940EF02" w14:textId="77777777">
        <w:trPr>
          <w:trHeight w:val="188"/>
        </w:trPr>
        <w:tc>
          <w:tcPr>
            <w:tcW w:w="4788" w:type="dxa"/>
          </w:tcPr>
          <w:p w14:paraId="3AFCF98C"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lastRenderedPageBreak/>
              <w:t>8. Achieving fluency in Filipino aligns with my educational objectives.</w:t>
            </w:r>
          </w:p>
        </w:tc>
        <w:tc>
          <w:tcPr>
            <w:tcW w:w="810" w:type="dxa"/>
          </w:tcPr>
          <w:p w14:paraId="15FE41E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4.10</w:t>
            </w:r>
          </w:p>
        </w:tc>
        <w:tc>
          <w:tcPr>
            <w:tcW w:w="972" w:type="dxa"/>
          </w:tcPr>
          <w:p w14:paraId="56333726"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0.79</w:t>
            </w:r>
          </w:p>
        </w:tc>
        <w:tc>
          <w:tcPr>
            <w:tcW w:w="1620" w:type="dxa"/>
            <w:gridSpan w:val="2"/>
          </w:tcPr>
          <w:p w14:paraId="05D78CCB"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37A3CB06" w14:textId="77777777">
        <w:trPr>
          <w:trHeight w:val="234"/>
        </w:trPr>
        <w:tc>
          <w:tcPr>
            <w:tcW w:w="4788" w:type="dxa"/>
            <w:tcBorders>
              <w:bottom w:val="nil"/>
            </w:tcBorders>
          </w:tcPr>
          <w:p w14:paraId="0B1E0076"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9. Mastering Filipino gives me a sense of purpose and direction in my studies.</w:t>
            </w:r>
          </w:p>
        </w:tc>
        <w:tc>
          <w:tcPr>
            <w:tcW w:w="810" w:type="dxa"/>
            <w:tcBorders>
              <w:bottom w:val="nil"/>
            </w:tcBorders>
          </w:tcPr>
          <w:p w14:paraId="1904757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bottom w:val="nil"/>
            </w:tcBorders>
          </w:tcPr>
          <w:p w14:paraId="5B1A9AA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0.72</w:t>
            </w:r>
          </w:p>
        </w:tc>
        <w:tc>
          <w:tcPr>
            <w:tcW w:w="1620" w:type="dxa"/>
            <w:gridSpan w:val="2"/>
            <w:tcBorders>
              <w:bottom w:val="nil"/>
            </w:tcBorders>
          </w:tcPr>
          <w:p w14:paraId="26AC3617"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79E7C449" w14:textId="77777777">
        <w:trPr>
          <w:trHeight w:val="306"/>
        </w:trPr>
        <w:tc>
          <w:tcPr>
            <w:tcW w:w="4788" w:type="dxa"/>
            <w:tcBorders>
              <w:top w:val="nil"/>
              <w:bottom w:val="single" w:sz="4" w:space="0" w:color="000000"/>
            </w:tcBorders>
          </w:tcPr>
          <w:p w14:paraId="21B087A3"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10. I am learning Filipino to help me make a meaningful contribution to society.</w:t>
            </w:r>
          </w:p>
        </w:tc>
        <w:tc>
          <w:tcPr>
            <w:tcW w:w="810" w:type="dxa"/>
            <w:tcBorders>
              <w:top w:val="nil"/>
              <w:bottom w:val="single" w:sz="4" w:space="0" w:color="000000"/>
            </w:tcBorders>
          </w:tcPr>
          <w:p w14:paraId="0C50459F"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4.11</w:t>
            </w:r>
          </w:p>
        </w:tc>
        <w:tc>
          <w:tcPr>
            <w:tcW w:w="972" w:type="dxa"/>
            <w:tcBorders>
              <w:top w:val="nil"/>
              <w:bottom w:val="single" w:sz="4" w:space="0" w:color="000000"/>
            </w:tcBorders>
          </w:tcPr>
          <w:p w14:paraId="7E8B8A39"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0.83</w:t>
            </w:r>
          </w:p>
        </w:tc>
        <w:tc>
          <w:tcPr>
            <w:tcW w:w="1620" w:type="dxa"/>
            <w:gridSpan w:val="2"/>
            <w:tcBorders>
              <w:top w:val="nil"/>
              <w:bottom w:val="single" w:sz="4" w:space="0" w:color="000000"/>
            </w:tcBorders>
          </w:tcPr>
          <w:p w14:paraId="4A42A604" w14:textId="77777777" w:rsidR="00382604" w:rsidRDefault="00F91166">
            <w:pPr>
              <w:spacing w:line="480" w:lineRule="auto"/>
              <w:jc w:val="center"/>
              <w:rPr>
                <w:rFonts w:ascii="Arial" w:eastAsia="Arial" w:hAnsi="Arial" w:cs="Arial"/>
                <w:sz w:val="20"/>
                <w:szCs w:val="20"/>
              </w:rPr>
            </w:pPr>
            <w:r>
              <w:rPr>
                <w:rFonts w:ascii="Arial" w:eastAsia="Arial" w:hAnsi="Arial" w:cs="Arial"/>
                <w:sz w:val="20"/>
                <w:szCs w:val="20"/>
              </w:rPr>
              <w:t>High</w:t>
            </w:r>
          </w:p>
        </w:tc>
      </w:tr>
      <w:tr w:rsidR="00382604" w14:paraId="2D6A101A" w14:textId="77777777">
        <w:trPr>
          <w:trHeight w:val="467"/>
        </w:trPr>
        <w:tc>
          <w:tcPr>
            <w:tcW w:w="4788" w:type="dxa"/>
            <w:tcBorders>
              <w:top w:val="single" w:sz="4" w:space="0" w:color="000000"/>
            </w:tcBorders>
          </w:tcPr>
          <w:p w14:paraId="4B6226BF" w14:textId="77777777" w:rsidR="00382604" w:rsidRDefault="00F91166">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0F753B8A" w14:textId="77777777" w:rsidR="00382604" w:rsidRDefault="00F91166">
            <w:pPr>
              <w:jc w:val="center"/>
              <w:rPr>
                <w:rFonts w:ascii="Arial" w:eastAsia="Arial" w:hAnsi="Arial" w:cs="Arial"/>
                <w:b/>
                <w:sz w:val="20"/>
                <w:szCs w:val="20"/>
              </w:rPr>
            </w:pPr>
            <w:r>
              <w:rPr>
                <w:rFonts w:ascii="Arial" w:eastAsia="Arial" w:hAnsi="Arial" w:cs="Arial"/>
                <w:b/>
                <w:sz w:val="20"/>
                <w:szCs w:val="20"/>
              </w:rPr>
              <w:t>4.05</w:t>
            </w:r>
          </w:p>
        </w:tc>
        <w:tc>
          <w:tcPr>
            <w:tcW w:w="972" w:type="dxa"/>
            <w:tcBorders>
              <w:top w:val="single" w:sz="4" w:space="0" w:color="000000"/>
            </w:tcBorders>
          </w:tcPr>
          <w:p w14:paraId="1F79E1EB" w14:textId="77777777" w:rsidR="00382604" w:rsidRDefault="00F91166">
            <w:pPr>
              <w:jc w:val="center"/>
              <w:rPr>
                <w:rFonts w:ascii="Arial" w:eastAsia="Arial" w:hAnsi="Arial" w:cs="Arial"/>
                <w:b/>
                <w:sz w:val="20"/>
                <w:szCs w:val="20"/>
              </w:rPr>
            </w:pPr>
            <w:r>
              <w:rPr>
                <w:rFonts w:ascii="Arial" w:eastAsia="Arial" w:hAnsi="Arial" w:cs="Arial"/>
                <w:b/>
                <w:sz w:val="20"/>
                <w:szCs w:val="20"/>
              </w:rPr>
              <w:t>0.59</w:t>
            </w:r>
          </w:p>
        </w:tc>
        <w:tc>
          <w:tcPr>
            <w:tcW w:w="1620" w:type="dxa"/>
            <w:gridSpan w:val="2"/>
            <w:tcBorders>
              <w:top w:val="single" w:sz="4" w:space="0" w:color="000000"/>
            </w:tcBorders>
          </w:tcPr>
          <w:p w14:paraId="21DCC479" w14:textId="77777777" w:rsidR="00382604" w:rsidRDefault="00F91166">
            <w:pPr>
              <w:jc w:val="center"/>
              <w:rPr>
                <w:rFonts w:ascii="Arial" w:eastAsia="Arial" w:hAnsi="Arial" w:cs="Arial"/>
                <w:b/>
                <w:sz w:val="20"/>
                <w:szCs w:val="20"/>
              </w:rPr>
            </w:pPr>
            <w:r>
              <w:rPr>
                <w:rFonts w:ascii="Arial" w:eastAsia="Arial" w:hAnsi="Arial" w:cs="Arial"/>
                <w:b/>
                <w:sz w:val="20"/>
                <w:szCs w:val="20"/>
              </w:rPr>
              <w:t>High</w:t>
            </w:r>
          </w:p>
        </w:tc>
      </w:tr>
    </w:tbl>
    <w:p w14:paraId="58F88D7C"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Purpose</w:t>
      </w:r>
    </w:p>
    <w:p w14:paraId="5258B84B" w14:textId="77777777" w:rsidR="00382604" w:rsidRDefault="00382604">
      <w:pPr>
        <w:jc w:val="both"/>
        <w:rPr>
          <w:rFonts w:ascii="Arial" w:eastAsia="Arial" w:hAnsi="Arial" w:cs="Arial"/>
          <w:i/>
          <w:color w:val="000000"/>
          <w:vertAlign w:val="subscript"/>
        </w:rPr>
      </w:pPr>
    </w:p>
    <w:p w14:paraId="30A304D1" w14:textId="77777777" w:rsidR="00382604" w:rsidRDefault="00F91166">
      <w:pPr>
        <w:jc w:val="both"/>
        <w:rPr>
          <w:rFonts w:ascii="Arial" w:eastAsia="Arial" w:hAnsi="Arial" w:cs="Arial"/>
          <w:color w:val="000000"/>
        </w:rPr>
      </w:pPr>
      <w:r>
        <w:rPr>
          <w:rFonts w:ascii="Arial" w:eastAsia="Arial" w:hAnsi="Arial" w:cs="Arial"/>
          <w:color w:val="000000"/>
        </w:rPr>
        <w:t xml:space="preserve">Table 6 presents the level of self-esteem among junior high school students in relation to purpose in learning Filipino. The highest-rated statement emphasizes the role of Filipino proficiency in connecting with heritage </w:t>
      </w:r>
      <w:r>
        <w:rPr>
          <w:rFonts w:ascii="Arial" w:eastAsia="Arial" w:hAnsi="Arial" w:cs="Arial"/>
          <w:i/>
          <w:color w:val="000000"/>
        </w:rPr>
        <w:t xml:space="preserve">(M = 4.15, </w:t>
      </w:r>
      <w:r>
        <w:rPr>
          <w:rFonts w:ascii="Arial" w:eastAsia="Arial" w:hAnsi="Arial" w:cs="Arial"/>
          <w:color w:val="000000"/>
        </w:rPr>
        <w:t>Very High), suggesting that students view language learning as a means of cultural appreciation and identity reinforcement. This finding aligns with research showing that culturally rooted beliefs influence students' academic goals, as they often see language learning as a way to strengthen their identity and societal role (Bernardo, 2004).</w:t>
      </w:r>
    </w:p>
    <w:p w14:paraId="78FC8B28" w14:textId="77777777" w:rsidR="00382604" w:rsidRDefault="00382604">
      <w:pPr>
        <w:jc w:val="both"/>
        <w:rPr>
          <w:rFonts w:ascii="Arial" w:eastAsia="Arial" w:hAnsi="Arial" w:cs="Arial"/>
          <w:color w:val="000000"/>
        </w:rPr>
      </w:pPr>
    </w:p>
    <w:p w14:paraId="0B737771" w14:textId="77777777" w:rsidR="00382604" w:rsidRDefault="00F91166">
      <w:pPr>
        <w:jc w:val="both"/>
        <w:rPr>
          <w:rFonts w:ascii="Arial" w:eastAsia="Arial" w:hAnsi="Arial" w:cs="Arial"/>
          <w:color w:val="000000"/>
        </w:rPr>
      </w:pPr>
      <w:r>
        <w:rPr>
          <w:rFonts w:ascii="Arial" w:eastAsia="Arial" w:hAnsi="Arial" w:cs="Arial"/>
          <w:color w:val="000000"/>
        </w:rPr>
        <w:t xml:space="preserve">Conversely, the lowest-rated indicator is the perception that studying Filipino helps maintain focus on ambitions </w:t>
      </w:r>
      <w:r>
        <w:rPr>
          <w:rFonts w:ascii="Arial" w:eastAsia="Arial" w:hAnsi="Arial" w:cs="Arial"/>
          <w:i/>
          <w:color w:val="000000"/>
        </w:rPr>
        <w:t>(M = 3.92</w:t>
      </w:r>
      <w:r>
        <w:rPr>
          <w:rFonts w:ascii="Arial" w:eastAsia="Arial" w:hAnsi="Arial" w:cs="Arial"/>
          <w:color w:val="000000"/>
        </w:rPr>
        <w:t>, High). This suggests that while students recognize the value of Filipino proficiency, they may see its impact on career-oriented goals as less significant. This is consistent with findings that highlight how language education extends beyond career utility, contributing instead to holistic development, critical thinking, and cultural awareness (</w:t>
      </w:r>
      <w:proofErr w:type="spellStart"/>
      <w:r>
        <w:rPr>
          <w:rFonts w:ascii="Arial" w:eastAsia="Arial" w:hAnsi="Arial" w:cs="Arial"/>
          <w:color w:val="000000"/>
        </w:rPr>
        <w:t>Assanova</w:t>
      </w:r>
      <w:proofErr w:type="spellEnd"/>
      <w:r>
        <w:rPr>
          <w:rFonts w:ascii="Arial" w:eastAsia="Arial" w:hAnsi="Arial" w:cs="Arial"/>
          <w:color w:val="000000"/>
        </w:rPr>
        <w:t xml:space="preserve"> et al., 2023).</w:t>
      </w:r>
    </w:p>
    <w:p w14:paraId="67B9F1E8" w14:textId="77777777" w:rsidR="00382604" w:rsidRDefault="00382604">
      <w:pPr>
        <w:jc w:val="both"/>
        <w:rPr>
          <w:rFonts w:ascii="Arial" w:eastAsia="Arial" w:hAnsi="Arial" w:cs="Arial"/>
          <w:color w:val="000000"/>
        </w:rPr>
      </w:pPr>
    </w:p>
    <w:p w14:paraId="63823289" w14:textId="77777777" w:rsidR="00382604" w:rsidRDefault="00F91166">
      <w:pPr>
        <w:jc w:val="both"/>
        <w:rPr>
          <w:rFonts w:ascii="Arial" w:eastAsia="Arial" w:hAnsi="Arial" w:cs="Arial"/>
          <w:b/>
          <w:smallCaps/>
          <w:color w:val="000000"/>
          <w:vertAlign w:val="subscript"/>
        </w:rPr>
      </w:pPr>
      <w:r>
        <w:rPr>
          <w:rFonts w:ascii="Arial" w:eastAsia="Arial" w:hAnsi="Arial" w:cs="Arial"/>
          <w:color w:val="000000"/>
        </w:rPr>
        <w:t>These findings imply that students primarily associate Filipino language learning with cultural and social connections rather than professional advancement. While they recognize its role in identity formation and community engagement, they may not immediately perceive its relevance in future career aspirations. This suggests the need for educators to highlight how Filipino proficiency can also contribute to academic and professional growth, helping students see its broader applications beyond cultural identity.</w:t>
      </w:r>
    </w:p>
    <w:p w14:paraId="14D9A922" w14:textId="77777777" w:rsidR="00382604" w:rsidRDefault="00382604">
      <w:pPr>
        <w:keepNext/>
        <w:jc w:val="both"/>
        <w:rPr>
          <w:rFonts w:ascii="Arial" w:eastAsia="Arial" w:hAnsi="Arial" w:cs="Arial"/>
          <w:b/>
          <w:color w:val="000000"/>
          <w:sz w:val="22"/>
          <w:szCs w:val="22"/>
        </w:rPr>
      </w:pPr>
    </w:p>
    <w:p w14:paraId="7D3A3E63" w14:textId="77777777" w:rsidR="00382604" w:rsidRDefault="00F91166">
      <w:pPr>
        <w:keepNext/>
        <w:jc w:val="both"/>
        <w:rPr>
          <w:rFonts w:ascii="Arial" w:eastAsia="Arial" w:hAnsi="Arial" w:cs="Arial"/>
          <w:b/>
          <w:color w:val="000000"/>
        </w:rPr>
      </w:pPr>
      <w:r>
        <w:rPr>
          <w:rFonts w:ascii="Arial" w:eastAsia="Arial" w:hAnsi="Arial" w:cs="Arial"/>
          <w:b/>
          <w:color w:val="000000"/>
        </w:rPr>
        <w:t>Table 7. Mean, Standard Deviation, and Interpretation of the Extent of the Junior High School Students Level of Self-esteem (Competence)</w:t>
      </w:r>
    </w:p>
    <w:p w14:paraId="3E784F48" w14:textId="77777777" w:rsidR="00382604" w:rsidRDefault="00382604">
      <w:pPr>
        <w:keepNext/>
        <w:jc w:val="both"/>
        <w:rPr>
          <w:rFonts w:ascii="Arial" w:eastAsia="Arial" w:hAnsi="Arial" w:cs="Arial"/>
          <w:b/>
          <w:color w:val="000000"/>
          <w:sz w:val="22"/>
          <w:szCs w:val="22"/>
        </w:rPr>
      </w:pPr>
    </w:p>
    <w:tbl>
      <w:tblPr>
        <w:tblStyle w:val="Style80"/>
        <w:tblpPr w:leftFromText="180" w:rightFromText="180" w:vertAnchor="text" w:tblpX="72" w:tblpY="4"/>
        <w:tblW w:w="8190" w:type="dxa"/>
        <w:tblBorders>
          <w:top w:val="single" w:sz="4" w:space="0" w:color="000000"/>
          <w:bottom w:val="single" w:sz="4" w:space="0" w:color="000000"/>
        </w:tblBorders>
        <w:tblLayout w:type="fixed"/>
        <w:tblLook w:val="04A0" w:firstRow="1" w:lastRow="0" w:firstColumn="1" w:lastColumn="0" w:noHBand="0" w:noVBand="1"/>
      </w:tblPr>
      <w:tblGrid>
        <w:gridCol w:w="4788"/>
        <w:gridCol w:w="810"/>
        <w:gridCol w:w="972"/>
        <w:gridCol w:w="90"/>
        <w:gridCol w:w="1530"/>
      </w:tblGrid>
      <w:tr w:rsidR="00382604" w14:paraId="089EC047" w14:textId="77777777">
        <w:trPr>
          <w:trHeight w:val="528"/>
        </w:trPr>
        <w:tc>
          <w:tcPr>
            <w:tcW w:w="4788" w:type="dxa"/>
            <w:tcBorders>
              <w:bottom w:val="single" w:sz="4" w:space="0" w:color="000000"/>
            </w:tcBorders>
            <w:vAlign w:val="center"/>
          </w:tcPr>
          <w:p w14:paraId="2886459D" w14:textId="77777777" w:rsidR="00382604" w:rsidRDefault="00F91166">
            <w:pPr>
              <w:jc w:val="center"/>
              <w:rPr>
                <w:rFonts w:ascii="Arial" w:eastAsia="Arial" w:hAnsi="Arial" w:cs="Arial"/>
                <w:b/>
                <w:sz w:val="20"/>
                <w:szCs w:val="20"/>
              </w:rPr>
            </w:pPr>
            <w:r>
              <w:rPr>
                <w:rFonts w:ascii="Arial" w:eastAsia="Arial" w:hAnsi="Arial" w:cs="Arial"/>
                <w:b/>
                <w:sz w:val="20"/>
                <w:szCs w:val="20"/>
              </w:rPr>
              <w:t>COMPETENCE</w:t>
            </w:r>
          </w:p>
        </w:tc>
        <w:tc>
          <w:tcPr>
            <w:tcW w:w="810" w:type="dxa"/>
            <w:tcBorders>
              <w:bottom w:val="single" w:sz="4" w:space="0" w:color="000000"/>
            </w:tcBorders>
            <w:vAlign w:val="center"/>
          </w:tcPr>
          <w:p w14:paraId="42296450" w14:textId="77777777" w:rsidR="00382604" w:rsidRDefault="00F91166">
            <w:pPr>
              <w:jc w:val="center"/>
              <w:rPr>
                <w:rFonts w:ascii="Arial" w:eastAsia="Arial" w:hAnsi="Arial" w:cs="Arial"/>
                <w:b/>
                <w:sz w:val="20"/>
                <w:szCs w:val="20"/>
              </w:rPr>
            </w:pPr>
            <w:r>
              <w:rPr>
                <w:rFonts w:ascii="Arial" w:eastAsia="Arial" w:hAnsi="Arial" w:cs="Arial"/>
                <w:b/>
                <w:sz w:val="20"/>
                <w:szCs w:val="20"/>
              </w:rPr>
              <w:t>Mean</w:t>
            </w:r>
          </w:p>
        </w:tc>
        <w:tc>
          <w:tcPr>
            <w:tcW w:w="1062" w:type="dxa"/>
            <w:gridSpan w:val="2"/>
            <w:tcBorders>
              <w:bottom w:val="single" w:sz="4" w:space="0" w:color="000000"/>
            </w:tcBorders>
            <w:vAlign w:val="center"/>
          </w:tcPr>
          <w:p w14:paraId="48FA2774" w14:textId="77777777" w:rsidR="00382604" w:rsidRDefault="00F91166">
            <w:pPr>
              <w:jc w:val="center"/>
              <w:rPr>
                <w:rFonts w:ascii="Arial" w:eastAsia="Arial" w:hAnsi="Arial" w:cs="Arial"/>
                <w:b/>
                <w:sz w:val="20"/>
                <w:szCs w:val="20"/>
              </w:rPr>
            </w:pPr>
            <w:r>
              <w:rPr>
                <w:rFonts w:ascii="Arial" w:eastAsia="Arial" w:hAnsi="Arial" w:cs="Arial"/>
                <w:b/>
                <w:sz w:val="20"/>
                <w:szCs w:val="20"/>
              </w:rPr>
              <w:t>SD</w:t>
            </w:r>
          </w:p>
        </w:tc>
        <w:tc>
          <w:tcPr>
            <w:tcW w:w="1530" w:type="dxa"/>
            <w:tcBorders>
              <w:bottom w:val="single" w:sz="4" w:space="0" w:color="000000"/>
            </w:tcBorders>
            <w:vAlign w:val="center"/>
          </w:tcPr>
          <w:p w14:paraId="3FC8778A" w14:textId="77777777" w:rsidR="00382604" w:rsidRDefault="00F91166">
            <w:pPr>
              <w:jc w:val="center"/>
              <w:rPr>
                <w:rFonts w:ascii="Arial" w:eastAsia="Arial" w:hAnsi="Arial" w:cs="Arial"/>
                <w:b/>
                <w:sz w:val="20"/>
                <w:szCs w:val="20"/>
              </w:rPr>
            </w:pPr>
            <w:r>
              <w:rPr>
                <w:rFonts w:ascii="Arial" w:eastAsia="Arial" w:hAnsi="Arial" w:cs="Arial"/>
                <w:b/>
                <w:sz w:val="20"/>
                <w:szCs w:val="20"/>
              </w:rPr>
              <w:t>Interpretation</w:t>
            </w:r>
          </w:p>
        </w:tc>
      </w:tr>
      <w:tr w:rsidR="00382604" w14:paraId="7F61E8F7" w14:textId="77777777">
        <w:trPr>
          <w:trHeight w:val="366"/>
        </w:trPr>
        <w:tc>
          <w:tcPr>
            <w:tcW w:w="4788" w:type="dxa"/>
            <w:tcBorders>
              <w:top w:val="single" w:sz="4" w:space="0" w:color="000000"/>
              <w:bottom w:val="nil"/>
            </w:tcBorders>
          </w:tcPr>
          <w:p w14:paraId="4D4320C9"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 I am confident in my ability to understand and speak Filipino.</w:t>
            </w:r>
          </w:p>
        </w:tc>
        <w:tc>
          <w:tcPr>
            <w:tcW w:w="810" w:type="dxa"/>
            <w:tcBorders>
              <w:top w:val="single" w:sz="4" w:space="0" w:color="000000"/>
              <w:bottom w:val="nil"/>
            </w:tcBorders>
          </w:tcPr>
          <w:p w14:paraId="234D9351" w14:textId="77777777" w:rsidR="00382604" w:rsidRDefault="00F91166">
            <w:pPr>
              <w:jc w:val="center"/>
              <w:rPr>
                <w:rFonts w:ascii="Arial" w:eastAsia="Arial" w:hAnsi="Arial" w:cs="Arial"/>
                <w:sz w:val="20"/>
                <w:szCs w:val="20"/>
              </w:rPr>
            </w:pPr>
            <w:r>
              <w:rPr>
                <w:rFonts w:ascii="Arial" w:eastAsia="Arial" w:hAnsi="Arial" w:cs="Arial"/>
                <w:sz w:val="20"/>
                <w:szCs w:val="20"/>
              </w:rPr>
              <w:t>3.85</w:t>
            </w:r>
          </w:p>
        </w:tc>
        <w:tc>
          <w:tcPr>
            <w:tcW w:w="972" w:type="dxa"/>
            <w:tcBorders>
              <w:top w:val="single" w:sz="4" w:space="0" w:color="000000"/>
              <w:bottom w:val="nil"/>
            </w:tcBorders>
          </w:tcPr>
          <w:p w14:paraId="72194B29" w14:textId="77777777" w:rsidR="00382604" w:rsidRDefault="00F91166">
            <w:pPr>
              <w:jc w:val="center"/>
              <w:rPr>
                <w:rFonts w:ascii="Arial" w:eastAsia="Arial" w:hAnsi="Arial" w:cs="Arial"/>
                <w:sz w:val="20"/>
                <w:szCs w:val="20"/>
              </w:rPr>
            </w:pPr>
            <w:r>
              <w:rPr>
                <w:rFonts w:ascii="Arial" w:eastAsia="Arial" w:hAnsi="Arial" w:cs="Arial"/>
                <w:sz w:val="20"/>
                <w:szCs w:val="20"/>
              </w:rPr>
              <w:t>1.04</w:t>
            </w:r>
          </w:p>
        </w:tc>
        <w:tc>
          <w:tcPr>
            <w:tcW w:w="1620" w:type="dxa"/>
            <w:gridSpan w:val="2"/>
            <w:tcBorders>
              <w:top w:val="single" w:sz="4" w:space="0" w:color="000000"/>
              <w:bottom w:val="nil"/>
            </w:tcBorders>
          </w:tcPr>
          <w:p w14:paraId="4F6561B3"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2771FD0F" w14:textId="77777777">
        <w:trPr>
          <w:trHeight w:val="74"/>
        </w:trPr>
        <w:tc>
          <w:tcPr>
            <w:tcW w:w="4788" w:type="dxa"/>
            <w:tcBorders>
              <w:top w:val="nil"/>
            </w:tcBorders>
          </w:tcPr>
          <w:p w14:paraId="6A333CDF"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2. Each time I practice Filipino, I feel more skilled and capable.</w:t>
            </w:r>
          </w:p>
        </w:tc>
        <w:tc>
          <w:tcPr>
            <w:tcW w:w="810" w:type="dxa"/>
            <w:tcBorders>
              <w:top w:val="nil"/>
            </w:tcBorders>
          </w:tcPr>
          <w:p w14:paraId="4AB31BA4" w14:textId="77777777" w:rsidR="00382604" w:rsidRDefault="00F91166">
            <w:pPr>
              <w:jc w:val="center"/>
              <w:rPr>
                <w:rFonts w:ascii="Arial" w:eastAsia="Arial" w:hAnsi="Arial" w:cs="Arial"/>
                <w:sz w:val="20"/>
                <w:szCs w:val="20"/>
              </w:rPr>
            </w:pPr>
            <w:r>
              <w:rPr>
                <w:rFonts w:ascii="Arial" w:eastAsia="Arial" w:hAnsi="Arial" w:cs="Arial"/>
                <w:sz w:val="20"/>
                <w:szCs w:val="20"/>
              </w:rPr>
              <w:t>4.02</w:t>
            </w:r>
          </w:p>
        </w:tc>
        <w:tc>
          <w:tcPr>
            <w:tcW w:w="972" w:type="dxa"/>
            <w:tcBorders>
              <w:top w:val="nil"/>
            </w:tcBorders>
          </w:tcPr>
          <w:p w14:paraId="54383A3E" w14:textId="77777777" w:rsidR="00382604" w:rsidRDefault="00F91166">
            <w:pPr>
              <w:jc w:val="center"/>
              <w:rPr>
                <w:rFonts w:ascii="Arial" w:eastAsia="Arial" w:hAnsi="Arial" w:cs="Arial"/>
                <w:sz w:val="20"/>
                <w:szCs w:val="20"/>
              </w:rPr>
            </w:pPr>
            <w:r>
              <w:rPr>
                <w:rFonts w:ascii="Arial" w:eastAsia="Arial" w:hAnsi="Arial" w:cs="Arial"/>
                <w:sz w:val="20"/>
                <w:szCs w:val="20"/>
              </w:rPr>
              <w:t>0.90</w:t>
            </w:r>
          </w:p>
        </w:tc>
        <w:tc>
          <w:tcPr>
            <w:tcW w:w="1620" w:type="dxa"/>
            <w:gridSpan w:val="2"/>
            <w:tcBorders>
              <w:top w:val="nil"/>
            </w:tcBorders>
          </w:tcPr>
          <w:p w14:paraId="0C1F4A4C"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74EB9069" w14:textId="77777777">
        <w:trPr>
          <w:trHeight w:val="146"/>
        </w:trPr>
        <w:tc>
          <w:tcPr>
            <w:tcW w:w="4788" w:type="dxa"/>
          </w:tcPr>
          <w:p w14:paraId="5B05EBCF"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lastRenderedPageBreak/>
              <w:t>3. I believe I can achieve fluency in Filipino with enough effort.</w:t>
            </w:r>
          </w:p>
        </w:tc>
        <w:tc>
          <w:tcPr>
            <w:tcW w:w="810" w:type="dxa"/>
          </w:tcPr>
          <w:p w14:paraId="0D34495B" w14:textId="77777777" w:rsidR="00382604" w:rsidRDefault="00F91166">
            <w:pPr>
              <w:jc w:val="center"/>
              <w:rPr>
                <w:rFonts w:ascii="Arial" w:eastAsia="Arial" w:hAnsi="Arial" w:cs="Arial"/>
                <w:sz w:val="20"/>
                <w:szCs w:val="20"/>
              </w:rPr>
            </w:pPr>
            <w:r>
              <w:rPr>
                <w:rFonts w:ascii="Arial" w:eastAsia="Arial" w:hAnsi="Arial" w:cs="Arial"/>
                <w:sz w:val="20"/>
                <w:szCs w:val="20"/>
              </w:rPr>
              <w:t>4.12</w:t>
            </w:r>
          </w:p>
        </w:tc>
        <w:tc>
          <w:tcPr>
            <w:tcW w:w="972" w:type="dxa"/>
          </w:tcPr>
          <w:p w14:paraId="29EEE3C7" w14:textId="77777777" w:rsidR="00382604" w:rsidRDefault="00F91166">
            <w:pPr>
              <w:jc w:val="center"/>
              <w:rPr>
                <w:rFonts w:ascii="Arial" w:eastAsia="Arial" w:hAnsi="Arial" w:cs="Arial"/>
                <w:sz w:val="20"/>
                <w:szCs w:val="20"/>
              </w:rPr>
            </w:pPr>
            <w:r>
              <w:rPr>
                <w:rFonts w:ascii="Arial" w:eastAsia="Arial" w:hAnsi="Arial" w:cs="Arial"/>
                <w:sz w:val="20"/>
                <w:szCs w:val="20"/>
              </w:rPr>
              <w:t>0.80</w:t>
            </w:r>
          </w:p>
        </w:tc>
        <w:tc>
          <w:tcPr>
            <w:tcW w:w="1620" w:type="dxa"/>
            <w:gridSpan w:val="2"/>
          </w:tcPr>
          <w:p w14:paraId="4CA51A37"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7D1C6496" w14:textId="77777777">
        <w:trPr>
          <w:trHeight w:val="115"/>
        </w:trPr>
        <w:tc>
          <w:tcPr>
            <w:tcW w:w="4788" w:type="dxa"/>
          </w:tcPr>
          <w:p w14:paraId="0C100395"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4. I feel empowered by the progress I’ve made in learning Filipino.</w:t>
            </w:r>
          </w:p>
        </w:tc>
        <w:tc>
          <w:tcPr>
            <w:tcW w:w="810" w:type="dxa"/>
          </w:tcPr>
          <w:p w14:paraId="5D663349" w14:textId="77777777" w:rsidR="00382604" w:rsidRDefault="00F91166">
            <w:pPr>
              <w:jc w:val="center"/>
              <w:rPr>
                <w:rFonts w:ascii="Arial" w:eastAsia="Arial" w:hAnsi="Arial" w:cs="Arial"/>
                <w:sz w:val="20"/>
                <w:szCs w:val="20"/>
              </w:rPr>
            </w:pPr>
            <w:r>
              <w:rPr>
                <w:rFonts w:ascii="Arial" w:eastAsia="Arial" w:hAnsi="Arial" w:cs="Arial"/>
                <w:sz w:val="20"/>
                <w:szCs w:val="20"/>
              </w:rPr>
              <w:t>3.96</w:t>
            </w:r>
          </w:p>
        </w:tc>
        <w:tc>
          <w:tcPr>
            <w:tcW w:w="972" w:type="dxa"/>
          </w:tcPr>
          <w:p w14:paraId="34CA4E4A" w14:textId="77777777" w:rsidR="00382604" w:rsidRDefault="00F91166">
            <w:pPr>
              <w:jc w:val="center"/>
              <w:rPr>
                <w:rFonts w:ascii="Arial" w:eastAsia="Arial" w:hAnsi="Arial" w:cs="Arial"/>
                <w:sz w:val="20"/>
                <w:szCs w:val="20"/>
              </w:rPr>
            </w:pPr>
            <w:r>
              <w:rPr>
                <w:rFonts w:ascii="Arial" w:eastAsia="Arial" w:hAnsi="Arial" w:cs="Arial"/>
                <w:sz w:val="20"/>
                <w:szCs w:val="20"/>
              </w:rPr>
              <w:t>0.80</w:t>
            </w:r>
          </w:p>
        </w:tc>
        <w:tc>
          <w:tcPr>
            <w:tcW w:w="1620" w:type="dxa"/>
            <w:gridSpan w:val="2"/>
          </w:tcPr>
          <w:p w14:paraId="502A2D65"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056DDC50" w14:textId="77777777">
        <w:trPr>
          <w:trHeight w:val="131"/>
        </w:trPr>
        <w:tc>
          <w:tcPr>
            <w:tcW w:w="4788" w:type="dxa"/>
          </w:tcPr>
          <w:p w14:paraId="454BDA15"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5. My success in learning Filipino makes me feel more competent as a student.</w:t>
            </w:r>
          </w:p>
        </w:tc>
        <w:tc>
          <w:tcPr>
            <w:tcW w:w="810" w:type="dxa"/>
          </w:tcPr>
          <w:p w14:paraId="09FA40C2" w14:textId="77777777" w:rsidR="00382604" w:rsidRDefault="00F91166">
            <w:pPr>
              <w:jc w:val="center"/>
              <w:rPr>
                <w:rFonts w:ascii="Arial" w:eastAsia="Arial" w:hAnsi="Arial" w:cs="Arial"/>
                <w:sz w:val="20"/>
                <w:szCs w:val="20"/>
              </w:rPr>
            </w:pPr>
            <w:r>
              <w:rPr>
                <w:rFonts w:ascii="Arial" w:eastAsia="Arial" w:hAnsi="Arial" w:cs="Arial"/>
                <w:sz w:val="20"/>
                <w:szCs w:val="20"/>
              </w:rPr>
              <w:t>4.09</w:t>
            </w:r>
          </w:p>
        </w:tc>
        <w:tc>
          <w:tcPr>
            <w:tcW w:w="972" w:type="dxa"/>
          </w:tcPr>
          <w:p w14:paraId="6092FFE2" w14:textId="77777777" w:rsidR="00382604" w:rsidRDefault="00F91166">
            <w:pPr>
              <w:jc w:val="center"/>
              <w:rPr>
                <w:rFonts w:ascii="Arial" w:eastAsia="Arial" w:hAnsi="Arial" w:cs="Arial"/>
                <w:sz w:val="20"/>
                <w:szCs w:val="20"/>
              </w:rPr>
            </w:pPr>
            <w:r>
              <w:rPr>
                <w:rFonts w:ascii="Arial" w:eastAsia="Arial" w:hAnsi="Arial" w:cs="Arial"/>
                <w:sz w:val="20"/>
                <w:szCs w:val="20"/>
              </w:rPr>
              <w:t>0.84</w:t>
            </w:r>
          </w:p>
        </w:tc>
        <w:tc>
          <w:tcPr>
            <w:tcW w:w="1620" w:type="dxa"/>
            <w:gridSpan w:val="2"/>
          </w:tcPr>
          <w:p w14:paraId="026F5DCB"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6DA07C2A" w14:textId="77777777">
        <w:trPr>
          <w:trHeight w:val="177"/>
        </w:trPr>
        <w:tc>
          <w:tcPr>
            <w:tcW w:w="4788" w:type="dxa"/>
          </w:tcPr>
          <w:p w14:paraId="62A998F1"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6. When I can communicate in Filipino, I feel a sense of mastery.</w:t>
            </w:r>
          </w:p>
        </w:tc>
        <w:tc>
          <w:tcPr>
            <w:tcW w:w="810" w:type="dxa"/>
          </w:tcPr>
          <w:p w14:paraId="1F5D4902" w14:textId="77777777" w:rsidR="00382604" w:rsidRDefault="00F91166">
            <w:pPr>
              <w:jc w:val="center"/>
              <w:rPr>
                <w:rFonts w:ascii="Arial" w:eastAsia="Arial" w:hAnsi="Arial" w:cs="Arial"/>
                <w:sz w:val="20"/>
                <w:szCs w:val="20"/>
              </w:rPr>
            </w:pPr>
            <w:r>
              <w:rPr>
                <w:rFonts w:ascii="Arial" w:eastAsia="Arial" w:hAnsi="Arial" w:cs="Arial"/>
                <w:sz w:val="20"/>
                <w:szCs w:val="20"/>
              </w:rPr>
              <w:t>4.03</w:t>
            </w:r>
          </w:p>
        </w:tc>
        <w:tc>
          <w:tcPr>
            <w:tcW w:w="972" w:type="dxa"/>
          </w:tcPr>
          <w:p w14:paraId="58C698C2" w14:textId="77777777" w:rsidR="00382604" w:rsidRDefault="00F91166">
            <w:pPr>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55DF2BCF"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5D9BC3CD" w14:textId="77777777">
        <w:trPr>
          <w:trHeight w:val="223"/>
        </w:trPr>
        <w:tc>
          <w:tcPr>
            <w:tcW w:w="4788" w:type="dxa"/>
          </w:tcPr>
          <w:p w14:paraId="40C83A8A"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7. I trust my ability to overcome any challenges in learning Filipino.</w:t>
            </w:r>
          </w:p>
        </w:tc>
        <w:tc>
          <w:tcPr>
            <w:tcW w:w="810" w:type="dxa"/>
          </w:tcPr>
          <w:p w14:paraId="5C7A8D88" w14:textId="77777777" w:rsidR="00382604" w:rsidRDefault="00F91166">
            <w:pPr>
              <w:jc w:val="center"/>
              <w:rPr>
                <w:rFonts w:ascii="Arial" w:eastAsia="Arial" w:hAnsi="Arial" w:cs="Arial"/>
                <w:sz w:val="20"/>
                <w:szCs w:val="20"/>
              </w:rPr>
            </w:pPr>
            <w:r>
              <w:rPr>
                <w:rFonts w:ascii="Arial" w:eastAsia="Arial" w:hAnsi="Arial" w:cs="Arial"/>
                <w:sz w:val="20"/>
                <w:szCs w:val="20"/>
              </w:rPr>
              <w:t>3.94</w:t>
            </w:r>
          </w:p>
        </w:tc>
        <w:tc>
          <w:tcPr>
            <w:tcW w:w="972" w:type="dxa"/>
          </w:tcPr>
          <w:p w14:paraId="64948C98" w14:textId="77777777" w:rsidR="00382604" w:rsidRDefault="00F91166">
            <w:pPr>
              <w:jc w:val="center"/>
              <w:rPr>
                <w:rFonts w:ascii="Arial" w:eastAsia="Arial" w:hAnsi="Arial" w:cs="Arial"/>
                <w:sz w:val="20"/>
                <w:szCs w:val="20"/>
              </w:rPr>
            </w:pPr>
            <w:r>
              <w:rPr>
                <w:rFonts w:ascii="Arial" w:eastAsia="Arial" w:hAnsi="Arial" w:cs="Arial"/>
                <w:sz w:val="20"/>
                <w:szCs w:val="20"/>
              </w:rPr>
              <w:t>0.90</w:t>
            </w:r>
          </w:p>
        </w:tc>
        <w:tc>
          <w:tcPr>
            <w:tcW w:w="1620" w:type="dxa"/>
            <w:gridSpan w:val="2"/>
          </w:tcPr>
          <w:p w14:paraId="31E29C87"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6B668F87" w14:textId="77777777">
        <w:trPr>
          <w:trHeight w:val="188"/>
        </w:trPr>
        <w:tc>
          <w:tcPr>
            <w:tcW w:w="4788" w:type="dxa"/>
          </w:tcPr>
          <w:p w14:paraId="3BB38ABB"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8. The more I practice Filipino, the more confident I feel in my abilities.</w:t>
            </w:r>
          </w:p>
        </w:tc>
        <w:tc>
          <w:tcPr>
            <w:tcW w:w="810" w:type="dxa"/>
          </w:tcPr>
          <w:p w14:paraId="71DDFA0D" w14:textId="77777777" w:rsidR="00382604" w:rsidRDefault="00F91166">
            <w:pPr>
              <w:jc w:val="center"/>
              <w:rPr>
                <w:rFonts w:ascii="Arial" w:eastAsia="Arial" w:hAnsi="Arial" w:cs="Arial"/>
                <w:sz w:val="20"/>
                <w:szCs w:val="20"/>
              </w:rPr>
            </w:pPr>
            <w:r>
              <w:rPr>
                <w:rFonts w:ascii="Arial" w:eastAsia="Arial" w:hAnsi="Arial" w:cs="Arial"/>
                <w:sz w:val="20"/>
                <w:szCs w:val="20"/>
              </w:rPr>
              <w:t>4.06</w:t>
            </w:r>
          </w:p>
        </w:tc>
        <w:tc>
          <w:tcPr>
            <w:tcW w:w="972" w:type="dxa"/>
          </w:tcPr>
          <w:p w14:paraId="6BCEC7EB" w14:textId="77777777" w:rsidR="00382604" w:rsidRDefault="00F91166">
            <w:pPr>
              <w:jc w:val="center"/>
              <w:rPr>
                <w:rFonts w:ascii="Arial" w:eastAsia="Arial" w:hAnsi="Arial" w:cs="Arial"/>
                <w:sz w:val="20"/>
                <w:szCs w:val="20"/>
              </w:rPr>
            </w:pPr>
            <w:r>
              <w:rPr>
                <w:rFonts w:ascii="Arial" w:eastAsia="Arial" w:hAnsi="Arial" w:cs="Arial"/>
                <w:sz w:val="20"/>
                <w:szCs w:val="20"/>
              </w:rPr>
              <w:t>0.86</w:t>
            </w:r>
          </w:p>
        </w:tc>
        <w:tc>
          <w:tcPr>
            <w:tcW w:w="1620" w:type="dxa"/>
            <w:gridSpan w:val="2"/>
          </w:tcPr>
          <w:p w14:paraId="76D884AB"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7406A767" w14:textId="77777777">
        <w:trPr>
          <w:trHeight w:val="234"/>
        </w:trPr>
        <w:tc>
          <w:tcPr>
            <w:tcW w:w="4788" w:type="dxa"/>
            <w:tcBorders>
              <w:bottom w:val="nil"/>
            </w:tcBorders>
          </w:tcPr>
          <w:p w14:paraId="589D0E2D"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9. I believe my Filipino skills can grow stronger with consistent learning.</w:t>
            </w:r>
          </w:p>
        </w:tc>
        <w:tc>
          <w:tcPr>
            <w:tcW w:w="810" w:type="dxa"/>
            <w:tcBorders>
              <w:bottom w:val="nil"/>
            </w:tcBorders>
          </w:tcPr>
          <w:p w14:paraId="1C35AFFD" w14:textId="77777777" w:rsidR="00382604" w:rsidRDefault="00F91166">
            <w:pPr>
              <w:jc w:val="center"/>
              <w:rPr>
                <w:rFonts w:ascii="Arial" w:eastAsia="Arial" w:hAnsi="Arial" w:cs="Arial"/>
                <w:sz w:val="20"/>
                <w:szCs w:val="20"/>
              </w:rPr>
            </w:pPr>
            <w:r>
              <w:rPr>
                <w:rFonts w:ascii="Arial" w:eastAsia="Arial" w:hAnsi="Arial" w:cs="Arial"/>
                <w:sz w:val="20"/>
                <w:szCs w:val="20"/>
              </w:rPr>
              <w:t>4.37</w:t>
            </w:r>
          </w:p>
        </w:tc>
        <w:tc>
          <w:tcPr>
            <w:tcW w:w="972" w:type="dxa"/>
            <w:tcBorders>
              <w:bottom w:val="nil"/>
            </w:tcBorders>
          </w:tcPr>
          <w:p w14:paraId="52AD3601" w14:textId="77777777" w:rsidR="00382604" w:rsidRDefault="00F91166">
            <w:pPr>
              <w:jc w:val="center"/>
              <w:rPr>
                <w:rFonts w:ascii="Arial" w:eastAsia="Arial" w:hAnsi="Arial" w:cs="Arial"/>
                <w:sz w:val="20"/>
                <w:szCs w:val="20"/>
              </w:rPr>
            </w:pPr>
            <w:r>
              <w:rPr>
                <w:rFonts w:ascii="Arial" w:eastAsia="Arial" w:hAnsi="Arial" w:cs="Arial"/>
                <w:sz w:val="20"/>
                <w:szCs w:val="20"/>
              </w:rPr>
              <w:t>0.76</w:t>
            </w:r>
          </w:p>
        </w:tc>
        <w:tc>
          <w:tcPr>
            <w:tcW w:w="1620" w:type="dxa"/>
            <w:gridSpan w:val="2"/>
            <w:tcBorders>
              <w:bottom w:val="nil"/>
            </w:tcBorders>
          </w:tcPr>
          <w:p w14:paraId="59FDADF0" w14:textId="77777777" w:rsidR="00382604" w:rsidRDefault="00F91166">
            <w:pPr>
              <w:jc w:val="center"/>
              <w:rPr>
                <w:rFonts w:ascii="Arial" w:eastAsia="Arial" w:hAnsi="Arial" w:cs="Arial"/>
                <w:sz w:val="20"/>
                <w:szCs w:val="20"/>
              </w:rPr>
            </w:pPr>
            <w:r>
              <w:rPr>
                <w:rFonts w:ascii="Arial" w:eastAsia="Arial" w:hAnsi="Arial" w:cs="Arial"/>
                <w:sz w:val="20"/>
                <w:szCs w:val="20"/>
              </w:rPr>
              <w:t>Very High</w:t>
            </w:r>
          </w:p>
        </w:tc>
      </w:tr>
      <w:tr w:rsidR="00382604" w14:paraId="2177ABF7" w14:textId="77777777">
        <w:trPr>
          <w:trHeight w:val="306"/>
        </w:trPr>
        <w:tc>
          <w:tcPr>
            <w:tcW w:w="4788" w:type="dxa"/>
            <w:tcBorders>
              <w:top w:val="nil"/>
              <w:bottom w:val="single" w:sz="4" w:space="0" w:color="000000"/>
            </w:tcBorders>
          </w:tcPr>
          <w:p w14:paraId="3E5104BE" w14:textId="77777777" w:rsidR="00382604" w:rsidRDefault="00F91166">
            <w:pPr>
              <w:spacing w:line="480" w:lineRule="auto"/>
              <w:rPr>
                <w:rFonts w:ascii="Arial" w:eastAsia="Arial" w:hAnsi="Arial" w:cs="Arial"/>
                <w:sz w:val="20"/>
                <w:szCs w:val="20"/>
              </w:rPr>
            </w:pPr>
            <w:r>
              <w:rPr>
                <w:rFonts w:ascii="Arial" w:eastAsia="Arial" w:hAnsi="Arial" w:cs="Arial"/>
                <w:sz w:val="20"/>
                <w:szCs w:val="20"/>
              </w:rPr>
              <w:t>10. My competence in Filipino improves my overall confidence in learning new things.</w:t>
            </w:r>
          </w:p>
        </w:tc>
        <w:tc>
          <w:tcPr>
            <w:tcW w:w="810" w:type="dxa"/>
            <w:tcBorders>
              <w:top w:val="nil"/>
              <w:bottom w:val="single" w:sz="4" w:space="0" w:color="000000"/>
            </w:tcBorders>
          </w:tcPr>
          <w:p w14:paraId="452FBD46" w14:textId="77777777" w:rsidR="00382604" w:rsidRDefault="00F91166">
            <w:pPr>
              <w:jc w:val="center"/>
              <w:rPr>
                <w:rFonts w:ascii="Arial" w:eastAsia="Arial" w:hAnsi="Arial" w:cs="Arial"/>
                <w:sz w:val="20"/>
                <w:szCs w:val="20"/>
              </w:rPr>
            </w:pPr>
            <w:r>
              <w:rPr>
                <w:rFonts w:ascii="Arial" w:eastAsia="Arial" w:hAnsi="Arial" w:cs="Arial"/>
                <w:sz w:val="20"/>
                <w:szCs w:val="20"/>
              </w:rPr>
              <w:t>4.06</w:t>
            </w:r>
          </w:p>
        </w:tc>
        <w:tc>
          <w:tcPr>
            <w:tcW w:w="972" w:type="dxa"/>
            <w:tcBorders>
              <w:top w:val="nil"/>
              <w:bottom w:val="single" w:sz="4" w:space="0" w:color="000000"/>
            </w:tcBorders>
          </w:tcPr>
          <w:p w14:paraId="537CEE83" w14:textId="77777777" w:rsidR="00382604" w:rsidRDefault="00F91166">
            <w:pPr>
              <w:jc w:val="center"/>
              <w:rPr>
                <w:rFonts w:ascii="Arial" w:eastAsia="Arial" w:hAnsi="Arial" w:cs="Arial"/>
                <w:sz w:val="20"/>
                <w:szCs w:val="20"/>
              </w:rPr>
            </w:pPr>
            <w:r>
              <w:rPr>
                <w:rFonts w:ascii="Arial" w:eastAsia="Arial" w:hAnsi="Arial" w:cs="Arial"/>
                <w:sz w:val="20"/>
                <w:szCs w:val="20"/>
              </w:rPr>
              <w:t>0.93</w:t>
            </w:r>
          </w:p>
        </w:tc>
        <w:tc>
          <w:tcPr>
            <w:tcW w:w="1620" w:type="dxa"/>
            <w:gridSpan w:val="2"/>
            <w:tcBorders>
              <w:top w:val="nil"/>
              <w:bottom w:val="single" w:sz="4" w:space="0" w:color="000000"/>
            </w:tcBorders>
          </w:tcPr>
          <w:p w14:paraId="7AD6E763" w14:textId="77777777" w:rsidR="00382604" w:rsidRDefault="00F91166">
            <w:pPr>
              <w:jc w:val="center"/>
              <w:rPr>
                <w:rFonts w:ascii="Arial" w:eastAsia="Arial" w:hAnsi="Arial" w:cs="Arial"/>
                <w:sz w:val="20"/>
                <w:szCs w:val="20"/>
              </w:rPr>
            </w:pPr>
            <w:r>
              <w:rPr>
                <w:rFonts w:ascii="Arial" w:eastAsia="Arial" w:hAnsi="Arial" w:cs="Arial"/>
                <w:sz w:val="20"/>
                <w:szCs w:val="20"/>
              </w:rPr>
              <w:t>High</w:t>
            </w:r>
          </w:p>
        </w:tc>
      </w:tr>
      <w:tr w:rsidR="00382604" w14:paraId="7843674A" w14:textId="77777777">
        <w:trPr>
          <w:trHeight w:val="467"/>
        </w:trPr>
        <w:tc>
          <w:tcPr>
            <w:tcW w:w="4788" w:type="dxa"/>
            <w:tcBorders>
              <w:top w:val="single" w:sz="4" w:space="0" w:color="000000"/>
            </w:tcBorders>
          </w:tcPr>
          <w:p w14:paraId="070CE4E5" w14:textId="77777777" w:rsidR="00382604" w:rsidRDefault="00F91166">
            <w:pPr>
              <w:rPr>
                <w:rFonts w:ascii="Arial" w:eastAsia="Arial" w:hAnsi="Arial" w:cs="Arial"/>
                <w:b/>
                <w:sz w:val="20"/>
                <w:szCs w:val="20"/>
              </w:rPr>
            </w:pPr>
            <w:r>
              <w:rPr>
                <w:rFonts w:ascii="Arial" w:eastAsia="Arial" w:hAnsi="Arial" w:cs="Arial"/>
                <w:b/>
                <w:sz w:val="20"/>
                <w:szCs w:val="20"/>
              </w:rPr>
              <w:t>Total:</w:t>
            </w:r>
          </w:p>
        </w:tc>
        <w:tc>
          <w:tcPr>
            <w:tcW w:w="810" w:type="dxa"/>
            <w:tcBorders>
              <w:top w:val="single" w:sz="4" w:space="0" w:color="000000"/>
            </w:tcBorders>
          </w:tcPr>
          <w:p w14:paraId="14B5E795" w14:textId="77777777" w:rsidR="00382604" w:rsidRDefault="00F91166">
            <w:pPr>
              <w:jc w:val="center"/>
              <w:rPr>
                <w:rFonts w:ascii="Arial" w:eastAsia="Arial" w:hAnsi="Arial" w:cs="Arial"/>
                <w:b/>
                <w:sz w:val="20"/>
                <w:szCs w:val="20"/>
              </w:rPr>
            </w:pPr>
            <w:r>
              <w:rPr>
                <w:rFonts w:ascii="Arial" w:eastAsia="Arial" w:hAnsi="Arial" w:cs="Arial"/>
                <w:b/>
                <w:sz w:val="20"/>
                <w:szCs w:val="20"/>
              </w:rPr>
              <w:t>4.05</w:t>
            </w:r>
          </w:p>
        </w:tc>
        <w:tc>
          <w:tcPr>
            <w:tcW w:w="972" w:type="dxa"/>
            <w:tcBorders>
              <w:top w:val="single" w:sz="4" w:space="0" w:color="000000"/>
            </w:tcBorders>
          </w:tcPr>
          <w:p w14:paraId="2181F00F" w14:textId="77777777" w:rsidR="00382604" w:rsidRDefault="00F91166">
            <w:pPr>
              <w:jc w:val="center"/>
              <w:rPr>
                <w:rFonts w:ascii="Arial" w:eastAsia="Arial" w:hAnsi="Arial" w:cs="Arial"/>
                <w:b/>
                <w:sz w:val="20"/>
                <w:szCs w:val="20"/>
              </w:rPr>
            </w:pPr>
            <w:r>
              <w:rPr>
                <w:rFonts w:ascii="Arial" w:eastAsia="Arial" w:hAnsi="Arial" w:cs="Arial"/>
                <w:b/>
                <w:sz w:val="20"/>
                <w:szCs w:val="20"/>
              </w:rPr>
              <w:t>0.61</w:t>
            </w:r>
          </w:p>
        </w:tc>
        <w:tc>
          <w:tcPr>
            <w:tcW w:w="1620" w:type="dxa"/>
            <w:gridSpan w:val="2"/>
            <w:tcBorders>
              <w:top w:val="single" w:sz="4" w:space="0" w:color="000000"/>
            </w:tcBorders>
          </w:tcPr>
          <w:p w14:paraId="10E33A61" w14:textId="77777777" w:rsidR="00382604" w:rsidRDefault="00F91166">
            <w:pPr>
              <w:jc w:val="center"/>
              <w:rPr>
                <w:rFonts w:ascii="Arial" w:eastAsia="Arial" w:hAnsi="Arial" w:cs="Arial"/>
                <w:b/>
                <w:sz w:val="20"/>
                <w:szCs w:val="20"/>
              </w:rPr>
            </w:pPr>
            <w:r>
              <w:rPr>
                <w:rFonts w:ascii="Arial" w:eastAsia="Arial" w:hAnsi="Arial" w:cs="Arial"/>
                <w:b/>
                <w:sz w:val="20"/>
                <w:szCs w:val="20"/>
              </w:rPr>
              <w:t>High</w:t>
            </w:r>
          </w:p>
        </w:tc>
      </w:tr>
    </w:tbl>
    <w:p w14:paraId="4CDE69BC"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*Students level of Self-esteem in terms of Competence</w:t>
      </w:r>
    </w:p>
    <w:p w14:paraId="0B8B21D9" w14:textId="77777777" w:rsidR="00382604" w:rsidRDefault="00382604">
      <w:pPr>
        <w:jc w:val="both"/>
        <w:rPr>
          <w:rFonts w:ascii="Arial" w:eastAsia="Arial" w:hAnsi="Arial" w:cs="Arial"/>
          <w:i/>
          <w:color w:val="000000"/>
          <w:vertAlign w:val="subscript"/>
        </w:rPr>
      </w:pPr>
    </w:p>
    <w:p w14:paraId="739E3F6C" w14:textId="77777777" w:rsidR="00382604" w:rsidRDefault="00F91166">
      <w:pPr>
        <w:jc w:val="both"/>
        <w:rPr>
          <w:rFonts w:ascii="Arial" w:eastAsia="Arial" w:hAnsi="Arial" w:cs="Arial"/>
          <w:color w:val="000000"/>
        </w:rPr>
      </w:pPr>
      <w:r>
        <w:rPr>
          <w:rFonts w:ascii="Arial" w:eastAsia="Arial" w:hAnsi="Arial" w:cs="Arial"/>
          <w:color w:val="000000"/>
        </w:rPr>
        <w:t xml:space="preserve">Table 7 presents the level of competence that junior high school students perceive in learning Filipino. The highest-rated statement is the belief that Filipino skills can improve with consistent learning </w:t>
      </w:r>
      <w:r>
        <w:rPr>
          <w:rFonts w:ascii="Arial" w:eastAsia="Arial" w:hAnsi="Arial" w:cs="Arial"/>
          <w:i/>
          <w:color w:val="000000"/>
        </w:rPr>
        <w:t>(M = 4.37</w:t>
      </w:r>
      <w:r>
        <w:rPr>
          <w:rFonts w:ascii="Arial" w:eastAsia="Arial" w:hAnsi="Arial" w:cs="Arial"/>
          <w:color w:val="000000"/>
        </w:rPr>
        <w:t>, Very High), reflecting students' confidence in their ability to develop proficiency over time. However, the lowest-rated indicator is confidence in understanding and speaking Filipino (</w:t>
      </w:r>
      <w:r>
        <w:rPr>
          <w:rFonts w:ascii="Arial" w:eastAsia="Arial" w:hAnsi="Arial" w:cs="Arial"/>
          <w:i/>
          <w:color w:val="000000"/>
        </w:rPr>
        <w:t>M = 3.85</w:t>
      </w:r>
      <w:r>
        <w:rPr>
          <w:rFonts w:ascii="Arial" w:eastAsia="Arial" w:hAnsi="Arial" w:cs="Arial"/>
          <w:color w:val="000000"/>
        </w:rPr>
        <w:t xml:space="preserve">, High), suggesting that while students believe in their ability to improve, some still experience uncertainty in their fluency. </w:t>
      </w:r>
    </w:p>
    <w:p w14:paraId="18F3F7EA" w14:textId="77777777" w:rsidR="00382604" w:rsidRDefault="00382604">
      <w:pPr>
        <w:jc w:val="both"/>
        <w:rPr>
          <w:rFonts w:ascii="Arial" w:eastAsia="Arial" w:hAnsi="Arial" w:cs="Arial"/>
          <w:color w:val="000000"/>
        </w:rPr>
      </w:pPr>
    </w:p>
    <w:p w14:paraId="627A9237" w14:textId="77777777" w:rsidR="00382604" w:rsidRDefault="00F91166">
      <w:pPr>
        <w:spacing w:after="240"/>
        <w:jc w:val="both"/>
        <w:rPr>
          <w:rFonts w:ascii="Arial" w:eastAsia="Arial" w:hAnsi="Arial" w:cs="Arial"/>
          <w:color w:val="000000"/>
        </w:rPr>
      </w:pPr>
      <w:r>
        <w:rPr>
          <w:rFonts w:ascii="Arial" w:eastAsia="Arial" w:hAnsi="Arial" w:cs="Arial"/>
          <w:color w:val="000000"/>
        </w:rPr>
        <w:t xml:space="preserve">Furthermore, these findings align with the study of </w:t>
      </w:r>
      <w:proofErr w:type="spellStart"/>
      <w:r>
        <w:rPr>
          <w:rFonts w:ascii="Arial" w:eastAsia="Arial" w:hAnsi="Arial" w:cs="Arial"/>
          <w:color w:val="000000"/>
        </w:rPr>
        <w:t>Sapungan</w:t>
      </w:r>
      <w:proofErr w:type="spellEnd"/>
      <w:r>
        <w:rPr>
          <w:rFonts w:ascii="Arial" w:eastAsia="Arial" w:hAnsi="Arial" w:cs="Arial"/>
          <w:color w:val="000000"/>
        </w:rPr>
        <w:t xml:space="preserve"> et al. (2018), which emphasizes that linguistics competence is essential for success in professional fields. The high level of perceived competence among the students suggests that their ability to develop proficiency in Filipino contributes not only to their academic growth but also to their readiness for real-world interactions. As language proficiency plays a crucial role in career success, fostering both confidence and competence in Filipino can help students develop the necessary communication skills for future professional opportunities. Additionally, the structured development of language skills plays a vital role in strengthening students' confidence, as it equips them with the ability to participate more effectively in both academic and social interactions (Mortera et al., 2016).</w:t>
      </w:r>
    </w:p>
    <w:p w14:paraId="13482964" w14:textId="77777777" w:rsidR="00382604" w:rsidRDefault="00F91166">
      <w:pPr>
        <w:spacing w:before="240"/>
        <w:jc w:val="both"/>
        <w:rPr>
          <w:rFonts w:ascii="Arial" w:eastAsia="Arial" w:hAnsi="Arial" w:cs="Arial"/>
          <w:b/>
        </w:rPr>
      </w:pPr>
      <w:r>
        <w:rPr>
          <w:rFonts w:ascii="Arial" w:eastAsia="Arial" w:hAnsi="Arial" w:cs="Arial"/>
          <w:b/>
        </w:rPr>
        <w:lastRenderedPageBreak/>
        <w:t>Table 8. Summary table of the Extent of the Junior High School Students level of Self-esteem (Identity, Belonging, Purpose, Competence)</w:t>
      </w:r>
    </w:p>
    <w:tbl>
      <w:tblPr>
        <w:tblStyle w:val="Style81"/>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2385"/>
        <w:gridCol w:w="540"/>
        <w:gridCol w:w="1515"/>
        <w:gridCol w:w="465"/>
        <w:gridCol w:w="2925"/>
      </w:tblGrid>
      <w:tr w:rsidR="00382604" w14:paraId="0F0DE1F9" w14:textId="77777777">
        <w:trPr>
          <w:trHeight w:val="271"/>
        </w:trPr>
        <w:tc>
          <w:tcPr>
            <w:tcW w:w="2745" w:type="dxa"/>
            <w:gridSpan w:val="2"/>
            <w:tcBorders>
              <w:top w:val="single" w:sz="6" w:space="0" w:color="000000"/>
              <w:left w:val="nil"/>
              <w:bottom w:val="single" w:sz="6" w:space="0" w:color="000000"/>
              <w:right w:val="nil"/>
            </w:tcBorders>
            <w:shd w:val="clear" w:color="auto" w:fill="FFFFFF"/>
            <w:vAlign w:val="center"/>
          </w:tcPr>
          <w:p w14:paraId="526899E6" w14:textId="77777777" w:rsidR="00382604" w:rsidRDefault="00F91166">
            <w:pPr>
              <w:jc w:val="center"/>
              <w:rPr>
                <w:rFonts w:ascii="Arial" w:eastAsia="Arial" w:hAnsi="Arial" w:cs="Arial"/>
              </w:rPr>
            </w:pPr>
            <w:r>
              <w:rPr>
                <w:rFonts w:ascii="Arial" w:eastAsia="Arial" w:hAnsi="Arial" w:cs="Arial"/>
                <w:b/>
              </w:rPr>
              <w:t>Dimensions</w:t>
            </w:r>
          </w:p>
        </w:tc>
        <w:tc>
          <w:tcPr>
            <w:tcW w:w="2055" w:type="dxa"/>
            <w:gridSpan w:val="2"/>
            <w:tcBorders>
              <w:top w:val="single" w:sz="6" w:space="0" w:color="000000"/>
              <w:left w:val="nil"/>
              <w:bottom w:val="single" w:sz="6" w:space="0" w:color="000000"/>
              <w:right w:val="nil"/>
            </w:tcBorders>
            <w:shd w:val="clear" w:color="auto" w:fill="FFFFFF"/>
            <w:vAlign w:val="center"/>
          </w:tcPr>
          <w:p w14:paraId="11E4EBB7" w14:textId="77777777" w:rsidR="00382604" w:rsidRDefault="00F91166">
            <w:pPr>
              <w:jc w:val="center"/>
              <w:rPr>
                <w:rFonts w:ascii="Arial" w:eastAsia="Arial" w:hAnsi="Arial" w:cs="Arial"/>
                <w:b/>
              </w:rPr>
            </w:pPr>
            <w:r>
              <w:rPr>
                <w:rFonts w:ascii="Arial" w:eastAsia="Arial" w:hAnsi="Arial" w:cs="Arial"/>
                <w:b/>
              </w:rPr>
              <w:t>Mean</w:t>
            </w:r>
          </w:p>
        </w:tc>
        <w:tc>
          <w:tcPr>
            <w:tcW w:w="465" w:type="dxa"/>
            <w:tcBorders>
              <w:top w:val="single" w:sz="6" w:space="0" w:color="000000"/>
              <w:left w:val="nil"/>
              <w:bottom w:val="single" w:sz="6" w:space="0" w:color="000000"/>
              <w:right w:val="nil"/>
            </w:tcBorders>
            <w:shd w:val="clear" w:color="auto" w:fill="FFFFFF"/>
            <w:vAlign w:val="center"/>
          </w:tcPr>
          <w:p w14:paraId="1633992F" w14:textId="77777777" w:rsidR="00382604" w:rsidRDefault="00F91166">
            <w:pPr>
              <w:jc w:val="center"/>
              <w:rPr>
                <w:rFonts w:ascii="Arial" w:eastAsia="Arial" w:hAnsi="Arial" w:cs="Arial"/>
              </w:rPr>
            </w:pPr>
            <w:r>
              <w:rPr>
                <w:rFonts w:ascii="Arial" w:eastAsia="Arial" w:hAnsi="Arial" w:cs="Arial"/>
                <w:b/>
              </w:rPr>
              <w:t>SD</w:t>
            </w:r>
          </w:p>
        </w:tc>
        <w:tc>
          <w:tcPr>
            <w:tcW w:w="2925" w:type="dxa"/>
            <w:tcBorders>
              <w:top w:val="single" w:sz="6" w:space="0" w:color="000000"/>
              <w:left w:val="nil"/>
              <w:bottom w:val="single" w:sz="6" w:space="0" w:color="000000"/>
              <w:right w:val="nil"/>
            </w:tcBorders>
            <w:shd w:val="clear" w:color="auto" w:fill="FFFFFF"/>
            <w:vAlign w:val="center"/>
          </w:tcPr>
          <w:p w14:paraId="54886169" w14:textId="77777777" w:rsidR="00382604" w:rsidRDefault="00F91166">
            <w:pPr>
              <w:jc w:val="center"/>
              <w:rPr>
                <w:rFonts w:ascii="Arial" w:eastAsia="Arial" w:hAnsi="Arial" w:cs="Arial"/>
              </w:rPr>
            </w:pPr>
            <w:r>
              <w:rPr>
                <w:rFonts w:ascii="Arial" w:eastAsia="Arial" w:hAnsi="Arial" w:cs="Arial"/>
                <w:b/>
              </w:rPr>
              <w:t xml:space="preserve">Interpretation </w:t>
            </w:r>
          </w:p>
        </w:tc>
      </w:tr>
      <w:tr w:rsidR="00382604" w14:paraId="67459D96" w14:textId="77777777">
        <w:tc>
          <w:tcPr>
            <w:tcW w:w="2745" w:type="dxa"/>
            <w:gridSpan w:val="2"/>
            <w:tcBorders>
              <w:top w:val="single" w:sz="6" w:space="0" w:color="000000"/>
              <w:left w:val="nil"/>
              <w:bottom w:val="nil"/>
              <w:right w:val="nil"/>
            </w:tcBorders>
            <w:shd w:val="clear" w:color="auto" w:fill="FFFFFF"/>
            <w:vAlign w:val="center"/>
          </w:tcPr>
          <w:p w14:paraId="22A2C55B" w14:textId="77777777" w:rsidR="00382604" w:rsidRDefault="00F91166">
            <w:pPr>
              <w:spacing w:before="240" w:line="480" w:lineRule="auto"/>
              <w:jc w:val="center"/>
              <w:rPr>
                <w:rFonts w:ascii="Arial" w:eastAsia="Arial" w:hAnsi="Arial" w:cs="Arial"/>
              </w:rPr>
            </w:pPr>
            <w:r>
              <w:rPr>
                <w:rFonts w:ascii="Arial" w:eastAsia="Arial" w:hAnsi="Arial" w:cs="Arial"/>
              </w:rPr>
              <w:t>Identity</w:t>
            </w:r>
          </w:p>
        </w:tc>
        <w:tc>
          <w:tcPr>
            <w:tcW w:w="2055" w:type="dxa"/>
            <w:gridSpan w:val="2"/>
            <w:tcBorders>
              <w:top w:val="single" w:sz="6" w:space="0" w:color="000000"/>
              <w:left w:val="nil"/>
              <w:bottom w:val="nil"/>
              <w:right w:val="nil"/>
            </w:tcBorders>
            <w:shd w:val="clear" w:color="auto" w:fill="FFFFFF"/>
            <w:vAlign w:val="center"/>
          </w:tcPr>
          <w:p w14:paraId="5979FADD" w14:textId="77777777" w:rsidR="00382604" w:rsidRDefault="00F91166">
            <w:pPr>
              <w:spacing w:before="240" w:line="480" w:lineRule="auto"/>
              <w:jc w:val="center"/>
              <w:rPr>
                <w:rFonts w:ascii="Arial" w:eastAsia="Arial" w:hAnsi="Arial" w:cs="Arial"/>
              </w:rPr>
            </w:pPr>
            <w:r>
              <w:rPr>
                <w:rFonts w:ascii="Arial" w:eastAsia="Arial" w:hAnsi="Arial" w:cs="Arial"/>
              </w:rPr>
              <w:t>4.11</w:t>
            </w:r>
          </w:p>
        </w:tc>
        <w:tc>
          <w:tcPr>
            <w:tcW w:w="465" w:type="dxa"/>
            <w:tcBorders>
              <w:top w:val="single" w:sz="6" w:space="0" w:color="000000"/>
              <w:left w:val="nil"/>
              <w:bottom w:val="nil"/>
              <w:right w:val="nil"/>
            </w:tcBorders>
            <w:shd w:val="clear" w:color="auto" w:fill="FFFFFF"/>
            <w:vAlign w:val="center"/>
          </w:tcPr>
          <w:p w14:paraId="3799E313" w14:textId="77777777" w:rsidR="00382604" w:rsidRDefault="00F91166">
            <w:pPr>
              <w:spacing w:before="240" w:line="480" w:lineRule="auto"/>
              <w:jc w:val="center"/>
              <w:rPr>
                <w:rFonts w:ascii="Arial" w:eastAsia="Arial" w:hAnsi="Arial" w:cs="Arial"/>
              </w:rPr>
            </w:pPr>
            <w:r>
              <w:rPr>
                <w:rFonts w:ascii="Arial" w:eastAsia="Arial" w:hAnsi="Arial" w:cs="Arial"/>
              </w:rPr>
              <w:t>0.59</w:t>
            </w:r>
          </w:p>
        </w:tc>
        <w:tc>
          <w:tcPr>
            <w:tcW w:w="2925" w:type="dxa"/>
            <w:tcBorders>
              <w:top w:val="single" w:sz="6" w:space="0" w:color="000000"/>
              <w:left w:val="nil"/>
              <w:bottom w:val="nil"/>
              <w:right w:val="nil"/>
            </w:tcBorders>
            <w:shd w:val="clear" w:color="auto" w:fill="FFFFFF"/>
            <w:vAlign w:val="center"/>
          </w:tcPr>
          <w:p w14:paraId="25A9343C" w14:textId="77777777" w:rsidR="00382604" w:rsidRDefault="00F91166">
            <w:pPr>
              <w:spacing w:before="240" w:line="480" w:lineRule="auto"/>
              <w:jc w:val="center"/>
              <w:rPr>
                <w:rFonts w:ascii="Arial" w:eastAsia="Arial" w:hAnsi="Arial" w:cs="Arial"/>
              </w:rPr>
            </w:pPr>
            <w:r>
              <w:rPr>
                <w:rFonts w:ascii="Arial" w:eastAsia="Arial" w:hAnsi="Arial" w:cs="Arial"/>
              </w:rPr>
              <w:t>High</w:t>
            </w:r>
          </w:p>
        </w:tc>
      </w:tr>
      <w:tr w:rsidR="00382604" w14:paraId="32519193" w14:textId="77777777">
        <w:trPr>
          <w:trHeight w:val="264"/>
        </w:trPr>
        <w:tc>
          <w:tcPr>
            <w:tcW w:w="2745" w:type="dxa"/>
            <w:gridSpan w:val="2"/>
            <w:tcBorders>
              <w:top w:val="nil"/>
              <w:left w:val="nil"/>
              <w:bottom w:val="nil"/>
              <w:right w:val="nil"/>
            </w:tcBorders>
            <w:shd w:val="clear" w:color="auto" w:fill="FFFFFF"/>
            <w:vAlign w:val="center"/>
          </w:tcPr>
          <w:p w14:paraId="74BB81BE" w14:textId="77777777" w:rsidR="00382604" w:rsidRDefault="00F91166">
            <w:pPr>
              <w:spacing w:line="480" w:lineRule="auto"/>
              <w:jc w:val="center"/>
              <w:rPr>
                <w:rFonts w:ascii="Arial" w:eastAsia="Arial" w:hAnsi="Arial" w:cs="Arial"/>
              </w:rPr>
            </w:pPr>
            <w:r>
              <w:rPr>
                <w:rFonts w:ascii="Arial" w:eastAsia="Arial" w:hAnsi="Arial" w:cs="Arial"/>
              </w:rPr>
              <w:t>Belonging</w:t>
            </w:r>
          </w:p>
        </w:tc>
        <w:tc>
          <w:tcPr>
            <w:tcW w:w="2055" w:type="dxa"/>
            <w:gridSpan w:val="2"/>
            <w:tcBorders>
              <w:top w:val="nil"/>
              <w:left w:val="nil"/>
              <w:bottom w:val="nil"/>
              <w:right w:val="nil"/>
            </w:tcBorders>
            <w:shd w:val="clear" w:color="auto" w:fill="FFFFFF"/>
            <w:vAlign w:val="center"/>
          </w:tcPr>
          <w:p w14:paraId="586D58B2" w14:textId="77777777" w:rsidR="00382604" w:rsidRDefault="00F91166">
            <w:pPr>
              <w:spacing w:line="480" w:lineRule="auto"/>
              <w:jc w:val="center"/>
              <w:rPr>
                <w:rFonts w:ascii="Arial" w:eastAsia="Arial" w:hAnsi="Arial" w:cs="Arial"/>
              </w:rPr>
            </w:pPr>
            <w:r>
              <w:rPr>
                <w:rFonts w:ascii="Arial" w:eastAsia="Arial" w:hAnsi="Arial" w:cs="Arial"/>
              </w:rPr>
              <w:t>4.06</w:t>
            </w:r>
          </w:p>
        </w:tc>
        <w:tc>
          <w:tcPr>
            <w:tcW w:w="465" w:type="dxa"/>
            <w:tcBorders>
              <w:top w:val="nil"/>
              <w:left w:val="nil"/>
              <w:bottom w:val="nil"/>
              <w:right w:val="nil"/>
            </w:tcBorders>
            <w:shd w:val="clear" w:color="auto" w:fill="FFFFFF"/>
            <w:vAlign w:val="center"/>
          </w:tcPr>
          <w:p w14:paraId="75F09C79" w14:textId="77777777" w:rsidR="00382604" w:rsidRDefault="00F91166">
            <w:pPr>
              <w:spacing w:line="480" w:lineRule="auto"/>
              <w:jc w:val="center"/>
              <w:rPr>
                <w:rFonts w:ascii="Arial" w:eastAsia="Arial" w:hAnsi="Arial" w:cs="Arial"/>
              </w:rPr>
            </w:pPr>
            <w:r>
              <w:rPr>
                <w:rFonts w:ascii="Arial" w:eastAsia="Arial" w:hAnsi="Arial" w:cs="Arial"/>
              </w:rPr>
              <w:t>0.60</w:t>
            </w:r>
          </w:p>
        </w:tc>
        <w:tc>
          <w:tcPr>
            <w:tcW w:w="2925" w:type="dxa"/>
            <w:tcBorders>
              <w:top w:val="nil"/>
              <w:left w:val="nil"/>
              <w:bottom w:val="nil"/>
              <w:right w:val="nil"/>
            </w:tcBorders>
            <w:shd w:val="clear" w:color="auto" w:fill="FFFFFF"/>
            <w:vAlign w:val="center"/>
          </w:tcPr>
          <w:p w14:paraId="2AAFB8CE"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6EC57DEE" w14:textId="77777777">
        <w:trPr>
          <w:trHeight w:val="264"/>
        </w:trPr>
        <w:tc>
          <w:tcPr>
            <w:tcW w:w="2745" w:type="dxa"/>
            <w:gridSpan w:val="2"/>
            <w:tcBorders>
              <w:top w:val="nil"/>
              <w:left w:val="nil"/>
              <w:bottom w:val="nil"/>
              <w:right w:val="nil"/>
            </w:tcBorders>
            <w:shd w:val="clear" w:color="auto" w:fill="FFFFFF"/>
            <w:vAlign w:val="center"/>
          </w:tcPr>
          <w:p w14:paraId="7E4A8CF7" w14:textId="77777777" w:rsidR="00382604" w:rsidRDefault="00F91166">
            <w:pPr>
              <w:spacing w:line="480" w:lineRule="auto"/>
              <w:jc w:val="center"/>
              <w:rPr>
                <w:rFonts w:ascii="Arial" w:eastAsia="Arial" w:hAnsi="Arial" w:cs="Arial"/>
              </w:rPr>
            </w:pPr>
            <w:r>
              <w:rPr>
                <w:rFonts w:ascii="Arial" w:eastAsia="Arial" w:hAnsi="Arial" w:cs="Arial"/>
              </w:rPr>
              <w:t>Purpose</w:t>
            </w:r>
          </w:p>
        </w:tc>
        <w:tc>
          <w:tcPr>
            <w:tcW w:w="2055" w:type="dxa"/>
            <w:gridSpan w:val="2"/>
            <w:tcBorders>
              <w:top w:val="nil"/>
              <w:left w:val="nil"/>
              <w:bottom w:val="nil"/>
              <w:right w:val="nil"/>
            </w:tcBorders>
            <w:shd w:val="clear" w:color="auto" w:fill="FFFFFF"/>
            <w:vAlign w:val="center"/>
          </w:tcPr>
          <w:p w14:paraId="0D0ED466" w14:textId="77777777" w:rsidR="00382604" w:rsidRDefault="00F91166">
            <w:pPr>
              <w:spacing w:line="480" w:lineRule="auto"/>
              <w:jc w:val="center"/>
              <w:rPr>
                <w:rFonts w:ascii="Arial" w:eastAsia="Arial" w:hAnsi="Arial" w:cs="Arial"/>
              </w:rPr>
            </w:pPr>
            <w:r>
              <w:rPr>
                <w:rFonts w:ascii="Arial" w:eastAsia="Arial" w:hAnsi="Arial" w:cs="Arial"/>
              </w:rPr>
              <w:t>4.05</w:t>
            </w:r>
          </w:p>
        </w:tc>
        <w:tc>
          <w:tcPr>
            <w:tcW w:w="465" w:type="dxa"/>
            <w:tcBorders>
              <w:top w:val="nil"/>
              <w:left w:val="nil"/>
              <w:bottom w:val="nil"/>
              <w:right w:val="nil"/>
            </w:tcBorders>
            <w:shd w:val="clear" w:color="auto" w:fill="FFFFFF"/>
            <w:vAlign w:val="center"/>
          </w:tcPr>
          <w:p w14:paraId="0CF6F97E" w14:textId="77777777" w:rsidR="00382604" w:rsidRDefault="00F91166">
            <w:pPr>
              <w:spacing w:line="480" w:lineRule="auto"/>
              <w:jc w:val="center"/>
              <w:rPr>
                <w:rFonts w:ascii="Arial" w:eastAsia="Arial" w:hAnsi="Arial" w:cs="Arial"/>
              </w:rPr>
            </w:pPr>
            <w:r>
              <w:rPr>
                <w:rFonts w:ascii="Arial" w:eastAsia="Arial" w:hAnsi="Arial" w:cs="Arial"/>
              </w:rPr>
              <w:t>0.59</w:t>
            </w:r>
          </w:p>
        </w:tc>
        <w:tc>
          <w:tcPr>
            <w:tcW w:w="2925" w:type="dxa"/>
            <w:tcBorders>
              <w:top w:val="nil"/>
              <w:left w:val="nil"/>
              <w:bottom w:val="nil"/>
              <w:right w:val="nil"/>
            </w:tcBorders>
            <w:shd w:val="clear" w:color="auto" w:fill="FFFFFF"/>
            <w:vAlign w:val="center"/>
          </w:tcPr>
          <w:p w14:paraId="79CDFF3B"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2988D970" w14:textId="77777777">
        <w:trPr>
          <w:trHeight w:val="264"/>
        </w:trPr>
        <w:tc>
          <w:tcPr>
            <w:tcW w:w="2745" w:type="dxa"/>
            <w:gridSpan w:val="2"/>
            <w:tcBorders>
              <w:top w:val="nil"/>
              <w:left w:val="nil"/>
              <w:bottom w:val="single" w:sz="6" w:space="0" w:color="000000"/>
              <w:right w:val="nil"/>
            </w:tcBorders>
            <w:shd w:val="clear" w:color="auto" w:fill="FFFFFF"/>
            <w:vAlign w:val="center"/>
          </w:tcPr>
          <w:p w14:paraId="297D0B46" w14:textId="77777777" w:rsidR="00382604" w:rsidRDefault="00F91166">
            <w:pPr>
              <w:spacing w:line="480" w:lineRule="auto"/>
              <w:jc w:val="center"/>
              <w:rPr>
                <w:rFonts w:ascii="Arial" w:eastAsia="Arial" w:hAnsi="Arial" w:cs="Arial"/>
              </w:rPr>
            </w:pPr>
            <w:r>
              <w:rPr>
                <w:rFonts w:ascii="Arial" w:eastAsia="Arial" w:hAnsi="Arial" w:cs="Arial"/>
              </w:rPr>
              <w:t>Competence</w:t>
            </w:r>
          </w:p>
        </w:tc>
        <w:tc>
          <w:tcPr>
            <w:tcW w:w="2055" w:type="dxa"/>
            <w:gridSpan w:val="2"/>
            <w:tcBorders>
              <w:top w:val="nil"/>
              <w:left w:val="nil"/>
              <w:bottom w:val="single" w:sz="6" w:space="0" w:color="000000"/>
              <w:right w:val="nil"/>
            </w:tcBorders>
            <w:shd w:val="clear" w:color="auto" w:fill="FFFFFF"/>
            <w:vAlign w:val="center"/>
          </w:tcPr>
          <w:p w14:paraId="3D2640FD" w14:textId="77777777" w:rsidR="00382604" w:rsidRDefault="00F91166">
            <w:pPr>
              <w:spacing w:line="480" w:lineRule="auto"/>
              <w:jc w:val="center"/>
              <w:rPr>
                <w:rFonts w:ascii="Arial" w:eastAsia="Arial" w:hAnsi="Arial" w:cs="Arial"/>
              </w:rPr>
            </w:pPr>
            <w:r>
              <w:rPr>
                <w:rFonts w:ascii="Arial" w:eastAsia="Arial" w:hAnsi="Arial" w:cs="Arial"/>
              </w:rPr>
              <w:t>4.05</w:t>
            </w:r>
          </w:p>
        </w:tc>
        <w:tc>
          <w:tcPr>
            <w:tcW w:w="465" w:type="dxa"/>
            <w:tcBorders>
              <w:top w:val="nil"/>
              <w:left w:val="nil"/>
              <w:bottom w:val="single" w:sz="6" w:space="0" w:color="000000"/>
              <w:right w:val="nil"/>
            </w:tcBorders>
            <w:shd w:val="clear" w:color="auto" w:fill="FFFFFF"/>
            <w:vAlign w:val="center"/>
          </w:tcPr>
          <w:p w14:paraId="7F980B77" w14:textId="77777777" w:rsidR="00382604" w:rsidRDefault="00F91166">
            <w:pPr>
              <w:spacing w:line="480" w:lineRule="auto"/>
              <w:jc w:val="center"/>
              <w:rPr>
                <w:rFonts w:ascii="Arial" w:eastAsia="Arial" w:hAnsi="Arial" w:cs="Arial"/>
              </w:rPr>
            </w:pPr>
            <w:r>
              <w:rPr>
                <w:rFonts w:ascii="Arial" w:eastAsia="Arial" w:hAnsi="Arial" w:cs="Arial"/>
              </w:rPr>
              <w:t>0.61</w:t>
            </w:r>
          </w:p>
        </w:tc>
        <w:tc>
          <w:tcPr>
            <w:tcW w:w="2925" w:type="dxa"/>
            <w:tcBorders>
              <w:top w:val="nil"/>
              <w:left w:val="nil"/>
              <w:bottom w:val="single" w:sz="6" w:space="0" w:color="000000"/>
              <w:right w:val="nil"/>
            </w:tcBorders>
            <w:shd w:val="clear" w:color="auto" w:fill="FFFFFF"/>
            <w:vAlign w:val="center"/>
          </w:tcPr>
          <w:p w14:paraId="06FCC11B" w14:textId="77777777" w:rsidR="00382604" w:rsidRDefault="00F91166">
            <w:pPr>
              <w:spacing w:line="480" w:lineRule="auto"/>
              <w:jc w:val="center"/>
              <w:rPr>
                <w:rFonts w:ascii="Arial" w:eastAsia="Arial" w:hAnsi="Arial" w:cs="Arial"/>
              </w:rPr>
            </w:pPr>
            <w:r>
              <w:rPr>
                <w:rFonts w:ascii="Arial" w:eastAsia="Arial" w:hAnsi="Arial" w:cs="Arial"/>
              </w:rPr>
              <w:t>High</w:t>
            </w:r>
          </w:p>
        </w:tc>
      </w:tr>
      <w:tr w:rsidR="00382604" w14:paraId="59B80A70"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020A731C" w14:textId="77777777" w:rsidR="00382604" w:rsidRDefault="00382604">
            <w:pPr>
              <w:spacing w:line="480" w:lineRule="auto"/>
              <w:jc w:val="center"/>
              <w:rPr>
                <w:rFonts w:ascii="Arial" w:eastAsia="Arial" w:hAnsi="Arial" w:cs="Arial"/>
              </w:rPr>
            </w:pPr>
          </w:p>
        </w:tc>
        <w:tc>
          <w:tcPr>
            <w:tcW w:w="4440" w:type="dxa"/>
            <w:gridSpan w:val="3"/>
            <w:tcBorders>
              <w:top w:val="single" w:sz="6" w:space="0" w:color="000000"/>
              <w:left w:val="nil"/>
              <w:bottom w:val="single" w:sz="4" w:space="0" w:color="000000"/>
              <w:right w:val="nil"/>
            </w:tcBorders>
            <w:shd w:val="clear" w:color="auto" w:fill="FFFFFF"/>
            <w:vAlign w:val="center"/>
          </w:tcPr>
          <w:p w14:paraId="65EEAF58" w14:textId="77777777" w:rsidR="00382604" w:rsidRDefault="00F91166">
            <w:pPr>
              <w:rPr>
                <w:rFonts w:ascii="Arial" w:eastAsia="Arial" w:hAnsi="Arial" w:cs="Arial"/>
              </w:rPr>
            </w:pPr>
            <w:r>
              <w:rPr>
                <w:rFonts w:ascii="Arial" w:eastAsia="Arial" w:hAnsi="Arial" w:cs="Arial"/>
                <w:b/>
              </w:rPr>
              <w:t>Total</w:t>
            </w:r>
          </w:p>
        </w:tc>
        <w:tc>
          <w:tcPr>
            <w:tcW w:w="465" w:type="dxa"/>
            <w:tcBorders>
              <w:top w:val="single" w:sz="6" w:space="0" w:color="000000"/>
              <w:left w:val="nil"/>
              <w:bottom w:val="single" w:sz="4" w:space="0" w:color="000000"/>
              <w:right w:val="nil"/>
            </w:tcBorders>
            <w:shd w:val="clear" w:color="auto" w:fill="FFFFFF"/>
            <w:vAlign w:val="center"/>
          </w:tcPr>
          <w:p w14:paraId="10C9A954" w14:textId="77777777" w:rsidR="00382604" w:rsidRDefault="00382604">
            <w:pPr>
              <w:jc w:val="center"/>
              <w:rPr>
                <w:rFonts w:ascii="Arial" w:eastAsia="Arial" w:hAnsi="Arial" w:cs="Arial"/>
              </w:rPr>
            </w:pPr>
          </w:p>
        </w:tc>
        <w:tc>
          <w:tcPr>
            <w:tcW w:w="2925" w:type="dxa"/>
            <w:tcBorders>
              <w:top w:val="single" w:sz="6" w:space="0" w:color="000000"/>
              <w:left w:val="nil"/>
              <w:bottom w:val="single" w:sz="4" w:space="0" w:color="000000"/>
              <w:right w:val="nil"/>
            </w:tcBorders>
            <w:shd w:val="clear" w:color="auto" w:fill="FFFFFF"/>
            <w:vAlign w:val="center"/>
          </w:tcPr>
          <w:p w14:paraId="2371A447" w14:textId="77777777" w:rsidR="00382604" w:rsidRDefault="00382604">
            <w:pPr>
              <w:jc w:val="center"/>
              <w:rPr>
                <w:rFonts w:ascii="Arial" w:eastAsia="Arial" w:hAnsi="Arial" w:cs="Arial"/>
              </w:rPr>
            </w:pPr>
          </w:p>
        </w:tc>
      </w:tr>
      <w:tr w:rsidR="00382604" w14:paraId="27A21E89" w14:textId="77777777">
        <w:trPr>
          <w:trHeight w:val="344"/>
        </w:trPr>
        <w:tc>
          <w:tcPr>
            <w:tcW w:w="360" w:type="dxa"/>
            <w:tcBorders>
              <w:top w:val="single" w:sz="4" w:space="0" w:color="000000"/>
              <w:left w:val="nil"/>
              <w:bottom w:val="nil"/>
              <w:right w:val="nil"/>
            </w:tcBorders>
            <w:shd w:val="clear" w:color="auto" w:fill="FFFFFF"/>
            <w:vAlign w:val="center"/>
          </w:tcPr>
          <w:p w14:paraId="047551F1" w14:textId="77777777" w:rsidR="00382604" w:rsidRDefault="00382604">
            <w:pPr>
              <w:spacing w:before="240" w:line="480" w:lineRule="auto"/>
              <w:rPr>
                <w:rFonts w:ascii="Arial" w:eastAsia="Arial" w:hAnsi="Arial" w:cs="Arial"/>
              </w:rPr>
            </w:pPr>
          </w:p>
        </w:tc>
        <w:tc>
          <w:tcPr>
            <w:tcW w:w="2925" w:type="dxa"/>
            <w:gridSpan w:val="2"/>
            <w:tcBorders>
              <w:top w:val="single" w:sz="4" w:space="0" w:color="000000"/>
              <w:left w:val="nil"/>
              <w:bottom w:val="nil"/>
              <w:right w:val="nil"/>
            </w:tcBorders>
            <w:shd w:val="clear" w:color="auto" w:fill="auto"/>
            <w:vAlign w:val="center"/>
          </w:tcPr>
          <w:p w14:paraId="23D54991" w14:textId="77777777" w:rsidR="00382604" w:rsidRDefault="00F91166">
            <w:pPr>
              <w:spacing w:before="240" w:line="480" w:lineRule="auto"/>
              <w:rPr>
                <w:rFonts w:ascii="Arial" w:eastAsia="Arial" w:hAnsi="Arial" w:cs="Arial"/>
              </w:rPr>
            </w:pPr>
            <w:r>
              <w:rPr>
                <w:rFonts w:ascii="Arial" w:eastAsia="Arial" w:hAnsi="Arial" w:cs="Arial"/>
                <w:b/>
              </w:rPr>
              <w:t>Overall Mean</w:t>
            </w:r>
          </w:p>
        </w:tc>
        <w:tc>
          <w:tcPr>
            <w:tcW w:w="4905" w:type="dxa"/>
            <w:gridSpan w:val="3"/>
            <w:tcBorders>
              <w:top w:val="single" w:sz="4" w:space="0" w:color="000000"/>
              <w:left w:val="nil"/>
              <w:bottom w:val="nil"/>
              <w:right w:val="nil"/>
            </w:tcBorders>
            <w:shd w:val="clear" w:color="auto" w:fill="auto"/>
            <w:vAlign w:val="center"/>
          </w:tcPr>
          <w:p w14:paraId="4874104C" w14:textId="77777777" w:rsidR="00382604" w:rsidRDefault="00F91166">
            <w:pPr>
              <w:spacing w:before="240" w:line="480" w:lineRule="auto"/>
              <w:rPr>
                <w:rFonts w:ascii="Arial" w:eastAsia="Arial" w:hAnsi="Arial" w:cs="Arial"/>
                <w:b/>
              </w:rPr>
            </w:pPr>
            <w:r>
              <w:rPr>
                <w:rFonts w:ascii="Arial" w:eastAsia="Arial" w:hAnsi="Arial" w:cs="Arial"/>
                <w:b/>
              </w:rPr>
              <w:t>4.06</w:t>
            </w:r>
          </w:p>
        </w:tc>
      </w:tr>
      <w:tr w:rsidR="00382604" w14:paraId="462A5EB7" w14:textId="77777777">
        <w:tc>
          <w:tcPr>
            <w:tcW w:w="360" w:type="dxa"/>
            <w:tcBorders>
              <w:top w:val="nil"/>
              <w:left w:val="nil"/>
              <w:bottom w:val="nil"/>
              <w:right w:val="nil"/>
            </w:tcBorders>
            <w:shd w:val="clear" w:color="auto" w:fill="FFFFFF"/>
            <w:vAlign w:val="center"/>
          </w:tcPr>
          <w:p w14:paraId="117A28F7" w14:textId="77777777" w:rsidR="00382604" w:rsidRDefault="00382604">
            <w:pPr>
              <w:spacing w:line="480" w:lineRule="auto"/>
              <w:rPr>
                <w:rFonts w:ascii="Arial" w:eastAsia="Arial" w:hAnsi="Arial" w:cs="Arial"/>
              </w:rPr>
            </w:pPr>
          </w:p>
        </w:tc>
        <w:tc>
          <w:tcPr>
            <w:tcW w:w="2925" w:type="dxa"/>
            <w:gridSpan w:val="2"/>
            <w:tcBorders>
              <w:top w:val="nil"/>
              <w:left w:val="nil"/>
              <w:bottom w:val="nil"/>
              <w:right w:val="nil"/>
            </w:tcBorders>
            <w:shd w:val="clear" w:color="auto" w:fill="auto"/>
            <w:vAlign w:val="center"/>
          </w:tcPr>
          <w:p w14:paraId="1682523E"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4905" w:type="dxa"/>
            <w:gridSpan w:val="3"/>
            <w:tcBorders>
              <w:top w:val="nil"/>
              <w:left w:val="nil"/>
              <w:bottom w:val="nil"/>
              <w:right w:val="nil"/>
            </w:tcBorders>
            <w:shd w:val="clear" w:color="auto" w:fill="auto"/>
            <w:vAlign w:val="center"/>
          </w:tcPr>
          <w:p w14:paraId="2099C514" w14:textId="77777777" w:rsidR="00382604" w:rsidRDefault="00F91166">
            <w:pPr>
              <w:spacing w:line="480" w:lineRule="auto"/>
              <w:rPr>
                <w:rFonts w:ascii="Arial" w:eastAsia="Arial" w:hAnsi="Arial" w:cs="Arial"/>
                <w:b/>
              </w:rPr>
            </w:pPr>
            <w:r>
              <w:rPr>
                <w:rFonts w:ascii="Arial" w:eastAsia="Arial" w:hAnsi="Arial" w:cs="Arial"/>
                <w:b/>
              </w:rPr>
              <w:t>High</w:t>
            </w:r>
          </w:p>
        </w:tc>
      </w:tr>
      <w:tr w:rsidR="00382604" w14:paraId="6305EBA7" w14:textId="77777777">
        <w:tc>
          <w:tcPr>
            <w:tcW w:w="360" w:type="dxa"/>
            <w:tcBorders>
              <w:top w:val="nil"/>
              <w:left w:val="nil"/>
              <w:bottom w:val="single" w:sz="6" w:space="0" w:color="000000"/>
              <w:right w:val="nil"/>
            </w:tcBorders>
            <w:shd w:val="clear" w:color="auto" w:fill="FFFFFF"/>
            <w:vAlign w:val="center"/>
          </w:tcPr>
          <w:p w14:paraId="62807323" w14:textId="77777777" w:rsidR="00382604" w:rsidRDefault="00382604">
            <w:pPr>
              <w:spacing w:line="480" w:lineRule="auto"/>
              <w:rPr>
                <w:rFonts w:ascii="Arial" w:eastAsia="Arial" w:hAnsi="Arial" w:cs="Arial"/>
              </w:rPr>
            </w:pPr>
          </w:p>
        </w:tc>
        <w:tc>
          <w:tcPr>
            <w:tcW w:w="2925" w:type="dxa"/>
            <w:gridSpan w:val="2"/>
            <w:tcBorders>
              <w:top w:val="nil"/>
              <w:left w:val="nil"/>
              <w:bottom w:val="single" w:sz="6" w:space="0" w:color="000000"/>
              <w:right w:val="nil"/>
            </w:tcBorders>
            <w:shd w:val="clear" w:color="auto" w:fill="auto"/>
            <w:vAlign w:val="center"/>
          </w:tcPr>
          <w:p w14:paraId="74CDEBB0" w14:textId="77777777" w:rsidR="00382604" w:rsidRDefault="00F91166">
            <w:pPr>
              <w:spacing w:line="480" w:lineRule="auto"/>
              <w:rPr>
                <w:rFonts w:ascii="Arial" w:eastAsia="Arial" w:hAnsi="Arial" w:cs="Arial"/>
              </w:rPr>
            </w:pPr>
            <w:r>
              <w:rPr>
                <w:rFonts w:ascii="Arial" w:eastAsia="Arial" w:hAnsi="Arial" w:cs="Arial"/>
                <w:b/>
              </w:rPr>
              <w:t>SD</w:t>
            </w:r>
          </w:p>
        </w:tc>
        <w:tc>
          <w:tcPr>
            <w:tcW w:w="4905" w:type="dxa"/>
            <w:gridSpan w:val="3"/>
            <w:tcBorders>
              <w:top w:val="nil"/>
              <w:left w:val="nil"/>
              <w:bottom w:val="single" w:sz="6" w:space="0" w:color="000000"/>
              <w:right w:val="nil"/>
            </w:tcBorders>
            <w:shd w:val="clear" w:color="auto" w:fill="auto"/>
            <w:vAlign w:val="center"/>
          </w:tcPr>
          <w:p w14:paraId="1AD7C74F" w14:textId="77777777" w:rsidR="00382604" w:rsidRDefault="00F91166">
            <w:pPr>
              <w:spacing w:line="480" w:lineRule="auto"/>
              <w:rPr>
                <w:rFonts w:ascii="Arial" w:eastAsia="Arial" w:hAnsi="Arial" w:cs="Arial"/>
                <w:b/>
              </w:rPr>
            </w:pPr>
            <w:r>
              <w:rPr>
                <w:rFonts w:ascii="Arial" w:eastAsia="Arial" w:hAnsi="Arial" w:cs="Arial"/>
                <w:b/>
              </w:rPr>
              <w:t>0.03</w:t>
            </w:r>
          </w:p>
        </w:tc>
      </w:tr>
    </w:tbl>
    <w:p w14:paraId="752E4A38"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*Summary of Junior High School Students’ level of self-esteem in terms of Identity, Belonging, Purpose, and Competence</w:t>
      </w:r>
    </w:p>
    <w:p w14:paraId="0BE23D69" w14:textId="77777777" w:rsidR="00382604" w:rsidRDefault="00382604">
      <w:pPr>
        <w:jc w:val="both"/>
        <w:rPr>
          <w:rFonts w:ascii="Arial" w:eastAsia="Arial" w:hAnsi="Arial" w:cs="Arial"/>
          <w:i/>
          <w:color w:val="000000"/>
          <w:vertAlign w:val="subscript"/>
        </w:rPr>
      </w:pPr>
    </w:p>
    <w:p w14:paraId="015A8A63" w14:textId="77777777" w:rsidR="00382604" w:rsidRDefault="00F91166">
      <w:pPr>
        <w:jc w:val="both"/>
        <w:rPr>
          <w:rFonts w:ascii="Arial" w:eastAsia="Arial" w:hAnsi="Arial" w:cs="Arial"/>
          <w:color w:val="000000"/>
        </w:rPr>
      </w:pPr>
      <w:r>
        <w:rPr>
          <w:rFonts w:ascii="Arial" w:eastAsia="Arial" w:hAnsi="Arial" w:cs="Arial"/>
          <w:color w:val="000000"/>
        </w:rPr>
        <w:t xml:space="preserve">Table 8 presents the summary of self-esteem levels among junior high school students based on the four key dimensions: Identity, Belonging, Purpose, and Competence. The overall self-esteem level is categorized as "High," with an overall mean of 4.06. The highest score was observed in the Identity dimension </w:t>
      </w:r>
      <w:r>
        <w:rPr>
          <w:rFonts w:ascii="Arial" w:eastAsia="Arial" w:hAnsi="Arial" w:cs="Arial"/>
          <w:i/>
          <w:color w:val="000000"/>
        </w:rPr>
        <w:t>(M = 4.11)</w:t>
      </w:r>
      <w:r>
        <w:rPr>
          <w:rFonts w:ascii="Arial" w:eastAsia="Arial" w:hAnsi="Arial" w:cs="Arial"/>
          <w:color w:val="000000"/>
        </w:rPr>
        <w:t xml:space="preserve">, followed by Belonging </w:t>
      </w:r>
      <w:r>
        <w:rPr>
          <w:rFonts w:ascii="Arial" w:eastAsia="Arial" w:hAnsi="Arial" w:cs="Arial"/>
          <w:i/>
          <w:color w:val="000000"/>
        </w:rPr>
        <w:t>(M = 4.06)</w:t>
      </w:r>
      <w:r>
        <w:rPr>
          <w:rFonts w:ascii="Arial" w:eastAsia="Arial" w:hAnsi="Arial" w:cs="Arial"/>
          <w:color w:val="000000"/>
        </w:rPr>
        <w:t xml:space="preserve">, Purpose </w:t>
      </w:r>
      <w:r>
        <w:rPr>
          <w:rFonts w:ascii="Arial" w:eastAsia="Arial" w:hAnsi="Arial" w:cs="Arial"/>
          <w:i/>
          <w:color w:val="000000"/>
        </w:rPr>
        <w:t>(M = 4.05)</w:t>
      </w:r>
      <w:r>
        <w:rPr>
          <w:rFonts w:ascii="Arial" w:eastAsia="Arial" w:hAnsi="Arial" w:cs="Arial"/>
          <w:color w:val="000000"/>
        </w:rPr>
        <w:t xml:space="preserve">, and Competence </w:t>
      </w:r>
      <w:r>
        <w:rPr>
          <w:rFonts w:ascii="Arial" w:eastAsia="Arial" w:hAnsi="Arial" w:cs="Arial"/>
          <w:i/>
          <w:color w:val="000000"/>
        </w:rPr>
        <w:t>(M = 4.05)</w:t>
      </w:r>
      <w:r>
        <w:rPr>
          <w:rFonts w:ascii="Arial" w:eastAsia="Arial" w:hAnsi="Arial" w:cs="Arial"/>
          <w:color w:val="000000"/>
        </w:rPr>
        <w:t>. These results indicate that students possess strong self-esteem across all dimensions, with their identity being the most prominent factor.</w:t>
      </w:r>
    </w:p>
    <w:p w14:paraId="097BB602" w14:textId="77777777" w:rsidR="00382604" w:rsidRDefault="00382604">
      <w:pPr>
        <w:jc w:val="both"/>
        <w:rPr>
          <w:rFonts w:ascii="Arial" w:eastAsia="Arial" w:hAnsi="Arial" w:cs="Arial"/>
          <w:color w:val="000000"/>
        </w:rPr>
      </w:pPr>
    </w:p>
    <w:p w14:paraId="6A022D7D" w14:textId="77777777" w:rsidR="00382604" w:rsidRDefault="00F91166">
      <w:pPr>
        <w:jc w:val="both"/>
        <w:rPr>
          <w:rFonts w:ascii="Arial" w:eastAsia="Arial" w:hAnsi="Arial" w:cs="Arial"/>
          <w:color w:val="000000"/>
        </w:rPr>
      </w:pPr>
      <w:r>
        <w:rPr>
          <w:rFonts w:ascii="Arial" w:eastAsia="Arial" w:hAnsi="Arial" w:cs="Arial"/>
          <w:color w:val="000000"/>
        </w:rPr>
        <w:t>The highest rating for Identity suggests that students strongly associate their Filipino language proficiency with their sense of self. This supports the idea that language learning plays a crucial role in shaping identity, particularly among adolescents (Norton, 2013). Additionally, the results imply that Belonging, Purpose, and Competence are also significantly reinforced by students' Filipino language proficiency, contributing to their overall self-esteem.</w:t>
      </w:r>
    </w:p>
    <w:p w14:paraId="7097F3AE" w14:textId="77777777" w:rsidR="00382604" w:rsidRDefault="00382604">
      <w:pPr>
        <w:jc w:val="both"/>
        <w:rPr>
          <w:rFonts w:ascii="Arial" w:eastAsia="Arial" w:hAnsi="Arial" w:cs="Arial"/>
          <w:color w:val="000000"/>
        </w:rPr>
      </w:pPr>
    </w:p>
    <w:p w14:paraId="106C4583" w14:textId="77777777" w:rsidR="00382604" w:rsidRDefault="00F91166">
      <w:pPr>
        <w:jc w:val="both"/>
        <w:rPr>
          <w:rFonts w:ascii="Arial" w:eastAsia="Arial" w:hAnsi="Arial" w:cs="Arial"/>
          <w:i/>
          <w:color w:val="000000"/>
          <w:vertAlign w:val="subscript"/>
        </w:rPr>
      </w:pPr>
      <w:r>
        <w:rPr>
          <w:rFonts w:ascii="Arial" w:eastAsia="Arial" w:hAnsi="Arial" w:cs="Arial"/>
          <w:color w:val="000000"/>
        </w:rPr>
        <w:t>These findings align with studies emphasizing the critical impact of identity, belonging, purpose, and competence on adolescents' self-esteem, particularly during the transition to junior high school (</w:t>
      </w:r>
      <w:proofErr w:type="spellStart"/>
      <w:r>
        <w:rPr>
          <w:rFonts w:ascii="Arial" w:eastAsia="Arial" w:hAnsi="Arial" w:cs="Arial"/>
          <w:color w:val="000000"/>
        </w:rPr>
        <w:t>Setyadi</w:t>
      </w:r>
      <w:proofErr w:type="spellEnd"/>
      <w:r>
        <w:rPr>
          <w:rFonts w:ascii="Arial" w:eastAsia="Arial" w:hAnsi="Arial" w:cs="Arial"/>
          <w:color w:val="000000"/>
        </w:rPr>
        <w:t>, 2024). Moreover, the results reinforce the idea that a strong sense of cultural identity and belonging enhances self-esteem, further highlighting the role of Filipino language proficiency in shaping students’ self-concept and motivation (</w:t>
      </w:r>
      <w:proofErr w:type="spellStart"/>
      <w:r>
        <w:rPr>
          <w:rFonts w:ascii="Arial" w:eastAsia="Arial" w:hAnsi="Arial" w:cs="Arial"/>
          <w:color w:val="000000"/>
        </w:rPr>
        <w:t>Abdulhamed</w:t>
      </w:r>
      <w:proofErr w:type="spellEnd"/>
      <w:r>
        <w:rPr>
          <w:rFonts w:ascii="Arial" w:eastAsia="Arial" w:hAnsi="Arial" w:cs="Arial"/>
          <w:color w:val="000000"/>
        </w:rPr>
        <w:t xml:space="preserve"> and </w:t>
      </w:r>
      <w:proofErr w:type="spellStart"/>
      <w:r>
        <w:rPr>
          <w:rFonts w:ascii="Arial" w:eastAsia="Arial" w:hAnsi="Arial" w:cs="Arial"/>
          <w:color w:val="000000"/>
        </w:rPr>
        <w:t>Lonka</w:t>
      </w:r>
      <w:proofErr w:type="spellEnd"/>
      <w:r>
        <w:rPr>
          <w:rFonts w:ascii="Arial" w:eastAsia="Arial" w:hAnsi="Arial" w:cs="Arial"/>
          <w:color w:val="000000"/>
        </w:rPr>
        <w:t>, 2024).</w:t>
      </w:r>
    </w:p>
    <w:p w14:paraId="24B36A43" w14:textId="77777777" w:rsidR="00382604" w:rsidRDefault="00382604">
      <w:pPr>
        <w:keepNext/>
        <w:jc w:val="both"/>
        <w:rPr>
          <w:rFonts w:ascii="Arial" w:eastAsia="Arial" w:hAnsi="Arial" w:cs="Arial"/>
          <w:b/>
          <w:smallCaps/>
          <w:color w:val="000000"/>
          <w:sz w:val="22"/>
          <w:szCs w:val="22"/>
        </w:rPr>
      </w:pPr>
    </w:p>
    <w:p w14:paraId="1200649C"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3.5 </w:t>
      </w:r>
      <w:r>
        <w:rPr>
          <w:rFonts w:ascii="Arial" w:eastAsia="Arial" w:hAnsi="Arial" w:cs="Arial"/>
          <w:b/>
          <w:color w:val="000000"/>
          <w:sz w:val="22"/>
          <w:szCs w:val="22"/>
        </w:rPr>
        <w:t>Junior High School Students’ level of Filipino Language Proficiency</w:t>
      </w:r>
    </w:p>
    <w:p w14:paraId="3420671A" w14:textId="77777777" w:rsidR="00382604" w:rsidRDefault="00382604">
      <w:pPr>
        <w:jc w:val="both"/>
        <w:rPr>
          <w:rFonts w:ascii="Arial" w:eastAsia="Arial" w:hAnsi="Arial" w:cs="Arial"/>
          <w:b/>
          <w:color w:val="000000"/>
          <w:sz w:val="22"/>
          <w:szCs w:val="22"/>
        </w:rPr>
      </w:pPr>
    </w:p>
    <w:p w14:paraId="5A200D49" w14:textId="77777777" w:rsidR="00382604" w:rsidRDefault="00F91166">
      <w:pPr>
        <w:keepNext/>
        <w:jc w:val="both"/>
        <w:rPr>
          <w:rFonts w:ascii="Arial" w:eastAsia="Arial" w:hAnsi="Arial" w:cs="Arial"/>
          <w:b/>
          <w:color w:val="000000"/>
        </w:rPr>
      </w:pPr>
      <w:r>
        <w:rPr>
          <w:rFonts w:ascii="Arial" w:eastAsia="Arial" w:hAnsi="Arial" w:cs="Arial"/>
          <w:b/>
          <w:color w:val="000000"/>
        </w:rPr>
        <w:t>Table 9. Range, Interpretation, Frequency, and Percentage of the Extent of the Junior High School Students Level of Filipino Language Proficiency (</w:t>
      </w:r>
      <w:proofErr w:type="spellStart"/>
      <w:r>
        <w:rPr>
          <w:rFonts w:ascii="Arial" w:eastAsia="Arial" w:hAnsi="Arial" w:cs="Arial"/>
          <w:b/>
          <w:color w:val="000000"/>
        </w:rPr>
        <w:t>Nilalaman</w:t>
      </w:r>
      <w:proofErr w:type="spellEnd"/>
      <w:r>
        <w:rPr>
          <w:rFonts w:ascii="Arial" w:eastAsia="Arial" w:hAnsi="Arial" w:cs="Arial"/>
          <w:b/>
          <w:color w:val="000000"/>
        </w:rPr>
        <w:t>)</w:t>
      </w:r>
    </w:p>
    <w:tbl>
      <w:tblPr>
        <w:tblStyle w:val="Style82"/>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1995"/>
        <w:gridCol w:w="925"/>
        <w:gridCol w:w="965"/>
        <w:gridCol w:w="1800"/>
        <w:gridCol w:w="2145"/>
      </w:tblGrid>
      <w:tr w:rsidR="00382604" w14:paraId="403791CB"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1AAA963E"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1D529182"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03A4D88F"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66149F7E" w14:textId="77777777" w:rsidR="00382604" w:rsidRDefault="00F91166">
            <w:pPr>
              <w:jc w:val="center"/>
              <w:rPr>
                <w:rFonts w:ascii="Arial" w:eastAsia="Arial" w:hAnsi="Arial" w:cs="Arial"/>
                <w:b/>
              </w:rPr>
            </w:pPr>
            <w:r>
              <w:rPr>
                <w:rFonts w:ascii="Arial" w:eastAsia="Arial" w:hAnsi="Arial" w:cs="Arial"/>
                <w:b/>
              </w:rPr>
              <w:t>Percentage</w:t>
            </w:r>
          </w:p>
        </w:tc>
      </w:tr>
      <w:tr w:rsidR="00382604" w14:paraId="63B06079" w14:textId="77777777">
        <w:tc>
          <w:tcPr>
            <w:tcW w:w="2355" w:type="dxa"/>
            <w:gridSpan w:val="2"/>
            <w:tcBorders>
              <w:top w:val="single" w:sz="6" w:space="0" w:color="000000"/>
              <w:left w:val="nil"/>
              <w:bottom w:val="nil"/>
              <w:right w:val="nil"/>
            </w:tcBorders>
            <w:shd w:val="clear" w:color="auto" w:fill="FFFFFF"/>
            <w:vAlign w:val="center"/>
          </w:tcPr>
          <w:p w14:paraId="2EE0FD9A" w14:textId="77777777" w:rsidR="00382604" w:rsidRDefault="00F91166">
            <w:pPr>
              <w:spacing w:before="240" w:line="480" w:lineRule="auto"/>
              <w:jc w:val="center"/>
              <w:rPr>
                <w:rFonts w:ascii="Arial" w:eastAsia="Arial" w:hAnsi="Arial" w:cs="Arial"/>
              </w:rPr>
            </w:pPr>
            <w:r>
              <w:rPr>
                <w:rFonts w:ascii="Arial" w:eastAsia="Arial" w:hAnsi="Arial" w:cs="Arial"/>
              </w:rPr>
              <w:lastRenderedPageBreak/>
              <w:t>4.21-5.00</w:t>
            </w:r>
          </w:p>
        </w:tc>
        <w:tc>
          <w:tcPr>
            <w:tcW w:w="1890" w:type="dxa"/>
            <w:gridSpan w:val="2"/>
            <w:tcBorders>
              <w:top w:val="single" w:sz="6" w:space="0" w:color="000000"/>
              <w:left w:val="nil"/>
              <w:bottom w:val="nil"/>
              <w:right w:val="nil"/>
            </w:tcBorders>
            <w:shd w:val="clear" w:color="auto" w:fill="FFFFFF"/>
            <w:vAlign w:val="center"/>
          </w:tcPr>
          <w:p w14:paraId="086DC328"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75E49092" w14:textId="77777777" w:rsidR="00382604" w:rsidRDefault="00F91166">
            <w:pPr>
              <w:spacing w:before="240" w:line="480" w:lineRule="auto"/>
              <w:jc w:val="center"/>
              <w:rPr>
                <w:rFonts w:ascii="Arial" w:eastAsia="Arial" w:hAnsi="Arial" w:cs="Arial"/>
              </w:rPr>
            </w:pPr>
            <w:r>
              <w:rPr>
                <w:rFonts w:ascii="Arial" w:eastAsia="Arial" w:hAnsi="Arial" w:cs="Arial"/>
              </w:rPr>
              <w:t>32</w:t>
            </w:r>
          </w:p>
        </w:tc>
        <w:tc>
          <w:tcPr>
            <w:tcW w:w="2145" w:type="dxa"/>
            <w:tcBorders>
              <w:top w:val="single" w:sz="6" w:space="0" w:color="000000"/>
              <w:left w:val="nil"/>
              <w:bottom w:val="nil"/>
              <w:right w:val="nil"/>
            </w:tcBorders>
            <w:shd w:val="clear" w:color="auto" w:fill="FFFFFF"/>
            <w:vAlign w:val="center"/>
          </w:tcPr>
          <w:p w14:paraId="5C8B3656" w14:textId="77777777" w:rsidR="00382604" w:rsidRDefault="00F91166">
            <w:pPr>
              <w:spacing w:before="240" w:line="480" w:lineRule="auto"/>
              <w:jc w:val="center"/>
              <w:rPr>
                <w:rFonts w:ascii="Arial" w:eastAsia="Arial" w:hAnsi="Arial" w:cs="Arial"/>
              </w:rPr>
            </w:pPr>
            <w:r>
              <w:rPr>
                <w:rFonts w:ascii="Arial" w:eastAsia="Arial" w:hAnsi="Arial" w:cs="Arial"/>
              </w:rPr>
              <w:t>15.02</w:t>
            </w:r>
          </w:p>
        </w:tc>
      </w:tr>
      <w:tr w:rsidR="00382604" w14:paraId="4645C0DC" w14:textId="77777777">
        <w:trPr>
          <w:trHeight w:val="264"/>
        </w:trPr>
        <w:tc>
          <w:tcPr>
            <w:tcW w:w="2355" w:type="dxa"/>
            <w:gridSpan w:val="2"/>
            <w:tcBorders>
              <w:top w:val="nil"/>
              <w:left w:val="nil"/>
              <w:bottom w:val="nil"/>
              <w:right w:val="nil"/>
            </w:tcBorders>
            <w:shd w:val="clear" w:color="auto" w:fill="FFFFFF"/>
            <w:vAlign w:val="center"/>
          </w:tcPr>
          <w:p w14:paraId="0071FCFE" w14:textId="77777777" w:rsidR="00382604" w:rsidRDefault="00F91166">
            <w:pPr>
              <w:spacing w:line="480" w:lineRule="auto"/>
              <w:jc w:val="center"/>
              <w:rPr>
                <w:rFonts w:ascii="Arial" w:eastAsia="Arial" w:hAnsi="Arial" w:cs="Arial"/>
              </w:rPr>
            </w:pPr>
            <w:r>
              <w:rPr>
                <w:rFonts w:ascii="Arial" w:eastAsia="Arial" w:hAnsi="Arial" w:cs="Arial"/>
              </w:rPr>
              <w:t>3.41-4.20</w:t>
            </w:r>
          </w:p>
        </w:tc>
        <w:tc>
          <w:tcPr>
            <w:tcW w:w="1890" w:type="dxa"/>
            <w:gridSpan w:val="2"/>
            <w:tcBorders>
              <w:top w:val="nil"/>
              <w:left w:val="nil"/>
              <w:bottom w:val="nil"/>
              <w:right w:val="nil"/>
            </w:tcBorders>
            <w:shd w:val="clear" w:color="auto" w:fill="FFFFFF"/>
            <w:vAlign w:val="center"/>
          </w:tcPr>
          <w:p w14:paraId="3003597E"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0B8CF99D" w14:textId="77777777" w:rsidR="00382604" w:rsidRDefault="00F91166">
            <w:pPr>
              <w:spacing w:line="480" w:lineRule="auto"/>
              <w:jc w:val="center"/>
              <w:rPr>
                <w:rFonts w:ascii="Arial" w:eastAsia="Arial" w:hAnsi="Arial" w:cs="Arial"/>
              </w:rPr>
            </w:pPr>
            <w:r>
              <w:rPr>
                <w:rFonts w:ascii="Arial" w:eastAsia="Arial" w:hAnsi="Arial" w:cs="Arial"/>
              </w:rPr>
              <w:t>38</w:t>
            </w:r>
          </w:p>
        </w:tc>
        <w:tc>
          <w:tcPr>
            <w:tcW w:w="2145" w:type="dxa"/>
            <w:tcBorders>
              <w:top w:val="nil"/>
              <w:left w:val="nil"/>
              <w:bottom w:val="nil"/>
              <w:right w:val="nil"/>
            </w:tcBorders>
            <w:shd w:val="clear" w:color="auto" w:fill="FFFFFF"/>
            <w:vAlign w:val="center"/>
          </w:tcPr>
          <w:p w14:paraId="3A50BBEA" w14:textId="77777777" w:rsidR="00382604" w:rsidRDefault="00F91166">
            <w:pPr>
              <w:spacing w:line="480" w:lineRule="auto"/>
              <w:jc w:val="center"/>
              <w:rPr>
                <w:rFonts w:ascii="Arial" w:eastAsia="Arial" w:hAnsi="Arial" w:cs="Arial"/>
              </w:rPr>
            </w:pPr>
            <w:r>
              <w:rPr>
                <w:rFonts w:ascii="Arial" w:eastAsia="Arial" w:hAnsi="Arial" w:cs="Arial"/>
              </w:rPr>
              <w:t>17.84</w:t>
            </w:r>
          </w:p>
        </w:tc>
      </w:tr>
      <w:tr w:rsidR="00382604" w14:paraId="7C3DD3CE" w14:textId="77777777">
        <w:trPr>
          <w:trHeight w:val="264"/>
        </w:trPr>
        <w:tc>
          <w:tcPr>
            <w:tcW w:w="2355" w:type="dxa"/>
            <w:gridSpan w:val="2"/>
            <w:tcBorders>
              <w:top w:val="nil"/>
              <w:left w:val="nil"/>
              <w:bottom w:val="nil"/>
              <w:right w:val="nil"/>
            </w:tcBorders>
            <w:shd w:val="clear" w:color="auto" w:fill="FFFFFF"/>
            <w:vAlign w:val="center"/>
          </w:tcPr>
          <w:p w14:paraId="7D048698" w14:textId="77777777" w:rsidR="00382604" w:rsidRDefault="00F91166">
            <w:pPr>
              <w:spacing w:line="480" w:lineRule="auto"/>
              <w:jc w:val="center"/>
              <w:rPr>
                <w:rFonts w:ascii="Arial" w:eastAsia="Arial" w:hAnsi="Arial" w:cs="Arial"/>
              </w:rPr>
            </w:pPr>
            <w:r>
              <w:rPr>
                <w:rFonts w:ascii="Arial" w:eastAsia="Arial" w:hAnsi="Arial" w:cs="Arial"/>
              </w:rPr>
              <w:t>2.61-3.40</w:t>
            </w:r>
          </w:p>
        </w:tc>
        <w:tc>
          <w:tcPr>
            <w:tcW w:w="1890" w:type="dxa"/>
            <w:gridSpan w:val="2"/>
            <w:tcBorders>
              <w:top w:val="nil"/>
              <w:left w:val="nil"/>
              <w:bottom w:val="nil"/>
              <w:right w:val="nil"/>
            </w:tcBorders>
            <w:shd w:val="clear" w:color="auto" w:fill="FFFFFF"/>
            <w:vAlign w:val="center"/>
          </w:tcPr>
          <w:p w14:paraId="31AC6AC8"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3E895459" w14:textId="77777777" w:rsidR="00382604" w:rsidRDefault="00F91166">
            <w:pPr>
              <w:spacing w:line="480" w:lineRule="auto"/>
              <w:jc w:val="center"/>
              <w:rPr>
                <w:rFonts w:ascii="Arial" w:eastAsia="Arial" w:hAnsi="Arial" w:cs="Arial"/>
              </w:rPr>
            </w:pPr>
            <w:r>
              <w:rPr>
                <w:rFonts w:ascii="Arial" w:eastAsia="Arial" w:hAnsi="Arial" w:cs="Arial"/>
              </w:rPr>
              <w:t>77</w:t>
            </w:r>
          </w:p>
        </w:tc>
        <w:tc>
          <w:tcPr>
            <w:tcW w:w="2145" w:type="dxa"/>
            <w:tcBorders>
              <w:top w:val="nil"/>
              <w:left w:val="nil"/>
              <w:bottom w:val="nil"/>
              <w:right w:val="nil"/>
            </w:tcBorders>
            <w:shd w:val="clear" w:color="auto" w:fill="FFFFFF"/>
            <w:vAlign w:val="center"/>
          </w:tcPr>
          <w:p w14:paraId="35759E11" w14:textId="77777777" w:rsidR="00382604" w:rsidRDefault="00F91166">
            <w:pPr>
              <w:spacing w:line="480" w:lineRule="auto"/>
              <w:jc w:val="center"/>
              <w:rPr>
                <w:rFonts w:ascii="Arial" w:eastAsia="Arial" w:hAnsi="Arial" w:cs="Arial"/>
              </w:rPr>
            </w:pPr>
            <w:r>
              <w:rPr>
                <w:rFonts w:ascii="Arial" w:eastAsia="Arial" w:hAnsi="Arial" w:cs="Arial"/>
              </w:rPr>
              <w:t>36.15</w:t>
            </w:r>
          </w:p>
        </w:tc>
      </w:tr>
      <w:tr w:rsidR="00382604" w14:paraId="5186FD46" w14:textId="77777777">
        <w:trPr>
          <w:trHeight w:val="264"/>
        </w:trPr>
        <w:tc>
          <w:tcPr>
            <w:tcW w:w="2355" w:type="dxa"/>
            <w:gridSpan w:val="2"/>
            <w:tcBorders>
              <w:top w:val="nil"/>
              <w:left w:val="nil"/>
              <w:bottom w:val="nil"/>
              <w:right w:val="nil"/>
            </w:tcBorders>
            <w:shd w:val="clear" w:color="auto" w:fill="FFFFFF"/>
            <w:vAlign w:val="center"/>
          </w:tcPr>
          <w:p w14:paraId="6AF379AC" w14:textId="77777777" w:rsidR="00382604" w:rsidRDefault="00F91166">
            <w:pPr>
              <w:spacing w:line="480" w:lineRule="auto"/>
              <w:jc w:val="center"/>
              <w:rPr>
                <w:rFonts w:ascii="Arial" w:eastAsia="Arial" w:hAnsi="Arial" w:cs="Arial"/>
              </w:rPr>
            </w:pPr>
            <w:r>
              <w:rPr>
                <w:rFonts w:ascii="Arial" w:eastAsia="Arial" w:hAnsi="Arial" w:cs="Arial"/>
              </w:rPr>
              <w:t>1.81-2.60</w:t>
            </w:r>
          </w:p>
        </w:tc>
        <w:tc>
          <w:tcPr>
            <w:tcW w:w="1890" w:type="dxa"/>
            <w:gridSpan w:val="2"/>
            <w:tcBorders>
              <w:top w:val="nil"/>
              <w:left w:val="nil"/>
              <w:bottom w:val="nil"/>
              <w:right w:val="nil"/>
            </w:tcBorders>
            <w:shd w:val="clear" w:color="auto" w:fill="FFFFFF"/>
            <w:vAlign w:val="center"/>
          </w:tcPr>
          <w:p w14:paraId="198FB4CC"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3917AC95" w14:textId="77777777" w:rsidR="00382604" w:rsidRDefault="00F91166">
            <w:pPr>
              <w:spacing w:line="480" w:lineRule="auto"/>
              <w:jc w:val="center"/>
              <w:rPr>
                <w:rFonts w:ascii="Arial" w:eastAsia="Arial" w:hAnsi="Arial" w:cs="Arial"/>
              </w:rPr>
            </w:pPr>
            <w:r>
              <w:rPr>
                <w:rFonts w:ascii="Arial" w:eastAsia="Arial" w:hAnsi="Arial" w:cs="Arial"/>
              </w:rPr>
              <w:t>47</w:t>
            </w:r>
          </w:p>
        </w:tc>
        <w:tc>
          <w:tcPr>
            <w:tcW w:w="2145" w:type="dxa"/>
            <w:tcBorders>
              <w:top w:val="nil"/>
              <w:left w:val="nil"/>
              <w:bottom w:val="nil"/>
              <w:right w:val="nil"/>
            </w:tcBorders>
            <w:shd w:val="clear" w:color="auto" w:fill="FFFFFF"/>
            <w:vAlign w:val="center"/>
          </w:tcPr>
          <w:p w14:paraId="5C44ABFD" w14:textId="77777777" w:rsidR="00382604" w:rsidRDefault="00F91166">
            <w:pPr>
              <w:spacing w:line="480" w:lineRule="auto"/>
              <w:jc w:val="center"/>
              <w:rPr>
                <w:rFonts w:ascii="Arial" w:eastAsia="Arial" w:hAnsi="Arial" w:cs="Arial"/>
              </w:rPr>
            </w:pPr>
            <w:r>
              <w:rPr>
                <w:rFonts w:ascii="Arial" w:eastAsia="Arial" w:hAnsi="Arial" w:cs="Arial"/>
              </w:rPr>
              <w:t>22.07</w:t>
            </w:r>
          </w:p>
        </w:tc>
      </w:tr>
      <w:tr w:rsidR="00382604" w14:paraId="61A965A2"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42AF43A4" w14:textId="77777777" w:rsidR="00382604" w:rsidRDefault="00F91166">
            <w:pPr>
              <w:spacing w:line="480" w:lineRule="auto"/>
              <w:jc w:val="center"/>
              <w:rPr>
                <w:rFonts w:ascii="Arial" w:eastAsia="Arial" w:hAnsi="Arial" w:cs="Arial"/>
              </w:rPr>
            </w:pPr>
            <w:r>
              <w:rPr>
                <w:rFonts w:ascii="Arial" w:eastAsia="Arial" w:hAnsi="Arial" w:cs="Arial"/>
              </w:rPr>
              <w:t>1.00-1.80</w:t>
            </w:r>
          </w:p>
        </w:tc>
        <w:tc>
          <w:tcPr>
            <w:tcW w:w="1890" w:type="dxa"/>
            <w:gridSpan w:val="2"/>
            <w:tcBorders>
              <w:top w:val="nil"/>
              <w:left w:val="nil"/>
              <w:bottom w:val="single" w:sz="6" w:space="0" w:color="000000"/>
              <w:right w:val="nil"/>
            </w:tcBorders>
            <w:shd w:val="clear" w:color="auto" w:fill="FFFFFF"/>
            <w:vAlign w:val="center"/>
          </w:tcPr>
          <w:p w14:paraId="58C2C2EB"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42BC9121" w14:textId="77777777" w:rsidR="00382604" w:rsidRDefault="00F91166">
            <w:pPr>
              <w:spacing w:line="480" w:lineRule="auto"/>
              <w:jc w:val="center"/>
              <w:rPr>
                <w:rFonts w:ascii="Arial" w:eastAsia="Arial" w:hAnsi="Arial" w:cs="Arial"/>
              </w:rPr>
            </w:pPr>
            <w:r>
              <w:rPr>
                <w:rFonts w:ascii="Arial" w:eastAsia="Arial" w:hAnsi="Arial" w:cs="Arial"/>
              </w:rPr>
              <w:t>19</w:t>
            </w:r>
          </w:p>
        </w:tc>
        <w:tc>
          <w:tcPr>
            <w:tcW w:w="2145" w:type="dxa"/>
            <w:tcBorders>
              <w:top w:val="nil"/>
              <w:left w:val="nil"/>
              <w:bottom w:val="single" w:sz="6" w:space="0" w:color="000000"/>
              <w:right w:val="nil"/>
            </w:tcBorders>
            <w:shd w:val="clear" w:color="auto" w:fill="FFFFFF"/>
            <w:vAlign w:val="center"/>
          </w:tcPr>
          <w:p w14:paraId="57187E12" w14:textId="77777777" w:rsidR="00382604" w:rsidRDefault="00F91166">
            <w:pPr>
              <w:spacing w:line="480" w:lineRule="auto"/>
              <w:jc w:val="center"/>
              <w:rPr>
                <w:rFonts w:ascii="Arial" w:eastAsia="Arial" w:hAnsi="Arial" w:cs="Arial"/>
              </w:rPr>
            </w:pPr>
            <w:r>
              <w:rPr>
                <w:rFonts w:ascii="Arial" w:eastAsia="Arial" w:hAnsi="Arial" w:cs="Arial"/>
              </w:rPr>
              <w:t>8.92</w:t>
            </w:r>
          </w:p>
        </w:tc>
      </w:tr>
      <w:tr w:rsidR="00382604" w14:paraId="6D339FC2"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3AACE3AD" w14:textId="77777777" w:rsidR="00382604" w:rsidRDefault="00382604">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15A725F0" w14:textId="77777777" w:rsidR="00382604" w:rsidRDefault="00F91166">
            <w:pPr>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4867239B" w14:textId="77777777" w:rsidR="00382604" w:rsidRDefault="00F91166">
            <w:pPr>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37CDCCB9" w14:textId="77777777" w:rsidR="00382604" w:rsidRDefault="00F91166">
            <w:pPr>
              <w:jc w:val="center"/>
              <w:rPr>
                <w:rFonts w:ascii="Arial" w:eastAsia="Arial" w:hAnsi="Arial" w:cs="Arial"/>
              </w:rPr>
            </w:pPr>
            <w:r>
              <w:rPr>
                <w:rFonts w:ascii="Arial" w:eastAsia="Arial" w:hAnsi="Arial" w:cs="Arial"/>
              </w:rPr>
              <w:t>100.00</w:t>
            </w:r>
          </w:p>
        </w:tc>
      </w:tr>
      <w:tr w:rsidR="00382604" w14:paraId="2ED81FDF" w14:textId="77777777">
        <w:trPr>
          <w:trHeight w:val="344"/>
        </w:trPr>
        <w:tc>
          <w:tcPr>
            <w:tcW w:w="360" w:type="dxa"/>
            <w:tcBorders>
              <w:top w:val="single" w:sz="4" w:space="0" w:color="000000"/>
              <w:left w:val="nil"/>
              <w:bottom w:val="nil"/>
              <w:right w:val="nil"/>
            </w:tcBorders>
            <w:shd w:val="clear" w:color="auto" w:fill="FFFFFF"/>
            <w:vAlign w:val="center"/>
          </w:tcPr>
          <w:p w14:paraId="7084CB69" w14:textId="77777777" w:rsidR="00382604" w:rsidRDefault="00382604">
            <w:pPr>
              <w:spacing w:before="240" w:line="480" w:lineRule="auto"/>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317C77C0" w14:textId="77777777" w:rsidR="00382604" w:rsidRDefault="00F91166">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0F0ADD4A" w14:textId="77777777" w:rsidR="00382604" w:rsidRDefault="00F91166">
            <w:pPr>
              <w:spacing w:before="240" w:line="480" w:lineRule="auto"/>
              <w:rPr>
                <w:rFonts w:ascii="Arial" w:eastAsia="Arial" w:hAnsi="Arial" w:cs="Arial"/>
                <w:b/>
              </w:rPr>
            </w:pPr>
            <w:r>
              <w:rPr>
                <w:rFonts w:ascii="Arial" w:eastAsia="Arial" w:hAnsi="Arial" w:cs="Arial"/>
                <w:b/>
              </w:rPr>
              <w:t>3.08</w:t>
            </w:r>
          </w:p>
        </w:tc>
      </w:tr>
      <w:tr w:rsidR="00382604" w14:paraId="5AF29F6E" w14:textId="77777777">
        <w:tc>
          <w:tcPr>
            <w:tcW w:w="360" w:type="dxa"/>
            <w:tcBorders>
              <w:top w:val="nil"/>
              <w:left w:val="nil"/>
              <w:bottom w:val="nil"/>
              <w:right w:val="nil"/>
            </w:tcBorders>
            <w:shd w:val="clear" w:color="auto" w:fill="FFFFFF"/>
            <w:vAlign w:val="center"/>
          </w:tcPr>
          <w:p w14:paraId="344B8C7F" w14:textId="77777777" w:rsidR="00382604" w:rsidRDefault="00382604">
            <w:pPr>
              <w:spacing w:line="480" w:lineRule="auto"/>
              <w:rPr>
                <w:rFonts w:ascii="Arial" w:eastAsia="Arial" w:hAnsi="Arial" w:cs="Arial"/>
              </w:rPr>
            </w:pPr>
          </w:p>
        </w:tc>
        <w:tc>
          <w:tcPr>
            <w:tcW w:w="2920" w:type="dxa"/>
            <w:gridSpan w:val="2"/>
            <w:tcBorders>
              <w:top w:val="nil"/>
              <w:left w:val="nil"/>
              <w:bottom w:val="nil"/>
              <w:right w:val="nil"/>
            </w:tcBorders>
            <w:shd w:val="clear" w:color="auto" w:fill="auto"/>
            <w:vAlign w:val="center"/>
          </w:tcPr>
          <w:p w14:paraId="5159BFD9"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7B21CE41" w14:textId="77777777" w:rsidR="00382604" w:rsidRDefault="00F91166">
            <w:pPr>
              <w:spacing w:line="480" w:lineRule="auto"/>
              <w:rPr>
                <w:rFonts w:ascii="Arial" w:eastAsia="Arial" w:hAnsi="Arial" w:cs="Arial"/>
                <w:b/>
              </w:rPr>
            </w:pPr>
            <w:r>
              <w:rPr>
                <w:rFonts w:ascii="Arial" w:eastAsia="Arial" w:hAnsi="Arial" w:cs="Arial"/>
                <w:b/>
              </w:rPr>
              <w:t>Moderate</w:t>
            </w:r>
          </w:p>
        </w:tc>
      </w:tr>
      <w:tr w:rsidR="00382604" w14:paraId="7E7319FF" w14:textId="77777777">
        <w:tc>
          <w:tcPr>
            <w:tcW w:w="360" w:type="dxa"/>
            <w:tcBorders>
              <w:top w:val="nil"/>
              <w:left w:val="nil"/>
              <w:bottom w:val="single" w:sz="6" w:space="0" w:color="000000"/>
              <w:right w:val="nil"/>
            </w:tcBorders>
            <w:shd w:val="clear" w:color="auto" w:fill="FFFFFF"/>
            <w:vAlign w:val="center"/>
          </w:tcPr>
          <w:p w14:paraId="28DB16B4" w14:textId="77777777" w:rsidR="00382604" w:rsidRDefault="00382604">
            <w:pPr>
              <w:spacing w:line="480" w:lineRule="auto"/>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7802C5C3" w14:textId="77777777" w:rsidR="00382604" w:rsidRDefault="00F91166">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D69C9E5" w14:textId="77777777" w:rsidR="00382604" w:rsidRDefault="00F91166">
            <w:pPr>
              <w:spacing w:line="480" w:lineRule="auto"/>
              <w:rPr>
                <w:rFonts w:ascii="Arial" w:eastAsia="Arial" w:hAnsi="Arial" w:cs="Arial"/>
                <w:b/>
              </w:rPr>
            </w:pPr>
            <w:r>
              <w:rPr>
                <w:rFonts w:ascii="Arial" w:eastAsia="Arial" w:hAnsi="Arial" w:cs="Arial"/>
                <w:b/>
              </w:rPr>
              <w:t>1.17</w:t>
            </w:r>
          </w:p>
        </w:tc>
      </w:tr>
    </w:tbl>
    <w:p w14:paraId="20B95A9A"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(Content)</w:t>
      </w:r>
    </w:p>
    <w:p w14:paraId="01D58F4E" w14:textId="77777777" w:rsidR="00382604" w:rsidRDefault="00382604">
      <w:pPr>
        <w:jc w:val="both"/>
        <w:rPr>
          <w:rFonts w:ascii="Arial" w:eastAsia="Arial" w:hAnsi="Arial" w:cs="Arial"/>
          <w:i/>
          <w:color w:val="000000"/>
          <w:vertAlign w:val="subscript"/>
        </w:rPr>
      </w:pPr>
    </w:p>
    <w:p w14:paraId="78E75024" w14:textId="77777777" w:rsidR="00382604" w:rsidRDefault="00F91166">
      <w:pPr>
        <w:jc w:val="both"/>
        <w:rPr>
          <w:rFonts w:ascii="Arial" w:eastAsia="Arial" w:hAnsi="Arial" w:cs="Arial"/>
          <w:color w:val="000000"/>
        </w:rPr>
      </w:pPr>
      <w:r>
        <w:rPr>
          <w:rFonts w:ascii="Arial" w:eastAsia="Arial" w:hAnsi="Arial" w:cs="Arial"/>
          <w:color w:val="000000"/>
        </w:rPr>
        <w:t xml:space="preserve">Table 9 presents data on Junior High School Students’ Filipino language proficiency in writing, specifically in terms of </w:t>
      </w:r>
      <w:proofErr w:type="spellStart"/>
      <w:r>
        <w:rPr>
          <w:rFonts w:ascii="Arial" w:eastAsia="Arial" w:hAnsi="Arial" w:cs="Arial"/>
          <w:color w:val="000000"/>
        </w:rPr>
        <w:t>Nilalaman</w:t>
      </w:r>
      <w:proofErr w:type="spellEnd"/>
      <w:r>
        <w:rPr>
          <w:rFonts w:ascii="Arial" w:eastAsia="Arial" w:hAnsi="Arial" w:cs="Arial"/>
          <w:color w:val="000000"/>
        </w:rPr>
        <w:t xml:space="preserve"> (content). This measures how well students organize their thoughts, present meaningful arguments, and convey messages coherently. It reflects their ability to connect written outputs with the given topic (Hyland, 2019).</w:t>
      </w:r>
    </w:p>
    <w:p w14:paraId="5CFA66BF" w14:textId="77777777" w:rsidR="00382604" w:rsidRDefault="00382604">
      <w:pPr>
        <w:jc w:val="both"/>
        <w:rPr>
          <w:rFonts w:ascii="Arial" w:eastAsia="Arial" w:hAnsi="Arial" w:cs="Arial"/>
          <w:color w:val="000000"/>
        </w:rPr>
      </w:pPr>
    </w:p>
    <w:p w14:paraId="0D448CEC" w14:textId="77777777" w:rsidR="00382604" w:rsidRDefault="00F91166">
      <w:pPr>
        <w:jc w:val="both"/>
        <w:rPr>
          <w:rFonts w:ascii="Arial" w:eastAsia="Arial" w:hAnsi="Arial" w:cs="Arial"/>
          <w:color w:val="000000"/>
        </w:rPr>
      </w:pPr>
      <w:r>
        <w:rPr>
          <w:rFonts w:ascii="Arial" w:eastAsia="Arial" w:hAnsi="Arial" w:cs="Arial"/>
          <w:color w:val="000000"/>
        </w:rPr>
        <w:t>The results indicate that the majority of students (36.15%) fall within the "Moderate" range, while 22.07% exhibit "Low" proficiency. This suggests that a significant portion of students struggles with effectively conveying ideas in Filipino. While they demonstrate a fair understanding of content, their proficiency still requires improvement.</w:t>
      </w:r>
    </w:p>
    <w:p w14:paraId="19DF03EB" w14:textId="77777777" w:rsidR="00382604" w:rsidRDefault="00382604">
      <w:pPr>
        <w:jc w:val="both"/>
        <w:rPr>
          <w:rFonts w:ascii="Arial" w:eastAsia="Arial" w:hAnsi="Arial" w:cs="Arial"/>
          <w:color w:val="000000"/>
        </w:rPr>
      </w:pPr>
    </w:p>
    <w:p w14:paraId="1BA5FB1B" w14:textId="77777777" w:rsidR="00382604" w:rsidRDefault="00F91166">
      <w:pPr>
        <w:jc w:val="both"/>
        <w:rPr>
          <w:rFonts w:ascii="Arial" w:eastAsia="Arial" w:hAnsi="Arial" w:cs="Arial"/>
          <w:color w:val="000000"/>
        </w:rPr>
      </w:pPr>
      <w:r>
        <w:rPr>
          <w:rFonts w:ascii="Arial" w:eastAsia="Arial" w:hAnsi="Arial" w:cs="Arial"/>
          <w:color w:val="000000"/>
        </w:rPr>
        <w:t>Furthermore, only 15.02% achieved a "Very High" level, indicating that fluency and depth of content comprehension are not common among students. These findings highlight the need for enhanced instructional strategies and language development programs to strengthen students’ ability to express themselves more effectively in Filipino.</w:t>
      </w:r>
    </w:p>
    <w:p w14:paraId="499EFF25" w14:textId="77777777" w:rsidR="00382604" w:rsidRDefault="00382604">
      <w:pPr>
        <w:jc w:val="both"/>
        <w:rPr>
          <w:rFonts w:ascii="Arial" w:eastAsia="Arial" w:hAnsi="Arial" w:cs="Arial"/>
          <w:b/>
          <w:smallCaps/>
          <w:color w:val="000000"/>
          <w:vertAlign w:val="subscript"/>
        </w:rPr>
      </w:pPr>
    </w:p>
    <w:p w14:paraId="73AEFB17" w14:textId="77777777" w:rsidR="00382604" w:rsidRDefault="00F91166">
      <w:pPr>
        <w:keepNext/>
        <w:jc w:val="both"/>
        <w:rPr>
          <w:rFonts w:ascii="Arial" w:eastAsia="Arial" w:hAnsi="Arial" w:cs="Arial"/>
          <w:b/>
          <w:color w:val="000000"/>
        </w:rPr>
      </w:pPr>
      <w:r>
        <w:rPr>
          <w:rFonts w:ascii="Arial" w:eastAsia="Arial" w:hAnsi="Arial" w:cs="Arial"/>
          <w:b/>
          <w:color w:val="000000"/>
        </w:rPr>
        <w:t>Table 10. Range, Interpretation, Frequency, and Percentage of the Extent of the Junior High School Students Level of Filipino Language Proficiency (</w:t>
      </w:r>
      <w:proofErr w:type="spellStart"/>
      <w:r>
        <w:rPr>
          <w:rFonts w:ascii="Arial" w:eastAsia="Arial" w:hAnsi="Arial" w:cs="Arial"/>
          <w:b/>
          <w:color w:val="000000"/>
        </w:rPr>
        <w:t>Talasalitaan</w:t>
      </w:r>
      <w:proofErr w:type="spellEnd"/>
      <w:r>
        <w:rPr>
          <w:rFonts w:ascii="Arial" w:eastAsia="Arial" w:hAnsi="Arial" w:cs="Arial"/>
          <w:b/>
          <w:color w:val="000000"/>
        </w:rPr>
        <w:t>)</w:t>
      </w:r>
    </w:p>
    <w:tbl>
      <w:tblPr>
        <w:tblStyle w:val="Style83"/>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1995"/>
        <w:gridCol w:w="925"/>
        <w:gridCol w:w="965"/>
        <w:gridCol w:w="1800"/>
        <w:gridCol w:w="2145"/>
      </w:tblGrid>
      <w:tr w:rsidR="00382604" w14:paraId="29B62089"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1AE39A98"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28AE68CD"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45F74110"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3987CC51" w14:textId="77777777" w:rsidR="00382604" w:rsidRDefault="00F91166">
            <w:pPr>
              <w:jc w:val="center"/>
              <w:rPr>
                <w:rFonts w:ascii="Arial" w:eastAsia="Arial" w:hAnsi="Arial" w:cs="Arial"/>
                <w:b/>
              </w:rPr>
            </w:pPr>
            <w:r>
              <w:rPr>
                <w:rFonts w:ascii="Arial" w:eastAsia="Arial" w:hAnsi="Arial" w:cs="Arial"/>
                <w:b/>
              </w:rPr>
              <w:t>Percentage</w:t>
            </w:r>
          </w:p>
        </w:tc>
      </w:tr>
      <w:tr w:rsidR="00382604" w14:paraId="147982C2" w14:textId="77777777">
        <w:tc>
          <w:tcPr>
            <w:tcW w:w="2355" w:type="dxa"/>
            <w:gridSpan w:val="2"/>
            <w:tcBorders>
              <w:top w:val="single" w:sz="6" w:space="0" w:color="000000"/>
              <w:left w:val="nil"/>
              <w:bottom w:val="nil"/>
              <w:right w:val="nil"/>
            </w:tcBorders>
            <w:shd w:val="clear" w:color="auto" w:fill="FFFFFF"/>
            <w:vAlign w:val="center"/>
          </w:tcPr>
          <w:p w14:paraId="4B0AEAD4" w14:textId="77777777" w:rsidR="00382604" w:rsidRDefault="00F91166">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7CDFB6A8"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2D6F3D99" w14:textId="77777777" w:rsidR="00382604" w:rsidRDefault="00F91166">
            <w:pPr>
              <w:spacing w:before="240" w:line="480" w:lineRule="auto"/>
              <w:jc w:val="center"/>
              <w:rPr>
                <w:rFonts w:ascii="Arial" w:eastAsia="Arial" w:hAnsi="Arial" w:cs="Arial"/>
              </w:rPr>
            </w:pPr>
            <w:r>
              <w:rPr>
                <w:rFonts w:ascii="Arial" w:eastAsia="Arial" w:hAnsi="Arial" w:cs="Arial"/>
              </w:rPr>
              <w:t>15</w:t>
            </w:r>
          </w:p>
        </w:tc>
        <w:tc>
          <w:tcPr>
            <w:tcW w:w="2145" w:type="dxa"/>
            <w:tcBorders>
              <w:top w:val="single" w:sz="6" w:space="0" w:color="000000"/>
              <w:left w:val="nil"/>
              <w:bottom w:val="nil"/>
              <w:right w:val="nil"/>
            </w:tcBorders>
            <w:shd w:val="clear" w:color="auto" w:fill="FFFFFF"/>
            <w:vAlign w:val="center"/>
          </w:tcPr>
          <w:p w14:paraId="1F9AE615" w14:textId="77777777" w:rsidR="00382604" w:rsidRDefault="00F91166">
            <w:pPr>
              <w:spacing w:before="240" w:line="480" w:lineRule="auto"/>
              <w:jc w:val="center"/>
              <w:rPr>
                <w:rFonts w:ascii="Arial" w:eastAsia="Arial" w:hAnsi="Arial" w:cs="Arial"/>
              </w:rPr>
            </w:pPr>
            <w:r>
              <w:rPr>
                <w:rFonts w:ascii="Arial" w:eastAsia="Arial" w:hAnsi="Arial" w:cs="Arial"/>
              </w:rPr>
              <w:t>7.04</w:t>
            </w:r>
          </w:p>
        </w:tc>
      </w:tr>
      <w:tr w:rsidR="00382604" w14:paraId="443B8D59" w14:textId="77777777">
        <w:trPr>
          <w:trHeight w:val="264"/>
        </w:trPr>
        <w:tc>
          <w:tcPr>
            <w:tcW w:w="2355" w:type="dxa"/>
            <w:gridSpan w:val="2"/>
            <w:tcBorders>
              <w:top w:val="nil"/>
              <w:left w:val="nil"/>
              <w:bottom w:val="nil"/>
              <w:right w:val="nil"/>
            </w:tcBorders>
            <w:shd w:val="clear" w:color="auto" w:fill="FFFFFF"/>
            <w:vAlign w:val="center"/>
          </w:tcPr>
          <w:p w14:paraId="1499F8C3" w14:textId="77777777" w:rsidR="00382604" w:rsidRDefault="00F91166">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vAlign w:val="center"/>
          </w:tcPr>
          <w:p w14:paraId="71E911BA"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1559F1F4" w14:textId="77777777" w:rsidR="00382604" w:rsidRDefault="00F91166">
            <w:pPr>
              <w:spacing w:line="480" w:lineRule="auto"/>
              <w:jc w:val="center"/>
              <w:rPr>
                <w:rFonts w:ascii="Arial" w:eastAsia="Arial" w:hAnsi="Arial" w:cs="Arial"/>
              </w:rPr>
            </w:pPr>
            <w:r>
              <w:rPr>
                <w:rFonts w:ascii="Arial" w:eastAsia="Arial" w:hAnsi="Arial" w:cs="Arial"/>
              </w:rPr>
              <w:t>35</w:t>
            </w:r>
          </w:p>
        </w:tc>
        <w:tc>
          <w:tcPr>
            <w:tcW w:w="2145" w:type="dxa"/>
            <w:tcBorders>
              <w:top w:val="nil"/>
              <w:left w:val="nil"/>
              <w:bottom w:val="nil"/>
              <w:right w:val="nil"/>
            </w:tcBorders>
            <w:shd w:val="clear" w:color="auto" w:fill="FFFFFF"/>
            <w:vAlign w:val="center"/>
          </w:tcPr>
          <w:p w14:paraId="36A3C7FA" w14:textId="77777777" w:rsidR="00382604" w:rsidRDefault="00F91166">
            <w:pPr>
              <w:spacing w:line="480" w:lineRule="auto"/>
              <w:jc w:val="center"/>
              <w:rPr>
                <w:rFonts w:ascii="Arial" w:eastAsia="Arial" w:hAnsi="Arial" w:cs="Arial"/>
              </w:rPr>
            </w:pPr>
            <w:r>
              <w:rPr>
                <w:rFonts w:ascii="Arial" w:eastAsia="Arial" w:hAnsi="Arial" w:cs="Arial"/>
              </w:rPr>
              <w:t>16.43</w:t>
            </w:r>
          </w:p>
        </w:tc>
      </w:tr>
      <w:tr w:rsidR="00382604" w14:paraId="006D4156" w14:textId="77777777">
        <w:trPr>
          <w:trHeight w:val="264"/>
        </w:trPr>
        <w:tc>
          <w:tcPr>
            <w:tcW w:w="2355" w:type="dxa"/>
            <w:gridSpan w:val="2"/>
            <w:tcBorders>
              <w:top w:val="nil"/>
              <w:left w:val="nil"/>
              <w:bottom w:val="nil"/>
              <w:right w:val="nil"/>
            </w:tcBorders>
            <w:shd w:val="clear" w:color="auto" w:fill="FFFFFF"/>
            <w:vAlign w:val="center"/>
          </w:tcPr>
          <w:p w14:paraId="3BAA6CC5" w14:textId="77777777" w:rsidR="00382604" w:rsidRDefault="00F91166">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141B8874"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7F4E772B" w14:textId="77777777" w:rsidR="00382604" w:rsidRDefault="00F91166">
            <w:pPr>
              <w:spacing w:line="480" w:lineRule="auto"/>
              <w:jc w:val="center"/>
              <w:rPr>
                <w:rFonts w:ascii="Arial" w:eastAsia="Arial" w:hAnsi="Arial" w:cs="Arial"/>
              </w:rPr>
            </w:pPr>
            <w:r>
              <w:rPr>
                <w:rFonts w:ascii="Arial" w:eastAsia="Arial" w:hAnsi="Arial" w:cs="Arial"/>
              </w:rPr>
              <w:t>56</w:t>
            </w:r>
          </w:p>
        </w:tc>
        <w:tc>
          <w:tcPr>
            <w:tcW w:w="2145" w:type="dxa"/>
            <w:tcBorders>
              <w:top w:val="nil"/>
              <w:left w:val="nil"/>
              <w:bottom w:val="nil"/>
              <w:right w:val="nil"/>
            </w:tcBorders>
            <w:shd w:val="clear" w:color="auto" w:fill="FFFFFF"/>
            <w:vAlign w:val="center"/>
          </w:tcPr>
          <w:p w14:paraId="003EB332" w14:textId="77777777" w:rsidR="00382604" w:rsidRDefault="00F91166">
            <w:pPr>
              <w:spacing w:line="480" w:lineRule="auto"/>
              <w:jc w:val="center"/>
              <w:rPr>
                <w:rFonts w:ascii="Arial" w:eastAsia="Arial" w:hAnsi="Arial" w:cs="Arial"/>
              </w:rPr>
            </w:pPr>
            <w:r>
              <w:rPr>
                <w:rFonts w:ascii="Arial" w:eastAsia="Arial" w:hAnsi="Arial" w:cs="Arial"/>
              </w:rPr>
              <w:t>26.29</w:t>
            </w:r>
          </w:p>
        </w:tc>
      </w:tr>
      <w:tr w:rsidR="00382604" w14:paraId="31187F5D" w14:textId="77777777">
        <w:trPr>
          <w:trHeight w:val="264"/>
        </w:trPr>
        <w:tc>
          <w:tcPr>
            <w:tcW w:w="2355" w:type="dxa"/>
            <w:gridSpan w:val="2"/>
            <w:tcBorders>
              <w:top w:val="nil"/>
              <w:left w:val="nil"/>
              <w:bottom w:val="nil"/>
              <w:right w:val="nil"/>
            </w:tcBorders>
            <w:shd w:val="clear" w:color="auto" w:fill="FFFFFF"/>
            <w:vAlign w:val="center"/>
          </w:tcPr>
          <w:p w14:paraId="7A702E3F" w14:textId="77777777" w:rsidR="00382604" w:rsidRDefault="00F91166">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3CAB2355"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0C773718" w14:textId="77777777" w:rsidR="00382604" w:rsidRDefault="00F91166">
            <w:pPr>
              <w:spacing w:line="480" w:lineRule="auto"/>
              <w:jc w:val="center"/>
              <w:rPr>
                <w:rFonts w:ascii="Arial" w:eastAsia="Arial" w:hAnsi="Arial" w:cs="Arial"/>
              </w:rPr>
            </w:pPr>
            <w:r>
              <w:rPr>
                <w:rFonts w:ascii="Arial" w:eastAsia="Arial" w:hAnsi="Arial" w:cs="Arial"/>
              </w:rPr>
              <w:t>71</w:t>
            </w:r>
          </w:p>
        </w:tc>
        <w:tc>
          <w:tcPr>
            <w:tcW w:w="2145" w:type="dxa"/>
            <w:tcBorders>
              <w:top w:val="nil"/>
              <w:left w:val="nil"/>
              <w:bottom w:val="nil"/>
              <w:right w:val="nil"/>
            </w:tcBorders>
            <w:shd w:val="clear" w:color="auto" w:fill="FFFFFF"/>
            <w:vAlign w:val="center"/>
          </w:tcPr>
          <w:p w14:paraId="54894492" w14:textId="77777777" w:rsidR="00382604" w:rsidRDefault="00F91166">
            <w:pPr>
              <w:spacing w:line="480" w:lineRule="auto"/>
              <w:jc w:val="center"/>
              <w:rPr>
                <w:rFonts w:ascii="Arial" w:eastAsia="Arial" w:hAnsi="Arial" w:cs="Arial"/>
              </w:rPr>
            </w:pPr>
            <w:r>
              <w:rPr>
                <w:rFonts w:ascii="Arial" w:eastAsia="Arial" w:hAnsi="Arial" w:cs="Arial"/>
              </w:rPr>
              <w:t>33.33</w:t>
            </w:r>
          </w:p>
        </w:tc>
      </w:tr>
      <w:tr w:rsidR="00382604" w14:paraId="783756B8"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13DAE2F6" w14:textId="77777777" w:rsidR="00382604" w:rsidRDefault="00F91166">
            <w:pPr>
              <w:spacing w:line="480" w:lineRule="auto"/>
              <w:jc w:val="center"/>
              <w:rPr>
                <w:rFonts w:ascii="Arial" w:eastAsia="Arial" w:hAnsi="Arial" w:cs="Arial"/>
              </w:rPr>
            </w:pPr>
            <w:r>
              <w:rPr>
                <w:rFonts w:ascii="Arial" w:eastAsia="Arial" w:hAnsi="Arial" w:cs="Arial"/>
              </w:rPr>
              <w:lastRenderedPageBreak/>
              <w:t>1.00 - 1.80</w:t>
            </w:r>
          </w:p>
        </w:tc>
        <w:tc>
          <w:tcPr>
            <w:tcW w:w="1890" w:type="dxa"/>
            <w:gridSpan w:val="2"/>
            <w:tcBorders>
              <w:top w:val="nil"/>
              <w:left w:val="nil"/>
              <w:bottom w:val="single" w:sz="6" w:space="0" w:color="000000"/>
              <w:right w:val="nil"/>
            </w:tcBorders>
            <w:shd w:val="clear" w:color="auto" w:fill="FFFFFF"/>
            <w:vAlign w:val="center"/>
          </w:tcPr>
          <w:p w14:paraId="4F41B87B"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274F1A9B" w14:textId="77777777" w:rsidR="00382604" w:rsidRDefault="00F91166">
            <w:pPr>
              <w:spacing w:line="480" w:lineRule="auto"/>
              <w:jc w:val="center"/>
              <w:rPr>
                <w:rFonts w:ascii="Arial" w:eastAsia="Arial" w:hAnsi="Arial" w:cs="Arial"/>
              </w:rPr>
            </w:pPr>
            <w:r>
              <w:rPr>
                <w:rFonts w:ascii="Arial" w:eastAsia="Arial" w:hAnsi="Arial" w:cs="Arial"/>
              </w:rPr>
              <w:t>36</w:t>
            </w:r>
          </w:p>
        </w:tc>
        <w:tc>
          <w:tcPr>
            <w:tcW w:w="2145" w:type="dxa"/>
            <w:tcBorders>
              <w:top w:val="nil"/>
              <w:left w:val="nil"/>
              <w:bottom w:val="single" w:sz="6" w:space="0" w:color="000000"/>
              <w:right w:val="nil"/>
            </w:tcBorders>
            <w:shd w:val="clear" w:color="auto" w:fill="FFFFFF"/>
            <w:vAlign w:val="center"/>
          </w:tcPr>
          <w:p w14:paraId="20BC7092" w14:textId="77777777" w:rsidR="00382604" w:rsidRDefault="00F91166">
            <w:pPr>
              <w:spacing w:line="480" w:lineRule="auto"/>
              <w:jc w:val="center"/>
              <w:rPr>
                <w:rFonts w:ascii="Arial" w:eastAsia="Arial" w:hAnsi="Arial" w:cs="Arial"/>
              </w:rPr>
            </w:pPr>
            <w:r>
              <w:rPr>
                <w:rFonts w:ascii="Arial" w:eastAsia="Arial" w:hAnsi="Arial" w:cs="Arial"/>
              </w:rPr>
              <w:t>16.90</w:t>
            </w:r>
          </w:p>
        </w:tc>
      </w:tr>
      <w:tr w:rsidR="00382604" w14:paraId="7F338F90"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7E06CE32" w14:textId="77777777" w:rsidR="00382604" w:rsidRDefault="00382604">
            <w:pPr>
              <w:spacing w:before="240"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66215005" w14:textId="77777777" w:rsidR="00382604" w:rsidRDefault="00F91166">
            <w:pPr>
              <w:spacing w:before="240"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2707B366" w14:textId="77777777" w:rsidR="00382604" w:rsidRDefault="00F91166">
            <w:pPr>
              <w:spacing w:before="240"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6D7A12E3" w14:textId="77777777" w:rsidR="00382604" w:rsidRDefault="00F91166">
            <w:pPr>
              <w:jc w:val="center"/>
              <w:rPr>
                <w:rFonts w:ascii="Arial" w:eastAsia="Arial" w:hAnsi="Arial" w:cs="Arial"/>
              </w:rPr>
            </w:pPr>
            <w:r>
              <w:rPr>
                <w:rFonts w:ascii="Arial" w:eastAsia="Arial" w:hAnsi="Arial" w:cs="Arial"/>
              </w:rPr>
              <w:t>100.00</w:t>
            </w:r>
          </w:p>
        </w:tc>
      </w:tr>
      <w:tr w:rsidR="00382604" w14:paraId="2BD247B2" w14:textId="77777777">
        <w:trPr>
          <w:trHeight w:val="344"/>
        </w:trPr>
        <w:tc>
          <w:tcPr>
            <w:tcW w:w="360" w:type="dxa"/>
            <w:tcBorders>
              <w:top w:val="single" w:sz="4" w:space="0" w:color="000000"/>
              <w:left w:val="nil"/>
              <w:bottom w:val="nil"/>
              <w:right w:val="nil"/>
            </w:tcBorders>
            <w:shd w:val="clear" w:color="auto" w:fill="FFFFFF"/>
            <w:vAlign w:val="center"/>
          </w:tcPr>
          <w:p w14:paraId="78178650" w14:textId="77777777" w:rsidR="00382604" w:rsidRDefault="00382604">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3988A6C5" w14:textId="77777777" w:rsidR="00382604" w:rsidRDefault="00F91166">
            <w:pPr>
              <w:spacing w:before="240" w:line="480" w:lineRule="auto"/>
              <w:rPr>
                <w:rFonts w:ascii="Arial" w:eastAsia="Arial" w:hAnsi="Arial" w:cs="Arial"/>
                <w:b/>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4A72A936" w14:textId="77777777" w:rsidR="00382604" w:rsidRDefault="00F91166">
            <w:pPr>
              <w:spacing w:before="240" w:line="480" w:lineRule="auto"/>
              <w:rPr>
                <w:rFonts w:ascii="Arial" w:eastAsia="Arial" w:hAnsi="Arial" w:cs="Arial"/>
                <w:b/>
              </w:rPr>
            </w:pPr>
            <w:r>
              <w:rPr>
                <w:rFonts w:ascii="Arial" w:eastAsia="Arial" w:hAnsi="Arial" w:cs="Arial"/>
                <w:b/>
              </w:rPr>
              <w:t>2.63</w:t>
            </w:r>
          </w:p>
        </w:tc>
      </w:tr>
      <w:tr w:rsidR="00382604" w14:paraId="6F303B99" w14:textId="77777777">
        <w:tc>
          <w:tcPr>
            <w:tcW w:w="360" w:type="dxa"/>
            <w:tcBorders>
              <w:top w:val="nil"/>
              <w:left w:val="nil"/>
              <w:bottom w:val="nil"/>
              <w:right w:val="nil"/>
            </w:tcBorders>
            <w:shd w:val="clear" w:color="auto" w:fill="FFFFFF"/>
            <w:vAlign w:val="center"/>
          </w:tcPr>
          <w:p w14:paraId="3D1551A7"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75EA5346" w14:textId="77777777" w:rsidR="00382604" w:rsidRDefault="00F91166">
            <w:pPr>
              <w:spacing w:line="480" w:lineRule="auto"/>
              <w:rPr>
                <w:rFonts w:ascii="Arial" w:eastAsia="Arial" w:hAnsi="Arial" w:cs="Arial"/>
                <w:b/>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39899BF1" w14:textId="77777777" w:rsidR="00382604" w:rsidRDefault="00F91166">
            <w:pPr>
              <w:spacing w:line="480" w:lineRule="auto"/>
              <w:rPr>
                <w:rFonts w:ascii="Arial" w:eastAsia="Arial" w:hAnsi="Arial" w:cs="Arial"/>
                <w:b/>
              </w:rPr>
            </w:pPr>
            <w:r>
              <w:rPr>
                <w:rFonts w:ascii="Arial" w:eastAsia="Arial" w:hAnsi="Arial" w:cs="Arial"/>
                <w:b/>
              </w:rPr>
              <w:t>Low</w:t>
            </w:r>
          </w:p>
        </w:tc>
      </w:tr>
      <w:tr w:rsidR="00382604" w14:paraId="53A3B0FC" w14:textId="77777777">
        <w:tc>
          <w:tcPr>
            <w:tcW w:w="360" w:type="dxa"/>
            <w:tcBorders>
              <w:top w:val="nil"/>
              <w:left w:val="nil"/>
              <w:bottom w:val="single" w:sz="6" w:space="0" w:color="000000"/>
              <w:right w:val="nil"/>
            </w:tcBorders>
            <w:shd w:val="clear" w:color="auto" w:fill="FFFFFF"/>
            <w:vAlign w:val="center"/>
          </w:tcPr>
          <w:p w14:paraId="286B4EA0"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37B41549" w14:textId="77777777" w:rsidR="00382604" w:rsidRDefault="00F91166">
            <w:pPr>
              <w:spacing w:line="480" w:lineRule="auto"/>
              <w:rPr>
                <w:rFonts w:ascii="Arial" w:eastAsia="Arial" w:hAnsi="Arial" w:cs="Arial"/>
                <w:b/>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12A15E19" w14:textId="77777777" w:rsidR="00382604" w:rsidRDefault="00F91166">
            <w:pPr>
              <w:spacing w:line="480" w:lineRule="auto"/>
              <w:rPr>
                <w:rFonts w:ascii="Arial" w:eastAsia="Arial" w:hAnsi="Arial" w:cs="Arial"/>
                <w:b/>
              </w:rPr>
            </w:pPr>
            <w:r>
              <w:rPr>
                <w:rFonts w:ascii="Arial" w:eastAsia="Arial" w:hAnsi="Arial" w:cs="Arial"/>
                <w:b/>
              </w:rPr>
              <w:t>1.15</w:t>
            </w:r>
          </w:p>
        </w:tc>
      </w:tr>
    </w:tbl>
    <w:p w14:paraId="49C98D76"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(Vocabulary)</w:t>
      </w:r>
    </w:p>
    <w:p w14:paraId="5444C082" w14:textId="77777777" w:rsidR="00382604" w:rsidRDefault="00382604">
      <w:pPr>
        <w:jc w:val="both"/>
        <w:rPr>
          <w:rFonts w:ascii="Arial" w:eastAsia="Arial" w:hAnsi="Arial" w:cs="Arial"/>
          <w:i/>
          <w:color w:val="000000"/>
          <w:vertAlign w:val="subscript"/>
        </w:rPr>
      </w:pPr>
    </w:p>
    <w:p w14:paraId="6C9A107E" w14:textId="77777777" w:rsidR="00382604" w:rsidRDefault="00F91166">
      <w:pPr>
        <w:jc w:val="both"/>
        <w:rPr>
          <w:rFonts w:ascii="Arial" w:eastAsia="Arial" w:hAnsi="Arial" w:cs="Arial"/>
          <w:color w:val="000000"/>
        </w:rPr>
      </w:pPr>
      <w:r>
        <w:rPr>
          <w:rFonts w:ascii="Arial" w:eastAsia="Arial" w:hAnsi="Arial" w:cs="Arial"/>
          <w:color w:val="000000"/>
        </w:rPr>
        <w:t xml:space="preserve">Table 10 presents data on Junior High School Students’ Filipino language proficiency in writing, specifically in terms of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This assesses the range and depth of words students use in their written outputs, which contribute to the clarity and effectiveness of their communication. A well-developed vocabulary enhances written expression by improving clarity and depth (Kim et al., 2021).</w:t>
      </w:r>
    </w:p>
    <w:p w14:paraId="6D77A6BC" w14:textId="77777777" w:rsidR="00382604" w:rsidRDefault="00382604">
      <w:pPr>
        <w:jc w:val="both"/>
        <w:rPr>
          <w:rFonts w:ascii="Arial" w:eastAsia="Arial" w:hAnsi="Arial" w:cs="Arial"/>
          <w:color w:val="000000"/>
        </w:rPr>
      </w:pPr>
    </w:p>
    <w:p w14:paraId="224468F8" w14:textId="77777777" w:rsidR="00382604" w:rsidRDefault="00F91166">
      <w:pPr>
        <w:jc w:val="both"/>
        <w:rPr>
          <w:rFonts w:ascii="Arial" w:eastAsia="Arial" w:hAnsi="Arial" w:cs="Arial"/>
          <w:color w:val="000000"/>
        </w:rPr>
      </w:pPr>
      <w:r>
        <w:rPr>
          <w:rFonts w:ascii="Arial" w:eastAsia="Arial" w:hAnsi="Arial" w:cs="Arial"/>
          <w:color w:val="000000"/>
        </w:rPr>
        <w:t>The results indicate that 33.33% of students fall within the "Low" range, while 16.90% exhibit "Very Low" proficiency, highlighting significant challenges in vocabulary acquisition. This suggests that many students struggle with using diverse and precise words, which may affect their ability to express ideas clearly and comprehend complex texts.</w:t>
      </w:r>
    </w:p>
    <w:p w14:paraId="357BB083" w14:textId="77777777" w:rsidR="00382604" w:rsidRDefault="00382604">
      <w:pPr>
        <w:jc w:val="both"/>
        <w:rPr>
          <w:rFonts w:ascii="Arial" w:eastAsia="Arial" w:hAnsi="Arial" w:cs="Arial"/>
          <w:color w:val="000000"/>
        </w:rPr>
      </w:pPr>
    </w:p>
    <w:p w14:paraId="652F50D4" w14:textId="77777777" w:rsidR="00382604" w:rsidRDefault="00F91166">
      <w:pPr>
        <w:jc w:val="both"/>
        <w:rPr>
          <w:rFonts w:ascii="Arial" w:eastAsia="Arial" w:hAnsi="Arial" w:cs="Arial"/>
          <w:b/>
          <w:smallCaps/>
          <w:color w:val="000000"/>
          <w:vertAlign w:val="subscript"/>
        </w:rPr>
      </w:pPr>
      <w:r>
        <w:rPr>
          <w:rFonts w:ascii="Arial" w:eastAsia="Arial" w:hAnsi="Arial" w:cs="Arial"/>
          <w:color w:val="000000"/>
        </w:rPr>
        <w:t>However, only 7.04% attained a "Very High" level, indicating that strong vocabulary skills are limited among students. These results underscore the significance of targeted interventions, including vocabulary-building exercises and contextual learning strategies, to improve the proficiency of Filipino language learners as well as their overall academic growth.</w:t>
      </w:r>
    </w:p>
    <w:p w14:paraId="633CBA8B" w14:textId="77777777" w:rsidR="00382604" w:rsidRDefault="00382604">
      <w:pPr>
        <w:keepNext/>
        <w:jc w:val="both"/>
        <w:rPr>
          <w:rFonts w:ascii="Arial" w:eastAsia="Arial" w:hAnsi="Arial" w:cs="Arial"/>
          <w:b/>
          <w:smallCaps/>
          <w:color w:val="000000"/>
          <w:sz w:val="22"/>
          <w:szCs w:val="22"/>
        </w:rPr>
      </w:pPr>
    </w:p>
    <w:p w14:paraId="2BCD450F" w14:textId="77777777" w:rsidR="00382604" w:rsidRDefault="00F91166">
      <w:pPr>
        <w:keepNext/>
        <w:jc w:val="both"/>
        <w:rPr>
          <w:rFonts w:ascii="Arial" w:eastAsia="Arial" w:hAnsi="Arial" w:cs="Arial"/>
          <w:b/>
          <w:color w:val="000000"/>
        </w:rPr>
      </w:pPr>
      <w:r>
        <w:rPr>
          <w:rFonts w:ascii="Arial" w:eastAsia="Arial" w:hAnsi="Arial" w:cs="Arial"/>
          <w:b/>
          <w:color w:val="000000"/>
        </w:rPr>
        <w:t>Table 11. Range, Interpretation, Frequency, and Percentage of the Extent of the Junior High School Students Level of Filipino Language Proficiency (</w:t>
      </w:r>
      <w:proofErr w:type="spellStart"/>
      <w:r>
        <w:rPr>
          <w:rFonts w:ascii="Arial" w:eastAsia="Arial" w:hAnsi="Arial" w:cs="Arial"/>
          <w:b/>
          <w:color w:val="000000"/>
        </w:rPr>
        <w:t>Mekaniks</w:t>
      </w:r>
      <w:proofErr w:type="spellEnd"/>
      <w:r>
        <w:rPr>
          <w:rFonts w:ascii="Arial" w:eastAsia="Arial" w:hAnsi="Arial" w:cs="Arial"/>
          <w:b/>
          <w:color w:val="000000"/>
        </w:rPr>
        <w:t>)</w:t>
      </w:r>
    </w:p>
    <w:tbl>
      <w:tblPr>
        <w:tblStyle w:val="Style84"/>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1995"/>
        <w:gridCol w:w="925"/>
        <w:gridCol w:w="965"/>
        <w:gridCol w:w="1800"/>
        <w:gridCol w:w="2145"/>
      </w:tblGrid>
      <w:tr w:rsidR="00382604" w14:paraId="073E23BB"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7CDF0CC3"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13F99D83"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6A1C6A0D"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5F1D6F27" w14:textId="77777777" w:rsidR="00382604" w:rsidRDefault="00F91166">
            <w:pPr>
              <w:jc w:val="center"/>
              <w:rPr>
                <w:rFonts w:ascii="Arial" w:eastAsia="Arial" w:hAnsi="Arial" w:cs="Arial"/>
                <w:b/>
              </w:rPr>
            </w:pPr>
            <w:r>
              <w:rPr>
                <w:rFonts w:ascii="Arial" w:eastAsia="Arial" w:hAnsi="Arial" w:cs="Arial"/>
                <w:b/>
              </w:rPr>
              <w:t>Percentage</w:t>
            </w:r>
          </w:p>
        </w:tc>
      </w:tr>
      <w:tr w:rsidR="00382604" w14:paraId="68DDA189" w14:textId="77777777">
        <w:tc>
          <w:tcPr>
            <w:tcW w:w="2355" w:type="dxa"/>
            <w:gridSpan w:val="2"/>
            <w:tcBorders>
              <w:top w:val="single" w:sz="6" w:space="0" w:color="000000"/>
              <w:left w:val="nil"/>
              <w:bottom w:val="nil"/>
              <w:right w:val="nil"/>
            </w:tcBorders>
            <w:shd w:val="clear" w:color="auto" w:fill="FFFFFF"/>
            <w:vAlign w:val="center"/>
          </w:tcPr>
          <w:p w14:paraId="75ED7A5F" w14:textId="77777777" w:rsidR="00382604" w:rsidRDefault="00F91166">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327C8C9E"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6F2B57D9" w14:textId="77777777" w:rsidR="00382604" w:rsidRDefault="00F91166">
            <w:pPr>
              <w:spacing w:before="240" w:line="480" w:lineRule="auto"/>
              <w:jc w:val="center"/>
              <w:rPr>
                <w:rFonts w:ascii="Arial" w:eastAsia="Arial" w:hAnsi="Arial" w:cs="Arial"/>
              </w:rPr>
            </w:pPr>
            <w:r>
              <w:rPr>
                <w:rFonts w:ascii="Arial" w:eastAsia="Arial" w:hAnsi="Arial" w:cs="Arial"/>
              </w:rPr>
              <w:t>13</w:t>
            </w:r>
          </w:p>
        </w:tc>
        <w:tc>
          <w:tcPr>
            <w:tcW w:w="2145" w:type="dxa"/>
            <w:tcBorders>
              <w:top w:val="single" w:sz="6" w:space="0" w:color="000000"/>
              <w:left w:val="nil"/>
              <w:bottom w:val="nil"/>
              <w:right w:val="nil"/>
            </w:tcBorders>
            <w:shd w:val="clear" w:color="auto" w:fill="FFFFFF"/>
            <w:vAlign w:val="center"/>
          </w:tcPr>
          <w:p w14:paraId="6CD6007D" w14:textId="77777777" w:rsidR="00382604" w:rsidRDefault="00F91166">
            <w:pPr>
              <w:spacing w:before="240" w:line="480" w:lineRule="auto"/>
              <w:jc w:val="center"/>
              <w:rPr>
                <w:rFonts w:ascii="Arial" w:eastAsia="Arial" w:hAnsi="Arial" w:cs="Arial"/>
              </w:rPr>
            </w:pPr>
            <w:r>
              <w:rPr>
                <w:rFonts w:ascii="Arial" w:eastAsia="Arial" w:hAnsi="Arial" w:cs="Arial"/>
              </w:rPr>
              <w:t>6.10</w:t>
            </w:r>
          </w:p>
        </w:tc>
      </w:tr>
      <w:tr w:rsidR="00382604" w14:paraId="45BDEC48" w14:textId="77777777">
        <w:trPr>
          <w:trHeight w:val="264"/>
        </w:trPr>
        <w:tc>
          <w:tcPr>
            <w:tcW w:w="2355" w:type="dxa"/>
            <w:gridSpan w:val="2"/>
            <w:tcBorders>
              <w:top w:val="nil"/>
              <w:left w:val="nil"/>
              <w:bottom w:val="nil"/>
              <w:right w:val="nil"/>
            </w:tcBorders>
            <w:shd w:val="clear" w:color="auto" w:fill="FFFFFF"/>
            <w:vAlign w:val="center"/>
          </w:tcPr>
          <w:p w14:paraId="198AF4CA" w14:textId="77777777" w:rsidR="00382604" w:rsidRDefault="00F91166">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vAlign w:val="center"/>
          </w:tcPr>
          <w:p w14:paraId="02DDB211"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0E04F0FF" w14:textId="77777777" w:rsidR="00382604" w:rsidRDefault="00F91166">
            <w:pPr>
              <w:spacing w:line="480" w:lineRule="auto"/>
              <w:jc w:val="center"/>
              <w:rPr>
                <w:rFonts w:ascii="Arial" w:eastAsia="Arial" w:hAnsi="Arial" w:cs="Arial"/>
              </w:rPr>
            </w:pPr>
            <w:r>
              <w:rPr>
                <w:rFonts w:ascii="Arial" w:eastAsia="Arial" w:hAnsi="Arial" w:cs="Arial"/>
              </w:rPr>
              <w:t>44</w:t>
            </w:r>
          </w:p>
        </w:tc>
        <w:tc>
          <w:tcPr>
            <w:tcW w:w="2145" w:type="dxa"/>
            <w:tcBorders>
              <w:top w:val="nil"/>
              <w:left w:val="nil"/>
              <w:bottom w:val="nil"/>
              <w:right w:val="nil"/>
            </w:tcBorders>
            <w:shd w:val="clear" w:color="auto" w:fill="FFFFFF"/>
            <w:vAlign w:val="center"/>
          </w:tcPr>
          <w:p w14:paraId="6E9E30AA" w14:textId="77777777" w:rsidR="00382604" w:rsidRDefault="00F91166">
            <w:pPr>
              <w:spacing w:line="480" w:lineRule="auto"/>
              <w:jc w:val="center"/>
              <w:rPr>
                <w:rFonts w:ascii="Arial" w:eastAsia="Arial" w:hAnsi="Arial" w:cs="Arial"/>
              </w:rPr>
            </w:pPr>
            <w:r>
              <w:rPr>
                <w:rFonts w:ascii="Arial" w:eastAsia="Arial" w:hAnsi="Arial" w:cs="Arial"/>
              </w:rPr>
              <w:t>20.66</w:t>
            </w:r>
          </w:p>
        </w:tc>
      </w:tr>
      <w:tr w:rsidR="00382604" w14:paraId="32D5FE96" w14:textId="77777777">
        <w:trPr>
          <w:trHeight w:val="264"/>
        </w:trPr>
        <w:tc>
          <w:tcPr>
            <w:tcW w:w="2355" w:type="dxa"/>
            <w:gridSpan w:val="2"/>
            <w:tcBorders>
              <w:top w:val="nil"/>
              <w:left w:val="nil"/>
              <w:bottom w:val="nil"/>
              <w:right w:val="nil"/>
            </w:tcBorders>
            <w:shd w:val="clear" w:color="auto" w:fill="FFFFFF"/>
            <w:vAlign w:val="center"/>
          </w:tcPr>
          <w:p w14:paraId="221E702F" w14:textId="77777777" w:rsidR="00382604" w:rsidRDefault="00F91166">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04C26F61"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32378779" w14:textId="77777777" w:rsidR="00382604" w:rsidRDefault="00F91166">
            <w:pPr>
              <w:spacing w:line="480" w:lineRule="auto"/>
              <w:jc w:val="center"/>
              <w:rPr>
                <w:rFonts w:ascii="Arial" w:eastAsia="Arial" w:hAnsi="Arial" w:cs="Arial"/>
              </w:rPr>
            </w:pPr>
            <w:r>
              <w:rPr>
                <w:rFonts w:ascii="Arial" w:eastAsia="Arial" w:hAnsi="Arial" w:cs="Arial"/>
              </w:rPr>
              <w:t>62</w:t>
            </w:r>
          </w:p>
        </w:tc>
        <w:tc>
          <w:tcPr>
            <w:tcW w:w="2145" w:type="dxa"/>
            <w:tcBorders>
              <w:top w:val="nil"/>
              <w:left w:val="nil"/>
              <w:bottom w:val="nil"/>
              <w:right w:val="nil"/>
            </w:tcBorders>
            <w:shd w:val="clear" w:color="auto" w:fill="FFFFFF"/>
            <w:vAlign w:val="center"/>
          </w:tcPr>
          <w:p w14:paraId="1754FF62" w14:textId="77777777" w:rsidR="00382604" w:rsidRDefault="00F91166">
            <w:pPr>
              <w:spacing w:line="480" w:lineRule="auto"/>
              <w:jc w:val="center"/>
              <w:rPr>
                <w:rFonts w:ascii="Arial" w:eastAsia="Arial" w:hAnsi="Arial" w:cs="Arial"/>
              </w:rPr>
            </w:pPr>
            <w:r>
              <w:rPr>
                <w:rFonts w:ascii="Arial" w:eastAsia="Arial" w:hAnsi="Arial" w:cs="Arial"/>
              </w:rPr>
              <w:t>29.11</w:t>
            </w:r>
          </w:p>
        </w:tc>
      </w:tr>
      <w:tr w:rsidR="00382604" w14:paraId="079C22E1" w14:textId="77777777">
        <w:trPr>
          <w:trHeight w:val="264"/>
        </w:trPr>
        <w:tc>
          <w:tcPr>
            <w:tcW w:w="2355" w:type="dxa"/>
            <w:gridSpan w:val="2"/>
            <w:tcBorders>
              <w:top w:val="nil"/>
              <w:left w:val="nil"/>
              <w:bottom w:val="nil"/>
              <w:right w:val="nil"/>
            </w:tcBorders>
            <w:shd w:val="clear" w:color="auto" w:fill="FFFFFF"/>
            <w:vAlign w:val="center"/>
          </w:tcPr>
          <w:p w14:paraId="56948BDE" w14:textId="77777777" w:rsidR="00382604" w:rsidRDefault="00F91166">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1BC6B983"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31C7A5B7" w14:textId="77777777" w:rsidR="00382604" w:rsidRDefault="00F91166">
            <w:pPr>
              <w:spacing w:line="480" w:lineRule="auto"/>
              <w:jc w:val="center"/>
              <w:rPr>
                <w:rFonts w:ascii="Arial" w:eastAsia="Arial" w:hAnsi="Arial" w:cs="Arial"/>
              </w:rPr>
            </w:pPr>
            <w:r>
              <w:rPr>
                <w:rFonts w:ascii="Arial" w:eastAsia="Arial" w:hAnsi="Arial" w:cs="Arial"/>
              </w:rPr>
              <w:t>53</w:t>
            </w:r>
          </w:p>
        </w:tc>
        <w:tc>
          <w:tcPr>
            <w:tcW w:w="2145" w:type="dxa"/>
            <w:tcBorders>
              <w:top w:val="nil"/>
              <w:left w:val="nil"/>
              <w:bottom w:val="nil"/>
              <w:right w:val="nil"/>
            </w:tcBorders>
            <w:shd w:val="clear" w:color="auto" w:fill="FFFFFF"/>
            <w:vAlign w:val="center"/>
          </w:tcPr>
          <w:p w14:paraId="532D3020" w14:textId="77777777" w:rsidR="00382604" w:rsidRDefault="00F91166">
            <w:pPr>
              <w:spacing w:line="480" w:lineRule="auto"/>
              <w:jc w:val="center"/>
              <w:rPr>
                <w:rFonts w:ascii="Arial" w:eastAsia="Arial" w:hAnsi="Arial" w:cs="Arial"/>
              </w:rPr>
            </w:pPr>
            <w:r>
              <w:rPr>
                <w:rFonts w:ascii="Arial" w:eastAsia="Arial" w:hAnsi="Arial" w:cs="Arial"/>
              </w:rPr>
              <w:t>24.88</w:t>
            </w:r>
          </w:p>
        </w:tc>
      </w:tr>
      <w:tr w:rsidR="00382604" w14:paraId="7604E04B"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0BF2D0C2" w14:textId="77777777" w:rsidR="00382604" w:rsidRDefault="00F91166">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vAlign w:val="center"/>
          </w:tcPr>
          <w:p w14:paraId="7D3F4CBC"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006FB339" w14:textId="77777777" w:rsidR="00382604" w:rsidRDefault="00F91166">
            <w:pPr>
              <w:spacing w:line="480" w:lineRule="auto"/>
              <w:jc w:val="center"/>
              <w:rPr>
                <w:rFonts w:ascii="Arial" w:eastAsia="Arial" w:hAnsi="Arial" w:cs="Arial"/>
              </w:rPr>
            </w:pPr>
            <w:r>
              <w:rPr>
                <w:rFonts w:ascii="Arial" w:eastAsia="Arial" w:hAnsi="Arial" w:cs="Arial"/>
              </w:rPr>
              <w:t>41</w:t>
            </w:r>
          </w:p>
        </w:tc>
        <w:tc>
          <w:tcPr>
            <w:tcW w:w="2145" w:type="dxa"/>
            <w:tcBorders>
              <w:top w:val="nil"/>
              <w:left w:val="nil"/>
              <w:bottom w:val="single" w:sz="6" w:space="0" w:color="000000"/>
              <w:right w:val="nil"/>
            </w:tcBorders>
            <w:shd w:val="clear" w:color="auto" w:fill="FFFFFF"/>
            <w:vAlign w:val="center"/>
          </w:tcPr>
          <w:p w14:paraId="583B4CF9" w14:textId="77777777" w:rsidR="00382604" w:rsidRDefault="00F91166">
            <w:pPr>
              <w:spacing w:line="480" w:lineRule="auto"/>
              <w:jc w:val="center"/>
              <w:rPr>
                <w:rFonts w:ascii="Arial" w:eastAsia="Arial" w:hAnsi="Arial" w:cs="Arial"/>
              </w:rPr>
            </w:pPr>
            <w:r>
              <w:rPr>
                <w:rFonts w:ascii="Arial" w:eastAsia="Arial" w:hAnsi="Arial" w:cs="Arial"/>
              </w:rPr>
              <w:t>19.25</w:t>
            </w:r>
          </w:p>
        </w:tc>
      </w:tr>
      <w:tr w:rsidR="00382604" w14:paraId="546B2180"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341DA1DF" w14:textId="77777777" w:rsidR="00382604" w:rsidRDefault="00382604">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6FD7AEF7" w14:textId="77777777" w:rsidR="00382604" w:rsidRDefault="00F91166">
            <w:pPr>
              <w:spacing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40603A75" w14:textId="77777777" w:rsidR="00382604" w:rsidRDefault="00F91166">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46AF76BE" w14:textId="77777777" w:rsidR="00382604" w:rsidRDefault="00F91166">
            <w:pPr>
              <w:spacing w:line="480" w:lineRule="auto"/>
              <w:jc w:val="center"/>
              <w:rPr>
                <w:rFonts w:ascii="Arial" w:eastAsia="Arial" w:hAnsi="Arial" w:cs="Arial"/>
              </w:rPr>
            </w:pPr>
            <w:r>
              <w:rPr>
                <w:rFonts w:ascii="Arial" w:eastAsia="Arial" w:hAnsi="Arial" w:cs="Arial"/>
              </w:rPr>
              <w:t>100.00</w:t>
            </w:r>
          </w:p>
        </w:tc>
      </w:tr>
      <w:tr w:rsidR="00382604" w14:paraId="1FD3A77B" w14:textId="77777777">
        <w:trPr>
          <w:trHeight w:val="344"/>
        </w:trPr>
        <w:tc>
          <w:tcPr>
            <w:tcW w:w="360" w:type="dxa"/>
            <w:tcBorders>
              <w:top w:val="single" w:sz="4" w:space="0" w:color="000000"/>
              <w:left w:val="nil"/>
              <w:bottom w:val="nil"/>
              <w:right w:val="nil"/>
            </w:tcBorders>
            <w:shd w:val="clear" w:color="auto" w:fill="FFFFFF"/>
            <w:vAlign w:val="center"/>
          </w:tcPr>
          <w:p w14:paraId="2CF11A78" w14:textId="77777777" w:rsidR="00382604" w:rsidRDefault="00382604">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389147CF" w14:textId="77777777" w:rsidR="00382604" w:rsidRDefault="00F91166">
            <w:pPr>
              <w:spacing w:before="240" w:line="480" w:lineRule="auto"/>
              <w:rPr>
                <w:rFonts w:ascii="Arial" w:eastAsia="Arial" w:hAnsi="Arial" w:cs="Arial"/>
                <w:b/>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387C9E5A" w14:textId="77777777" w:rsidR="00382604" w:rsidRDefault="00F91166">
            <w:pPr>
              <w:spacing w:before="240" w:line="480" w:lineRule="auto"/>
              <w:rPr>
                <w:rFonts w:ascii="Arial" w:eastAsia="Arial" w:hAnsi="Arial" w:cs="Arial"/>
                <w:b/>
              </w:rPr>
            </w:pPr>
            <w:r>
              <w:rPr>
                <w:rFonts w:ascii="Arial" w:eastAsia="Arial" w:hAnsi="Arial" w:cs="Arial"/>
                <w:b/>
              </w:rPr>
              <w:t>2.69</w:t>
            </w:r>
          </w:p>
        </w:tc>
      </w:tr>
      <w:tr w:rsidR="00382604" w14:paraId="341FF2EF" w14:textId="77777777">
        <w:tc>
          <w:tcPr>
            <w:tcW w:w="360" w:type="dxa"/>
            <w:tcBorders>
              <w:top w:val="nil"/>
              <w:left w:val="nil"/>
              <w:bottom w:val="nil"/>
              <w:right w:val="nil"/>
            </w:tcBorders>
            <w:shd w:val="clear" w:color="auto" w:fill="FFFFFF"/>
            <w:vAlign w:val="center"/>
          </w:tcPr>
          <w:p w14:paraId="15CCE9C9"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71317E29" w14:textId="77777777" w:rsidR="00382604" w:rsidRDefault="00F91166">
            <w:pPr>
              <w:spacing w:line="480" w:lineRule="auto"/>
              <w:rPr>
                <w:rFonts w:ascii="Arial" w:eastAsia="Arial" w:hAnsi="Arial" w:cs="Arial"/>
                <w:b/>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12C1E94D" w14:textId="77777777" w:rsidR="00382604" w:rsidRDefault="00F91166">
            <w:pPr>
              <w:spacing w:line="480" w:lineRule="auto"/>
              <w:rPr>
                <w:rFonts w:ascii="Arial" w:eastAsia="Arial" w:hAnsi="Arial" w:cs="Arial"/>
                <w:b/>
              </w:rPr>
            </w:pPr>
            <w:r>
              <w:rPr>
                <w:rFonts w:ascii="Arial" w:eastAsia="Arial" w:hAnsi="Arial" w:cs="Arial"/>
                <w:b/>
              </w:rPr>
              <w:t>Low</w:t>
            </w:r>
          </w:p>
        </w:tc>
      </w:tr>
      <w:tr w:rsidR="00382604" w14:paraId="049188C4" w14:textId="77777777">
        <w:tc>
          <w:tcPr>
            <w:tcW w:w="360" w:type="dxa"/>
            <w:tcBorders>
              <w:top w:val="nil"/>
              <w:left w:val="nil"/>
              <w:bottom w:val="single" w:sz="6" w:space="0" w:color="000000"/>
              <w:right w:val="nil"/>
            </w:tcBorders>
            <w:shd w:val="clear" w:color="auto" w:fill="FFFFFF"/>
            <w:vAlign w:val="center"/>
          </w:tcPr>
          <w:p w14:paraId="48B78AFF"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445C401D" w14:textId="77777777" w:rsidR="00382604" w:rsidRDefault="00F91166">
            <w:pPr>
              <w:spacing w:line="480" w:lineRule="auto"/>
              <w:rPr>
                <w:rFonts w:ascii="Arial" w:eastAsia="Arial" w:hAnsi="Arial" w:cs="Arial"/>
                <w:b/>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22146C75" w14:textId="77777777" w:rsidR="00382604" w:rsidRDefault="00F91166">
            <w:pPr>
              <w:spacing w:line="480" w:lineRule="auto"/>
              <w:rPr>
                <w:rFonts w:ascii="Arial" w:eastAsia="Arial" w:hAnsi="Arial" w:cs="Arial"/>
                <w:b/>
              </w:rPr>
            </w:pPr>
            <w:r>
              <w:rPr>
                <w:rFonts w:ascii="Arial" w:eastAsia="Arial" w:hAnsi="Arial" w:cs="Arial"/>
                <w:b/>
              </w:rPr>
              <w:t>1.176</w:t>
            </w:r>
          </w:p>
        </w:tc>
      </w:tr>
    </w:tbl>
    <w:p w14:paraId="5E388CE3"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(Mechanics)</w:t>
      </w:r>
    </w:p>
    <w:p w14:paraId="3A81B775" w14:textId="77777777" w:rsidR="00382604" w:rsidRDefault="00382604">
      <w:pPr>
        <w:jc w:val="both"/>
        <w:rPr>
          <w:rFonts w:ascii="Arial" w:eastAsia="Arial" w:hAnsi="Arial" w:cs="Arial"/>
          <w:i/>
          <w:color w:val="000000"/>
          <w:vertAlign w:val="subscript"/>
        </w:rPr>
      </w:pPr>
    </w:p>
    <w:p w14:paraId="1D67D8ED" w14:textId="77777777" w:rsidR="00382604" w:rsidRDefault="00F91166">
      <w:pPr>
        <w:jc w:val="both"/>
        <w:rPr>
          <w:rFonts w:ascii="Arial" w:eastAsia="Arial" w:hAnsi="Arial" w:cs="Arial"/>
          <w:color w:val="000000"/>
        </w:rPr>
      </w:pPr>
      <w:r>
        <w:rPr>
          <w:rFonts w:ascii="Arial" w:eastAsia="Arial" w:hAnsi="Arial" w:cs="Arial"/>
          <w:color w:val="000000"/>
        </w:rPr>
        <w:t xml:space="preserve">Table 11 presents data on Junior High School Students’ Filipino language proficiency in writing, specifically in terms of </w:t>
      </w:r>
      <w:proofErr w:type="spellStart"/>
      <w:r>
        <w:rPr>
          <w:rFonts w:ascii="Arial" w:eastAsia="Arial" w:hAnsi="Arial" w:cs="Arial"/>
          <w:color w:val="000000"/>
        </w:rPr>
        <w:t>Mekaniks</w:t>
      </w:r>
      <w:proofErr w:type="spellEnd"/>
      <w:r>
        <w:rPr>
          <w:rFonts w:ascii="Arial" w:eastAsia="Arial" w:hAnsi="Arial" w:cs="Arial"/>
          <w:color w:val="000000"/>
        </w:rPr>
        <w:t xml:space="preserve"> (mechanics). This refers to the technical components of writing, such as punctuation, capitalization, and proper formatting, which contribute to clear and effective written communication. Mastery of mechanics ensures precision and readability in writing (Ramzan et al., 2023).</w:t>
      </w:r>
    </w:p>
    <w:p w14:paraId="33F9B246" w14:textId="77777777" w:rsidR="00382604" w:rsidRDefault="00382604">
      <w:pPr>
        <w:jc w:val="both"/>
        <w:rPr>
          <w:rFonts w:ascii="Arial" w:eastAsia="Arial" w:hAnsi="Arial" w:cs="Arial"/>
          <w:color w:val="000000"/>
        </w:rPr>
      </w:pPr>
    </w:p>
    <w:p w14:paraId="0D38E76C" w14:textId="77777777" w:rsidR="00382604" w:rsidRDefault="00F91166">
      <w:pPr>
        <w:jc w:val="both"/>
        <w:rPr>
          <w:rFonts w:ascii="Arial" w:eastAsia="Arial" w:hAnsi="Arial" w:cs="Arial"/>
          <w:color w:val="000000"/>
        </w:rPr>
      </w:pPr>
      <w:r>
        <w:rPr>
          <w:rFonts w:ascii="Arial" w:eastAsia="Arial" w:hAnsi="Arial" w:cs="Arial"/>
          <w:color w:val="000000"/>
        </w:rPr>
        <w:t>The results reveal that 24.88% of students scored in the "Low" range, while 19.25% fell under the "Very Low" category, indicating significant struggles with the technical aspects of writing in Filipino. This suggests that many students face challenges in applying correct spelling, punctuation, and grammatical structures in their written work.</w:t>
      </w:r>
    </w:p>
    <w:p w14:paraId="5B12D25B" w14:textId="77777777" w:rsidR="00382604" w:rsidRDefault="00382604">
      <w:pPr>
        <w:jc w:val="both"/>
        <w:rPr>
          <w:rFonts w:ascii="Arial" w:eastAsia="Arial" w:hAnsi="Arial" w:cs="Arial"/>
          <w:color w:val="000000"/>
        </w:rPr>
      </w:pPr>
    </w:p>
    <w:p w14:paraId="7C1CC8C4" w14:textId="77777777" w:rsidR="00382604" w:rsidRDefault="00F91166">
      <w:pPr>
        <w:jc w:val="both"/>
        <w:rPr>
          <w:rFonts w:ascii="Arial" w:eastAsia="Arial" w:hAnsi="Arial" w:cs="Arial"/>
          <w:color w:val="000000"/>
        </w:rPr>
      </w:pPr>
      <w:r>
        <w:rPr>
          <w:rFonts w:ascii="Arial" w:eastAsia="Arial" w:hAnsi="Arial" w:cs="Arial"/>
          <w:color w:val="000000"/>
        </w:rPr>
        <w:t>On the other hand, 20.66% achieved a "High" proficiency, but only 6.10% demonstrated a "Very High" level of mastery. These findings emphasize the need for enhanced instruction in Filipino writing conventions, particularly grammar-focused exercises and structured writing practice, to strengthen students' overall language proficiency and written communication skills.</w:t>
      </w:r>
    </w:p>
    <w:p w14:paraId="774F13FE" w14:textId="77777777" w:rsidR="00382604" w:rsidRDefault="00382604">
      <w:pPr>
        <w:jc w:val="both"/>
        <w:rPr>
          <w:rFonts w:ascii="Arial" w:eastAsia="Arial" w:hAnsi="Arial" w:cs="Arial"/>
          <w:b/>
          <w:smallCaps/>
          <w:color w:val="000000"/>
          <w:vertAlign w:val="subscript"/>
        </w:rPr>
      </w:pPr>
    </w:p>
    <w:p w14:paraId="2FBEDCCD" w14:textId="77777777" w:rsidR="00382604" w:rsidRDefault="00F91166">
      <w:pPr>
        <w:keepNext/>
        <w:jc w:val="both"/>
        <w:rPr>
          <w:rFonts w:ascii="Arial" w:eastAsia="Arial" w:hAnsi="Arial" w:cs="Arial"/>
          <w:b/>
          <w:color w:val="000000"/>
        </w:rPr>
      </w:pPr>
      <w:r>
        <w:rPr>
          <w:rFonts w:ascii="Arial" w:eastAsia="Arial" w:hAnsi="Arial" w:cs="Arial"/>
          <w:b/>
          <w:color w:val="000000"/>
        </w:rPr>
        <w:t>Table 12. Range, Interpretation, Frequency, and Percentage of the Extent of the Junior High School Students Level of Filipino Language Proficiency (Gramatika)</w:t>
      </w:r>
    </w:p>
    <w:tbl>
      <w:tblPr>
        <w:tblStyle w:val="Style85"/>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1995"/>
        <w:gridCol w:w="925"/>
        <w:gridCol w:w="965"/>
        <w:gridCol w:w="1800"/>
        <w:gridCol w:w="2145"/>
      </w:tblGrid>
      <w:tr w:rsidR="00382604" w14:paraId="563F5592"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4829831B"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7B978C74"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7FF442AF"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58AF4037" w14:textId="77777777" w:rsidR="00382604" w:rsidRDefault="00F91166">
            <w:pPr>
              <w:jc w:val="center"/>
              <w:rPr>
                <w:rFonts w:ascii="Arial" w:eastAsia="Arial" w:hAnsi="Arial" w:cs="Arial"/>
                <w:b/>
              </w:rPr>
            </w:pPr>
            <w:r>
              <w:rPr>
                <w:rFonts w:ascii="Arial" w:eastAsia="Arial" w:hAnsi="Arial" w:cs="Arial"/>
                <w:b/>
              </w:rPr>
              <w:t>Percentage</w:t>
            </w:r>
          </w:p>
        </w:tc>
      </w:tr>
      <w:tr w:rsidR="00382604" w14:paraId="413EA33A" w14:textId="77777777">
        <w:tc>
          <w:tcPr>
            <w:tcW w:w="2355" w:type="dxa"/>
            <w:gridSpan w:val="2"/>
            <w:tcBorders>
              <w:top w:val="single" w:sz="6" w:space="0" w:color="000000"/>
              <w:left w:val="nil"/>
              <w:bottom w:val="nil"/>
              <w:right w:val="nil"/>
            </w:tcBorders>
            <w:shd w:val="clear" w:color="auto" w:fill="FFFFFF"/>
          </w:tcPr>
          <w:p w14:paraId="56C2A8D7" w14:textId="77777777" w:rsidR="00382604" w:rsidRDefault="00F91166">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tcPr>
          <w:p w14:paraId="04D4220A"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tcPr>
          <w:p w14:paraId="592A9C9E" w14:textId="77777777" w:rsidR="00382604" w:rsidRDefault="00F91166">
            <w:pPr>
              <w:spacing w:before="240" w:line="480" w:lineRule="auto"/>
              <w:jc w:val="center"/>
              <w:rPr>
                <w:rFonts w:ascii="Arial" w:eastAsia="Arial" w:hAnsi="Arial" w:cs="Arial"/>
              </w:rPr>
            </w:pPr>
            <w:r>
              <w:rPr>
                <w:rFonts w:ascii="Arial" w:eastAsia="Arial" w:hAnsi="Arial" w:cs="Arial"/>
              </w:rPr>
              <w:t>21</w:t>
            </w:r>
          </w:p>
        </w:tc>
        <w:tc>
          <w:tcPr>
            <w:tcW w:w="2145" w:type="dxa"/>
            <w:tcBorders>
              <w:top w:val="single" w:sz="6" w:space="0" w:color="000000"/>
              <w:left w:val="nil"/>
              <w:bottom w:val="nil"/>
              <w:right w:val="nil"/>
            </w:tcBorders>
            <w:shd w:val="clear" w:color="auto" w:fill="FFFFFF"/>
          </w:tcPr>
          <w:p w14:paraId="52C74213" w14:textId="77777777" w:rsidR="00382604" w:rsidRDefault="00F91166">
            <w:pPr>
              <w:spacing w:before="240"/>
              <w:jc w:val="center"/>
              <w:rPr>
                <w:rFonts w:ascii="Arial" w:eastAsia="Arial" w:hAnsi="Arial" w:cs="Arial"/>
              </w:rPr>
            </w:pPr>
            <w:r>
              <w:rPr>
                <w:rFonts w:ascii="Arial" w:eastAsia="Arial" w:hAnsi="Arial" w:cs="Arial"/>
              </w:rPr>
              <w:t>9.86</w:t>
            </w:r>
          </w:p>
        </w:tc>
      </w:tr>
      <w:tr w:rsidR="00382604" w14:paraId="07A637CA" w14:textId="77777777">
        <w:trPr>
          <w:trHeight w:val="264"/>
        </w:trPr>
        <w:tc>
          <w:tcPr>
            <w:tcW w:w="2355" w:type="dxa"/>
            <w:gridSpan w:val="2"/>
            <w:tcBorders>
              <w:top w:val="nil"/>
              <w:left w:val="nil"/>
              <w:bottom w:val="nil"/>
              <w:right w:val="nil"/>
            </w:tcBorders>
            <w:shd w:val="clear" w:color="auto" w:fill="FFFFFF"/>
          </w:tcPr>
          <w:p w14:paraId="1B08B71F" w14:textId="77777777" w:rsidR="00382604" w:rsidRDefault="00F91166">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tcPr>
          <w:p w14:paraId="3865EBF1"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tcPr>
          <w:p w14:paraId="3919418F" w14:textId="77777777" w:rsidR="00382604" w:rsidRDefault="00F91166">
            <w:pPr>
              <w:spacing w:line="480" w:lineRule="auto"/>
              <w:jc w:val="center"/>
              <w:rPr>
                <w:rFonts w:ascii="Arial" w:eastAsia="Arial" w:hAnsi="Arial" w:cs="Arial"/>
              </w:rPr>
            </w:pPr>
            <w:r>
              <w:rPr>
                <w:rFonts w:ascii="Arial" w:eastAsia="Arial" w:hAnsi="Arial" w:cs="Arial"/>
              </w:rPr>
              <w:t>40</w:t>
            </w:r>
          </w:p>
        </w:tc>
        <w:tc>
          <w:tcPr>
            <w:tcW w:w="2145" w:type="dxa"/>
            <w:tcBorders>
              <w:top w:val="nil"/>
              <w:left w:val="nil"/>
              <w:bottom w:val="nil"/>
              <w:right w:val="nil"/>
            </w:tcBorders>
            <w:shd w:val="clear" w:color="auto" w:fill="FFFFFF"/>
          </w:tcPr>
          <w:p w14:paraId="18F4EFF5" w14:textId="77777777" w:rsidR="00382604" w:rsidRDefault="00F91166">
            <w:pPr>
              <w:jc w:val="center"/>
              <w:rPr>
                <w:rFonts w:ascii="Arial" w:eastAsia="Arial" w:hAnsi="Arial" w:cs="Arial"/>
              </w:rPr>
            </w:pPr>
            <w:r>
              <w:rPr>
                <w:rFonts w:ascii="Arial" w:eastAsia="Arial" w:hAnsi="Arial" w:cs="Arial"/>
              </w:rPr>
              <w:t>18.78</w:t>
            </w:r>
          </w:p>
        </w:tc>
      </w:tr>
      <w:tr w:rsidR="00382604" w14:paraId="0DA756FD" w14:textId="77777777">
        <w:trPr>
          <w:trHeight w:val="264"/>
        </w:trPr>
        <w:tc>
          <w:tcPr>
            <w:tcW w:w="2355" w:type="dxa"/>
            <w:gridSpan w:val="2"/>
            <w:tcBorders>
              <w:top w:val="nil"/>
              <w:left w:val="nil"/>
              <w:bottom w:val="nil"/>
              <w:right w:val="nil"/>
            </w:tcBorders>
            <w:shd w:val="clear" w:color="auto" w:fill="FFFFFF"/>
          </w:tcPr>
          <w:p w14:paraId="0EB6F330" w14:textId="77777777" w:rsidR="00382604" w:rsidRDefault="00F91166">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tcPr>
          <w:p w14:paraId="1B9C31C3"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tcPr>
          <w:p w14:paraId="522DB797" w14:textId="77777777" w:rsidR="00382604" w:rsidRDefault="00F91166">
            <w:pPr>
              <w:spacing w:line="480" w:lineRule="auto"/>
              <w:jc w:val="center"/>
              <w:rPr>
                <w:rFonts w:ascii="Arial" w:eastAsia="Arial" w:hAnsi="Arial" w:cs="Arial"/>
              </w:rPr>
            </w:pPr>
            <w:r>
              <w:rPr>
                <w:rFonts w:ascii="Arial" w:eastAsia="Arial" w:hAnsi="Arial" w:cs="Arial"/>
              </w:rPr>
              <w:t>52</w:t>
            </w:r>
          </w:p>
        </w:tc>
        <w:tc>
          <w:tcPr>
            <w:tcW w:w="2145" w:type="dxa"/>
            <w:tcBorders>
              <w:top w:val="nil"/>
              <w:left w:val="nil"/>
              <w:bottom w:val="nil"/>
              <w:right w:val="nil"/>
            </w:tcBorders>
            <w:shd w:val="clear" w:color="auto" w:fill="FFFFFF"/>
          </w:tcPr>
          <w:p w14:paraId="3EE90D13" w14:textId="77777777" w:rsidR="00382604" w:rsidRDefault="00F91166">
            <w:pPr>
              <w:jc w:val="center"/>
              <w:rPr>
                <w:rFonts w:ascii="Arial" w:eastAsia="Arial" w:hAnsi="Arial" w:cs="Arial"/>
              </w:rPr>
            </w:pPr>
            <w:r>
              <w:rPr>
                <w:rFonts w:ascii="Arial" w:eastAsia="Arial" w:hAnsi="Arial" w:cs="Arial"/>
              </w:rPr>
              <w:t>24.41</w:t>
            </w:r>
          </w:p>
        </w:tc>
      </w:tr>
      <w:tr w:rsidR="00382604" w14:paraId="16FAB6B1" w14:textId="77777777">
        <w:trPr>
          <w:trHeight w:val="264"/>
        </w:trPr>
        <w:tc>
          <w:tcPr>
            <w:tcW w:w="2355" w:type="dxa"/>
            <w:gridSpan w:val="2"/>
            <w:tcBorders>
              <w:top w:val="nil"/>
              <w:left w:val="nil"/>
              <w:bottom w:val="nil"/>
              <w:right w:val="nil"/>
            </w:tcBorders>
            <w:shd w:val="clear" w:color="auto" w:fill="FFFFFF"/>
          </w:tcPr>
          <w:p w14:paraId="67C0ED84" w14:textId="77777777" w:rsidR="00382604" w:rsidRDefault="00F91166">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tcPr>
          <w:p w14:paraId="6F64D756"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tcPr>
          <w:p w14:paraId="0AA5FE26" w14:textId="77777777" w:rsidR="00382604" w:rsidRDefault="00F91166">
            <w:pPr>
              <w:spacing w:line="480" w:lineRule="auto"/>
              <w:jc w:val="center"/>
              <w:rPr>
                <w:rFonts w:ascii="Arial" w:eastAsia="Arial" w:hAnsi="Arial" w:cs="Arial"/>
              </w:rPr>
            </w:pPr>
            <w:r>
              <w:rPr>
                <w:rFonts w:ascii="Arial" w:eastAsia="Arial" w:hAnsi="Arial" w:cs="Arial"/>
              </w:rPr>
              <w:t>72</w:t>
            </w:r>
          </w:p>
        </w:tc>
        <w:tc>
          <w:tcPr>
            <w:tcW w:w="2145" w:type="dxa"/>
            <w:tcBorders>
              <w:top w:val="nil"/>
              <w:left w:val="nil"/>
              <w:bottom w:val="nil"/>
              <w:right w:val="nil"/>
            </w:tcBorders>
            <w:shd w:val="clear" w:color="auto" w:fill="FFFFFF"/>
          </w:tcPr>
          <w:p w14:paraId="1D13ADAE" w14:textId="77777777" w:rsidR="00382604" w:rsidRDefault="00F91166">
            <w:pPr>
              <w:jc w:val="center"/>
              <w:rPr>
                <w:rFonts w:ascii="Arial" w:eastAsia="Arial" w:hAnsi="Arial" w:cs="Arial"/>
              </w:rPr>
            </w:pPr>
            <w:r>
              <w:rPr>
                <w:rFonts w:ascii="Arial" w:eastAsia="Arial" w:hAnsi="Arial" w:cs="Arial"/>
              </w:rPr>
              <w:t>33.80</w:t>
            </w:r>
          </w:p>
        </w:tc>
      </w:tr>
      <w:tr w:rsidR="00382604" w14:paraId="3CE94738" w14:textId="77777777">
        <w:trPr>
          <w:trHeight w:val="264"/>
        </w:trPr>
        <w:tc>
          <w:tcPr>
            <w:tcW w:w="2355" w:type="dxa"/>
            <w:gridSpan w:val="2"/>
            <w:tcBorders>
              <w:top w:val="nil"/>
              <w:left w:val="nil"/>
              <w:bottom w:val="single" w:sz="6" w:space="0" w:color="000000"/>
              <w:right w:val="nil"/>
            </w:tcBorders>
            <w:shd w:val="clear" w:color="auto" w:fill="FFFFFF"/>
          </w:tcPr>
          <w:p w14:paraId="2B3F6CE8" w14:textId="77777777" w:rsidR="00382604" w:rsidRDefault="00F91166">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tcPr>
          <w:p w14:paraId="3B41DA7F"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tcPr>
          <w:p w14:paraId="68680849" w14:textId="77777777" w:rsidR="00382604" w:rsidRDefault="00F91166">
            <w:pPr>
              <w:spacing w:line="480" w:lineRule="auto"/>
              <w:jc w:val="center"/>
              <w:rPr>
                <w:rFonts w:ascii="Arial" w:eastAsia="Arial" w:hAnsi="Arial" w:cs="Arial"/>
              </w:rPr>
            </w:pPr>
            <w:r>
              <w:rPr>
                <w:rFonts w:ascii="Arial" w:eastAsia="Arial" w:hAnsi="Arial" w:cs="Arial"/>
              </w:rPr>
              <w:t>28</w:t>
            </w:r>
          </w:p>
        </w:tc>
        <w:tc>
          <w:tcPr>
            <w:tcW w:w="2145" w:type="dxa"/>
            <w:tcBorders>
              <w:top w:val="nil"/>
              <w:left w:val="nil"/>
              <w:bottom w:val="single" w:sz="6" w:space="0" w:color="000000"/>
              <w:right w:val="nil"/>
            </w:tcBorders>
            <w:shd w:val="clear" w:color="auto" w:fill="FFFFFF"/>
          </w:tcPr>
          <w:p w14:paraId="7A12C3AA" w14:textId="77777777" w:rsidR="00382604" w:rsidRDefault="00F91166">
            <w:pPr>
              <w:jc w:val="center"/>
              <w:rPr>
                <w:rFonts w:ascii="Arial" w:eastAsia="Arial" w:hAnsi="Arial" w:cs="Arial"/>
              </w:rPr>
            </w:pPr>
            <w:r>
              <w:rPr>
                <w:rFonts w:ascii="Arial" w:eastAsia="Arial" w:hAnsi="Arial" w:cs="Arial"/>
              </w:rPr>
              <w:t>13.15</w:t>
            </w:r>
          </w:p>
        </w:tc>
      </w:tr>
      <w:tr w:rsidR="00382604" w14:paraId="58B76E47"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5C5E0FED" w14:textId="77777777" w:rsidR="00382604" w:rsidRDefault="00382604">
            <w:pPr>
              <w:spacing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1F95D61C" w14:textId="77777777" w:rsidR="00382604" w:rsidRDefault="00F91166">
            <w:pPr>
              <w:spacing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5243AFEF" w14:textId="77777777" w:rsidR="00382604" w:rsidRDefault="00F91166">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09C153C5" w14:textId="77777777" w:rsidR="00382604" w:rsidRDefault="00382604">
            <w:pPr>
              <w:jc w:val="center"/>
              <w:rPr>
                <w:rFonts w:ascii="Arial" w:eastAsia="Arial" w:hAnsi="Arial" w:cs="Arial"/>
              </w:rPr>
            </w:pPr>
          </w:p>
        </w:tc>
      </w:tr>
      <w:tr w:rsidR="00382604" w14:paraId="4FEDFCC9" w14:textId="77777777">
        <w:trPr>
          <w:trHeight w:val="344"/>
        </w:trPr>
        <w:tc>
          <w:tcPr>
            <w:tcW w:w="360" w:type="dxa"/>
            <w:tcBorders>
              <w:top w:val="single" w:sz="4" w:space="0" w:color="000000"/>
              <w:left w:val="nil"/>
              <w:bottom w:val="nil"/>
              <w:right w:val="nil"/>
            </w:tcBorders>
            <w:shd w:val="clear" w:color="auto" w:fill="FFFFFF"/>
            <w:vAlign w:val="center"/>
          </w:tcPr>
          <w:p w14:paraId="100E7F19" w14:textId="77777777" w:rsidR="00382604" w:rsidRDefault="00382604">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172EABBD" w14:textId="77777777" w:rsidR="00382604" w:rsidRDefault="00F91166">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747F3A56" w14:textId="77777777" w:rsidR="00382604" w:rsidRDefault="00F91166">
            <w:pPr>
              <w:spacing w:before="240" w:line="480" w:lineRule="auto"/>
              <w:rPr>
                <w:rFonts w:ascii="Arial" w:eastAsia="Arial" w:hAnsi="Arial" w:cs="Arial"/>
              </w:rPr>
            </w:pPr>
            <w:r>
              <w:rPr>
                <w:rFonts w:ascii="Arial" w:eastAsia="Arial" w:hAnsi="Arial" w:cs="Arial"/>
              </w:rPr>
              <w:t>2.78</w:t>
            </w:r>
          </w:p>
        </w:tc>
      </w:tr>
      <w:tr w:rsidR="00382604" w14:paraId="43795122" w14:textId="77777777">
        <w:tc>
          <w:tcPr>
            <w:tcW w:w="360" w:type="dxa"/>
            <w:tcBorders>
              <w:top w:val="nil"/>
              <w:left w:val="nil"/>
              <w:bottom w:val="nil"/>
              <w:right w:val="nil"/>
            </w:tcBorders>
            <w:shd w:val="clear" w:color="auto" w:fill="FFFFFF"/>
            <w:vAlign w:val="center"/>
          </w:tcPr>
          <w:p w14:paraId="78079B7C"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56E4D689"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24073497" w14:textId="77777777" w:rsidR="00382604" w:rsidRDefault="00F91166">
            <w:pPr>
              <w:spacing w:line="480" w:lineRule="auto"/>
              <w:rPr>
                <w:rFonts w:ascii="Arial" w:eastAsia="Arial" w:hAnsi="Arial" w:cs="Arial"/>
              </w:rPr>
            </w:pPr>
            <w:r>
              <w:rPr>
                <w:rFonts w:ascii="Arial" w:eastAsia="Arial" w:hAnsi="Arial" w:cs="Arial"/>
              </w:rPr>
              <w:t>Low</w:t>
            </w:r>
          </w:p>
        </w:tc>
      </w:tr>
      <w:tr w:rsidR="00382604" w14:paraId="3B0BF63B" w14:textId="77777777">
        <w:tc>
          <w:tcPr>
            <w:tcW w:w="360" w:type="dxa"/>
            <w:tcBorders>
              <w:top w:val="nil"/>
              <w:left w:val="nil"/>
              <w:bottom w:val="single" w:sz="6" w:space="0" w:color="000000"/>
              <w:right w:val="nil"/>
            </w:tcBorders>
            <w:shd w:val="clear" w:color="auto" w:fill="FFFFFF"/>
            <w:vAlign w:val="center"/>
          </w:tcPr>
          <w:p w14:paraId="202A5BBF"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140E726D" w14:textId="77777777" w:rsidR="00382604" w:rsidRDefault="00F91166">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09487061" w14:textId="77777777" w:rsidR="00382604" w:rsidRDefault="00F91166">
            <w:pPr>
              <w:spacing w:line="480" w:lineRule="auto"/>
              <w:rPr>
                <w:rFonts w:ascii="Arial" w:eastAsia="Arial" w:hAnsi="Arial" w:cs="Arial"/>
              </w:rPr>
            </w:pPr>
            <w:r>
              <w:rPr>
                <w:rFonts w:ascii="Arial" w:eastAsia="Arial" w:hAnsi="Arial" w:cs="Arial"/>
              </w:rPr>
              <w:t>1.18</w:t>
            </w:r>
          </w:p>
        </w:tc>
      </w:tr>
    </w:tbl>
    <w:p w14:paraId="54F209BA"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*Students level of Filipino Language Proficiency in terms of Gramatika (Grammar)</w:t>
      </w:r>
    </w:p>
    <w:p w14:paraId="646C0BAB" w14:textId="77777777" w:rsidR="00382604" w:rsidRDefault="00382604">
      <w:pPr>
        <w:jc w:val="both"/>
        <w:rPr>
          <w:rFonts w:ascii="Arial" w:eastAsia="Arial" w:hAnsi="Arial" w:cs="Arial"/>
          <w:i/>
          <w:color w:val="000000"/>
          <w:vertAlign w:val="subscript"/>
        </w:rPr>
      </w:pPr>
    </w:p>
    <w:p w14:paraId="20089CEE" w14:textId="77777777" w:rsidR="00382604" w:rsidRDefault="00F91166">
      <w:pPr>
        <w:jc w:val="both"/>
        <w:rPr>
          <w:rFonts w:ascii="Arial" w:eastAsia="Arial" w:hAnsi="Arial" w:cs="Arial"/>
          <w:color w:val="000000"/>
        </w:rPr>
      </w:pPr>
      <w:r>
        <w:rPr>
          <w:rFonts w:ascii="Arial" w:eastAsia="Arial" w:hAnsi="Arial" w:cs="Arial"/>
          <w:color w:val="000000"/>
        </w:rPr>
        <w:t xml:space="preserve">Table 12 presents data on Junior High School Students’ Filipino language proficiency in writing, specifically in terms of Gramatika (grammar). This refers to students' ability to construct sentences correctly in Filipino, adhering to proper structure, syntax, and word usage. </w:t>
      </w:r>
      <w:r>
        <w:rPr>
          <w:rFonts w:ascii="Arial" w:eastAsia="Arial" w:hAnsi="Arial" w:cs="Arial"/>
          <w:color w:val="000000"/>
        </w:rPr>
        <w:lastRenderedPageBreak/>
        <w:t>A strong grasp of grammar enhances the coherence and effectiveness of writing (Myhill, 2018).</w:t>
      </w:r>
    </w:p>
    <w:p w14:paraId="057908F7" w14:textId="77777777" w:rsidR="00382604" w:rsidRDefault="00382604">
      <w:pPr>
        <w:jc w:val="both"/>
        <w:rPr>
          <w:rFonts w:ascii="Arial" w:eastAsia="Arial" w:hAnsi="Arial" w:cs="Arial"/>
          <w:color w:val="000000"/>
        </w:rPr>
      </w:pPr>
    </w:p>
    <w:p w14:paraId="0F59AF8B" w14:textId="77777777" w:rsidR="00382604" w:rsidRDefault="00F91166">
      <w:pPr>
        <w:jc w:val="both"/>
        <w:rPr>
          <w:rFonts w:ascii="Arial" w:eastAsia="Arial" w:hAnsi="Arial" w:cs="Arial"/>
          <w:color w:val="000000"/>
        </w:rPr>
      </w:pPr>
      <w:r>
        <w:rPr>
          <w:rFonts w:ascii="Arial" w:eastAsia="Arial" w:hAnsi="Arial" w:cs="Arial"/>
          <w:color w:val="000000"/>
        </w:rPr>
        <w:t>The results indicate an overall mean score of 2.78, which falls under the "Low" category, suggesting that many students struggle with grammatical accuracy in Filipino. A significant 33.80% of students scored in the "Low" range, while 13.15% fell under "Very Low," highlighting challenges in sentence structure, verb conjugation, and grammatical rules</w:t>
      </w:r>
    </w:p>
    <w:p w14:paraId="7EB029BB" w14:textId="77777777" w:rsidR="00382604" w:rsidRDefault="00382604">
      <w:pPr>
        <w:jc w:val="both"/>
        <w:rPr>
          <w:rFonts w:ascii="Arial" w:eastAsia="Arial" w:hAnsi="Arial" w:cs="Arial"/>
          <w:color w:val="000000"/>
        </w:rPr>
      </w:pPr>
    </w:p>
    <w:p w14:paraId="473DDAA7" w14:textId="77777777" w:rsidR="00382604" w:rsidRDefault="00F91166">
      <w:pPr>
        <w:jc w:val="both"/>
        <w:rPr>
          <w:rFonts w:ascii="Arial" w:eastAsia="Arial" w:hAnsi="Arial" w:cs="Arial"/>
          <w:b/>
          <w:smallCaps/>
          <w:color w:val="000000"/>
          <w:vertAlign w:val="subscript"/>
        </w:rPr>
      </w:pPr>
      <w:r>
        <w:rPr>
          <w:rFonts w:ascii="Arial" w:eastAsia="Arial" w:hAnsi="Arial" w:cs="Arial"/>
          <w:color w:val="000000"/>
        </w:rPr>
        <w:t>On the other hand, while 18.78% achieved a "High" rating and 9.86% reached "Very High," these numbers indicate that only a small percentage of students demonstrate strong proficiency in Filipino grammar. These findings underscore the need for targeted instruction focusing on grammar exercises and sentence construction to help students develop greater accuracy and fluency in their writing.</w:t>
      </w:r>
    </w:p>
    <w:p w14:paraId="2AFA0BEA" w14:textId="77777777" w:rsidR="00382604" w:rsidRDefault="00382604">
      <w:pPr>
        <w:keepNext/>
        <w:jc w:val="both"/>
        <w:rPr>
          <w:rFonts w:ascii="Arial" w:eastAsia="Arial" w:hAnsi="Arial" w:cs="Arial"/>
          <w:b/>
          <w:smallCaps/>
          <w:color w:val="000000"/>
          <w:sz w:val="22"/>
          <w:szCs w:val="22"/>
        </w:rPr>
      </w:pPr>
    </w:p>
    <w:p w14:paraId="55A7E247" w14:textId="77777777" w:rsidR="00382604" w:rsidRDefault="00F91166">
      <w:pPr>
        <w:keepNext/>
        <w:jc w:val="both"/>
        <w:rPr>
          <w:rFonts w:ascii="Arial" w:eastAsia="Arial" w:hAnsi="Arial" w:cs="Arial"/>
          <w:b/>
          <w:color w:val="000000"/>
        </w:rPr>
      </w:pPr>
      <w:r>
        <w:rPr>
          <w:rFonts w:ascii="Arial" w:eastAsia="Arial" w:hAnsi="Arial" w:cs="Arial"/>
          <w:b/>
          <w:color w:val="000000"/>
        </w:rPr>
        <w:t>Table 13. Range, Interpretation, Frequency, and Percentage of the Extent of the Junior High School Students Level of Filipino Language Proficiency (</w:t>
      </w:r>
      <w:proofErr w:type="spellStart"/>
      <w:r>
        <w:rPr>
          <w:rFonts w:ascii="Arial" w:eastAsia="Arial" w:hAnsi="Arial" w:cs="Arial"/>
          <w:b/>
          <w:color w:val="000000"/>
        </w:rPr>
        <w:t>Organisasyon</w:t>
      </w:r>
      <w:proofErr w:type="spellEnd"/>
      <w:r>
        <w:rPr>
          <w:rFonts w:ascii="Arial" w:eastAsia="Arial" w:hAnsi="Arial" w:cs="Arial"/>
          <w:b/>
          <w:color w:val="000000"/>
        </w:rPr>
        <w:t>)</w:t>
      </w:r>
    </w:p>
    <w:tbl>
      <w:tblPr>
        <w:tblStyle w:val="Style86"/>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360"/>
        <w:gridCol w:w="1995"/>
        <w:gridCol w:w="925"/>
        <w:gridCol w:w="965"/>
        <w:gridCol w:w="1800"/>
        <w:gridCol w:w="2145"/>
      </w:tblGrid>
      <w:tr w:rsidR="00382604" w14:paraId="73B06959" w14:textId="77777777">
        <w:trPr>
          <w:trHeight w:val="271"/>
        </w:trPr>
        <w:tc>
          <w:tcPr>
            <w:tcW w:w="2355" w:type="dxa"/>
            <w:gridSpan w:val="2"/>
            <w:tcBorders>
              <w:top w:val="single" w:sz="6" w:space="0" w:color="000000"/>
              <w:left w:val="nil"/>
              <w:bottom w:val="single" w:sz="6" w:space="0" w:color="000000"/>
              <w:right w:val="nil"/>
            </w:tcBorders>
            <w:shd w:val="clear" w:color="auto" w:fill="FFFFFF"/>
            <w:vAlign w:val="center"/>
          </w:tcPr>
          <w:p w14:paraId="24A0A891"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2"/>
            <w:tcBorders>
              <w:top w:val="single" w:sz="6" w:space="0" w:color="000000"/>
              <w:left w:val="nil"/>
              <w:bottom w:val="single" w:sz="6" w:space="0" w:color="000000"/>
              <w:right w:val="nil"/>
            </w:tcBorders>
            <w:shd w:val="clear" w:color="auto" w:fill="FFFFFF"/>
            <w:vAlign w:val="center"/>
          </w:tcPr>
          <w:p w14:paraId="426F964C"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4DE5B05C"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7FAB8F96" w14:textId="77777777" w:rsidR="00382604" w:rsidRDefault="00F91166">
            <w:pPr>
              <w:jc w:val="center"/>
              <w:rPr>
                <w:rFonts w:ascii="Arial" w:eastAsia="Arial" w:hAnsi="Arial" w:cs="Arial"/>
                <w:b/>
              </w:rPr>
            </w:pPr>
            <w:r>
              <w:rPr>
                <w:rFonts w:ascii="Arial" w:eastAsia="Arial" w:hAnsi="Arial" w:cs="Arial"/>
                <w:b/>
              </w:rPr>
              <w:t>Percentage</w:t>
            </w:r>
          </w:p>
        </w:tc>
      </w:tr>
      <w:tr w:rsidR="00382604" w14:paraId="6BFE39CA" w14:textId="77777777">
        <w:tc>
          <w:tcPr>
            <w:tcW w:w="2355" w:type="dxa"/>
            <w:gridSpan w:val="2"/>
            <w:tcBorders>
              <w:top w:val="single" w:sz="6" w:space="0" w:color="000000"/>
              <w:left w:val="nil"/>
              <w:bottom w:val="nil"/>
              <w:right w:val="nil"/>
            </w:tcBorders>
            <w:shd w:val="clear" w:color="auto" w:fill="FFFFFF"/>
            <w:vAlign w:val="center"/>
          </w:tcPr>
          <w:p w14:paraId="51C65EE9" w14:textId="77777777" w:rsidR="00382604" w:rsidRDefault="00F91166">
            <w:pPr>
              <w:spacing w:before="240" w:line="480" w:lineRule="auto"/>
              <w:jc w:val="center"/>
              <w:rPr>
                <w:rFonts w:ascii="Arial" w:eastAsia="Arial" w:hAnsi="Arial" w:cs="Arial"/>
              </w:rPr>
            </w:pPr>
            <w:r>
              <w:rPr>
                <w:rFonts w:ascii="Arial" w:eastAsia="Arial" w:hAnsi="Arial" w:cs="Arial"/>
              </w:rPr>
              <w:t>4.21 - 5.00</w:t>
            </w:r>
          </w:p>
        </w:tc>
        <w:tc>
          <w:tcPr>
            <w:tcW w:w="1890" w:type="dxa"/>
            <w:gridSpan w:val="2"/>
            <w:tcBorders>
              <w:top w:val="single" w:sz="6" w:space="0" w:color="000000"/>
              <w:left w:val="nil"/>
              <w:bottom w:val="nil"/>
              <w:right w:val="nil"/>
            </w:tcBorders>
            <w:shd w:val="clear" w:color="auto" w:fill="FFFFFF"/>
            <w:vAlign w:val="center"/>
          </w:tcPr>
          <w:p w14:paraId="4233F9EB"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5F078E13" w14:textId="77777777" w:rsidR="00382604" w:rsidRDefault="00F91166">
            <w:pPr>
              <w:spacing w:before="240" w:line="480" w:lineRule="auto"/>
              <w:jc w:val="center"/>
              <w:rPr>
                <w:rFonts w:ascii="Arial" w:eastAsia="Arial" w:hAnsi="Arial" w:cs="Arial"/>
              </w:rPr>
            </w:pPr>
            <w:r>
              <w:rPr>
                <w:rFonts w:ascii="Arial" w:eastAsia="Arial" w:hAnsi="Arial" w:cs="Arial"/>
              </w:rPr>
              <w:t>24</w:t>
            </w:r>
          </w:p>
        </w:tc>
        <w:tc>
          <w:tcPr>
            <w:tcW w:w="2145" w:type="dxa"/>
            <w:tcBorders>
              <w:top w:val="single" w:sz="6" w:space="0" w:color="000000"/>
              <w:left w:val="nil"/>
              <w:bottom w:val="nil"/>
              <w:right w:val="nil"/>
            </w:tcBorders>
            <w:shd w:val="clear" w:color="auto" w:fill="FFFFFF"/>
          </w:tcPr>
          <w:p w14:paraId="3FE269B6" w14:textId="77777777" w:rsidR="00382604" w:rsidRDefault="00F91166">
            <w:pPr>
              <w:spacing w:before="240"/>
              <w:jc w:val="center"/>
              <w:rPr>
                <w:rFonts w:ascii="Arial" w:eastAsia="Arial" w:hAnsi="Arial" w:cs="Arial"/>
              </w:rPr>
            </w:pPr>
            <w:r>
              <w:rPr>
                <w:rFonts w:ascii="Arial" w:eastAsia="Arial" w:hAnsi="Arial" w:cs="Arial"/>
              </w:rPr>
              <w:t>11.27</w:t>
            </w:r>
          </w:p>
        </w:tc>
      </w:tr>
      <w:tr w:rsidR="00382604" w14:paraId="05B3170B" w14:textId="77777777">
        <w:trPr>
          <w:trHeight w:val="264"/>
        </w:trPr>
        <w:tc>
          <w:tcPr>
            <w:tcW w:w="2355" w:type="dxa"/>
            <w:gridSpan w:val="2"/>
            <w:tcBorders>
              <w:top w:val="nil"/>
              <w:left w:val="nil"/>
              <w:bottom w:val="nil"/>
              <w:right w:val="nil"/>
            </w:tcBorders>
            <w:shd w:val="clear" w:color="auto" w:fill="FFFFFF"/>
            <w:vAlign w:val="center"/>
          </w:tcPr>
          <w:p w14:paraId="12FBEFF3" w14:textId="77777777" w:rsidR="00382604" w:rsidRDefault="00F91166">
            <w:pPr>
              <w:spacing w:line="480" w:lineRule="auto"/>
              <w:jc w:val="center"/>
              <w:rPr>
                <w:rFonts w:ascii="Arial" w:eastAsia="Arial" w:hAnsi="Arial" w:cs="Arial"/>
              </w:rPr>
            </w:pPr>
            <w:r>
              <w:rPr>
                <w:rFonts w:ascii="Arial" w:eastAsia="Arial" w:hAnsi="Arial" w:cs="Arial"/>
              </w:rPr>
              <w:t>3.41 - 4.20</w:t>
            </w:r>
          </w:p>
        </w:tc>
        <w:tc>
          <w:tcPr>
            <w:tcW w:w="1890" w:type="dxa"/>
            <w:gridSpan w:val="2"/>
            <w:tcBorders>
              <w:top w:val="nil"/>
              <w:left w:val="nil"/>
              <w:bottom w:val="nil"/>
              <w:right w:val="nil"/>
            </w:tcBorders>
            <w:shd w:val="clear" w:color="auto" w:fill="FFFFFF"/>
            <w:vAlign w:val="center"/>
          </w:tcPr>
          <w:p w14:paraId="6630F09A"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7E8B2E0A" w14:textId="77777777" w:rsidR="00382604" w:rsidRDefault="00F91166">
            <w:pPr>
              <w:spacing w:line="480" w:lineRule="auto"/>
              <w:jc w:val="center"/>
              <w:rPr>
                <w:rFonts w:ascii="Arial" w:eastAsia="Arial" w:hAnsi="Arial" w:cs="Arial"/>
              </w:rPr>
            </w:pPr>
            <w:r>
              <w:rPr>
                <w:rFonts w:ascii="Arial" w:eastAsia="Arial" w:hAnsi="Arial" w:cs="Arial"/>
              </w:rPr>
              <w:t>29</w:t>
            </w:r>
          </w:p>
        </w:tc>
        <w:tc>
          <w:tcPr>
            <w:tcW w:w="2145" w:type="dxa"/>
            <w:tcBorders>
              <w:top w:val="nil"/>
              <w:left w:val="nil"/>
              <w:bottom w:val="nil"/>
              <w:right w:val="nil"/>
            </w:tcBorders>
            <w:shd w:val="clear" w:color="auto" w:fill="FFFFFF"/>
          </w:tcPr>
          <w:p w14:paraId="3C723DA1" w14:textId="77777777" w:rsidR="00382604" w:rsidRDefault="00F91166">
            <w:pPr>
              <w:jc w:val="center"/>
              <w:rPr>
                <w:rFonts w:ascii="Arial" w:eastAsia="Arial" w:hAnsi="Arial" w:cs="Arial"/>
              </w:rPr>
            </w:pPr>
            <w:r>
              <w:rPr>
                <w:rFonts w:ascii="Arial" w:eastAsia="Arial" w:hAnsi="Arial" w:cs="Arial"/>
              </w:rPr>
              <w:t>13.62</w:t>
            </w:r>
          </w:p>
        </w:tc>
      </w:tr>
      <w:tr w:rsidR="00382604" w14:paraId="27BA7D1E" w14:textId="77777777">
        <w:trPr>
          <w:trHeight w:val="264"/>
        </w:trPr>
        <w:tc>
          <w:tcPr>
            <w:tcW w:w="2355" w:type="dxa"/>
            <w:gridSpan w:val="2"/>
            <w:tcBorders>
              <w:top w:val="nil"/>
              <w:left w:val="nil"/>
              <w:bottom w:val="nil"/>
              <w:right w:val="nil"/>
            </w:tcBorders>
            <w:shd w:val="clear" w:color="auto" w:fill="FFFFFF"/>
            <w:vAlign w:val="center"/>
          </w:tcPr>
          <w:p w14:paraId="4287B466" w14:textId="77777777" w:rsidR="00382604" w:rsidRDefault="00F91166">
            <w:pPr>
              <w:spacing w:line="480" w:lineRule="auto"/>
              <w:jc w:val="center"/>
              <w:rPr>
                <w:rFonts w:ascii="Arial" w:eastAsia="Arial" w:hAnsi="Arial" w:cs="Arial"/>
              </w:rPr>
            </w:pPr>
            <w:r>
              <w:rPr>
                <w:rFonts w:ascii="Arial" w:eastAsia="Arial" w:hAnsi="Arial" w:cs="Arial"/>
              </w:rPr>
              <w:t>2.61 - 3.40</w:t>
            </w:r>
          </w:p>
        </w:tc>
        <w:tc>
          <w:tcPr>
            <w:tcW w:w="1890" w:type="dxa"/>
            <w:gridSpan w:val="2"/>
            <w:tcBorders>
              <w:top w:val="nil"/>
              <w:left w:val="nil"/>
              <w:bottom w:val="nil"/>
              <w:right w:val="nil"/>
            </w:tcBorders>
            <w:shd w:val="clear" w:color="auto" w:fill="FFFFFF"/>
            <w:vAlign w:val="center"/>
          </w:tcPr>
          <w:p w14:paraId="6B2077C2"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579F2AFC" w14:textId="77777777" w:rsidR="00382604" w:rsidRDefault="00F91166">
            <w:pPr>
              <w:spacing w:line="480" w:lineRule="auto"/>
              <w:jc w:val="center"/>
              <w:rPr>
                <w:rFonts w:ascii="Arial" w:eastAsia="Arial" w:hAnsi="Arial" w:cs="Arial"/>
              </w:rPr>
            </w:pPr>
            <w:r>
              <w:rPr>
                <w:rFonts w:ascii="Arial" w:eastAsia="Arial" w:hAnsi="Arial" w:cs="Arial"/>
              </w:rPr>
              <w:t>53</w:t>
            </w:r>
          </w:p>
        </w:tc>
        <w:tc>
          <w:tcPr>
            <w:tcW w:w="2145" w:type="dxa"/>
            <w:tcBorders>
              <w:top w:val="nil"/>
              <w:left w:val="nil"/>
              <w:bottom w:val="nil"/>
              <w:right w:val="nil"/>
            </w:tcBorders>
            <w:shd w:val="clear" w:color="auto" w:fill="FFFFFF"/>
          </w:tcPr>
          <w:p w14:paraId="1040F9C4" w14:textId="77777777" w:rsidR="00382604" w:rsidRDefault="00F91166">
            <w:pPr>
              <w:jc w:val="center"/>
              <w:rPr>
                <w:rFonts w:ascii="Arial" w:eastAsia="Arial" w:hAnsi="Arial" w:cs="Arial"/>
              </w:rPr>
            </w:pPr>
            <w:r>
              <w:rPr>
                <w:rFonts w:ascii="Arial" w:eastAsia="Arial" w:hAnsi="Arial" w:cs="Arial"/>
              </w:rPr>
              <w:t>24.88</w:t>
            </w:r>
          </w:p>
        </w:tc>
      </w:tr>
      <w:tr w:rsidR="00382604" w14:paraId="26A07F49" w14:textId="77777777">
        <w:trPr>
          <w:trHeight w:val="264"/>
        </w:trPr>
        <w:tc>
          <w:tcPr>
            <w:tcW w:w="2355" w:type="dxa"/>
            <w:gridSpan w:val="2"/>
            <w:tcBorders>
              <w:top w:val="nil"/>
              <w:left w:val="nil"/>
              <w:bottom w:val="nil"/>
              <w:right w:val="nil"/>
            </w:tcBorders>
            <w:shd w:val="clear" w:color="auto" w:fill="FFFFFF"/>
            <w:vAlign w:val="center"/>
          </w:tcPr>
          <w:p w14:paraId="385EA21E" w14:textId="77777777" w:rsidR="00382604" w:rsidRDefault="00F91166">
            <w:pPr>
              <w:spacing w:line="480" w:lineRule="auto"/>
              <w:jc w:val="center"/>
              <w:rPr>
                <w:rFonts w:ascii="Arial" w:eastAsia="Arial" w:hAnsi="Arial" w:cs="Arial"/>
              </w:rPr>
            </w:pPr>
            <w:r>
              <w:rPr>
                <w:rFonts w:ascii="Arial" w:eastAsia="Arial" w:hAnsi="Arial" w:cs="Arial"/>
              </w:rPr>
              <w:t>1.81 - 2.60</w:t>
            </w:r>
          </w:p>
        </w:tc>
        <w:tc>
          <w:tcPr>
            <w:tcW w:w="1890" w:type="dxa"/>
            <w:gridSpan w:val="2"/>
            <w:tcBorders>
              <w:top w:val="nil"/>
              <w:left w:val="nil"/>
              <w:bottom w:val="nil"/>
              <w:right w:val="nil"/>
            </w:tcBorders>
            <w:shd w:val="clear" w:color="auto" w:fill="FFFFFF"/>
            <w:vAlign w:val="center"/>
          </w:tcPr>
          <w:p w14:paraId="217E37E9"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0233A56A" w14:textId="77777777" w:rsidR="00382604" w:rsidRDefault="00F91166">
            <w:pPr>
              <w:spacing w:line="480" w:lineRule="auto"/>
              <w:jc w:val="center"/>
              <w:rPr>
                <w:rFonts w:ascii="Arial" w:eastAsia="Arial" w:hAnsi="Arial" w:cs="Arial"/>
              </w:rPr>
            </w:pPr>
            <w:r>
              <w:rPr>
                <w:rFonts w:ascii="Arial" w:eastAsia="Arial" w:hAnsi="Arial" w:cs="Arial"/>
              </w:rPr>
              <w:t>61</w:t>
            </w:r>
          </w:p>
        </w:tc>
        <w:tc>
          <w:tcPr>
            <w:tcW w:w="2145" w:type="dxa"/>
            <w:tcBorders>
              <w:top w:val="nil"/>
              <w:left w:val="nil"/>
              <w:bottom w:val="nil"/>
              <w:right w:val="nil"/>
            </w:tcBorders>
            <w:shd w:val="clear" w:color="auto" w:fill="FFFFFF"/>
          </w:tcPr>
          <w:p w14:paraId="125D76BA" w14:textId="77777777" w:rsidR="00382604" w:rsidRDefault="00F91166">
            <w:pPr>
              <w:jc w:val="center"/>
              <w:rPr>
                <w:rFonts w:ascii="Arial" w:eastAsia="Arial" w:hAnsi="Arial" w:cs="Arial"/>
              </w:rPr>
            </w:pPr>
            <w:r>
              <w:rPr>
                <w:rFonts w:ascii="Arial" w:eastAsia="Arial" w:hAnsi="Arial" w:cs="Arial"/>
              </w:rPr>
              <w:t>28.64</w:t>
            </w:r>
          </w:p>
        </w:tc>
      </w:tr>
      <w:tr w:rsidR="00382604" w14:paraId="60662F66" w14:textId="77777777">
        <w:trPr>
          <w:trHeight w:val="264"/>
        </w:trPr>
        <w:tc>
          <w:tcPr>
            <w:tcW w:w="2355" w:type="dxa"/>
            <w:gridSpan w:val="2"/>
            <w:tcBorders>
              <w:top w:val="nil"/>
              <w:left w:val="nil"/>
              <w:bottom w:val="single" w:sz="6" w:space="0" w:color="000000"/>
              <w:right w:val="nil"/>
            </w:tcBorders>
            <w:shd w:val="clear" w:color="auto" w:fill="FFFFFF"/>
            <w:vAlign w:val="center"/>
          </w:tcPr>
          <w:p w14:paraId="763FE976" w14:textId="77777777" w:rsidR="00382604" w:rsidRDefault="00F91166">
            <w:pPr>
              <w:spacing w:line="480" w:lineRule="auto"/>
              <w:jc w:val="center"/>
              <w:rPr>
                <w:rFonts w:ascii="Arial" w:eastAsia="Arial" w:hAnsi="Arial" w:cs="Arial"/>
              </w:rPr>
            </w:pPr>
            <w:r>
              <w:rPr>
                <w:rFonts w:ascii="Arial" w:eastAsia="Arial" w:hAnsi="Arial" w:cs="Arial"/>
              </w:rPr>
              <w:t>1.00 - 1.80</w:t>
            </w:r>
          </w:p>
        </w:tc>
        <w:tc>
          <w:tcPr>
            <w:tcW w:w="1890" w:type="dxa"/>
            <w:gridSpan w:val="2"/>
            <w:tcBorders>
              <w:top w:val="nil"/>
              <w:left w:val="nil"/>
              <w:bottom w:val="single" w:sz="6" w:space="0" w:color="000000"/>
              <w:right w:val="nil"/>
            </w:tcBorders>
            <w:shd w:val="clear" w:color="auto" w:fill="FFFFFF"/>
            <w:vAlign w:val="center"/>
          </w:tcPr>
          <w:p w14:paraId="0CEC3AD2"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5D9953F1" w14:textId="77777777" w:rsidR="00382604" w:rsidRDefault="00F91166">
            <w:pPr>
              <w:spacing w:line="480" w:lineRule="auto"/>
              <w:jc w:val="center"/>
              <w:rPr>
                <w:rFonts w:ascii="Arial" w:eastAsia="Arial" w:hAnsi="Arial" w:cs="Arial"/>
              </w:rPr>
            </w:pPr>
            <w:r>
              <w:rPr>
                <w:rFonts w:ascii="Arial" w:eastAsia="Arial" w:hAnsi="Arial" w:cs="Arial"/>
              </w:rPr>
              <w:t>46</w:t>
            </w:r>
          </w:p>
        </w:tc>
        <w:tc>
          <w:tcPr>
            <w:tcW w:w="2145" w:type="dxa"/>
            <w:tcBorders>
              <w:top w:val="nil"/>
              <w:left w:val="nil"/>
              <w:bottom w:val="single" w:sz="6" w:space="0" w:color="000000"/>
              <w:right w:val="nil"/>
            </w:tcBorders>
            <w:shd w:val="clear" w:color="auto" w:fill="FFFFFF"/>
          </w:tcPr>
          <w:p w14:paraId="5E363398" w14:textId="77777777" w:rsidR="00382604" w:rsidRDefault="00F91166">
            <w:pPr>
              <w:jc w:val="center"/>
              <w:rPr>
                <w:rFonts w:ascii="Arial" w:eastAsia="Arial" w:hAnsi="Arial" w:cs="Arial"/>
              </w:rPr>
            </w:pPr>
            <w:r>
              <w:rPr>
                <w:rFonts w:ascii="Arial" w:eastAsia="Arial" w:hAnsi="Arial" w:cs="Arial"/>
              </w:rPr>
              <w:t>21.60</w:t>
            </w:r>
          </w:p>
        </w:tc>
      </w:tr>
      <w:tr w:rsidR="00382604" w14:paraId="61B1ABB9" w14:textId="77777777">
        <w:trPr>
          <w:trHeight w:val="159"/>
        </w:trPr>
        <w:tc>
          <w:tcPr>
            <w:tcW w:w="360" w:type="dxa"/>
            <w:tcBorders>
              <w:top w:val="single" w:sz="6" w:space="0" w:color="000000"/>
              <w:left w:val="nil"/>
              <w:bottom w:val="single" w:sz="4" w:space="0" w:color="000000"/>
              <w:right w:val="nil"/>
            </w:tcBorders>
            <w:shd w:val="clear" w:color="auto" w:fill="FFFFFF"/>
            <w:vAlign w:val="center"/>
          </w:tcPr>
          <w:p w14:paraId="4B354C72" w14:textId="77777777" w:rsidR="00382604" w:rsidRDefault="00382604">
            <w:pPr>
              <w:spacing w:before="240" w:line="480" w:lineRule="auto"/>
              <w:jc w:val="center"/>
              <w:rPr>
                <w:rFonts w:ascii="Arial" w:eastAsia="Arial" w:hAnsi="Arial" w:cs="Arial"/>
              </w:rPr>
            </w:pPr>
          </w:p>
        </w:tc>
        <w:tc>
          <w:tcPr>
            <w:tcW w:w="3885" w:type="dxa"/>
            <w:gridSpan w:val="3"/>
            <w:tcBorders>
              <w:top w:val="single" w:sz="6" w:space="0" w:color="000000"/>
              <w:left w:val="nil"/>
              <w:bottom w:val="single" w:sz="4" w:space="0" w:color="000000"/>
              <w:right w:val="nil"/>
            </w:tcBorders>
            <w:shd w:val="clear" w:color="auto" w:fill="FFFFFF"/>
            <w:vAlign w:val="center"/>
          </w:tcPr>
          <w:p w14:paraId="56C29CEF" w14:textId="77777777" w:rsidR="00382604" w:rsidRDefault="00F91166">
            <w:pPr>
              <w:spacing w:before="240" w:line="480" w:lineRule="auto"/>
              <w:rPr>
                <w:rFonts w:ascii="Arial" w:eastAsia="Arial" w:hAnsi="Arial" w:cs="Arial"/>
              </w:rPr>
            </w:pPr>
            <w:r>
              <w:rPr>
                <w:rFonts w:ascii="Arial" w:eastAsia="Arial" w:hAnsi="Arial" w:cs="Arial"/>
                <w:b/>
              </w:rPr>
              <w:t>Total</w:t>
            </w:r>
          </w:p>
        </w:tc>
        <w:tc>
          <w:tcPr>
            <w:tcW w:w="1800" w:type="dxa"/>
            <w:tcBorders>
              <w:top w:val="single" w:sz="6" w:space="0" w:color="000000"/>
              <w:left w:val="nil"/>
              <w:bottom w:val="single" w:sz="4" w:space="0" w:color="000000"/>
              <w:right w:val="nil"/>
            </w:tcBorders>
            <w:shd w:val="clear" w:color="auto" w:fill="FFFFFF"/>
            <w:vAlign w:val="center"/>
          </w:tcPr>
          <w:p w14:paraId="030B6FC5" w14:textId="77777777" w:rsidR="00382604" w:rsidRDefault="00F91166">
            <w:pPr>
              <w:spacing w:before="240"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68CB7E1A" w14:textId="77777777" w:rsidR="00382604" w:rsidRDefault="00F91166">
            <w:pPr>
              <w:jc w:val="center"/>
              <w:rPr>
                <w:rFonts w:ascii="Arial" w:eastAsia="Arial" w:hAnsi="Arial" w:cs="Arial"/>
              </w:rPr>
            </w:pPr>
            <w:r>
              <w:rPr>
                <w:rFonts w:ascii="Arial" w:eastAsia="Arial" w:hAnsi="Arial" w:cs="Arial"/>
              </w:rPr>
              <w:t>100.00</w:t>
            </w:r>
          </w:p>
        </w:tc>
      </w:tr>
      <w:tr w:rsidR="00382604" w14:paraId="315920C9" w14:textId="77777777">
        <w:trPr>
          <w:trHeight w:val="344"/>
        </w:trPr>
        <w:tc>
          <w:tcPr>
            <w:tcW w:w="360" w:type="dxa"/>
            <w:tcBorders>
              <w:top w:val="single" w:sz="4" w:space="0" w:color="000000"/>
              <w:left w:val="nil"/>
              <w:bottom w:val="nil"/>
              <w:right w:val="nil"/>
            </w:tcBorders>
            <w:shd w:val="clear" w:color="auto" w:fill="FFFFFF"/>
            <w:vAlign w:val="center"/>
          </w:tcPr>
          <w:p w14:paraId="7815C7D9" w14:textId="77777777" w:rsidR="00382604" w:rsidRDefault="00382604">
            <w:pPr>
              <w:spacing w:before="240" w:line="480" w:lineRule="auto"/>
              <w:jc w:val="center"/>
              <w:rPr>
                <w:rFonts w:ascii="Arial" w:eastAsia="Arial" w:hAnsi="Arial" w:cs="Arial"/>
              </w:rPr>
            </w:pPr>
          </w:p>
        </w:tc>
        <w:tc>
          <w:tcPr>
            <w:tcW w:w="2920" w:type="dxa"/>
            <w:gridSpan w:val="2"/>
            <w:tcBorders>
              <w:top w:val="single" w:sz="4" w:space="0" w:color="000000"/>
              <w:left w:val="nil"/>
              <w:bottom w:val="nil"/>
              <w:right w:val="nil"/>
            </w:tcBorders>
            <w:shd w:val="clear" w:color="auto" w:fill="auto"/>
            <w:vAlign w:val="center"/>
          </w:tcPr>
          <w:p w14:paraId="76A0C265" w14:textId="77777777" w:rsidR="00382604" w:rsidRDefault="00F91166">
            <w:pPr>
              <w:spacing w:before="240" w:line="480" w:lineRule="auto"/>
              <w:rPr>
                <w:rFonts w:ascii="Arial" w:eastAsia="Arial" w:hAnsi="Arial" w:cs="Arial"/>
              </w:rPr>
            </w:pPr>
            <w:r>
              <w:rPr>
                <w:rFonts w:ascii="Arial" w:eastAsia="Arial" w:hAnsi="Arial" w:cs="Arial"/>
                <w:b/>
              </w:rPr>
              <w:t>Overall Mean</w:t>
            </w:r>
          </w:p>
        </w:tc>
        <w:tc>
          <w:tcPr>
            <w:tcW w:w="4910" w:type="dxa"/>
            <w:gridSpan w:val="3"/>
            <w:tcBorders>
              <w:top w:val="single" w:sz="4" w:space="0" w:color="000000"/>
              <w:left w:val="nil"/>
              <w:bottom w:val="nil"/>
              <w:right w:val="nil"/>
            </w:tcBorders>
            <w:shd w:val="clear" w:color="auto" w:fill="auto"/>
            <w:vAlign w:val="center"/>
          </w:tcPr>
          <w:p w14:paraId="104E928F" w14:textId="77777777" w:rsidR="00382604" w:rsidRDefault="00F91166">
            <w:pPr>
              <w:spacing w:before="240" w:line="480" w:lineRule="auto"/>
              <w:rPr>
                <w:rFonts w:ascii="Arial" w:eastAsia="Arial" w:hAnsi="Arial" w:cs="Arial"/>
              </w:rPr>
            </w:pPr>
            <w:r>
              <w:rPr>
                <w:rFonts w:ascii="Arial" w:eastAsia="Arial" w:hAnsi="Arial" w:cs="Arial"/>
              </w:rPr>
              <w:t>2.64</w:t>
            </w:r>
          </w:p>
        </w:tc>
      </w:tr>
      <w:tr w:rsidR="00382604" w14:paraId="79822749" w14:textId="77777777">
        <w:tc>
          <w:tcPr>
            <w:tcW w:w="360" w:type="dxa"/>
            <w:tcBorders>
              <w:top w:val="nil"/>
              <w:left w:val="nil"/>
              <w:bottom w:val="nil"/>
              <w:right w:val="nil"/>
            </w:tcBorders>
            <w:shd w:val="clear" w:color="auto" w:fill="FFFFFF"/>
            <w:vAlign w:val="center"/>
          </w:tcPr>
          <w:p w14:paraId="434B98A2"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nil"/>
              <w:right w:val="nil"/>
            </w:tcBorders>
            <w:shd w:val="clear" w:color="auto" w:fill="auto"/>
            <w:vAlign w:val="center"/>
          </w:tcPr>
          <w:p w14:paraId="462B61FB"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4910" w:type="dxa"/>
            <w:gridSpan w:val="3"/>
            <w:tcBorders>
              <w:top w:val="nil"/>
              <w:left w:val="nil"/>
              <w:bottom w:val="nil"/>
              <w:right w:val="nil"/>
            </w:tcBorders>
            <w:shd w:val="clear" w:color="auto" w:fill="auto"/>
            <w:vAlign w:val="center"/>
          </w:tcPr>
          <w:p w14:paraId="095ABFF1" w14:textId="77777777" w:rsidR="00382604" w:rsidRDefault="00F91166">
            <w:pPr>
              <w:spacing w:line="480" w:lineRule="auto"/>
              <w:rPr>
                <w:rFonts w:ascii="Arial" w:eastAsia="Arial" w:hAnsi="Arial" w:cs="Arial"/>
              </w:rPr>
            </w:pPr>
            <w:r>
              <w:rPr>
                <w:rFonts w:ascii="Arial" w:eastAsia="Arial" w:hAnsi="Arial" w:cs="Arial"/>
              </w:rPr>
              <w:t>Low</w:t>
            </w:r>
          </w:p>
        </w:tc>
      </w:tr>
      <w:tr w:rsidR="00382604" w14:paraId="7C2094AE" w14:textId="77777777">
        <w:tc>
          <w:tcPr>
            <w:tcW w:w="360" w:type="dxa"/>
            <w:tcBorders>
              <w:top w:val="nil"/>
              <w:left w:val="nil"/>
              <w:bottom w:val="single" w:sz="6" w:space="0" w:color="000000"/>
              <w:right w:val="nil"/>
            </w:tcBorders>
            <w:shd w:val="clear" w:color="auto" w:fill="FFFFFF"/>
            <w:vAlign w:val="center"/>
          </w:tcPr>
          <w:p w14:paraId="112A1834" w14:textId="77777777" w:rsidR="00382604" w:rsidRDefault="00382604">
            <w:pPr>
              <w:spacing w:line="480" w:lineRule="auto"/>
              <w:jc w:val="center"/>
              <w:rPr>
                <w:rFonts w:ascii="Arial" w:eastAsia="Arial" w:hAnsi="Arial" w:cs="Arial"/>
              </w:rPr>
            </w:pPr>
          </w:p>
        </w:tc>
        <w:tc>
          <w:tcPr>
            <w:tcW w:w="2920" w:type="dxa"/>
            <w:gridSpan w:val="2"/>
            <w:tcBorders>
              <w:top w:val="nil"/>
              <w:left w:val="nil"/>
              <w:bottom w:val="single" w:sz="6" w:space="0" w:color="000000"/>
              <w:right w:val="nil"/>
            </w:tcBorders>
            <w:shd w:val="clear" w:color="auto" w:fill="auto"/>
            <w:vAlign w:val="center"/>
          </w:tcPr>
          <w:p w14:paraId="16EF3FF6" w14:textId="77777777" w:rsidR="00382604" w:rsidRDefault="00F91166">
            <w:pPr>
              <w:spacing w:line="480" w:lineRule="auto"/>
              <w:rPr>
                <w:rFonts w:ascii="Arial" w:eastAsia="Arial" w:hAnsi="Arial" w:cs="Arial"/>
              </w:rPr>
            </w:pPr>
            <w:r>
              <w:rPr>
                <w:rFonts w:ascii="Arial" w:eastAsia="Arial" w:hAnsi="Arial" w:cs="Arial"/>
                <w:b/>
              </w:rPr>
              <w:t>SD</w:t>
            </w:r>
          </w:p>
        </w:tc>
        <w:tc>
          <w:tcPr>
            <w:tcW w:w="4910" w:type="dxa"/>
            <w:gridSpan w:val="3"/>
            <w:tcBorders>
              <w:top w:val="nil"/>
              <w:left w:val="nil"/>
              <w:bottom w:val="single" w:sz="6" w:space="0" w:color="000000"/>
              <w:right w:val="nil"/>
            </w:tcBorders>
            <w:shd w:val="clear" w:color="auto" w:fill="auto"/>
            <w:vAlign w:val="center"/>
          </w:tcPr>
          <w:p w14:paraId="73757544" w14:textId="77777777" w:rsidR="00382604" w:rsidRDefault="00F91166">
            <w:pPr>
              <w:spacing w:line="480" w:lineRule="auto"/>
              <w:rPr>
                <w:rFonts w:ascii="Arial" w:eastAsia="Arial" w:hAnsi="Arial" w:cs="Arial"/>
              </w:rPr>
            </w:pPr>
            <w:r>
              <w:rPr>
                <w:rFonts w:ascii="Arial" w:eastAsia="Arial" w:hAnsi="Arial" w:cs="Arial"/>
              </w:rPr>
              <w:t>1.27</w:t>
            </w:r>
          </w:p>
        </w:tc>
      </w:tr>
    </w:tbl>
    <w:p w14:paraId="08F4D578"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*Students level of Filipino Language Proficiency in terms of </w:t>
      </w:r>
      <w:proofErr w:type="spellStart"/>
      <w:r>
        <w:rPr>
          <w:rFonts w:ascii="Arial" w:eastAsia="Arial" w:hAnsi="Arial" w:cs="Arial"/>
          <w:i/>
          <w:vertAlign w:val="subscript"/>
        </w:rPr>
        <w:t>Organisasyon</w:t>
      </w:r>
      <w:proofErr w:type="spellEnd"/>
      <w:r>
        <w:rPr>
          <w:rFonts w:ascii="Arial" w:eastAsia="Arial" w:hAnsi="Arial" w:cs="Arial"/>
          <w:i/>
          <w:vertAlign w:val="subscript"/>
        </w:rPr>
        <w:t xml:space="preserve"> (Organization)</w:t>
      </w:r>
    </w:p>
    <w:p w14:paraId="33AE129E" w14:textId="77777777" w:rsidR="00382604" w:rsidRDefault="00382604">
      <w:pPr>
        <w:jc w:val="both"/>
        <w:rPr>
          <w:rFonts w:ascii="Arial" w:eastAsia="Arial" w:hAnsi="Arial" w:cs="Arial"/>
          <w:i/>
          <w:color w:val="000000"/>
          <w:vertAlign w:val="subscript"/>
        </w:rPr>
      </w:pPr>
    </w:p>
    <w:p w14:paraId="380D0FD1" w14:textId="77777777" w:rsidR="00382604" w:rsidRDefault="00F91166">
      <w:pPr>
        <w:jc w:val="both"/>
        <w:rPr>
          <w:rFonts w:ascii="Arial" w:eastAsia="Arial" w:hAnsi="Arial" w:cs="Arial"/>
          <w:color w:val="000000"/>
        </w:rPr>
      </w:pPr>
      <w:r>
        <w:rPr>
          <w:rFonts w:ascii="Arial" w:eastAsia="Arial" w:hAnsi="Arial" w:cs="Arial"/>
          <w:color w:val="000000"/>
        </w:rPr>
        <w:t xml:space="preserve">Table 13 presents data on Junior High School Students’ Filipino language proficiency in writing, specifically in terms of </w:t>
      </w:r>
      <w:proofErr w:type="spellStart"/>
      <w:r>
        <w:rPr>
          <w:rFonts w:ascii="Arial" w:eastAsia="Arial" w:hAnsi="Arial" w:cs="Arial"/>
          <w:color w:val="000000"/>
        </w:rPr>
        <w:t>Organisasyon</w:t>
      </w:r>
      <w:proofErr w:type="spellEnd"/>
      <w:r>
        <w:rPr>
          <w:rFonts w:ascii="Arial" w:eastAsia="Arial" w:hAnsi="Arial" w:cs="Arial"/>
          <w:color w:val="000000"/>
        </w:rPr>
        <w:t xml:space="preserve"> (organization). This refers to the logical arrangement and coherence of ideas in students' written outputs, ensuring that thoughts are presented in a clear, structured, and orderly manner. Proper organization involves clear introductions, well-developed body paragraphs, and effective conclusions (Mariana, 2024).</w:t>
      </w:r>
    </w:p>
    <w:p w14:paraId="68248549" w14:textId="77777777" w:rsidR="00382604" w:rsidRDefault="00382604">
      <w:pPr>
        <w:jc w:val="both"/>
        <w:rPr>
          <w:rFonts w:ascii="Arial" w:eastAsia="Arial" w:hAnsi="Arial" w:cs="Arial"/>
          <w:color w:val="000000"/>
        </w:rPr>
      </w:pPr>
    </w:p>
    <w:p w14:paraId="5C1A42D8" w14:textId="77777777" w:rsidR="00382604" w:rsidRDefault="00F91166">
      <w:pPr>
        <w:jc w:val="both"/>
        <w:rPr>
          <w:rFonts w:ascii="Arial" w:eastAsia="Arial" w:hAnsi="Arial" w:cs="Arial"/>
          <w:color w:val="000000"/>
        </w:rPr>
      </w:pPr>
      <w:r>
        <w:rPr>
          <w:rFonts w:ascii="Arial" w:eastAsia="Arial" w:hAnsi="Arial" w:cs="Arial"/>
          <w:color w:val="000000"/>
        </w:rPr>
        <w:t xml:space="preserve">The results indicate an overall mean score of 2.64, which falls under the "Low" category, suggesting that many students struggle with structuring their ideas cohesively and logically when writing in Filipino. A significant 28.64% of students scored in the "Low" range, while </w:t>
      </w:r>
      <w:r>
        <w:rPr>
          <w:rFonts w:ascii="Arial" w:eastAsia="Arial" w:hAnsi="Arial" w:cs="Arial"/>
          <w:color w:val="000000"/>
        </w:rPr>
        <w:lastRenderedPageBreak/>
        <w:t>21.60% fell under "Very Low," highlighting difficulties in maintaining clarity, coherence, and logical flow in their compositions</w:t>
      </w:r>
    </w:p>
    <w:p w14:paraId="768345F0" w14:textId="77777777" w:rsidR="00382604" w:rsidRDefault="00382604">
      <w:pPr>
        <w:jc w:val="both"/>
        <w:rPr>
          <w:rFonts w:ascii="Arial" w:eastAsia="Arial" w:hAnsi="Arial" w:cs="Arial"/>
          <w:color w:val="000000"/>
        </w:rPr>
      </w:pPr>
    </w:p>
    <w:p w14:paraId="251EF07D" w14:textId="77777777" w:rsidR="00382604" w:rsidRDefault="00F91166">
      <w:pPr>
        <w:jc w:val="both"/>
        <w:rPr>
          <w:rFonts w:ascii="Arial" w:eastAsia="Arial" w:hAnsi="Arial" w:cs="Arial"/>
          <w:b/>
          <w:smallCaps/>
          <w:color w:val="000000"/>
          <w:vertAlign w:val="subscript"/>
        </w:rPr>
      </w:pPr>
      <w:r>
        <w:rPr>
          <w:rFonts w:ascii="Arial" w:eastAsia="Arial" w:hAnsi="Arial" w:cs="Arial"/>
          <w:color w:val="000000"/>
        </w:rPr>
        <w:t xml:space="preserve">On the other hand, while 13.62% of students achieved a "High" rating and 11.27% reached "Very High," these figures suggest that only a minority of students demonstrate strong organizational skills in writing. These results highlight the importance of particular strategies, including organized writing exercises and instruction, to assist students in enhancing their ability to effectively organize their thoughts in Filipino. </w:t>
      </w:r>
    </w:p>
    <w:p w14:paraId="2EFCBF42" w14:textId="77777777" w:rsidR="00382604" w:rsidRDefault="00382604">
      <w:pPr>
        <w:keepNext/>
        <w:jc w:val="both"/>
        <w:rPr>
          <w:rFonts w:ascii="Arial" w:eastAsia="Arial" w:hAnsi="Arial" w:cs="Arial"/>
          <w:b/>
          <w:smallCaps/>
          <w:color w:val="000000"/>
          <w:sz w:val="22"/>
          <w:szCs w:val="22"/>
        </w:rPr>
      </w:pPr>
    </w:p>
    <w:p w14:paraId="31420445" w14:textId="77777777" w:rsidR="00382604" w:rsidRDefault="00F91166">
      <w:pPr>
        <w:keepNext/>
        <w:jc w:val="both"/>
        <w:rPr>
          <w:rFonts w:ascii="Arial" w:eastAsia="Arial" w:hAnsi="Arial" w:cs="Arial"/>
          <w:b/>
          <w:smallCaps/>
          <w:color w:val="000000"/>
        </w:rPr>
      </w:pPr>
      <w:r>
        <w:rPr>
          <w:rFonts w:ascii="Arial" w:eastAsia="Arial" w:hAnsi="Arial" w:cs="Arial"/>
          <w:b/>
          <w:smallCaps/>
          <w:color w:val="000000"/>
        </w:rPr>
        <w:t>T</w:t>
      </w:r>
      <w:r>
        <w:rPr>
          <w:rFonts w:ascii="Arial" w:eastAsia="Arial" w:hAnsi="Arial" w:cs="Arial"/>
          <w:b/>
          <w:color w:val="000000"/>
        </w:rPr>
        <w:t>able 14. Summary table of the extent of the Junior High school students level of Filipino Language Proficiency (</w:t>
      </w:r>
      <w:proofErr w:type="spellStart"/>
      <w:r>
        <w:rPr>
          <w:rFonts w:ascii="Arial" w:eastAsia="Arial" w:hAnsi="Arial" w:cs="Arial"/>
          <w:b/>
          <w:color w:val="000000"/>
        </w:rPr>
        <w:t>Nilalaman</w:t>
      </w:r>
      <w:proofErr w:type="spellEnd"/>
      <w:r>
        <w:rPr>
          <w:rFonts w:ascii="Arial" w:eastAsia="Arial" w:hAnsi="Arial" w:cs="Arial"/>
          <w:b/>
          <w:color w:val="000000"/>
        </w:rPr>
        <w:t xml:space="preserve">, </w:t>
      </w:r>
      <w:proofErr w:type="spellStart"/>
      <w:r>
        <w:rPr>
          <w:rFonts w:ascii="Arial" w:eastAsia="Arial" w:hAnsi="Arial" w:cs="Arial"/>
          <w:b/>
        </w:rPr>
        <w:t>Talasalitaan</w:t>
      </w:r>
      <w:proofErr w:type="spellEnd"/>
      <w:r>
        <w:rPr>
          <w:rFonts w:ascii="Arial" w:eastAsia="Arial" w:hAnsi="Arial" w:cs="Arial"/>
          <w:b/>
          <w:color w:val="000000"/>
        </w:rPr>
        <w:t xml:space="preserve">, </w:t>
      </w:r>
      <w:proofErr w:type="spellStart"/>
      <w:r>
        <w:rPr>
          <w:rFonts w:ascii="Arial" w:eastAsia="Arial" w:hAnsi="Arial" w:cs="Arial"/>
          <w:b/>
          <w:color w:val="000000"/>
        </w:rPr>
        <w:t>Mekaniks</w:t>
      </w:r>
      <w:proofErr w:type="spellEnd"/>
      <w:r>
        <w:rPr>
          <w:rFonts w:ascii="Arial" w:eastAsia="Arial" w:hAnsi="Arial" w:cs="Arial"/>
          <w:b/>
          <w:color w:val="000000"/>
        </w:rPr>
        <w:t xml:space="preserve">, </w:t>
      </w:r>
      <w:proofErr w:type="spellStart"/>
      <w:r>
        <w:rPr>
          <w:rFonts w:ascii="Arial" w:eastAsia="Arial" w:hAnsi="Arial" w:cs="Arial"/>
          <w:b/>
          <w:color w:val="000000"/>
        </w:rPr>
        <w:t>Gramatika</w:t>
      </w:r>
      <w:proofErr w:type="spellEnd"/>
      <w:r>
        <w:rPr>
          <w:rFonts w:ascii="Arial" w:eastAsia="Arial" w:hAnsi="Arial" w:cs="Arial"/>
          <w:b/>
          <w:color w:val="000000"/>
        </w:rPr>
        <w:t xml:space="preserve">, and </w:t>
      </w:r>
      <w:proofErr w:type="spellStart"/>
      <w:r>
        <w:rPr>
          <w:rFonts w:ascii="Arial" w:eastAsia="Arial" w:hAnsi="Arial" w:cs="Arial"/>
          <w:b/>
          <w:color w:val="000000"/>
        </w:rPr>
        <w:t>Organisasyon</w:t>
      </w:r>
      <w:proofErr w:type="spellEnd"/>
      <w:r>
        <w:rPr>
          <w:rFonts w:ascii="Arial" w:eastAsia="Arial" w:hAnsi="Arial" w:cs="Arial"/>
          <w:b/>
          <w:smallCaps/>
          <w:color w:val="000000"/>
        </w:rPr>
        <w:t>)</w:t>
      </w:r>
    </w:p>
    <w:tbl>
      <w:tblPr>
        <w:tblStyle w:val="Style87"/>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2445"/>
        <w:gridCol w:w="720"/>
        <w:gridCol w:w="115"/>
        <w:gridCol w:w="965"/>
        <w:gridCol w:w="1800"/>
        <w:gridCol w:w="2145"/>
      </w:tblGrid>
      <w:tr w:rsidR="00382604" w14:paraId="268A3F24" w14:textId="77777777">
        <w:trPr>
          <w:trHeight w:val="271"/>
        </w:trPr>
        <w:tc>
          <w:tcPr>
            <w:tcW w:w="3165" w:type="dxa"/>
            <w:gridSpan w:val="2"/>
            <w:tcBorders>
              <w:top w:val="single" w:sz="6" w:space="0" w:color="000000"/>
              <w:left w:val="nil"/>
              <w:bottom w:val="single" w:sz="6" w:space="0" w:color="000000"/>
              <w:right w:val="nil"/>
            </w:tcBorders>
            <w:shd w:val="clear" w:color="auto" w:fill="FFFFFF"/>
            <w:vAlign w:val="center"/>
          </w:tcPr>
          <w:p w14:paraId="4CAA94DF" w14:textId="77777777" w:rsidR="00382604" w:rsidRDefault="00F91166">
            <w:pPr>
              <w:jc w:val="center"/>
              <w:rPr>
                <w:rFonts w:ascii="Arial" w:eastAsia="Arial" w:hAnsi="Arial" w:cs="Arial"/>
              </w:rPr>
            </w:pPr>
            <w:r>
              <w:rPr>
                <w:rFonts w:ascii="Arial" w:eastAsia="Arial" w:hAnsi="Arial" w:cs="Arial"/>
                <w:b/>
              </w:rPr>
              <w:t>Dimensions</w:t>
            </w:r>
          </w:p>
        </w:tc>
        <w:tc>
          <w:tcPr>
            <w:tcW w:w="1080" w:type="dxa"/>
            <w:gridSpan w:val="2"/>
            <w:tcBorders>
              <w:top w:val="single" w:sz="6" w:space="0" w:color="000000"/>
              <w:left w:val="nil"/>
              <w:bottom w:val="single" w:sz="6" w:space="0" w:color="000000"/>
              <w:right w:val="nil"/>
            </w:tcBorders>
            <w:shd w:val="clear" w:color="auto" w:fill="FFFFFF"/>
            <w:vAlign w:val="center"/>
          </w:tcPr>
          <w:p w14:paraId="471E05A1" w14:textId="77777777" w:rsidR="00382604" w:rsidRDefault="00F91166">
            <w:pPr>
              <w:jc w:val="center"/>
              <w:rPr>
                <w:rFonts w:ascii="Arial" w:eastAsia="Arial" w:hAnsi="Arial" w:cs="Arial"/>
                <w:b/>
              </w:rPr>
            </w:pPr>
            <w:r>
              <w:rPr>
                <w:rFonts w:ascii="Arial" w:eastAsia="Arial" w:hAnsi="Arial" w:cs="Arial"/>
                <w:b/>
              </w:rPr>
              <w:t>Mean</w:t>
            </w:r>
          </w:p>
        </w:tc>
        <w:tc>
          <w:tcPr>
            <w:tcW w:w="1800" w:type="dxa"/>
            <w:tcBorders>
              <w:top w:val="single" w:sz="6" w:space="0" w:color="000000"/>
              <w:left w:val="nil"/>
              <w:bottom w:val="single" w:sz="6" w:space="0" w:color="000000"/>
              <w:right w:val="nil"/>
            </w:tcBorders>
            <w:shd w:val="clear" w:color="auto" w:fill="FFFFFF"/>
            <w:vAlign w:val="center"/>
          </w:tcPr>
          <w:p w14:paraId="65CACA6D" w14:textId="77777777" w:rsidR="00382604" w:rsidRDefault="00F91166">
            <w:pPr>
              <w:jc w:val="center"/>
              <w:rPr>
                <w:rFonts w:ascii="Arial" w:eastAsia="Arial" w:hAnsi="Arial" w:cs="Arial"/>
              </w:rPr>
            </w:pPr>
            <w:r>
              <w:rPr>
                <w:rFonts w:ascii="Arial" w:eastAsia="Arial" w:hAnsi="Arial" w:cs="Arial"/>
                <w:b/>
              </w:rPr>
              <w:t>SD</w:t>
            </w:r>
          </w:p>
        </w:tc>
        <w:tc>
          <w:tcPr>
            <w:tcW w:w="2145" w:type="dxa"/>
            <w:tcBorders>
              <w:top w:val="single" w:sz="6" w:space="0" w:color="000000"/>
              <w:left w:val="nil"/>
              <w:bottom w:val="single" w:sz="6" w:space="0" w:color="000000"/>
              <w:right w:val="nil"/>
            </w:tcBorders>
            <w:shd w:val="clear" w:color="auto" w:fill="FFFFFF"/>
            <w:vAlign w:val="center"/>
          </w:tcPr>
          <w:p w14:paraId="2FC4A8BE" w14:textId="77777777" w:rsidR="00382604" w:rsidRDefault="00F91166">
            <w:pPr>
              <w:jc w:val="center"/>
              <w:rPr>
                <w:rFonts w:ascii="Arial" w:eastAsia="Arial" w:hAnsi="Arial" w:cs="Arial"/>
                <w:b/>
              </w:rPr>
            </w:pPr>
            <w:r>
              <w:rPr>
                <w:rFonts w:ascii="Arial" w:eastAsia="Arial" w:hAnsi="Arial" w:cs="Arial"/>
                <w:b/>
              </w:rPr>
              <w:t>Interpretation</w:t>
            </w:r>
          </w:p>
        </w:tc>
      </w:tr>
      <w:tr w:rsidR="00382604" w14:paraId="619B6BF5" w14:textId="77777777">
        <w:tc>
          <w:tcPr>
            <w:tcW w:w="3165" w:type="dxa"/>
            <w:gridSpan w:val="2"/>
            <w:tcBorders>
              <w:top w:val="single" w:sz="6" w:space="0" w:color="000000"/>
              <w:left w:val="nil"/>
              <w:bottom w:val="nil"/>
              <w:right w:val="nil"/>
            </w:tcBorders>
            <w:shd w:val="clear" w:color="auto" w:fill="FFFFFF"/>
            <w:vAlign w:val="center"/>
          </w:tcPr>
          <w:p w14:paraId="20A511CF" w14:textId="77777777" w:rsidR="00382604" w:rsidRDefault="00F91166">
            <w:pPr>
              <w:spacing w:before="240" w:line="480" w:lineRule="auto"/>
              <w:rPr>
                <w:rFonts w:ascii="Arial" w:eastAsia="Arial" w:hAnsi="Arial" w:cs="Arial"/>
              </w:rPr>
            </w:pPr>
            <w:proofErr w:type="spellStart"/>
            <w:r>
              <w:rPr>
                <w:rFonts w:ascii="Arial" w:eastAsia="Arial" w:hAnsi="Arial" w:cs="Arial"/>
              </w:rPr>
              <w:t>Nilalaman</w:t>
            </w:r>
            <w:proofErr w:type="spellEnd"/>
            <w:r>
              <w:rPr>
                <w:rFonts w:ascii="Arial" w:eastAsia="Arial" w:hAnsi="Arial" w:cs="Arial"/>
              </w:rPr>
              <w:t xml:space="preserve"> (Content)</w:t>
            </w:r>
          </w:p>
        </w:tc>
        <w:tc>
          <w:tcPr>
            <w:tcW w:w="1080" w:type="dxa"/>
            <w:gridSpan w:val="2"/>
            <w:tcBorders>
              <w:top w:val="single" w:sz="6" w:space="0" w:color="000000"/>
              <w:left w:val="nil"/>
              <w:bottom w:val="nil"/>
              <w:right w:val="nil"/>
            </w:tcBorders>
            <w:shd w:val="clear" w:color="auto" w:fill="FFFFFF"/>
            <w:vAlign w:val="center"/>
          </w:tcPr>
          <w:p w14:paraId="77A901D8" w14:textId="77777777" w:rsidR="00382604" w:rsidRDefault="00F91166">
            <w:pPr>
              <w:spacing w:before="240" w:line="480" w:lineRule="auto"/>
              <w:jc w:val="center"/>
              <w:rPr>
                <w:rFonts w:ascii="Arial" w:eastAsia="Arial" w:hAnsi="Arial" w:cs="Arial"/>
              </w:rPr>
            </w:pPr>
            <w:r>
              <w:rPr>
                <w:rFonts w:ascii="Arial" w:eastAsia="Arial" w:hAnsi="Arial" w:cs="Arial"/>
              </w:rPr>
              <w:t>3.08</w:t>
            </w:r>
          </w:p>
        </w:tc>
        <w:tc>
          <w:tcPr>
            <w:tcW w:w="1800" w:type="dxa"/>
            <w:tcBorders>
              <w:top w:val="single" w:sz="6" w:space="0" w:color="000000"/>
              <w:left w:val="nil"/>
              <w:bottom w:val="nil"/>
              <w:right w:val="nil"/>
            </w:tcBorders>
            <w:shd w:val="clear" w:color="auto" w:fill="FFFFFF"/>
            <w:vAlign w:val="center"/>
          </w:tcPr>
          <w:p w14:paraId="29B8BEE5" w14:textId="77777777" w:rsidR="00382604" w:rsidRDefault="00F91166">
            <w:pPr>
              <w:spacing w:before="240" w:line="480" w:lineRule="auto"/>
              <w:jc w:val="center"/>
              <w:rPr>
                <w:rFonts w:ascii="Arial" w:eastAsia="Arial" w:hAnsi="Arial" w:cs="Arial"/>
              </w:rPr>
            </w:pPr>
            <w:r>
              <w:rPr>
                <w:rFonts w:ascii="Arial" w:eastAsia="Arial" w:hAnsi="Arial" w:cs="Arial"/>
              </w:rPr>
              <w:t>1.17</w:t>
            </w:r>
          </w:p>
        </w:tc>
        <w:tc>
          <w:tcPr>
            <w:tcW w:w="2145" w:type="dxa"/>
            <w:tcBorders>
              <w:top w:val="single" w:sz="6" w:space="0" w:color="000000"/>
              <w:left w:val="nil"/>
              <w:bottom w:val="nil"/>
              <w:right w:val="nil"/>
            </w:tcBorders>
            <w:shd w:val="clear" w:color="auto" w:fill="FFFFFF"/>
            <w:vAlign w:val="center"/>
          </w:tcPr>
          <w:p w14:paraId="2F8021BF" w14:textId="77777777" w:rsidR="00382604" w:rsidRDefault="00F91166">
            <w:pPr>
              <w:spacing w:before="240" w:line="480" w:lineRule="auto"/>
              <w:jc w:val="center"/>
              <w:rPr>
                <w:rFonts w:ascii="Arial" w:eastAsia="Arial" w:hAnsi="Arial" w:cs="Arial"/>
              </w:rPr>
            </w:pPr>
            <w:r>
              <w:rPr>
                <w:rFonts w:ascii="Arial" w:eastAsia="Arial" w:hAnsi="Arial" w:cs="Arial"/>
              </w:rPr>
              <w:t>Moderate</w:t>
            </w:r>
          </w:p>
        </w:tc>
      </w:tr>
      <w:tr w:rsidR="00382604" w14:paraId="3BCD3285" w14:textId="77777777">
        <w:trPr>
          <w:trHeight w:val="264"/>
        </w:trPr>
        <w:tc>
          <w:tcPr>
            <w:tcW w:w="3165" w:type="dxa"/>
            <w:gridSpan w:val="2"/>
            <w:tcBorders>
              <w:top w:val="nil"/>
              <w:left w:val="nil"/>
              <w:bottom w:val="nil"/>
              <w:right w:val="nil"/>
            </w:tcBorders>
            <w:shd w:val="clear" w:color="auto" w:fill="FFFFFF"/>
            <w:vAlign w:val="center"/>
          </w:tcPr>
          <w:p w14:paraId="22899276" w14:textId="77777777" w:rsidR="00382604" w:rsidRDefault="00F91166">
            <w:pPr>
              <w:spacing w:line="480" w:lineRule="auto"/>
              <w:rPr>
                <w:rFonts w:ascii="Arial" w:eastAsia="Arial" w:hAnsi="Arial" w:cs="Arial"/>
              </w:rPr>
            </w:pPr>
            <w:proofErr w:type="spellStart"/>
            <w:r>
              <w:rPr>
                <w:rFonts w:ascii="Arial" w:eastAsia="Arial" w:hAnsi="Arial" w:cs="Arial"/>
              </w:rPr>
              <w:t>Talasalitaan</w:t>
            </w:r>
            <w:proofErr w:type="spellEnd"/>
            <w:r>
              <w:rPr>
                <w:rFonts w:ascii="Arial" w:eastAsia="Arial" w:hAnsi="Arial" w:cs="Arial"/>
              </w:rPr>
              <w:t xml:space="preserve"> (Vocabulary)</w:t>
            </w:r>
          </w:p>
        </w:tc>
        <w:tc>
          <w:tcPr>
            <w:tcW w:w="1080" w:type="dxa"/>
            <w:gridSpan w:val="2"/>
            <w:tcBorders>
              <w:top w:val="nil"/>
              <w:left w:val="nil"/>
              <w:bottom w:val="nil"/>
              <w:right w:val="nil"/>
            </w:tcBorders>
            <w:shd w:val="clear" w:color="auto" w:fill="FFFFFF"/>
            <w:vAlign w:val="center"/>
          </w:tcPr>
          <w:p w14:paraId="12C48765" w14:textId="77777777" w:rsidR="00382604" w:rsidRDefault="00F91166">
            <w:pPr>
              <w:spacing w:line="480" w:lineRule="auto"/>
              <w:jc w:val="center"/>
              <w:rPr>
                <w:rFonts w:ascii="Arial" w:eastAsia="Arial" w:hAnsi="Arial" w:cs="Arial"/>
              </w:rPr>
            </w:pPr>
            <w:r>
              <w:rPr>
                <w:rFonts w:ascii="Arial" w:eastAsia="Arial" w:hAnsi="Arial" w:cs="Arial"/>
              </w:rPr>
              <w:t>2.63</w:t>
            </w:r>
          </w:p>
        </w:tc>
        <w:tc>
          <w:tcPr>
            <w:tcW w:w="1800" w:type="dxa"/>
            <w:tcBorders>
              <w:top w:val="nil"/>
              <w:left w:val="nil"/>
              <w:bottom w:val="nil"/>
              <w:right w:val="nil"/>
            </w:tcBorders>
            <w:shd w:val="clear" w:color="auto" w:fill="FFFFFF"/>
            <w:vAlign w:val="center"/>
          </w:tcPr>
          <w:p w14:paraId="188AEEF5" w14:textId="77777777" w:rsidR="00382604" w:rsidRDefault="00F91166">
            <w:pPr>
              <w:spacing w:line="480" w:lineRule="auto"/>
              <w:jc w:val="center"/>
              <w:rPr>
                <w:rFonts w:ascii="Arial" w:eastAsia="Arial" w:hAnsi="Arial" w:cs="Arial"/>
              </w:rPr>
            </w:pPr>
            <w:r>
              <w:rPr>
                <w:rFonts w:ascii="Arial" w:eastAsia="Arial" w:hAnsi="Arial" w:cs="Arial"/>
              </w:rPr>
              <w:t>1.15</w:t>
            </w:r>
          </w:p>
        </w:tc>
        <w:tc>
          <w:tcPr>
            <w:tcW w:w="2145" w:type="dxa"/>
            <w:tcBorders>
              <w:top w:val="nil"/>
              <w:left w:val="nil"/>
              <w:bottom w:val="nil"/>
              <w:right w:val="nil"/>
            </w:tcBorders>
            <w:shd w:val="clear" w:color="auto" w:fill="FFFFFF"/>
            <w:vAlign w:val="center"/>
          </w:tcPr>
          <w:p w14:paraId="24FDE880"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249534C9" w14:textId="77777777">
        <w:trPr>
          <w:trHeight w:val="264"/>
        </w:trPr>
        <w:tc>
          <w:tcPr>
            <w:tcW w:w="3165" w:type="dxa"/>
            <w:gridSpan w:val="2"/>
            <w:tcBorders>
              <w:top w:val="nil"/>
              <w:left w:val="nil"/>
              <w:bottom w:val="nil"/>
              <w:right w:val="nil"/>
            </w:tcBorders>
            <w:shd w:val="clear" w:color="auto" w:fill="FFFFFF"/>
            <w:vAlign w:val="center"/>
          </w:tcPr>
          <w:p w14:paraId="4A17DEC0" w14:textId="77777777" w:rsidR="00382604" w:rsidRDefault="00F91166">
            <w:pPr>
              <w:spacing w:line="480" w:lineRule="auto"/>
              <w:rPr>
                <w:rFonts w:ascii="Arial" w:eastAsia="Arial" w:hAnsi="Arial" w:cs="Arial"/>
              </w:rPr>
            </w:pPr>
            <w:proofErr w:type="spellStart"/>
            <w:r>
              <w:rPr>
                <w:rFonts w:ascii="Arial" w:eastAsia="Arial" w:hAnsi="Arial" w:cs="Arial"/>
              </w:rPr>
              <w:t>Mekaniks</w:t>
            </w:r>
            <w:proofErr w:type="spellEnd"/>
            <w:r>
              <w:rPr>
                <w:rFonts w:ascii="Arial" w:eastAsia="Arial" w:hAnsi="Arial" w:cs="Arial"/>
              </w:rPr>
              <w:t xml:space="preserve"> (Mechanics)</w:t>
            </w:r>
          </w:p>
        </w:tc>
        <w:tc>
          <w:tcPr>
            <w:tcW w:w="1080" w:type="dxa"/>
            <w:gridSpan w:val="2"/>
            <w:tcBorders>
              <w:top w:val="nil"/>
              <w:left w:val="nil"/>
              <w:bottom w:val="nil"/>
              <w:right w:val="nil"/>
            </w:tcBorders>
            <w:shd w:val="clear" w:color="auto" w:fill="FFFFFF"/>
            <w:vAlign w:val="center"/>
          </w:tcPr>
          <w:p w14:paraId="10C93BB4" w14:textId="77777777" w:rsidR="00382604" w:rsidRDefault="00F91166">
            <w:pPr>
              <w:spacing w:line="480" w:lineRule="auto"/>
              <w:jc w:val="center"/>
              <w:rPr>
                <w:rFonts w:ascii="Arial" w:eastAsia="Arial" w:hAnsi="Arial" w:cs="Arial"/>
              </w:rPr>
            </w:pPr>
            <w:r>
              <w:rPr>
                <w:rFonts w:ascii="Arial" w:eastAsia="Arial" w:hAnsi="Arial" w:cs="Arial"/>
              </w:rPr>
              <w:t>2.69</w:t>
            </w:r>
          </w:p>
        </w:tc>
        <w:tc>
          <w:tcPr>
            <w:tcW w:w="1800" w:type="dxa"/>
            <w:tcBorders>
              <w:top w:val="nil"/>
              <w:left w:val="nil"/>
              <w:bottom w:val="nil"/>
              <w:right w:val="nil"/>
            </w:tcBorders>
            <w:shd w:val="clear" w:color="auto" w:fill="FFFFFF"/>
            <w:vAlign w:val="center"/>
          </w:tcPr>
          <w:p w14:paraId="1304149A" w14:textId="77777777" w:rsidR="00382604" w:rsidRDefault="00F91166">
            <w:pPr>
              <w:spacing w:line="480" w:lineRule="auto"/>
              <w:jc w:val="center"/>
              <w:rPr>
                <w:rFonts w:ascii="Arial" w:eastAsia="Arial" w:hAnsi="Arial" w:cs="Arial"/>
              </w:rPr>
            </w:pPr>
            <w:r>
              <w:rPr>
                <w:rFonts w:ascii="Arial" w:eastAsia="Arial" w:hAnsi="Arial" w:cs="Arial"/>
              </w:rPr>
              <w:t>1.18</w:t>
            </w:r>
          </w:p>
        </w:tc>
        <w:tc>
          <w:tcPr>
            <w:tcW w:w="2145" w:type="dxa"/>
            <w:tcBorders>
              <w:top w:val="nil"/>
              <w:left w:val="nil"/>
              <w:bottom w:val="nil"/>
              <w:right w:val="nil"/>
            </w:tcBorders>
            <w:shd w:val="clear" w:color="auto" w:fill="FFFFFF"/>
            <w:vAlign w:val="center"/>
          </w:tcPr>
          <w:p w14:paraId="1E9711DE"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39EF7314" w14:textId="77777777">
        <w:trPr>
          <w:trHeight w:val="264"/>
        </w:trPr>
        <w:tc>
          <w:tcPr>
            <w:tcW w:w="3165" w:type="dxa"/>
            <w:gridSpan w:val="2"/>
            <w:tcBorders>
              <w:top w:val="nil"/>
              <w:left w:val="nil"/>
              <w:bottom w:val="nil"/>
              <w:right w:val="nil"/>
            </w:tcBorders>
            <w:shd w:val="clear" w:color="auto" w:fill="FFFFFF"/>
            <w:vAlign w:val="center"/>
          </w:tcPr>
          <w:p w14:paraId="0B16D345" w14:textId="77777777" w:rsidR="00382604" w:rsidRDefault="00F91166">
            <w:pPr>
              <w:spacing w:line="480" w:lineRule="auto"/>
              <w:rPr>
                <w:rFonts w:ascii="Arial" w:eastAsia="Arial" w:hAnsi="Arial" w:cs="Arial"/>
              </w:rPr>
            </w:pPr>
            <w:r>
              <w:rPr>
                <w:rFonts w:ascii="Arial" w:eastAsia="Arial" w:hAnsi="Arial" w:cs="Arial"/>
              </w:rPr>
              <w:t>Gramatika (Grammar)</w:t>
            </w:r>
          </w:p>
        </w:tc>
        <w:tc>
          <w:tcPr>
            <w:tcW w:w="1080" w:type="dxa"/>
            <w:gridSpan w:val="2"/>
            <w:tcBorders>
              <w:top w:val="nil"/>
              <w:left w:val="nil"/>
              <w:bottom w:val="nil"/>
              <w:right w:val="nil"/>
            </w:tcBorders>
            <w:shd w:val="clear" w:color="auto" w:fill="FFFFFF"/>
            <w:vAlign w:val="center"/>
          </w:tcPr>
          <w:p w14:paraId="05B3C627" w14:textId="77777777" w:rsidR="00382604" w:rsidRDefault="00F91166">
            <w:pPr>
              <w:spacing w:line="480" w:lineRule="auto"/>
              <w:jc w:val="center"/>
              <w:rPr>
                <w:rFonts w:ascii="Arial" w:eastAsia="Arial" w:hAnsi="Arial" w:cs="Arial"/>
              </w:rPr>
            </w:pPr>
            <w:r>
              <w:rPr>
                <w:rFonts w:ascii="Arial" w:eastAsia="Arial" w:hAnsi="Arial" w:cs="Arial"/>
              </w:rPr>
              <w:t>2.78</w:t>
            </w:r>
          </w:p>
        </w:tc>
        <w:tc>
          <w:tcPr>
            <w:tcW w:w="1800" w:type="dxa"/>
            <w:tcBorders>
              <w:top w:val="nil"/>
              <w:left w:val="nil"/>
              <w:bottom w:val="nil"/>
              <w:right w:val="nil"/>
            </w:tcBorders>
            <w:shd w:val="clear" w:color="auto" w:fill="FFFFFF"/>
            <w:vAlign w:val="center"/>
          </w:tcPr>
          <w:p w14:paraId="5CC56F9A" w14:textId="77777777" w:rsidR="00382604" w:rsidRDefault="00F91166">
            <w:pPr>
              <w:spacing w:line="480" w:lineRule="auto"/>
              <w:jc w:val="center"/>
              <w:rPr>
                <w:rFonts w:ascii="Arial" w:eastAsia="Arial" w:hAnsi="Arial" w:cs="Arial"/>
              </w:rPr>
            </w:pPr>
            <w:r>
              <w:rPr>
                <w:rFonts w:ascii="Arial" w:eastAsia="Arial" w:hAnsi="Arial" w:cs="Arial"/>
              </w:rPr>
              <w:t>1.19</w:t>
            </w:r>
          </w:p>
        </w:tc>
        <w:tc>
          <w:tcPr>
            <w:tcW w:w="2145" w:type="dxa"/>
            <w:tcBorders>
              <w:top w:val="nil"/>
              <w:left w:val="nil"/>
              <w:bottom w:val="nil"/>
              <w:right w:val="nil"/>
            </w:tcBorders>
            <w:shd w:val="clear" w:color="auto" w:fill="FFFFFF"/>
            <w:vAlign w:val="center"/>
          </w:tcPr>
          <w:p w14:paraId="1D5751F2"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5BF88F52" w14:textId="77777777">
        <w:trPr>
          <w:trHeight w:val="264"/>
        </w:trPr>
        <w:tc>
          <w:tcPr>
            <w:tcW w:w="3165" w:type="dxa"/>
            <w:gridSpan w:val="2"/>
            <w:tcBorders>
              <w:top w:val="nil"/>
              <w:left w:val="nil"/>
              <w:bottom w:val="single" w:sz="6" w:space="0" w:color="000000"/>
              <w:right w:val="nil"/>
            </w:tcBorders>
            <w:shd w:val="clear" w:color="auto" w:fill="FFFFFF"/>
            <w:vAlign w:val="center"/>
          </w:tcPr>
          <w:p w14:paraId="321E88A7" w14:textId="77777777" w:rsidR="00382604" w:rsidRDefault="00F91166">
            <w:pPr>
              <w:spacing w:line="480" w:lineRule="auto"/>
              <w:rPr>
                <w:rFonts w:ascii="Arial" w:eastAsia="Arial" w:hAnsi="Arial" w:cs="Arial"/>
              </w:rPr>
            </w:pPr>
            <w:proofErr w:type="spellStart"/>
            <w:r>
              <w:rPr>
                <w:rFonts w:ascii="Arial" w:eastAsia="Arial" w:hAnsi="Arial" w:cs="Arial"/>
              </w:rPr>
              <w:t>Organisasyon</w:t>
            </w:r>
            <w:proofErr w:type="spellEnd"/>
            <w:r>
              <w:rPr>
                <w:rFonts w:ascii="Arial" w:eastAsia="Arial" w:hAnsi="Arial" w:cs="Arial"/>
              </w:rPr>
              <w:t xml:space="preserve"> (Organization)</w:t>
            </w:r>
          </w:p>
        </w:tc>
        <w:tc>
          <w:tcPr>
            <w:tcW w:w="1080" w:type="dxa"/>
            <w:gridSpan w:val="2"/>
            <w:tcBorders>
              <w:top w:val="nil"/>
              <w:left w:val="nil"/>
              <w:bottom w:val="single" w:sz="6" w:space="0" w:color="000000"/>
              <w:right w:val="nil"/>
            </w:tcBorders>
            <w:shd w:val="clear" w:color="auto" w:fill="FFFFFF"/>
            <w:vAlign w:val="center"/>
          </w:tcPr>
          <w:p w14:paraId="586D45F5" w14:textId="77777777" w:rsidR="00382604" w:rsidRDefault="00F91166">
            <w:pPr>
              <w:spacing w:line="480" w:lineRule="auto"/>
              <w:jc w:val="center"/>
              <w:rPr>
                <w:rFonts w:ascii="Arial" w:eastAsia="Arial" w:hAnsi="Arial" w:cs="Arial"/>
              </w:rPr>
            </w:pPr>
            <w:r>
              <w:rPr>
                <w:rFonts w:ascii="Arial" w:eastAsia="Arial" w:hAnsi="Arial" w:cs="Arial"/>
              </w:rPr>
              <w:t>2.64</w:t>
            </w:r>
          </w:p>
        </w:tc>
        <w:tc>
          <w:tcPr>
            <w:tcW w:w="1800" w:type="dxa"/>
            <w:tcBorders>
              <w:top w:val="nil"/>
              <w:left w:val="nil"/>
              <w:bottom w:val="single" w:sz="6" w:space="0" w:color="000000"/>
              <w:right w:val="nil"/>
            </w:tcBorders>
            <w:shd w:val="clear" w:color="auto" w:fill="FFFFFF"/>
            <w:vAlign w:val="center"/>
          </w:tcPr>
          <w:p w14:paraId="7321B94B" w14:textId="77777777" w:rsidR="00382604" w:rsidRDefault="00F91166">
            <w:pPr>
              <w:spacing w:line="480" w:lineRule="auto"/>
              <w:jc w:val="center"/>
              <w:rPr>
                <w:rFonts w:ascii="Arial" w:eastAsia="Arial" w:hAnsi="Arial" w:cs="Arial"/>
              </w:rPr>
            </w:pPr>
            <w:r>
              <w:rPr>
                <w:rFonts w:ascii="Arial" w:eastAsia="Arial" w:hAnsi="Arial" w:cs="Arial"/>
              </w:rPr>
              <w:t>1.27</w:t>
            </w:r>
          </w:p>
        </w:tc>
        <w:tc>
          <w:tcPr>
            <w:tcW w:w="2145" w:type="dxa"/>
            <w:tcBorders>
              <w:top w:val="nil"/>
              <w:left w:val="nil"/>
              <w:bottom w:val="single" w:sz="6" w:space="0" w:color="000000"/>
              <w:right w:val="nil"/>
            </w:tcBorders>
            <w:shd w:val="clear" w:color="auto" w:fill="FFFFFF"/>
            <w:vAlign w:val="center"/>
          </w:tcPr>
          <w:p w14:paraId="6FCE64A9" w14:textId="77777777" w:rsidR="00382604" w:rsidRDefault="00F91166">
            <w:pPr>
              <w:spacing w:line="480" w:lineRule="auto"/>
              <w:jc w:val="center"/>
              <w:rPr>
                <w:rFonts w:ascii="Arial" w:eastAsia="Arial" w:hAnsi="Arial" w:cs="Arial"/>
              </w:rPr>
            </w:pPr>
            <w:r>
              <w:rPr>
                <w:rFonts w:ascii="Arial" w:eastAsia="Arial" w:hAnsi="Arial" w:cs="Arial"/>
              </w:rPr>
              <w:t>Low</w:t>
            </w:r>
          </w:p>
        </w:tc>
      </w:tr>
      <w:tr w:rsidR="00382604" w14:paraId="45D5A355" w14:textId="77777777">
        <w:trPr>
          <w:trHeight w:val="159"/>
        </w:trPr>
        <w:tc>
          <w:tcPr>
            <w:tcW w:w="2445" w:type="dxa"/>
            <w:tcBorders>
              <w:top w:val="single" w:sz="6" w:space="0" w:color="000000"/>
              <w:left w:val="nil"/>
              <w:bottom w:val="single" w:sz="4" w:space="0" w:color="000000"/>
              <w:right w:val="nil"/>
            </w:tcBorders>
            <w:shd w:val="clear" w:color="auto" w:fill="FFFFFF"/>
            <w:vAlign w:val="center"/>
          </w:tcPr>
          <w:p w14:paraId="699F143A" w14:textId="77777777" w:rsidR="00382604" w:rsidRDefault="00F91166">
            <w:pPr>
              <w:spacing w:line="480" w:lineRule="auto"/>
              <w:rPr>
                <w:rFonts w:ascii="Arial" w:eastAsia="Arial" w:hAnsi="Arial" w:cs="Arial"/>
              </w:rPr>
            </w:pPr>
            <w:r>
              <w:rPr>
                <w:rFonts w:ascii="Arial" w:eastAsia="Arial" w:hAnsi="Arial" w:cs="Arial"/>
                <w:b/>
              </w:rPr>
              <w:t>Total</w:t>
            </w:r>
          </w:p>
        </w:tc>
        <w:tc>
          <w:tcPr>
            <w:tcW w:w="1800" w:type="dxa"/>
            <w:gridSpan w:val="3"/>
            <w:tcBorders>
              <w:top w:val="single" w:sz="6" w:space="0" w:color="000000"/>
              <w:left w:val="nil"/>
              <w:bottom w:val="single" w:sz="4" w:space="0" w:color="000000"/>
              <w:right w:val="nil"/>
            </w:tcBorders>
            <w:shd w:val="clear" w:color="auto" w:fill="FFFFFF"/>
            <w:vAlign w:val="center"/>
          </w:tcPr>
          <w:p w14:paraId="16D7F44D" w14:textId="77777777" w:rsidR="00382604" w:rsidRDefault="00382604">
            <w:pPr>
              <w:spacing w:line="480" w:lineRule="auto"/>
              <w:rPr>
                <w:rFonts w:ascii="Arial" w:eastAsia="Arial" w:hAnsi="Arial" w:cs="Arial"/>
              </w:rPr>
            </w:pPr>
          </w:p>
        </w:tc>
        <w:tc>
          <w:tcPr>
            <w:tcW w:w="1800" w:type="dxa"/>
            <w:tcBorders>
              <w:top w:val="single" w:sz="6" w:space="0" w:color="000000"/>
              <w:left w:val="nil"/>
              <w:bottom w:val="single" w:sz="4" w:space="0" w:color="000000"/>
              <w:right w:val="nil"/>
            </w:tcBorders>
            <w:shd w:val="clear" w:color="auto" w:fill="FFFFFF"/>
            <w:vAlign w:val="center"/>
          </w:tcPr>
          <w:p w14:paraId="75C3F1C8" w14:textId="77777777" w:rsidR="00382604" w:rsidRDefault="00382604">
            <w:pPr>
              <w:spacing w:line="480" w:lineRule="auto"/>
              <w:rPr>
                <w:rFonts w:ascii="Arial" w:eastAsia="Arial" w:hAnsi="Arial" w:cs="Arial"/>
              </w:rPr>
            </w:pPr>
          </w:p>
        </w:tc>
        <w:tc>
          <w:tcPr>
            <w:tcW w:w="2145" w:type="dxa"/>
            <w:tcBorders>
              <w:top w:val="single" w:sz="6" w:space="0" w:color="000000"/>
              <w:left w:val="nil"/>
              <w:bottom w:val="single" w:sz="4" w:space="0" w:color="000000"/>
              <w:right w:val="nil"/>
            </w:tcBorders>
            <w:shd w:val="clear" w:color="auto" w:fill="FFFFFF"/>
            <w:vAlign w:val="center"/>
          </w:tcPr>
          <w:p w14:paraId="791F6E41" w14:textId="77777777" w:rsidR="00382604" w:rsidRDefault="00382604">
            <w:pPr>
              <w:spacing w:line="480" w:lineRule="auto"/>
              <w:jc w:val="center"/>
              <w:rPr>
                <w:rFonts w:ascii="Arial" w:eastAsia="Arial" w:hAnsi="Arial" w:cs="Arial"/>
              </w:rPr>
            </w:pPr>
          </w:p>
        </w:tc>
      </w:tr>
      <w:tr w:rsidR="00382604" w14:paraId="6AD86E59" w14:textId="77777777">
        <w:trPr>
          <w:trHeight w:val="344"/>
        </w:trPr>
        <w:tc>
          <w:tcPr>
            <w:tcW w:w="2445" w:type="dxa"/>
            <w:tcBorders>
              <w:top w:val="single" w:sz="4" w:space="0" w:color="000000"/>
              <w:left w:val="nil"/>
              <w:bottom w:val="nil"/>
              <w:right w:val="nil"/>
            </w:tcBorders>
            <w:shd w:val="clear" w:color="auto" w:fill="FFFFFF"/>
            <w:vAlign w:val="center"/>
          </w:tcPr>
          <w:p w14:paraId="2FE7C720" w14:textId="77777777" w:rsidR="00382604" w:rsidRDefault="00F91166">
            <w:pPr>
              <w:spacing w:line="480" w:lineRule="auto"/>
              <w:rPr>
                <w:rFonts w:ascii="Arial" w:eastAsia="Arial" w:hAnsi="Arial" w:cs="Arial"/>
              </w:rPr>
            </w:pPr>
            <w:r>
              <w:rPr>
                <w:rFonts w:ascii="Arial" w:eastAsia="Arial" w:hAnsi="Arial" w:cs="Arial"/>
                <w:b/>
              </w:rPr>
              <w:t>Overall Mean</w:t>
            </w:r>
          </w:p>
        </w:tc>
        <w:tc>
          <w:tcPr>
            <w:tcW w:w="835" w:type="dxa"/>
            <w:gridSpan w:val="2"/>
            <w:tcBorders>
              <w:top w:val="single" w:sz="4" w:space="0" w:color="000000"/>
              <w:left w:val="nil"/>
              <w:bottom w:val="nil"/>
              <w:right w:val="nil"/>
            </w:tcBorders>
            <w:shd w:val="clear" w:color="auto" w:fill="auto"/>
            <w:vAlign w:val="center"/>
          </w:tcPr>
          <w:p w14:paraId="69CEE8E5" w14:textId="77777777" w:rsidR="00382604" w:rsidRDefault="00F91166">
            <w:pPr>
              <w:spacing w:line="480" w:lineRule="auto"/>
              <w:rPr>
                <w:rFonts w:ascii="Arial" w:eastAsia="Arial" w:hAnsi="Arial" w:cs="Arial"/>
                <w:b/>
              </w:rPr>
            </w:pPr>
            <w:r>
              <w:rPr>
                <w:rFonts w:ascii="Arial" w:eastAsia="Arial" w:hAnsi="Arial" w:cs="Arial"/>
                <w:b/>
              </w:rPr>
              <w:t>2.76</w:t>
            </w:r>
          </w:p>
        </w:tc>
        <w:tc>
          <w:tcPr>
            <w:tcW w:w="4910" w:type="dxa"/>
            <w:gridSpan w:val="3"/>
            <w:tcBorders>
              <w:top w:val="single" w:sz="4" w:space="0" w:color="000000"/>
              <w:left w:val="nil"/>
              <w:bottom w:val="nil"/>
              <w:right w:val="nil"/>
            </w:tcBorders>
            <w:shd w:val="clear" w:color="auto" w:fill="auto"/>
            <w:vAlign w:val="center"/>
          </w:tcPr>
          <w:p w14:paraId="41C983F7" w14:textId="77777777" w:rsidR="00382604" w:rsidRDefault="00382604">
            <w:pPr>
              <w:spacing w:line="480" w:lineRule="auto"/>
              <w:rPr>
                <w:rFonts w:ascii="Arial" w:eastAsia="Arial" w:hAnsi="Arial" w:cs="Arial"/>
                <w:b/>
              </w:rPr>
            </w:pPr>
          </w:p>
        </w:tc>
      </w:tr>
      <w:tr w:rsidR="00382604" w14:paraId="4552CE28" w14:textId="77777777">
        <w:tc>
          <w:tcPr>
            <w:tcW w:w="2445" w:type="dxa"/>
            <w:tcBorders>
              <w:top w:val="nil"/>
              <w:left w:val="nil"/>
              <w:bottom w:val="nil"/>
              <w:right w:val="nil"/>
            </w:tcBorders>
            <w:shd w:val="clear" w:color="auto" w:fill="FFFFFF"/>
            <w:vAlign w:val="center"/>
          </w:tcPr>
          <w:p w14:paraId="0C0E4173"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835" w:type="dxa"/>
            <w:gridSpan w:val="2"/>
            <w:tcBorders>
              <w:top w:val="nil"/>
              <w:left w:val="nil"/>
              <w:bottom w:val="nil"/>
              <w:right w:val="nil"/>
            </w:tcBorders>
            <w:shd w:val="clear" w:color="auto" w:fill="auto"/>
            <w:vAlign w:val="center"/>
          </w:tcPr>
          <w:p w14:paraId="19F188A9" w14:textId="77777777" w:rsidR="00382604" w:rsidRDefault="00F91166">
            <w:pPr>
              <w:spacing w:line="480" w:lineRule="auto"/>
              <w:rPr>
                <w:rFonts w:ascii="Arial" w:eastAsia="Arial" w:hAnsi="Arial" w:cs="Arial"/>
                <w:b/>
              </w:rPr>
            </w:pPr>
            <w:r>
              <w:rPr>
                <w:rFonts w:ascii="Arial" w:eastAsia="Arial" w:hAnsi="Arial" w:cs="Arial"/>
                <w:b/>
              </w:rPr>
              <w:t>Low</w:t>
            </w:r>
          </w:p>
        </w:tc>
        <w:tc>
          <w:tcPr>
            <w:tcW w:w="4910" w:type="dxa"/>
            <w:gridSpan w:val="3"/>
            <w:tcBorders>
              <w:top w:val="nil"/>
              <w:left w:val="nil"/>
              <w:bottom w:val="nil"/>
              <w:right w:val="nil"/>
            </w:tcBorders>
            <w:shd w:val="clear" w:color="auto" w:fill="auto"/>
            <w:vAlign w:val="center"/>
          </w:tcPr>
          <w:p w14:paraId="6214717E" w14:textId="77777777" w:rsidR="00382604" w:rsidRDefault="00382604">
            <w:pPr>
              <w:spacing w:line="480" w:lineRule="auto"/>
              <w:rPr>
                <w:rFonts w:ascii="Arial" w:eastAsia="Arial" w:hAnsi="Arial" w:cs="Arial"/>
                <w:b/>
              </w:rPr>
            </w:pPr>
          </w:p>
        </w:tc>
      </w:tr>
      <w:tr w:rsidR="00382604" w14:paraId="0C3F832F" w14:textId="77777777">
        <w:tc>
          <w:tcPr>
            <w:tcW w:w="2445" w:type="dxa"/>
            <w:tcBorders>
              <w:top w:val="nil"/>
              <w:left w:val="nil"/>
              <w:bottom w:val="single" w:sz="6" w:space="0" w:color="000000"/>
              <w:right w:val="nil"/>
            </w:tcBorders>
            <w:shd w:val="clear" w:color="auto" w:fill="FFFFFF"/>
            <w:vAlign w:val="center"/>
          </w:tcPr>
          <w:p w14:paraId="14BBB724" w14:textId="77777777" w:rsidR="00382604" w:rsidRDefault="00F91166">
            <w:pPr>
              <w:spacing w:line="480" w:lineRule="auto"/>
              <w:rPr>
                <w:rFonts w:ascii="Arial" w:eastAsia="Arial" w:hAnsi="Arial" w:cs="Arial"/>
              </w:rPr>
            </w:pPr>
            <w:r>
              <w:rPr>
                <w:rFonts w:ascii="Arial" w:eastAsia="Arial" w:hAnsi="Arial" w:cs="Arial"/>
                <w:b/>
              </w:rPr>
              <w:t>SD</w:t>
            </w:r>
          </w:p>
        </w:tc>
        <w:tc>
          <w:tcPr>
            <w:tcW w:w="835" w:type="dxa"/>
            <w:gridSpan w:val="2"/>
            <w:tcBorders>
              <w:top w:val="nil"/>
              <w:left w:val="nil"/>
              <w:bottom w:val="single" w:sz="6" w:space="0" w:color="000000"/>
              <w:right w:val="nil"/>
            </w:tcBorders>
            <w:shd w:val="clear" w:color="auto" w:fill="auto"/>
            <w:vAlign w:val="center"/>
          </w:tcPr>
          <w:p w14:paraId="006D950E" w14:textId="77777777" w:rsidR="00382604" w:rsidRDefault="00F91166">
            <w:pPr>
              <w:spacing w:line="480" w:lineRule="auto"/>
              <w:rPr>
                <w:rFonts w:ascii="Arial" w:eastAsia="Arial" w:hAnsi="Arial" w:cs="Arial"/>
                <w:b/>
              </w:rPr>
            </w:pPr>
            <w:r>
              <w:rPr>
                <w:rFonts w:ascii="Arial" w:eastAsia="Arial" w:hAnsi="Arial" w:cs="Arial"/>
                <w:b/>
              </w:rPr>
              <w:t>1.17</w:t>
            </w:r>
          </w:p>
        </w:tc>
        <w:tc>
          <w:tcPr>
            <w:tcW w:w="4910" w:type="dxa"/>
            <w:gridSpan w:val="3"/>
            <w:tcBorders>
              <w:top w:val="nil"/>
              <w:left w:val="nil"/>
              <w:bottom w:val="single" w:sz="6" w:space="0" w:color="000000"/>
              <w:right w:val="nil"/>
            </w:tcBorders>
            <w:shd w:val="clear" w:color="auto" w:fill="auto"/>
            <w:vAlign w:val="center"/>
          </w:tcPr>
          <w:p w14:paraId="06FBFDAD" w14:textId="77777777" w:rsidR="00382604" w:rsidRDefault="00382604">
            <w:pPr>
              <w:spacing w:line="480" w:lineRule="auto"/>
              <w:rPr>
                <w:rFonts w:ascii="Arial" w:eastAsia="Arial" w:hAnsi="Arial" w:cs="Arial"/>
                <w:b/>
              </w:rPr>
            </w:pPr>
          </w:p>
        </w:tc>
      </w:tr>
    </w:tbl>
    <w:p w14:paraId="7B985CED"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*Summary of Junior High School Students’ level of Filipino Language Proficiency in terms of </w:t>
      </w:r>
      <w:proofErr w:type="spellStart"/>
      <w:r>
        <w:rPr>
          <w:rFonts w:ascii="Arial" w:eastAsia="Arial" w:hAnsi="Arial" w:cs="Arial"/>
          <w:i/>
          <w:color w:val="000000"/>
          <w:vertAlign w:val="subscript"/>
        </w:rPr>
        <w:t>Nilalaman</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Talasalitaan</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Mekaniks</w:t>
      </w:r>
      <w:proofErr w:type="spellEnd"/>
      <w:r>
        <w:rPr>
          <w:rFonts w:ascii="Arial" w:eastAsia="Arial" w:hAnsi="Arial" w:cs="Arial"/>
          <w:i/>
          <w:color w:val="000000"/>
          <w:vertAlign w:val="subscript"/>
        </w:rPr>
        <w:t xml:space="preserve">, </w:t>
      </w:r>
      <w:proofErr w:type="spellStart"/>
      <w:r>
        <w:rPr>
          <w:rFonts w:ascii="Arial" w:eastAsia="Arial" w:hAnsi="Arial" w:cs="Arial"/>
          <w:i/>
          <w:color w:val="000000"/>
          <w:vertAlign w:val="subscript"/>
        </w:rPr>
        <w:t>Gramatika</w:t>
      </w:r>
      <w:proofErr w:type="spellEnd"/>
      <w:r>
        <w:rPr>
          <w:rFonts w:ascii="Arial" w:eastAsia="Arial" w:hAnsi="Arial" w:cs="Arial"/>
          <w:i/>
          <w:color w:val="000000"/>
          <w:vertAlign w:val="subscript"/>
        </w:rPr>
        <w:t xml:space="preserve">, and </w:t>
      </w:r>
      <w:proofErr w:type="spellStart"/>
      <w:r>
        <w:rPr>
          <w:rFonts w:ascii="Arial" w:eastAsia="Arial" w:hAnsi="Arial" w:cs="Arial"/>
          <w:i/>
          <w:color w:val="000000"/>
          <w:vertAlign w:val="subscript"/>
        </w:rPr>
        <w:t>Organisasyon</w:t>
      </w:r>
      <w:proofErr w:type="spellEnd"/>
    </w:p>
    <w:p w14:paraId="1F31F729" w14:textId="77777777" w:rsidR="00382604" w:rsidRDefault="00382604">
      <w:pPr>
        <w:jc w:val="both"/>
        <w:rPr>
          <w:rFonts w:ascii="Arial" w:eastAsia="Arial" w:hAnsi="Arial" w:cs="Arial"/>
          <w:i/>
          <w:color w:val="000000"/>
          <w:vertAlign w:val="subscript"/>
        </w:rPr>
      </w:pPr>
    </w:p>
    <w:p w14:paraId="5AE38FEC" w14:textId="77777777" w:rsidR="00382604" w:rsidRDefault="00F91166">
      <w:pPr>
        <w:jc w:val="both"/>
        <w:rPr>
          <w:rFonts w:ascii="Arial" w:eastAsia="Arial" w:hAnsi="Arial" w:cs="Arial"/>
          <w:color w:val="000000"/>
        </w:rPr>
      </w:pPr>
      <w:r>
        <w:rPr>
          <w:rFonts w:ascii="Arial" w:eastAsia="Arial" w:hAnsi="Arial" w:cs="Arial"/>
          <w:color w:val="000000"/>
        </w:rPr>
        <w:t xml:space="preserve">Table 14 presents the overall Filipino language proficiency of Junior High School students, showing a "Low" proficiency level with an overall mean of 2.76. Among the five assessed dimensions, </w:t>
      </w:r>
      <w:proofErr w:type="spellStart"/>
      <w:r>
        <w:rPr>
          <w:rFonts w:ascii="Arial" w:eastAsia="Arial" w:hAnsi="Arial" w:cs="Arial"/>
          <w:color w:val="000000"/>
        </w:rPr>
        <w:t>Nilalaman</w:t>
      </w:r>
      <w:proofErr w:type="spellEnd"/>
      <w:r>
        <w:rPr>
          <w:rFonts w:ascii="Arial" w:eastAsia="Arial" w:hAnsi="Arial" w:cs="Arial"/>
          <w:color w:val="000000"/>
        </w:rPr>
        <w:t xml:space="preserve"> (content) received the highest mean score (3.08, Moderate), indicating that students can generate ideas but may struggle with coherence and depth. Conversely, </w:t>
      </w:r>
      <w:proofErr w:type="spellStart"/>
      <w:r>
        <w:rPr>
          <w:rFonts w:ascii="Arial" w:eastAsia="Arial" w:hAnsi="Arial" w:cs="Arial"/>
          <w:color w:val="000000"/>
        </w:rPr>
        <w:t>Talasalitaan</w:t>
      </w:r>
      <w:proofErr w:type="spellEnd"/>
      <w:r>
        <w:rPr>
          <w:rFonts w:ascii="Arial" w:eastAsia="Arial" w:hAnsi="Arial" w:cs="Arial"/>
          <w:color w:val="000000"/>
        </w:rPr>
        <w:t xml:space="preserve"> (vocabulary) had the lowest mean score (2.63, Low), highlighting difficulties in word choice and vocabulary range. </w:t>
      </w:r>
    </w:p>
    <w:p w14:paraId="67153B21" w14:textId="77777777" w:rsidR="00382604" w:rsidRDefault="00382604">
      <w:pPr>
        <w:jc w:val="both"/>
        <w:rPr>
          <w:rFonts w:ascii="Arial" w:eastAsia="Arial" w:hAnsi="Arial" w:cs="Arial"/>
          <w:color w:val="000000"/>
        </w:rPr>
      </w:pPr>
    </w:p>
    <w:p w14:paraId="348A5E7F" w14:textId="77777777" w:rsidR="00382604" w:rsidRDefault="00F91166">
      <w:pPr>
        <w:keepNext/>
        <w:jc w:val="both"/>
        <w:rPr>
          <w:rFonts w:ascii="Arial" w:eastAsia="Arial" w:hAnsi="Arial" w:cs="Arial"/>
          <w:color w:val="000000"/>
        </w:rPr>
      </w:pPr>
      <w:r>
        <w:rPr>
          <w:rFonts w:ascii="Arial" w:eastAsia="Arial" w:hAnsi="Arial" w:cs="Arial"/>
          <w:color w:val="000000"/>
        </w:rPr>
        <w:t xml:space="preserve">The results indicate that while some students may have stronger Filipino language skills, there is also a significant number of students who struggle with vocabulary, mechanics, grammar, and organization. The same findings were observed from the study of Gildore et al. (2024), wherein they found that language students had grammatical errors, poor organization, and a lack of understanding of writing mechanics in narrative essays, affecting students’ writing proficiency. These results highlight the need for targeted instructional interventions, such as </w:t>
      </w:r>
      <w:r>
        <w:rPr>
          <w:rFonts w:ascii="Arial" w:eastAsia="Arial" w:hAnsi="Arial" w:cs="Arial"/>
          <w:color w:val="000000"/>
        </w:rPr>
        <w:lastRenderedPageBreak/>
        <w:t>vocabulary development, grammar support, and structured writing exercises, to enhance students' proficiency in the Filipino language.</w:t>
      </w:r>
    </w:p>
    <w:p w14:paraId="3B57EB21" w14:textId="77777777" w:rsidR="00382604" w:rsidRDefault="00382604">
      <w:pPr>
        <w:keepNext/>
        <w:jc w:val="both"/>
        <w:rPr>
          <w:rFonts w:ascii="Arial" w:eastAsia="Arial" w:hAnsi="Arial" w:cs="Arial"/>
          <w:b/>
          <w:smallCaps/>
          <w:color w:val="000000"/>
          <w:sz w:val="22"/>
          <w:szCs w:val="22"/>
        </w:rPr>
      </w:pPr>
    </w:p>
    <w:p w14:paraId="36E42549"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3.6 </w:t>
      </w:r>
      <w:r>
        <w:rPr>
          <w:rFonts w:ascii="Arial" w:eastAsia="Arial" w:hAnsi="Arial" w:cs="Arial"/>
          <w:b/>
          <w:color w:val="000000"/>
          <w:sz w:val="22"/>
          <w:szCs w:val="22"/>
        </w:rPr>
        <w:t>Junior High School Students’ overall level of Filipino Language Proficiency</w:t>
      </w:r>
    </w:p>
    <w:p w14:paraId="69772241" w14:textId="77777777" w:rsidR="00382604" w:rsidRDefault="00382604">
      <w:pPr>
        <w:jc w:val="both"/>
        <w:rPr>
          <w:rFonts w:ascii="Arial" w:eastAsia="Arial" w:hAnsi="Arial" w:cs="Arial"/>
          <w:b/>
          <w:color w:val="000000"/>
          <w:sz w:val="22"/>
          <w:szCs w:val="22"/>
        </w:rPr>
      </w:pPr>
    </w:p>
    <w:p w14:paraId="1A6A156C" w14:textId="77777777" w:rsidR="00382604" w:rsidRDefault="00F91166">
      <w:pPr>
        <w:jc w:val="both"/>
        <w:rPr>
          <w:rFonts w:ascii="Arial" w:eastAsia="Arial" w:hAnsi="Arial" w:cs="Arial"/>
          <w:b/>
          <w:color w:val="000000"/>
        </w:rPr>
      </w:pPr>
      <w:r>
        <w:rPr>
          <w:rFonts w:ascii="Arial" w:eastAsia="Arial" w:hAnsi="Arial" w:cs="Arial"/>
          <w:b/>
          <w:color w:val="000000"/>
        </w:rPr>
        <w:t>Table 15. Mean, Standard Deviation, and Interpretation of the overall extent of the Junior High School Students Level of Filipino Language Proficiency</w:t>
      </w:r>
    </w:p>
    <w:tbl>
      <w:tblPr>
        <w:tblStyle w:val="Style88"/>
        <w:tblpPr w:leftFromText="180" w:rightFromText="180" w:vertAnchor="text" w:tblpY="197"/>
        <w:tblW w:w="8190" w:type="dxa"/>
        <w:tblBorders>
          <w:top w:val="single" w:sz="6" w:space="0" w:color="000000"/>
          <w:bottom w:val="single" w:sz="6" w:space="0" w:color="000000"/>
        </w:tblBorders>
        <w:tblLayout w:type="fixed"/>
        <w:tblLook w:val="04A0" w:firstRow="1" w:lastRow="0" w:firstColumn="1" w:lastColumn="0" w:noHBand="0" w:noVBand="1"/>
      </w:tblPr>
      <w:tblGrid>
        <w:gridCol w:w="2355"/>
        <w:gridCol w:w="270"/>
        <w:gridCol w:w="1260"/>
        <w:gridCol w:w="360"/>
        <w:gridCol w:w="1800"/>
        <w:gridCol w:w="2145"/>
      </w:tblGrid>
      <w:tr w:rsidR="00382604" w14:paraId="5DA06A3F" w14:textId="77777777">
        <w:trPr>
          <w:trHeight w:val="271"/>
        </w:trPr>
        <w:tc>
          <w:tcPr>
            <w:tcW w:w="2355" w:type="dxa"/>
            <w:tcBorders>
              <w:top w:val="single" w:sz="6" w:space="0" w:color="000000"/>
              <w:left w:val="nil"/>
              <w:bottom w:val="single" w:sz="6" w:space="0" w:color="000000"/>
              <w:right w:val="nil"/>
            </w:tcBorders>
            <w:shd w:val="clear" w:color="auto" w:fill="FFFFFF"/>
            <w:vAlign w:val="center"/>
          </w:tcPr>
          <w:p w14:paraId="72C482BC" w14:textId="77777777" w:rsidR="00382604" w:rsidRDefault="00F91166">
            <w:pPr>
              <w:jc w:val="center"/>
              <w:rPr>
                <w:rFonts w:ascii="Arial" w:eastAsia="Arial" w:hAnsi="Arial" w:cs="Arial"/>
              </w:rPr>
            </w:pPr>
            <w:r>
              <w:rPr>
                <w:rFonts w:ascii="Arial" w:eastAsia="Arial" w:hAnsi="Arial" w:cs="Arial"/>
                <w:b/>
              </w:rPr>
              <w:t>Range</w:t>
            </w:r>
          </w:p>
        </w:tc>
        <w:tc>
          <w:tcPr>
            <w:tcW w:w="1890" w:type="dxa"/>
            <w:gridSpan w:val="3"/>
            <w:tcBorders>
              <w:top w:val="single" w:sz="6" w:space="0" w:color="000000"/>
              <w:left w:val="nil"/>
              <w:bottom w:val="single" w:sz="6" w:space="0" w:color="000000"/>
              <w:right w:val="nil"/>
            </w:tcBorders>
            <w:shd w:val="clear" w:color="auto" w:fill="FFFFFF"/>
            <w:vAlign w:val="center"/>
          </w:tcPr>
          <w:p w14:paraId="77D85078" w14:textId="77777777" w:rsidR="00382604" w:rsidRDefault="00F91166">
            <w:pPr>
              <w:jc w:val="center"/>
              <w:rPr>
                <w:rFonts w:ascii="Arial" w:eastAsia="Arial" w:hAnsi="Arial" w:cs="Arial"/>
                <w:b/>
              </w:rPr>
            </w:pPr>
            <w:r>
              <w:rPr>
                <w:rFonts w:ascii="Arial" w:eastAsia="Arial" w:hAnsi="Arial" w:cs="Arial"/>
                <w:b/>
              </w:rPr>
              <w:t>Interpretation</w:t>
            </w:r>
          </w:p>
        </w:tc>
        <w:tc>
          <w:tcPr>
            <w:tcW w:w="1800" w:type="dxa"/>
            <w:tcBorders>
              <w:top w:val="single" w:sz="6" w:space="0" w:color="000000"/>
              <w:left w:val="nil"/>
              <w:bottom w:val="single" w:sz="6" w:space="0" w:color="000000"/>
              <w:right w:val="nil"/>
            </w:tcBorders>
            <w:shd w:val="clear" w:color="auto" w:fill="FFFFFF"/>
            <w:vAlign w:val="center"/>
          </w:tcPr>
          <w:p w14:paraId="4093F445" w14:textId="77777777" w:rsidR="00382604" w:rsidRDefault="00F91166">
            <w:pPr>
              <w:jc w:val="center"/>
              <w:rPr>
                <w:rFonts w:ascii="Arial" w:eastAsia="Arial" w:hAnsi="Arial" w:cs="Arial"/>
              </w:rPr>
            </w:pPr>
            <w:r>
              <w:rPr>
                <w:rFonts w:ascii="Arial" w:eastAsia="Arial" w:hAnsi="Arial" w:cs="Arial"/>
                <w:b/>
              </w:rPr>
              <w:t>Frequency</w:t>
            </w:r>
          </w:p>
        </w:tc>
        <w:tc>
          <w:tcPr>
            <w:tcW w:w="2145" w:type="dxa"/>
            <w:tcBorders>
              <w:top w:val="single" w:sz="6" w:space="0" w:color="000000"/>
              <w:left w:val="nil"/>
              <w:bottom w:val="single" w:sz="6" w:space="0" w:color="000000"/>
              <w:right w:val="nil"/>
            </w:tcBorders>
            <w:shd w:val="clear" w:color="auto" w:fill="FFFFFF"/>
            <w:vAlign w:val="center"/>
          </w:tcPr>
          <w:p w14:paraId="070ECB78" w14:textId="77777777" w:rsidR="00382604" w:rsidRDefault="00F91166">
            <w:pPr>
              <w:jc w:val="center"/>
              <w:rPr>
                <w:rFonts w:ascii="Arial" w:eastAsia="Arial" w:hAnsi="Arial" w:cs="Arial"/>
                <w:b/>
              </w:rPr>
            </w:pPr>
            <w:r>
              <w:rPr>
                <w:rFonts w:ascii="Arial" w:eastAsia="Arial" w:hAnsi="Arial" w:cs="Arial"/>
                <w:b/>
              </w:rPr>
              <w:t>Percentage</w:t>
            </w:r>
          </w:p>
        </w:tc>
      </w:tr>
      <w:tr w:rsidR="00382604" w14:paraId="2E209339" w14:textId="77777777">
        <w:tc>
          <w:tcPr>
            <w:tcW w:w="2355" w:type="dxa"/>
            <w:tcBorders>
              <w:top w:val="single" w:sz="6" w:space="0" w:color="000000"/>
              <w:left w:val="nil"/>
              <w:bottom w:val="nil"/>
              <w:right w:val="nil"/>
            </w:tcBorders>
            <w:shd w:val="clear" w:color="auto" w:fill="FFFFFF"/>
            <w:vAlign w:val="center"/>
          </w:tcPr>
          <w:p w14:paraId="6E18E0CE" w14:textId="77777777" w:rsidR="00382604" w:rsidRDefault="00F91166">
            <w:pPr>
              <w:spacing w:before="240" w:line="480" w:lineRule="auto"/>
              <w:jc w:val="center"/>
              <w:rPr>
                <w:rFonts w:ascii="Arial" w:eastAsia="Arial" w:hAnsi="Arial" w:cs="Arial"/>
              </w:rPr>
            </w:pPr>
            <w:r>
              <w:rPr>
                <w:rFonts w:ascii="Arial" w:eastAsia="Arial" w:hAnsi="Arial" w:cs="Arial"/>
              </w:rPr>
              <w:t>20.01 - 25.00</w:t>
            </w:r>
          </w:p>
        </w:tc>
        <w:tc>
          <w:tcPr>
            <w:tcW w:w="1890" w:type="dxa"/>
            <w:gridSpan w:val="3"/>
            <w:tcBorders>
              <w:top w:val="single" w:sz="6" w:space="0" w:color="000000"/>
              <w:left w:val="nil"/>
              <w:bottom w:val="nil"/>
              <w:right w:val="nil"/>
            </w:tcBorders>
            <w:shd w:val="clear" w:color="auto" w:fill="FFFFFF"/>
            <w:vAlign w:val="center"/>
          </w:tcPr>
          <w:p w14:paraId="4B752A95" w14:textId="77777777" w:rsidR="00382604" w:rsidRDefault="00F91166">
            <w:pPr>
              <w:spacing w:before="240" w:line="480" w:lineRule="auto"/>
              <w:jc w:val="center"/>
              <w:rPr>
                <w:rFonts w:ascii="Arial" w:eastAsia="Arial" w:hAnsi="Arial" w:cs="Arial"/>
              </w:rPr>
            </w:pPr>
            <w:r>
              <w:rPr>
                <w:rFonts w:ascii="Arial" w:eastAsia="Arial" w:hAnsi="Arial" w:cs="Arial"/>
              </w:rPr>
              <w:t>Very High</w:t>
            </w:r>
          </w:p>
        </w:tc>
        <w:tc>
          <w:tcPr>
            <w:tcW w:w="1800" w:type="dxa"/>
            <w:tcBorders>
              <w:top w:val="single" w:sz="6" w:space="0" w:color="000000"/>
              <w:left w:val="nil"/>
              <w:bottom w:val="nil"/>
              <w:right w:val="nil"/>
            </w:tcBorders>
            <w:shd w:val="clear" w:color="auto" w:fill="FFFFFF"/>
            <w:vAlign w:val="center"/>
          </w:tcPr>
          <w:p w14:paraId="68EF77C2" w14:textId="77777777" w:rsidR="00382604" w:rsidRDefault="00F91166">
            <w:pPr>
              <w:spacing w:before="240" w:line="480" w:lineRule="auto"/>
              <w:jc w:val="center"/>
              <w:rPr>
                <w:rFonts w:ascii="Arial" w:eastAsia="Arial" w:hAnsi="Arial" w:cs="Arial"/>
              </w:rPr>
            </w:pPr>
            <w:r>
              <w:rPr>
                <w:rFonts w:ascii="Arial" w:eastAsia="Arial" w:hAnsi="Arial" w:cs="Arial"/>
              </w:rPr>
              <w:t>34</w:t>
            </w:r>
          </w:p>
        </w:tc>
        <w:tc>
          <w:tcPr>
            <w:tcW w:w="2145" w:type="dxa"/>
            <w:tcBorders>
              <w:top w:val="single" w:sz="6" w:space="0" w:color="000000"/>
              <w:left w:val="nil"/>
              <w:bottom w:val="nil"/>
              <w:right w:val="nil"/>
            </w:tcBorders>
            <w:shd w:val="clear" w:color="auto" w:fill="FFFFFF"/>
            <w:vAlign w:val="center"/>
          </w:tcPr>
          <w:p w14:paraId="45D24151" w14:textId="77777777" w:rsidR="00382604" w:rsidRDefault="00F91166">
            <w:pPr>
              <w:spacing w:before="240" w:line="480" w:lineRule="auto"/>
              <w:jc w:val="center"/>
              <w:rPr>
                <w:rFonts w:ascii="Arial" w:eastAsia="Arial" w:hAnsi="Arial" w:cs="Arial"/>
              </w:rPr>
            </w:pPr>
            <w:r>
              <w:rPr>
                <w:rFonts w:ascii="Arial" w:eastAsia="Arial" w:hAnsi="Arial" w:cs="Arial"/>
              </w:rPr>
              <w:t>15.96</w:t>
            </w:r>
          </w:p>
        </w:tc>
      </w:tr>
      <w:tr w:rsidR="00382604" w14:paraId="0B8024C1" w14:textId="77777777">
        <w:trPr>
          <w:trHeight w:val="264"/>
        </w:trPr>
        <w:tc>
          <w:tcPr>
            <w:tcW w:w="2355" w:type="dxa"/>
            <w:tcBorders>
              <w:top w:val="nil"/>
              <w:left w:val="nil"/>
              <w:bottom w:val="nil"/>
              <w:right w:val="nil"/>
            </w:tcBorders>
            <w:shd w:val="clear" w:color="auto" w:fill="FFFFFF"/>
            <w:vAlign w:val="center"/>
          </w:tcPr>
          <w:p w14:paraId="32BCC088" w14:textId="77777777" w:rsidR="00382604" w:rsidRDefault="00F91166">
            <w:pPr>
              <w:spacing w:line="480" w:lineRule="auto"/>
              <w:jc w:val="center"/>
              <w:rPr>
                <w:rFonts w:ascii="Arial" w:eastAsia="Arial" w:hAnsi="Arial" w:cs="Arial"/>
              </w:rPr>
            </w:pPr>
            <w:r>
              <w:rPr>
                <w:rFonts w:ascii="Arial" w:eastAsia="Arial" w:hAnsi="Arial" w:cs="Arial"/>
              </w:rPr>
              <w:t>15.01 - 20.00</w:t>
            </w:r>
          </w:p>
        </w:tc>
        <w:tc>
          <w:tcPr>
            <w:tcW w:w="1890" w:type="dxa"/>
            <w:gridSpan w:val="3"/>
            <w:tcBorders>
              <w:top w:val="nil"/>
              <w:left w:val="nil"/>
              <w:bottom w:val="nil"/>
              <w:right w:val="nil"/>
            </w:tcBorders>
            <w:shd w:val="clear" w:color="auto" w:fill="FFFFFF"/>
            <w:vAlign w:val="center"/>
          </w:tcPr>
          <w:p w14:paraId="0E32FE8C" w14:textId="77777777" w:rsidR="00382604" w:rsidRDefault="00F91166">
            <w:pPr>
              <w:spacing w:line="480" w:lineRule="auto"/>
              <w:jc w:val="center"/>
              <w:rPr>
                <w:rFonts w:ascii="Arial" w:eastAsia="Arial" w:hAnsi="Arial" w:cs="Arial"/>
              </w:rPr>
            </w:pPr>
            <w:r>
              <w:rPr>
                <w:rFonts w:ascii="Arial" w:eastAsia="Arial" w:hAnsi="Arial" w:cs="Arial"/>
              </w:rPr>
              <w:t>High</w:t>
            </w:r>
          </w:p>
        </w:tc>
        <w:tc>
          <w:tcPr>
            <w:tcW w:w="1800" w:type="dxa"/>
            <w:tcBorders>
              <w:top w:val="nil"/>
              <w:left w:val="nil"/>
              <w:bottom w:val="nil"/>
              <w:right w:val="nil"/>
            </w:tcBorders>
            <w:shd w:val="clear" w:color="auto" w:fill="FFFFFF"/>
            <w:vAlign w:val="center"/>
          </w:tcPr>
          <w:p w14:paraId="555BEBDE" w14:textId="77777777" w:rsidR="00382604" w:rsidRDefault="00F91166">
            <w:pPr>
              <w:spacing w:line="480" w:lineRule="auto"/>
              <w:jc w:val="center"/>
              <w:rPr>
                <w:rFonts w:ascii="Arial" w:eastAsia="Arial" w:hAnsi="Arial" w:cs="Arial"/>
              </w:rPr>
            </w:pPr>
            <w:r>
              <w:rPr>
                <w:rFonts w:ascii="Arial" w:eastAsia="Arial" w:hAnsi="Arial" w:cs="Arial"/>
              </w:rPr>
              <w:t>46</w:t>
            </w:r>
          </w:p>
        </w:tc>
        <w:tc>
          <w:tcPr>
            <w:tcW w:w="2145" w:type="dxa"/>
            <w:tcBorders>
              <w:top w:val="nil"/>
              <w:left w:val="nil"/>
              <w:bottom w:val="nil"/>
              <w:right w:val="nil"/>
            </w:tcBorders>
            <w:shd w:val="clear" w:color="auto" w:fill="FFFFFF"/>
            <w:vAlign w:val="center"/>
          </w:tcPr>
          <w:p w14:paraId="42748787" w14:textId="77777777" w:rsidR="00382604" w:rsidRDefault="00F91166">
            <w:pPr>
              <w:spacing w:line="480" w:lineRule="auto"/>
              <w:jc w:val="center"/>
              <w:rPr>
                <w:rFonts w:ascii="Arial" w:eastAsia="Arial" w:hAnsi="Arial" w:cs="Arial"/>
              </w:rPr>
            </w:pPr>
            <w:r>
              <w:rPr>
                <w:rFonts w:ascii="Arial" w:eastAsia="Arial" w:hAnsi="Arial" w:cs="Arial"/>
              </w:rPr>
              <w:t>21.60</w:t>
            </w:r>
          </w:p>
        </w:tc>
      </w:tr>
      <w:tr w:rsidR="00382604" w14:paraId="09F66E27" w14:textId="77777777">
        <w:trPr>
          <w:trHeight w:val="264"/>
        </w:trPr>
        <w:tc>
          <w:tcPr>
            <w:tcW w:w="2355" w:type="dxa"/>
            <w:tcBorders>
              <w:top w:val="nil"/>
              <w:left w:val="nil"/>
              <w:bottom w:val="nil"/>
              <w:right w:val="nil"/>
            </w:tcBorders>
            <w:shd w:val="clear" w:color="auto" w:fill="FFFFFF"/>
            <w:vAlign w:val="center"/>
          </w:tcPr>
          <w:p w14:paraId="4E0ECA5E" w14:textId="77777777" w:rsidR="00382604" w:rsidRDefault="00F91166">
            <w:pPr>
              <w:spacing w:line="480" w:lineRule="auto"/>
              <w:jc w:val="center"/>
              <w:rPr>
                <w:rFonts w:ascii="Arial" w:eastAsia="Arial" w:hAnsi="Arial" w:cs="Arial"/>
              </w:rPr>
            </w:pPr>
            <w:r>
              <w:rPr>
                <w:rFonts w:ascii="Arial" w:eastAsia="Arial" w:hAnsi="Arial" w:cs="Arial"/>
              </w:rPr>
              <w:t>10.01 - 15.00</w:t>
            </w:r>
          </w:p>
        </w:tc>
        <w:tc>
          <w:tcPr>
            <w:tcW w:w="1890" w:type="dxa"/>
            <w:gridSpan w:val="3"/>
            <w:tcBorders>
              <w:top w:val="nil"/>
              <w:left w:val="nil"/>
              <w:bottom w:val="nil"/>
              <w:right w:val="nil"/>
            </w:tcBorders>
            <w:shd w:val="clear" w:color="auto" w:fill="FFFFFF"/>
            <w:vAlign w:val="center"/>
          </w:tcPr>
          <w:p w14:paraId="28765237" w14:textId="77777777" w:rsidR="00382604" w:rsidRDefault="00F91166">
            <w:pPr>
              <w:spacing w:line="480" w:lineRule="auto"/>
              <w:jc w:val="center"/>
              <w:rPr>
                <w:rFonts w:ascii="Arial" w:eastAsia="Arial" w:hAnsi="Arial" w:cs="Arial"/>
              </w:rPr>
            </w:pPr>
            <w:r>
              <w:rPr>
                <w:rFonts w:ascii="Arial" w:eastAsia="Arial" w:hAnsi="Arial" w:cs="Arial"/>
              </w:rPr>
              <w:t>Moderate</w:t>
            </w:r>
          </w:p>
        </w:tc>
        <w:tc>
          <w:tcPr>
            <w:tcW w:w="1800" w:type="dxa"/>
            <w:tcBorders>
              <w:top w:val="nil"/>
              <w:left w:val="nil"/>
              <w:bottom w:val="nil"/>
              <w:right w:val="nil"/>
            </w:tcBorders>
            <w:shd w:val="clear" w:color="auto" w:fill="FFFFFF"/>
            <w:vAlign w:val="center"/>
          </w:tcPr>
          <w:p w14:paraId="5E3CC831" w14:textId="77777777" w:rsidR="00382604" w:rsidRDefault="00F91166">
            <w:pPr>
              <w:spacing w:line="480" w:lineRule="auto"/>
              <w:jc w:val="center"/>
              <w:rPr>
                <w:rFonts w:ascii="Arial" w:eastAsia="Arial" w:hAnsi="Arial" w:cs="Arial"/>
              </w:rPr>
            </w:pPr>
            <w:r>
              <w:rPr>
                <w:rFonts w:ascii="Arial" w:eastAsia="Arial" w:hAnsi="Arial" w:cs="Arial"/>
              </w:rPr>
              <w:t>67</w:t>
            </w:r>
          </w:p>
        </w:tc>
        <w:tc>
          <w:tcPr>
            <w:tcW w:w="2145" w:type="dxa"/>
            <w:tcBorders>
              <w:top w:val="nil"/>
              <w:left w:val="nil"/>
              <w:bottom w:val="nil"/>
              <w:right w:val="nil"/>
            </w:tcBorders>
            <w:shd w:val="clear" w:color="auto" w:fill="FFFFFF"/>
            <w:vAlign w:val="center"/>
          </w:tcPr>
          <w:p w14:paraId="5CD8F330" w14:textId="77777777" w:rsidR="00382604" w:rsidRDefault="00F91166">
            <w:pPr>
              <w:spacing w:line="480" w:lineRule="auto"/>
              <w:jc w:val="center"/>
              <w:rPr>
                <w:rFonts w:ascii="Arial" w:eastAsia="Arial" w:hAnsi="Arial" w:cs="Arial"/>
              </w:rPr>
            </w:pPr>
            <w:r>
              <w:rPr>
                <w:rFonts w:ascii="Arial" w:eastAsia="Arial" w:hAnsi="Arial" w:cs="Arial"/>
              </w:rPr>
              <w:t>31.46</w:t>
            </w:r>
          </w:p>
        </w:tc>
      </w:tr>
      <w:tr w:rsidR="00382604" w14:paraId="22AD7DEF" w14:textId="77777777">
        <w:trPr>
          <w:trHeight w:val="264"/>
        </w:trPr>
        <w:tc>
          <w:tcPr>
            <w:tcW w:w="2355" w:type="dxa"/>
            <w:tcBorders>
              <w:top w:val="nil"/>
              <w:left w:val="nil"/>
              <w:bottom w:val="nil"/>
              <w:right w:val="nil"/>
            </w:tcBorders>
            <w:shd w:val="clear" w:color="auto" w:fill="FFFFFF"/>
            <w:vAlign w:val="center"/>
          </w:tcPr>
          <w:p w14:paraId="4DEC8F5B" w14:textId="77777777" w:rsidR="00382604" w:rsidRDefault="00F91166">
            <w:pPr>
              <w:spacing w:line="480" w:lineRule="auto"/>
              <w:jc w:val="center"/>
              <w:rPr>
                <w:rFonts w:ascii="Arial" w:eastAsia="Arial" w:hAnsi="Arial" w:cs="Arial"/>
              </w:rPr>
            </w:pPr>
            <w:r>
              <w:rPr>
                <w:rFonts w:ascii="Arial" w:eastAsia="Arial" w:hAnsi="Arial" w:cs="Arial"/>
              </w:rPr>
              <w:t>5.01 - 10.00</w:t>
            </w:r>
          </w:p>
        </w:tc>
        <w:tc>
          <w:tcPr>
            <w:tcW w:w="1890" w:type="dxa"/>
            <w:gridSpan w:val="3"/>
            <w:tcBorders>
              <w:top w:val="nil"/>
              <w:left w:val="nil"/>
              <w:bottom w:val="nil"/>
              <w:right w:val="nil"/>
            </w:tcBorders>
            <w:shd w:val="clear" w:color="auto" w:fill="FFFFFF"/>
            <w:vAlign w:val="center"/>
          </w:tcPr>
          <w:p w14:paraId="074470F3" w14:textId="77777777" w:rsidR="00382604" w:rsidRDefault="00F91166">
            <w:pPr>
              <w:spacing w:line="480" w:lineRule="auto"/>
              <w:jc w:val="center"/>
              <w:rPr>
                <w:rFonts w:ascii="Arial" w:eastAsia="Arial" w:hAnsi="Arial" w:cs="Arial"/>
              </w:rPr>
            </w:pPr>
            <w:r>
              <w:rPr>
                <w:rFonts w:ascii="Arial" w:eastAsia="Arial" w:hAnsi="Arial" w:cs="Arial"/>
              </w:rPr>
              <w:t>Low</w:t>
            </w:r>
          </w:p>
        </w:tc>
        <w:tc>
          <w:tcPr>
            <w:tcW w:w="1800" w:type="dxa"/>
            <w:tcBorders>
              <w:top w:val="nil"/>
              <w:left w:val="nil"/>
              <w:bottom w:val="nil"/>
              <w:right w:val="nil"/>
            </w:tcBorders>
            <w:shd w:val="clear" w:color="auto" w:fill="FFFFFF"/>
            <w:vAlign w:val="center"/>
          </w:tcPr>
          <w:p w14:paraId="67ADDA6A" w14:textId="77777777" w:rsidR="00382604" w:rsidRDefault="00F91166">
            <w:pPr>
              <w:spacing w:line="480" w:lineRule="auto"/>
              <w:jc w:val="center"/>
              <w:rPr>
                <w:rFonts w:ascii="Arial" w:eastAsia="Arial" w:hAnsi="Arial" w:cs="Arial"/>
              </w:rPr>
            </w:pPr>
            <w:r>
              <w:rPr>
                <w:rFonts w:ascii="Arial" w:eastAsia="Arial" w:hAnsi="Arial" w:cs="Arial"/>
              </w:rPr>
              <w:t>55</w:t>
            </w:r>
          </w:p>
        </w:tc>
        <w:tc>
          <w:tcPr>
            <w:tcW w:w="2145" w:type="dxa"/>
            <w:tcBorders>
              <w:top w:val="nil"/>
              <w:left w:val="nil"/>
              <w:bottom w:val="nil"/>
              <w:right w:val="nil"/>
            </w:tcBorders>
            <w:shd w:val="clear" w:color="auto" w:fill="FFFFFF"/>
            <w:vAlign w:val="center"/>
          </w:tcPr>
          <w:p w14:paraId="13A100EF" w14:textId="77777777" w:rsidR="00382604" w:rsidRDefault="00F91166">
            <w:pPr>
              <w:spacing w:line="480" w:lineRule="auto"/>
              <w:jc w:val="center"/>
              <w:rPr>
                <w:rFonts w:ascii="Arial" w:eastAsia="Arial" w:hAnsi="Arial" w:cs="Arial"/>
              </w:rPr>
            </w:pPr>
            <w:r>
              <w:rPr>
                <w:rFonts w:ascii="Arial" w:eastAsia="Arial" w:hAnsi="Arial" w:cs="Arial"/>
              </w:rPr>
              <w:t>25.82</w:t>
            </w:r>
          </w:p>
        </w:tc>
      </w:tr>
      <w:tr w:rsidR="00382604" w14:paraId="5489C53E" w14:textId="77777777">
        <w:trPr>
          <w:trHeight w:val="264"/>
        </w:trPr>
        <w:tc>
          <w:tcPr>
            <w:tcW w:w="2355" w:type="dxa"/>
            <w:tcBorders>
              <w:top w:val="nil"/>
              <w:left w:val="nil"/>
              <w:bottom w:val="single" w:sz="6" w:space="0" w:color="000000"/>
              <w:right w:val="nil"/>
            </w:tcBorders>
            <w:shd w:val="clear" w:color="auto" w:fill="FFFFFF"/>
            <w:vAlign w:val="center"/>
          </w:tcPr>
          <w:p w14:paraId="74C4FAA2" w14:textId="77777777" w:rsidR="00382604" w:rsidRDefault="00F91166">
            <w:pPr>
              <w:spacing w:line="480" w:lineRule="auto"/>
              <w:jc w:val="center"/>
              <w:rPr>
                <w:rFonts w:ascii="Arial" w:eastAsia="Arial" w:hAnsi="Arial" w:cs="Arial"/>
              </w:rPr>
            </w:pPr>
            <w:r>
              <w:rPr>
                <w:rFonts w:ascii="Arial" w:eastAsia="Arial" w:hAnsi="Arial" w:cs="Arial"/>
              </w:rPr>
              <w:t>1.00 – 5.00</w:t>
            </w:r>
          </w:p>
        </w:tc>
        <w:tc>
          <w:tcPr>
            <w:tcW w:w="1890" w:type="dxa"/>
            <w:gridSpan w:val="3"/>
            <w:tcBorders>
              <w:top w:val="nil"/>
              <w:left w:val="nil"/>
              <w:bottom w:val="single" w:sz="6" w:space="0" w:color="000000"/>
              <w:right w:val="nil"/>
            </w:tcBorders>
            <w:shd w:val="clear" w:color="auto" w:fill="FFFFFF"/>
            <w:vAlign w:val="center"/>
          </w:tcPr>
          <w:p w14:paraId="43D01DA0" w14:textId="77777777" w:rsidR="00382604" w:rsidRDefault="00F91166">
            <w:pPr>
              <w:spacing w:line="480" w:lineRule="auto"/>
              <w:jc w:val="center"/>
              <w:rPr>
                <w:rFonts w:ascii="Arial" w:eastAsia="Arial" w:hAnsi="Arial" w:cs="Arial"/>
              </w:rPr>
            </w:pPr>
            <w:r>
              <w:rPr>
                <w:rFonts w:ascii="Arial" w:eastAsia="Arial" w:hAnsi="Arial" w:cs="Arial"/>
              </w:rPr>
              <w:t>Very Low</w:t>
            </w:r>
          </w:p>
        </w:tc>
        <w:tc>
          <w:tcPr>
            <w:tcW w:w="1800" w:type="dxa"/>
            <w:tcBorders>
              <w:top w:val="nil"/>
              <w:left w:val="nil"/>
              <w:bottom w:val="single" w:sz="6" w:space="0" w:color="000000"/>
              <w:right w:val="nil"/>
            </w:tcBorders>
            <w:shd w:val="clear" w:color="auto" w:fill="FFFFFF"/>
            <w:vAlign w:val="center"/>
          </w:tcPr>
          <w:p w14:paraId="220D57DF" w14:textId="77777777" w:rsidR="00382604" w:rsidRDefault="00F91166">
            <w:pPr>
              <w:spacing w:line="480" w:lineRule="auto"/>
              <w:jc w:val="center"/>
              <w:rPr>
                <w:rFonts w:ascii="Arial" w:eastAsia="Arial" w:hAnsi="Arial" w:cs="Arial"/>
              </w:rPr>
            </w:pPr>
            <w:r>
              <w:rPr>
                <w:rFonts w:ascii="Arial" w:eastAsia="Arial" w:hAnsi="Arial" w:cs="Arial"/>
              </w:rPr>
              <w:t>11</w:t>
            </w:r>
          </w:p>
        </w:tc>
        <w:tc>
          <w:tcPr>
            <w:tcW w:w="2145" w:type="dxa"/>
            <w:tcBorders>
              <w:top w:val="nil"/>
              <w:left w:val="nil"/>
              <w:bottom w:val="single" w:sz="6" w:space="0" w:color="000000"/>
              <w:right w:val="nil"/>
            </w:tcBorders>
            <w:shd w:val="clear" w:color="auto" w:fill="FFFFFF"/>
            <w:vAlign w:val="center"/>
          </w:tcPr>
          <w:p w14:paraId="74F0CA32" w14:textId="77777777" w:rsidR="00382604" w:rsidRDefault="00F91166">
            <w:pPr>
              <w:spacing w:line="480" w:lineRule="auto"/>
              <w:jc w:val="center"/>
              <w:rPr>
                <w:rFonts w:ascii="Arial" w:eastAsia="Arial" w:hAnsi="Arial" w:cs="Arial"/>
              </w:rPr>
            </w:pPr>
            <w:r>
              <w:rPr>
                <w:rFonts w:ascii="Arial" w:eastAsia="Arial" w:hAnsi="Arial" w:cs="Arial"/>
              </w:rPr>
              <w:t>5.16</w:t>
            </w:r>
          </w:p>
        </w:tc>
      </w:tr>
      <w:tr w:rsidR="00382604" w14:paraId="65AFEF43" w14:textId="77777777">
        <w:trPr>
          <w:trHeight w:val="159"/>
        </w:trPr>
        <w:tc>
          <w:tcPr>
            <w:tcW w:w="2625" w:type="dxa"/>
            <w:gridSpan w:val="2"/>
            <w:tcBorders>
              <w:top w:val="single" w:sz="6" w:space="0" w:color="000000"/>
              <w:left w:val="nil"/>
              <w:bottom w:val="single" w:sz="4" w:space="0" w:color="000000"/>
              <w:right w:val="nil"/>
            </w:tcBorders>
            <w:shd w:val="clear" w:color="auto" w:fill="FFFFFF"/>
            <w:vAlign w:val="center"/>
          </w:tcPr>
          <w:p w14:paraId="4460B6B6" w14:textId="77777777" w:rsidR="00382604" w:rsidRDefault="00F91166">
            <w:pPr>
              <w:spacing w:line="480" w:lineRule="auto"/>
              <w:rPr>
                <w:rFonts w:ascii="Arial" w:eastAsia="Arial" w:hAnsi="Arial" w:cs="Arial"/>
              </w:rPr>
            </w:pPr>
            <w:r>
              <w:rPr>
                <w:rFonts w:ascii="Arial" w:eastAsia="Arial" w:hAnsi="Arial" w:cs="Arial"/>
                <w:b/>
              </w:rPr>
              <w:t>Total</w:t>
            </w:r>
          </w:p>
        </w:tc>
        <w:tc>
          <w:tcPr>
            <w:tcW w:w="1620" w:type="dxa"/>
            <w:gridSpan w:val="2"/>
            <w:tcBorders>
              <w:top w:val="single" w:sz="6" w:space="0" w:color="000000"/>
              <w:left w:val="nil"/>
              <w:bottom w:val="single" w:sz="4" w:space="0" w:color="000000"/>
              <w:right w:val="nil"/>
            </w:tcBorders>
            <w:shd w:val="clear" w:color="auto" w:fill="FFFFFF"/>
            <w:vAlign w:val="center"/>
          </w:tcPr>
          <w:p w14:paraId="4D4E4021" w14:textId="77777777" w:rsidR="00382604" w:rsidRDefault="00382604">
            <w:pPr>
              <w:spacing w:line="480" w:lineRule="auto"/>
              <w:jc w:val="center"/>
              <w:rPr>
                <w:rFonts w:ascii="Arial" w:eastAsia="Arial" w:hAnsi="Arial" w:cs="Arial"/>
              </w:rPr>
            </w:pPr>
          </w:p>
        </w:tc>
        <w:tc>
          <w:tcPr>
            <w:tcW w:w="1800" w:type="dxa"/>
            <w:tcBorders>
              <w:top w:val="single" w:sz="6" w:space="0" w:color="000000"/>
              <w:left w:val="nil"/>
              <w:bottom w:val="single" w:sz="4" w:space="0" w:color="000000"/>
              <w:right w:val="nil"/>
            </w:tcBorders>
            <w:shd w:val="clear" w:color="auto" w:fill="FFFFFF"/>
            <w:vAlign w:val="center"/>
          </w:tcPr>
          <w:p w14:paraId="4DFF0DED" w14:textId="77777777" w:rsidR="00382604" w:rsidRDefault="00F91166">
            <w:pPr>
              <w:spacing w:line="480" w:lineRule="auto"/>
              <w:jc w:val="center"/>
              <w:rPr>
                <w:rFonts w:ascii="Arial" w:eastAsia="Arial" w:hAnsi="Arial" w:cs="Arial"/>
              </w:rPr>
            </w:pPr>
            <w:r>
              <w:rPr>
                <w:rFonts w:ascii="Arial" w:eastAsia="Arial" w:hAnsi="Arial" w:cs="Arial"/>
              </w:rPr>
              <w:t>213</w:t>
            </w:r>
          </w:p>
        </w:tc>
        <w:tc>
          <w:tcPr>
            <w:tcW w:w="2145" w:type="dxa"/>
            <w:tcBorders>
              <w:top w:val="single" w:sz="6" w:space="0" w:color="000000"/>
              <w:left w:val="nil"/>
              <w:bottom w:val="single" w:sz="4" w:space="0" w:color="000000"/>
              <w:right w:val="nil"/>
            </w:tcBorders>
            <w:shd w:val="clear" w:color="auto" w:fill="FFFFFF"/>
            <w:vAlign w:val="center"/>
          </w:tcPr>
          <w:p w14:paraId="4CC61211" w14:textId="77777777" w:rsidR="00382604" w:rsidRDefault="00F91166">
            <w:pPr>
              <w:spacing w:line="480" w:lineRule="auto"/>
              <w:jc w:val="center"/>
              <w:rPr>
                <w:rFonts w:ascii="Arial" w:eastAsia="Arial" w:hAnsi="Arial" w:cs="Arial"/>
              </w:rPr>
            </w:pPr>
            <w:r>
              <w:rPr>
                <w:rFonts w:ascii="Arial" w:eastAsia="Arial" w:hAnsi="Arial" w:cs="Arial"/>
              </w:rPr>
              <w:t>100.00</w:t>
            </w:r>
          </w:p>
        </w:tc>
      </w:tr>
      <w:tr w:rsidR="00382604" w14:paraId="0EC07447" w14:textId="77777777">
        <w:trPr>
          <w:trHeight w:val="344"/>
        </w:trPr>
        <w:tc>
          <w:tcPr>
            <w:tcW w:w="2625" w:type="dxa"/>
            <w:gridSpan w:val="2"/>
            <w:tcBorders>
              <w:top w:val="single" w:sz="4" w:space="0" w:color="000000"/>
              <w:left w:val="nil"/>
              <w:bottom w:val="nil"/>
              <w:right w:val="nil"/>
            </w:tcBorders>
            <w:shd w:val="clear" w:color="auto" w:fill="FFFFFF"/>
            <w:vAlign w:val="center"/>
          </w:tcPr>
          <w:p w14:paraId="297ADC6C" w14:textId="77777777" w:rsidR="00382604" w:rsidRDefault="00F91166">
            <w:pPr>
              <w:spacing w:line="480" w:lineRule="auto"/>
              <w:rPr>
                <w:rFonts w:ascii="Arial" w:eastAsia="Arial" w:hAnsi="Arial" w:cs="Arial"/>
              </w:rPr>
            </w:pPr>
            <w:r>
              <w:rPr>
                <w:rFonts w:ascii="Arial" w:eastAsia="Arial" w:hAnsi="Arial" w:cs="Arial"/>
                <w:b/>
              </w:rPr>
              <w:t>Overall Mean</w:t>
            </w:r>
          </w:p>
        </w:tc>
        <w:tc>
          <w:tcPr>
            <w:tcW w:w="1260" w:type="dxa"/>
            <w:tcBorders>
              <w:top w:val="single" w:sz="4" w:space="0" w:color="000000"/>
              <w:left w:val="nil"/>
              <w:bottom w:val="nil"/>
              <w:right w:val="nil"/>
            </w:tcBorders>
            <w:shd w:val="clear" w:color="auto" w:fill="auto"/>
            <w:vAlign w:val="center"/>
          </w:tcPr>
          <w:p w14:paraId="6966D11B" w14:textId="77777777" w:rsidR="00382604" w:rsidRDefault="00F91166">
            <w:pPr>
              <w:spacing w:line="480" w:lineRule="auto"/>
              <w:jc w:val="center"/>
              <w:rPr>
                <w:rFonts w:ascii="Arial" w:eastAsia="Arial" w:hAnsi="Arial" w:cs="Arial"/>
                <w:b/>
              </w:rPr>
            </w:pPr>
            <w:r>
              <w:rPr>
                <w:rFonts w:ascii="Arial" w:eastAsia="Arial" w:hAnsi="Arial" w:cs="Arial"/>
                <w:b/>
              </w:rPr>
              <w:t>13.84</w:t>
            </w:r>
          </w:p>
        </w:tc>
        <w:tc>
          <w:tcPr>
            <w:tcW w:w="4305" w:type="dxa"/>
            <w:gridSpan w:val="3"/>
            <w:tcBorders>
              <w:top w:val="single" w:sz="4" w:space="0" w:color="000000"/>
              <w:left w:val="nil"/>
              <w:bottom w:val="nil"/>
              <w:right w:val="nil"/>
            </w:tcBorders>
            <w:shd w:val="clear" w:color="auto" w:fill="auto"/>
            <w:vAlign w:val="center"/>
          </w:tcPr>
          <w:p w14:paraId="2870E9A7" w14:textId="77777777" w:rsidR="00382604" w:rsidRDefault="00382604">
            <w:pPr>
              <w:spacing w:line="480" w:lineRule="auto"/>
              <w:rPr>
                <w:rFonts w:ascii="Arial" w:eastAsia="Arial" w:hAnsi="Arial" w:cs="Arial"/>
                <w:b/>
              </w:rPr>
            </w:pPr>
          </w:p>
        </w:tc>
      </w:tr>
      <w:tr w:rsidR="00382604" w14:paraId="4DF71CF6" w14:textId="77777777">
        <w:tc>
          <w:tcPr>
            <w:tcW w:w="2625" w:type="dxa"/>
            <w:gridSpan w:val="2"/>
            <w:tcBorders>
              <w:top w:val="nil"/>
              <w:left w:val="nil"/>
              <w:bottom w:val="nil"/>
              <w:right w:val="nil"/>
            </w:tcBorders>
            <w:shd w:val="clear" w:color="auto" w:fill="FFFFFF"/>
            <w:vAlign w:val="center"/>
          </w:tcPr>
          <w:p w14:paraId="08397BA6" w14:textId="77777777" w:rsidR="00382604" w:rsidRDefault="00F91166">
            <w:pPr>
              <w:spacing w:line="480" w:lineRule="auto"/>
              <w:rPr>
                <w:rFonts w:ascii="Arial" w:eastAsia="Arial" w:hAnsi="Arial" w:cs="Arial"/>
              </w:rPr>
            </w:pPr>
            <w:r>
              <w:rPr>
                <w:rFonts w:ascii="Arial" w:eastAsia="Arial" w:hAnsi="Arial" w:cs="Arial"/>
                <w:b/>
              </w:rPr>
              <w:t>Interpretation</w:t>
            </w:r>
          </w:p>
        </w:tc>
        <w:tc>
          <w:tcPr>
            <w:tcW w:w="1260" w:type="dxa"/>
            <w:tcBorders>
              <w:top w:val="nil"/>
              <w:left w:val="nil"/>
              <w:bottom w:val="nil"/>
              <w:right w:val="nil"/>
            </w:tcBorders>
            <w:shd w:val="clear" w:color="auto" w:fill="auto"/>
            <w:vAlign w:val="center"/>
          </w:tcPr>
          <w:p w14:paraId="20493718" w14:textId="77777777" w:rsidR="00382604" w:rsidRDefault="00F91166">
            <w:pPr>
              <w:spacing w:line="480" w:lineRule="auto"/>
              <w:jc w:val="center"/>
              <w:rPr>
                <w:rFonts w:ascii="Arial" w:eastAsia="Arial" w:hAnsi="Arial" w:cs="Arial"/>
                <w:b/>
                <w:highlight w:val="red"/>
              </w:rPr>
            </w:pPr>
            <w:r>
              <w:rPr>
                <w:rFonts w:ascii="Arial" w:eastAsia="Arial" w:hAnsi="Arial" w:cs="Arial"/>
                <w:b/>
              </w:rPr>
              <w:t>Moderate</w:t>
            </w:r>
          </w:p>
        </w:tc>
        <w:tc>
          <w:tcPr>
            <w:tcW w:w="4305" w:type="dxa"/>
            <w:gridSpan w:val="3"/>
            <w:tcBorders>
              <w:top w:val="nil"/>
              <w:left w:val="nil"/>
              <w:bottom w:val="nil"/>
              <w:right w:val="nil"/>
            </w:tcBorders>
            <w:shd w:val="clear" w:color="auto" w:fill="auto"/>
            <w:vAlign w:val="center"/>
          </w:tcPr>
          <w:p w14:paraId="33D35881" w14:textId="77777777" w:rsidR="00382604" w:rsidRDefault="00382604">
            <w:pPr>
              <w:spacing w:line="480" w:lineRule="auto"/>
              <w:rPr>
                <w:rFonts w:ascii="Arial" w:eastAsia="Arial" w:hAnsi="Arial" w:cs="Arial"/>
                <w:b/>
              </w:rPr>
            </w:pPr>
          </w:p>
        </w:tc>
      </w:tr>
      <w:tr w:rsidR="00382604" w14:paraId="6A7FF5AE" w14:textId="77777777">
        <w:tc>
          <w:tcPr>
            <w:tcW w:w="2625" w:type="dxa"/>
            <w:gridSpan w:val="2"/>
            <w:tcBorders>
              <w:top w:val="nil"/>
              <w:left w:val="nil"/>
              <w:bottom w:val="single" w:sz="6" w:space="0" w:color="000000"/>
              <w:right w:val="nil"/>
            </w:tcBorders>
            <w:shd w:val="clear" w:color="auto" w:fill="FFFFFF"/>
            <w:vAlign w:val="center"/>
          </w:tcPr>
          <w:p w14:paraId="1C1EE9E1" w14:textId="77777777" w:rsidR="00382604" w:rsidRDefault="00F91166">
            <w:pPr>
              <w:spacing w:line="480" w:lineRule="auto"/>
              <w:rPr>
                <w:rFonts w:ascii="Arial" w:eastAsia="Arial" w:hAnsi="Arial" w:cs="Arial"/>
              </w:rPr>
            </w:pPr>
            <w:r>
              <w:rPr>
                <w:rFonts w:ascii="Arial" w:eastAsia="Arial" w:hAnsi="Arial" w:cs="Arial"/>
                <w:b/>
              </w:rPr>
              <w:t>SD</w:t>
            </w:r>
          </w:p>
        </w:tc>
        <w:tc>
          <w:tcPr>
            <w:tcW w:w="1260" w:type="dxa"/>
            <w:tcBorders>
              <w:top w:val="nil"/>
              <w:left w:val="nil"/>
              <w:bottom w:val="single" w:sz="6" w:space="0" w:color="000000"/>
              <w:right w:val="nil"/>
            </w:tcBorders>
            <w:shd w:val="clear" w:color="auto" w:fill="auto"/>
            <w:vAlign w:val="center"/>
          </w:tcPr>
          <w:p w14:paraId="68FF0E6A" w14:textId="77777777" w:rsidR="00382604" w:rsidRDefault="00F91166">
            <w:pPr>
              <w:spacing w:line="480" w:lineRule="auto"/>
              <w:jc w:val="center"/>
              <w:rPr>
                <w:rFonts w:ascii="Arial" w:eastAsia="Arial" w:hAnsi="Arial" w:cs="Arial"/>
                <w:b/>
              </w:rPr>
            </w:pPr>
            <w:r>
              <w:rPr>
                <w:rFonts w:ascii="Arial" w:eastAsia="Arial" w:hAnsi="Arial" w:cs="Arial"/>
                <w:b/>
              </w:rPr>
              <w:t>5.54</w:t>
            </w:r>
          </w:p>
        </w:tc>
        <w:tc>
          <w:tcPr>
            <w:tcW w:w="4305" w:type="dxa"/>
            <w:gridSpan w:val="3"/>
            <w:tcBorders>
              <w:top w:val="nil"/>
              <w:left w:val="nil"/>
              <w:bottom w:val="single" w:sz="6" w:space="0" w:color="000000"/>
              <w:right w:val="nil"/>
            </w:tcBorders>
            <w:shd w:val="clear" w:color="auto" w:fill="auto"/>
            <w:vAlign w:val="center"/>
          </w:tcPr>
          <w:p w14:paraId="1BD8E2C2" w14:textId="77777777" w:rsidR="00382604" w:rsidRDefault="00382604">
            <w:pPr>
              <w:spacing w:line="480" w:lineRule="auto"/>
              <w:rPr>
                <w:rFonts w:ascii="Arial" w:eastAsia="Arial" w:hAnsi="Arial" w:cs="Arial"/>
                <w:b/>
              </w:rPr>
            </w:pPr>
          </w:p>
        </w:tc>
      </w:tr>
    </w:tbl>
    <w:p w14:paraId="4A00FFCF"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*Students overall level of Filipino Language Proficiency </w:t>
      </w:r>
    </w:p>
    <w:p w14:paraId="23627BBF" w14:textId="77777777" w:rsidR="00382604" w:rsidRDefault="00382604">
      <w:pPr>
        <w:jc w:val="both"/>
        <w:rPr>
          <w:rFonts w:ascii="Arial" w:eastAsia="Arial" w:hAnsi="Arial" w:cs="Arial"/>
          <w:i/>
          <w:color w:val="000000"/>
          <w:vertAlign w:val="subscript"/>
        </w:rPr>
      </w:pPr>
    </w:p>
    <w:p w14:paraId="1432162C" w14:textId="77777777" w:rsidR="00382604" w:rsidRDefault="00F91166">
      <w:pPr>
        <w:spacing w:after="240"/>
        <w:jc w:val="both"/>
        <w:rPr>
          <w:rFonts w:ascii="Arial" w:eastAsia="Arial" w:hAnsi="Arial" w:cs="Arial"/>
          <w:color w:val="0E101A"/>
        </w:rPr>
      </w:pPr>
      <w:r>
        <w:rPr>
          <w:rFonts w:ascii="Arial" w:eastAsia="Arial" w:hAnsi="Arial" w:cs="Arial"/>
          <w:color w:val="0E101A"/>
        </w:rPr>
        <w:t xml:space="preserve">Filipino language proficiency refers to the students’ ability to effectively understand, speak, read, and write in the Filipino Language. It incorporates the level of skill and competence a student has in using the Filipino Language in various forms of communication, including speaking, reading, writing, and comprehension. Table 15 presents the data on Filipino Language Proficiency among junior high school students. </w:t>
      </w:r>
    </w:p>
    <w:p w14:paraId="608949E8" w14:textId="77777777" w:rsidR="00382604" w:rsidRDefault="00F91166">
      <w:pPr>
        <w:jc w:val="both"/>
        <w:rPr>
          <w:rFonts w:ascii="Arial" w:eastAsia="Arial" w:hAnsi="Arial" w:cs="Arial"/>
          <w:color w:val="0E101A"/>
        </w:rPr>
      </w:pPr>
      <w:r>
        <w:rPr>
          <w:rFonts w:ascii="Arial" w:eastAsia="Arial" w:hAnsi="Arial" w:cs="Arial"/>
          <w:color w:val="0E101A"/>
        </w:rPr>
        <w:t>The results indicate that the majority of students fall within the Moderate (31.46%) and Low (25.82%) proficiency levels. This suggests that a significant portion of students may face challenges in achieving higher proficiency, highlighting areas for improvement in their language skills as they struggle with aspects such as content, grammar, vocabulary, mechanics, and organization. Meanwhile, 21.60% of the students are categorized under the High proficiency level, and 15.96% fall under the Very High level, indicating that approximately 37.56% of students exhibit strong to advanced Filipino language proficiency. However, a small portion (5.16%) is categorized under the Very Low proficiency level, reflecting significant difficulties in effectively communicating in Filipino.</w:t>
      </w:r>
    </w:p>
    <w:p w14:paraId="0DE544C4" w14:textId="77777777" w:rsidR="00382604" w:rsidRDefault="00382604">
      <w:pPr>
        <w:jc w:val="both"/>
        <w:rPr>
          <w:rFonts w:ascii="Arial" w:eastAsia="Arial" w:hAnsi="Arial" w:cs="Arial"/>
          <w:color w:val="0E101A"/>
        </w:rPr>
      </w:pPr>
    </w:p>
    <w:p w14:paraId="2F8BD3DE" w14:textId="77777777" w:rsidR="00382604" w:rsidRDefault="00F91166">
      <w:pPr>
        <w:spacing w:after="240"/>
        <w:jc w:val="both"/>
        <w:rPr>
          <w:rFonts w:ascii="Arial" w:eastAsia="Arial" w:hAnsi="Arial" w:cs="Arial"/>
          <w:color w:val="0E101A"/>
        </w:rPr>
      </w:pPr>
      <w:r>
        <w:rPr>
          <w:rFonts w:ascii="Arial" w:eastAsia="Arial" w:hAnsi="Arial" w:cs="Arial"/>
          <w:color w:val="0E101A"/>
        </w:rPr>
        <w:t>These findings are opposite to the results of the study of Ranque (2024), though they also analyzed students’ language proficiency in Filipino, and found that the students' proficiency in using the Filipino language in academic communication was high, indicating frequent recognition. However, the study suggests conducting similar studies focused on performance-</w:t>
      </w:r>
      <w:r>
        <w:rPr>
          <w:rFonts w:ascii="Arial" w:eastAsia="Arial" w:hAnsi="Arial" w:cs="Arial"/>
          <w:color w:val="0E101A"/>
        </w:rPr>
        <w:lastRenderedPageBreak/>
        <w:t>based assessments to further assess and refine the identification of Filipino language proficiency, which may provide additional insights.</w:t>
      </w:r>
    </w:p>
    <w:p w14:paraId="224BBC20" w14:textId="77777777" w:rsidR="00382604" w:rsidRDefault="00F91166">
      <w:pPr>
        <w:spacing w:after="240"/>
        <w:jc w:val="both"/>
        <w:rPr>
          <w:rFonts w:ascii="Arial" w:eastAsia="Arial" w:hAnsi="Arial" w:cs="Arial"/>
          <w:color w:val="0E101A"/>
        </w:rPr>
      </w:pPr>
      <w:r>
        <w:rPr>
          <w:rFonts w:ascii="Arial" w:eastAsia="Arial" w:hAnsi="Arial" w:cs="Arial"/>
          <w:color w:val="0E101A"/>
        </w:rPr>
        <w:t xml:space="preserve">In the current study, in order to assess the students’ level of proficiency in Filipino, the participants were tasked to write a short essay in Filipino on a provided topic, which was evaluated based on specific criteria of </w:t>
      </w:r>
      <w:proofErr w:type="spellStart"/>
      <w:r>
        <w:rPr>
          <w:rFonts w:ascii="Arial" w:eastAsia="Arial" w:hAnsi="Arial" w:cs="Arial"/>
          <w:color w:val="0E101A"/>
        </w:rPr>
        <w:t>Nilalaman</w:t>
      </w:r>
      <w:proofErr w:type="spellEnd"/>
      <w:r>
        <w:rPr>
          <w:rFonts w:ascii="Arial" w:eastAsia="Arial" w:hAnsi="Arial" w:cs="Arial"/>
          <w:color w:val="0E101A"/>
        </w:rPr>
        <w:t xml:space="preserve"> (content), </w:t>
      </w:r>
      <w:proofErr w:type="spellStart"/>
      <w:r>
        <w:rPr>
          <w:rFonts w:ascii="Arial" w:eastAsia="Arial" w:hAnsi="Arial" w:cs="Arial"/>
          <w:color w:val="0E101A"/>
        </w:rPr>
        <w:t>Talasalitaan</w:t>
      </w:r>
      <w:proofErr w:type="spellEnd"/>
      <w:r>
        <w:rPr>
          <w:rFonts w:ascii="Arial" w:eastAsia="Arial" w:hAnsi="Arial" w:cs="Arial"/>
          <w:color w:val="0E101A"/>
        </w:rPr>
        <w:t xml:space="preserve"> (vocabulary), </w:t>
      </w:r>
      <w:proofErr w:type="spellStart"/>
      <w:r>
        <w:rPr>
          <w:rFonts w:ascii="Arial" w:eastAsia="Arial" w:hAnsi="Arial" w:cs="Arial"/>
          <w:color w:val="0E101A"/>
        </w:rPr>
        <w:t>Mekaniks</w:t>
      </w:r>
      <w:proofErr w:type="spellEnd"/>
      <w:r>
        <w:rPr>
          <w:rFonts w:ascii="Arial" w:eastAsia="Arial" w:hAnsi="Arial" w:cs="Arial"/>
          <w:color w:val="0E101A"/>
        </w:rPr>
        <w:t xml:space="preserve"> (mechanics), </w:t>
      </w:r>
      <w:proofErr w:type="spellStart"/>
      <w:r>
        <w:rPr>
          <w:rFonts w:ascii="Arial" w:eastAsia="Arial" w:hAnsi="Arial" w:cs="Arial"/>
          <w:color w:val="0E101A"/>
        </w:rPr>
        <w:t>Gramatika</w:t>
      </w:r>
      <w:proofErr w:type="spellEnd"/>
      <w:r>
        <w:rPr>
          <w:rFonts w:ascii="Arial" w:eastAsia="Arial" w:hAnsi="Arial" w:cs="Arial"/>
          <w:color w:val="0E101A"/>
        </w:rPr>
        <w:t xml:space="preserve"> (grammar), and </w:t>
      </w:r>
      <w:proofErr w:type="spellStart"/>
      <w:r>
        <w:rPr>
          <w:rFonts w:ascii="Arial" w:eastAsia="Arial" w:hAnsi="Arial" w:cs="Arial"/>
          <w:color w:val="0E101A"/>
        </w:rPr>
        <w:t>Organisasyon</w:t>
      </w:r>
      <w:proofErr w:type="spellEnd"/>
      <w:r>
        <w:rPr>
          <w:rFonts w:ascii="Arial" w:eastAsia="Arial" w:hAnsi="Arial" w:cs="Arial"/>
          <w:color w:val="0E101A"/>
        </w:rPr>
        <w:t xml:space="preserve"> (organization). This performance-based assessment indicated differences with the findings of Ranque (2024), as the current study found that the participants demonstrate only fair to limited proficiency in Filipino.</w:t>
      </w:r>
    </w:p>
    <w:p w14:paraId="4E7CCE3F" w14:textId="77777777" w:rsidR="00382604" w:rsidRDefault="00F91166">
      <w:pPr>
        <w:jc w:val="both"/>
        <w:rPr>
          <w:rFonts w:ascii="Arial" w:eastAsia="Arial" w:hAnsi="Arial" w:cs="Arial"/>
          <w:color w:val="0E101A"/>
        </w:rPr>
      </w:pPr>
      <w:r>
        <w:rPr>
          <w:rFonts w:ascii="Arial" w:eastAsia="Arial" w:hAnsi="Arial" w:cs="Arial"/>
          <w:color w:val="0E101A"/>
        </w:rPr>
        <w:t>Bautista et al. (2019) concluded that cultural factors play a significant role in affecting Filipino language proficiency. The study was conducted among senior high school students, which highlighted challenges in grammar, reading comprehension, and vocabulary. These challenges align with the difficulties observed in the current study, particularly among students in the “Moderate” and “Low” proficiency levels, suggesting that cultural influences, alongside language learning difficulties, should be considered in efforts to improve Filipino language proficiency.</w:t>
      </w:r>
    </w:p>
    <w:p w14:paraId="250130B0" w14:textId="77777777" w:rsidR="00382604" w:rsidRDefault="00382604">
      <w:pPr>
        <w:jc w:val="both"/>
        <w:rPr>
          <w:rFonts w:ascii="Arial" w:eastAsia="Arial" w:hAnsi="Arial" w:cs="Arial"/>
          <w:color w:val="0E101A"/>
        </w:rPr>
      </w:pPr>
    </w:p>
    <w:p w14:paraId="39B595B2" w14:textId="77777777" w:rsidR="00382604" w:rsidRDefault="00F91166">
      <w:pPr>
        <w:jc w:val="both"/>
        <w:rPr>
          <w:rFonts w:ascii="Arial" w:eastAsia="Arial" w:hAnsi="Arial" w:cs="Arial"/>
          <w:b/>
          <w:color w:val="000000"/>
          <w:sz w:val="22"/>
          <w:szCs w:val="22"/>
        </w:rPr>
      </w:pPr>
      <w:r>
        <w:rPr>
          <w:rFonts w:ascii="Arial" w:eastAsia="Arial" w:hAnsi="Arial" w:cs="Arial"/>
          <w:b/>
          <w:smallCaps/>
          <w:color w:val="000000"/>
          <w:sz w:val="22"/>
          <w:szCs w:val="22"/>
        </w:rPr>
        <w:t xml:space="preserve">3.7 </w:t>
      </w:r>
      <w:r>
        <w:rPr>
          <w:rFonts w:ascii="Arial" w:eastAsia="Arial" w:hAnsi="Arial" w:cs="Arial"/>
          <w:b/>
          <w:color w:val="000000"/>
          <w:sz w:val="22"/>
          <w:szCs w:val="22"/>
        </w:rPr>
        <w:t>Relationship between Level of Motivation and Self-esteem towards students’ Filipino Language Proficiency</w:t>
      </w:r>
    </w:p>
    <w:p w14:paraId="063CABA1" w14:textId="77777777" w:rsidR="00382604" w:rsidRDefault="00382604">
      <w:pPr>
        <w:jc w:val="both"/>
        <w:rPr>
          <w:rFonts w:ascii="Arial" w:eastAsia="Arial" w:hAnsi="Arial" w:cs="Arial"/>
          <w:b/>
          <w:color w:val="000000"/>
          <w:sz w:val="22"/>
          <w:szCs w:val="22"/>
        </w:rPr>
      </w:pPr>
    </w:p>
    <w:p w14:paraId="6090EA6C" w14:textId="77777777" w:rsidR="00382604" w:rsidRDefault="00F91166">
      <w:pPr>
        <w:jc w:val="both"/>
        <w:rPr>
          <w:rFonts w:ascii="Arial" w:eastAsia="Arial" w:hAnsi="Arial" w:cs="Arial"/>
          <w:b/>
          <w:color w:val="000000"/>
        </w:rPr>
      </w:pPr>
      <w:r>
        <w:rPr>
          <w:rFonts w:ascii="Arial" w:eastAsia="Arial" w:hAnsi="Arial" w:cs="Arial"/>
          <w:b/>
          <w:color w:val="000000"/>
        </w:rPr>
        <w:t>Table 16. Mean, R-value, P-value, and Interpretation of the relationship between Junior High School students’ level of motivation (Intrinsic and Extrinsic) towards Filipino Language Proficiency</w:t>
      </w:r>
    </w:p>
    <w:p w14:paraId="327E0E26" w14:textId="77777777" w:rsidR="00382604" w:rsidRDefault="00382604">
      <w:pPr>
        <w:jc w:val="both"/>
        <w:rPr>
          <w:rFonts w:ascii="Arial" w:eastAsia="Arial" w:hAnsi="Arial" w:cs="Arial"/>
          <w:b/>
          <w:color w:val="000000"/>
          <w:sz w:val="22"/>
          <w:szCs w:val="22"/>
        </w:rPr>
      </w:pPr>
    </w:p>
    <w:tbl>
      <w:tblPr>
        <w:tblStyle w:val="Style89"/>
        <w:tblpPr w:leftFromText="180" w:rightFromText="180" w:vertAnchor="text" w:tblpY="123"/>
        <w:tblW w:w="8248" w:type="dxa"/>
        <w:tblLayout w:type="fixed"/>
        <w:tblLook w:val="04A0" w:firstRow="1" w:lastRow="0" w:firstColumn="1" w:lastColumn="0" w:noHBand="0" w:noVBand="1"/>
      </w:tblPr>
      <w:tblGrid>
        <w:gridCol w:w="1728"/>
        <w:gridCol w:w="2070"/>
        <w:gridCol w:w="810"/>
        <w:gridCol w:w="900"/>
        <w:gridCol w:w="778"/>
        <w:gridCol w:w="1962"/>
      </w:tblGrid>
      <w:tr w:rsidR="00382604" w14:paraId="1E535370" w14:textId="77777777">
        <w:trPr>
          <w:trHeight w:val="274"/>
        </w:trPr>
        <w:tc>
          <w:tcPr>
            <w:tcW w:w="3798" w:type="dxa"/>
            <w:gridSpan w:val="2"/>
            <w:tcBorders>
              <w:top w:val="single" w:sz="4" w:space="0" w:color="000000"/>
              <w:bottom w:val="single" w:sz="4" w:space="0" w:color="000000"/>
            </w:tcBorders>
            <w:vAlign w:val="center"/>
          </w:tcPr>
          <w:p w14:paraId="28F18446" w14:textId="77777777" w:rsidR="00382604" w:rsidRDefault="00F91166">
            <w:pPr>
              <w:jc w:val="center"/>
              <w:rPr>
                <w:rFonts w:ascii="Arial" w:eastAsia="Arial" w:hAnsi="Arial" w:cs="Arial"/>
                <w:b/>
              </w:rPr>
            </w:pPr>
            <w:r>
              <w:rPr>
                <w:rFonts w:ascii="Arial" w:eastAsia="Arial" w:hAnsi="Arial" w:cs="Arial"/>
                <w:b/>
              </w:rPr>
              <w:t>Dimensions</w:t>
            </w:r>
          </w:p>
        </w:tc>
        <w:tc>
          <w:tcPr>
            <w:tcW w:w="810" w:type="dxa"/>
            <w:tcBorders>
              <w:top w:val="single" w:sz="4" w:space="0" w:color="000000"/>
              <w:bottom w:val="single" w:sz="4" w:space="0" w:color="000000"/>
            </w:tcBorders>
            <w:vAlign w:val="center"/>
          </w:tcPr>
          <w:p w14:paraId="546C3B4F" w14:textId="77777777" w:rsidR="00382604" w:rsidRDefault="00F91166">
            <w:pPr>
              <w:jc w:val="center"/>
              <w:rPr>
                <w:rFonts w:ascii="Arial" w:eastAsia="Arial" w:hAnsi="Arial" w:cs="Arial"/>
                <w:b/>
              </w:rPr>
            </w:pPr>
            <w:r>
              <w:rPr>
                <w:rFonts w:ascii="Arial" w:eastAsia="Arial" w:hAnsi="Arial" w:cs="Arial"/>
                <w:b/>
              </w:rPr>
              <w:t>Mean</w:t>
            </w:r>
          </w:p>
        </w:tc>
        <w:tc>
          <w:tcPr>
            <w:tcW w:w="900" w:type="dxa"/>
            <w:tcBorders>
              <w:top w:val="single" w:sz="4" w:space="0" w:color="000000"/>
              <w:bottom w:val="single" w:sz="4" w:space="0" w:color="000000"/>
            </w:tcBorders>
            <w:vAlign w:val="center"/>
          </w:tcPr>
          <w:p w14:paraId="572C2349" w14:textId="77777777" w:rsidR="00382604" w:rsidRDefault="00F91166">
            <w:pPr>
              <w:jc w:val="center"/>
              <w:rPr>
                <w:rFonts w:ascii="Arial" w:eastAsia="Arial" w:hAnsi="Arial" w:cs="Arial"/>
                <w:b/>
                <w:i/>
              </w:rPr>
            </w:pPr>
            <w:r>
              <w:rPr>
                <w:rFonts w:ascii="Arial" w:eastAsia="Arial" w:hAnsi="Arial" w:cs="Arial"/>
                <w:b/>
                <w:i/>
              </w:rPr>
              <w:t>r</w:t>
            </w:r>
          </w:p>
        </w:tc>
        <w:tc>
          <w:tcPr>
            <w:tcW w:w="778" w:type="dxa"/>
            <w:tcBorders>
              <w:top w:val="single" w:sz="4" w:space="0" w:color="000000"/>
              <w:bottom w:val="single" w:sz="4" w:space="0" w:color="000000"/>
            </w:tcBorders>
            <w:vAlign w:val="center"/>
          </w:tcPr>
          <w:p w14:paraId="53527C56" w14:textId="77777777" w:rsidR="00382604" w:rsidRDefault="00F91166">
            <w:pPr>
              <w:jc w:val="center"/>
              <w:rPr>
                <w:rFonts w:ascii="Arial" w:eastAsia="Arial" w:hAnsi="Arial" w:cs="Arial"/>
                <w:b/>
                <w:i/>
              </w:rPr>
            </w:pPr>
            <w:r>
              <w:rPr>
                <w:rFonts w:ascii="Arial" w:eastAsia="Arial" w:hAnsi="Arial" w:cs="Arial"/>
                <w:b/>
                <w:i/>
              </w:rPr>
              <w:t>P</w:t>
            </w:r>
          </w:p>
        </w:tc>
        <w:tc>
          <w:tcPr>
            <w:tcW w:w="1962" w:type="dxa"/>
            <w:tcBorders>
              <w:top w:val="single" w:sz="4" w:space="0" w:color="000000"/>
              <w:bottom w:val="single" w:sz="4" w:space="0" w:color="000000"/>
            </w:tcBorders>
            <w:vAlign w:val="center"/>
          </w:tcPr>
          <w:p w14:paraId="1E78E0C3" w14:textId="77777777" w:rsidR="00382604" w:rsidRDefault="00F91166">
            <w:pPr>
              <w:jc w:val="center"/>
              <w:rPr>
                <w:rFonts w:ascii="Arial" w:eastAsia="Arial" w:hAnsi="Arial" w:cs="Arial"/>
                <w:b/>
              </w:rPr>
            </w:pPr>
            <w:r>
              <w:rPr>
                <w:rFonts w:ascii="Arial" w:eastAsia="Arial" w:hAnsi="Arial" w:cs="Arial"/>
                <w:b/>
              </w:rPr>
              <w:t>Interpretation</w:t>
            </w:r>
          </w:p>
        </w:tc>
      </w:tr>
      <w:tr w:rsidR="00382604" w14:paraId="64306E86" w14:textId="77777777">
        <w:trPr>
          <w:trHeight w:val="701"/>
        </w:trPr>
        <w:tc>
          <w:tcPr>
            <w:tcW w:w="1728" w:type="dxa"/>
            <w:tcBorders>
              <w:top w:val="single" w:sz="4" w:space="0" w:color="000000"/>
            </w:tcBorders>
            <w:vAlign w:val="center"/>
          </w:tcPr>
          <w:p w14:paraId="7DB4A4CF" w14:textId="77777777" w:rsidR="00382604" w:rsidRDefault="00F91166">
            <w:pPr>
              <w:jc w:val="center"/>
              <w:rPr>
                <w:rFonts w:ascii="Arial" w:eastAsia="Arial" w:hAnsi="Arial" w:cs="Arial"/>
              </w:rPr>
            </w:pPr>
            <w:r>
              <w:rPr>
                <w:rFonts w:ascii="Arial" w:eastAsia="Arial" w:hAnsi="Arial" w:cs="Arial"/>
              </w:rPr>
              <w:t>Intrinsic Motivation</w:t>
            </w:r>
          </w:p>
        </w:tc>
        <w:tc>
          <w:tcPr>
            <w:tcW w:w="2070" w:type="dxa"/>
            <w:vMerge w:val="restart"/>
            <w:tcBorders>
              <w:top w:val="single" w:sz="4" w:space="0" w:color="000000"/>
            </w:tcBorders>
            <w:vAlign w:val="center"/>
          </w:tcPr>
          <w:p w14:paraId="16239116" w14:textId="77777777" w:rsidR="00382604" w:rsidRDefault="00F91166">
            <w:pPr>
              <w:jc w:val="center"/>
              <w:rPr>
                <w:rFonts w:ascii="Arial" w:eastAsia="Arial" w:hAnsi="Arial" w:cs="Arial"/>
                <w:color w:val="000000"/>
              </w:rPr>
            </w:pPr>
            <w:r>
              <w:rPr>
                <w:rFonts w:ascii="Arial" w:eastAsia="Arial" w:hAnsi="Arial" w:cs="Arial"/>
              </w:rPr>
              <w:t>Filipino Language Proficiency</w:t>
            </w:r>
          </w:p>
        </w:tc>
        <w:tc>
          <w:tcPr>
            <w:tcW w:w="810" w:type="dxa"/>
            <w:tcBorders>
              <w:top w:val="single" w:sz="4" w:space="0" w:color="000000"/>
            </w:tcBorders>
            <w:vAlign w:val="center"/>
          </w:tcPr>
          <w:p w14:paraId="6D81C471" w14:textId="77777777" w:rsidR="00382604" w:rsidRDefault="00F91166">
            <w:pPr>
              <w:jc w:val="center"/>
              <w:rPr>
                <w:rFonts w:ascii="Arial" w:eastAsia="Arial" w:hAnsi="Arial" w:cs="Arial"/>
                <w:color w:val="000000"/>
              </w:rPr>
            </w:pPr>
            <w:r>
              <w:rPr>
                <w:rFonts w:ascii="Arial" w:eastAsia="Arial" w:hAnsi="Arial" w:cs="Arial"/>
                <w:color w:val="000000"/>
              </w:rPr>
              <w:t>4.13</w:t>
            </w:r>
          </w:p>
        </w:tc>
        <w:tc>
          <w:tcPr>
            <w:tcW w:w="900" w:type="dxa"/>
            <w:tcBorders>
              <w:top w:val="single" w:sz="4" w:space="0" w:color="000000"/>
            </w:tcBorders>
            <w:vAlign w:val="center"/>
          </w:tcPr>
          <w:p w14:paraId="265A1FE2" w14:textId="77777777" w:rsidR="00382604" w:rsidRDefault="00F91166">
            <w:pPr>
              <w:jc w:val="center"/>
              <w:rPr>
                <w:rFonts w:ascii="Arial" w:eastAsia="Arial" w:hAnsi="Arial" w:cs="Arial"/>
              </w:rPr>
            </w:pPr>
            <w:r>
              <w:rPr>
                <w:rFonts w:ascii="Arial" w:eastAsia="Arial" w:hAnsi="Arial" w:cs="Arial"/>
              </w:rPr>
              <w:t>0.024</w:t>
            </w:r>
          </w:p>
        </w:tc>
        <w:tc>
          <w:tcPr>
            <w:tcW w:w="778" w:type="dxa"/>
            <w:tcBorders>
              <w:top w:val="single" w:sz="4" w:space="0" w:color="000000"/>
            </w:tcBorders>
            <w:vAlign w:val="center"/>
          </w:tcPr>
          <w:p w14:paraId="6A85EC41" w14:textId="77777777" w:rsidR="00382604" w:rsidRDefault="00F91166">
            <w:pPr>
              <w:jc w:val="center"/>
              <w:rPr>
                <w:rFonts w:ascii="Arial" w:eastAsia="Arial" w:hAnsi="Arial" w:cs="Arial"/>
                <w:color w:val="000000"/>
              </w:rPr>
            </w:pPr>
            <w:r>
              <w:rPr>
                <w:rFonts w:ascii="Arial" w:eastAsia="Arial" w:hAnsi="Arial" w:cs="Arial"/>
                <w:color w:val="000000"/>
              </w:rPr>
              <w:t xml:space="preserve">.727 </w:t>
            </w:r>
          </w:p>
        </w:tc>
        <w:tc>
          <w:tcPr>
            <w:tcW w:w="1962" w:type="dxa"/>
            <w:tcBorders>
              <w:top w:val="single" w:sz="4" w:space="0" w:color="000000"/>
            </w:tcBorders>
            <w:vAlign w:val="center"/>
          </w:tcPr>
          <w:p w14:paraId="2EC55A92" w14:textId="77777777" w:rsidR="00382604" w:rsidRDefault="00F91166">
            <w:pPr>
              <w:jc w:val="center"/>
              <w:rPr>
                <w:rFonts w:eastAsia="Calibri" w:cs="Calibri"/>
              </w:rPr>
            </w:pPr>
            <w:r>
              <w:rPr>
                <w:rFonts w:ascii="Arial" w:eastAsia="Arial" w:hAnsi="Arial" w:cs="Arial"/>
              </w:rPr>
              <w:t>not significant</w:t>
            </w:r>
          </w:p>
        </w:tc>
      </w:tr>
      <w:tr w:rsidR="00382604" w14:paraId="705B672B" w14:textId="77777777">
        <w:trPr>
          <w:trHeight w:val="559"/>
        </w:trPr>
        <w:tc>
          <w:tcPr>
            <w:tcW w:w="1728" w:type="dxa"/>
            <w:tcBorders>
              <w:bottom w:val="single" w:sz="4" w:space="0" w:color="000000"/>
            </w:tcBorders>
            <w:vAlign w:val="center"/>
          </w:tcPr>
          <w:p w14:paraId="310D0291" w14:textId="77777777" w:rsidR="00382604" w:rsidRDefault="00F91166">
            <w:pPr>
              <w:jc w:val="center"/>
              <w:rPr>
                <w:rFonts w:ascii="Arial" w:eastAsia="Arial" w:hAnsi="Arial" w:cs="Arial"/>
              </w:rPr>
            </w:pPr>
            <w:r>
              <w:rPr>
                <w:rFonts w:ascii="Arial" w:eastAsia="Arial" w:hAnsi="Arial" w:cs="Arial"/>
              </w:rPr>
              <w:t>Extrinsic Motivation</w:t>
            </w:r>
          </w:p>
        </w:tc>
        <w:tc>
          <w:tcPr>
            <w:tcW w:w="2070" w:type="dxa"/>
            <w:vMerge/>
            <w:tcBorders>
              <w:top w:val="single" w:sz="4" w:space="0" w:color="000000"/>
            </w:tcBorders>
            <w:vAlign w:val="center"/>
          </w:tcPr>
          <w:p w14:paraId="5B284021" w14:textId="77777777" w:rsidR="00382604" w:rsidRDefault="00382604">
            <w:pPr>
              <w:widowControl w:val="0"/>
              <w:spacing w:line="276" w:lineRule="auto"/>
              <w:rPr>
                <w:rFonts w:ascii="Arial" w:eastAsia="Arial" w:hAnsi="Arial" w:cs="Arial"/>
              </w:rPr>
            </w:pPr>
          </w:p>
        </w:tc>
        <w:tc>
          <w:tcPr>
            <w:tcW w:w="810" w:type="dxa"/>
            <w:tcBorders>
              <w:bottom w:val="single" w:sz="4" w:space="0" w:color="000000"/>
            </w:tcBorders>
            <w:vAlign w:val="center"/>
          </w:tcPr>
          <w:p w14:paraId="32310875" w14:textId="77777777" w:rsidR="00382604" w:rsidRDefault="00F91166">
            <w:pPr>
              <w:jc w:val="center"/>
              <w:rPr>
                <w:rFonts w:ascii="Arial" w:eastAsia="Arial" w:hAnsi="Arial" w:cs="Arial"/>
                <w:color w:val="000000"/>
              </w:rPr>
            </w:pPr>
            <w:r>
              <w:rPr>
                <w:rFonts w:ascii="Arial" w:eastAsia="Arial" w:hAnsi="Arial" w:cs="Arial"/>
                <w:color w:val="000000"/>
              </w:rPr>
              <w:t>4.08</w:t>
            </w:r>
          </w:p>
        </w:tc>
        <w:tc>
          <w:tcPr>
            <w:tcW w:w="900" w:type="dxa"/>
            <w:tcBorders>
              <w:bottom w:val="single" w:sz="4" w:space="0" w:color="000000"/>
            </w:tcBorders>
            <w:vAlign w:val="center"/>
          </w:tcPr>
          <w:p w14:paraId="1E1E3B82" w14:textId="77777777" w:rsidR="00382604" w:rsidRDefault="00F91166">
            <w:pPr>
              <w:jc w:val="center"/>
              <w:rPr>
                <w:rFonts w:ascii="Arial" w:eastAsia="Arial" w:hAnsi="Arial" w:cs="Arial"/>
              </w:rPr>
            </w:pPr>
            <w:r>
              <w:rPr>
                <w:rFonts w:ascii="Arial" w:eastAsia="Arial" w:hAnsi="Arial" w:cs="Arial"/>
              </w:rPr>
              <w:t>-0.084</w:t>
            </w:r>
          </w:p>
        </w:tc>
        <w:tc>
          <w:tcPr>
            <w:tcW w:w="778" w:type="dxa"/>
            <w:tcBorders>
              <w:bottom w:val="single" w:sz="4" w:space="0" w:color="000000"/>
            </w:tcBorders>
            <w:vAlign w:val="center"/>
          </w:tcPr>
          <w:p w14:paraId="08DDBD40" w14:textId="77777777" w:rsidR="00382604" w:rsidRDefault="00F91166">
            <w:pPr>
              <w:jc w:val="center"/>
              <w:rPr>
                <w:rFonts w:ascii="Arial" w:eastAsia="Arial" w:hAnsi="Arial" w:cs="Arial"/>
                <w:color w:val="000000"/>
              </w:rPr>
            </w:pPr>
            <w:r>
              <w:rPr>
                <w:rFonts w:ascii="Arial" w:eastAsia="Arial" w:hAnsi="Arial" w:cs="Arial"/>
                <w:color w:val="000000"/>
              </w:rPr>
              <w:t>.227</w:t>
            </w:r>
          </w:p>
        </w:tc>
        <w:tc>
          <w:tcPr>
            <w:tcW w:w="1962" w:type="dxa"/>
            <w:tcBorders>
              <w:bottom w:val="single" w:sz="4" w:space="0" w:color="000000"/>
            </w:tcBorders>
            <w:vAlign w:val="center"/>
          </w:tcPr>
          <w:p w14:paraId="3DB1FD9E" w14:textId="77777777" w:rsidR="00382604" w:rsidRDefault="00F91166">
            <w:pPr>
              <w:jc w:val="center"/>
              <w:rPr>
                <w:rFonts w:eastAsia="Calibri" w:cs="Calibri"/>
              </w:rPr>
            </w:pPr>
            <w:r>
              <w:rPr>
                <w:rFonts w:ascii="Arial" w:eastAsia="Arial" w:hAnsi="Arial" w:cs="Arial"/>
              </w:rPr>
              <w:t>not significant</w:t>
            </w:r>
          </w:p>
        </w:tc>
      </w:tr>
    </w:tbl>
    <w:p w14:paraId="7D91D57A"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*Relationship between Motivation and Filipino Language Proficiency </w:t>
      </w:r>
    </w:p>
    <w:p w14:paraId="5EB7A912" w14:textId="77777777" w:rsidR="00382604" w:rsidRDefault="00382604">
      <w:pPr>
        <w:jc w:val="both"/>
        <w:rPr>
          <w:rFonts w:ascii="Arial" w:eastAsia="Arial" w:hAnsi="Arial" w:cs="Arial"/>
          <w:b/>
          <w:color w:val="000000"/>
          <w:sz w:val="22"/>
          <w:szCs w:val="22"/>
          <w:vertAlign w:val="subscript"/>
        </w:rPr>
      </w:pPr>
    </w:p>
    <w:p w14:paraId="46DE0C34" w14:textId="77777777" w:rsidR="00382604" w:rsidRDefault="00F91166">
      <w:pPr>
        <w:jc w:val="both"/>
        <w:rPr>
          <w:rFonts w:ascii="Arial" w:eastAsia="Arial" w:hAnsi="Arial" w:cs="Arial"/>
          <w:color w:val="000000"/>
        </w:rPr>
      </w:pPr>
      <w:r>
        <w:rPr>
          <w:rFonts w:ascii="Arial" w:eastAsia="Arial" w:hAnsi="Arial" w:cs="Arial"/>
          <w:color w:val="000000"/>
        </w:rPr>
        <w:t>Table 16 presents the relationship between junior high school students’ level of motivation (intrinsic and extrinsic) and their Filipino language proficiency. The results show that both dimensions of motivation exhibit very weak correlations with Filipino language proficiency. Specifically, intrinsic motivation has a very weak positive correlation (</w:t>
      </w:r>
      <w:r>
        <w:rPr>
          <w:rFonts w:ascii="Arial" w:eastAsia="Arial" w:hAnsi="Arial" w:cs="Arial"/>
          <w:i/>
          <w:color w:val="000000"/>
        </w:rPr>
        <w:t>r</w:t>
      </w:r>
      <w:r>
        <w:rPr>
          <w:rFonts w:ascii="Arial" w:eastAsia="Arial" w:hAnsi="Arial" w:cs="Arial"/>
          <w:color w:val="000000"/>
        </w:rPr>
        <w:t xml:space="preserve"> = .024), while extrinsic motivation shows a very weak negative correlation (</w:t>
      </w:r>
      <w:r>
        <w:rPr>
          <w:rFonts w:ascii="Arial" w:eastAsia="Arial" w:hAnsi="Arial" w:cs="Arial"/>
          <w:i/>
          <w:color w:val="000000"/>
        </w:rPr>
        <w:t>r</w:t>
      </w:r>
      <w:r>
        <w:rPr>
          <w:rFonts w:ascii="Arial" w:eastAsia="Arial" w:hAnsi="Arial" w:cs="Arial"/>
          <w:color w:val="000000"/>
        </w:rPr>
        <w:t xml:space="preserve"> = –.084). However, the </w:t>
      </w:r>
      <w:r>
        <w:rPr>
          <w:rFonts w:ascii="Arial" w:eastAsia="Arial" w:hAnsi="Arial" w:cs="Arial"/>
          <w:i/>
          <w:color w:val="000000"/>
        </w:rPr>
        <w:t>P</w:t>
      </w:r>
      <w:r>
        <w:rPr>
          <w:rFonts w:ascii="Arial" w:eastAsia="Arial" w:hAnsi="Arial" w:cs="Arial"/>
          <w:color w:val="000000"/>
        </w:rPr>
        <w:t xml:space="preserve"> values of </w:t>
      </w:r>
      <w:r>
        <w:rPr>
          <w:rFonts w:ascii="Arial" w:eastAsia="Arial" w:hAnsi="Arial" w:cs="Arial"/>
          <w:i/>
          <w:color w:val="000000"/>
        </w:rPr>
        <w:t>P</w:t>
      </w:r>
      <w:r>
        <w:rPr>
          <w:rFonts w:ascii="Arial" w:eastAsia="Arial" w:hAnsi="Arial" w:cs="Arial"/>
          <w:color w:val="000000"/>
        </w:rPr>
        <w:t xml:space="preserve"> = .727 and </w:t>
      </w:r>
      <w:r>
        <w:rPr>
          <w:rFonts w:ascii="Arial" w:eastAsia="Arial" w:hAnsi="Arial" w:cs="Arial"/>
          <w:i/>
          <w:color w:val="000000"/>
        </w:rPr>
        <w:t>P</w:t>
      </w:r>
      <w:r>
        <w:rPr>
          <w:rFonts w:ascii="Arial" w:eastAsia="Arial" w:hAnsi="Arial" w:cs="Arial"/>
          <w:color w:val="000000"/>
        </w:rPr>
        <w:t xml:space="preserve"> = .227 are greater than the significance threshold, indicating that the observed correlations are not statistically significant. This suggests that any associations between motivation (intrinsic or extrinsic) and Filipino language proficiency are likely due to chance rather than a true relationship. Therefore, the results indicate that motivation does not have a significant impact on the Filipino language proficiency of the students in this study.</w:t>
      </w:r>
    </w:p>
    <w:p w14:paraId="4F86F99C" w14:textId="77777777" w:rsidR="00382604" w:rsidRDefault="00382604">
      <w:pPr>
        <w:jc w:val="both"/>
        <w:rPr>
          <w:rFonts w:ascii="Arial" w:eastAsia="Arial" w:hAnsi="Arial" w:cs="Arial"/>
          <w:color w:val="000000"/>
        </w:rPr>
      </w:pPr>
    </w:p>
    <w:p w14:paraId="0822C3E5" w14:textId="77777777" w:rsidR="00382604" w:rsidRDefault="00F91166">
      <w:pPr>
        <w:jc w:val="both"/>
        <w:rPr>
          <w:rFonts w:ascii="Arial" w:eastAsia="Arial" w:hAnsi="Arial" w:cs="Arial"/>
          <w:b/>
          <w:smallCaps/>
          <w:color w:val="000000"/>
        </w:rPr>
      </w:pPr>
      <w:r>
        <w:rPr>
          <w:rFonts w:ascii="Arial" w:eastAsia="Arial" w:hAnsi="Arial" w:cs="Arial"/>
          <w:color w:val="000000"/>
        </w:rPr>
        <w:t xml:space="preserve">The findings of the current study also align with the findings of </w:t>
      </w:r>
      <w:proofErr w:type="spellStart"/>
      <w:r>
        <w:rPr>
          <w:rFonts w:ascii="Arial" w:eastAsia="Arial" w:hAnsi="Arial" w:cs="Arial"/>
          <w:color w:val="000000"/>
        </w:rPr>
        <w:t>Fitrianti</w:t>
      </w:r>
      <w:proofErr w:type="spellEnd"/>
      <w:r>
        <w:rPr>
          <w:rFonts w:ascii="Arial" w:eastAsia="Arial" w:hAnsi="Arial" w:cs="Arial"/>
          <w:color w:val="000000"/>
        </w:rPr>
        <w:t xml:space="preserve"> et al. (2024), which revealed no significant relationship between extrinsic motivation and academic achievement in English studies, indicating that external rewards such as praise and recognition may only have limited to no influence on students' learning outcomes, especially in language proficiency contexts. Moreover, these findings are also similar with the study of </w:t>
      </w:r>
      <w:proofErr w:type="spellStart"/>
      <w:r>
        <w:rPr>
          <w:rFonts w:ascii="Arial" w:eastAsia="Arial" w:hAnsi="Arial" w:cs="Arial"/>
          <w:color w:val="000000"/>
        </w:rPr>
        <w:t>Oclaret</w:t>
      </w:r>
      <w:proofErr w:type="spellEnd"/>
      <w:r>
        <w:rPr>
          <w:rFonts w:ascii="Arial" w:eastAsia="Arial" w:hAnsi="Arial" w:cs="Arial"/>
          <w:color w:val="000000"/>
        </w:rPr>
        <w:t xml:space="preserve"> (2021), which revealed that intrinsic motivation does not correlate with students’ academic performance. </w:t>
      </w:r>
      <w:r>
        <w:rPr>
          <w:rFonts w:ascii="Arial" w:eastAsia="Arial" w:hAnsi="Arial" w:cs="Arial"/>
          <w:color w:val="000000"/>
        </w:rPr>
        <w:lastRenderedPageBreak/>
        <w:t>Hasan and Sarka (2018) also reported a non-significant relationship between achievement motivation and academic achievement. Additionally, as cited in Mahato and Barman (2019), they found that many motivational variables had no significant impact on academic performance. This consistency in research indicates that, although motivation is an essential aspect in the learning process, it may not directly impact measurable outcomes such as academic performance or proficiency in specific contexts, such as the Filipino language.</w:t>
      </w:r>
    </w:p>
    <w:p w14:paraId="38C1E316" w14:textId="77777777" w:rsidR="00382604" w:rsidRDefault="00382604">
      <w:pPr>
        <w:jc w:val="both"/>
        <w:rPr>
          <w:rFonts w:ascii="Arial" w:eastAsia="Arial" w:hAnsi="Arial" w:cs="Arial"/>
          <w:b/>
          <w:smallCaps/>
          <w:color w:val="000000"/>
        </w:rPr>
      </w:pPr>
    </w:p>
    <w:p w14:paraId="013193FE" w14:textId="77777777" w:rsidR="00382604" w:rsidRDefault="00F91166">
      <w:pPr>
        <w:jc w:val="both"/>
        <w:rPr>
          <w:rFonts w:ascii="Arial" w:eastAsia="Arial" w:hAnsi="Arial" w:cs="Arial"/>
          <w:b/>
          <w:color w:val="000000"/>
        </w:rPr>
      </w:pPr>
      <w:r>
        <w:rPr>
          <w:rFonts w:ascii="Arial" w:eastAsia="Arial" w:hAnsi="Arial" w:cs="Arial"/>
          <w:b/>
          <w:color w:val="000000"/>
        </w:rPr>
        <w:t>Table 17. Mean, R-value, P-value, and Interpretation of the relationship between Junior High School students’ level of self-esteem (Identity, Belonging, Purpose, and Competence) towards Filipino Language Proficiency</w:t>
      </w:r>
    </w:p>
    <w:p w14:paraId="6607384F" w14:textId="77777777" w:rsidR="00382604" w:rsidRDefault="00382604">
      <w:pPr>
        <w:jc w:val="both"/>
        <w:rPr>
          <w:rFonts w:ascii="Arial" w:eastAsia="Arial" w:hAnsi="Arial" w:cs="Arial"/>
          <w:b/>
          <w:smallCaps/>
          <w:color w:val="000000"/>
        </w:rPr>
      </w:pPr>
    </w:p>
    <w:tbl>
      <w:tblPr>
        <w:tblStyle w:val="Style90"/>
        <w:tblpPr w:leftFromText="180" w:rightFromText="180" w:vertAnchor="text" w:tblpY="123"/>
        <w:tblW w:w="8287" w:type="dxa"/>
        <w:tblLayout w:type="fixed"/>
        <w:tblLook w:val="04A0" w:firstRow="1" w:lastRow="0" w:firstColumn="1" w:lastColumn="0" w:noHBand="0" w:noVBand="1"/>
      </w:tblPr>
      <w:tblGrid>
        <w:gridCol w:w="1548"/>
        <w:gridCol w:w="2340"/>
        <w:gridCol w:w="900"/>
        <w:gridCol w:w="900"/>
        <w:gridCol w:w="900"/>
        <w:gridCol w:w="1699"/>
      </w:tblGrid>
      <w:tr w:rsidR="00382604" w14:paraId="26CED3E9" w14:textId="77777777">
        <w:trPr>
          <w:trHeight w:val="347"/>
        </w:trPr>
        <w:tc>
          <w:tcPr>
            <w:tcW w:w="3888" w:type="dxa"/>
            <w:gridSpan w:val="2"/>
            <w:tcBorders>
              <w:top w:val="single" w:sz="4" w:space="0" w:color="000000"/>
              <w:bottom w:val="single" w:sz="4" w:space="0" w:color="000000"/>
            </w:tcBorders>
            <w:vAlign w:val="center"/>
          </w:tcPr>
          <w:p w14:paraId="3E082204" w14:textId="77777777" w:rsidR="00382604" w:rsidRDefault="00F91166">
            <w:pPr>
              <w:jc w:val="center"/>
              <w:rPr>
                <w:rFonts w:ascii="Arial" w:eastAsia="Arial" w:hAnsi="Arial" w:cs="Arial"/>
                <w:b/>
              </w:rPr>
            </w:pPr>
            <w:r>
              <w:rPr>
                <w:rFonts w:ascii="Arial" w:eastAsia="Arial" w:hAnsi="Arial" w:cs="Arial"/>
                <w:b/>
              </w:rPr>
              <w:t>Dimensions</w:t>
            </w:r>
          </w:p>
        </w:tc>
        <w:tc>
          <w:tcPr>
            <w:tcW w:w="900" w:type="dxa"/>
            <w:tcBorders>
              <w:top w:val="single" w:sz="4" w:space="0" w:color="000000"/>
              <w:bottom w:val="single" w:sz="4" w:space="0" w:color="000000"/>
            </w:tcBorders>
            <w:vAlign w:val="center"/>
          </w:tcPr>
          <w:p w14:paraId="590DC74C" w14:textId="77777777" w:rsidR="00382604" w:rsidRDefault="00F91166">
            <w:pPr>
              <w:jc w:val="center"/>
              <w:rPr>
                <w:rFonts w:ascii="Arial" w:eastAsia="Arial" w:hAnsi="Arial" w:cs="Arial"/>
                <w:b/>
              </w:rPr>
            </w:pPr>
            <w:r>
              <w:rPr>
                <w:rFonts w:ascii="Arial" w:eastAsia="Arial" w:hAnsi="Arial" w:cs="Arial"/>
                <w:b/>
              </w:rPr>
              <w:t>Mean</w:t>
            </w:r>
          </w:p>
        </w:tc>
        <w:tc>
          <w:tcPr>
            <w:tcW w:w="900" w:type="dxa"/>
            <w:tcBorders>
              <w:top w:val="single" w:sz="4" w:space="0" w:color="000000"/>
              <w:bottom w:val="single" w:sz="4" w:space="0" w:color="000000"/>
            </w:tcBorders>
            <w:vAlign w:val="center"/>
          </w:tcPr>
          <w:p w14:paraId="00A39245" w14:textId="77777777" w:rsidR="00382604" w:rsidRDefault="00F91166">
            <w:pPr>
              <w:jc w:val="center"/>
              <w:rPr>
                <w:rFonts w:ascii="Arial" w:eastAsia="Arial" w:hAnsi="Arial" w:cs="Arial"/>
                <w:b/>
                <w:i/>
              </w:rPr>
            </w:pPr>
            <w:r>
              <w:rPr>
                <w:rFonts w:ascii="Arial" w:eastAsia="Arial" w:hAnsi="Arial" w:cs="Arial"/>
                <w:b/>
                <w:i/>
              </w:rPr>
              <w:t>r</w:t>
            </w:r>
          </w:p>
        </w:tc>
        <w:tc>
          <w:tcPr>
            <w:tcW w:w="900" w:type="dxa"/>
            <w:tcBorders>
              <w:top w:val="single" w:sz="4" w:space="0" w:color="000000"/>
              <w:bottom w:val="single" w:sz="4" w:space="0" w:color="000000"/>
            </w:tcBorders>
            <w:vAlign w:val="center"/>
          </w:tcPr>
          <w:p w14:paraId="1E2F0483" w14:textId="77777777" w:rsidR="00382604" w:rsidRDefault="00F91166">
            <w:pPr>
              <w:jc w:val="center"/>
              <w:rPr>
                <w:rFonts w:ascii="Arial" w:eastAsia="Arial" w:hAnsi="Arial" w:cs="Arial"/>
                <w:b/>
                <w:i/>
              </w:rPr>
            </w:pPr>
            <w:r>
              <w:rPr>
                <w:rFonts w:ascii="Arial" w:eastAsia="Arial" w:hAnsi="Arial" w:cs="Arial"/>
                <w:b/>
                <w:i/>
              </w:rPr>
              <w:t>P</w:t>
            </w:r>
          </w:p>
        </w:tc>
        <w:tc>
          <w:tcPr>
            <w:tcW w:w="1699" w:type="dxa"/>
            <w:tcBorders>
              <w:top w:val="single" w:sz="4" w:space="0" w:color="000000"/>
              <w:bottom w:val="single" w:sz="4" w:space="0" w:color="000000"/>
            </w:tcBorders>
            <w:vAlign w:val="center"/>
          </w:tcPr>
          <w:p w14:paraId="0CCCC5D9" w14:textId="77777777" w:rsidR="00382604" w:rsidRDefault="00F91166">
            <w:pPr>
              <w:jc w:val="center"/>
              <w:rPr>
                <w:rFonts w:ascii="Arial" w:eastAsia="Arial" w:hAnsi="Arial" w:cs="Arial"/>
                <w:b/>
              </w:rPr>
            </w:pPr>
            <w:r>
              <w:rPr>
                <w:rFonts w:ascii="Arial" w:eastAsia="Arial" w:hAnsi="Arial" w:cs="Arial"/>
                <w:b/>
              </w:rPr>
              <w:t>Interpretation</w:t>
            </w:r>
          </w:p>
        </w:tc>
      </w:tr>
      <w:tr w:rsidR="00382604" w14:paraId="68009230" w14:textId="77777777">
        <w:trPr>
          <w:trHeight w:val="474"/>
        </w:trPr>
        <w:tc>
          <w:tcPr>
            <w:tcW w:w="1548" w:type="dxa"/>
            <w:tcBorders>
              <w:top w:val="single" w:sz="4" w:space="0" w:color="000000"/>
            </w:tcBorders>
            <w:vAlign w:val="center"/>
          </w:tcPr>
          <w:p w14:paraId="67A46B12" w14:textId="77777777" w:rsidR="00382604" w:rsidRDefault="00F91166">
            <w:pPr>
              <w:jc w:val="center"/>
              <w:rPr>
                <w:rFonts w:ascii="Arial" w:eastAsia="Arial" w:hAnsi="Arial" w:cs="Arial"/>
              </w:rPr>
            </w:pPr>
            <w:r>
              <w:rPr>
                <w:rFonts w:ascii="Arial" w:eastAsia="Arial" w:hAnsi="Arial" w:cs="Arial"/>
              </w:rPr>
              <w:t>Identity</w:t>
            </w:r>
          </w:p>
        </w:tc>
        <w:tc>
          <w:tcPr>
            <w:tcW w:w="2340" w:type="dxa"/>
            <w:vMerge w:val="restart"/>
            <w:tcBorders>
              <w:top w:val="single" w:sz="4" w:space="0" w:color="000000"/>
            </w:tcBorders>
            <w:vAlign w:val="center"/>
          </w:tcPr>
          <w:p w14:paraId="29AC766F" w14:textId="77777777" w:rsidR="00382604" w:rsidRDefault="00F91166">
            <w:pPr>
              <w:jc w:val="center"/>
              <w:rPr>
                <w:rFonts w:ascii="Arial" w:eastAsia="Arial" w:hAnsi="Arial" w:cs="Arial"/>
                <w:color w:val="000000"/>
              </w:rPr>
            </w:pPr>
            <w:r>
              <w:rPr>
                <w:rFonts w:ascii="Arial" w:eastAsia="Arial" w:hAnsi="Arial" w:cs="Arial"/>
              </w:rPr>
              <w:t>Filipino Language Proficiency</w:t>
            </w:r>
          </w:p>
        </w:tc>
        <w:tc>
          <w:tcPr>
            <w:tcW w:w="900" w:type="dxa"/>
            <w:tcBorders>
              <w:top w:val="single" w:sz="4" w:space="0" w:color="000000"/>
            </w:tcBorders>
            <w:vAlign w:val="center"/>
          </w:tcPr>
          <w:p w14:paraId="584836DF" w14:textId="77777777" w:rsidR="00382604" w:rsidRDefault="00F91166">
            <w:pPr>
              <w:jc w:val="center"/>
              <w:rPr>
                <w:rFonts w:ascii="Arial" w:eastAsia="Arial" w:hAnsi="Arial" w:cs="Arial"/>
                <w:color w:val="000000"/>
              </w:rPr>
            </w:pPr>
            <w:r>
              <w:rPr>
                <w:rFonts w:ascii="Arial" w:eastAsia="Arial" w:hAnsi="Arial" w:cs="Arial"/>
                <w:color w:val="000000"/>
              </w:rPr>
              <w:t>4.11</w:t>
            </w:r>
          </w:p>
        </w:tc>
        <w:tc>
          <w:tcPr>
            <w:tcW w:w="900" w:type="dxa"/>
            <w:tcBorders>
              <w:top w:val="single" w:sz="4" w:space="0" w:color="000000"/>
            </w:tcBorders>
            <w:vAlign w:val="center"/>
          </w:tcPr>
          <w:p w14:paraId="656DEBD7" w14:textId="77777777" w:rsidR="00382604" w:rsidRDefault="00F91166">
            <w:pPr>
              <w:jc w:val="center"/>
              <w:rPr>
                <w:rFonts w:ascii="Arial" w:eastAsia="Arial" w:hAnsi="Arial" w:cs="Arial"/>
              </w:rPr>
            </w:pPr>
            <w:r>
              <w:rPr>
                <w:rFonts w:ascii="Arial" w:eastAsia="Arial" w:hAnsi="Arial" w:cs="Arial"/>
              </w:rPr>
              <w:t>-0.030</w:t>
            </w:r>
          </w:p>
        </w:tc>
        <w:tc>
          <w:tcPr>
            <w:tcW w:w="900" w:type="dxa"/>
            <w:tcBorders>
              <w:top w:val="single" w:sz="4" w:space="0" w:color="000000"/>
            </w:tcBorders>
            <w:vAlign w:val="center"/>
          </w:tcPr>
          <w:p w14:paraId="44FD8759" w14:textId="77777777" w:rsidR="00382604" w:rsidRDefault="00F91166">
            <w:pPr>
              <w:jc w:val="center"/>
              <w:rPr>
                <w:rFonts w:ascii="Arial" w:eastAsia="Arial" w:hAnsi="Arial" w:cs="Arial"/>
                <w:color w:val="000000"/>
              </w:rPr>
            </w:pPr>
            <w:r>
              <w:rPr>
                <w:rFonts w:ascii="Arial" w:eastAsia="Arial" w:hAnsi="Arial" w:cs="Arial"/>
                <w:color w:val="000000"/>
              </w:rPr>
              <w:t>.663</w:t>
            </w:r>
          </w:p>
        </w:tc>
        <w:tc>
          <w:tcPr>
            <w:tcW w:w="1699" w:type="dxa"/>
            <w:tcBorders>
              <w:top w:val="single" w:sz="4" w:space="0" w:color="000000"/>
            </w:tcBorders>
            <w:vAlign w:val="center"/>
          </w:tcPr>
          <w:p w14:paraId="4D3E3EEB" w14:textId="77777777" w:rsidR="00382604" w:rsidRDefault="00F91166">
            <w:pPr>
              <w:jc w:val="center"/>
              <w:rPr>
                <w:rFonts w:eastAsia="Calibri" w:cs="Calibri"/>
              </w:rPr>
            </w:pPr>
            <w:r>
              <w:rPr>
                <w:rFonts w:ascii="Arial" w:eastAsia="Arial" w:hAnsi="Arial" w:cs="Arial"/>
              </w:rPr>
              <w:t>not significant</w:t>
            </w:r>
          </w:p>
        </w:tc>
      </w:tr>
      <w:tr w:rsidR="00382604" w14:paraId="3D19FC01" w14:textId="77777777">
        <w:trPr>
          <w:trHeight w:val="423"/>
        </w:trPr>
        <w:tc>
          <w:tcPr>
            <w:tcW w:w="1548" w:type="dxa"/>
            <w:vAlign w:val="center"/>
          </w:tcPr>
          <w:p w14:paraId="78F52CF3" w14:textId="77777777" w:rsidR="00382604" w:rsidRDefault="00F91166">
            <w:pPr>
              <w:jc w:val="center"/>
              <w:rPr>
                <w:rFonts w:ascii="Arial" w:eastAsia="Arial" w:hAnsi="Arial" w:cs="Arial"/>
              </w:rPr>
            </w:pPr>
            <w:r>
              <w:rPr>
                <w:rFonts w:ascii="Arial" w:eastAsia="Arial" w:hAnsi="Arial" w:cs="Arial"/>
              </w:rPr>
              <w:t>Belonging</w:t>
            </w:r>
          </w:p>
        </w:tc>
        <w:tc>
          <w:tcPr>
            <w:tcW w:w="2340" w:type="dxa"/>
            <w:vMerge/>
            <w:tcBorders>
              <w:top w:val="single" w:sz="4" w:space="0" w:color="000000"/>
            </w:tcBorders>
            <w:vAlign w:val="center"/>
          </w:tcPr>
          <w:p w14:paraId="70CA6D98" w14:textId="77777777" w:rsidR="00382604" w:rsidRDefault="00382604">
            <w:pPr>
              <w:widowControl w:val="0"/>
              <w:spacing w:line="276" w:lineRule="auto"/>
              <w:rPr>
                <w:rFonts w:ascii="Arial" w:eastAsia="Arial" w:hAnsi="Arial" w:cs="Arial"/>
              </w:rPr>
            </w:pPr>
          </w:p>
        </w:tc>
        <w:tc>
          <w:tcPr>
            <w:tcW w:w="900" w:type="dxa"/>
            <w:vAlign w:val="center"/>
          </w:tcPr>
          <w:p w14:paraId="20DB6239" w14:textId="77777777" w:rsidR="00382604" w:rsidRDefault="00F91166">
            <w:pPr>
              <w:jc w:val="center"/>
              <w:rPr>
                <w:rFonts w:ascii="Arial" w:eastAsia="Arial" w:hAnsi="Arial" w:cs="Arial"/>
                <w:color w:val="000000"/>
              </w:rPr>
            </w:pPr>
            <w:r>
              <w:rPr>
                <w:rFonts w:ascii="Arial" w:eastAsia="Arial" w:hAnsi="Arial" w:cs="Arial"/>
                <w:color w:val="000000"/>
              </w:rPr>
              <w:t>4.06</w:t>
            </w:r>
          </w:p>
        </w:tc>
        <w:tc>
          <w:tcPr>
            <w:tcW w:w="900" w:type="dxa"/>
            <w:vAlign w:val="center"/>
          </w:tcPr>
          <w:p w14:paraId="1B53DDE1" w14:textId="77777777" w:rsidR="00382604" w:rsidRDefault="00F91166">
            <w:pPr>
              <w:jc w:val="center"/>
              <w:rPr>
                <w:rFonts w:ascii="Arial" w:eastAsia="Arial" w:hAnsi="Arial" w:cs="Arial"/>
              </w:rPr>
            </w:pPr>
            <w:r>
              <w:rPr>
                <w:rFonts w:ascii="Arial" w:eastAsia="Arial" w:hAnsi="Arial" w:cs="Arial"/>
              </w:rPr>
              <w:t>-0.036</w:t>
            </w:r>
          </w:p>
        </w:tc>
        <w:tc>
          <w:tcPr>
            <w:tcW w:w="900" w:type="dxa"/>
            <w:vAlign w:val="center"/>
          </w:tcPr>
          <w:p w14:paraId="7B73CAEA" w14:textId="77777777" w:rsidR="00382604" w:rsidRDefault="00F91166">
            <w:pPr>
              <w:jc w:val="center"/>
              <w:rPr>
                <w:rFonts w:ascii="Arial" w:eastAsia="Arial" w:hAnsi="Arial" w:cs="Arial"/>
                <w:color w:val="000000"/>
              </w:rPr>
            </w:pPr>
            <w:r>
              <w:rPr>
                <w:rFonts w:ascii="Arial" w:eastAsia="Arial" w:hAnsi="Arial" w:cs="Arial"/>
                <w:color w:val="000000"/>
              </w:rPr>
              <w:t>.611</w:t>
            </w:r>
          </w:p>
        </w:tc>
        <w:tc>
          <w:tcPr>
            <w:tcW w:w="1699" w:type="dxa"/>
            <w:vAlign w:val="center"/>
          </w:tcPr>
          <w:p w14:paraId="243C6C78" w14:textId="77777777" w:rsidR="00382604" w:rsidRDefault="00F91166">
            <w:pPr>
              <w:jc w:val="center"/>
              <w:rPr>
                <w:rFonts w:eastAsia="Calibri" w:cs="Calibri"/>
              </w:rPr>
            </w:pPr>
            <w:r>
              <w:rPr>
                <w:rFonts w:ascii="Arial" w:eastAsia="Arial" w:hAnsi="Arial" w:cs="Arial"/>
              </w:rPr>
              <w:t>not significant</w:t>
            </w:r>
          </w:p>
        </w:tc>
      </w:tr>
      <w:tr w:rsidR="00382604" w14:paraId="0B71AC82" w14:textId="77777777">
        <w:trPr>
          <w:trHeight w:val="412"/>
        </w:trPr>
        <w:tc>
          <w:tcPr>
            <w:tcW w:w="1548" w:type="dxa"/>
            <w:vAlign w:val="center"/>
          </w:tcPr>
          <w:p w14:paraId="28E585FC" w14:textId="77777777" w:rsidR="00382604" w:rsidRDefault="00F91166">
            <w:pPr>
              <w:jc w:val="center"/>
              <w:rPr>
                <w:rFonts w:ascii="Arial" w:eastAsia="Arial" w:hAnsi="Arial" w:cs="Arial"/>
              </w:rPr>
            </w:pPr>
            <w:r>
              <w:rPr>
                <w:rFonts w:ascii="Arial" w:eastAsia="Arial" w:hAnsi="Arial" w:cs="Arial"/>
              </w:rPr>
              <w:t>Purpose</w:t>
            </w:r>
          </w:p>
        </w:tc>
        <w:tc>
          <w:tcPr>
            <w:tcW w:w="2340" w:type="dxa"/>
            <w:vMerge/>
            <w:tcBorders>
              <w:top w:val="single" w:sz="4" w:space="0" w:color="000000"/>
            </w:tcBorders>
            <w:vAlign w:val="center"/>
          </w:tcPr>
          <w:p w14:paraId="0851E34D" w14:textId="77777777" w:rsidR="00382604" w:rsidRDefault="00382604">
            <w:pPr>
              <w:widowControl w:val="0"/>
              <w:spacing w:line="276" w:lineRule="auto"/>
              <w:rPr>
                <w:rFonts w:ascii="Arial" w:eastAsia="Arial" w:hAnsi="Arial" w:cs="Arial"/>
              </w:rPr>
            </w:pPr>
          </w:p>
        </w:tc>
        <w:tc>
          <w:tcPr>
            <w:tcW w:w="900" w:type="dxa"/>
            <w:vAlign w:val="center"/>
          </w:tcPr>
          <w:p w14:paraId="4889B0C7" w14:textId="77777777" w:rsidR="00382604" w:rsidRDefault="00F91166">
            <w:pPr>
              <w:jc w:val="center"/>
              <w:rPr>
                <w:rFonts w:ascii="Arial" w:eastAsia="Arial" w:hAnsi="Arial" w:cs="Arial"/>
                <w:color w:val="000000"/>
              </w:rPr>
            </w:pPr>
            <w:r>
              <w:rPr>
                <w:rFonts w:ascii="Arial" w:eastAsia="Arial" w:hAnsi="Arial" w:cs="Arial"/>
                <w:color w:val="000000"/>
              </w:rPr>
              <w:t>4.05</w:t>
            </w:r>
          </w:p>
        </w:tc>
        <w:tc>
          <w:tcPr>
            <w:tcW w:w="900" w:type="dxa"/>
            <w:vAlign w:val="center"/>
          </w:tcPr>
          <w:p w14:paraId="654F97C9" w14:textId="77777777" w:rsidR="00382604" w:rsidRDefault="00F91166">
            <w:pPr>
              <w:jc w:val="center"/>
              <w:rPr>
                <w:rFonts w:ascii="Arial" w:eastAsia="Arial" w:hAnsi="Arial" w:cs="Arial"/>
              </w:rPr>
            </w:pPr>
            <w:r>
              <w:rPr>
                <w:rFonts w:ascii="Arial" w:eastAsia="Arial" w:hAnsi="Arial" w:cs="Arial"/>
              </w:rPr>
              <w:t>-0.057</w:t>
            </w:r>
          </w:p>
        </w:tc>
        <w:tc>
          <w:tcPr>
            <w:tcW w:w="900" w:type="dxa"/>
            <w:vAlign w:val="center"/>
          </w:tcPr>
          <w:p w14:paraId="397EDD86" w14:textId="77777777" w:rsidR="00382604" w:rsidRDefault="00F91166">
            <w:pPr>
              <w:jc w:val="center"/>
              <w:rPr>
                <w:rFonts w:ascii="Arial" w:eastAsia="Arial" w:hAnsi="Arial" w:cs="Arial"/>
                <w:color w:val="000000"/>
              </w:rPr>
            </w:pPr>
            <w:r>
              <w:rPr>
                <w:rFonts w:ascii="Arial" w:eastAsia="Arial" w:hAnsi="Arial" w:cs="Arial"/>
                <w:color w:val="000000"/>
              </w:rPr>
              <w:t>.407</w:t>
            </w:r>
          </w:p>
        </w:tc>
        <w:tc>
          <w:tcPr>
            <w:tcW w:w="1699" w:type="dxa"/>
            <w:vAlign w:val="center"/>
          </w:tcPr>
          <w:p w14:paraId="53053FE9" w14:textId="77777777" w:rsidR="00382604" w:rsidRDefault="00F91166">
            <w:pPr>
              <w:jc w:val="center"/>
              <w:rPr>
                <w:rFonts w:eastAsia="Calibri" w:cs="Calibri"/>
              </w:rPr>
            </w:pPr>
            <w:r>
              <w:rPr>
                <w:rFonts w:ascii="Arial" w:eastAsia="Arial" w:hAnsi="Arial" w:cs="Arial"/>
              </w:rPr>
              <w:t>not significant</w:t>
            </w:r>
          </w:p>
        </w:tc>
      </w:tr>
      <w:tr w:rsidR="00382604" w14:paraId="1F58C0A1" w14:textId="77777777">
        <w:trPr>
          <w:trHeight w:val="474"/>
        </w:trPr>
        <w:tc>
          <w:tcPr>
            <w:tcW w:w="1548" w:type="dxa"/>
            <w:tcBorders>
              <w:bottom w:val="single" w:sz="4" w:space="0" w:color="000000"/>
            </w:tcBorders>
            <w:vAlign w:val="center"/>
          </w:tcPr>
          <w:p w14:paraId="22F3A90E" w14:textId="77777777" w:rsidR="00382604" w:rsidRDefault="00F91166">
            <w:pPr>
              <w:jc w:val="center"/>
              <w:rPr>
                <w:rFonts w:ascii="Arial" w:eastAsia="Arial" w:hAnsi="Arial" w:cs="Arial"/>
              </w:rPr>
            </w:pPr>
            <w:r>
              <w:rPr>
                <w:rFonts w:ascii="Arial" w:eastAsia="Arial" w:hAnsi="Arial" w:cs="Arial"/>
              </w:rPr>
              <w:t>Competence</w:t>
            </w:r>
          </w:p>
        </w:tc>
        <w:tc>
          <w:tcPr>
            <w:tcW w:w="2340" w:type="dxa"/>
            <w:vMerge/>
            <w:tcBorders>
              <w:top w:val="single" w:sz="4" w:space="0" w:color="000000"/>
            </w:tcBorders>
            <w:vAlign w:val="center"/>
          </w:tcPr>
          <w:p w14:paraId="78A94FE8" w14:textId="77777777" w:rsidR="00382604" w:rsidRDefault="00382604">
            <w:pPr>
              <w:widowControl w:val="0"/>
              <w:spacing w:line="276" w:lineRule="auto"/>
              <w:rPr>
                <w:rFonts w:ascii="Arial" w:eastAsia="Arial" w:hAnsi="Arial" w:cs="Arial"/>
              </w:rPr>
            </w:pPr>
          </w:p>
        </w:tc>
        <w:tc>
          <w:tcPr>
            <w:tcW w:w="900" w:type="dxa"/>
            <w:tcBorders>
              <w:bottom w:val="single" w:sz="4" w:space="0" w:color="000000"/>
            </w:tcBorders>
            <w:vAlign w:val="center"/>
          </w:tcPr>
          <w:p w14:paraId="126B5E9C" w14:textId="77777777" w:rsidR="00382604" w:rsidRDefault="00F91166">
            <w:pPr>
              <w:jc w:val="center"/>
              <w:rPr>
                <w:rFonts w:ascii="Arial" w:eastAsia="Arial" w:hAnsi="Arial" w:cs="Arial"/>
                <w:color w:val="000000"/>
              </w:rPr>
            </w:pPr>
            <w:r>
              <w:rPr>
                <w:rFonts w:ascii="Arial" w:eastAsia="Arial" w:hAnsi="Arial" w:cs="Arial"/>
                <w:color w:val="000000"/>
              </w:rPr>
              <w:t>4.05</w:t>
            </w:r>
          </w:p>
        </w:tc>
        <w:tc>
          <w:tcPr>
            <w:tcW w:w="900" w:type="dxa"/>
            <w:tcBorders>
              <w:bottom w:val="single" w:sz="4" w:space="0" w:color="000000"/>
            </w:tcBorders>
            <w:vAlign w:val="center"/>
          </w:tcPr>
          <w:p w14:paraId="3C194CBB" w14:textId="77777777" w:rsidR="00382604" w:rsidRDefault="00F91166">
            <w:pPr>
              <w:jc w:val="center"/>
              <w:rPr>
                <w:rFonts w:ascii="Arial" w:eastAsia="Arial" w:hAnsi="Arial" w:cs="Arial"/>
              </w:rPr>
            </w:pPr>
            <w:r>
              <w:rPr>
                <w:rFonts w:ascii="Arial" w:eastAsia="Arial" w:hAnsi="Arial" w:cs="Arial"/>
              </w:rPr>
              <w:t>0.019</w:t>
            </w:r>
          </w:p>
        </w:tc>
        <w:tc>
          <w:tcPr>
            <w:tcW w:w="900" w:type="dxa"/>
            <w:tcBorders>
              <w:bottom w:val="single" w:sz="4" w:space="0" w:color="000000"/>
            </w:tcBorders>
            <w:vAlign w:val="center"/>
          </w:tcPr>
          <w:p w14:paraId="31A17568" w14:textId="77777777" w:rsidR="00382604" w:rsidRDefault="00F91166">
            <w:pPr>
              <w:jc w:val="center"/>
              <w:rPr>
                <w:rFonts w:ascii="Arial" w:eastAsia="Arial" w:hAnsi="Arial" w:cs="Arial"/>
                <w:color w:val="000000"/>
              </w:rPr>
            </w:pPr>
            <w:r>
              <w:rPr>
                <w:rFonts w:ascii="Arial" w:eastAsia="Arial" w:hAnsi="Arial" w:cs="Arial"/>
                <w:color w:val="000000"/>
              </w:rPr>
              <w:t>.788</w:t>
            </w:r>
          </w:p>
        </w:tc>
        <w:tc>
          <w:tcPr>
            <w:tcW w:w="1699" w:type="dxa"/>
            <w:tcBorders>
              <w:bottom w:val="single" w:sz="4" w:space="0" w:color="000000"/>
            </w:tcBorders>
            <w:vAlign w:val="center"/>
          </w:tcPr>
          <w:p w14:paraId="1A21D799" w14:textId="77777777" w:rsidR="00382604" w:rsidRDefault="00F91166">
            <w:pPr>
              <w:jc w:val="center"/>
              <w:rPr>
                <w:rFonts w:ascii="Arial" w:eastAsia="Arial" w:hAnsi="Arial" w:cs="Arial"/>
              </w:rPr>
            </w:pPr>
            <w:r>
              <w:rPr>
                <w:rFonts w:ascii="Arial" w:eastAsia="Arial" w:hAnsi="Arial" w:cs="Arial"/>
              </w:rPr>
              <w:t>not significant</w:t>
            </w:r>
          </w:p>
        </w:tc>
      </w:tr>
    </w:tbl>
    <w:p w14:paraId="2AE2B53C" w14:textId="77777777" w:rsidR="00382604" w:rsidRDefault="00F91166">
      <w:pPr>
        <w:jc w:val="both"/>
        <w:rPr>
          <w:rFonts w:ascii="Arial" w:eastAsia="Arial" w:hAnsi="Arial" w:cs="Arial"/>
          <w:i/>
          <w:color w:val="000000"/>
          <w:vertAlign w:val="subscript"/>
        </w:rPr>
      </w:pPr>
      <w:r>
        <w:rPr>
          <w:rFonts w:ascii="Arial" w:eastAsia="Arial" w:hAnsi="Arial" w:cs="Arial"/>
          <w:i/>
          <w:color w:val="000000"/>
          <w:vertAlign w:val="subscript"/>
        </w:rPr>
        <w:t xml:space="preserve">*Relationship between Self-esteem and Filipino Language Proficiency </w:t>
      </w:r>
    </w:p>
    <w:p w14:paraId="564F82FB" w14:textId="77777777" w:rsidR="00382604" w:rsidRDefault="00382604">
      <w:pPr>
        <w:jc w:val="both"/>
        <w:rPr>
          <w:rFonts w:ascii="Arial" w:eastAsia="Arial" w:hAnsi="Arial" w:cs="Arial"/>
          <w:b/>
          <w:smallCaps/>
          <w:color w:val="000000"/>
        </w:rPr>
      </w:pPr>
    </w:p>
    <w:p w14:paraId="4360BC43" w14:textId="77777777" w:rsidR="00382604" w:rsidRDefault="00F91166">
      <w:pPr>
        <w:keepNext/>
        <w:jc w:val="both"/>
        <w:rPr>
          <w:rFonts w:ascii="Arial" w:eastAsia="Arial" w:hAnsi="Arial" w:cs="Arial"/>
          <w:color w:val="000000"/>
        </w:rPr>
      </w:pPr>
      <w:r>
        <w:rPr>
          <w:rFonts w:ascii="Arial" w:eastAsia="Arial" w:hAnsi="Arial" w:cs="Arial"/>
          <w:color w:val="000000"/>
        </w:rPr>
        <w:t xml:space="preserve">Table 17 presents the relationship between junior high school students’ self-esteem across four dimensions (identity, belonging, purpose, and competence) and their Filipino language proficiency. The results show very weak correlations between self-esteem and language proficiency in all dimensions. The correlation coefficients ranged from </w:t>
      </w:r>
      <w:r>
        <w:rPr>
          <w:rFonts w:ascii="Arial" w:eastAsia="Arial" w:hAnsi="Arial" w:cs="Arial"/>
          <w:i/>
          <w:color w:val="000000"/>
        </w:rPr>
        <w:t>r</w:t>
      </w:r>
      <w:r>
        <w:rPr>
          <w:rFonts w:ascii="Arial" w:eastAsia="Arial" w:hAnsi="Arial" w:cs="Arial"/>
          <w:color w:val="000000"/>
        </w:rPr>
        <w:t xml:space="preserve"> = –.057 to </w:t>
      </w:r>
      <w:r>
        <w:rPr>
          <w:rFonts w:ascii="Arial" w:eastAsia="Arial" w:hAnsi="Arial" w:cs="Arial"/>
          <w:i/>
          <w:color w:val="000000"/>
        </w:rPr>
        <w:t>r</w:t>
      </w:r>
      <w:r>
        <w:rPr>
          <w:rFonts w:ascii="Arial" w:eastAsia="Arial" w:hAnsi="Arial" w:cs="Arial"/>
          <w:color w:val="000000"/>
        </w:rPr>
        <w:t xml:space="preserve"> = –.036 for the negative relationships, and a very weak positive correlation of </w:t>
      </w:r>
      <w:r>
        <w:rPr>
          <w:rFonts w:ascii="Arial" w:eastAsia="Arial" w:hAnsi="Arial" w:cs="Arial"/>
          <w:i/>
          <w:color w:val="000000"/>
        </w:rPr>
        <w:t>r</w:t>
      </w:r>
      <w:r>
        <w:rPr>
          <w:rFonts w:ascii="Arial" w:eastAsia="Arial" w:hAnsi="Arial" w:cs="Arial"/>
          <w:color w:val="000000"/>
        </w:rPr>
        <w:t xml:space="preserve"> = .019 for the competence dimension. Despite the slight positive correlation, all correlations were statistically insignificant, with </w:t>
      </w:r>
      <w:r>
        <w:rPr>
          <w:rFonts w:ascii="Arial" w:eastAsia="Arial" w:hAnsi="Arial" w:cs="Arial"/>
          <w:i/>
          <w:color w:val="000000"/>
        </w:rPr>
        <w:t>P</w:t>
      </w:r>
      <w:r>
        <w:rPr>
          <w:rFonts w:ascii="Arial" w:eastAsia="Arial" w:hAnsi="Arial" w:cs="Arial"/>
          <w:color w:val="000000"/>
        </w:rPr>
        <w:t xml:space="preserve"> values ranging from </w:t>
      </w:r>
      <w:r>
        <w:rPr>
          <w:rFonts w:ascii="Arial" w:eastAsia="Arial" w:hAnsi="Arial" w:cs="Arial"/>
          <w:i/>
          <w:color w:val="000000"/>
        </w:rPr>
        <w:t>P</w:t>
      </w:r>
      <w:r>
        <w:rPr>
          <w:rFonts w:ascii="Arial" w:eastAsia="Arial" w:hAnsi="Arial" w:cs="Arial"/>
          <w:color w:val="000000"/>
        </w:rPr>
        <w:t xml:space="preserve"> = .407 to </w:t>
      </w:r>
      <w:r>
        <w:rPr>
          <w:rFonts w:ascii="Arial" w:eastAsia="Arial" w:hAnsi="Arial" w:cs="Arial"/>
          <w:i/>
          <w:color w:val="000000"/>
        </w:rPr>
        <w:t>P</w:t>
      </w:r>
      <w:r>
        <w:rPr>
          <w:rFonts w:ascii="Arial" w:eastAsia="Arial" w:hAnsi="Arial" w:cs="Arial"/>
          <w:color w:val="000000"/>
        </w:rPr>
        <w:t xml:space="preserve"> = .663, which are well above the threshold of significance. The very weak </w:t>
      </w:r>
      <w:r>
        <w:rPr>
          <w:rFonts w:ascii="Arial" w:eastAsia="Arial" w:hAnsi="Arial" w:cs="Arial"/>
          <w:i/>
          <w:color w:val="000000"/>
        </w:rPr>
        <w:t>r</w:t>
      </w:r>
      <w:r>
        <w:rPr>
          <w:rFonts w:ascii="Arial" w:eastAsia="Arial" w:hAnsi="Arial" w:cs="Arial"/>
          <w:color w:val="000000"/>
        </w:rPr>
        <w:t xml:space="preserve"> values further support the conclusion that no significant relationship exists between self-esteem and Filipino language proficiency. </w:t>
      </w:r>
    </w:p>
    <w:p w14:paraId="71233173" w14:textId="77777777" w:rsidR="00382604" w:rsidRDefault="00382604">
      <w:pPr>
        <w:keepNext/>
        <w:jc w:val="both"/>
        <w:rPr>
          <w:rFonts w:ascii="Arial" w:eastAsia="Arial" w:hAnsi="Arial" w:cs="Arial"/>
          <w:color w:val="000000"/>
        </w:rPr>
      </w:pPr>
    </w:p>
    <w:p w14:paraId="6E2D042F" w14:textId="77777777" w:rsidR="00382604" w:rsidRDefault="00F91166">
      <w:pPr>
        <w:keepNext/>
        <w:jc w:val="both"/>
        <w:rPr>
          <w:rFonts w:ascii="Arial" w:eastAsia="Arial" w:hAnsi="Arial" w:cs="Arial"/>
          <w:color w:val="000000"/>
        </w:rPr>
      </w:pPr>
      <w:r>
        <w:rPr>
          <w:rFonts w:ascii="Arial" w:eastAsia="Arial" w:hAnsi="Arial" w:cs="Arial"/>
          <w:color w:val="000000"/>
        </w:rPr>
        <w:t>These findings align with the null hypothesis, indicating that self-esteem does not directly influence students’ proficiency in the Filipino language. Although self-esteem may enhance confidence in language use, it does not inherently result in enhanced proficiency levels. Similar results were observed in studies such as the study conducted by Zhao et al. (2021), where the direct effect of self-esteem on academic engagement was found to be non-significant. Additionally, in a study by Amor et al. (2023), the relationship between self-esteem and class engagement among students in Cavite City, Philippines, was explored, but no meaningful connection was found between the two variables in relation to academic achievement.</w:t>
      </w:r>
    </w:p>
    <w:p w14:paraId="50065F35" w14:textId="77777777" w:rsidR="00382604" w:rsidRDefault="00382604">
      <w:pPr>
        <w:keepNext/>
        <w:jc w:val="both"/>
        <w:rPr>
          <w:rFonts w:ascii="Arial" w:eastAsia="Arial" w:hAnsi="Arial" w:cs="Arial"/>
          <w:b/>
          <w:smallCaps/>
          <w:color w:val="000000"/>
          <w:sz w:val="22"/>
          <w:szCs w:val="22"/>
        </w:rPr>
      </w:pPr>
    </w:p>
    <w:p w14:paraId="1F7F4FE5"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228BD49" w14:textId="77777777" w:rsidR="00382604" w:rsidRDefault="00382604">
      <w:pPr>
        <w:keepNext/>
        <w:jc w:val="both"/>
        <w:rPr>
          <w:rFonts w:ascii="Arial" w:eastAsia="Arial" w:hAnsi="Arial" w:cs="Arial"/>
          <w:b/>
          <w:smallCaps/>
          <w:color w:val="000000"/>
          <w:sz w:val="22"/>
          <w:szCs w:val="22"/>
        </w:rPr>
      </w:pPr>
    </w:p>
    <w:p w14:paraId="1FF28319" w14:textId="77777777" w:rsidR="00382604" w:rsidRDefault="00F91166">
      <w:pPr>
        <w:jc w:val="both"/>
        <w:rPr>
          <w:rFonts w:ascii="Arial" w:eastAsia="Arial" w:hAnsi="Arial" w:cs="Arial"/>
          <w:color w:val="000000"/>
        </w:rPr>
      </w:pPr>
      <w:r>
        <w:rPr>
          <w:rFonts w:ascii="Arial" w:eastAsia="Arial" w:hAnsi="Arial" w:cs="Arial"/>
          <w:color w:val="000000"/>
        </w:rPr>
        <w:t xml:space="preserve">This study examined the relationship between Junior High School students' motivation (intrinsic and extrinsic), self-esteem (identity, belonging, purpose, and competence), and their Filipino language proficiency. The findings revealed very weak and statistically insignificant correlations between these variables and language proficiency. Specifically, the correlation between motivation and Filipino language proficiency was </w:t>
      </w:r>
      <w:r>
        <w:rPr>
          <w:rFonts w:ascii="Arial" w:eastAsia="Arial" w:hAnsi="Arial" w:cs="Arial"/>
          <w:i/>
          <w:color w:val="000000"/>
        </w:rPr>
        <w:t>r = 0.087</w:t>
      </w:r>
      <w:r>
        <w:rPr>
          <w:rFonts w:ascii="Arial" w:eastAsia="Arial" w:hAnsi="Arial" w:cs="Arial"/>
          <w:color w:val="000000"/>
        </w:rPr>
        <w:t xml:space="preserve"> (</w:t>
      </w:r>
      <w:r>
        <w:rPr>
          <w:rFonts w:ascii="Arial" w:eastAsia="Arial" w:hAnsi="Arial" w:cs="Arial"/>
          <w:i/>
          <w:color w:val="000000"/>
        </w:rPr>
        <w:t>P = .450</w:t>
      </w:r>
      <w:r>
        <w:rPr>
          <w:rFonts w:ascii="Arial" w:eastAsia="Arial" w:hAnsi="Arial" w:cs="Arial"/>
          <w:color w:val="000000"/>
        </w:rPr>
        <w:t xml:space="preserve">), and for self-esteem, </w:t>
      </w:r>
      <w:r>
        <w:rPr>
          <w:rFonts w:ascii="Arial" w:eastAsia="Arial" w:hAnsi="Arial" w:cs="Arial"/>
          <w:i/>
          <w:color w:val="000000"/>
        </w:rPr>
        <w:t>r = 0.177</w:t>
      </w:r>
      <w:r>
        <w:rPr>
          <w:rFonts w:ascii="Arial" w:eastAsia="Arial" w:hAnsi="Arial" w:cs="Arial"/>
          <w:color w:val="000000"/>
        </w:rPr>
        <w:t xml:space="preserve"> (</w:t>
      </w:r>
      <w:r>
        <w:rPr>
          <w:rFonts w:ascii="Arial" w:eastAsia="Arial" w:hAnsi="Arial" w:cs="Arial"/>
          <w:i/>
          <w:color w:val="000000"/>
        </w:rPr>
        <w:t>P = .132</w:t>
      </w:r>
      <w:r>
        <w:rPr>
          <w:rFonts w:ascii="Arial" w:eastAsia="Arial" w:hAnsi="Arial" w:cs="Arial"/>
          <w:color w:val="000000"/>
        </w:rPr>
        <w:t>). These variables were not significantly correlated with Filipino language proficiency, suggesting limited association in this context.</w:t>
      </w:r>
    </w:p>
    <w:p w14:paraId="359C0703" w14:textId="77777777" w:rsidR="00382604" w:rsidRDefault="00382604">
      <w:pPr>
        <w:jc w:val="both"/>
        <w:rPr>
          <w:rFonts w:ascii="Arial" w:eastAsia="Arial" w:hAnsi="Arial" w:cs="Arial"/>
          <w:color w:val="000000"/>
        </w:rPr>
      </w:pPr>
    </w:p>
    <w:p w14:paraId="3DC5C905" w14:textId="77777777" w:rsidR="00382604" w:rsidRDefault="00F91166">
      <w:pPr>
        <w:jc w:val="both"/>
        <w:rPr>
          <w:rFonts w:ascii="Arial" w:eastAsia="Arial" w:hAnsi="Arial" w:cs="Arial"/>
          <w:color w:val="000000"/>
        </w:rPr>
      </w:pPr>
      <w:r>
        <w:rPr>
          <w:rFonts w:ascii="Arial" w:eastAsia="Arial" w:hAnsi="Arial" w:cs="Arial"/>
          <w:color w:val="000000"/>
        </w:rPr>
        <w:lastRenderedPageBreak/>
        <w:t>The weak correlations suggest that other factors may have a more substantial influence on language acquisition, such as instructional strategies, language exposure, and socio-cultural contexts. Although motivation and self-esteem remain important components of academic success, their direct contribution to Filipino language proficiency appears minimal in this context.</w:t>
      </w:r>
    </w:p>
    <w:p w14:paraId="67BD90DE" w14:textId="77777777" w:rsidR="00382604" w:rsidRDefault="00382604">
      <w:pPr>
        <w:jc w:val="both"/>
        <w:rPr>
          <w:rFonts w:ascii="Arial" w:eastAsia="Arial" w:hAnsi="Arial" w:cs="Arial"/>
          <w:color w:val="000000"/>
        </w:rPr>
      </w:pPr>
    </w:p>
    <w:p w14:paraId="6E6B7C7F" w14:textId="77777777" w:rsidR="00382604" w:rsidRDefault="00F91166">
      <w:pPr>
        <w:jc w:val="both"/>
        <w:rPr>
          <w:rFonts w:ascii="Arial" w:eastAsia="Arial" w:hAnsi="Arial" w:cs="Arial"/>
          <w:color w:val="000000"/>
        </w:rPr>
      </w:pPr>
      <w:r>
        <w:rPr>
          <w:rFonts w:ascii="Arial" w:eastAsia="Arial" w:hAnsi="Arial" w:cs="Arial"/>
          <w:color w:val="000000"/>
        </w:rPr>
        <w:t>Given these findings, future research should adopt a more comprehensive approach, potentially through longitudinal or qualitative designs, to explore students' individual language learning experiences. Investigating the interaction among psychological, environmental, and educational factors may yield deeper insights into language acquisition. Ultimately, this study contributes to the growing body of research by highlighting the multifaceted nature of language learning and urging educators and policymakers to consider a broader range of influences in designing effective language education programs.</w:t>
      </w:r>
    </w:p>
    <w:p w14:paraId="2C940AE6" w14:textId="77777777" w:rsidR="00382604" w:rsidRDefault="00382604">
      <w:pPr>
        <w:jc w:val="both"/>
        <w:rPr>
          <w:rFonts w:ascii="Arial" w:eastAsia="Arial" w:hAnsi="Arial" w:cs="Arial"/>
          <w:color w:val="000000"/>
        </w:rPr>
      </w:pPr>
    </w:p>
    <w:p w14:paraId="4672EFA6" w14:textId="77777777" w:rsidR="00382604" w:rsidRDefault="00382604">
      <w:pPr>
        <w:keepNext/>
        <w:jc w:val="both"/>
        <w:rPr>
          <w:rFonts w:ascii="Arial" w:eastAsia="Arial" w:hAnsi="Arial" w:cs="Arial"/>
          <w:color w:val="000000"/>
        </w:rPr>
      </w:pPr>
    </w:p>
    <w:p w14:paraId="426081D4"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0B6189A5" w14:textId="77777777" w:rsidR="00382604" w:rsidRDefault="00382604">
      <w:pPr>
        <w:keepNext/>
        <w:jc w:val="both"/>
        <w:rPr>
          <w:rFonts w:ascii="Arial" w:eastAsia="Arial" w:hAnsi="Arial" w:cs="Arial"/>
          <w:b/>
          <w:smallCaps/>
          <w:color w:val="000000"/>
          <w:sz w:val="22"/>
          <w:szCs w:val="22"/>
        </w:rPr>
      </w:pPr>
    </w:p>
    <w:p w14:paraId="37EA3A6F" w14:textId="77777777" w:rsidR="00382604" w:rsidRDefault="00F91166">
      <w:pPr>
        <w:keepNext/>
        <w:jc w:val="both"/>
        <w:rPr>
          <w:rFonts w:ascii="Arial" w:eastAsia="Arial" w:hAnsi="Arial" w:cs="Arial"/>
          <w:color w:val="000000"/>
        </w:rPr>
      </w:pPr>
      <w:r>
        <w:rPr>
          <w:rFonts w:ascii="Arial" w:eastAsia="Arial" w:hAnsi="Arial" w:cs="Arial"/>
          <w:color w:val="000000"/>
        </w:rPr>
        <w:t>All authors declare that written informed consent was obtained from the participants. A copy of the written consent is available for review by the Editorial Board members of this journal.</w:t>
      </w:r>
    </w:p>
    <w:p w14:paraId="2FD096B5" w14:textId="77777777" w:rsidR="00382604" w:rsidRDefault="00382604">
      <w:pPr>
        <w:keepNext/>
        <w:jc w:val="both"/>
        <w:rPr>
          <w:rFonts w:ascii="Arial" w:eastAsia="Arial" w:hAnsi="Arial" w:cs="Arial"/>
          <w:color w:val="000000"/>
        </w:rPr>
      </w:pPr>
    </w:p>
    <w:p w14:paraId="7032642F"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583A5563" w14:textId="77777777" w:rsidR="00382604" w:rsidRDefault="00382604">
      <w:pPr>
        <w:keepNext/>
        <w:jc w:val="both"/>
        <w:rPr>
          <w:rFonts w:ascii="Arial" w:eastAsia="Arial" w:hAnsi="Arial" w:cs="Arial"/>
          <w:b/>
          <w:smallCaps/>
          <w:color w:val="000000"/>
          <w:sz w:val="22"/>
          <w:szCs w:val="22"/>
        </w:rPr>
      </w:pPr>
    </w:p>
    <w:p w14:paraId="50EA899C" w14:textId="77777777" w:rsidR="00382604" w:rsidRDefault="00F91166">
      <w:pPr>
        <w:jc w:val="both"/>
        <w:rPr>
          <w:rFonts w:ascii="Arial" w:eastAsia="Arial" w:hAnsi="Arial" w:cs="Arial"/>
        </w:rPr>
      </w:pPr>
      <w:r>
        <w:rPr>
          <w:rFonts w:ascii="Arial" w:eastAsia="Arial" w:hAnsi="Arial" w:cs="Arial"/>
        </w:rPr>
        <w:t>The authors adhered to ethical standards in order to ensure the privacy and well-being of all participants while collecting the data required for this study. Prior to conducting the study, the authors obtained permission and approval from the School Principal, Vice Principal for Academics, Class Advisers, and the Participants. The authors issued informed consent letters to all participants prior to the collection of any data. The consent letters provided a comprehensive explanation of the study's objectives, the procedures that would be employed, and the rights of the participants. Moreover, the consent forms provided assurance that all responses would be kept confidential and that no identifiable information would be disclosed in the study's results. The authors also guaranteed that the data collected would be used entirely for the study's purposes.</w:t>
      </w:r>
    </w:p>
    <w:p w14:paraId="5C4E6CD2" w14:textId="77777777" w:rsidR="00382604" w:rsidRDefault="00382604">
      <w:pPr>
        <w:jc w:val="both"/>
        <w:rPr>
          <w:rFonts w:ascii="Arial" w:eastAsia="Arial" w:hAnsi="Arial" w:cs="Arial"/>
          <w:highlight w:val="yellow"/>
        </w:rPr>
      </w:pPr>
    </w:p>
    <w:p w14:paraId="47B19300" w14:textId="77777777" w:rsidR="00382604" w:rsidRPr="008C2B87" w:rsidRDefault="00F91166">
      <w:pPr>
        <w:jc w:val="both"/>
        <w:rPr>
          <w:rFonts w:ascii="Arial" w:eastAsia="Arial" w:hAnsi="Arial" w:cs="Arial"/>
          <w:b/>
          <w:bCs/>
          <w:highlight w:val="cyan"/>
        </w:rPr>
      </w:pPr>
      <w:r w:rsidRPr="008C2B87">
        <w:rPr>
          <w:rFonts w:ascii="Arial" w:eastAsia="Arial" w:hAnsi="Arial" w:cs="Arial"/>
          <w:b/>
          <w:bCs/>
          <w:highlight w:val="cyan"/>
        </w:rPr>
        <w:t>DECLARATION OF GENERATIVE AI IN SCIENTIFIC WRITING</w:t>
      </w:r>
    </w:p>
    <w:p w14:paraId="02613142" w14:textId="77777777" w:rsidR="00382604" w:rsidRPr="008C2B87" w:rsidRDefault="00382604">
      <w:pPr>
        <w:jc w:val="both"/>
        <w:rPr>
          <w:rFonts w:ascii="Arial" w:eastAsia="Arial" w:hAnsi="Arial" w:cs="Arial"/>
          <w:highlight w:val="cyan"/>
        </w:rPr>
      </w:pPr>
    </w:p>
    <w:p w14:paraId="65AB64AD" w14:textId="292B904B" w:rsidR="00382604" w:rsidRPr="008C2B87" w:rsidRDefault="00F91166">
      <w:pPr>
        <w:jc w:val="both"/>
        <w:rPr>
          <w:rFonts w:ascii="Arial" w:eastAsia="Arial" w:hAnsi="Arial" w:cs="Arial"/>
          <w:highlight w:val="cyan"/>
        </w:rPr>
      </w:pPr>
      <w:r w:rsidRPr="008C2B87">
        <w:rPr>
          <w:rFonts w:ascii="Arial" w:eastAsia="Arial" w:hAnsi="Arial" w:cs="Arial"/>
          <w:highlight w:val="cyan"/>
        </w:rPr>
        <w:t xml:space="preserve">The authors hereby declare </w:t>
      </w:r>
      <w:r w:rsidR="00752585" w:rsidRPr="008C2B87">
        <w:rPr>
          <w:rFonts w:ascii="Arial" w:eastAsia="Arial" w:hAnsi="Arial" w:cs="Arial"/>
          <w:highlight w:val="cyan"/>
        </w:rPr>
        <w:t xml:space="preserve">that generative AI technologies such as </w:t>
      </w:r>
      <w:proofErr w:type="spellStart"/>
      <w:r w:rsidRPr="008C2B87">
        <w:rPr>
          <w:rFonts w:ascii="Arial" w:eastAsia="Arial" w:hAnsi="Arial" w:cs="Arial"/>
          <w:highlight w:val="cyan"/>
        </w:rPr>
        <w:t>Grammarly</w:t>
      </w:r>
      <w:proofErr w:type="spellEnd"/>
      <w:r w:rsidR="00752585" w:rsidRPr="008C2B87">
        <w:rPr>
          <w:rFonts w:ascii="Arial" w:eastAsia="Arial" w:hAnsi="Arial" w:cs="Arial"/>
          <w:highlight w:val="cyan"/>
        </w:rPr>
        <w:t xml:space="preserve"> Premium, </w:t>
      </w:r>
      <w:proofErr w:type="spellStart"/>
      <w:r w:rsidRPr="008C2B87">
        <w:rPr>
          <w:rFonts w:ascii="Arial" w:eastAsia="Arial" w:hAnsi="Arial" w:cs="Arial"/>
          <w:highlight w:val="cyan"/>
        </w:rPr>
        <w:t>Quillbot</w:t>
      </w:r>
      <w:proofErr w:type="spellEnd"/>
      <w:r w:rsidR="00A34B15" w:rsidRPr="008C2B87">
        <w:rPr>
          <w:rFonts w:ascii="Arial" w:eastAsia="Arial" w:hAnsi="Arial" w:cs="Arial"/>
          <w:highlight w:val="cyan"/>
        </w:rPr>
        <w:t xml:space="preserve"> Premium</w:t>
      </w:r>
      <w:r w:rsidR="00752585" w:rsidRPr="008C2B87">
        <w:rPr>
          <w:rFonts w:ascii="Arial" w:eastAsia="Arial" w:hAnsi="Arial" w:cs="Arial"/>
          <w:highlight w:val="cyan"/>
        </w:rPr>
        <w:t xml:space="preserve">, and </w:t>
      </w:r>
      <w:proofErr w:type="spellStart"/>
      <w:r w:rsidR="00752585" w:rsidRPr="008C2B87">
        <w:rPr>
          <w:rFonts w:ascii="Arial" w:eastAsia="Arial" w:hAnsi="Arial" w:cs="Arial"/>
          <w:highlight w:val="cyan"/>
        </w:rPr>
        <w:t>ChatGPT</w:t>
      </w:r>
      <w:proofErr w:type="spellEnd"/>
      <w:r w:rsidR="00752585" w:rsidRPr="008C2B87">
        <w:rPr>
          <w:rFonts w:ascii="Arial" w:eastAsia="Arial" w:hAnsi="Arial" w:cs="Arial"/>
          <w:highlight w:val="cyan"/>
        </w:rPr>
        <w:t xml:space="preserve"> Pro (GPT -4o) has been used during the writing or editing of the manuscript. </w:t>
      </w:r>
      <w:r w:rsidRPr="008C2B87">
        <w:rPr>
          <w:rFonts w:ascii="Arial" w:eastAsia="Arial" w:hAnsi="Arial" w:cs="Arial"/>
          <w:highlight w:val="cyan"/>
        </w:rPr>
        <w:t xml:space="preserve">All content </w:t>
      </w:r>
      <w:r w:rsidR="00752585" w:rsidRPr="008C2B87">
        <w:rPr>
          <w:rFonts w:ascii="Arial" w:eastAsia="Arial" w:hAnsi="Arial" w:cs="Arial"/>
          <w:highlight w:val="cyan"/>
        </w:rPr>
        <w:t>modified and assisted of these tools was</w:t>
      </w:r>
      <w:r w:rsidRPr="008C2B87">
        <w:rPr>
          <w:rFonts w:ascii="Arial" w:eastAsia="Arial" w:hAnsi="Arial" w:cs="Arial"/>
          <w:highlight w:val="cyan"/>
        </w:rPr>
        <w:t xml:space="preserve"> carefully reviewed, revised, and verified for accuracy. The authors maintain full responsibility for the final version of this manuscript.</w:t>
      </w:r>
    </w:p>
    <w:p w14:paraId="01F43ADA" w14:textId="77777777" w:rsidR="00382604" w:rsidRPr="008C2B87" w:rsidRDefault="00382604">
      <w:pPr>
        <w:jc w:val="both"/>
        <w:rPr>
          <w:rFonts w:ascii="Arial" w:eastAsia="Arial" w:hAnsi="Arial" w:cs="Arial"/>
          <w:highlight w:val="cyan"/>
        </w:rPr>
      </w:pPr>
    </w:p>
    <w:p w14:paraId="11825FD1" w14:textId="77777777" w:rsidR="00382604" w:rsidRPr="008C2B87" w:rsidRDefault="00F91166">
      <w:pPr>
        <w:jc w:val="both"/>
        <w:rPr>
          <w:rFonts w:ascii="Arial" w:eastAsia="Arial" w:hAnsi="Arial" w:cs="Arial"/>
          <w:highlight w:val="cyan"/>
        </w:rPr>
      </w:pPr>
      <w:r w:rsidRPr="008C2B87">
        <w:rPr>
          <w:rFonts w:ascii="Arial" w:eastAsia="Arial" w:hAnsi="Arial" w:cs="Arial"/>
          <w:highlight w:val="cyan"/>
        </w:rPr>
        <w:t>Details of the AI usage are given below:</w:t>
      </w:r>
    </w:p>
    <w:p w14:paraId="51A28542" w14:textId="675C237E" w:rsidR="00382604" w:rsidRPr="008C2B87" w:rsidRDefault="00F91166">
      <w:pPr>
        <w:jc w:val="both"/>
        <w:rPr>
          <w:rFonts w:ascii="Arial" w:eastAsia="Arial" w:hAnsi="Arial" w:cs="Arial"/>
          <w:highlight w:val="cyan"/>
        </w:rPr>
      </w:pPr>
      <w:r w:rsidRPr="008C2B87">
        <w:rPr>
          <w:rFonts w:ascii="Arial" w:eastAsia="Arial" w:hAnsi="Arial" w:cs="Arial"/>
          <w:highlight w:val="cyan"/>
        </w:rPr>
        <w:t>1.</w:t>
      </w:r>
      <w:r w:rsidR="00752585" w:rsidRPr="008C2B87">
        <w:rPr>
          <w:rFonts w:ascii="Arial" w:eastAsia="Arial" w:hAnsi="Arial" w:cs="Arial"/>
          <w:highlight w:val="cyan"/>
        </w:rPr>
        <w:t xml:space="preserve"> Grammarly</w:t>
      </w:r>
      <w:r w:rsidR="008375D0">
        <w:rPr>
          <w:rFonts w:ascii="Arial" w:eastAsia="Arial" w:hAnsi="Arial" w:cs="Arial"/>
          <w:highlight w:val="cyan"/>
        </w:rPr>
        <w:t xml:space="preserve"> Premium</w:t>
      </w:r>
      <w:r w:rsidR="00752585" w:rsidRPr="008C2B87">
        <w:rPr>
          <w:rFonts w:ascii="Arial" w:eastAsia="Arial" w:hAnsi="Arial" w:cs="Arial"/>
          <w:highlight w:val="cyan"/>
        </w:rPr>
        <w:t xml:space="preserve"> –</w:t>
      </w:r>
      <w:r w:rsidR="00A34B15" w:rsidRPr="008C2B87">
        <w:rPr>
          <w:rFonts w:ascii="Arial" w:eastAsia="Arial" w:hAnsi="Arial" w:cs="Arial"/>
          <w:highlight w:val="cyan"/>
        </w:rPr>
        <w:t xml:space="preserve"> The manuscript was input into Grammarly for grammar checking, tone suggestions, and clarity improvement suggestions.</w:t>
      </w:r>
    </w:p>
    <w:p w14:paraId="62DF0586" w14:textId="0F77202C" w:rsidR="00382604" w:rsidRPr="008C2B87" w:rsidRDefault="00F91166">
      <w:pPr>
        <w:jc w:val="both"/>
        <w:rPr>
          <w:rFonts w:ascii="Arial" w:eastAsia="Arial" w:hAnsi="Arial" w:cs="Arial"/>
          <w:highlight w:val="cyan"/>
        </w:rPr>
      </w:pPr>
      <w:r w:rsidRPr="008C2B87">
        <w:rPr>
          <w:rFonts w:ascii="Arial" w:eastAsia="Arial" w:hAnsi="Arial" w:cs="Arial"/>
          <w:highlight w:val="cyan"/>
        </w:rPr>
        <w:t>2.</w:t>
      </w:r>
      <w:r w:rsidR="00752585" w:rsidRPr="008C2B87">
        <w:rPr>
          <w:rFonts w:ascii="Arial" w:eastAsia="Arial" w:hAnsi="Arial" w:cs="Arial"/>
          <w:highlight w:val="cyan"/>
        </w:rPr>
        <w:t xml:space="preserve"> </w:t>
      </w:r>
      <w:proofErr w:type="spellStart"/>
      <w:r w:rsidR="00752585" w:rsidRPr="008C2B87">
        <w:rPr>
          <w:rFonts w:ascii="Arial" w:eastAsia="Arial" w:hAnsi="Arial" w:cs="Arial"/>
          <w:highlight w:val="cyan"/>
        </w:rPr>
        <w:t>Quillbot</w:t>
      </w:r>
      <w:proofErr w:type="spellEnd"/>
      <w:r w:rsidR="008375D0">
        <w:rPr>
          <w:rFonts w:ascii="Arial" w:eastAsia="Arial" w:hAnsi="Arial" w:cs="Arial"/>
          <w:highlight w:val="cyan"/>
        </w:rPr>
        <w:t xml:space="preserve"> Premium</w:t>
      </w:r>
      <w:r w:rsidR="00752585" w:rsidRPr="008C2B87">
        <w:rPr>
          <w:rFonts w:ascii="Arial" w:eastAsia="Arial" w:hAnsi="Arial" w:cs="Arial"/>
          <w:highlight w:val="cyan"/>
        </w:rPr>
        <w:t xml:space="preserve"> – </w:t>
      </w:r>
      <w:r w:rsidR="00A34B15" w:rsidRPr="008C2B87">
        <w:rPr>
          <w:rFonts w:ascii="Arial" w:eastAsia="Arial" w:hAnsi="Arial" w:cs="Arial"/>
          <w:highlight w:val="cyan"/>
        </w:rPr>
        <w:t xml:space="preserve">Specific sentences and paragraphs were entered into </w:t>
      </w:r>
      <w:proofErr w:type="spellStart"/>
      <w:r w:rsidR="00A34B15" w:rsidRPr="008C2B87">
        <w:rPr>
          <w:rFonts w:ascii="Arial" w:eastAsia="Arial" w:hAnsi="Arial" w:cs="Arial"/>
          <w:highlight w:val="cyan"/>
        </w:rPr>
        <w:t>Quillbot</w:t>
      </w:r>
      <w:proofErr w:type="spellEnd"/>
      <w:r w:rsidR="00A34B15" w:rsidRPr="008C2B87">
        <w:rPr>
          <w:rFonts w:ascii="Arial" w:eastAsia="Arial" w:hAnsi="Arial" w:cs="Arial"/>
          <w:highlight w:val="cyan"/>
        </w:rPr>
        <w:t xml:space="preserve"> to generate alternative phrasing and enhance sentence flow.</w:t>
      </w:r>
    </w:p>
    <w:p w14:paraId="20E3C9A3" w14:textId="0AAE3CAC" w:rsidR="00382604" w:rsidRDefault="00F91166">
      <w:pPr>
        <w:jc w:val="both"/>
        <w:rPr>
          <w:rFonts w:ascii="Arial" w:eastAsia="Arial" w:hAnsi="Arial" w:cs="Arial"/>
        </w:rPr>
      </w:pPr>
      <w:r w:rsidRPr="008C2B87">
        <w:rPr>
          <w:rFonts w:ascii="Arial" w:eastAsia="Arial" w:hAnsi="Arial" w:cs="Arial"/>
          <w:highlight w:val="cyan"/>
        </w:rPr>
        <w:t>3.</w:t>
      </w:r>
      <w:r w:rsidR="00752585" w:rsidRPr="008C2B87">
        <w:rPr>
          <w:rFonts w:ascii="Arial" w:eastAsia="Arial" w:hAnsi="Arial" w:cs="Arial"/>
          <w:highlight w:val="cyan"/>
        </w:rPr>
        <w:t xml:space="preserve"> ChatGPT Pro (GPT-4o) – </w:t>
      </w:r>
      <w:r w:rsidR="00A34B15" w:rsidRPr="008C2B87">
        <w:rPr>
          <w:rFonts w:ascii="Arial" w:eastAsia="Arial" w:hAnsi="Arial" w:cs="Arial"/>
          <w:highlight w:val="cyan"/>
        </w:rPr>
        <w:t>Selected text segments were submitted with prompts questing translation from Filipino to English, and suggestions for clearer, more academic rewording. Prompt</w:t>
      </w:r>
      <w:r w:rsidR="008C2B87" w:rsidRPr="008C2B87">
        <w:rPr>
          <w:rFonts w:ascii="Arial" w:eastAsia="Arial" w:hAnsi="Arial" w:cs="Arial"/>
          <w:highlight w:val="cyan"/>
        </w:rPr>
        <w:t>s</w:t>
      </w:r>
      <w:r w:rsidR="00A34B15" w:rsidRPr="008C2B87">
        <w:rPr>
          <w:rFonts w:ascii="Arial" w:eastAsia="Arial" w:hAnsi="Arial" w:cs="Arial"/>
          <w:highlight w:val="cyan"/>
        </w:rPr>
        <w:t xml:space="preserve"> used: “Translate the following from Filipino to academic English” </w:t>
      </w:r>
      <w:r w:rsidR="008C2B87" w:rsidRPr="008C2B87">
        <w:rPr>
          <w:rFonts w:ascii="Arial" w:eastAsia="Arial" w:hAnsi="Arial" w:cs="Arial"/>
          <w:highlight w:val="cyan"/>
        </w:rPr>
        <w:t>“Suggest a clearer way to express this idea in English without changing the meaning”</w:t>
      </w:r>
    </w:p>
    <w:p w14:paraId="595A5B77" w14:textId="7A73BAEB" w:rsidR="00910E58" w:rsidRDefault="00910E58">
      <w:pPr>
        <w:jc w:val="both"/>
        <w:rPr>
          <w:rFonts w:ascii="Arial" w:eastAsia="Arial" w:hAnsi="Arial" w:cs="Arial"/>
        </w:rPr>
      </w:pPr>
    </w:p>
    <w:p w14:paraId="44D6CFA5" w14:textId="7FE8B398" w:rsidR="00910E58" w:rsidRDefault="00910E58">
      <w:pPr>
        <w:jc w:val="both"/>
        <w:rPr>
          <w:rFonts w:ascii="Arial" w:eastAsia="Arial" w:hAnsi="Arial" w:cs="Arial"/>
        </w:rPr>
      </w:pPr>
    </w:p>
    <w:p w14:paraId="3323A58D" w14:textId="77777777" w:rsidR="00910E58" w:rsidRPr="00910E58" w:rsidRDefault="00910E58" w:rsidP="00910E58">
      <w:pPr>
        <w:jc w:val="both"/>
        <w:rPr>
          <w:rFonts w:ascii="Arial" w:eastAsia="Arial" w:hAnsi="Arial" w:cs="Arial"/>
        </w:rPr>
      </w:pPr>
      <w:r w:rsidRPr="00910E58">
        <w:rPr>
          <w:rFonts w:ascii="Arial" w:eastAsia="Arial" w:hAnsi="Arial" w:cs="Arial"/>
        </w:rPr>
        <w:t>Disclaimer (Artificial intelligence)</w:t>
      </w:r>
    </w:p>
    <w:p w14:paraId="7992D940" w14:textId="77777777" w:rsidR="00910E58" w:rsidRPr="00910E58" w:rsidRDefault="00910E58" w:rsidP="00910E58">
      <w:pPr>
        <w:jc w:val="both"/>
        <w:rPr>
          <w:rFonts w:ascii="Arial" w:eastAsia="Arial" w:hAnsi="Arial" w:cs="Arial"/>
        </w:rPr>
      </w:pPr>
      <w:r w:rsidRPr="00910E58">
        <w:rPr>
          <w:rFonts w:ascii="Arial" w:eastAsia="Arial" w:hAnsi="Arial" w:cs="Arial"/>
        </w:rPr>
        <w:lastRenderedPageBreak/>
        <w:t xml:space="preserve">Option 1: </w:t>
      </w:r>
    </w:p>
    <w:p w14:paraId="11A573F3" w14:textId="77777777" w:rsidR="00910E58" w:rsidRPr="00910E58" w:rsidRDefault="00910E58" w:rsidP="00910E58">
      <w:pPr>
        <w:jc w:val="both"/>
        <w:rPr>
          <w:rFonts w:ascii="Arial" w:eastAsia="Arial" w:hAnsi="Arial" w:cs="Arial"/>
        </w:rPr>
      </w:pPr>
      <w:r w:rsidRPr="00910E58">
        <w:rPr>
          <w:rFonts w:ascii="Arial" w:eastAsia="Arial" w:hAnsi="Arial" w:cs="Arial"/>
        </w:rPr>
        <w:t>Author(s) hereby declare that NO generative AI technologies such as Large Language Models (</w:t>
      </w:r>
      <w:proofErr w:type="spellStart"/>
      <w:r w:rsidRPr="00910E58">
        <w:rPr>
          <w:rFonts w:ascii="Arial" w:eastAsia="Arial" w:hAnsi="Arial" w:cs="Arial"/>
        </w:rPr>
        <w:t>ChatGPT</w:t>
      </w:r>
      <w:proofErr w:type="spellEnd"/>
      <w:r w:rsidRPr="00910E58">
        <w:rPr>
          <w:rFonts w:ascii="Arial" w:eastAsia="Arial" w:hAnsi="Arial" w:cs="Arial"/>
        </w:rPr>
        <w:t xml:space="preserve">, COPILOT, etc.) and text-to-image generators have been used during the writing or editing of this manuscript. </w:t>
      </w:r>
    </w:p>
    <w:p w14:paraId="135DE2F5" w14:textId="77777777" w:rsidR="00910E58" w:rsidRPr="00910E58" w:rsidRDefault="00910E58" w:rsidP="00910E58">
      <w:pPr>
        <w:jc w:val="both"/>
        <w:rPr>
          <w:rFonts w:ascii="Arial" w:eastAsia="Arial" w:hAnsi="Arial" w:cs="Arial"/>
        </w:rPr>
      </w:pPr>
      <w:r w:rsidRPr="00910E58">
        <w:rPr>
          <w:rFonts w:ascii="Arial" w:eastAsia="Arial" w:hAnsi="Arial" w:cs="Arial"/>
        </w:rPr>
        <w:t xml:space="preserve">Option 2: </w:t>
      </w:r>
    </w:p>
    <w:p w14:paraId="13D894E4" w14:textId="77777777" w:rsidR="00910E58" w:rsidRPr="00910E58" w:rsidRDefault="00910E58" w:rsidP="00910E58">
      <w:pPr>
        <w:jc w:val="both"/>
        <w:rPr>
          <w:rFonts w:ascii="Arial" w:eastAsia="Arial" w:hAnsi="Arial" w:cs="Arial"/>
        </w:rPr>
      </w:pPr>
      <w:r w:rsidRPr="00910E58">
        <w:rPr>
          <w:rFonts w:ascii="Arial" w:eastAsia="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D4B808" w14:textId="77777777" w:rsidR="00910E58" w:rsidRPr="00910E58" w:rsidRDefault="00910E58" w:rsidP="00910E58">
      <w:pPr>
        <w:jc w:val="both"/>
        <w:rPr>
          <w:rFonts w:ascii="Arial" w:eastAsia="Arial" w:hAnsi="Arial" w:cs="Arial"/>
        </w:rPr>
      </w:pPr>
      <w:r w:rsidRPr="00910E58">
        <w:rPr>
          <w:rFonts w:ascii="Arial" w:eastAsia="Arial" w:hAnsi="Arial" w:cs="Arial"/>
        </w:rPr>
        <w:t>Details of the AI usage are given below:</w:t>
      </w:r>
    </w:p>
    <w:p w14:paraId="59A4F681" w14:textId="77777777" w:rsidR="00910E58" w:rsidRPr="00910E58" w:rsidRDefault="00910E58" w:rsidP="00910E58">
      <w:pPr>
        <w:jc w:val="both"/>
        <w:rPr>
          <w:rFonts w:ascii="Arial" w:eastAsia="Arial" w:hAnsi="Arial" w:cs="Arial"/>
        </w:rPr>
      </w:pPr>
      <w:r w:rsidRPr="00910E58">
        <w:rPr>
          <w:rFonts w:ascii="Arial" w:eastAsia="Arial" w:hAnsi="Arial" w:cs="Arial"/>
        </w:rPr>
        <w:t>1.</w:t>
      </w:r>
    </w:p>
    <w:p w14:paraId="28918669" w14:textId="77777777" w:rsidR="00910E58" w:rsidRPr="00910E58" w:rsidRDefault="00910E58" w:rsidP="00910E58">
      <w:pPr>
        <w:jc w:val="both"/>
        <w:rPr>
          <w:rFonts w:ascii="Arial" w:eastAsia="Arial" w:hAnsi="Arial" w:cs="Arial"/>
        </w:rPr>
      </w:pPr>
      <w:r w:rsidRPr="00910E58">
        <w:rPr>
          <w:rFonts w:ascii="Arial" w:eastAsia="Arial" w:hAnsi="Arial" w:cs="Arial"/>
        </w:rPr>
        <w:t>2.</w:t>
      </w:r>
    </w:p>
    <w:p w14:paraId="1D3ED970" w14:textId="71DE31EC" w:rsidR="00910E58" w:rsidRDefault="00910E58" w:rsidP="00910E58">
      <w:pPr>
        <w:jc w:val="both"/>
        <w:rPr>
          <w:rFonts w:ascii="Arial" w:eastAsia="Arial" w:hAnsi="Arial" w:cs="Arial"/>
        </w:rPr>
      </w:pPr>
      <w:r w:rsidRPr="00910E58">
        <w:rPr>
          <w:rFonts w:ascii="Arial" w:eastAsia="Arial" w:hAnsi="Arial" w:cs="Arial"/>
        </w:rPr>
        <w:t>3.</w:t>
      </w:r>
      <w:bookmarkStart w:id="0" w:name="_GoBack"/>
      <w:bookmarkEnd w:id="0"/>
    </w:p>
    <w:p w14:paraId="5DBB3187" w14:textId="77777777" w:rsidR="00382604" w:rsidRDefault="00382604">
      <w:pPr>
        <w:keepNext/>
        <w:jc w:val="both"/>
        <w:rPr>
          <w:rFonts w:ascii="Arial" w:eastAsia="Arial" w:hAnsi="Arial" w:cs="Arial"/>
          <w:b/>
          <w:smallCaps/>
          <w:color w:val="000000"/>
          <w:sz w:val="22"/>
          <w:szCs w:val="22"/>
        </w:rPr>
      </w:pPr>
    </w:p>
    <w:p w14:paraId="7167F489" w14:textId="77777777" w:rsidR="00382604" w:rsidRDefault="00F91166">
      <w:pPr>
        <w:keepNext/>
        <w:jc w:val="both"/>
        <w:rPr>
          <w:rFonts w:ascii="Arial" w:eastAsia="Arial" w:hAnsi="Arial" w:cs="Arial"/>
          <w:color w:val="000000"/>
        </w:rPr>
      </w:pPr>
      <w:r>
        <w:rPr>
          <w:rFonts w:ascii="Arial" w:eastAsia="Arial" w:hAnsi="Arial" w:cs="Arial"/>
          <w:b/>
          <w:smallCaps/>
          <w:color w:val="000000"/>
          <w:sz w:val="22"/>
          <w:szCs w:val="22"/>
        </w:rPr>
        <w:t>References</w:t>
      </w:r>
    </w:p>
    <w:p w14:paraId="3C1D2C9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Blasco, R. N. B., &amp; Elizalde, K. C. (2024). </w:t>
      </w:r>
      <w:r>
        <w:rPr>
          <w:rStyle w:val="Emphasis"/>
          <w:rFonts w:ascii="Arial" w:hAnsi="Arial" w:cs="Arial"/>
          <w:i w:val="0"/>
          <w:iCs w:val="0"/>
          <w:sz w:val="20"/>
          <w:szCs w:val="20"/>
          <w:highlight w:val="cyan"/>
        </w:rPr>
        <w:t>Analyzing the English language hierarchy: How globalization affects language inequality in the Philippines</w:t>
      </w:r>
      <w:r>
        <w:rPr>
          <w:rFonts w:ascii="Arial" w:hAnsi="Arial" w:cs="Arial"/>
          <w:sz w:val="20"/>
          <w:szCs w:val="20"/>
          <w:highlight w:val="cyan"/>
        </w:rPr>
        <w:t xml:space="preserve">. </w:t>
      </w:r>
      <w:r>
        <w:rPr>
          <w:rFonts w:ascii="Arial" w:hAnsi="Arial" w:cs="Arial"/>
          <w:i/>
          <w:iCs/>
          <w:sz w:val="20"/>
          <w:szCs w:val="20"/>
          <w:highlight w:val="cyan"/>
        </w:rPr>
        <w:t>Skemman.is</w:t>
      </w:r>
      <w:r>
        <w:rPr>
          <w:rFonts w:ascii="Arial" w:hAnsi="Arial" w:cs="Arial"/>
          <w:sz w:val="20"/>
          <w:szCs w:val="20"/>
          <w:highlight w:val="cyan"/>
        </w:rPr>
        <w:t xml:space="preserve">. </w:t>
      </w:r>
      <w:hyperlink r:id="rId12" w:tgtFrame="_new" w:history="1">
        <w:r>
          <w:rPr>
            <w:rStyle w:val="Hyperlink"/>
            <w:rFonts w:ascii="Arial" w:hAnsi="Arial" w:cs="Arial"/>
            <w:color w:val="auto"/>
            <w:sz w:val="20"/>
            <w:szCs w:val="20"/>
            <w:highlight w:val="cyan"/>
            <w:u w:val="none"/>
          </w:rPr>
          <w:t>https://skemman.is/handle/1946/48329</w:t>
        </w:r>
      </w:hyperlink>
    </w:p>
    <w:p w14:paraId="4643C02B"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Lamorinas</w:t>
      </w:r>
      <w:proofErr w:type="spellEnd"/>
      <w:r>
        <w:rPr>
          <w:rFonts w:ascii="Arial" w:hAnsi="Arial" w:cs="Arial"/>
          <w:sz w:val="20"/>
          <w:szCs w:val="20"/>
          <w:highlight w:val="cyan"/>
        </w:rPr>
        <w:t xml:space="preserve">, D. D., </w:t>
      </w:r>
      <w:proofErr w:type="spellStart"/>
      <w:r>
        <w:rPr>
          <w:rFonts w:ascii="Arial" w:hAnsi="Arial" w:cs="Arial"/>
          <w:sz w:val="20"/>
          <w:szCs w:val="20"/>
          <w:highlight w:val="cyan"/>
        </w:rPr>
        <w:t>Bullado</w:t>
      </w:r>
      <w:proofErr w:type="spellEnd"/>
      <w:r>
        <w:rPr>
          <w:rFonts w:ascii="Arial" w:hAnsi="Arial" w:cs="Arial"/>
          <w:sz w:val="20"/>
          <w:szCs w:val="20"/>
          <w:highlight w:val="cyan"/>
        </w:rPr>
        <w:t xml:space="preserve">, A. J. B., &amp; </w:t>
      </w:r>
      <w:proofErr w:type="spellStart"/>
      <w:r>
        <w:rPr>
          <w:rFonts w:ascii="Arial" w:hAnsi="Arial" w:cs="Arial"/>
          <w:sz w:val="20"/>
          <w:szCs w:val="20"/>
          <w:highlight w:val="cyan"/>
        </w:rPr>
        <w:t>Lutian</w:t>
      </w:r>
      <w:proofErr w:type="spellEnd"/>
      <w:r>
        <w:rPr>
          <w:rFonts w:ascii="Arial" w:hAnsi="Arial" w:cs="Arial"/>
          <w:sz w:val="20"/>
          <w:szCs w:val="20"/>
          <w:highlight w:val="cyan"/>
        </w:rPr>
        <w:t xml:space="preserve">, M. J. M. (2024). Preserving initiatives for the Filipino language: Analysis of language protection through personal efforts among Filipino students. </w:t>
      </w:r>
      <w:r>
        <w:rPr>
          <w:rStyle w:val="Emphasis"/>
          <w:rFonts w:ascii="Arial" w:hAnsi="Arial" w:cs="Arial"/>
          <w:sz w:val="20"/>
          <w:szCs w:val="20"/>
          <w:highlight w:val="cyan"/>
        </w:rPr>
        <w:t>Environment &amp; Social Psychology, 9</w:t>
      </w:r>
      <w:r>
        <w:rPr>
          <w:rFonts w:ascii="Arial" w:hAnsi="Arial" w:cs="Arial"/>
          <w:sz w:val="20"/>
          <w:szCs w:val="20"/>
          <w:highlight w:val="cyan"/>
        </w:rPr>
        <w:t xml:space="preserve">(12). </w:t>
      </w:r>
      <w:hyperlink r:id="rId13" w:tgtFrame="_new" w:history="1">
        <w:r>
          <w:rPr>
            <w:rStyle w:val="Hyperlink"/>
            <w:rFonts w:ascii="Arial" w:hAnsi="Arial" w:cs="Arial"/>
            <w:color w:val="auto"/>
            <w:sz w:val="20"/>
            <w:szCs w:val="20"/>
            <w:highlight w:val="cyan"/>
            <w:u w:val="none"/>
          </w:rPr>
          <w:t>https://doi.org/10.59429/esp.v9i12.3230</w:t>
        </w:r>
      </w:hyperlink>
    </w:p>
    <w:p w14:paraId="30301760"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Esquivel, O. J. D. (2019). Exploring the </w:t>
      </w:r>
      <w:proofErr w:type="spellStart"/>
      <w:r>
        <w:rPr>
          <w:rFonts w:ascii="Arial" w:hAnsi="Arial" w:cs="Arial"/>
          <w:sz w:val="20"/>
          <w:szCs w:val="20"/>
          <w:highlight w:val="cyan"/>
        </w:rPr>
        <w:t>Filipinization</w:t>
      </w:r>
      <w:proofErr w:type="spellEnd"/>
      <w:r>
        <w:rPr>
          <w:rFonts w:ascii="Arial" w:hAnsi="Arial" w:cs="Arial"/>
          <w:sz w:val="20"/>
          <w:szCs w:val="20"/>
          <w:highlight w:val="cyan"/>
        </w:rPr>
        <w:t xml:space="preserve"> of the English language in a digital age: An identity apart from other world </w:t>
      </w:r>
      <w:proofErr w:type="spellStart"/>
      <w:r>
        <w:rPr>
          <w:rFonts w:ascii="Arial" w:hAnsi="Arial" w:cs="Arial"/>
          <w:sz w:val="20"/>
          <w:szCs w:val="20"/>
          <w:highlight w:val="cyan"/>
        </w:rPr>
        <w:t>Englishes</w:t>
      </w:r>
      <w:proofErr w:type="spellEnd"/>
      <w:r>
        <w:rPr>
          <w:rFonts w:ascii="Arial" w:hAnsi="Arial" w:cs="Arial"/>
          <w:sz w:val="20"/>
          <w:szCs w:val="20"/>
          <w:highlight w:val="cyan"/>
        </w:rPr>
        <w:t xml:space="preserve">. </w:t>
      </w:r>
      <w:r>
        <w:rPr>
          <w:rStyle w:val="Emphasis"/>
          <w:rFonts w:ascii="Arial" w:hAnsi="Arial" w:cs="Arial"/>
          <w:sz w:val="20"/>
          <w:szCs w:val="20"/>
          <w:highlight w:val="cyan"/>
        </w:rPr>
        <w:t>Journal of English as an International Language, 14</w:t>
      </w:r>
      <w:r>
        <w:rPr>
          <w:rFonts w:ascii="Arial" w:hAnsi="Arial" w:cs="Arial"/>
          <w:sz w:val="20"/>
          <w:szCs w:val="20"/>
          <w:highlight w:val="cyan"/>
        </w:rPr>
        <w:t xml:space="preserve">(1), 58–72. </w:t>
      </w:r>
      <w:hyperlink r:id="rId14" w:tgtFrame="_new" w:history="1">
        <w:r>
          <w:rPr>
            <w:rStyle w:val="Hyperlink"/>
            <w:rFonts w:ascii="Arial" w:hAnsi="Arial" w:cs="Arial"/>
            <w:color w:val="auto"/>
            <w:sz w:val="20"/>
            <w:szCs w:val="20"/>
            <w:highlight w:val="cyan"/>
            <w:u w:val="none"/>
          </w:rPr>
          <w:t>https://eric.ed.gov/?id=EJ1244667</w:t>
        </w:r>
      </w:hyperlink>
    </w:p>
    <w:p w14:paraId="3FFD8AFA"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Zeng, J., &amp; Li, X.-L. (2023). Ideologies underlying language policy and planning in the Philippines. </w:t>
      </w:r>
      <w:r>
        <w:rPr>
          <w:rStyle w:val="Emphasis"/>
          <w:rFonts w:ascii="Arial" w:hAnsi="Arial" w:cs="Arial"/>
          <w:sz w:val="20"/>
          <w:szCs w:val="20"/>
          <w:highlight w:val="cyan"/>
        </w:rPr>
        <w:t>Humanities &amp; Social Sciences Communications, 10</w:t>
      </w:r>
      <w:r>
        <w:rPr>
          <w:rFonts w:ascii="Arial" w:hAnsi="Arial" w:cs="Arial"/>
          <w:sz w:val="20"/>
          <w:szCs w:val="20"/>
          <w:highlight w:val="cyan"/>
        </w:rPr>
        <w:t xml:space="preserve">(1). </w:t>
      </w:r>
      <w:hyperlink r:id="rId15" w:tgtFrame="_new" w:history="1">
        <w:r>
          <w:rPr>
            <w:rStyle w:val="Hyperlink"/>
            <w:rFonts w:ascii="Arial" w:hAnsi="Arial" w:cs="Arial"/>
            <w:color w:val="auto"/>
            <w:sz w:val="20"/>
            <w:szCs w:val="20"/>
            <w:highlight w:val="cyan"/>
            <w:u w:val="none"/>
          </w:rPr>
          <w:t>https://doi.org/10.1057/s41599-023-01911-8</w:t>
        </w:r>
      </w:hyperlink>
    </w:p>
    <w:p w14:paraId="7CC96F2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Nisperos, J. N. S. (2018). Level of proficiency of junior high school students in Filipino language and literature</w:t>
      </w:r>
      <w:r>
        <w:rPr>
          <w:rFonts w:ascii="Arial" w:hAnsi="Arial" w:cs="Arial"/>
          <w:sz w:val="20"/>
          <w:szCs w:val="20"/>
          <w:highlight w:val="cyan"/>
        </w:rPr>
        <w:t xml:space="preserve">‬. </w:t>
      </w:r>
      <w:r>
        <w:rPr>
          <w:rStyle w:val="Emphasis"/>
          <w:rFonts w:ascii="Arial" w:hAnsi="Arial" w:cs="Arial"/>
          <w:sz w:val="20"/>
          <w:szCs w:val="20"/>
          <w:highlight w:val="cyan"/>
        </w:rPr>
        <w:t>Scholar.google.com</w:t>
      </w:r>
      <w:r>
        <w:rPr>
          <w:rFonts w:ascii="Arial" w:hAnsi="Arial" w:cs="Arial"/>
          <w:sz w:val="20"/>
          <w:szCs w:val="20"/>
          <w:highlight w:val="cyan"/>
        </w:rPr>
        <w:t xml:space="preserve">. </w:t>
      </w:r>
      <w:hyperlink r:id="rId16" w:tgtFrame="_new" w:history="1">
        <w:r>
          <w:rPr>
            <w:rStyle w:val="Hyperlink"/>
            <w:rFonts w:ascii="Arial" w:hAnsi="Arial" w:cs="Arial"/>
            <w:color w:val="auto"/>
            <w:sz w:val="20"/>
            <w:szCs w:val="20"/>
            <w:highlight w:val="cyan"/>
            <w:u w:val="none"/>
          </w:rPr>
          <w:t>https://scholar.google.com/citations?view_op=view_citation&amp;hl=fil&amp;user=XJx0HpIAAAAJ&amp;citation_for_view=XJx0HpIAAAAJ:9yKSN-GCB0IC</w:t>
        </w:r>
      </w:hyperlink>
    </w:p>
    <w:p w14:paraId="56B97525"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Riad, R., Westling, M. A., </w:t>
      </w:r>
      <w:proofErr w:type="spellStart"/>
      <w:r>
        <w:rPr>
          <w:rFonts w:ascii="Arial" w:hAnsi="Arial" w:cs="Arial"/>
          <w:sz w:val="20"/>
          <w:szCs w:val="20"/>
          <w:highlight w:val="cyan"/>
        </w:rPr>
        <w:t>Siljehag</w:t>
      </w:r>
      <w:proofErr w:type="spellEnd"/>
      <w:r>
        <w:rPr>
          <w:rFonts w:ascii="Arial" w:hAnsi="Arial" w:cs="Arial"/>
          <w:sz w:val="20"/>
          <w:szCs w:val="20"/>
          <w:highlight w:val="cyan"/>
        </w:rPr>
        <w:t xml:space="preserve">, E., &amp; </w:t>
      </w:r>
      <w:proofErr w:type="spellStart"/>
      <w:r>
        <w:rPr>
          <w:rFonts w:ascii="Arial" w:hAnsi="Arial" w:cs="Arial"/>
          <w:sz w:val="20"/>
          <w:szCs w:val="20"/>
          <w:highlight w:val="cyan"/>
        </w:rPr>
        <w:t>Bölte</w:t>
      </w:r>
      <w:proofErr w:type="spellEnd"/>
      <w:r>
        <w:rPr>
          <w:rFonts w:ascii="Arial" w:hAnsi="Arial" w:cs="Arial"/>
          <w:sz w:val="20"/>
          <w:szCs w:val="20"/>
          <w:highlight w:val="cyan"/>
        </w:rPr>
        <w:t xml:space="preserve">, S. (2023). Language skills and well-being in early childhood education and care: A cross-sectional exploration in a Swedish context. </w:t>
      </w:r>
      <w:r>
        <w:rPr>
          <w:rStyle w:val="Emphasis"/>
          <w:rFonts w:ascii="Arial" w:hAnsi="Arial" w:cs="Arial"/>
          <w:sz w:val="20"/>
          <w:szCs w:val="20"/>
          <w:highlight w:val="cyan"/>
        </w:rPr>
        <w:t>Frontiers in Education, 8</w:t>
      </w:r>
      <w:r>
        <w:rPr>
          <w:rFonts w:ascii="Arial" w:hAnsi="Arial" w:cs="Arial"/>
          <w:sz w:val="20"/>
          <w:szCs w:val="20"/>
          <w:highlight w:val="cyan"/>
        </w:rPr>
        <w:t xml:space="preserve">. </w:t>
      </w:r>
      <w:hyperlink r:id="rId17" w:tgtFrame="_new" w:history="1">
        <w:r>
          <w:rPr>
            <w:rStyle w:val="Hyperlink"/>
            <w:rFonts w:ascii="Arial" w:hAnsi="Arial" w:cs="Arial"/>
            <w:color w:val="auto"/>
            <w:sz w:val="20"/>
            <w:szCs w:val="20"/>
            <w:highlight w:val="cyan"/>
            <w:u w:val="none"/>
          </w:rPr>
          <w:t>https://doi.org/10.3389/feduc.2023.963180</w:t>
        </w:r>
      </w:hyperlink>
    </w:p>
    <w:p w14:paraId="23CFE7C8"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Al-Jarrah, T. M., Al-Jarrah, J. M., </w:t>
      </w:r>
      <w:proofErr w:type="spellStart"/>
      <w:r>
        <w:rPr>
          <w:rFonts w:ascii="Arial" w:hAnsi="Arial" w:cs="Arial"/>
          <w:sz w:val="20"/>
          <w:szCs w:val="20"/>
          <w:highlight w:val="cyan"/>
        </w:rPr>
        <w:t>Talafhah</w:t>
      </w:r>
      <w:proofErr w:type="spellEnd"/>
      <w:r>
        <w:rPr>
          <w:rFonts w:ascii="Arial" w:hAnsi="Arial" w:cs="Arial"/>
          <w:sz w:val="20"/>
          <w:szCs w:val="20"/>
          <w:highlight w:val="cyan"/>
        </w:rPr>
        <w:t xml:space="preserve">, R. H., &amp; Mansor, N. (2019). The role of social media in development of English language writing skill at school level. </w:t>
      </w:r>
      <w:r>
        <w:rPr>
          <w:rStyle w:val="Emphasis"/>
          <w:rFonts w:ascii="Arial" w:hAnsi="Arial" w:cs="Arial"/>
          <w:sz w:val="20"/>
          <w:szCs w:val="20"/>
          <w:highlight w:val="cyan"/>
        </w:rPr>
        <w:t>International Journal of Academic Research in Progressive Education and Development, 8</w:t>
      </w:r>
      <w:r>
        <w:rPr>
          <w:rFonts w:ascii="Arial" w:hAnsi="Arial" w:cs="Arial"/>
          <w:sz w:val="20"/>
          <w:szCs w:val="20"/>
          <w:highlight w:val="cyan"/>
        </w:rPr>
        <w:t xml:space="preserve">(1). </w:t>
      </w:r>
      <w:hyperlink r:id="rId18" w:tgtFrame="_new" w:history="1">
        <w:r>
          <w:rPr>
            <w:rStyle w:val="Hyperlink"/>
            <w:rFonts w:ascii="Arial" w:hAnsi="Arial" w:cs="Arial"/>
            <w:color w:val="auto"/>
            <w:sz w:val="20"/>
            <w:szCs w:val="20"/>
            <w:highlight w:val="cyan"/>
            <w:u w:val="none"/>
          </w:rPr>
          <w:t>https://doi.org/10.6007/ijarped/v8-i1/5537</w:t>
        </w:r>
      </w:hyperlink>
    </w:p>
    <w:p w14:paraId="79FBA73D"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Çelik, B., Demirbaş-Çelik, N., &amp; </w:t>
      </w:r>
      <w:proofErr w:type="spellStart"/>
      <w:r>
        <w:rPr>
          <w:rFonts w:ascii="Arial" w:hAnsi="Arial" w:cs="Arial"/>
          <w:sz w:val="20"/>
          <w:szCs w:val="20"/>
          <w:highlight w:val="cyan"/>
        </w:rPr>
        <w:t>Uzunboylu</w:t>
      </w:r>
      <w:proofErr w:type="spellEnd"/>
      <w:r>
        <w:rPr>
          <w:rFonts w:ascii="Arial" w:hAnsi="Arial" w:cs="Arial"/>
          <w:sz w:val="20"/>
          <w:szCs w:val="20"/>
          <w:highlight w:val="cyan"/>
        </w:rPr>
        <w:t xml:space="preserve">, H. (2022). Foreign language teachers’ attitudes and motivation towards distance learning. </w:t>
      </w:r>
      <w:r>
        <w:rPr>
          <w:rStyle w:val="Emphasis"/>
          <w:rFonts w:ascii="Arial" w:hAnsi="Arial" w:cs="Arial"/>
          <w:sz w:val="20"/>
          <w:szCs w:val="20"/>
          <w:highlight w:val="cyan"/>
        </w:rPr>
        <w:t>Education Quarterly Reviews, 5</w:t>
      </w:r>
      <w:r>
        <w:rPr>
          <w:rFonts w:ascii="Arial" w:hAnsi="Arial" w:cs="Arial"/>
          <w:sz w:val="20"/>
          <w:szCs w:val="20"/>
          <w:highlight w:val="cyan"/>
        </w:rPr>
        <w:t xml:space="preserve">(4). </w:t>
      </w:r>
      <w:hyperlink r:id="rId19" w:tgtFrame="_new" w:history="1">
        <w:r>
          <w:rPr>
            <w:rStyle w:val="Hyperlink"/>
            <w:rFonts w:ascii="Arial" w:hAnsi="Arial" w:cs="Arial"/>
            <w:color w:val="auto"/>
            <w:sz w:val="20"/>
            <w:szCs w:val="20"/>
            <w:highlight w:val="cyan"/>
            <w:u w:val="none"/>
          </w:rPr>
          <w:t>https://doi.org/10.31014/aior.1993.05.04.602</w:t>
        </w:r>
      </w:hyperlink>
    </w:p>
    <w:p w14:paraId="464BC938"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lastRenderedPageBreak/>
        <w:t xml:space="preserve">Dewi, N., &amp; Jimmi, J. (2018). The correlation between vocabulary mastery and self-esteem on students’ speaking skill. </w:t>
      </w:r>
      <w:proofErr w:type="spellStart"/>
      <w:r>
        <w:rPr>
          <w:rStyle w:val="Emphasis"/>
          <w:rFonts w:ascii="Arial" w:hAnsi="Arial" w:cs="Arial"/>
          <w:sz w:val="20"/>
          <w:szCs w:val="20"/>
          <w:highlight w:val="cyan"/>
        </w:rPr>
        <w:t>Wanastra</w:t>
      </w:r>
      <w:proofErr w:type="spellEnd"/>
      <w:r>
        <w:rPr>
          <w:rStyle w:val="Emphasis"/>
          <w:rFonts w:ascii="Arial" w:hAnsi="Arial" w:cs="Arial"/>
          <w:sz w:val="20"/>
          <w:szCs w:val="20"/>
          <w:highlight w:val="cyan"/>
        </w:rPr>
        <w:t xml:space="preserve">: </w:t>
      </w:r>
      <w:proofErr w:type="spellStart"/>
      <w:r>
        <w:rPr>
          <w:rStyle w:val="Emphasis"/>
          <w:rFonts w:ascii="Arial" w:hAnsi="Arial" w:cs="Arial"/>
          <w:sz w:val="20"/>
          <w:szCs w:val="20"/>
          <w:highlight w:val="cyan"/>
        </w:rPr>
        <w:t>Jurnal</w:t>
      </w:r>
      <w:proofErr w:type="spellEnd"/>
      <w:r>
        <w:rPr>
          <w:rStyle w:val="Emphasis"/>
          <w:rFonts w:ascii="Arial" w:hAnsi="Arial" w:cs="Arial"/>
          <w:sz w:val="20"/>
          <w:szCs w:val="20"/>
          <w:highlight w:val="cyan"/>
        </w:rPr>
        <w:t xml:space="preserve"> Bahasa </w:t>
      </w:r>
      <w:proofErr w:type="spellStart"/>
      <w:r>
        <w:rPr>
          <w:rStyle w:val="Emphasis"/>
          <w:rFonts w:ascii="Arial" w:hAnsi="Arial" w:cs="Arial"/>
          <w:sz w:val="20"/>
          <w:szCs w:val="20"/>
          <w:highlight w:val="cyan"/>
        </w:rPr>
        <w:t>dan</w:t>
      </w:r>
      <w:proofErr w:type="spellEnd"/>
      <w:r>
        <w:rPr>
          <w:rStyle w:val="Emphasis"/>
          <w:rFonts w:ascii="Arial" w:hAnsi="Arial" w:cs="Arial"/>
          <w:sz w:val="20"/>
          <w:szCs w:val="20"/>
          <w:highlight w:val="cyan"/>
        </w:rPr>
        <w:t xml:space="preserve"> Sastra, 10</w:t>
      </w:r>
      <w:r>
        <w:rPr>
          <w:rFonts w:ascii="Arial" w:hAnsi="Arial" w:cs="Arial"/>
          <w:sz w:val="20"/>
          <w:szCs w:val="20"/>
          <w:highlight w:val="cyan"/>
        </w:rPr>
        <w:t xml:space="preserve">(1), 78–83. </w:t>
      </w:r>
      <w:hyperlink r:id="rId20" w:tgtFrame="_new" w:history="1">
        <w:r>
          <w:rPr>
            <w:rStyle w:val="Hyperlink"/>
            <w:rFonts w:ascii="Arial" w:hAnsi="Arial" w:cs="Arial"/>
            <w:color w:val="auto"/>
            <w:sz w:val="20"/>
            <w:szCs w:val="20"/>
            <w:highlight w:val="cyan"/>
            <w:u w:val="none"/>
          </w:rPr>
          <w:t>https://ejournal.bsi.ac.id/ejurnal/index.php/wanastra/article/view/2998/2048</w:t>
        </w:r>
      </w:hyperlink>
    </w:p>
    <w:p w14:paraId="64733F2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Clucas, C. (2019). Understanding self-respect and its relationship to self-esteem. </w:t>
      </w:r>
      <w:r>
        <w:rPr>
          <w:rStyle w:val="Emphasis"/>
          <w:rFonts w:ascii="Arial" w:hAnsi="Arial" w:cs="Arial"/>
          <w:sz w:val="20"/>
          <w:szCs w:val="20"/>
          <w:highlight w:val="cyan"/>
        </w:rPr>
        <w:t>Personality and Social Psychology Bulletin, 46</w:t>
      </w:r>
      <w:r>
        <w:rPr>
          <w:rFonts w:ascii="Arial" w:hAnsi="Arial" w:cs="Arial"/>
          <w:sz w:val="20"/>
          <w:szCs w:val="20"/>
          <w:highlight w:val="cyan"/>
        </w:rPr>
        <w:t xml:space="preserve">(6), 014616721987911. </w:t>
      </w:r>
      <w:hyperlink r:id="rId21" w:tgtFrame="_new" w:history="1">
        <w:r>
          <w:rPr>
            <w:rStyle w:val="Hyperlink"/>
            <w:rFonts w:ascii="Arial" w:hAnsi="Arial" w:cs="Arial"/>
            <w:color w:val="auto"/>
            <w:sz w:val="20"/>
            <w:szCs w:val="20"/>
            <w:highlight w:val="cyan"/>
            <w:u w:val="none"/>
          </w:rPr>
          <w:t>https://doi.org/10.1177/0146167219879115</w:t>
        </w:r>
      </w:hyperlink>
    </w:p>
    <w:p w14:paraId="3449FABB"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Alsaker, F. D., &amp; Kroger, J. (2020). Self-concept, self-esteem, and identity. In </w:t>
      </w:r>
      <w:r>
        <w:rPr>
          <w:rStyle w:val="Emphasis"/>
          <w:rFonts w:ascii="Arial" w:hAnsi="Arial" w:cs="Arial"/>
          <w:sz w:val="20"/>
          <w:szCs w:val="20"/>
          <w:highlight w:val="cyan"/>
        </w:rPr>
        <w:t>Handbook of adolescent development</w:t>
      </w:r>
      <w:r>
        <w:rPr>
          <w:rFonts w:ascii="Arial" w:hAnsi="Arial" w:cs="Arial"/>
          <w:sz w:val="20"/>
          <w:szCs w:val="20"/>
          <w:highlight w:val="cyan"/>
        </w:rPr>
        <w:t xml:space="preserve"> (pp. 90–117). </w:t>
      </w:r>
      <w:hyperlink r:id="rId22" w:tgtFrame="_new" w:history="1">
        <w:r>
          <w:rPr>
            <w:rStyle w:val="Hyperlink"/>
            <w:rFonts w:ascii="Arial" w:hAnsi="Arial" w:cs="Arial"/>
            <w:color w:val="auto"/>
            <w:sz w:val="20"/>
            <w:szCs w:val="20"/>
            <w:highlight w:val="cyan"/>
            <w:u w:val="none"/>
          </w:rPr>
          <w:t>https://doi.org/10.4324/9780203969861-6</w:t>
        </w:r>
      </w:hyperlink>
    </w:p>
    <w:p w14:paraId="1524A9AF"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Anjali, S., Lakshmi, V. V., &amp; Kiran, V. K. (2024). A study on self–esteem and academic achievement of undergraduates. </w:t>
      </w:r>
      <w:r>
        <w:rPr>
          <w:rStyle w:val="Emphasis"/>
          <w:rFonts w:ascii="Arial" w:hAnsi="Arial" w:cs="Arial"/>
          <w:sz w:val="20"/>
          <w:szCs w:val="20"/>
          <w:highlight w:val="cyan"/>
        </w:rPr>
        <w:t>Archives of Current Research International, 24</w:t>
      </w:r>
      <w:r>
        <w:rPr>
          <w:rFonts w:ascii="Arial" w:hAnsi="Arial" w:cs="Arial"/>
          <w:sz w:val="20"/>
          <w:szCs w:val="20"/>
          <w:highlight w:val="cyan"/>
        </w:rPr>
        <w:t xml:space="preserve">(6), 95–101. </w:t>
      </w:r>
      <w:hyperlink r:id="rId23" w:tgtFrame="_new" w:history="1">
        <w:r>
          <w:rPr>
            <w:rStyle w:val="Hyperlink"/>
            <w:rFonts w:ascii="Arial" w:hAnsi="Arial" w:cs="Arial"/>
            <w:color w:val="auto"/>
            <w:sz w:val="20"/>
            <w:szCs w:val="20"/>
            <w:highlight w:val="cyan"/>
            <w:u w:val="none"/>
          </w:rPr>
          <w:t>https://doi.org/10.9734/acri/2024/v24i6768</w:t>
        </w:r>
      </w:hyperlink>
    </w:p>
    <w:p w14:paraId="3A8E589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Reasoner, R. W. (2010). The true meaning of self-esteem. </w:t>
      </w:r>
      <w:r>
        <w:rPr>
          <w:rStyle w:val="Emphasis"/>
          <w:rFonts w:ascii="Arial" w:hAnsi="Arial" w:cs="Arial"/>
          <w:sz w:val="20"/>
          <w:szCs w:val="20"/>
          <w:highlight w:val="cyan"/>
        </w:rPr>
        <w:t>National Association for Self-esteem</w:t>
      </w:r>
      <w:r>
        <w:rPr>
          <w:rFonts w:ascii="Arial" w:hAnsi="Arial" w:cs="Arial"/>
          <w:sz w:val="20"/>
          <w:szCs w:val="20"/>
          <w:highlight w:val="cyan"/>
        </w:rPr>
        <w:t xml:space="preserve">. </w:t>
      </w:r>
      <w:hyperlink r:id="rId24" w:tgtFrame="_new" w:history="1">
        <w:r>
          <w:rPr>
            <w:rStyle w:val="Hyperlink"/>
            <w:rFonts w:ascii="Arial" w:hAnsi="Arial" w:cs="Arial"/>
            <w:color w:val="auto"/>
            <w:sz w:val="20"/>
            <w:szCs w:val="20"/>
            <w:highlight w:val="cyan"/>
            <w:u w:val="none"/>
          </w:rPr>
          <w:t>http://www.self-esteem-nase.org/whatisselfesteem.shtml</w:t>
        </w:r>
      </w:hyperlink>
    </w:p>
    <w:p w14:paraId="01E8A326"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Torres, J. M., &amp; </w:t>
      </w:r>
      <w:proofErr w:type="spellStart"/>
      <w:r>
        <w:rPr>
          <w:rFonts w:ascii="Arial" w:hAnsi="Arial" w:cs="Arial"/>
          <w:sz w:val="20"/>
          <w:szCs w:val="20"/>
          <w:highlight w:val="cyan"/>
        </w:rPr>
        <w:t>Alieto</w:t>
      </w:r>
      <w:proofErr w:type="spellEnd"/>
      <w:r>
        <w:rPr>
          <w:rFonts w:ascii="Arial" w:hAnsi="Arial" w:cs="Arial"/>
          <w:sz w:val="20"/>
          <w:szCs w:val="20"/>
          <w:highlight w:val="cyan"/>
        </w:rPr>
        <w:t xml:space="preserve">, E. O. (2019). English learning motivation and self-efficacy of Filipino senior high school students. Asian EFL Journal, 22 (1), 1-22. Retrieved from </w:t>
      </w:r>
      <w:hyperlink r:id="rId25" w:history="1">
        <w:r>
          <w:rPr>
            <w:rStyle w:val="Hyperlink"/>
            <w:rFonts w:ascii="Arial" w:hAnsi="Arial" w:cs="Arial"/>
            <w:color w:val="auto"/>
            <w:sz w:val="20"/>
            <w:szCs w:val="20"/>
            <w:highlight w:val="cyan"/>
            <w:u w:val="none"/>
          </w:rPr>
          <w:t>https://animorepository.dlsu.edu.ph/faculty_research/1293</w:t>
        </w:r>
      </w:hyperlink>
    </w:p>
    <w:p w14:paraId="54C78E91"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Deci, E. L., &amp; Ryan, R. M. (1985). </w:t>
      </w:r>
      <w:r>
        <w:rPr>
          <w:rStyle w:val="Emphasis"/>
          <w:rFonts w:ascii="Arial" w:hAnsi="Arial" w:cs="Arial"/>
          <w:sz w:val="20"/>
          <w:szCs w:val="20"/>
          <w:highlight w:val="cyan"/>
        </w:rPr>
        <w:t>Intrinsic motivation and self-determination in human behavior</w:t>
      </w:r>
      <w:r>
        <w:rPr>
          <w:rFonts w:ascii="Arial" w:hAnsi="Arial" w:cs="Arial"/>
          <w:sz w:val="20"/>
          <w:szCs w:val="20"/>
          <w:highlight w:val="cyan"/>
        </w:rPr>
        <w:t xml:space="preserve"> (1st ed.). Springer US. </w:t>
      </w:r>
      <w:hyperlink r:id="rId26" w:tgtFrame="_new" w:history="1">
        <w:r>
          <w:rPr>
            <w:rStyle w:val="Hyperlink"/>
            <w:rFonts w:ascii="Arial" w:hAnsi="Arial" w:cs="Arial"/>
            <w:color w:val="auto"/>
            <w:sz w:val="20"/>
            <w:szCs w:val="20"/>
            <w:highlight w:val="cyan"/>
            <w:u w:val="none"/>
          </w:rPr>
          <w:t>https://doi.org/10.1007/978-1-4899-2271-7</w:t>
        </w:r>
      </w:hyperlink>
    </w:p>
    <w:p w14:paraId="06B53F80"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Rosenberg, M. (1979). </w:t>
      </w:r>
      <w:r>
        <w:rPr>
          <w:rStyle w:val="Emphasis"/>
          <w:rFonts w:ascii="Arial" w:hAnsi="Arial" w:cs="Arial"/>
          <w:sz w:val="20"/>
          <w:szCs w:val="20"/>
          <w:highlight w:val="cyan"/>
        </w:rPr>
        <w:t>Conceiving the self</w:t>
      </w:r>
      <w:r>
        <w:rPr>
          <w:rFonts w:ascii="Arial" w:hAnsi="Arial" w:cs="Arial"/>
          <w:sz w:val="20"/>
          <w:szCs w:val="20"/>
          <w:highlight w:val="cyan"/>
        </w:rPr>
        <w:t xml:space="preserve">. Basic Books. </w:t>
      </w:r>
      <w:hyperlink r:id="rId27" w:history="1">
        <w:r>
          <w:rPr>
            <w:rStyle w:val="Hyperlink"/>
            <w:rFonts w:ascii="Arial" w:hAnsi="Arial" w:cs="Arial"/>
            <w:color w:val="auto"/>
            <w:sz w:val="20"/>
            <w:szCs w:val="20"/>
            <w:highlight w:val="cyan"/>
            <w:u w:val="none"/>
          </w:rPr>
          <w:t>https://doi.org/10.2307/3340091</w:t>
        </w:r>
      </w:hyperlink>
    </w:p>
    <w:p w14:paraId="7251CE6A"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Joshi, A., Kale, S., Chandel, S., &amp; Pal, D. (2015). Likert scale: Explored and explained. </w:t>
      </w:r>
      <w:r>
        <w:rPr>
          <w:rStyle w:val="Emphasis"/>
          <w:rFonts w:ascii="Arial" w:hAnsi="Arial" w:cs="Arial"/>
          <w:sz w:val="20"/>
          <w:szCs w:val="20"/>
          <w:highlight w:val="cyan"/>
        </w:rPr>
        <w:t>British Journal of Applied Science &amp; Technology</w:t>
      </w:r>
      <w:r>
        <w:rPr>
          <w:rFonts w:ascii="Arial" w:hAnsi="Arial" w:cs="Arial"/>
          <w:sz w:val="20"/>
          <w:szCs w:val="20"/>
          <w:highlight w:val="cyan"/>
        </w:rPr>
        <w:t xml:space="preserve">. </w:t>
      </w:r>
      <w:hyperlink r:id="rId28" w:tgtFrame="_new" w:history="1">
        <w:r>
          <w:rPr>
            <w:rStyle w:val="Hyperlink"/>
            <w:rFonts w:ascii="Arial" w:hAnsi="Arial" w:cs="Arial"/>
            <w:color w:val="auto"/>
            <w:sz w:val="20"/>
            <w:szCs w:val="20"/>
            <w:highlight w:val="cyan"/>
            <w:u w:val="none"/>
          </w:rPr>
          <w:t>https://www.researchgate.net/publication/276394797_Likert_Scale_Explored_and_Explained</w:t>
        </w:r>
      </w:hyperlink>
    </w:p>
    <w:p w14:paraId="4768AC3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Common European Framework of Reference for Languages (CEFR). (2001). </w:t>
      </w:r>
      <w:hyperlink r:id="rId29" w:tgtFrame="_new" w:history="1">
        <w:r>
          <w:rPr>
            <w:rStyle w:val="Hyperlink"/>
            <w:rFonts w:ascii="Arial" w:hAnsi="Arial" w:cs="Arial"/>
            <w:color w:val="auto"/>
            <w:sz w:val="20"/>
            <w:szCs w:val="20"/>
            <w:highlight w:val="cyan"/>
            <w:u w:val="none"/>
          </w:rPr>
          <w:t>https://www.coe.int/en/web/common-european-framework-reference-languages</w:t>
        </w:r>
      </w:hyperlink>
    </w:p>
    <w:p w14:paraId="15A2E564"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Serin, H. (2018). The use of extrinsic and intrinsic motivations to enhance student achievement in educational settings. </w:t>
      </w:r>
      <w:r>
        <w:rPr>
          <w:rStyle w:val="Emphasis"/>
          <w:rFonts w:ascii="Arial" w:hAnsi="Arial" w:cs="Arial"/>
          <w:sz w:val="20"/>
          <w:szCs w:val="20"/>
          <w:highlight w:val="cyan"/>
        </w:rPr>
        <w:t>International Journal of Social Sciences &amp; Educational Studies, 5</w:t>
      </w:r>
      <w:r>
        <w:rPr>
          <w:rFonts w:ascii="Arial" w:hAnsi="Arial" w:cs="Arial"/>
          <w:sz w:val="20"/>
          <w:szCs w:val="20"/>
          <w:highlight w:val="cyan"/>
        </w:rPr>
        <w:t xml:space="preserve">(1). </w:t>
      </w:r>
      <w:hyperlink r:id="rId30" w:tgtFrame="_new" w:history="1">
        <w:r>
          <w:rPr>
            <w:rStyle w:val="Hyperlink"/>
            <w:rFonts w:ascii="Arial" w:hAnsi="Arial" w:cs="Arial"/>
            <w:color w:val="auto"/>
            <w:sz w:val="20"/>
            <w:szCs w:val="20"/>
            <w:highlight w:val="cyan"/>
            <w:u w:val="none"/>
          </w:rPr>
          <w:t>https://doi.org/10.23918/ijsses.v5i1p191</w:t>
        </w:r>
      </w:hyperlink>
    </w:p>
    <w:p w14:paraId="2546DE09"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Bernal, A., &amp; Palma, D. R. (2025). Effective teaching, student engagement, classroom learning environment: A structural model of motivation in learning the Filipino language. </w:t>
      </w:r>
      <w:r>
        <w:rPr>
          <w:rStyle w:val="Emphasis"/>
          <w:rFonts w:ascii="Arial" w:hAnsi="Arial" w:cs="Arial"/>
          <w:sz w:val="20"/>
          <w:szCs w:val="20"/>
          <w:highlight w:val="cyan"/>
        </w:rPr>
        <w:t>International Journal of Innovative Research in Multidisciplinary Education, 4</w:t>
      </w:r>
      <w:r>
        <w:rPr>
          <w:rFonts w:ascii="Arial" w:hAnsi="Arial" w:cs="Arial"/>
          <w:sz w:val="20"/>
          <w:szCs w:val="20"/>
          <w:highlight w:val="cyan"/>
        </w:rPr>
        <w:t xml:space="preserve">(01). </w:t>
      </w:r>
      <w:hyperlink r:id="rId31" w:tgtFrame="_new" w:history="1">
        <w:r>
          <w:rPr>
            <w:rStyle w:val="Hyperlink"/>
            <w:rFonts w:ascii="Arial" w:hAnsi="Arial" w:cs="Arial"/>
            <w:color w:val="auto"/>
            <w:sz w:val="20"/>
            <w:szCs w:val="20"/>
            <w:highlight w:val="cyan"/>
            <w:u w:val="none"/>
          </w:rPr>
          <w:t>https://doi.org/10.58806/ijirme.2025.v4i2n03</w:t>
        </w:r>
      </w:hyperlink>
    </w:p>
    <w:p w14:paraId="2AC0B54B"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Maisarah, M. (2024). Enhancing children’s learning motivation through positive reinforcement: A classroom communication strategy. </w:t>
      </w:r>
      <w:r>
        <w:rPr>
          <w:rStyle w:val="Emphasis"/>
          <w:rFonts w:ascii="Arial" w:hAnsi="Arial" w:cs="Arial"/>
          <w:sz w:val="20"/>
          <w:szCs w:val="20"/>
          <w:highlight w:val="cyan"/>
        </w:rPr>
        <w:t>Journal Smart, 10</w:t>
      </w:r>
      <w:r>
        <w:rPr>
          <w:rFonts w:ascii="Arial" w:hAnsi="Arial" w:cs="Arial"/>
          <w:sz w:val="20"/>
          <w:szCs w:val="20"/>
          <w:highlight w:val="cyan"/>
        </w:rPr>
        <w:t xml:space="preserve">(1), 81–95. </w:t>
      </w:r>
      <w:hyperlink r:id="rId32" w:tgtFrame="_new" w:history="1">
        <w:r>
          <w:rPr>
            <w:rStyle w:val="Hyperlink"/>
            <w:rFonts w:ascii="Arial" w:hAnsi="Arial" w:cs="Arial"/>
            <w:color w:val="auto"/>
            <w:sz w:val="20"/>
            <w:szCs w:val="20"/>
            <w:highlight w:val="cyan"/>
            <w:u w:val="none"/>
          </w:rPr>
          <w:t>https://doi.org/10.52657/js.v10i1.2289</w:t>
        </w:r>
      </w:hyperlink>
    </w:p>
    <w:p w14:paraId="3DF7D6A9"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Jiang, Q., Zhang, J., &amp; Zhou, J. (2024). A review of literature on the effect of motivation on learners’ impact on L2 acquisition. </w:t>
      </w:r>
      <w:r>
        <w:rPr>
          <w:rStyle w:val="Emphasis"/>
          <w:rFonts w:ascii="Arial" w:hAnsi="Arial" w:cs="Arial"/>
          <w:sz w:val="20"/>
          <w:szCs w:val="20"/>
          <w:highlight w:val="cyan"/>
        </w:rPr>
        <w:t>Journal of Education, Humanities and Social Sciences</w:t>
      </w:r>
      <w:r>
        <w:rPr>
          <w:rFonts w:ascii="Arial" w:hAnsi="Arial" w:cs="Arial"/>
          <w:sz w:val="20"/>
          <w:szCs w:val="20"/>
          <w:highlight w:val="cyan"/>
        </w:rPr>
        <w:t xml:space="preserve">. </w:t>
      </w:r>
      <w:hyperlink r:id="rId33" w:tgtFrame="_new" w:history="1">
        <w:r>
          <w:rPr>
            <w:rStyle w:val="Hyperlink"/>
            <w:rFonts w:ascii="Arial" w:hAnsi="Arial" w:cs="Arial"/>
            <w:color w:val="auto"/>
            <w:sz w:val="20"/>
            <w:szCs w:val="20"/>
            <w:highlight w:val="cyan"/>
            <w:u w:val="none"/>
          </w:rPr>
          <w:t>https://doi.org/10.54097/vfnfma42</w:t>
        </w:r>
      </w:hyperlink>
    </w:p>
    <w:p w14:paraId="67F2F81E"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lastRenderedPageBreak/>
        <w:t>Sya’ban</w:t>
      </w:r>
      <w:proofErr w:type="spellEnd"/>
      <w:r>
        <w:rPr>
          <w:rFonts w:ascii="Arial" w:hAnsi="Arial" w:cs="Arial"/>
          <w:sz w:val="20"/>
          <w:szCs w:val="20"/>
          <w:highlight w:val="cyan"/>
        </w:rPr>
        <w:t xml:space="preserve">, R., </w:t>
      </w:r>
      <w:proofErr w:type="spellStart"/>
      <w:r>
        <w:rPr>
          <w:rFonts w:ascii="Arial" w:hAnsi="Arial" w:cs="Arial"/>
          <w:sz w:val="20"/>
          <w:szCs w:val="20"/>
          <w:highlight w:val="cyan"/>
        </w:rPr>
        <w:t>Palupy</w:t>
      </w:r>
      <w:proofErr w:type="spellEnd"/>
      <w:r>
        <w:rPr>
          <w:rFonts w:ascii="Arial" w:hAnsi="Arial" w:cs="Arial"/>
          <w:sz w:val="20"/>
          <w:szCs w:val="20"/>
          <w:highlight w:val="cyan"/>
        </w:rPr>
        <w:t xml:space="preserve">, T. A., &amp; </w:t>
      </w:r>
      <w:proofErr w:type="spellStart"/>
      <w:r>
        <w:rPr>
          <w:rFonts w:ascii="Arial" w:hAnsi="Arial" w:cs="Arial"/>
          <w:sz w:val="20"/>
          <w:szCs w:val="20"/>
          <w:highlight w:val="cyan"/>
        </w:rPr>
        <w:t>Limalo</w:t>
      </w:r>
      <w:proofErr w:type="spellEnd"/>
      <w:r>
        <w:rPr>
          <w:rFonts w:ascii="Arial" w:hAnsi="Arial" w:cs="Arial"/>
          <w:sz w:val="20"/>
          <w:szCs w:val="20"/>
          <w:highlight w:val="cyan"/>
        </w:rPr>
        <w:t xml:space="preserve">, S. A. (2025). </w:t>
      </w:r>
      <w:proofErr w:type="spellStart"/>
      <w:r>
        <w:rPr>
          <w:rFonts w:ascii="Arial" w:hAnsi="Arial" w:cs="Arial"/>
          <w:sz w:val="20"/>
          <w:szCs w:val="20"/>
          <w:highlight w:val="cyan"/>
        </w:rPr>
        <w:t>Dampak</w:t>
      </w:r>
      <w:proofErr w:type="spellEnd"/>
      <w:r>
        <w:rPr>
          <w:rFonts w:ascii="Arial" w:hAnsi="Arial" w:cs="Arial"/>
          <w:sz w:val="20"/>
          <w:szCs w:val="20"/>
          <w:highlight w:val="cyan"/>
        </w:rPr>
        <w:t xml:space="preserve"> reward </w:t>
      </w:r>
      <w:proofErr w:type="spellStart"/>
      <w:r>
        <w:rPr>
          <w:rFonts w:ascii="Arial" w:hAnsi="Arial" w:cs="Arial"/>
          <w:sz w:val="20"/>
          <w:szCs w:val="20"/>
          <w:highlight w:val="cyan"/>
        </w:rPr>
        <w:t>intrinsik</w:t>
      </w:r>
      <w:proofErr w:type="spellEnd"/>
      <w:r>
        <w:rPr>
          <w:rFonts w:ascii="Arial" w:hAnsi="Arial" w:cs="Arial"/>
          <w:sz w:val="20"/>
          <w:szCs w:val="20"/>
          <w:highlight w:val="cyan"/>
        </w:rPr>
        <w:t xml:space="preserve"> </w:t>
      </w:r>
      <w:proofErr w:type="spellStart"/>
      <w:r>
        <w:rPr>
          <w:rFonts w:ascii="Arial" w:hAnsi="Arial" w:cs="Arial"/>
          <w:sz w:val="20"/>
          <w:szCs w:val="20"/>
          <w:highlight w:val="cyan"/>
        </w:rPr>
        <w:t>dan</w:t>
      </w:r>
      <w:proofErr w:type="spellEnd"/>
      <w:r>
        <w:rPr>
          <w:rFonts w:ascii="Arial" w:hAnsi="Arial" w:cs="Arial"/>
          <w:sz w:val="20"/>
          <w:szCs w:val="20"/>
          <w:highlight w:val="cyan"/>
        </w:rPr>
        <w:t xml:space="preserve"> </w:t>
      </w:r>
      <w:proofErr w:type="spellStart"/>
      <w:r>
        <w:rPr>
          <w:rFonts w:ascii="Arial" w:hAnsi="Arial" w:cs="Arial"/>
          <w:sz w:val="20"/>
          <w:szCs w:val="20"/>
          <w:highlight w:val="cyan"/>
        </w:rPr>
        <w:t>ekstrinsik</w:t>
      </w:r>
      <w:proofErr w:type="spellEnd"/>
      <w:r>
        <w:rPr>
          <w:rFonts w:ascii="Arial" w:hAnsi="Arial" w:cs="Arial"/>
          <w:sz w:val="20"/>
          <w:szCs w:val="20"/>
          <w:highlight w:val="cyan"/>
        </w:rPr>
        <w:t xml:space="preserve"> </w:t>
      </w:r>
      <w:proofErr w:type="spellStart"/>
      <w:r>
        <w:rPr>
          <w:rFonts w:ascii="Arial" w:hAnsi="Arial" w:cs="Arial"/>
          <w:sz w:val="20"/>
          <w:szCs w:val="20"/>
          <w:highlight w:val="cyan"/>
        </w:rPr>
        <w:t>terhadap</w:t>
      </w:r>
      <w:proofErr w:type="spellEnd"/>
      <w:r>
        <w:rPr>
          <w:rFonts w:ascii="Arial" w:hAnsi="Arial" w:cs="Arial"/>
          <w:sz w:val="20"/>
          <w:szCs w:val="20"/>
          <w:highlight w:val="cyan"/>
        </w:rPr>
        <w:t xml:space="preserve"> </w:t>
      </w:r>
      <w:proofErr w:type="spellStart"/>
      <w:r>
        <w:rPr>
          <w:rFonts w:ascii="Arial" w:hAnsi="Arial" w:cs="Arial"/>
          <w:sz w:val="20"/>
          <w:szCs w:val="20"/>
          <w:highlight w:val="cyan"/>
        </w:rPr>
        <w:t>motivasi</w:t>
      </w:r>
      <w:proofErr w:type="spellEnd"/>
      <w:r>
        <w:rPr>
          <w:rFonts w:ascii="Arial" w:hAnsi="Arial" w:cs="Arial"/>
          <w:sz w:val="20"/>
          <w:szCs w:val="20"/>
          <w:highlight w:val="cyan"/>
        </w:rPr>
        <w:t xml:space="preserve"> </w:t>
      </w:r>
      <w:proofErr w:type="spellStart"/>
      <w:r>
        <w:rPr>
          <w:rFonts w:ascii="Arial" w:hAnsi="Arial" w:cs="Arial"/>
          <w:sz w:val="20"/>
          <w:szCs w:val="20"/>
          <w:highlight w:val="cyan"/>
        </w:rPr>
        <w:t>belajar</w:t>
      </w:r>
      <w:proofErr w:type="spellEnd"/>
      <w:r>
        <w:rPr>
          <w:rFonts w:ascii="Arial" w:hAnsi="Arial" w:cs="Arial"/>
          <w:sz w:val="20"/>
          <w:szCs w:val="20"/>
          <w:highlight w:val="cyan"/>
        </w:rPr>
        <w:t xml:space="preserve">. </w:t>
      </w:r>
      <w:r>
        <w:rPr>
          <w:rStyle w:val="Emphasis"/>
          <w:rFonts w:ascii="Arial" w:hAnsi="Arial" w:cs="Arial"/>
          <w:sz w:val="20"/>
          <w:szCs w:val="20"/>
          <w:highlight w:val="cyan"/>
        </w:rPr>
        <w:t>Educational, 4</w:t>
      </w:r>
      <w:r>
        <w:rPr>
          <w:rFonts w:ascii="Arial" w:hAnsi="Arial" w:cs="Arial"/>
          <w:sz w:val="20"/>
          <w:szCs w:val="20"/>
          <w:highlight w:val="cyan"/>
        </w:rPr>
        <w:t xml:space="preserve">(4), 470–477. </w:t>
      </w:r>
      <w:hyperlink r:id="rId34" w:tgtFrame="_new" w:history="1">
        <w:r>
          <w:rPr>
            <w:rStyle w:val="Hyperlink"/>
            <w:rFonts w:ascii="Arial" w:hAnsi="Arial" w:cs="Arial"/>
            <w:color w:val="auto"/>
            <w:sz w:val="20"/>
            <w:szCs w:val="20"/>
            <w:highlight w:val="cyan"/>
            <w:u w:val="none"/>
          </w:rPr>
          <w:t>https://doi.org/10.51878/educational.v4i4.4161</w:t>
        </w:r>
      </w:hyperlink>
    </w:p>
    <w:p w14:paraId="6F259839"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Yu, R. (2020). Culture in second or foreign language acquisition. </w:t>
      </w:r>
      <w:r>
        <w:rPr>
          <w:rStyle w:val="Emphasis"/>
          <w:rFonts w:ascii="Arial" w:hAnsi="Arial" w:cs="Arial"/>
          <w:sz w:val="20"/>
          <w:szCs w:val="20"/>
          <w:highlight w:val="cyan"/>
        </w:rPr>
        <w:t>Journal of Language Teaching and Research, 11</w:t>
      </w:r>
      <w:r>
        <w:rPr>
          <w:rFonts w:ascii="Arial" w:hAnsi="Arial" w:cs="Arial"/>
          <w:sz w:val="20"/>
          <w:szCs w:val="20"/>
          <w:highlight w:val="cyan"/>
        </w:rPr>
        <w:t xml:space="preserve">(6), 943. </w:t>
      </w:r>
      <w:hyperlink r:id="rId35" w:tgtFrame="_new" w:history="1">
        <w:r>
          <w:rPr>
            <w:rStyle w:val="Hyperlink"/>
            <w:rFonts w:ascii="Arial" w:hAnsi="Arial" w:cs="Arial"/>
            <w:color w:val="auto"/>
            <w:sz w:val="20"/>
            <w:szCs w:val="20"/>
            <w:highlight w:val="cyan"/>
            <w:u w:val="none"/>
          </w:rPr>
          <w:t>https://doi.org/10.17507/jltr.1106.10</w:t>
        </w:r>
      </w:hyperlink>
    </w:p>
    <w:p w14:paraId="104DB02E"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Pastera</w:t>
      </w:r>
      <w:proofErr w:type="spellEnd"/>
      <w:r>
        <w:rPr>
          <w:rFonts w:ascii="Arial" w:hAnsi="Arial" w:cs="Arial"/>
          <w:sz w:val="20"/>
          <w:szCs w:val="20"/>
          <w:highlight w:val="cyan"/>
        </w:rPr>
        <w:t xml:space="preserve">, R. J. (2024). Intangible cultural heritage and the Filipino college students. </w:t>
      </w:r>
      <w:r>
        <w:rPr>
          <w:rStyle w:val="Emphasis"/>
          <w:rFonts w:ascii="Arial" w:hAnsi="Arial" w:cs="Arial"/>
          <w:sz w:val="20"/>
          <w:szCs w:val="20"/>
          <w:highlight w:val="cyan"/>
        </w:rPr>
        <w:t>Journal of Ethnic and Cultural Studies, 11</w:t>
      </w:r>
      <w:r>
        <w:rPr>
          <w:rFonts w:ascii="Arial" w:hAnsi="Arial" w:cs="Arial"/>
          <w:sz w:val="20"/>
          <w:szCs w:val="20"/>
          <w:highlight w:val="cyan"/>
        </w:rPr>
        <w:t xml:space="preserve">(2), 25–41. </w:t>
      </w:r>
      <w:hyperlink r:id="rId36" w:tgtFrame="_new" w:history="1">
        <w:r>
          <w:rPr>
            <w:rStyle w:val="Hyperlink"/>
            <w:rFonts w:ascii="Arial" w:hAnsi="Arial" w:cs="Arial"/>
            <w:color w:val="auto"/>
            <w:sz w:val="20"/>
            <w:szCs w:val="20"/>
            <w:highlight w:val="cyan"/>
            <w:u w:val="none"/>
          </w:rPr>
          <w:t>https://doi.org/10.2307/48778812</w:t>
        </w:r>
      </w:hyperlink>
    </w:p>
    <w:p w14:paraId="0F6C96BA"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Pedler, M. L., Willis, R., &amp; Nieuwoudt, J. E. (2022). A sense of belonging at university: Student retention, motivation and enjoyment. </w:t>
      </w:r>
      <w:r>
        <w:rPr>
          <w:rStyle w:val="Emphasis"/>
          <w:rFonts w:ascii="Arial" w:hAnsi="Arial" w:cs="Arial"/>
          <w:sz w:val="20"/>
          <w:szCs w:val="20"/>
          <w:highlight w:val="cyan"/>
        </w:rPr>
        <w:t>Journal of Further and Higher Education, 46</w:t>
      </w:r>
      <w:r>
        <w:rPr>
          <w:rFonts w:ascii="Arial" w:hAnsi="Arial" w:cs="Arial"/>
          <w:sz w:val="20"/>
          <w:szCs w:val="20"/>
          <w:highlight w:val="cyan"/>
        </w:rPr>
        <w:t xml:space="preserve">(3), 397–408. </w:t>
      </w:r>
      <w:hyperlink r:id="rId37" w:tgtFrame="_new" w:history="1">
        <w:r>
          <w:rPr>
            <w:rStyle w:val="Hyperlink"/>
            <w:rFonts w:ascii="Arial" w:hAnsi="Arial" w:cs="Arial"/>
            <w:color w:val="auto"/>
            <w:sz w:val="20"/>
            <w:szCs w:val="20"/>
            <w:highlight w:val="cyan"/>
            <w:u w:val="none"/>
          </w:rPr>
          <w:t>https://doi.org/10.1080/0309877x.2021.1955844</w:t>
        </w:r>
      </w:hyperlink>
    </w:p>
    <w:p w14:paraId="53DF1205"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Habib, A., &amp; Hossain, S. (2018). Students’ sense of belonging in urban junior secondary schools in Bangladesh: Grades, academic achievement and school satisfaction. In </w:t>
      </w:r>
      <w:r>
        <w:rPr>
          <w:rStyle w:val="Emphasis"/>
          <w:rFonts w:ascii="Arial" w:hAnsi="Arial" w:cs="Arial"/>
          <w:sz w:val="20"/>
          <w:szCs w:val="20"/>
          <w:highlight w:val="cyan"/>
        </w:rPr>
        <w:t>Education in the Asia-Pacific Region</w:t>
      </w:r>
      <w:r>
        <w:rPr>
          <w:rFonts w:ascii="Arial" w:hAnsi="Arial" w:cs="Arial"/>
          <w:sz w:val="20"/>
          <w:szCs w:val="20"/>
          <w:highlight w:val="cyan"/>
        </w:rPr>
        <w:t xml:space="preserve"> (pp. 89–102). </w:t>
      </w:r>
      <w:hyperlink r:id="rId38" w:tgtFrame="_new" w:history="1">
        <w:r>
          <w:rPr>
            <w:rStyle w:val="Hyperlink"/>
            <w:rFonts w:ascii="Arial" w:hAnsi="Arial" w:cs="Arial"/>
            <w:color w:val="auto"/>
            <w:sz w:val="20"/>
            <w:szCs w:val="20"/>
            <w:highlight w:val="cyan"/>
            <w:u w:val="none"/>
          </w:rPr>
          <w:t>https://doi.org/10.1007/978-981-13-0708-9_5</w:t>
        </w:r>
      </w:hyperlink>
    </w:p>
    <w:p w14:paraId="2FC3295A"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Bernardo, A. I. (2004). Culturally-rooted beliefs and learning: Exploring the relationships among social axioms, achievement goals, and learning strategies of Filipino college students. </w:t>
      </w:r>
      <w:r>
        <w:rPr>
          <w:rStyle w:val="Emphasis"/>
          <w:rFonts w:ascii="Arial" w:hAnsi="Arial" w:cs="Arial"/>
          <w:sz w:val="20"/>
          <w:szCs w:val="20"/>
          <w:highlight w:val="cyan"/>
        </w:rPr>
        <w:t>Philippine Journal of Psychology, 37</w:t>
      </w:r>
      <w:r>
        <w:rPr>
          <w:rFonts w:ascii="Arial" w:hAnsi="Arial" w:cs="Arial"/>
          <w:sz w:val="20"/>
          <w:szCs w:val="20"/>
          <w:highlight w:val="cyan"/>
        </w:rPr>
        <w:t xml:space="preserve">(2). </w:t>
      </w:r>
      <w:hyperlink r:id="rId39" w:tgtFrame="_new" w:history="1">
        <w:r>
          <w:rPr>
            <w:rStyle w:val="Hyperlink"/>
            <w:rFonts w:ascii="Arial" w:hAnsi="Arial" w:cs="Arial"/>
            <w:color w:val="auto"/>
            <w:sz w:val="20"/>
            <w:szCs w:val="20"/>
            <w:highlight w:val="cyan"/>
            <w:u w:val="none"/>
          </w:rPr>
          <w:t>https://ejournals.ph/article.php?id=4069</w:t>
        </w:r>
      </w:hyperlink>
    </w:p>
    <w:p w14:paraId="6D162BDF"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Assanova</w:t>
      </w:r>
      <w:proofErr w:type="spellEnd"/>
      <w:r>
        <w:rPr>
          <w:rFonts w:ascii="Arial" w:hAnsi="Arial" w:cs="Arial"/>
          <w:sz w:val="20"/>
          <w:szCs w:val="20"/>
          <w:highlight w:val="cyan"/>
        </w:rPr>
        <w:t xml:space="preserve">, A., </w:t>
      </w:r>
      <w:proofErr w:type="spellStart"/>
      <w:r>
        <w:rPr>
          <w:rFonts w:ascii="Arial" w:hAnsi="Arial" w:cs="Arial"/>
          <w:sz w:val="20"/>
          <w:szCs w:val="20"/>
          <w:highlight w:val="cyan"/>
        </w:rPr>
        <w:t>Uzakbayeva</w:t>
      </w:r>
      <w:proofErr w:type="spellEnd"/>
      <w:r>
        <w:rPr>
          <w:rFonts w:ascii="Arial" w:hAnsi="Arial" w:cs="Arial"/>
          <w:sz w:val="20"/>
          <w:szCs w:val="20"/>
          <w:highlight w:val="cyan"/>
        </w:rPr>
        <w:t xml:space="preserve">, S., </w:t>
      </w:r>
      <w:proofErr w:type="spellStart"/>
      <w:r>
        <w:rPr>
          <w:rFonts w:ascii="Arial" w:hAnsi="Arial" w:cs="Arial"/>
          <w:sz w:val="20"/>
          <w:szCs w:val="20"/>
          <w:highlight w:val="cyan"/>
        </w:rPr>
        <w:t>Abeltayeva</w:t>
      </w:r>
      <w:proofErr w:type="spellEnd"/>
      <w:r>
        <w:rPr>
          <w:rFonts w:ascii="Arial" w:hAnsi="Arial" w:cs="Arial"/>
          <w:sz w:val="20"/>
          <w:szCs w:val="20"/>
          <w:highlight w:val="cyan"/>
        </w:rPr>
        <w:t xml:space="preserve">, J., </w:t>
      </w:r>
      <w:proofErr w:type="spellStart"/>
      <w:r>
        <w:rPr>
          <w:rFonts w:ascii="Arial" w:hAnsi="Arial" w:cs="Arial"/>
          <w:sz w:val="20"/>
          <w:szCs w:val="20"/>
          <w:highlight w:val="cyan"/>
        </w:rPr>
        <w:t>Zhaxylikova</w:t>
      </w:r>
      <w:proofErr w:type="spellEnd"/>
      <w:r>
        <w:rPr>
          <w:rFonts w:ascii="Arial" w:hAnsi="Arial" w:cs="Arial"/>
          <w:sz w:val="20"/>
          <w:szCs w:val="20"/>
          <w:highlight w:val="cyan"/>
        </w:rPr>
        <w:t xml:space="preserve">, K., &amp; </w:t>
      </w:r>
      <w:proofErr w:type="spellStart"/>
      <w:r>
        <w:rPr>
          <w:rFonts w:ascii="Arial" w:hAnsi="Arial" w:cs="Arial"/>
          <w:sz w:val="20"/>
          <w:szCs w:val="20"/>
          <w:highlight w:val="cyan"/>
        </w:rPr>
        <w:t>Ibraeva</w:t>
      </w:r>
      <w:proofErr w:type="spellEnd"/>
      <w:r>
        <w:rPr>
          <w:rFonts w:ascii="Arial" w:hAnsi="Arial" w:cs="Arial"/>
          <w:sz w:val="20"/>
          <w:szCs w:val="20"/>
          <w:highlight w:val="cyan"/>
        </w:rPr>
        <w:t xml:space="preserve">, G. (2023). On philosophical and other issues in foreign language education. </w:t>
      </w:r>
      <w:proofErr w:type="spellStart"/>
      <w:r>
        <w:rPr>
          <w:rStyle w:val="Emphasis"/>
          <w:rFonts w:ascii="Arial" w:hAnsi="Arial" w:cs="Arial"/>
          <w:sz w:val="20"/>
          <w:szCs w:val="20"/>
          <w:highlight w:val="cyan"/>
        </w:rPr>
        <w:t>XLinguae</w:t>
      </w:r>
      <w:proofErr w:type="spellEnd"/>
      <w:r>
        <w:rPr>
          <w:rStyle w:val="Emphasis"/>
          <w:rFonts w:ascii="Arial" w:hAnsi="Arial" w:cs="Arial"/>
          <w:sz w:val="20"/>
          <w:szCs w:val="20"/>
          <w:highlight w:val="cyan"/>
        </w:rPr>
        <w:t>, 16</w:t>
      </w:r>
      <w:r>
        <w:rPr>
          <w:rFonts w:ascii="Arial" w:hAnsi="Arial" w:cs="Arial"/>
          <w:sz w:val="20"/>
          <w:szCs w:val="20"/>
          <w:highlight w:val="cyan"/>
        </w:rPr>
        <w:t xml:space="preserve">(3), 109–116. </w:t>
      </w:r>
      <w:hyperlink r:id="rId40" w:tgtFrame="_new" w:history="1">
        <w:r>
          <w:rPr>
            <w:rStyle w:val="Hyperlink"/>
            <w:rFonts w:ascii="Arial" w:hAnsi="Arial" w:cs="Arial"/>
            <w:color w:val="auto"/>
            <w:sz w:val="20"/>
            <w:szCs w:val="20"/>
            <w:highlight w:val="cyan"/>
            <w:u w:val="none"/>
          </w:rPr>
          <w:t>https://doi.org/10.18355/XL.2023.16.03.11</w:t>
        </w:r>
      </w:hyperlink>
    </w:p>
    <w:p w14:paraId="069E0379"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Sapungan</w:t>
      </w:r>
      <w:proofErr w:type="spellEnd"/>
      <w:r>
        <w:rPr>
          <w:rFonts w:ascii="Arial" w:hAnsi="Arial" w:cs="Arial"/>
          <w:sz w:val="20"/>
          <w:szCs w:val="20"/>
          <w:highlight w:val="cyan"/>
        </w:rPr>
        <w:t xml:space="preserve">, R. M., Aceron, R. M., Castillo, R. C., Katigbak, X. N. V., &amp; Villanueva, D. M. (2018). Sociolinguistic competence of Filipino hotelier and restaurateur interns. </w:t>
      </w:r>
      <w:r>
        <w:rPr>
          <w:rStyle w:val="Emphasis"/>
          <w:rFonts w:ascii="Arial" w:hAnsi="Arial" w:cs="Arial"/>
          <w:sz w:val="20"/>
          <w:szCs w:val="20"/>
          <w:highlight w:val="cyan"/>
        </w:rPr>
        <w:t>International Linguistics Research, 1</w:t>
      </w:r>
      <w:r>
        <w:rPr>
          <w:rFonts w:ascii="Arial" w:hAnsi="Arial" w:cs="Arial"/>
          <w:sz w:val="20"/>
          <w:szCs w:val="20"/>
          <w:highlight w:val="cyan"/>
        </w:rPr>
        <w:t xml:space="preserve">(2), 52. </w:t>
      </w:r>
      <w:hyperlink r:id="rId41" w:tgtFrame="_new" w:history="1">
        <w:r>
          <w:rPr>
            <w:rStyle w:val="Hyperlink"/>
            <w:rFonts w:ascii="Arial" w:hAnsi="Arial" w:cs="Arial"/>
            <w:color w:val="auto"/>
            <w:sz w:val="20"/>
            <w:szCs w:val="20"/>
            <w:highlight w:val="cyan"/>
            <w:u w:val="none"/>
          </w:rPr>
          <w:t>https://doi.org/10.30560/ILR.V1N2P52</w:t>
        </w:r>
      </w:hyperlink>
    </w:p>
    <w:p w14:paraId="76F7FD5D"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Mortera, M. O., Papa, M., &amp; Francisco, M. (2016). Students’ acquired skills in Filipino in the K-12 program: Basis for pedagogical development. </w:t>
      </w:r>
      <w:r>
        <w:rPr>
          <w:rStyle w:val="Emphasis"/>
          <w:rFonts w:ascii="Arial" w:hAnsi="Arial" w:cs="Arial"/>
          <w:sz w:val="20"/>
          <w:szCs w:val="20"/>
          <w:highlight w:val="cyan"/>
        </w:rPr>
        <w:t>Imperial Journal of Interdisciplinary Research, 2</w:t>
      </w:r>
      <w:r>
        <w:rPr>
          <w:rFonts w:ascii="Arial" w:hAnsi="Arial" w:cs="Arial"/>
          <w:sz w:val="20"/>
          <w:szCs w:val="20"/>
          <w:highlight w:val="cyan"/>
        </w:rPr>
        <w:t xml:space="preserve">(7). </w:t>
      </w:r>
      <w:hyperlink r:id="rId42" w:history="1">
        <w:r>
          <w:rPr>
            <w:rStyle w:val="Hyperlink"/>
            <w:rFonts w:ascii="Arial" w:hAnsi="Arial" w:cs="Arial"/>
            <w:color w:val="auto"/>
            <w:sz w:val="20"/>
            <w:szCs w:val="20"/>
            <w:highlight w:val="cyan"/>
            <w:u w:val="none"/>
          </w:rPr>
          <w:t>https://www.imperialjournals.com/index_php/IJIR/article/view/1277/</w:t>
        </w:r>
      </w:hyperlink>
    </w:p>
    <w:p w14:paraId="22BFD2C5"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Norton, B. (2013). </w:t>
      </w:r>
      <w:r>
        <w:rPr>
          <w:rStyle w:val="Emphasis"/>
          <w:rFonts w:ascii="Arial" w:hAnsi="Arial" w:cs="Arial"/>
          <w:sz w:val="20"/>
          <w:szCs w:val="20"/>
          <w:highlight w:val="cyan"/>
        </w:rPr>
        <w:t>Identity and language learning</w:t>
      </w:r>
      <w:r>
        <w:rPr>
          <w:rFonts w:ascii="Arial" w:hAnsi="Arial" w:cs="Arial"/>
          <w:sz w:val="20"/>
          <w:szCs w:val="20"/>
          <w:highlight w:val="cyan"/>
        </w:rPr>
        <w:t xml:space="preserve">. Multilingual Matters. </w:t>
      </w:r>
      <w:hyperlink r:id="rId43" w:tgtFrame="_new" w:history="1">
        <w:r>
          <w:rPr>
            <w:rStyle w:val="Hyperlink"/>
            <w:rFonts w:ascii="Arial" w:hAnsi="Arial" w:cs="Arial"/>
            <w:color w:val="auto"/>
            <w:sz w:val="20"/>
            <w:szCs w:val="20"/>
            <w:highlight w:val="cyan"/>
            <w:u w:val="none"/>
          </w:rPr>
          <w:t>https://doi.org/10.21832/9781783090563</w:t>
        </w:r>
      </w:hyperlink>
    </w:p>
    <w:p w14:paraId="34059E51"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Setyadi</w:t>
      </w:r>
      <w:proofErr w:type="spellEnd"/>
      <w:r>
        <w:rPr>
          <w:rFonts w:ascii="Arial" w:hAnsi="Arial" w:cs="Arial"/>
          <w:sz w:val="20"/>
          <w:szCs w:val="20"/>
          <w:highlight w:val="cyan"/>
        </w:rPr>
        <w:t xml:space="preserve">, D. (2024). Dimensions of self-concept in adolescents: An in-depth analysis among junior high school students. </w:t>
      </w:r>
      <w:proofErr w:type="spellStart"/>
      <w:r>
        <w:rPr>
          <w:rStyle w:val="Emphasis"/>
          <w:rFonts w:ascii="Arial" w:hAnsi="Arial" w:cs="Arial"/>
          <w:sz w:val="20"/>
          <w:szCs w:val="20"/>
          <w:highlight w:val="cyan"/>
        </w:rPr>
        <w:t>Jurnal</w:t>
      </w:r>
      <w:proofErr w:type="spellEnd"/>
      <w:r>
        <w:rPr>
          <w:rStyle w:val="Emphasis"/>
          <w:rFonts w:ascii="Arial" w:hAnsi="Arial" w:cs="Arial"/>
          <w:sz w:val="20"/>
          <w:szCs w:val="20"/>
          <w:highlight w:val="cyan"/>
        </w:rPr>
        <w:t xml:space="preserve"> </w:t>
      </w:r>
      <w:proofErr w:type="spellStart"/>
      <w:r>
        <w:rPr>
          <w:rStyle w:val="Emphasis"/>
          <w:rFonts w:ascii="Arial" w:hAnsi="Arial" w:cs="Arial"/>
          <w:sz w:val="20"/>
          <w:szCs w:val="20"/>
          <w:highlight w:val="cyan"/>
        </w:rPr>
        <w:t>Bimbingan</w:t>
      </w:r>
      <w:proofErr w:type="spellEnd"/>
      <w:r>
        <w:rPr>
          <w:rStyle w:val="Emphasis"/>
          <w:rFonts w:ascii="Arial" w:hAnsi="Arial" w:cs="Arial"/>
          <w:sz w:val="20"/>
          <w:szCs w:val="20"/>
          <w:highlight w:val="cyan"/>
        </w:rPr>
        <w:t xml:space="preserve"> </w:t>
      </w:r>
      <w:proofErr w:type="spellStart"/>
      <w:r>
        <w:rPr>
          <w:rStyle w:val="Emphasis"/>
          <w:rFonts w:ascii="Arial" w:hAnsi="Arial" w:cs="Arial"/>
          <w:sz w:val="20"/>
          <w:szCs w:val="20"/>
          <w:highlight w:val="cyan"/>
        </w:rPr>
        <w:t>dan</w:t>
      </w:r>
      <w:proofErr w:type="spellEnd"/>
      <w:r>
        <w:rPr>
          <w:rStyle w:val="Emphasis"/>
          <w:rFonts w:ascii="Arial" w:hAnsi="Arial" w:cs="Arial"/>
          <w:sz w:val="20"/>
          <w:szCs w:val="20"/>
          <w:highlight w:val="cyan"/>
        </w:rPr>
        <w:t xml:space="preserve"> </w:t>
      </w:r>
      <w:proofErr w:type="spellStart"/>
      <w:r>
        <w:rPr>
          <w:rStyle w:val="Emphasis"/>
          <w:rFonts w:ascii="Arial" w:hAnsi="Arial" w:cs="Arial"/>
          <w:sz w:val="20"/>
          <w:szCs w:val="20"/>
          <w:highlight w:val="cyan"/>
        </w:rPr>
        <w:t>Konseling</w:t>
      </w:r>
      <w:proofErr w:type="spellEnd"/>
      <w:r>
        <w:rPr>
          <w:rStyle w:val="Emphasis"/>
          <w:rFonts w:ascii="Arial" w:hAnsi="Arial" w:cs="Arial"/>
          <w:sz w:val="20"/>
          <w:szCs w:val="20"/>
          <w:highlight w:val="cyan"/>
        </w:rPr>
        <w:t xml:space="preserve"> </w:t>
      </w:r>
      <w:proofErr w:type="spellStart"/>
      <w:r>
        <w:rPr>
          <w:rStyle w:val="Emphasis"/>
          <w:rFonts w:ascii="Arial" w:hAnsi="Arial" w:cs="Arial"/>
          <w:sz w:val="20"/>
          <w:szCs w:val="20"/>
          <w:highlight w:val="cyan"/>
        </w:rPr>
        <w:t>Terapan</w:t>
      </w:r>
      <w:proofErr w:type="spellEnd"/>
      <w:r>
        <w:rPr>
          <w:rFonts w:ascii="Arial" w:hAnsi="Arial" w:cs="Arial"/>
          <w:sz w:val="20"/>
          <w:szCs w:val="20"/>
          <w:highlight w:val="cyan"/>
        </w:rPr>
        <w:t xml:space="preserve">. </w:t>
      </w:r>
      <w:hyperlink r:id="rId44" w:tgtFrame="_new" w:history="1">
        <w:r>
          <w:rPr>
            <w:rStyle w:val="Hyperlink"/>
            <w:rFonts w:ascii="Arial" w:hAnsi="Arial" w:cs="Arial"/>
            <w:color w:val="auto"/>
            <w:sz w:val="20"/>
            <w:szCs w:val="20"/>
            <w:highlight w:val="cyan"/>
            <w:u w:val="none"/>
          </w:rPr>
          <w:t>https://doi.org/10.30598/jbkt.v8i1.1847</w:t>
        </w:r>
      </w:hyperlink>
    </w:p>
    <w:p w14:paraId="56975F98"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Abdulhamed</w:t>
      </w:r>
      <w:proofErr w:type="spellEnd"/>
      <w:r>
        <w:rPr>
          <w:rFonts w:ascii="Arial" w:hAnsi="Arial" w:cs="Arial"/>
          <w:sz w:val="20"/>
          <w:szCs w:val="20"/>
          <w:highlight w:val="cyan"/>
        </w:rPr>
        <w:t xml:space="preserve">, R., &amp; Lonka, K. (2024). Acculturation orientations among immigrant-origin youth: How is acculturation associated with self-esteem, sense of belonging, and discrimination? </w:t>
      </w:r>
      <w:r>
        <w:rPr>
          <w:rStyle w:val="Emphasis"/>
          <w:rFonts w:ascii="Arial" w:hAnsi="Arial" w:cs="Arial"/>
          <w:sz w:val="20"/>
          <w:szCs w:val="20"/>
          <w:highlight w:val="cyan"/>
        </w:rPr>
        <w:t>Journal of International Migration and Integration</w:t>
      </w:r>
      <w:r>
        <w:rPr>
          <w:rFonts w:ascii="Arial" w:hAnsi="Arial" w:cs="Arial"/>
          <w:sz w:val="20"/>
          <w:szCs w:val="20"/>
          <w:highlight w:val="cyan"/>
        </w:rPr>
        <w:t xml:space="preserve">. </w:t>
      </w:r>
      <w:hyperlink r:id="rId45" w:tgtFrame="_new" w:history="1">
        <w:r>
          <w:rPr>
            <w:rStyle w:val="Hyperlink"/>
            <w:rFonts w:ascii="Arial" w:hAnsi="Arial" w:cs="Arial"/>
            <w:color w:val="auto"/>
            <w:sz w:val="20"/>
            <w:szCs w:val="20"/>
            <w:highlight w:val="cyan"/>
            <w:u w:val="none"/>
          </w:rPr>
          <w:t>https://doi.org/10.1007/s12134-024-01194-1</w:t>
        </w:r>
      </w:hyperlink>
    </w:p>
    <w:p w14:paraId="083B1FB7"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Hyland, K. (2019). </w:t>
      </w:r>
      <w:r>
        <w:rPr>
          <w:rStyle w:val="Emphasis"/>
          <w:rFonts w:ascii="Arial" w:hAnsi="Arial" w:cs="Arial"/>
          <w:sz w:val="20"/>
          <w:szCs w:val="20"/>
          <w:highlight w:val="cyan"/>
        </w:rPr>
        <w:t>Second language writing</w:t>
      </w:r>
      <w:r>
        <w:rPr>
          <w:rFonts w:ascii="Arial" w:hAnsi="Arial" w:cs="Arial"/>
          <w:sz w:val="20"/>
          <w:szCs w:val="20"/>
          <w:highlight w:val="cyan"/>
        </w:rPr>
        <w:t xml:space="preserve">. University of East Anglia. </w:t>
      </w:r>
      <w:hyperlink r:id="rId46" w:tgtFrame="_new" w:history="1">
        <w:r>
          <w:rPr>
            <w:rStyle w:val="Hyperlink"/>
            <w:rFonts w:ascii="Arial" w:hAnsi="Arial" w:cs="Arial"/>
            <w:color w:val="auto"/>
            <w:sz w:val="20"/>
            <w:szCs w:val="20"/>
            <w:highlight w:val="cyan"/>
            <w:u w:val="none"/>
          </w:rPr>
          <w:t>https://ueaeprints.uea.ac.uk/id/eprint/69309/</w:t>
        </w:r>
      </w:hyperlink>
    </w:p>
    <w:p w14:paraId="5F3C6C9F"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Kim, J. S., Relyea, J. E., </w:t>
      </w:r>
      <w:proofErr w:type="spellStart"/>
      <w:r>
        <w:rPr>
          <w:rFonts w:ascii="Arial" w:hAnsi="Arial" w:cs="Arial"/>
          <w:sz w:val="20"/>
          <w:szCs w:val="20"/>
          <w:highlight w:val="cyan"/>
        </w:rPr>
        <w:t>Burkhauser</w:t>
      </w:r>
      <w:proofErr w:type="spellEnd"/>
      <w:r>
        <w:rPr>
          <w:rFonts w:ascii="Arial" w:hAnsi="Arial" w:cs="Arial"/>
          <w:sz w:val="20"/>
          <w:szCs w:val="20"/>
          <w:highlight w:val="cyan"/>
        </w:rPr>
        <w:t xml:space="preserve">, M. A., Scherer, E., &amp; Rich, P. (2021). Improving elementary grade students’ science and social studies vocabulary knowledge depth, reading </w:t>
      </w:r>
      <w:r>
        <w:rPr>
          <w:rFonts w:ascii="Arial" w:hAnsi="Arial" w:cs="Arial"/>
          <w:sz w:val="20"/>
          <w:szCs w:val="20"/>
          <w:highlight w:val="cyan"/>
        </w:rPr>
        <w:lastRenderedPageBreak/>
        <w:t xml:space="preserve">comprehension, and argumentative writing: A conceptual replication. </w:t>
      </w:r>
      <w:r>
        <w:rPr>
          <w:rStyle w:val="Emphasis"/>
          <w:rFonts w:ascii="Arial" w:hAnsi="Arial" w:cs="Arial"/>
          <w:sz w:val="20"/>
          <w:szCs w:val="20"/>
          <w:highlight w:val="cyan"/>
        </w:rPr>
        <w:t>Educational Psychology Review, 33</w:t>
      </w:r>
      <w:r>
        <w:rPr>
          <w:rFonts w:ascii="Arial" w:hAnsi="Arial" w:cs="Arial"/>
          <w:sz w:val="20"/>
          <w:szCs w:val="20"/>
          <w:highlight w:val="cyan"/>
        </w:rPr>
        <w:t xml:space="preserve">(4). </w:t>
      </w:r>
      <w:hyperlink r:id="rId47" w:tgtFrame="_new" w:history="1">
        <w:r>
          <w:rPr>
            <w:rStyle w:val="Hyperlink"/>
            <w:rFonts w:ascii="Arial" w:hAnsi="Arial" w:cs="Arial"/>
            <w:color w:val="auto"/>
            <w:sz w:val="20"/>
            <w:szCs w:val="20"/>
            <w:highlight w:val="cyan"/>
            <w:u w:val="none"/>
          </w:rPr>
          <w:t>https://doi.org/10.1007/s10648-021-09609-6</w:t>
        </w:r>
      </w:hyperlink>
    </w:p>
    <w:p w14:paraId="2C1FF1FF"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Ramzan, M., Mushtaq, A., &amp; Ashraf, Z. (2023). Evacuation of difficulties and challenges for academic writing in ESL learning. </w:t>
      </w:r>
      <w:r>
        <w:rPr>
          <w:rStyle w:val="Emphasis"/>
          <w:rFonts w:ascii="Arial" w:hAnsi="Arial" w:cs="Arial"/>
          <w:sz w:val="20"/>
          <w:szCs w:val="20"/>
          <w:highlight w:val="cyan"/>
        </w:rPr>
        <w:t>University of Chitral Journal of Linguistics and Literature, 7</w:t>
      </w:r>
      <w:r>
        <w:rPr>
          <w:rFonts w:ascii="Arial" w:hAnsi="Arial" w:cs="Arial"/>
          <w:sz w:val="20"/>
          <w:szCs w:val="20"/>
          <w:highlight w:val="cyan"/>
        </w:rPr>
        <w:t xml:space="preserve">(I), 42–49. </w:t>
      </w:r>
      <w:hyperlink r:id="rId48" w:tgtFrame="_new" w:history="1">
        <w:r>
          <w:rPr>
            <w:rStyle w:val="Hyperlink"/>
            <w:rFonts w:ascii="Arial" w:hAnsi="Arial" w:cs="Arial"/>
            <w:color w:val="auto"/>
            <w:sz w:val="20"/>
            <w:szCs w:val="20"/>
            <w:highlight w:val="cyan"/>
            <w:u w:val="none"/>
          </w:rPr>
          <w:t>https://doi.org/10.33195/maxskq26</w:t>
        </w:r>
      </w:hyperlink>
    </w:p>
    <w:p w14:paraId="60937C22"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Myhill, D. (2018). Grammar as a meaning-making resource for language development. </w:t>
      </w:r>
      <w:r>
        <w:rPr>
          <w:rStyle w:val="Emphasis"/>
          <w:rFonts w:ascii="Arial" w:hAnsi="Arial" w:cs="Arial"/>
          <w:sz w:val="20"/>
          <w:szCs w:val="20"/>
          <w:highlight w:val="cyan"/>
        </w:rPr>
        <w:t>L1 Educational Studies in Language and Literature, 18</w:t>
      </w:r>
      <w:r>
        <w:rPr>
          <w:rFonts w:ascii="Arial" w:hAnsi="Arial" w:cs="Arial"/>
          <w:sz w:val="20"/>
          <w:szCs w:val="20"/>
          <w:highlight w:val="cyan"/>
        </w:rPr>
        <w:t xml:space="preserve">, Running Issue (Running Issue), 1–21. </w:t>
      </w:r>
      <w:hyperlink r:id="rId49" w:tgtFrame="_new" w:history="1">
        <w:r>
          <w:rPr>
            <w:rStyle w:val="Hyperlink"/>
            <w:rFonts w:ascii="Arial" w:hAnsi="Arial" w:cs="Arial"/>
            <w:color w:val="auto"/>
            <w:sz w:val="20"/>
            <w:szCs w:val="20"/>
            <w:highlight w:val="cyan"/>
            <w:u w:val="none"/>
          </w:rPr>
          <w:t>https://doi.org/10.17239/l1esll-2018.18.04.04</w:t>
        </w:r>
      </w:hyperlink>
    </w:p>
    <w:p w14:paraId="150DFC8C"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Mariana, N. (2024). Developing effective writing skills. </w:t>
      </w:r>
      <w:r>
        <w:rPr>
          <w:rStyle w:val="Emphasis"/>
          <w:rFonts w:ascii="Arial" w:hAnsi="Arial" w:cs="Arial"/>
          <w:sz w:val="20"/>
          <w:szCs w:val="20"/>
          <w:highlight w:val="cyan"/>
        </w:rPr>
        <w:t xml:space="preserve">Idsi.md, </w:t>
      </w:r>
      <w:proofErr w:type="spellStart"/>
      <w:r>
        <w:rPr>
          <w:rStyle w:val="Emphasis"/>
          <w:rFonts w:ascii="Arial" w:hAnsi="Arial" w:cs="Arial"/>
          <w:sz w:val="20"/>
          <w:szCs w:val="20"/>
          <w:highlight w:val="cyan"/>
        </w:rPr>
        <w:t>Ediţia</w:t>
      </w:r>
      <w:proofErr w:type="spellEnd"/>
      <w:r>
        <w:rPr>
          <w:rStyle w:val="Emphasis"/>
          <w:rFonts w:ascii="Arial" w:hAnsi="Arial" w:cs="Arial"/>
          <w:sz w:val="20"/>
          <w:szCs w:val="20"/>
          <w:highlight w:val="cyan"/>
        </w:rPr>
        <w:t xml:space="preserve"> 3</w:t>
      </w:r>
      <w:r>
        <w:rPr>
          <w:rFonts w:ascii="Arial" w:hAnsi="Arial" w:cs="Arial"/>
          <w:sz w:val="20"/>
          <w:szCs w:val="20"/>
          <w:highlight w:val="cyan"/>
        </w:rPr>
        <w:t xml:space="preserve">, 173–183. </w:t>
      </w:r>
      <w:hyperlink r:id="rId50" w:tgtFrame="_new" w:history="1">
        <w:r>
          <w:rPr>
            <w:rStyle w:val="Hyperlink"/>
            <w:rFonts w:ascii="Arial" w:hAnsi="Arial" w:cs="Arial"/>
            <w:color w:val="auto"/>
            <w:sz w:val="20"/>
            <w:szCs w:val="20"/>
            <w:highlight w:val="cyan"/>
            <w:u w:val="none"/>
          </w:rPr>
          <w:t>https://ibn.idsi.md/vizualizare_articol/199111</w:t>
        </w:r>
      </w:hyperlink>
    </w:p>
    <w:p w14:paraId="549E3251"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Gildore, P. J., Uka, A. H., &amp; </w:t>
      </w:r>
      <w:proofErr w:type="spellStart"/>
      <w:r>
        <w:rPr>
          <w:rFonts w:ascii="Arial" w:hAnsi="Arial" w:cs="Arial"/>
          <w:sz w:val="20"/>
          <w:szCs w:val="20"/>
          <w:highlight w:val="cyan"/>
        </w:rPr>
        <w:t>Yting</w:t>
      </w:r>
      <w:proofErr w:type="spellEnd"/>
      <w:r>
        <w:rPr>
          <w:rFonts w:ascii="Arial" w:hAnsi="Arial" w:cs="Arial"/>
          <w:sz w:val="20"/>
          <w:szCs w:val="20"/>
          <w:highlight w:val="cyan"/>
        </w:rPr>
        <w:t xml:space="preserve">, J. (2023). Error analysis of academic essays of senior high school students. </w:t>
      </w:r>
      <w:r>
        <w:rPr>
          <w:rStyle w:val="Emphasis"/>
          <w:rFonts w:ascii="Arial" w:hAnsi="Arial" w:cs="Arial"/>
          <w:sz w:val="20"/>
          <w:szCs w:val="20"/>
          <w:highlight w:val="cyan"/>
        </w:rPr>
        <w:t>Journal Corner of Education, Linguistics, and Literature, 3</w:t>
      </w:r>
      <w:r>
        <w:rPr>
          <w:rFonts w:ascii="Arial" w:hAnsi="Arial" w:cs="Arial"/>
          <w:sz w:val="20"/>
          <w:szCs w:val="20"/>
          <w:highlight w:val="cyan"/>
        </w:rPr>
        <w:t xml:space="preserve">(2), 141–156. </w:t>
      </w:r>
      <w:hyperlink r:id="rId51" w:tgtFrame="_new" w:history="1">
        <w:r>
          <w:rPr>
            <w:rStyle w:val="Hyperlink"/>
            <w:rFonts w:ascii="Arial" w:hAnsi="Arial" w:cs="Arial"/>
            <w:color w:val="auto"/>
            <w:sz w:val="20"/>
            <w:szCs w:val="20"/>
            <w:highlight w:val="cyan"/>
            <w:u w:val="none"/>
          </w:rPr>
          <w:t>https://doi.org/10.54012/jcell.v3i2.224</w:t>
        </w:r>
      </w:hyperlink>
    </w:p>
    <w:p w14:paraId="53FD34C0"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Ranque, K. M. I., </w:t>
      </w:r>
      <w:proofErr w:type="spellStart"/>
      <w:r>
        <w:rPr>
          <w:rFonts w:ascii="Arial" w:hAnsi="Arial" w:cs="Arial"/>
          <w:sz w:val="20"/>
          <w:szCs w:val="20"/>
          <w:highlight w:val="cyan"/>
        </w:rPr>
        <w:t>Liwanan</w:t>
      </w:r>
      <w:proofErr w:type="spellEnd"/>
      <w:r>
        <w:rPr>
          <w:rFonts w:ascii="Arial" w:hAnsi="Arial" w:cs="Arial"/>
          <w:sz w:val="20"/>
          <w:szCs w:val="20"/>
          <w:highlight w:val="cyan"/>
        </w:rPr>
        <w:t xml:space="preserve">, R. B., Daine S. Nieva, L. J., &amp; Bernal, A. I. S. (2024). Students’ proficiency in using Filipino language in academic communication. </w:t>
      </w:r>
      <w:r>
        <w:rPr>
          <w:rStyle w:val="Emphasis"/>
          <w:rFonts w:ascii="Arial" w:hAnsi="Arial" w:cs="Arial"/>
          <w:sz w:val="20"/>
          <w:szCs w:val="20"/>
          <w:highlight w:val="cyan"/>
        </w:rPr>
        <w:t>International Journal of Innovative Research in Multidisciplinary Education, 03</w:t>
      </w:r>
      <w:r>
        <w:rPr>
          <w:rFonts w:ascii="Arial" w:hAnsi="Arial" w:cs="Arial"/>
          <w:sz w:val="20"/>
          <w:szCs w:val="20"/>
          <w:highlight w:val="cyan"/>
        </w:rPr>
        <w:t xml:space="preserve">(03). </w:t>
      </w:r>
      <w:hyperlink r:id="rId52" w:tgtFrame="_new" w:history="1">
        <w:r>
          <w:rPr>
            <w:rStyle w:val="Hyperlink"/>
            <w:rFonts w:ascii="Arial" w:hAnsi="Arial" w:cs="Arial"/>
            <w:color w:val="auto"/>
            <w:sz w:val="20"/>
            <w:szCs w:val="20"/>
            <w:highlight w:val="cyan"/>
            <w:u w:val="none"/>
          </w:rPr>
          <w:t>https://doi.org/10.58806/ijirme.2024.v3i3n08</w:t>
        </w:r>
      </w:hyperlink>
    </w:p>
    <w:p w14:paraId="33DD9619"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Baustita</w:t>
      </w:r>
      <w:proofErr w:type="spellEnd"/>
      <w:r>
        <w:rPr>
          <w:rFonts w:ascii="Arial" w:hAnsi="Arial" w:cs="Arial"/>
          <w:sz w:val="20"/>
          <w:szCs w:val="20"/>
          <w:highlight w:val="cyan"/>
        </w:rPr>
        <w:t xml:space="preserve">, W., et al. (2019). Filipino language proficiency of senior high school students in Central Luzon, Doctor’s Hospital-Educational Institution. </w:t>
      </w:r>
      <w:hyperlink r:id="rId53" w:tgtFrame="_new" w:history="1">
        <w:r>
          <w:rPr>
            <w:rStyle w:val="Hyperlink"/>
            <w:rFonts w:ascii="Arial" w:hAnsi="Arial" w:cs="Arial"/>
            <w:color w:val="auto"/>
            <w:sz w:val="20"/>
            <w:szCs w:val="20"/>
            <w:highlight w:val="cyan"/>
            <w:u w:val="none"/>
          </w:rPr>
          <w:t>https://www.scribd.com/document/636992073/filipino-language-proficiency-ofsenior-high-school-students-in-central-luzon-doctors-hospital-educational-institution</w:t>
        </w:r>
      </w:hyperlink>
      <w:r>
        <w:rPr>
          <w:rFonts w:ascii="Arial" w:hAnsi="Arial" w:cs="Arial"/>
          <w:sz w:val="20"/>
          <w:szCs w:val="20"/>
          <w:highlight w:val="cyan"/>
        </w:rPr>
        <w:t xml:space="preserve"> </w:t>
      </w:r>
      <w:hyperlink r:id="rId54" w:tgtFrame="_new" w:history="1">
        <w:r>
          <w:rPr>
            <w:rStyle w:val="Hyperlink"/>
            <w:rFonts w:ascii="Arial" w:hAnsi="Arial" w:cs="Arial"/>
            <w:color w:val="auto"/>
            <w:sz w:val="20"/>
            <w:szCs w:val="20"/>
            <w:highlight w:val="cyan"/>
            <w:u w:val="none"/>
          </w:rPr>
          <w:t>https://doi:10.9734/ajess/2023/v48i41091</w:t>
        </w:r>
      </w:hyperlink>
    </w:p>
    <w:p w14:paraId="56D40995"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Fitrianti</w:t>
      </w:r>
      <w:proofErr w:type="spellEnd"/>
      <w:r>
        <w:rPr>
          <w:rFonts w:ascii="Arial" w:hAnsi="Arial" w:cs="Arial"/>
          <w:sz w:val="20"/>
          <w:szCs w:val="20"/>
          <w:highlight w:val="cyan"/>
        </w:rPr>
        <w:t xml:space="preserve">, A., </w:t>
      </w:r>
      <w:proofErr w:type="spellStart"/>
      <w:r>
        <w:rPr>
          <w:rFonts w:ascii="Arial" w:hAnsi="Arial" w:cs="Arial"/>
          <w:sz w:val="20"/>
          <w:szCs w:val="20"/>
          <w:highlight w:val="cyan"/>
        </w:rPr>
        <w:t>Reflinda</w:t>
      </w:r>
      <w:proofErr w:type="spellEnd"/>
      <w:r>
        <w:rPr>
          <w:rFonts w:ascii="Arial" w:hAnsi="Arial" w:cs="Arial"/>
          <w:sz w:val="20"/>
          <w:szCs w:val="20"/>
          <w:highlight w:val="cyan"/>
        </w:rPr>
        <w:t xml:space="preserve">, R., Dewi, M. P., &amp; Roza, V. (2024). The correlation between extrinsic motivation and students’ academic achievement in studying English. </w:t>
      </w:r>
      <w:r>
        <w:rPr>
          <w:rStyle w:val="Emphasis"/>
          <w:rFonts w:ascii="Arial" w:hAnsi="Arial" w:cs="Arial"/>
          <w:sz w:val="20"/>
          <w:szCs w:val="20"/>
          <w:highlight w:val="cyan"/>
        </w:rPr>
        <w:t>ELP (Journal of English Language Pedagogy), 9</w:t>
      </w:r>
      <w:r>
        <w:rPr>
          <w:rFonts w:ascii="Arial" w:hAnsi="Arial" w:cs="Arial"/>
          <w:sz w:val="20"/>
          <w:szCs w:val="20"/>
          <w:highlight w:val="cyan"/>
        </w:rPr>
        <w:t xml:space="preserve">(1), 16–28. </w:t>
      </w:r>
      <w:hyperlink r:id="rId55" w:tgtFrame="_new" w:history="1">
        <w:r>
          <w:rPr>
            <w:rStyle w:val="Hyperlink"/>
            <w:rFonts w:ascii="Arial" w:hAnsi="Arial" w:cs="Arial"/>
            <w:color w:val="auto"/>
            <w:sz w:val="20"/>
            <w:szCs w:val="20"/>
            <w:highlight w:val="cyan"/>
            <w:u w:val="none"/>
          </w:rPr>
          <w:t>https://doi.org/10.36665/elp.v9i1.813</w:t>
        </w:r>
      </w:hyperlink>
    </w:p>
    <w:p w14:paraId="1F80846E" w14:textId="77777777" w:rsidR="00382604" w:rsidRDefault="00F91166">
      <w:pPr>
        <w:pStyle w:val="NormalWeb"/>
        <w:spacing w:before="0" w:after="0"/>
        <w:jc w:val="both"/>
        <w:rPr>
          <w:rFonts w:ascii="Arial" w:hAnsi="Arial" w:cs="Arial"/>
          <w:sz w:val="20"/>
          <w:szCs w:val="20"/>
          <w:highlight w:val="cyan"/>
        </w:rPr>
      </w:pPr>
      <w:proofErr w:type="spellStart"/>
      <w:r>
        <w:rPr>
          <w:rFonts w:ascii="Arial" w:hAnsi="Arial" w:cs="Arial"/>
          <w:sz w:val="20"/>
          <w:szCs w:val="20"/>
          <w:highlight w:val="cyan"/>
        </w:rPr>
        <w:t>Oclaret</w:t>
      </w:r>
      <w:proofErr w:type="spellEnd"/>
      <w:r>
        <w:rPr>
          <w:rFonts w:ascii="Arial" w:hAnsi="Arial" w:cs="Arial"/>
          <w:sz w:val="20"/>
          <w:szCs w:val="20"/>
          <w:highlight w:val="cyan"/>
        </w:rPr>
        <w:t xml:space="preserve">, V. (2021). Impact of academic intrinsic motivation facets on students' academic performance. </w:t>
      </w:r>
      <w:hyperlink r:id="rId56" w:history="1">
        <w:r>
          <w:rPr>
            <w:rStyle w:val="Hyperlink"/>
            <w:rFonts w:ascii="Arial" w:hAnsi="Arial" w:cs="Arial"/>
            <w:color w:val="auto"/>
            <w:sz w:val="20"/>
            <w:szCs w:val="20"/>
            <w:highlight w:val="cyan"/>
            <w:u w:val="none"/>
          </w:rPr>
          <w:t>https://www.researchgate.net/publication/353751525_Impact_of_Academic_Intrinsic_Motivation_Facets_on_Students%27_Academic_Performance</w:t>
        </w:r>
      </w:hyperlink>
    </w:p>
    <w:p w14:paraId="206527A3"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Hasan, M., &amp; Sarkar, R. (2018). Achievement motivation and academic achievement of secondary level students in Uttar Dinajpur District. </w:t>
      </w:r>
      <w:r>
        <w:rPr>
          <w:rStyle w:val="Emphasis"/>
          <w:rFonts w:ascii="Arial" w:hAnsi="Arial" w:cs="Arial"/>
          <w:sz w:val="20"/>
          <w:szCs w:val="20"/>
          <w:highlight w:val="cyan"/>
        </w:rPr>
        <w:t>Research Review Journal, 3</w:t>
      </w:r>
      <w:r>
        <w:rPr>
          <w:rFonts w:ascii="Arial" w:hAnsi="Arial" w:cs="Arial"/>
          <w:sz w:val="20"/>
          <w:szCs w:val="20"/>
          <w:highlight w:val="cyan"/>
        </w:rPr>
        <w:t>(10), 249–252. https://pubs.sciepub.com/education/7/11/18/index.html</w:t>
      </w:r>
    </w:p>
    <w:p w14:paraId="63AE4A1E"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Mahato, A., &amp; Barman, P. (2019). Academic achievement motivation and academic performance of SC, ST community students in the district of Purulia. </w:t>
      </w:r>
      <w:r>
        <w:rPr>
          <w:rStyle w:val="Emphasis"/>
          <w:rFonts w:ascii="Arial" w:hAnsi="Arial" w:cs="Arial"/>
          <w:sz w:val="20"/>
          <w:szCs w:val="20"/>
          <w:highlight w:val="cyan"/>
        </w:rPr>
        <w:t>American Journal of Educational Research, 7</w:t>
      </w:r>
      <w:r>
        <w:rPr>
          <w:rFonts w:ascii="Arial" w:hAnsi="Arial" w:cs="Arial"/>
          <w:sz w:val="20"/>
          <w:szCs w:val="20"/>
          <w:highlight w:val="cyan"/>
        </w:rPr>
        <w:t xml:space="preserve">(11), 872–877. </w:t>
      </w:r>
      <w:hyperlink r:id="rId57" w:tgtFrame="_new" w:history="1">
        <w:r>
          <w:rPr>
            <w:rStyle w:val="Hyperlink"/>
            <w:rFonts w:ascii="Arial" w:hAnsi="Arial" w:cs="Arial"/>
            <w:color w:val="auto"/>
            <w:sz w:val="20"/>
            <w:szCs w:val="20"/>
            <w:highlight w:val="cyan"/>
            <w:u w:val="none"/>
          </w:rPr>
          <w:t>https://doi.org/10.12691/education-7-11-18</w:t>
        </w:r>
      </w:hyperlink>
    </w:p>
    <w:p w14:paraId="305E39B1" w14:textId="77777777" w:rsidR="00382604" w:rsidRDefault="00F91166">
      <w:pPr>
        <w:pStyle w:val="NormalWeb"/>
        <w:spacing w:before="0" w:after="0"/>
        <w:jc w:val="both"/>
        <w:rPr>
          <w:rFonts w:ascii="Arial" w:hAnsi="Arial" w:cs="Arial"/>
          <w:sz w:val="20"/>
          <w:szCs w:val="20"/>
          <w:highlight w:val="cyan"/>
        </w:rPr>
      </w:pPr>
      <w:r>
        <w:rPr>
          <w:rFonts w:ascii="Arial" w:hAnsi="Arial" w:cs="Arial"/>
          <w:sz w:val="20"/>
          <w:szCs w:val="20"/>
          <w:highlight w:val="cyan"/>
        </w:rPr>
        <w:t xml:space="preserve">Amor, I. K. E., </w:t>
      </w:r>
      <w:proofErr w:type="spellStart"/>
      <w:r>
        <w:rPr>
          <w:rFonts w:ascii="Arial" w:hAnsi="Arial" w:cs="Arial"/>
          <w:sz w:val="20"/>
          <w:szCs w:val="20"/>
          <w:highlight w:val="cyan"/>
        </w:rPr>
        <w:t>Sauquillo</w:t>
      </w:r>
      <w:proofErr w:type="spellEnd"/>
      <w:r>
        <w:rPr>
          <w:rFonts w:ascii="Arial" w:hAnsi="Arial" w:cs="Arial"/>
          <w:sz w:val="20"/>
          <w:szCs w:val="20"/>
          <w:highlight w:val="cyan"/>
        </w:rPr>
        <w:t xml:space="preserve">, E. C., </w:t>
      </w:r>
      <w:proofErr w:type="spellStart"/>
      <w:r>
        <w:rPr>
          <w:rFonts w:ascii="Arial" w:hAnsi="Arial" w:cs="Arial"/>
          <w:sz w:val="20"/>
          <w:szCs w:val="20"/>
          <w:highlight w:val="cyan"/>
        </w:rPr>
        <w:t>Mondido</w:t>
      </w:r>
      <w:proofErr w:type="spellEnd"/>
      <w:r>
        <w:rPr>
          <w:rFonts w:ascii="Arial" w:hAnsi="Arial" w:cs="Arial"/>
          <w:sz w:val="20"/>
          <w:szCs w:val="20"/>
          <w:highlight w:val="cyan"/>
        </w:rPr>
        <w:t xml:space="preserve">, J. A. S., </w:t>
      </w:r>
      <w:proofErr w:type="spellStart"/>
      <w:r>
        <w:rPr>
          <w:rFonts w:ascii="Arial" w:hAnsi="Arial" w:cs="Arial"/>
          <w:sz w:val="20"/>
          <w:szCs w:val="20"/>
          <w:highlight w:val="cyan"/>
        </w:rPr>
        <w:t>Duayan</w:t>
      </w:r>
      <w:proofErr w:type="spellEnd"/>
      <w:r>
        <w:rPr>
          <w:rFonts w:ascii="Arial" w:hAnsi="Arial" w:cs="Arial"/>
          <w:sz w:val="20"/>
          <w:szCs w:val="20"/>
          <w:highlight w:val="cyan"/>
        </w:rPr>
        <w:t xml:space="preserve">, R. M. M., &amp; </w:t>
      </w:r>
      <w:proofErr w:type="spellStart"/>
      <w:r>
        <w:rPr>
          <w:rFonts w:ascii="Arial" w:hAnsi="Arial" w:cs="Arial"/>
          <w:sz w:val="20"/>
          <w:szCs w:val="20"/>
          <w:highlight w:val="cyan"/>
        </w:rPr>
        <w:t>Viason</w:t>
      </w:r>
      <w:proofErr w:type="spellEnd"/>
      <w:r>
        <w:rPr>
          <w:rFonts w:ascii="Arial" w:hAnsi="Arial" w:cs="Arial"/>
          <w:sz w:val="20"/>
          <w:szCs w:val="20"/>
          <w:highlight w:val="cyan"/>
        </w:rPr>
        <w:t xml:space="preserve">, D. Z. C. (2024). Significant relationship of self-esteem and class engagement of students from Cavite city, Philippines. </w:t>
      </w:r>
      <w:r>
        <w:rPr>
          <w:rStyle w:val="Emphasis"/>
          <w:rFonts w:ascii="Arial" w:hAnsi="Arial" w:cs="Arial"/>
          <w:sz w:val="20"/>
          <w:szCs w:val="20"/>
          <w:highlight w:val="cyan"/>
        </w:rPr>
        <w:t>International Journal of Multidisciplinary Trends, 6</w:t>
      </w:r>
      <w:r>
        <w:rPr>
          <w:rFonts w:ascii="Arial" w:hAnsi="Arial" w:cs="Arial"/>
          <w:sz w:val="20"/>
          <w:szCs w:val="20"/>
          <w:highlight w:val="cyan"/>
        </w:rPr>
        <w:t xml:space="preserve">(2), 30–35. </w:t>
      </w:r>
      <w:hyperlink r:id="rId58" w:tgtFrame="_new" w:history="1">
        <w:r>
          <w:rPr>
            <w:rStyle w:val="Hyperlink"/>
            <w:rFonts w:ascii="Arial" w:hAnsi="Arial" w:cs="Arial"/>
            <w:color w:val="auto"/>
            <w:sz w:val="20"/>
            <w:szCs w:val="20"/>
            <w:highlight w:val="cyan"/>
            <w:u w:val="none"/>
          </w:rPr>
          <w:t>https://doi.org/10.22271/multi.2024.v6.i2a.381</w:t>
        </w:r>
      </w:hyperlink>
    </w:p>
    <w:p w14:paraId="29D7F825" w14:textId="77777777" w:rsidR="00382604" w:rsidRDefault="00F91166">
      <w:pPr>
        <w:pStyle w:val="NormalWeb"/>
        <w:spacing w:before="0" w:after="0"/>
        <w:jc w:val="both"/>
        <w:rPr>
          <w:rFonts w:ascii="Arial" w:eastAsia="Arial" w:hAnsi="Arial" w:cs="Arial"/>
          <w:sz w:val="20"/>
          <w:szCs w:val="20"/>
          <w:highlight w:val="cyan"/>
        </w:rPr>
      </w:pPr>
      <w:r>
        <w:rPr>
          <w:rFonts w:ascii="Arial" w:hAnsi="Arial" w:cs="Arial"/>
          <w:sz w:val="20"/>
          <w:szCs w:val="20"/>
          <w:highlight w:val="cyan"/>
        </w:rPr>
        <w:lastRenderedPageBreak/>
        <w:t xml:space="preserve">Chioma Jennifer, O. (2021). Academic motivation and self-esteem as correlates of academic achievement in English language among senior secondary school students in Imo State. </w:t>
      </w:r>
      <w:r>
        <w:rPr>
          <w:rStyle w:val="Emphasis"/>
          <w:rFonts w:ascii="Arial" w:hAnsi="Arial" w:cs="Arial"/>
          <w:sz w:val="20"/>
          <w:szCs w:val="20"/>
          <w:highlight w:val="cyan"/>
        </w:rPr>
        <w:t>Asian Journal of Education and Social Studies, 21</w:t>
      </w:r>
      <w:r>
        <w:rPr>
          <w:rFonts w:ascii="Arial" w:hAnsi="Arial" w:cs="Arial"/>
          <w:sz w:val="20"/>
          <w:szCs w:val="20"/>
          <w:highlight w:val="cyan"/>
        </w:rPr>
        <w:t xml:space="preserve">(4), 35–43. </w:t>
      </w:r>
      <w:hyperlink r:id="rId59" w:tgtFrame="_new" w:history="1">
        <w:r>
          <w:rPr>
            <w:rStyle w:val="Hyperlink"/>
            <w:rFonts w:ascii="Arial" w:hAnsi="Arial" w:cs="Arial"/>
            <w:color w:val="auto"/>
            <w:sz w:val="20"/>
            <w:szCs w:val="20"/>
            <w:highlight w:val="cyan"/>
            <w:u w:val="none"/>
          </w:rPr>
          <w:t>https://doi.org/10.9734/ajess/2021/v21i430515</w:t>
        </w:r>
      </w:hyperlink>
    </w:p>
    <w:p w14:paraId="5D5769CC" w14:textId="77777777" w:rsidR="00382604" w:rsidRDefault="00F9116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7D82A673" w14:textId="77777777" w:rsidR="00382604" w:rsidRDefault="00382604">
      <w:pPr>
        <w:keepNext/>
        <w:jc w:val="both"/>
        <w:rPr>
          <w:rFonts w:ascii="Arial" w:eastAsia="Arial" w:hAnsi="Arial" w:cs="Arial"/>
          <w:b/>
          <w:smallCaps/>
          <w:color w:val="000000"/>
          <w:sz w:val="22"/>
          <w:szCs w:val="22"/>
        </w:rPr>
      </w:pPr>
    </w:p>
    <w:p w14:paraId="183886D6" w14:textId="77777777" w:rsidR="00382604" w:rsidRDefault="00F91166">
      <w:pPr>
        <w:spacing w:after="240"/>
        <w:jc w:val="both"/>
        <w:rPr>
          <w:rFonts w:ascii="Arial" w:eastAsia="Arial" w:hAnsi="Arial" w:cs="Arial"/>
          <w:color w:val="000000"/>
        </w:rPr>
      </w:pPr>
      <w:r>
        <w:rPr>
          <w:rFonts w:ascii="Arial" w:eastAsia="Arial" w:hAnsi="Arial" w:cs="Arial"/>
          <w:color w:val="000000"/>
        </w:rPr>
        <w:t>To better understand the various terminologies that are used in this study, the following terms are conceptually and operationally defined:</w:t>
      </w:r>
    </w:p>
    <w:p w14:paraId="4B99795D"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Belonging. </w:t>
      </w:r>
      <w:r>
        <w:rPr>
          <w:rFonts w:ascii="Arial" w:eastAsia="Arial" w:hAnsi="Arial" w:cs="Arial"/>
          <w:color w:val="000000"/>
        </w:rPr>
        <w:t>It is defined as a sense of close relationship towards a group (Merriam-Webster, 2024). In this study, it refers to a students' sense of connection and inclusion within the Filipino language speaking community. It reflects their feelings of acceptance and relationship when engaging with the language, whether in academic or social contexts, and how these experiences influence their motivation and proficiency in learning Filipino.</w:t>
      </w:r>
    </w:p>
    <w:p w14:paraId="59D1B269" w14:textId="77777777" w:rsidR="00382604" w:rsidRDefault="00F91166">
      <w:pPr>
        <w:spacing w:after="240"/>
        <w:jc w:val="both"/>
        <w:rPr>
          <w:rFonts w:ascii="Arial" w:eastAsia="Arial" w:hAnsi="Arial" w:cs="Arial"/>
          <w:color w:val="000000"/>
        </w:rPr>
      </w:pPr>
      <w:r>
        <w:rPr>
          <w:rFonts w:ascii="Arial" w:eastAsia="Arial" w:hAnsi="Arial" w:cs="Arial"/>
          <w:b/>
          <w:color w:val="000000"/>
        </w:rPr>
        <w:t>Competence.</w:t>
      </w:r>
      <w:r>
        <w:rPr>
          <w:rFonts w:ascii="Arial" w:eastAsia="Arial" w:hAnsi="Arial" w:cs="Arial"/>
          <w:color w:val="000000"/>
        </w:rPr>
        <w:t xml:space="preserve"> It is defined as the ability of an individual in having sufficient knowledge, judgement, skill, or strength, that enables a person to be aware of their capabilities (Merriam-Webster, 2024). In this study, this refers to their confidence and proficiency in handling academic and everyday tasks that require the use of the Filipino language.</w:t>
      </w:r>
    </w:p>
    <w:p w14:paraId="5CB646E0"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Content. </w:t>
      </w:r>
      <w:r>
        <w:rPr>
          <w:rFonts w:ascii="Arial" w:eastAsia="Arial" w:hAnsi="Arial" w:cs="Arial"/>
          <w:color w:val="000000"/>
        </w:rPr>
        <w:t>It is defined as the topics or matter treated in a written work (Merriam-Webster, 2024). In this study, it refers to the relatedness and relevance of a specific given topic to the overall discussion.</w:t>
      </w:r>
    </w:p>
    <w:p w14:paraId="57C9EC52"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Extrinsic Motivation. </w:t>
      </w:r>
      <w:r>
        <w:rPr>
          <w:rFonts w:ascii="Arial" w:eastAsia="Arial" w:hAnsi="Arial" w:cs="Arial"/>
          <w:color w:val="000000"/>
        </w:rPr>
        <w:t>It is</w:t>
      </w:r>
      <w:r>
        <w:rPr>
          <w:rFonts w:ascii="Arial" w:eastAsia="Arial" w:hAnsi="Arial" w:cs="Arial"/>
          <w:b/>
          <w:color w:val="000000"/>
        </w:rPr>
        <w:t xml:space="preserve"> </w:t>
      </w:r>
      <w:r>
        <w:rPr>
          <w:rFonts w:ascii="Arial" w:eastAsia="Arial" w:hAnsi="Arial" w:cs="Arial"/>
          <w:color w:val="000000"/>
        </w:rPr>
        <w:t>defined as the motivation that comes from external factors, rather than from within the individual’s personal interest (Merriam-Webster, 2024). In this study, it refers to the students’ drive to learn and engage in the Filipino language mainly due to external factors, such as grades, recognition, and rewards, rather than by personal interest or enjoyment.</w:t>
      </w:r>
    </w:p>
    <w:p w14:paraId="787BE3AC"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Grammar. </w:t>
      </w:r>
      <w:r>
        <w:rPr>
          <w:rFonts w:ascii="Arial" w:eastAsia="Arial" w:hAnsi="Arial" w:cs="Arial"/>
          <w:color w:val="000000"/>
        </w:rPr>
        <w:t>It is defined as the study of the classes of words, their inflections, and their functions and relations in the sentence (Merriam-Webster, 2024). In this study, it refers to the students' ability to construct sentences correctly in Filipino, following the proper sentence structure, syntax, and word usage.</w:t>
      </w:r>
    </w:p>
    <w:p w14:paraId="43DA2E2D"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Identity. </w:t>
      </w:r>
      <w:r>
        <w:rPr>
          <w:rFonts w:ascii="Arial" w:eastAsia="Arial" w:hAnsi="Arial" w:cs="Arial"/>
          <w:color w:val="000000"/>
        </w:rPr>
        <w:t>It is defined as the distinguishing character or personality of an individual (Merriam-Webster, 2024). In this study, this refers to how students perceive themselves in relation to their ability to use and understand the Filipino language, including their sense of character as it connects to their cultural and linguistic identity.</w:t>
      </w:r>
    </w:p>
    <w:p w14:paraId="242A5562" w14:textId="77777777" w:rsidR="00382604" w:rsidRDefault="00F91166">
      <w:pPr>
        <w:spacing w:after="240"/>
        <w:jc w:val="both"/>
        <w:rPr>
          <w:rFonts w:ascii="Arial" w:eastAsia="Arial" w:hAnsi="Arial" w:cs="Arial"/>
          <w:color w:val="000000"/>
        </w:rPr>
      </w:pPr>
      <w:r>
        <w:rPr>
          <w:rFonts w:ascii="Arial" w:eastAsia="Arial" w:hAnsi="Arial" w:cs="Arial"/>
          <w:b/>
          <w:color w:val="000000"/>
        </w:rPr>
        <w:t>Intrinsic Motivation</w:t>
      </w:r>
      <w:r>
        <w:rPr>
          <w:rFonts w:ascii="Arial" w:eastAsia="Arial" w:hAnsi="Arial" w:cs="Arial"/>
          <w:color w:val="000000"/>
        </w:rPr>
        <w:t>. It is defined as the motivation that comes from within an individual, driven by personal interest, enjoyment, or the satisfaction derived from the activity itself, rather than from external rewards or pressures (Merriam-Webster, 2024). In this study, it refers to the drive to engage in an activity due to an individual’s own enjoyment or interest rather than external rewards.</w:t>
      </w:r>
    </w:p>
    <w:p w14:paraId="071A4CB3" w14:textId="77777777" w:rsidR="00382604" w:rsidRDefault="00F91166">
      <w:pPr>
        <w:spacing w:after="240"/>
        <w:jc w:val="both"/>
        <w:rPr>
          <w:rFonts w:ascii="Arial" w:eastAsia="Arial" w:hAnsi="Arial" w:cs="Arial"/>
          <w:color w:val="000000"/>
        </w:rPr>
      </w:pPr>
      <w:r>
        <w:rPr>
          <w:rFonts w:ascii="Arial" w:eastAsia="Arial" w:hAnsi="Arial" w:cs="Arial"/>
          <w:b/>
          <w:color w:val="000000"/>
        </w:rPr>
        <w:t>Language Proficiency.</w:t>
      </w:r>
      <w:r>
        <w:rPr>
          <w:rFonts w:ascii="Arial" w:eastAsia="Arial" w:hAnsi="Arial" w:cs="Arial"/>
          <w:color w:val="000000"/>
        </w:rPr>
        <w:t xml:space="preserve"> It is defined as the ability of an individual to speak, read, write, and understand a language with a high degree of competence (Merriam-Webster, 2024). In this study, it refers to the students’ ability to effectively understand, speak, read, and write in the Filipino Language. It incorporates the level of skill and competence a student has in using the Filipino Language in various forms of communication, including speaking, reading, writing, and comprehension.</w:t>
      </w:r>
    </w:p>
    <w:p w14:paraId="16FD1611" w14:textId="77777777" w:rsidR="00382604" w:rsidRDefault="00F91166">
      <w:pPr>
        <w:spacing w:after="240"/>
        <w:jc w:val="both"/>
        <w:rPr>
          <w:rFonts w:ascii="Arial" w:eastAsia="Arial" w:hAnsi="Arial" w:cs="Arial"/>
          <w:b/>
          <w:color w:val="000000"/>
        </w:rPr>
      </w:pPr>
      <w:r>
        <w:rPr>
          <w:rFonts w:ascii="Arial" w:eastAsia="Arial" w:hAnsi="Arial" w:cs="Arial"/>
          <w:b/>
          <w:color w:val="000000"/>
        </w:rPr>
        <w:lastRenderedPageBreak/>
        <w:t xml:space="preserve">Mechanics. </w:t>
      </w:r>
      <w:r>
        <w:rPr>
          <w:rFonts w:ascii="Arial" w:eastAsia="Arial" w:hAnsi="Arial" w:cs="Arial"/>
          <w:color w:val="000000"/>
        </w:rPr>
        <w:t>It is defined as the mechanical or functional details or procedures (Merriam-Webster, 2024). In this study, it refers to the technical aspects of writing in Filipino, such as punctuation, capitalization, and proper formatting, which contribute to clear and effective written communication.</w:t>
      </w:r>
    </w:p>
    <w:p w14:paraId="06445602" w14:textId="77777777" w:rsidR="00382604" w:rsidRDefault="00F91166">
      <w:pPr>
        <w:spacing w:after="240"/>
        <w:jc w:val="both"/>
        <w:rPr>
          <w:rFonts w:ascii="Arial" w:eastAsia="Arial" w:hAnsi="Arial" w:cs="Arial"/>
          <w:color w:val="000000"/>
        </w:rPr>
      </w:pPr>
      <w:r>
        <w:rPr>
          <w:rFonts w:ascii="Arial" w:eastAsia="Arial" w:hAnsi="Arial" w:cs="Arial"/>
          <w:b/>
          <w:color w:val="000000"/>
        </w:rPr>
        <w:t>Motivation.</w:t>
      </w:r>
      <w:r>
        <w:rPr>
          <w:rFonts w:ascii="Arial" w:eastAsia="Arial" w:hAnsi="Arial" w:cs="Arial"/>
          <w:color w:val="000000"/>
        </w:rPr>
        <w:t xml:space="preserve"> It is</w:t>
      </w:r>
      <w:r>
        <w:rPr>
          <w:rFonts w:ascii="Arial" w:eastAsia="Arial" w:hAnsi="Arial" w:cs="Arial"/>
          <w:b/>
          <w:color w:val="000000"/>
        </w:rPr>
        <w:t xml:space="preserve"> </w:t>
      </w:r>
      <w:r>
        <w:rPr>
          <w:rFonts w:ascii="Arial" w:eastAsia="Arial" w:hAnsi="Arial" w:cs="Arial"/>
          <w:color w:val="000000"/>
        </w:rPr>
        <w:t>defined as a need, desire, a motivating force, stimulus, or influence that causes a person to act or engage in an activity (Merriam-Webster, 2024). In this study, this refers to the distinct levels of drive or commitment that students exhibit towards learning and engaging with the Filipino Language. Levels of motivation can range from high to low depending on students’ interest or engagement in the Filipino Language.</w:t>
      </w:r>
    </w:p>
    <w:p w14:paraId="06A43750" w14:textId="77777777" w:rsidR="00382604" w:rsidRDefault="00F91166">
      <w:pPr>
        <w:spacing w:after="240"/>
        <w:jc w:val="both"/>
        <w:rPr>
          <w:rFonts w:ascii="Arial" w:eastAsia="Arial" w:hAnsi="Arial" w:cs="Arial"/>
          <w:b/>
          <w:color w:val="000000"/>
        </w:rPr>
      </w:pPr>
      <w:r>
        <w:rPr>
          <w:rFonts w:ascii="Arial" w:eastAsia="Arial" w:hAnsi="Arial" w:cs="Arial"/>
          <w:b/>
          <w:color w:val="000000"/>
        </w:rPr>
        <w:t xml:space="preserve">Organization. </w:t>
      </w:r>
      <w:r>
        <w:rPr>
          <w:rFonts w:ascii="Arial" w:eastAsia="Arial" w:hAnsi="Arial" w:cs="Arial"/>
          <w:color w:val="000000"/>
        </w:rPr>
        <w:t>It is defined as the condition or manner of being organized (Merriam-Webster, 2024). In this study, it refers to the logical arrangement and coherence of ideas in students' written outputs in Filipino, ensuring that thoughts are presented in a clear, structured, and orderly manner.</w:t>
      </w:r>
    </w:p>
    <w:p w14:paraId="64EAAE75"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Purpose. </w:t>
      </w:r>
      <w:r>
        <w:rPr>
          <w:rFonts w:ascii="Arial" w:eastAsia="Arial" w:hAnsi="Arial" w:cs="Arial"/>
          <w:color w:val="000000"/>
        </w:rPr>
        <w:t>It is defined as something set up as an object or end to be attained, such as an intention or goal (Merriam-Webster, 2024). In this study, it refers to the students' sense of direction or goal in learning the Filipino language, which may stem from their intrinsic interest or external motivations to achieve proficiency and accomplish specific objectives.</w:t>
      </w:r>
    </w:p>
    <w:p w14:paraId="1A33B9C3" w14:textId="77777777" w:rsidR="00382604" w:rsidRDefault="00F91166">
      <w:pPr>
        <w:spacing w:after="240"/>
        <w:jc w:val="both"/>
        <w:rPr>
          <w:rFonts w:ascii="Arial" w:eastAsia="Arial" w:hAnsi="Arial" w:cs="Arial"/>
          <w:color w:val="000000"/>
        </w:rPr>
      </w:pPr>
      <w:r>
        <w:rPr>
          <w:rFonts w:ascii="Arial" w:eastAsia="Arial" w:hAnsi="Arial" w:cs="Arial"/>
          <w:b/>
          <w:color w:val="000000"/>
        </w:rPr>
        <w:t xml:space="preserve">Self-esteem. </w:t>
      </w:r>
      <w:r>
        <w:rPr>
          <w:rFonts w:ascii="Arial" w:eastAsia="Arial" w:hAnsi="Arial" w:cs="Arial"/>
          <w:color w:val="000000"/>
        </w:rPr>
        <w:t>It is defined as the confidence and satisfaction of oneself (Merriam-Webster, 2024).</w:t>
      </w:r>
      <w:r>
        <w:rPr>
          <w:rFonts w:ascii="Arial" w:eastAsia="Arial" w:hAnsi="Arial" w:cs="Arial"/>
          <w:b/>
          <w:color w:val="000000"/>
        </w:rPr>
        <w:t xml:space="preserve"> </w:t>
      </w:r>
      <w:r>
        <w:rPr>
          <w:rFonts w:ascii="Arial" w:eastAsia="Arial" w:hAnsi="Arial" w:cs="Arial"/>
          <w:color w:val="000000"/>
        </w:rPr>
        <w:t>In this study,</w:t>
      </w:r>
      <w:r>
        <w:rPr>
          <w:rFonts w:ascii="Arial" w:eastAsia="Arial" w:hAnsi="Arial" w:cs="Arial"/>
          <w:b/>
          <w:color w:val="000000"/>
        </w:rPr>
        <w:t xml:space="preserve"> </w:t>
      </w:r>
      <w:r>
        <w:rPr>
          <w:rFonts w:ascii="Arial" w:eastAsia="Arial" w:hAnsi="Arial" w:cs="Arial"/>
          <w:color w:val="000000"/>
        </w:rPr>
        <w:t>this refers to an individual’s overall sense of self-worth or personal value, either high or low.</w:t>
      </w:r>
    </w:p>
    <w:p w14:paraId="4D6A3FF6" w14:textId="77777777" w:rsidR="00382604" w:rsidRDefault="00F91166">
      <w:pPr>
        <w:spacing w:after="240"/>
        <w:jc w:val="both"/>
        <w:rPr>
          <w:rFonts w:ascii="Arial" w:eastAsia="Arial" w:hAnsi="Arial" w:cs="Arial"/>
          <w:b/>
          <w:color w:val="000000"/>
        </w:rPr>
      </w:pPr>
      <w:r>
        <w:rPr>
          <w:rFonts w:ascii="Arial" w:eastAsia="Arial" w:hAnsi="Arial" w:cs="Arial"/>
          <w:b/>
          <w:color w:val="000000"/>
        </w:rPr>
        <w:t xml:space="preserve">Vocabulary. </w:t>
      </w:r>
      <w:r>
        <w:rPr>
          <w:rFonts w:ascii="Arial" w:eastAsia="Arial" w:hAnsi="Arial" w:cs="Arial"/>
          <w:color w:val="000000"/>
        </w:rPr>
        <w:t>It is defined as a sum or stock of words employed by a language, group, individual, or work, or in a field of knowledge (Merriam-Webster, 2024). In this study, it refers to the variety and relevance of words that students use in their written outputs in Filipino, which contribute to the clarity and effectiveness of their communication.</w:t>
      </w:r>
    </w:p>
    <w:p w14:paraId="00249D35" w14:textId="77777777" w:rsidR="00382604" w:rsidRDefault="00382604">
      <w:pPr>
        <w:keepNext/>
        <w:jc w:val="both"/>
        <w:rPr>
          <w:rFonts w:ascii="Arial" w:eastAsia="Arial" w:hAnsi="Arial" w:cs="Arial"/>
          <w:b/>
          <w:smallCaps/>
          <w:color w:val="000000"/>
          <w:sz w:val="22"/>
          <w:szCs w:val="22"/>
        </w:rPr>
        <w:sectPr w:rsidR="00382604">
          <w:headerReference w:type="even" r:id="rId60"/>
          <w:headerReference w:type="default" r:id="rId61"/>
          <w:footerReference w:type="default" r:id="rId62"/>
          <w:headerReference w:type="first" r:id="rId63"/>
          <w:type w:val="continuous"/>
          <w:pgSz w:w="12240" w:h="15840"/>
          <w:pgMar w:top="1440" w:right="2016" w:bottom="2016" w:left="2016" w:header="720" w:footer="1123" w:gutter="0"/>
          <w:cols w:space="720"/>
          <w:docGrid w:linePitch="272"/>
        </w:sectPr>
      </w:pPr>
    </w:p>
    <w:p w14:paraId="17AFAFC1" w14:textId="77777777" w:rsidR="00382604" w:rsidRDefault="00F91166">
      <w:pPr>
        <w:keepNext/>
        <w:jc w:val="both"/>
        <w:rPr>
          <w:rFonts w:ascii="Arial" w:eastAsia="Arial" w:hAnsi="Arial" w:cs="Arial"/>
          <w:smallCaps/>
          <w:color w:val="000000"/>
          <w:sz w:val="22"/>
          <w:szCs w:val="22"/>
        </w:rPr>
      </w:pPr>
      <w:r>
        <w:rPr>
          <w:rFonts w:ascii="Arial" w:eastAsia="Arial" w:hAnsi="Arial" w:cs="Arial"/>
          <w:smallCaps/>
          <w:color w:val="000000"/>
          <w:sz w:val="22"/>
          <w:szCs w:val="22"/>
        </w:rPr>
        <w:tab/>
      </w:r>
      <w:r>
        <w:rPr>
          <w:rFonts w:ascii="Arial" w:eastAsia="Arial" w:hAnsi="Arial" w:cs="Arial"/>
          <w:smallCaps/>
          <w:color w:val="000000"/>
          <w:sz w:val="22"/>
          <w:szCs w:val="22"/>
        </w:rPr>
        <w:tab/>
      </w:r>
    </w:p>
    <w:sectPr w:rsidR="0038260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32E53" w14:textId="77777777" w:rsidR="00A22F14" w:rsidRDefault="00A22F14">
      <w:r>
        <w:separator/>
      </w:r>
    </w:p>
  </w:endnote>
  <w:endnote w:type="continuationSeparator" w:id="0">
    <w:p w14:paraId="641148C4" w14:textId="77777777" w:rsidR="00A22F14" w:rsidRDefault="00A2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 w:fontKey="{F829A337-BE4E-49EF-8B3B-EA14F25C4D66}"/>
    <w:embedBold r:id="rId2" w:fontKey="{6C737E63-6638-45B2-A213-306D6214B7C0}"/>
  </w:font>
  <w:font w:name="Helvetica Neue">
    <w:altName w:val="SimSun"/>
    <w:charset w:val="86"/>
    <w:family w:val="auto"/>
    <w:pitch w:val="default"/>
    <w:embedRegular r:id="rId3" w:subsetted="1" w:fontKey="{832DA491-8A5C-4BB2-A88B-F30E0AD47F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8DEA6A2-A3F7-4B7E-9669-4A9B57934436}"/>
  </w:font>
  <w:font w:name="Tahoma">
    <w:panose1 w:val="020B0604030504040204"/>
    <w:charset w:val="00"/>
    <w:family w:val="swiss"/>
    <w:pitch w:val="variable"/>
    <w:sig w:usb0="E1002EFF" w:usb1="C000605B" w:usb2="00000029" w:usb3="00000000" w:csb0="000101FF" w:csb1="00000000"/>
    <w:embedRegular r:id="rId5" w:fontKey="{1D1EB434-C2AF-4C95-A3B8-6F997853E249}"/>
  </w:font>
  <w:font w:name="Georgia">
    <w:panose1 w:val="02040502050405020303"/>
    <w:charset w:val="00"/>
    <w:family w:val="roman"/>
    <w:pitch w:val="variable"/>
    <w:sig w:usb0="00000287" w:usb1="00000000" w:usb2="00000000" w:usb3="00000000" w:csb0="0000009F" w:csb1="00000000"/>
    <w:embedRegular r:id="rId6" w:fontKey="{04DCC88C-65DF-4166-8020-8FD136FBFE31}"/>
    <w:embedItalic r:id="rId7" w:fontKey="{C8021CCF-C3F6-4610-B59E-906D5EABF0E7}"/>
  </w:font>
  <w:font w:name="Calibri">
    <w:panose1 w:val="020F0502020204030204"/>
    <w:charset w:val="00"/>
    <w:family w:val="swiss"/>
    <w:pitch w:val="variable"/>
    <w:sig w:usb0="E4002EFF" w:usb1="C000247B" w:usb2="00000009" w:usb3="00000000" w:csb0="000001FF" w:csb1="00000000"/>
    <w:embedRegular r:id="rId8" w:fontKey="{C34209C4-3672-45E7-A3B0-4238156D3BB2}"/>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9020" w14:textId="77777777" w:rsidR="00D80AA7" w:rsidRDefault="00D80AA7">
    <w:pP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BD509" w14:textId="77777777" w:rsidR="00A22F14" w:rsidRDefault="00A22F14">
      <w:r>
        <w:separator/>
      </w:r>
    </w:p>
  </w:footnote>
  <w:footnote w:type="continuationSeparator" w:id="0">
    <w:p w14:paraId="259CE902" w14:textId="77777777" w:rsidR="00A22F14" w:rsidRDefault="00A22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BFB71" w14:textId="77777777" w:rsidR="00D80AA7" w:rsidRDefault="00A22F14">
    <w:pPr>
      <w:pStyle w:val="Header"/>
    </w:pPr>
    <w:r>
      <w:pict w14:anchorId="07B065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3"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C0D0" w14:textId="77777777" w:rsidR="00D80AA7" w:rsidRDefault="00A22F14">
    <w:pPr>
      <w:pStyle w:val="Header"/>
    </w:pPr>
    <w:r>
      <w:pict w14:anchorId="152BA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4"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EA474" w14:textId="77777777" w:rsidR="00D80AA7" w:rsidRDefault="00A22F14">
    <w:pPr>
      <w:ind w:left="2160"/>
      <w:jc w:val="center"/>
      <w:rPr>
        <w:rFonts w:ascii="Times New Roman" w:eastAsia="Times New Roman" w:hAnsi="Times New Roman" w:cs="Times New Roman"/>
        <w:i/>
        <w:sz w:val="18"/>
        <w:szCs w:val="18"/>
      </w:rPr>
    </w:pPr>
    <w:r>
      <w:pict w14:anchorId="470E6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2"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0AF7D946" w14:textId="77777777" w:rsidR="00D80AA7" w:rsidRDefault="00D80AA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15711E4" w14:textId="77777777" w:rsidR="00D80AA7" w:rsidRDefault="00D80AA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4565242" w14:textId="77777777" w:rsidR="00D80AA7" w:rsidRDefault="00D80AA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E9EA689" w14:textId="77777777" w:rsidR="00D80AA7" w:rsidRDefault="00D80AA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767B994" w14:textId="77777777" w:rsidR="00D80AA7" w:rsidRDefault="00D80AA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1471425" w14:textId="77777777" w:rsidR="00D80AA7" w:rsidRDefault="00D80AA7">
    <w:pP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F349E" w14:textId="77777777" w:rsidR="00D80AA7" w:rsidRDefault="00A22F14">
    <w:pPr>
      <w:pStyle w:val="Header"/>
    </w:pPr>
    <w:r>
      <w:pict w14:anchorId="0DA3B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6"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DAFB" w14:textId="77777777" w:rsidR="00D80AA7" w:rsidRDefault="00A22F14">
    <w:pPr>
      <w:pStyle w:val="Header"/>
    </w:pPr>
    <w:r>
      <w:pict w14:anchorId="5BD86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7"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C2DC" w14:textId="77777777" w:rsidR="00D80AA7" w:rsidRDefault="00A22F14">
    <w:pPr>
      <w:pStyle w:val="Header"/>
    </w:pPr>
    <w:r>
      <w:pict w14:anchorId="17C44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113315"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6079B"/>
    <w:multiLevelType w:val="multilevel"/>
    <w:tmpl w:val="29A6079B"/>
    <w:lvl w:ilvl="0">
      <w:start w:val="1"/>
      <w:numFmt w:val="decimal"/>
      <w:pStyle w:val="Reference"/>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47"/>
    <w:rsid w:val="0001507F"/>
    <w:rsid w:val="0007401C"/>
    <w:rsid w:val="000E7D1C"/>
    <w:rsid w:val="000F70DB"/>
    <w:rsid w:val="00130978"/>
    <w:rsid w:val="00240A61"/>
    <w:rsid w:val="00283248"/>
    <w:rsid w:val="002B19F3"/>
    <w:rsid w:val="00330D58"/>
    <w:rsid w:val="003448F3"/>
    <w:rsid w:val="00344FDE"/>
    <w:rsid w:val="00382604"/>
    <w:rsid w:val="00414BCB"/>
    <w:rsid w:val="005171CD"/>
    <w:rsid w:val="00524C8D"/>
    <w:rsid w:val="00552574"/>
    <w:rsid w:val="005C5747"/>
    <w:rsid w:val="005D566D"/>
    <w:rsid w:val="005E68F5"/>
    <w:rsid w:val="00630B61"/>
    <w:rsid w:val="0068275E"/>
    <w:rsid w:val="006E3D67"/>
    <w:rsid w:val="00752585"/>
    <w:rsid w:val="007C2EBA"/>
    <w:rsid w:val="008375D0"/>
    <w:rsid w:val="008C2B87"/>
    <w:rsid w:val="008E7D0A"/>
    <w:rsid w:val="00910E58"/>
    <w:rsid w:val="00915D2C"/>
    <w:rsid w:val="00A22F14"/>
    <w:rsid w:val="00A34B15"/>
    <w:rsid w:val="00A902E2"/>
    <w:rsid w:val="00A94E22"/>
    <w:rsid w:val="00C7452B"/>
    <w:rsid w:val="00D80AA7"/>
    <w:rsid w:val="00DB1E66"/>
    <w:rsid w:val="00DB4F9B"/>
    <w:rsid w:val="00E0669F"/>
    <w:rsid w:val="00E25618"/>
    <w:rsid w:val="00E71E26"/>
    <w:rsid w:val="00E83D68"/>
    <w:rsid w:val="00EC4964"/>
    <w:rsid w:val="00F2183C"/>
    <w:rsid w:val="00F91166"/>
    <w:rsid w:val="00FE39FB"/>
    <w:rsid w:val="052076F5"/>
    <w:rsid w:val="06A50B3E"/>
    <w:rsid w:val="07D75974"/>
    <w:rsid w:val="11137298"/>
    <w:rsid w:val="13C24F2C"/>
    <w:rsid w:val="1BA331CB"/>
    <w:rsid w:val="29D53767"/>
    <w:rsid w:val="2CEB1DDF"/>
    <w:rsid w:val="2F776687"/>
    <w:rsid w:val="2FF92CC7"/>
    <w:rsid w:val="352A6153"/>
    <w:rsid w:val="3C5F52E9"/>
    <w:rsid w:val="3E0F171F"/>
    <w:rsid w:val="440B6331"/>
    <w:rsid w:val="449710E3"/>
    <w:rsid w:val="5A91357A"/>
    <w:rsid w:val="6B5E7AF0"/>
    <w:rsid w:val="72DC3F99"/>
    <w:rsid w:val="740A55A6"/>
    <w:rsid w:val="745775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33BD82D9"/>
  <w15:docId w15:val="{06C03AF5-C36E-448C-A6A3-E24520F3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iPriority="0"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68"/>
    <w:rPr>
      <w:rFonts w:ascii="Helvetica" w:eastAsia="Helvetica Neue" w:hAnsi="Helvetica" w:cs="Helvetica Neue"/>
      <w:lang w:eastAsia="en-GB"/>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Signature">
    <w:name w:val="Signature"/>
    <w:basedOn w:val="Normal"/>
    <w:qFormat/>
    <w:pPr>
      <w:ind w:left="43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9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uiPriority w:val="10"/>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365F91" w:themeColor="accent1" w:themeShade="BF"/>
      <w:sz w:val="26"/>
      <w:szCs w:val="26"/>
    </w:rPr>
  </w:style>
  <w:style w:type="character" w:customStyle="1" w:styleId="apple-tab-span">
    <w:name w:val="apple-tab-span"/>
    <w:basedOn w:val="DefaultParagraphFont"/>
    <w:qFormat/>
  </w:style>
  <w:style w:type="table" w:customStyle="1" w:styleId="Style71">
    <w:name w:val="_Style 71"/>
    <w:basedOn w:val="TableNormal"/>
    <w:qFormat/>
    <w:tblPr>
      <w:tblCellMar>
        <w:left w:w="115" w:type="dxa"/>
        <w:right w:w="115" w:type="dxa"/>
      </w:tblCellMar>
    </w:tblPr>
  </w:style>
  <w:style w:type="table" w:customStyle="1" w:styleId="Style72">
    <w:name w:val="_Style 72"/>
    <w:basedOn w:val="TableNormal"/>
    <w:qFormat/>
    <w:rPr>
      <w:rFonts w:ascii="Calibri" w:eastAsia="Calibri" w:hAnsi="Calibri" w:cs="Calibri"/>
      <w:sz w:val="22"/>
      <w:szCs w:val="22"/>
    </w:rPr>
    <w:tblPr/>
  </w:style>
  <w:style w:type="table" w:customStyle="1" w:styleId="Style73">
    <w:name w:val="_Style 73"/>
    <w:basedOn w:val="TableNormal"/>
    <w:qFormat/>
    <w:rPr>
      <w:rFonts w:ascii="Calibri" w:eastAsia="Calibri" w:hAnsi="Calibri" w:cs="Calibri"/>
      <w:sz w:val="22"/>
      <w:szCs w:val="22"/>
    </w:rPr>
    <w:tblPr/>
  </w:style>
  <w:style w:type="table" w:customStyle="1" w:styleId="Style74">
    <w:name w:val="_Style 74"/>
    <w:basedOn w:val="TableNormal"/>
    <w:qFormat/>
    <w:rPr>
      <w:rFonts w:ascii="Calibri" w:eastAsia="Calibri" w:hAnsi="Calibri" w:cs="Calibri"/>
      <w:sz w:val="22"/>
      <w:szCs w:val="22"/>
    </w:rPr>
    <w:tblPr/>
  </w:style>
  <w:style w:type="table" w:customStyle="1" w:styleId="Style75">
    <w:name w:val="_Style 75"/>
    <w:basedOn w:val="TableNormal"/>
    <w:qFormat/>
    <w:rPr>
      <w:rFonts w:ascii="Calibri" w:eastAsia="Calibri" w:hAnsi="Calibri" w:cs="Calibri"/>
      <w:sz w:val="22"/>
      <w:szCs w:val="22"/>
    </w:rPr>
    <w:tblPr/>
  </w:style>
  <w:style w:type="table" w:customStyle="1" w:styleId="Style76">
    <w:name w:val="_Style 76"/>
    <w:basedOn w:val="TableNormal"/>
    <w:qFormat/>
    <w:tblPr>
      <w:tblCellMar>
        <w:top w:w="15" w:type="dxa"/>
        <w:left w:w="15" w:type="dxa"/>
        <w:bottom w:w="15" w:type="dxa"/>
        <w:right w:w="15" w:type="dxa"/>
      </w:tblCellMar>
    </w:tblPr>
  </w:style>
  <w:style w:type="table" w:customStyle="1" w:styleId="Style77">
    <w:name w:val="_Style 77"/>
    <w:basedOn w:val="TableNormal"/>
    <w:qFormat/>
    <w:rPr>
      <w:rFonts w:ascii="Calibri" w:eastAsia="Calibri" w:hAnsi="Calibri" w:cs="Calibri"/>
      <w:sz w:val="22"/>
      <w:szCs w:val="22"/>
    </w:rPr>
    <w:tblPr/>
  </w:style>
  <w:style w:type="table" w:customStyle="1" w:styleId="Style78">
    <w:name w:val="_Style 78"/>
    <w:basedOn w:val="TableNormal"/>
    <w:qFormat/>
    <w:rPr>
      <w:rFonts w:ascii="Calibri" w:eastAsia="Calibri" w:hAnsi="Calibri" w:cs="Calibri"/>
      <w:sz w:val="22"/>
      <w:szCs w:val="22"/>
    </w:rPr>
    <w:tblPr/>
  </w:style>
  <w:style w:type="table" w:customStyle="1" w:styleId="Style79">
    <w:name w:val="_Style 79"/>
    <w:basedOn w:val="TableNormal"/>
    <w:qFormat/>
    <w:rPr>
      <w:rFonts w:ascii="Calibri" w:eastAsia="Calibri" w:hAnsi="Calibri" w:cs="Calibri"/>
      <w:sz w:val="22"/>
      <w:szCs w:val="22"/>
    </w:rPr>
    <w:tblPr/>
  </w:style>
  <w:style w:type="table" w:customStyle="1" w:styleId="Style80">
    <w:name w:val="_Style 80"/>
    <w:basedOn w:val="TableNormal"/>
    <w:qFormat/>
    <w:rPr>
      <w:rFonts w:ascii="Calibri" w:eastAsia="Calibri" w:hAnsi="Calibri" w:cs="Calibri"/>
      <w:sz w:val="22"/>
      <w:szCs w:val="22"/>
    </w:rPr>
    <w:tblPr/>
  </w:style>
  <w:style w:type="table" w:customStyle="1" w:styleId="Style81">
    <w:name w:val="_Style 81"/>
    <w:basedOn w:val="TableNormal"/>
    <w:qFormat/>
    <w:tblPr>
      <w:tblCellMar>
        <w:top w:w="15" w:type="dxa"/>
        <w:left w:w="15" w:type="dxa"/>
        <w:bottom w:w="15" w:type="dxa"/>
        <w:right w:w="15" w:type="dxa"/>
      </w:tblCellMar>
    </w:tblPr>
  </w:style>
  <w:style w:type="table" w:customStyle="1" w:styleId="Style82">
    <w:name w:val="_Style 82"/>
    <w:basedOn w:val="TableNormal"/>
    <w:qFormat/>
    <w:tblPr>
      <w:tblCellMar>
        <w:top w:w="15" w:type="dxa"/>
        <w:left w:w="15" w:type="dxa"/>
        <w:bottom w:w="15" w:type="dxa"/>
        <w:right w:w="15" w:type="dxa"/>
      </w:tblCellMar>
    </w:tblPr>
  </w:style>
  <w:style w:type="table" w:customStyle="1" w:styleId="Style83">
    <w:name w:val="_Style 83"/>
    <w:basedOn w:val="TableNormal"/>
    <w:tblPr>
      <w:tblCellMar>
        <w:top w:w="15" w:type="dxa"/>
        <w:left w:w="15" w:type="dxa"/>
        <w:bottom w:w="15" w:type="dxa"/>
        <w:right w:w="15" w:type="dxa"/>
      </w:tblCellMar>
    </w:tblPr>
  </w:style>
  <w:style w:type="table" w:customStyle="1" w:styleId="Style84">
    <w:name w:val="_Style 84"/>
    <w:basedOn w:val="TableNormal"/>
    <w:qFormat/>
    <w:tblPr>
      <w:tblCellMar>
        <w:top w:w="15" w:type="dxa"/>
        <w:left w:w="15" w:type="dxa"/>
        <w:bottom w:w="15" w:type="dxa"/>
        <w:right w:w="15" w:type="dxa"/>
      </w:tblCellMar>
    </w:tblPr>
  </w:style>
  <w:style w:type="table" w:customStyle="1" w:styleId="Style85">
    <w:name w:val="_Style 85"/>
    <w:basedOn w:val="TableNormal"/>
    <w:qFormat/>
    <w:tblPr>
      <w:tblCellMar>
        <w:top w:w="15" w:type="dxa"/>
        <w:left w:w="15" w:type="dxa"/>
        <w:bottom w:w="15" w:type="dxa"/>
        <w:right w:w="15" w:type="dxa"/>
      </w:tblCellMar>
    </w:tblPr>
  </w:style>
  <w:style w:type="table" w:customStyle="1" w:styleId="Style86">
    <w:name w:val="_Style 86"/>
    <w:basedOn w:val="TableNormal"/>
    <w:qFormat/>
    <w:tblPr>
      <w:tblCellMar>
        <w:top w:w="15" w:type="dxa"/>
        <w:left w:w="15" w:type="dxa"/>
        <w:bottom w:w="15" w:type="dxa"/>
        <w:right w:w="15" w:type="dxa"/>
      </w:tblCellMar>
    </w:tblPr>
  </w:style>
  <w:style w:type="table" w:customStyle="1" w:styleId="Style87">
    <w:name w:val="_Style 87"/>
    <w:basedOn w:val="TableNormal"/>
    <w:qFormat/>
    <w:tblPr>
      <w:tblCellMar>
        <w:top w:w="15" w:type="dxa"/>
        <w:left w:w="15" w:type="dxa"/>
        <w:bottom w:w="15" w:type="dxa"/>
        <w:right w:w="15" w:type="dxa"/>
      </w:tblCellMar>
    </w:tblPr>
  </w:style>
  <w:style w:type="table" w:customStyle="1" w:styleId="Style88">
    <w:name w:val="_Style 88"/>
    <w:basedOn w:val="TableNormal"/>
    <w:qFormat/>
    <w:tblPr>
      <w:tblCellMar>
        <w:top w:w="15" w:type="dxa"/>
        <w:left w:w="15" w:type="dxa"/>
        <w:bottom w:w="15" w:type="dxa"/>
        <w:right w:w="15" w:type="dxa"/>
      </w:tblCellMar>
    </w:tblPr>
  </w:style>
  <w:style w:type="table" w:customStyle="1" w:styleId="Style89">
    <w:name w:val="_Style 89"/>
    <w:basedOn w:val="TableNormal"/>
    <w:qFormat/>
    <w:rPr>
      <w:rFonts w:ascii="Calibri" w:eastAsia="Calibri" w:hAnsi="Calibri" w:cs="Calibri"/>
      <w:sz w:val="22"/>
      <w:szCs w:val="22"/>
    </w:rPr>
    <w:tblPr/>
  </w:style>
  <w:style w:type="table" w:customStyle="1" w:styleId="Style90">
    <w:name w:val="_Style 90"/>
    <w:basedOn w:val="TableNormal"/>
    <w:qFormat/>
    <w:rPr>
      <w:rFonts w:ascii="Calibri" w:eastAsia="Calibri" w:hAnsi="Calibri" w:cs="Calibri"/>
      <w:sz w:val="22"/>
      <w:szCs w:val="22"/>
    </w:rPr>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Strong">
    <w:name w:val="Strong"/>
    <w:basedOn w:val="DefaultParagraphFont"/>
    <w:uiPriority w:val="22"/>
    <w:qFormat/>
    <w:rsid w:val="006E3D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991548">
      <w:bodyDiv w:val="1"/>
      <w:marLeft w:val="0"/>
      <w:marRight w:val="0"/>
      <w:marTop w:val="0"/>
      <w:marBottom w:val="0"/>
      <w:divBdr>
        <w:top w:val="none" w:sz="0" w:space="0" w:color="auto"/>
        <w:left w:val="none" w:sz="0" w:space="0" w:color="auto"/>
        <w:bottom w:val="none" w:sz="0" w:space="0" w:color="auto"/>
        <w:right w:val="none" w:sz="0" w:space="0" w:color="auto"/>
      </w:divBdr>
    </w:div>
    <w:div w:id="580792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1-4899-2271-7" TargetMode="External"/><Relationship Id="rId21" Type="http://schemas.openxmlformats.org/officeDocument/2006/relationships/hyperlink" Target="https://doi.org/10.1177/0146167219879115" TargetMode="External"/><Relationship Id="rId34" Type="http://schemas.openxmlformats.org/officeDocument/2006/relationships/hyperlink" Target="https://doi.org/10.51878/educational.v4i4.4161" TargetMode="External"/><Relationship Id="rId42" Type="http://schemas.openxmlformats.org/officeDocument/2006/relationships/hyperlink" Target="https://www.imperialjournals.com/index_php/IJIR/article/view/1277/" TargetMode="External"/><Relationship Id="rId47" Type="http://schemas.openxmlformats.org/officeDocument/2006/relationships/hyperlink" Target="https://doi.org/10.1007/s10648-021-09609-6" TargetMode="External"/><Relationship Id="rId50" Type="http://schemas.openxmlformats.org/officeDocument/2006/relationships/hyperlink" Target="https://ibn.idsi.md/vizualizare_articol/199111" TargetMode="External"/><Relationship Id="rId55" Type="http://schemas.openxmlformats.org/officeDocument/2006/relationships/hyperlink" Target="https://doi.org/10.36665/elp.v9i1.813"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cholar.google.com/citations?view_op=view_citation&amp;hl=fil&amp;user=XJx0HpIAAAAJ&amp;citation_for_view=XJx0HpIAAAAJ:9yKSN-GCB0IC" TargetMode="External"/><Relationship Id="rId29" Type="http://schemas.openxmlformats.org/officeDocument/2006/relationships/hyperlink" Target="https://www.coe.int/en/web/common-european-framework-reference-languages" TargetMode="External"/><Relationship Id="rId11" Type="http://schemas.openxmlformats.org/officeDocument/2006/relationships/header" Target="header3.xml"/><Relationship Id="rId24" Type="http://schemas.openxmlformats.org/officeDocument/2006/relationships/hyperlink" Target="http://www.self-esteem-nase.org/whatisselfesteem.shtml" TargetMode="External"/><Relationship Id="rId32" Type="http://schemas.openxmlformats.org/officeDocument/2006/relationships/hyperlink" Target="https://doi.org/10.52657/js.v10i1.2289" TargetMode="External"/><Relationship Id="rId37" Type="http://schemas.openxmlformats.org/officeDocument/2006/relationships/hyperlink" Target="https://doi.org/10.1080/0309877x.2021.1955844" TargetMode="External"/><Relationship Id="rId40" Type="http://schemas.openxmlformats.org/officeDocument/2006/relationships/hyperlink" Target="https://doi.org/10.18355/XL.2023.16.03.11" TargetMode="External"/><Relationship Id="rId45" Type="http://schemas.openxmlformats.org/officeDocument/2006/relationships/hyperlink" Target="https://doi.org/10.1007/s12134-024-01194-1" TargetMode="External"/><Relationship Id="rId53" Type="http://schemas.openxmlformats.org/officeDocument/2006/relationships/hyperlink" Target="https://www.scribd.com/document/636992073/filipino-language-proficiency-ofsenior-high-school-students-in-central-luzon-doctors-hospital-educational-institution" TargetMode="External"/><Relationship Id="rId58" Type="http://schemas.openxmlformats.org/officeDocument/2006/relationships/hyperlink" Target="https://doi.org/10.22271/multi.2024.v6.i2a.381" TargetMode="External"/><Relationship Id="rId5" Type="http://schemas.openxmlformats.org/officeDocument/2006/relationships/settings" Target="settings.xml"/><Relationship Id="rId61" Type="http://schemas.openxmlformats.org/officeDocument/2006/relationships/header" Target="header5.xml"/><Relationship Id="rId19" Type="http://schemas.openxmlformats.org/officeDocument/2006/relationships/hyperlink" Target="https://doi.org/10.31014/aior.1993.05.04.602" TargetMode="External"/><Relationship Id="rId14" Type="http://schemas.openxmlformats.org/officeDocument/2006/relationships/hyperlink" Target="https://eric.ed.gov/?id=EJ1244667" TargetMode="External"/><Relationship Id="rId22" Type="http://schemas.openxmlformats.org/officeDocument/2006/relationships/hyperlink" Target="https://doi.org/10.4324/9780203969861-6" TargetMode="External"/><Relationship Id="rId27" Type="http://schemas.openxmlformats.org/officeDocument/2006/relationships/hyperlink" Target="https://doi.org/10.2307/3340091" TargetMode="External"/><Relationship Id="rId30" Type="http://schemas.openxmlformats.org/officeDocument/2006/relationships/hyperlink" Target="https://doi.org/10.23918/ijsses.v5i1p191" TargetMode="External"/><Relationship Id="rId35" Type="http://schemas.openxmlformats.org/officeDocument/2006/relationships/hyperlink" Target="https://doi.org/10.17507/jltr.1106.10" TargetMode="External"/><Relationship Id="rId43" Type="http://schemas.openxmlformats.org/officeDocument/2006/relationships/hyperlink" Target="https://doi.org/10.21832/9781783090563" TargetMode="External"/><Relationship Id="rId48" Type="http://schemas.openxmlformats.org/officeDocument/2006/relationships/hyperlink" Target="https://doi.org/10.33195/maxskq26" TargetMode="External"/><Relationship Id="rId56" Type="http://schemas.openxmlformats.org/officeDocument/2006/relationships/hyperlink" Target="https://www.researchgate.net/publication/353751525_Impact_of_Academic_Intrinsic_Motivation_Facets_on_Students%27_Academic_Performance"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54012/jcell.v3i2.224" TargetMode="External"/><Relationship Id="rId3" Type="http://schemas.openxmlformats.org/officeDocument/2006/relationships/numbering" Target="numbering.xml"/><Relationship Id="rId12" Type="http://schemas.openxmlformats.org/officeDocument/2006/relationships/hyperlink" Target="https://skemman.is/handle/1946/48329" TargetMode="External"/><Relationship Id="rId17" Type="http://schemas.openxmlformats.org/officeDocument/2006/relationships/hyperlink" Target="https://doi.org/10.3389/feduc.2023.963180" TargetMode="External"/><Relationship Id="rId25" Type="http://schemas.openxmlformats.org/officeDocument/2006/relationships/hyperlink" Target="https://animorepository.dlsu.edu.ph/faculty_research/1293" TargetMode="External"/><Relationship Id="rId33" Type="http://schemas.openxmlformats.org/officeDocument/2006/relationships/hyperlink" Target="https://doi.org/10.54097/vfnfma42" TargetMode="External"/><Relationship Id="rId38" Type="http://schemas.openxmlformats.org/officeDocument/2006/relationships/hyperlink" Target="https://doi.org/10.1007/978-981-13-0708-9_5" TargetMode="External"/><Relationship Id="rId46" Type="http://schemas.openxmlformats.org/officeDocument/2006/relationships/hyperlink" Target="https://ueaeprints.uea.ac.uk/id/eprint/69309/" TargetMode="External"/><Relationship Id="rId59" Type="http://schemas.openxmlformats.org/officeDocument/2006/relationships/hyperlink" Target="https://doi.org/10.9734/ajess/2021/v21i430515" TargetMode="External"/><Relationship Id="rId20" Type="http://schemas.openxmlformats.org/officeDocument/2006/relationships/hyperlink" Target="https://ejournal.bsi.ac.id/ejurnal/index.php/wanastra/article/view/2998/2048" TargetMode="External"/><Relationship Id="rId41" Type="http://schemas.openxmlformats.org/officeDocument/2006/relationships/hyperlink" Target="https://doi.org/10.30560/ILR.V1N2P52" TargetMode="External"/><Relationship Id="rId54" Type="http://schemas.openxmlformats.org/officeDocument/2006/relationships/hyperlink" Target="https://doi:10.9734/ajess/2023/v48i4109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57/s41599-023-01911-8" TargetMode="External"/><Relationship Id="rId23" Type="http://schemas.openxmlformats.org/officeDocument/2006/relationships/hyperlink" Target="https://doi.org/10.9734/acri/2024/v24i6768" TargetMode="External"/><Relationship Id="rId28" Type="http://schemas.openxmlformats.org/officeDocument/2006/relationships/hyperlink" Target="https://www.researchgate.net/publication/276394797_Likert_Scale_Explored_and_Explained" TargetMode="External"/><Relationship Id="rId36" Type="http://schemas.openxmlformats.org/officeDocument/2006/relationships/hyperlink" Target="https://doi.org/10.2307/48778812" TargetMode="External"/><Relationship Id="rId49" Type="http://schemas.openxmlformats.org/officeDocument/2006/relationships/hyperlink" Target="https://doi.org/10.17239/l1esll-2018.18.04.04" TargetMode="External"/><Relationship Id="rId57" Type="http://schemas.openxmlformats.org/officeDocument/2006/relationships/hyperlink" Target="https://doi.org/10.12691/education-7-11-18" TargetMode="External"/><Relationship Id="rId10" Type="http://schemas.openxmlformats.org/officeDocument/2006/relationships/header" Target="header2.xml"/><Relationship Id="rId31" Type="http://schemas.openxmlformats.org/officeDocument/2006/relationships/hyperlink" Target="https://doi.org/10.58806/ijirme.2025.v4i2n03" TargetMode="External"/><Relationship Id="rId44" Type="http://schemas.openxmlformats.org/officeDocument/2006/relationships/hyperlink" Target="https://doi.org/10.30598/jbkt.v8i1.1847" TargetMode="External"/><Relationship Id="rId52" Type="http://schemas.openxmlformats.org/officeDocument/2006/relationships/hyperlink" Target="https://doi.org/10.58806/ijirme.2024.v3i3n08"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59429/esp.v9i12.3230" TargetMode="External"/><Relationship Id="rId18" Type="http://schemas.openxmlformats.org/officeDocument/2006/relationships/hyperlink" Target="https://doi.org/10.6007/ijarped/v8-i1/5537" TargetMode="External"/><Relationship Id="rId39" Type="http://schemas.openxmlformats.org/officeDocument/2006/relationships/hyperlink" Target="https://ejournals.ph/article.php?id=406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GjtcHLzy27h9ZzTYC/4GeCSqxA==">CgMxLjAyDmguc3U5a2x0c3B1YnBpOAByITE1UU04dlRqZEY5UFhnZl9KYXhhZ2QxbVZyekhtYURVeQ==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32</Pages>
  <Words>12658</Words>
  <Characters>72153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CPU 1127</cp:lastModifiedBy>
  <cp:revision>32</cp:revision>
  <dcterms:created xsi:type="dcterms:W3CDTF">2014-10-25T14:34:00Z</dcterms:created>
  <dcterms:modified xsi:type="dcterms:W3CDTF">2025-04-16T11:44:00Z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6CDF43A9EEE247D99F36A008F97581DB_12</vt:lpwstr>
  </property>
</Properties>
</file>