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5B1EE" w14:textId="7C8AA9A9" w:rsidR="004616B0" w:rsidRDefault="004616B0" w:rsidP="00537CF5">
      <w:pPr>
        <w:pStyle w:val="Heading1"/>
        <w:rPr>
          <w:rFonts w:eastAsia="Times New Roman"/>
          <w:i/>
          <w:iCs/>
          <w:kern w:val="28"/>
          <w:sz w:val="40"/>
          <w:szCs w:val="40"/>
          <w:u w:val="single"/>
        </w:rPr>
      </w:pPr>
      <w:bookmarkStart w:id="0" w:name="_Hlk189332630"/>
      <w:bookmarkStart w:id="1" w:name="_Hlk182654942"/>
      <w:r w:rsidRPr="004616B0">
        <w:rPr>
          <w:rFonts w:eastAsia="Times New Roman"/>
          <w:i/>
          <w:iCs/>
          <w:kern w:val="28"/>
          <w:sz w:val="40"/>
          <w:szCs w:val="40"/>
          <w:u w:val="single"/>
        </w:rPr>
        <w:t>Original Research Article</w:t>
      </w:r>
    </w:p>
    <w:p w14:paraId="61993DB7" w14:textId="77777777" w:rsidR="004616B0" w:rsidRPr="004616B0" w:rsidRDefault="004616B0" w:rsidP="004616B0"/>
    <w:p w14:paraId="06DD2C88" w14:textId="687B21E4" w:rsidR="00DF1CFC" w:rsidRPr="006279D3" w:rsidRDefault="00AD798B" w:rsidP="00537CF5">
      <w:pPr>
        <w:pStyle w:val="Heading1"/>
        <w:rPr>
          <w:rFonts w:eastAsia="Times New Roman"/>
          <w:iCs/>
          <w:kern w:val="28"/>
          <w:sz w:val="40"/>
          <w:szCs w:val="40"/>
        </w:rPr>
      </w:pPr>
      <w:r w:rsidRPr="00AD798B">
        <w:rPr>
          <w:rFonts w:eastAsia="Times New Roman"/>
          <w:iCs/>
          <w:kern w:val="28"/>
          <w:sz w:val="40"/>
          <w:szCs w:val="40"/>
        </w:rPr>
        <w:t>Immunoreactivity to Cocoa and Nickel in Atopic and Allergic Contact Dermatitis</w:t>
      </w:r>
      <w:bookmarkEnd w:id="0"/>
      <w:r w:rsidR="00DF1CFC" w:rsidRPr="005E2A7F">
        <w:rPr>
          <w:rFonts w:eastAsia="Times New Roman"/>
          <w:iCs/>
          <w:kern w:val="28"/>
          <w:sz w:val="40"/>
          <w:szCs w:val="40"/>
        </w:rPr>
        <w:t>.</w:t>
      </w:r>
    </w:p>
    <w:bookmarkEnd w:id="1"/>
    <w:p w14:paraId="6E021DC4" w14:textId="77777777" w:rsidR="00DF1CFC" w:rsidRPr="00917BFA" w:rsidRDefault="00DF1CFC" w:rsidP="00537CF5">
      <w:pPr>
        <w:pStyle w:val="Heading1"/>
        <w:rPr>
          <w:rFonts w:eastAsia="Times New Roman" w:cs="Arial"/>
          <w:b w:val="0"/>
          <w:bCs w:val="0"/>
          <w:szCs w:val="20"/>
        </w:rPr>
      </w:pPr>
    </w:p>
    <w:p w14:paraId="0B04A239" w14:textId="77777777" w:rsidR="00DF1CFC" w:rsidRPr="005E2A7F" w:rsidRDefault="00DF1CFC" w:rsidP="006574B5">
      <w:pPr>
        <w:spacing w:after="0" w:line="240" w:lineRule="auto"/>
        <w:jc w:val="right"/>
        <w:rPr>
          <w:rFonts w:ascii="Arial" w:eastAsia="Times New Roman" w:hAnsi="Arial" w:cs="Arial"/>
          <w:b/>
          <w:sz w:val="20"/>
          <w:szCs w:val="20"/>
        </w:rPr>
      </w:pPr>
    </w:p>
    <w:p w14:paraId="5B032206" w14:textId="77777777" w:rsidR="00DF1CFC" w:rsidRPr="005E2A7F" w:rsidRDefault="00DF1CFC" w:rsidP="00B45921">
      <w:pPr>
        <w:spacing w:after="0" w:line="240" w:lineRule="auto"/>
        <w:jc w:val="right"/>
        <w:rPr>
          <w:rFonts w:ascii="Arial" w:eastAsia="Times New Roman" w:hAnsi="Arial" w:cs="Arial"/>
          <w:b/>
          <w:sz w:val="16"/>
          <w:szCs w:val="20"/>
        </w:rPr>
      </w:pPr>
    </w:p>
    <w:p w14:paraId="6C71DD9A" w14:textId="77777777" w:rsidR="00DF1CFC" w:rsidRPr="005E2A7F" w:rsidRDefault="00DF1CFC" w:rsidP="00B45921">
      <w:pPr>
        <w:spacing w:after="0" w:line="240" w:lineRule="auto"/>
        <w:jc w:val="right"/>
        <w:rPr>
          <w:rFonts w:ascii="Arial" w:eastAsia="Times New Roman" w:hAnsi="Arial" w:cs="Arial"/>
          <w:b/>
          <w:sz w:val="24"/>
          <w:szCs w:val="20"/>
        </w:rPr>
      </w:pPr>
      <w:r w:rsidRPr="005E2A7F">
        <w:rPr>
          <w:rFonts w:ascii="Arial" w:eastAsia="Times New Roman" w:hAnsi="Arial" w:cs="Arial"/>
          <w:b/>
          <w:noProof/>
          <w:sz w:val="24"/>
          <w:szCs w:val="20"/>
        </w:rPr>
        <mc:AlternateContent>
          <mc:Choice Requires="wps">
            <w:drawing>
              <wp:inline distT="0" distB="0" distL="0" distR="0" wp14:anchorId="720BF181" wp14:editId="4F3CE057">
                <wp:extent cx="5723890" cy="635"/>
                <wp:effectExtent l="12700" t="10160" r="16510" b="18415"/>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38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CFD2FA1" id="_x0000_t32" coordsize="21600,21600" o:spt="32" o:oned="t" path="m,l21600,21600e" filled="f">
                <v:path arrowok="t" fillok="f" o:connecttype="none"/>
                <o:lock v:ext="edit" shapetype="t"/>
              </v:shapetype>
              <v:shape id="AutoShape 16" o:spid="_x0000_s1026" type="#_x0000_t32" style="width:450.7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" strokeweight="1.5pt">
                <w10:anchorlock/>
              </v:shape>
            </w:pict>
          </mc:Fallback>
        </mc:AlternateContent>
      </w:r>
    </w:p>
    <w:p w14:paraId="674F5F2B" w14:textId="77777777" w:rsidR="00DF1CFC" w:rsidRPr="005E2A7F" w:rsidRDefault="00DF1CFC" w:rsidP="00646870">
      <w:pPr>
        <w:pStyle w:val="Heading2"/>
        <w:rPr>
          <w:rFonts w:eastAsia="Times New Roman"/>
        </w:rPr>
      </w:pPr>
      <w:r w:rsidRPr="005E2A7F">
        <w:rPr>
          <w:rFonts w:eastAsia="Times New Roman"/>
        </w:rPr>
        <w:t>ABSTRACT</w:t>
      </w:r>
    </w:p>
    <w:p w14:paraId="6B02E922" w14:textId="77777777" w:rsidR="00DF1CFC" w:rsidRPr="005E2A7F" w:rsidRDefault="00DF1CFC" w:rsidP="0060324C"/>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18"/>
      </w:tblGrid>
      <w:tr w:rsidR="00DF1CFC" w:rsidRPr="0059262C" w14:paraId="127A859A" w14:textId="77777777" w:rsidTr="00FC1F87">
        <w:trPr>
          <w:jc w:val="center"/>
        </w:trPr>
        <w:tc>
          <w:tcPr>
            <w:tcW w:w="9018" w:type="dxa"/>
            <w:shd w:val="clear" w:color="auto" w:fill="auto"/>
          </w:tcPr>
          <w:p w14:paraId="69B6A87F" w14:textId="173953BE" w:rsidR="00DF1CFC" w:rsidRPr="008C3E65" w:rsidRDefault="00DF1CFC" w:rsidP="00300E61">
            <w:pPr>
              <w:spacing w:after="0" w:line="240" w:lineRule="auto"/>
              <w:jc w:val="both"/>
              <w:rPr>
                <w:rFonts w:ascii="Arial" w:eastAsia="Calibri" w:hAnsi="Arial" w:cs="Arial"/>
                <w:b/>
                <w:sz w:val="20"/>
              </w:rPr>
            </w:pPr>
            <w:r w:rsidRPr="008C3E65">
              <w:rPr>
                <w:rFonts w:ascii="Arial" w:eastAsia="Calibri" w:hAnsi="Arial" w:cs="Arial"/>
                <w:b/>
                <w:sz w:val="20"/>
              </w:rPr>
              <w:t>Background:</w:t>
            </w:r>
            <w:r w:rsidR="00933B49">
              <w:rPr>
                <w:rFonts w:ascii="Arial" w:eastAsia="Calibri" w:hAnsi="Arial" w:cs="Arial"/>
                <w:b/>
                <w:sz w:val="20"/>
              </w:rPr>
              <w:t xml:space="preserve"> </w:t>
            </w:r>
            <w:r w:rsidR="00933B49">
              <w:rPr>
                <w:rFonts w:ascii="Arial" w:eastAsia="Times New Roman" w:hAnsi="Arial" w:cs="Arial"/>
                <w:sz w:val="20"/>
                <w:szCs w:val="20"/>
              </w:rPr>
              <w:t>C</w:t>
            </w:r>
            <w:r>
              <w:rPr>
                <w:rFonts w:ascii="Arial" w:eastAsia="Times New Roman" w:hAnsi="Arial" w:cs="Arial"/>
                <w:sz w:val="20"/>
                <w:szCs w:val="20"/>
              </w:rPr>
              <w:t>ocoa is one of the foods more consistently associated with high nickel content, a metal that functions as a hapten responsible for various n</w:t>
            </w:r>
            <w:r w:rsidRPr="0067297F">
              <w:rPr>
                <w:rFonts w:ascii="Arial" w:eastAsia="Times New Roman" w:hAnsi="Arial" w:cs="Arial"/>
                <w:sz w:val="20"/>
                <w:szCs w:val="20"/>
              </w:rPr>
              <w:t xml:space="preserve">on–IgE-mediated </w:t>
            </w:r>
            <w:r>
              <w:rPr>
                <w:rFonts w:ascii="Arial" w:eastAsia="Times New Roman" w:hAnsi="Arial" w:cs="Arial"/>
                <w:sz w:val="20"/>
                <w:szCs w:val="20"/>
              </w:rPr>
              <w:t xml:space="preserve">symptomatic hypersensitivities. </w:t>
            </w:r>
          </w:p>
          <w:p w14:paraId="1F6B06C0" w14:textId="77777777" w:rsidR="00DF1CFC" w:rsidRPr="005D4ACB" w:rsidRDefault="00DF1CFC" w:rsidP="00FC1F87">
            <w:pPr>
              <w:spacing w:after="0" w:line="240" w:lineRule="auto"/>
              <w:jc w:val="both"/>
              <w:rPr>
                <w:rFonts w:ascii="Arial" w:eastAsia="Times New Roman" w:hAnsi="Arial" w:cs="Arial"/>
                <w:sz w:val="20"/>
                <w:szCs w:val="20"/>
              </w:rPr>
            </w:pPr>
            <w:r w:rsidRPr="008C3E65">
              <w:rPr>
                <w:rFonts w:ascii="Arial" w:eastAsia="Calibri" w:hAnsi="Arial" w:cs="Arial"/>
                <w:b/>
                <w:sz w:val="20"/>
              </w:rPr>
              <w:t xml:space="preserve">Aim: </w:t>
            </w:r>
            <w:r w:rsidRPr="008C3E65">
              <w:rPr>
                <w:rFonts w:ascii="Arial" w:eastAsia="Times New Roman" w:hAnsi="Arial" w:cs="Arial"/>
                <w:sz w:val="20"/>
                <w:szCs w:val="20"/>
              </w:rPr>
              <w:t xml:space="preserve">The present study is a proof-of-concept that hypothesizes that LAIT and the TTP may differentiate diverse degrees of cellular and humoral immunoreactivity against cocoa extract and </w:t>
            </w:r>
            <w:r>
              <w:rPr>
                <w:rFonts w:ascii="Arial" w:eastAsia="Times New Roman" w:hAnsi="Arial" w:cs="Arial"/>
                <w:sz w:val="20"/>
                <w:szCs w:val="20"/>
              </w:rPr>
              <w:t xml:space="preserve">a </w:t>
            </w:r>
            <w:r w:rsidRPr="008C3E65">
              <w:rPr>
                <w:rFonts w:ascii="Arial" w:eastAsia="Times New Roman" w:hAnsi="Arial" w:cs="Arial"/>
                <w:sz w:val="20"/>
                <w:szCs w:val="20"/>
              </w:rPr>
              <w:t>nickel solu</w:t>
            </w:r>
            <w:r w:rsidRPr="00DC71A0">
              <w:rPr>
                <w:rFonts w:ascii="Arial" w:eastAsia="Times New Roman" w:hAnsi="Arial" w:cs="Arial"/>
                <w:sz w:val="20"/>
                <w:szCs w:val="20"/>
              </w:rPr>
              <w:t>tion, as well to verify some sort of cross-reactivity betwee</w:t>
            </w:r>
            <w:r>
              <w:rPr>
                <w:rFonts w:ascii="Arial" w:eastAsia="Times New Roman" w:hAnsi="Arial" w:cs="Arial"/>
                <w:sz w:val="20"/>
                <w:szCs w:val="20"/>
              </w:rPr>
              <w:t>n them in</w:t>
            </w:r>
            <w:r w:rsidRPr="00B34364">
              <w:rPr>
                <w:rFonts w:ascii="Arial" w:eastAsia="Times New Roman" w:hAnsi="Arial" w:cs="Arial"/>
                <w:sz w:val="20"/>
                <w:szCs w:val="20"/>
              </w:rPr>
              <w:t xml:space="preserve"> patients suffering from non–IgE-m</w:t>
            </w:r>
            <w:r w:rsidRPr="005D4ACB">
              <w:rPr>
                <w:rFonts w:ascii="Arial" w:eastAsia="Times New Roman" w:hAnsi="Arial" w:cs="Arial"/>
                <w:sz w:val="20"/>
                <w:szCs w:val="20"/>
              </w:rPr>
              <w:t xml:space="preserve">ediated </w:t>
            </w:r>
            <w:r w:rsidRPr="00F75DFA">
              <w:rPr>
                <w:rFonts w:ascii="Arial" w:eastAsia="Times New Roman" w:hAnsi="Arial" w:cs="Arial"/>
                <w:sz w:val="20"/>
                <w:szCs w:val="20"/>
              </w:rPr>
              <w:t>Atopic and Allergic Contact Dermatitis</w:t>
            </w:r>
            <w:r w:rsidRPr="005D4ACB">
              <w:rPr>
                <w:rFonts w:ascii="Arial" w:eastAsia="Times New Roman" w:hAnsi="Arial" w:cs="Arial"/>
                <w:sz w:val="20"/>
                <w:szCs w:val="20"/>
              </w:rPr>
              <w:t>.</w:t>
            </w:r>
          </w:p>
          <w:p w14:paraId="4F5491EE" w14:textId="0D765557" w:rsidR="00FC270B" w:rsidRDefault="004C7E14" w:rsidP="00FC270B">
            <w:pPr>
              <w:spacing w:after="0" w:line="240" w:lineRule="auto"/>
              <w:jc w:val="both"/>
              <w:rPr>
                <w:rFonts w:ascii="Arial" w:eastAsia="Calibri" w:hAnsi="Arial" w:cs="Arial"/>
                <w:bCs/>
                <w:sz w:val="20"/>
              </w:rPr>
            </w:pPr>
            <w:r w:rsidRPr="0005594D">
              <w:rPr>
                <w:rFonts w:ascii="Arial" w:eastAsia="Calibri" w:hAnsi="Arial" w:cs="Arial"/>
                <w:b/>
                <w:sz w:val="20"/>
              </w:rPr>
              <w:t>Methodology:</w:t>
            </w:r>
            <w:r w:rsidR="00DF1CFC" w:rsidRPr="005D4ACB">
              <w:rPr>
                <w:rFonts w:ascii="Arial" w:eastAsia="Calibri" w:hAnsi="Arial" w:cs="Arial"/>
                <w:b/>
                <w:sz w:val="20"/>
              </w:rPr>
              <w:t xml:space="preserve"> </w:t>
            </w:r>
            <w:r w:rsidR="00DF1CFC" w:rsidRPr="005D4ACB">
              <w:rPr>
                <w:rFonts w:ascii="Arial" w:eastAsia="Calibri" w:hAnsi="Arial" w:cs="Arial"/>
                <w:bCs/>
                <w:sz w:val="20"/>
              </w:rPr>
              <w:t>We</w:t>
            </w:r>
            <w:r w:rsidR="00DF1CFC">
              <w:rPr>
                <w:rFonts w:ascii="Arial" w:eastAsia="Calibri" w:hAnsi="Arial" w:cs="Arial"/>
                <w:bCs/>
                <w:sz w:val="20"/>
              </w:rPr>
              <w:t xml:space="preserve"> </w:t>
            </w:r>
            <w:r w:rsidR="00DF1CFC" w:rsidRPr="005D4ACB">
              <w:rPr>
                <w:rFonts w:ascii="Arial" w:eastAsia="Calibri" w:hAnsi="Arial" w:cs="Arial"/>
                <w:bCs/>
                <w:sz w:val="20"/>
              </w:rPr>
              <w:t>examined the medical charts of two cohorts of patients clinically diagnosed with Intrinsic Atopic Dermatitis and Allergic Contact Dermatitis, who were simultaneously</w:t>
            </w:r>
            <w:r w:rsidR="00DF1CFC">
              <w:rPr>
                <w:rFonts w:ascii="Arial" w:eastAsia="Calibri" w:hAnsi="Arial" w:cs="Arial"/>
                <w:bCs/>
                <w:sz w:val="20"/>
              </w:rPr>
              <w:t xml:space="preserve"> </w:t>
            </w:r>
            <w:r w:rsidR="00DF1CFC" w:rsidRPr="005D4ACB">
              <w:rPr>
                <w:rFonts w:ascii="Arial" w:eastAsia="Calibri" w:hAnsi="Arial" w:cs="Arial"/>
                <w:bCs/>
                <w:sz w:val="20"/>
              </w:rPr>
              <w:t xml:space="preserve">investigated </w:t>
            </w:r>
            <w:r w:rsidR="00DF1CFC">
              <w:rPr>
                <w:rFonts w:ascii="Arial" w:eastAsia="Calibri" w:hAnsi="Arial" w:cs="Arial"/>
                <w:bCs/>
                <w:sz w:val="20"/>
              </w:rPr>
              <w:t>with</w:t>
            </w:r>
            <w:r w:rsidR="00DF1CFC" w:rsidRPr="005D4ACB">
              <w:rPr>
                <w:rFonts w:ascii="Arial" w:eastAsia="Calibri" w:hAnsi="Arial" w:cs="Arial"/>
                <w:bCs/>
                <w:sz w:val="20"/>
              </w:rPr>
              <w:t xml:space="preserve"> cocoa extract and nickel solution</w:t>
            </w:r>
            <w:r w:rsidR="00DF1CFC">
              <w:rPr>
                <w:rFonts w:ascii="Arial" w:eastAsia="Calibri" w:hAnsi="Arial" w:cs="Arial"/>
                <w:bCs/>
                <w:sz w:val="20"/>
              </w:rPr>
              <w:t xml:space="preserve"> </w:t>
            </w:r>
            <w:r w:rsidR="00DF1CFC" w:rsidRPr="005D4ACB">
              <w:rPr>
                <w:rFonts w:ascii="Arial" w:eastAsia="Calibri" w:hAnsi="Arial" w:cs="Arial"/>
                <w:bCs/>
                <w:sz w:val="20"/>
              </w:rPr>
              <w:t>with the help of TTP or LAIT.</w:t>
            </w:r>
            <w:r>
              <w:rPr>
                <w:rFonts w:ascii="Arial" w:eastAsia="Calibri" w:hAnsi="Arial" w:cs="Arial"/>
                <w:bCs/>
                <w:sz w:val="20"/>
              </w:rPr>
              <w:t xml:space="preserve"> </w:t>
            </w:r>
            <w:r w:rsidR="00DF1CFC" w:rsidRPr="0005594D">
              <w:rPr>
                <w:rFonts w:ascii="Arial" w:eastAsia="Calibri" w:hAnsi="Arial" w:cs="Arial"/>
                <w:b/>
                <w:sz w:val="20"/>
              </w:rPr>
              <w:t xml:space="preserve"> </w:t>
            </w:r>
            <w:r w:rsidR="00DF1CFC" w:rsidRPr="0005594D">
              <w:rPr>
                <w:rFonts w:ascii="Arial" w:eastAsia="Calibri" w:hAnsi="Arial" w:cs="Arial"/>
                <w:bCs/>
                <w:sz w:val="20"/>
              </w:rPr>
              <w:t>The registered results of the semi-quantitative serum TTP against cocoa extract and nickel solution</w:t>
            </w:r>
            <w:r w:rsidR="00DF1CFC">
              <w:rPr>
                <w:rFonts w:ascii="Arial" w:eastAsia="Calibri" w:hAnsi="Arial" w:cs="Arial"/>
                <w:bCs/>
                <w:sz w:val="20"/>
              </w:rPr>
              <w:t>, as well as the</w:t>
            </w:r>
            <w:r w:rsidR="00DF1CFC" w:rsidRPr="0005594D">
              <w:rPr>
                <w:rFonts w:ascii="Arial" w:eastAsia="Calibri" w:hAnsi="Arial" w:cs="Arial"/>
                <w:bCs/>
                <w:sz w:val="20"/>
              </w:rPr>
              <w:t xml:space="preserve"> registered results of the Leukocyte Adherence Inhibition (LAI) percentage promoted by the </w:t>
            </w:r>
            <w:r w:rsidR="00DF1CFC" w:rsidRPr="0005594D">
              <w:rPr>
                <w:rFonts w:ascii="Arial" w:eastAsia="Calibri" w:hAnsi="Arial" w:cs="Arial"/>
                <w:bCs/>
                <w:i/>
                <w:iCs/>
                <w:sz w:val="20"/>
              </w:rPr>
              <w:t>ex vivo</w:t>
            </w:r>
            <w:r w:rsidR="00DF1CFC" w:rsidRPr="0005594D">
              <w:rPr>
                <w:rFonts w:ascii="Arial" w:eastAsia="Calibri" w:hAnsi="Arial" w:cs="Arial"/>
                <w:bCs/>
                <w:sz w:val="20"/>
              </w:rPr>
              <w:t xml:space="preserve"> challenges against </w:t>
            </w:r>
            <w:r w:rsidR="00DF1CFC">
              <w:rPr>
                <w:rFonts w:ascii="Arial" w:eastAsia="Calibri" w:hAnsi="Arial" w:cs="Arial"/>
                <w:bCs/>
                <w:sz w:val="20"/>
              </w:rPr>
              <w:t>a</w:t>
            </w:r>
            <w:r w:rsidR="00DF1CFC" w:rsidRPr="0005594D">
              <w:rPr>
                <w:rFonts w:ascii="Arial" w:eastAsia="Calibri" w:hAnsi="Arial" w:cs="Arial"/>
                <w:bCs/>
                <w:sz w:val="20"/>
              </w:rPr>
              <w:t xml:space="preserve"> cocoa extract and </w:t>
            </w:r>
            <w:r w:rsidR="00DF1CFC">
              <w:rPr>
                <w:rFonts w:ascii="Arial" w:eastAsia="Calibri" w:hAnsi="Arial" w:cs="Arial"/>
                <w:bCs/>
                <w:sz w:val="20"/>
              </w:rPr>
              <w:t xml:space="preserve">a </w:t>
            </w:r>
            <w:r w:rsidR="00DF1CFC" w:rsidRPr="0005594D">
              <w:rPr>
                <w:rFonts w:ascii="Arial" w:eastAsia="Calibri" w:hAnsi="Arial" w:cs="Arial"/>
                <w:bCs/>
                <w:sz w:val="20"/>
              </w:rPr>
              <w:t>nickel solution</w:t>
            </w:r>
            <w:r w:rsidR="00DF1CFC">
              <w:rPr>
                <w:rFonts w:ascii="Arial" w:eastAsia="Calibri" w:hAnsi="Arial" w:cs="Arial"/>
                <w:bCs/>
                <w:sz w:val="20"/>
              </w:rPr>
              <w:t>,</w:t>
            </w:r>
            <w:r w:rsidR="00DF1CFC" w:rsidRPr="0005594D">
              <w:rPr>
                <w:rFonts w:ascii="Arial" w:eastAsia="Calibri" w:hAnsi="Arial" w:cs="Arial"/>
                <w:bCs/>
                <w:sz w:val="20"/>
              </w:rPr>
              <w:t xml:space="preserve"> were distributed in ranges through a cascade distribution chart to outline the variability of the results inside the cohort</w:t>
            </w:r>
            <w:r w:rsidR="00DF1CFC">
              <w:rPr>
                <w:rFonts w:ascii="Arial" w:eastAsia="Calibri" w:hAnsi="Arial" w:cs="Arial"/>
                <w:bCs/>
                <w:sz w:val="20"/>
              </w:rPr>
              <w:t>s</w:t>
            </w:r>
            <w:r w:rsidR="00DF1CFC" w:rsidRPr="0005594D">
              <w:rPr>
                <w:rFonts w:ascii="Arial" w:eastAsia="Calibri" w:hAnsi="Arial" w:cs="Arial"/>
                <w:bCs/>
                <w:sz w:val="20"/>
              </w:rPr>
              <w:t>.</w:t>
            </w:r>
          </w:p>
          <w:p w14:paraId="1ADB7F0F" w14:textId="27102722" w:rsidR="00FC270B" w:rsidRDefault="00DF1CFC" w:rsidP="00FC270B">
            <w:pPr>
              <w:spacing w:after="0" w:line="240" w:lineRule="auto"/>
              <w:jc w:val="both"/>
              <w:rPr>
                <w:rFonts w:ascii="Arial" w:eastAsia="Times New Roman" w:hAnsi="Arial" w:cs="Arial"/>
                <w:sz w:val="20"/>
                <w:szCs w:val="20"/>
              </w:rPr>
            </w:pPr>
            <w:r w:rsidRPr="0032352E">
              <w:rPr>
                <w:rFonts w:ascii="Arial" w:eastAsia="Calibri" w:hAnsi="Arial" w:cs="Arial"/>
                <w:b/>
                <w:sz w:val="20"/>
              </w:rPr>
              <w:t xml:space="preserve">Results: </w:t>
            </w:r>
            <w:r w:rsidRPr="0032352E">
              <w:rPr>
                <w:rFonts w:ascii="Arial" w:eastAsia="Times New Roman" w:hAnsi="Arial" w:cs="Arial"/>
                <w:sz w:val="20"/>
                <w:szCs w:val="20"/>
              </w:rPr>
              <w:t xml:space="preserve">The mean </w:t>
            </w:r>
            <w:r w:rsidR="00F83E90">
              <w:rPr>
                <w:rFonts w:ascii="Arial" w:eastAsia="Times New Roman" w:hAnsi="Arial" w:cs="Arial"/>
                <w:sz w:val="20"/>
                <w:szCs w:val="20"/>
              </w:rPr>
              <w:t>for t</w:t>
            </w:r>
            <w:r w:rsidR="00F83E90" w:rsidRPr="0032352E">
              <w:rPr>
                <w:rFonts w:ascii="Arial" w:eastAsia="Times New Roman" w:hAnsi="Arial" w:cs="Arial"/>
                <w:sz w:val="20"/>
                <w:szCs w:val="20"/>
              </w:rPr>
              <w:t xml:space="preserve">he TTP for the cocoa extract </w:t>
            </w:r>
            <w:r w:rsidRPr="0032352E">
              <w:rPr>
                <w:rFonts w:ascii="Arial" w:eastAsia="Times New Roman" w:hAnsi="Arial" w:cs="Arial"/>
                <w:sz w:val="20"/>
                <w:szCs w:val="20"/>
              </w:rPr>
              <w:t xml:space="preserve">was estimated at 1:385; the median </w:t>
            </w:r>
            <w:r>
              <w:rPr>
                <w:rFonts w:ascii="Arial" w:eastAsia="Times New Roman" w:hAnsi="Arial" w:cs="Arial"/>
                <w:sz w:val="20"/>
                <w:szCs w:val="20"/>
              </w:rPr>
              <w:t xml:space="preserve">at 1:512; and the </w:t>
            </w:r>
            <w:r w:rsidR="00F83E90">
              <w:rPr>
                <w:rFonts w:ascii="Arial" w:eastAsia="Times New Roman" w:hAnsi="Arial" w:cs="Arial"/>
                <w:sz w:val="20"/>
                <w:szCs w:val="20"/>
              </w:rPr>
              <w:t>SD</w:t>
            </w:r>
            <w:r w:rsidRPr="0032352E">
              <w:rPr>
                <w:rFonts w:ascii="Arial" w:eastAsia="Times New Roman" w:hAnsi="Arial" w:cs="Arial"/>
                <w:sz w:val="20"/>
                <w:szCs w:val="20"/>
              </w:rPr>
              <w:t xml:space="preserve"> at 1:180</w:t>
            </w:r>
            <w:r>
              <w:rPr>
                <w:rFonts w:ascii="Arial" w:eastAsia="Times New Roman" w:hAnsi="Arial" w:cs="Arial"/>
                <w:sz w:val="20"/>
                <w:szCs w:val="20"/>
              </w:rPr>
              <w:t>.</w:t>
            </w:r>
            <w:r w:rsidRPr="0032352E">
              <w:rPr>
                <w:rFonts w:ascii="Arial" w:eastAsia="Times New Roman" w:hAnsi="Arial" w:cs="Arial"/>
                <w:sz w:val="20"/>
                <w:szCs w:val="20"/>
              </w:rPr>
              <w:t xml:space="preserve"> The mean </w:t>
            </w:r>
            <w:r w:rsidR="00F83E90">
              <w:rPr>
                <w:rFonts w:ascii="Arial" w:eastAsia="Times New Roman" w:hAnsi="Arial" w:cs="Arial"/>
                <w:sz w:val="20"/>
                <w:szCs w:val="20"/>
              </w:rPr>
              <w:t xml:space="preserve">or the </w:t>
            </w:r>
            <w:r w:rsidR="00F83E90" w:rsidRPr="0032352E">
              <w:rPr>
                <w:rFonts w:ascii="Arial" w:eastAsia="Times New Roman" w:hAnsi="Arial" w:cs="Arial"/>
                <w:sz w:val="20"/>
                <w:szCs w:val="20"/>
              </w:rPr>
              <w:t>TTP for the nickel</w:t>
            </w:r>
            <w:r w:rsidR="00F83E90">
              <w:rPr>
                <w:rFonts w:ascii="Arial" w:eastAsia="Times New Roman" w:hAnsi="Arial" w:cs="Arial"/>
                <w:sz w:val="20"/>
                <w:szCs w:val="20"/>
              </w:rPr>
              <w:t xml:space="preserve"> </w:t>
            </w:r>
            <w:r w:rsidRPr="0032352E">
              <w:rPr>
                <w:rFonts w:ascii="Arial" w:eastAsia="Times New Roman" w:hAnsi="Arial" w:cs="Arial"/>
                <w:sz w:val="20"/>
                <w:szCs w:val="20"/>
              </w:rPr>
              <w:t xml:space="preserve">was estimated at 1:309; the median was 1:256; the </w:t>
            </w:r>
            <w:r w:rsidR="00F83E90">
              <w:rPr>
                <w:rFonts w:ascii="Arial" w:eastAsia="Times New Roman" w:hAnsi="Arial" w:cs="Arial"/>
                <w:sz w:val="20"/>
                <w:szCs w:val="20"/>
              </w:rPr>
              <w:t>SD</w:t>
            </w:r>
            <w:r w:rsidRPr="0032352E">
              <w:rPr>
                <w:rFonts w:ascii="Arial" w:eastAsia="Times New Roman" w:hAnsi="Arial" w:cs="Arial"/>
                <w:sz w:val="20"/>
                <w:szCs w:val="20"/>
              </w:rPr>
              <w:t xml:space="preserve"> was estimated at 1:199.</w:t>
            </w:r>
            <w:r>
              <w:rPr>
                <w:rFonts w:ascii="Arial" w:eastAsia="Times New Roman" w:hAnsi="Arial" w:cs="Arial"/>
                <w:sz w:val="20"/>
                <w:szCs w:val="20"/>
              </w:rPr>
              <w:t xml:space="preserve"> </w:t>
            </w:r>
            <w:r w:rsidRPr="0032352E">
              <w:rPr>
                <w:rFonts w:ascii="Arial" w:eastAsia="Times New Roman" w:hAnsi="Arial" w:cs="Arial"/>
                <w:sz w:val="20"/>
                <w:szCs w:val="20"/>
              </w:rPr>
              <w:t xml:space="preserve">The mean </w:t>
            </w:r>
            <w:r w:rsidR="00F83E90" w:rsidRPr="0032352E">
              <w:rPr>
                <w:rFonts w:ascii="Arial" w:eastAsia="Times New Roman" w:hAnsi="Arial" w:cs="Arial"/>
                <w:sz w:val="20"/>
                <w:szCs w:val="20"/>
              </w:rPr>
              <w:t xml:space="preserve">for </w:t>
            </w:r>
            <w:r w:rsidR="00F83E90">
              <w:rPr>
                <w:rFonts w:ascii="Arial" w:eastAsia="Times New Roman" w:hAnsi="Arial" w:cs="Arial"/>
                <w:sz w:val="20"/>
                <w:szCs w:val="20"/>
              </w:rPr>
              <w:t>f</w:t>
            </w:r>
            <w:r w:rsidR="00F83E90" w:rsidRPr="00042462">
              <w:rPr>
                <w:rFonts w:ascii="Arial" w:eastAsia="Times New Roman" w:hAnsi="Arial" w:cs="Arial"/>
                <w:sz w:val="20"/>
                <w:szCs w:val="20"/>
              </w:rPr>
              <w:t xml:space="preserve">or </w:t>
            </w:r>
            <w:r w:rsidR="00F83E90">
              <w:rPr>
                <w:rFonts w:ascii="Arial" w:eastAsia="Times New Roman" w:hAnsi="Arial" w:cs="Arial"/>
                <w:sz w:val="20"/>
                <w:szCs w:val="20"/>
              </w:rPr>
              <w:t xml:space="preserve">the Leukocyte Adherence Inhibition (LAI) </w:t>
            </w:r>
            <w:r w:rsidR="00F83E90" w:rsidRPr="0032352E">
              <w:rPr>
                <w:rFonts w:ascii="Arial" w:eastAsia="Times New Roman" w:hAnsi="Arial" w:cs="Arial"/>
                <w:sz w:val="20"/>
                <w:szCs w:val="20"/>
              </w:rPr>
              <w:t>the cocoa extract</w:t>
            </w:r>
            <w:r w:rsidR="00F83E90">
              <w:rPr>
                <w:rFonts w:ascii="Arial" w:eastAsia="Times New Roman" w:hAnsi="Arial" w:cs="Arial"/>
                <w:sz w:val="20"/>
                <w:szCs w:val="20"/>
              </w:rPr>
              <w:t xml:space="preserve"> </w:t>
            </w:r>
            <w:r w:rsidRPr="0032352E">
              <w:rPr>
                <w:rFonts w:ascii="Arial" w:eastAsia="Times New Roman" w:hAnsi="Arial" w:cs="Arial"/>
                <w:sz w:val="20"/>
                <w:szCs w:val="20"/>
              </w:rPr>
              <w:t>was 51.9%; the median was 56%; the SD was 26.3%</w:t>
            </w:r>
            <w:r w:rsidR="00F83E90">
              <w:rPr>
                <w:rFonts w:ascii="Arial" w:eastAsia="Times New Roman" w:hAnsi="Arial" w:cs="Arial"/>
                <w:sz w:val="20"/>
                <w:szCs w:val="20"/>
              </w:rPr>
              <w:t>.</w:t>
            </w:r>
            <w:r w:rsidRPr="0032352E">
              <w:rPr>
                <w:rFonts w:ascii="Arial" w:eastAsia="Times New Roman" w:hAnsi="Arial" w:cs="Arial"/>
                <w:sz w:val="20"/>
                <w:szCs w:val="20"/>
              </w:rPr>
              <w:t xml:space="preserve">  </w:t>
            </w:r>
            <w:r w:rsidRPr="00042462">
              <w:rPr>
                <w:rFonts w:ascii="Arial" w:eastAsia="Times New Roman" w:hAnsi="Arial" w:cs="Arial"/>
                <w:sz w:val="20"/>
                <w:szCs w:val="20"/>
              </w:rPr>
              <w:t xml:space="preserve">The mean </w:t>
            </w:r>
            <w:r w:rsidR="00F83E90">
              <w:rPr>
                <w:rFonts w:ascii="Arial" w:eastAsia="Times New Roman" w:hAnsi="Arial" w:cs="Arial"/>
                <w:sz w:val="20"/>
                <w:szCs w:val="20"/>
              </w:rPr>
              <w:t>f</w:t>
            </w:r>
            <w:r w:rsidR="00F83E90" w:rsidRPr="00042462">
              <w:rPr>
                <w:rFonts w:ascii="Arial" w:eastAsia="Times New Roman" w:hAnsi="Arial" w:cs="Arial"/>
                <w:sz w:val="20"/>
                <w:szCs w:val="20"/>
              </w:rPr>
              <w:t xml:space="preserve">or </w:t>
            </w:r>
            <w:r w:rsidR="00F83E90">
              <w:rPr>
                <w:rFonts w:ascii="Arial" w:eastAsia="Times New Roman" w:hAnsi="Arial" w:cs="Arial"/>
                <w:sz w:val="20"/>
                <w:szCs w:val="20"/>
              </w:rPr>
              <w:t xml:space="preserve">the LAI for </w:t>
            </w:r>
            <w:r w:rsidR="00F83E90" w:rsidRPr="00042462">
              <w:rPr>
                <w:rFonts w:ascii="Arial" w:eastAsia="Times New Roman" w:hAnsi="Arial" w:cs="Arial"/>
                <w:sz w:val="20"/>
                <w:szCs w:val="20"/>
              </w:rPr>
              <w:t>nickel solution</w:t>
            </w:r>
            <w:r w:rsidR="00F83E90">
              <w:rPr>
                <w:rFonts w:ascii="Arial" w:eastAsia="Times New Roman" w:hAnsi="Arial" w:cs="Arial"/>
                <w:sz w:val="20"/>
                <w:szCs w:val="20"/>
              </w:rPr>
              <w:t xml:space="preserve"> </w:t>
            </w:r>
            <w:r w:rsidRPr="00042462">
              <w:rPr>
                <w:rFonts w:ascii="Arial" w:eastAsia="Times New Roman" w:hAnsi="Arial" w:cs="Arial"/>
                <w:sz w:val="20"/>
                <w:szCs w:val="20"/>
              </w:rPr>
              <w:t>was 33%; the median was 33%; the SD was 26,6%</w:t>
            </w:r>
            <w:r w:rsidR="00F83E90">
              <w:rPr>
                <w:rFonts w:ascii="Arial" w:eastAsia="Times New Roman" w:hAnsi="Arial" w:cs="Arial"/>
                <w:sz w:val="20"/>
                <w:szCs w:val="20"/>
              </w:rPr>
              <w:t>.</w:t>
            </w:r>
            <w:r w:rsidRPr="00042462">
              <w:rPr>
                <w:rFonts w:ascii="Arial" w:eastAsia="Times New Roman" w:hAnsi="Arial" w:cs="Arial"/>
                <w:sz w:val="20"/>
                <w:szCs w:val="20"/>
              </w:rPr>
              <w:t xml:space="preserve"> </w:t>
            </w:r>
            <w:r w:rsidRPr="002B5AD6">
              <w:rPr>
                <w:rFonts w:ascii="Arial" w:eastAsia="Times New Roman" w:hAnsi="Arial" w:cs="Arial"/>
                <w:sz w:val="20"/>
                <w:szCs w:val="20"/>
              </w:rPr>
              <w:t>The Pearson correlation indicated that there is a significant medium positive relationship between TTP results between Cocoa (x-axis) and Nickel (y-axis), r(98) = .335; p &lt; .001</w:t>
            </w:r>
            <w:r>
              <w:rPr>
                <w:rFonts w:ascii="Arial" w:eastAsia="Times New Roman" w:hAnsi="Arial" w:cs="Arial"/>
                <w:sz w:val="20"/>
                <w:szCs w:val="20"/>
              </w:rPr>
              <w:t xml:space="preserve">. </w:t>
            </w:r>
            <w:r w:rsidRPr="002B5AD6">
              <w:rPr>
                <w:rFonts w:ascii="Arial" w:eastAsia="Times New Roman" w:hAnsi="Arial" w:cs="Arial"/>
                <w:sz w:val="20"/>
                <w:szCs w:val="20"/>
              </w:rPr>
              <w:t>The Pearson correlation indicated that there is a significant medium positive relationship between LAIT results between Cocoa (x-axis) and Nickel (y-axis), r(98) = .425; p &lt; .001</w:t>
            </w:r>
            <w:r>
              <w:rPr>
                <w:rFonts w:ascii="Arial" w:eastAsia="Times New Roman" w:hAnsi="Arial" w:cs="Arial"/>
                <w:sz w:val="20"/>
                <w:szCs w:val="20"/>
              </w:rPr>
              <w:t>.</w:t>
            </w:r>
          </w:p>
          <w:p w14:paraId="7D956B58" w14:textId="3B35D28F" w:rsidR="00DF1CFC" w:rsidRPr="007304FD" w:rsidRDefault="00DF1CFC" w:rsidP="00FC270B">
            <w:pPr>
              <w:spacing w:after="0" w:line="240" w:lineRule="auto"/>
              <w:jc w:val="both"/>
              <w:rPr>
                <w:rFonts w:ascii="Arial" w:eastAsia="Times New Roman" w:hAnsi="Arial" w:cs="Arial"/>
                <w:sz w:val="20"/>
                <w:szCs w:val="20"/>
              </w:rPr>
            </w:pPr>
            <w:r w:rsidRPr="009D66A4">
              <w:rPr>
                <w:rFonts w:ascii="Arial" w:eastAsia="Calibri" w:hAnsi="Arial" w:cs="Arial"/>
                <w:b/>
                <w:sz w:val="20"/>
              </w:rPr>
              <w:t xml:space="preserve">Conclusion: </w:t>
            </w:r>
            <w:r w:rsidRPr="007304FD">
              <w:rPr>
                <w:rFonts w:ascii="Arial" w:eastAsia="Times New Roman" w:hAnsi="Arial" w:cs="Arial"/>
                <w:sz w:val="20"/>
                <w:szCs w:val="20"/>
              </w:rPr>
              <w:t>The results demonstrated a more significant immunoreactivity from the tests performed with cocoa extract than obtained with the nickel solution. These findings state that cocoa posses</w:t>
            </w:r>
            <w:r>
              <w:rPr>
                <w:rFonts w:ascii="Arial" w:eastAsia="Times New Roman" w:hAnsi="Arial" w:cs="Arial"/>
                <w:sz w:val="20"/>
                <w:szCs w:val="20"/>
              </w:rPr>
              <w:t>se</w:t>
            </w:r>
            <w:r w:rsidRPr="007304FD">
              <w:rPr>
                <w:rFonts w:ascii="Arial" w:eastAsia="Times New Roman" w:hAnsi="Arial" w:cs="Arial"/>
                <w:sz w:val="20"/>
                <w:szCs w:val="20"/>
              </w:rPr>
              <w:t xml:space="preserve">s </w:t>
            </w:r>
            <w:r>
              <w:rPr>
                <w:rFonts w:ascii="Arial" w:eastAsia="Times New Roman" w:hAnsi="Arial" w:cs="Arial"/>
                <w:sz w:val="20"/>
                <w:szCs w:val="20"/>
              </w:rPr>
              <w:t>other</w:t>
            </w:r>
            <w:r w:rsidRPr="007304FD">
              <w:rPr>
                <w:rFonts w:ascii="Arial" w:eastAsia="Times New Roman" w:hAnsi="Arial" w:cs="Arial"/>
                <w:sz w:val="20"/>
                <w:szCs w:val="20"/>
              </w:rPr>
              <w:t xml:space="preserve"> allergens responsible for cellular immunoreactivity </w:t>
            </w:r>
            <w:r>
              <w:rPr>
                <w:rFonts w:ascii="Arial" w:eastAsia="Times New Roman" w:hAnsi="Arial" w:cs="Arial"/>
                <w:sz w:val="20"/>
                <w:szCs w:val="20"/>
              </w:rPr>
              <w:t>b</w:t>
            </w:r>
            <w:r w:rsidRPr="007304FD">
              <w:rPr>
                <w:rFonts w:ascii="Arial" w:eastAsia="Times New Roman" w:hAnsi="Arial" w:cs="Arial"/>
                <w:sz w:val="20"/>
                <w:szCs w:val="20"/>
              </w:rPr>
              <w:t>esides nickel. This means that if a patient presents cellular immunoreactivity against cocoa, he/she will not necessarily present immunoreactivity against nickel; however, reciprocation is less probable.</w:t>
            </w:r>
          </w:p>
          <w:p w14:paraId="6843F77E" w14:textId="77777777" w:rsidR="00DF1CFC" w:rsidRPr="0059262C" w:rsidRDefault="00DF1CFC" w:rsidP="00042462">
            <w:pPr>
              <w:spacing w:after="0" w:line="240" w:lineRule="auto"/>
              <w:jc w:val="both"/>
              <w:rPr>
                <w:rFonts w:ascii="Arial" w:eastAsia="Calibri" w:hAnsi="Arial" w:cs="Arial"/>
                <w:bCs/>
                <w:color w:val="C00000"/>
                <w:sz w:val="20"/>
              </w:rPr>
            </w:pPr>
          </w:p>
        </w:tc>
      </w:tr>
    </w:tbl>
    <w:p w14:paraId="01641CD9" w14:textId="77777777" w:rsidR="00DF1CFC" w:rsidRPr="005E2A7F" w:rsidRDefault="00DF1CFC" w:rsidP="00646870">
      <w:pPr>
        <w:spacing w:after="0" w:line="240" w:lineRule="auto"/>
        <w:ind w:left="990" w:hanging="990"/>
        <w:jc w:val="both"/>
        <w:textAlignment w:val="top"/>
        <w:rPr>
          <w:rFonts w:ascii="Arial" w:eastAsia="Times New Roman" w:hAnsi="Arial" w:cs="Arial"/>
          <w:i/>
          <w:szCs w:val="20"/>
        </w:rPr>
      </w:pPr>
    </w:p>
    <w:p w14:paraId="78B35146" w14:textId="77777777" w:rsidR="00DF1CFC" w:rsidRPr="00A87197" w:rsidRDefault="00DF1CFC" w:rsidP="00646870">
      <w:pPr>
        <w:spacing w:after="0" w:line="240" w:lineRule="auto"/>
        <w:ind w:left="1080" w:hanging="1080"/>
        <w:jc w:val="both"/>
        <w:rPr>
          <w:rFonts w:ascii="Arial" w:eastAsia="Times New Roman" w:hAnsi="Arial" w:cs="Arial"/>
          <w:bCs/>
          <w:i/>
          <w:iCs/>
          <w:sz w:val="20"/>
          <w:szCs w:val="20"/>
        </w:rPr>
      </w:pPr>
      <w:r w:rsidRPr="00101139">
        <w:rPr>
          <w:rFonts w:ascii="Arial" w:eastAsia="Times New Roman" w:hAnsi="Arial" w:cs="Arial"/>
          <w:i/>
          <w:sz w:val="20"/>
          <w:szCs w:val="20"/>
        </w:rPr>
        <w:t xml:space="preserve">Keywords: </w:t>
      </w:r>
      <w:r w:rsidRPr="00A87197">
        <w:rPr>
          <w:rFonts w:ascii="Arial" w:eastAsia="Times New Roman" w:hAnsi="Arial" w:cs="Arial"/>
          <w:i/>
          <w:sz w:val="20"/>
          <w:szCs w:val="20"/>
        </w:rPr>
        <w:t xml:space="preserve">Cocoa, </w:t>
      </w:r>
      <w:r>
        <w:rPr>
          <w:rFonts w:ascii="Arial" w:eastAsia="Times New Roman" w:hAnsi="Arial" w:cs="Arial"/>
          <w:i/>
          <w:sz w:val="20"/>
          <w:szCs w:val="20"/>
        </w:rPr>
        <w:t xml:space="preserve">Dermatitis, </w:t>
      </w:r>
      <w:r w:rsidRPr="00A87197">
        <w:rPr>
          <w:rFonts w:ascii="Arial" w:eastAsia="Times New Roman" w:hAnsi="Arial" w:cs="Arial"/>
          <w:bCs/>
          <w:i/>
          <w:iCs/>
          <w:sz w:val="20"/>
          <w:szCs w:val="20"/>
        </w:rPr>
        <w:t xml:space="preserve">Endotype; Hypersensitivity; </w:t>
      </w:r>
      <w:r w:rsidRPr="00A87197">
        <w:rPr>
          <w:rFonts w:ascii="Arial" w:eastAsia="Calibri" w:hAnsi="Arial" w:cs="Arial"/>
          <w:bCs/>
          <w:i/>
          <w:iCs/>
          <w:sz w:val="20"/>
        </w:rPr>
        <w:t>Leukocyte Adherence Inhibition Test</w:t>
      </w:r>
      <w:r w:rsidRPr="00A87197">
        <w:rPr>
          <w:rFonts w:ascii="Arial" w:eastAsia="Times New Roman" w:hAnsi="Arial" w:cs="Arial"/>
          <w:bCs/>
          <w:i/>
          <w:iCs/>
          <w:sz w:val="20"/>
          <w:szCs w:val="20"/>
        </w:rPr>
        <w:t>; Nickel; Non–IgE-mediated Immunoreactivity; Precipitins.</w:t>
      </w:r>
    </w:p>
    <w:p w14:paraId="1241DD39" w14:textId="77777777" w:rsidR="00DF1CFC" w:rsidRPr="00A87197" w:rsidRDefault="00DF1CFC" w:rsidP="00646870">
      <w:pPr>
        <w:pStyle w:val="Heading2"/>
        <w:rPr>
          <w:rFonts w:eastAsia="Times New Roman"/>
        </w:rPr>
      </w:pPr>
    </w:p>
    <w:p w14:paraId="03D09D37" w14:textId="77777777" w:rsidR="00DF1CFC" w:rsidRPr="006F4DDA" w:rsidRDefault="00DF1CFC" w:rsidP="00806635">
      <w:pPr>
        <w:spacing w:after="0" w:line="240" w:lineRule="auto"/>
        <w:rPr>
          <w:rFonts w:ascii="Arial" w:hAnsi="Arial" w:cs="Arial"/>
          <w:b/>
          <w:bCs/>
          <w:sz w:val="20"/>
          <w:szCs w:val="20"/>
        </w:rPr>
      </w:pPr>
      <w:r w:rsidRPr="006F4DDA">
        <w:rPr>
          <w:rFonts w:ascii="Arial" w:hAnsi="Arial" w:cs="Arial"/>
          <w:b/>
          <w:bCs/>
          <w:sz w:val="20"/>
          <w:szCs w:val="20"/>
        </w:rPr>
        <w:t>Abbreviations:</w:t>
      </w:r>
    </w:p>
    <w:p w14:paraId="752C01B9" w14:textId="77777777" w:rsidR="00DF1CFC" w:rsidRPr="006F4DDA" w:rsidRDefault="00DF1CFC" w:rsidP="00806635">
      <w:pPr>
        <w:spacing w:after="0" w:line="240" w:lineRule="auto"/>
        <w:rPr>
          <w:rFonts w:ascii="Arial" w:hAnsi="Arial" w:cs="Arial"/>
          <w:sz w:val="20"/>
          <w:szCs w:val="20"/>
        </w:rPr>
      </w:pPr>
      <w:r w:rsidRPr="006F4DDA">
        <w:rPr>
          <w:rFonts w:ascii="Arial" w:hAnsi="Arial" w:cs="Arial"/>
          <w:sz w:val="20"/>
          <w:szCs w:val="20"/>
        </w:rPr>
        <w:t>LAI: Leukocyte Adherence Inhibition</w:t>
      </w:r>
    </w:p>
    <w:p w14:paraId="344AFFA2" w14:textId="77777777" w:rsidR="00DF1CFC" w:rsidRPr="006F4DDA" w:rsidRDefault="00DF1CFC" w:rsidP="00A50D7A">
      <w:pPr>
        <w:spacing w:after="0" w:line="240" w:lineRule="auto"/>
        <w:rPr>
          <w:rFonts w:ascii="Arial" w:hAnsi="Arial" w:cs="Arial"/>
          <w:sz w:val="20"/>
          <w:szCs w:val="20"/>
        </w:rPr>
      </w:pPr>
      <w:r w:rsidRPr="006F4DDA">
        <w:rPr>
          <w:rFonts w:ascii="Arial" w:hAnsi="Arial" w:cs="Arial"/>
          <w:sz w:val="20"/>
          <w:szCs w:val="20"/>
        </w:rPr>
        <w:t>LAIT: Leukocyte Adherence Inhibition Test</w:t>
      </w:r>
    </w:p>
    <w:p w14:paraId="3C3DB335" w14:textId="77777777" w:rsidR="00DF1CFC" w:rsidRPr="006F4DDA" w:rsidRDefault="00DF1CFC" w:rsidP="00A50D7A">
      <w:pPr>
        <w:spacing w:after="0" w:line="240" w:lineRule="auto"/>
        <w:rPr>
          <w:rFonts w:ascii="Arial" w:hAnsi="Arial" w:cs="Arial"/>
          <w:sz w:val="20"/>
          <w:szCs w:val="20"/>
        </w:rPr>
      </w:pPr>
      <w:r w:rsidRPr="006F4DDA">
        <w:rPr>
          <w:rFonts w:ascii="Arial" w:hAnsi="Arial" w:cs="Arial"/>
          <w:sz w:val="20"/>
          <w:szCs w:val="20"/>
        </w:rPr>
        <w:t>TTP: Tube Titration of Precipitins</w:t>
      </w:r>
    </w:p>
    <w:p w14:paraId="2610CB6D" w14:textId="77777777" w:rsidR="00DF1CFC" w:rsidRPr="002D7DE5" w:rsidRDefault="00DF1CFC" w:rsidP="00A50D7A">
      <w:pPr>
        <w:spacing w:after="0" w:line="240" w:lineRule="auto"/>
        <w:rPr>
          <w:rFonts w:ascii="Arial" w:hAnsi="Arial" w:cs="Arial"/>
          <w:color w:val="FF0000"/>
          <w:sz w:val="20"/>
          <w:szCs w:val="20"/>
        </w:rPr>
      </w:pPr>
    </w:p>
    <w:p w14:paraId="6D58DFE6" w14:textId="77777777" w:rsidR="00DF1CFC" w:rsidRPr="002D7DE5" w:rsidRDefault="00DF1CFC" w:rsidP="00646870">
      <w:pPr>
        <w:pStyle w:val="Heading2"/>
        <w:rPr>
          <w:rFonts w:eastAsia="Times New Roman"/>
          <w:color w:val="FF0000"/>
        </w:rPr>
      </w:pPr>
      <w:r w:rsidRPr="00405785">
        <w:rPr>
          <w:rFonts w:eastAsia="Times New Roman"/>
        </w:rPr>
        <w:t xml:space="preserve">1. INTRODUCTION </w:t>
      </w:r>
    </w:p>
    <w:p w14:paraId="05926974" w14:textId="77777777" w:rsidR="00DF1CFC" w:rsidRDefault="00DF1CFC" w:rsidP="0041247A">
      <w:pPr>
        <w:spacing w:after="0" w:line="240" w:lineRule="auto"/>
        <w:ind w:firstLine="708"/>
        <w:jc w:val="both"/>
        <w:rPr>
          <w:rFonts w:ascii="Arial" w:eastAsia="Times New Roman" w:hAnsi="Arial" w:cs="Arial"/>
          <w:color w:val="77206D" w:themeColor="accent5" w:themeShade="BF"/>
          <w:sz w:val="20"/>
          <w:szCs w:val="20"/>
        </w:rPr>
      </w:pPr>
      <w:bookmarkStart w:id="2" w:name="_Hlk139722355"/>
    </w:p>
    <w:p w14:paraId="5CE43405" w14:textId="0F1E6FED" w:rsidR="00DF1CFC" w:rsidRDefault="00DF1CFC" w:rsidP="00B926CB">
      <w:pPr>
        <w:spacing w:after="0" w:line="240" w:lineRule="auto"/>
        <w:ind w:firstLine="708"/>
        <w:jc w:val="both"/>
        <w:rPr>
          <w:rFonts w:ascii="Arial" w:eastAsia="Times New Roman" w:hAnsi="Arial" w:cs="Arial"/>
          <w:sz w:val="20"/>
          <w:szCs w:val="20"/>
        </w:rPr>
      </w:pPr>
      <w:r w:rsidRPr="00973D5F">
        <w:rPr>
          <w:rFonts w:ascii="Arial" w:eastAsia="Times New Roman" w:hAnsi="Arial" w:cs="Arial"/>
          <w:sz w:val="20"/>
          <w:szCs w:val="20"/>
        </w:rPr>
        <w:t>Self-reported allergy to chocolate is a common complain</w:t>
      </w:r>
      <w:r>
        <w:rPr>
          <w:rFonts w:ascii="Arial" w:eastAsia="Times New Roman" w:hAnsi="Arial" w:cs="Arial"/>
          <w:sz w:val="20"/>
          <w:szCs w:val="20"/>
        </w:rPr>
        <w:t>t</w:t>
      </w:r>
      <w:r w:rsidRPr="00973D5F">
        <w:rPr>
          <w:rFonts w:ascii="Arial" w:eastAsia="Times New Roman" w:hAnsi="Arial" w:cs="Arial"/>
          <w:sz w:val="20"/>
          <w:szCs w:val="20"/>
        </w:rPr>
        <w:t xml:space="preserve"> in </w:t>
      </w:r>
      <w:r>
        <w:rPr>
          <w:rFonts w:ascii="Arial" w:eastAsia="Times New Roman" w:hAnsi="Arial" w:cs="Arial"/>
          <w:sz w:val="20"/>
          <w:szCs w:val="20"/>
        </w:rPr>
        <w:t xml:space="preserve">the </w:t>
      </w:r>
      <w:r w:rsidRPr="00973D5F">
        <w:rPr>
          <w:rFonts w:ascii="Arial" w:eastAsia="Times New Roman" w:hAnsi="Arial" w:cs="Arial"/>
          <w:sz w:val="20"/>
          <w:szCs w:val="20"/>
        </w:rPr>
        <w:t xml:space="preserve">clinical practice of </w:t>
      </w:r>
      <w:r>
        <w:rPr>
          <w:rFonts w:ascii="Arial" w:eastAsia="Times New Roman" w:hAnsi="Arial" w:cs="Arial"/>
          <w:sz w:val="20"/>
          <w:szCs w:val="20"/>
        </w:rPr>
        <w:t xml:space="preserve">Allergology; however, IgE-mediated cocoa hypersensitivity is not a commonly demonstrable endotype responsible for the phenotypes described as cocoa allergies </w:t>
      </w:r>
      <w:r>
        <w:rPr>
          <w:rFonts w:ascii="Arial" w:eastAsia="Times New Roman" w:hAnsi="Arial" w:cs="Arial"/>
          <w:noProof/>
          <w:sz w:val="20"/>
          <w:szCs w:val="20"/>
        </w:rPr>
        <w:t xml:space="preserve">(Nin-Valencia et al. 2024, </w:t>
      </w:r>
      <w:r>
        <w:rPr>
          <w:rFonts w:ascii="Arial" w:eastAsia="Times New Roman" w:hAnsi="Arial" w:cs="Arial"/>
          <w:noProof/>
          <w:sz w:val="20"/>
          <w:szCs w:val="20"/>
        </w:rPr>
        <w:lastRenderedPageBreak/>
        <w:t>Sloan and Powers 1986)</w:t>
      </w:r>
      <w:r>
        <w:rPr>
          <w:rFonts w:ascii="Arial" w:eastAsia="Times New Roman" w:hAnsi="Arial" w:cs="Arial"/>
          <w:sz w:val="20"/>
          <w:szCs w:val="20"/>
        </w:rPr>
        <w:t xml:space="preserve">. When thoroughly investigated, IgE-mediated reactions to chocolate are usually due to </w:t>
      </w:r>
      <w:r w:rsidRPr="00B926CB">
        <w:rPr>
          <w:rFonts w:ascii="Arial" w:eastAsia="Times New Roman" w:hAnsi="Arial" w:cs="Arial"/>
          <w:sz w:val="20"/>
          <w:szCs w:val="20"/>
        </w:rPr>
        <w:t>cow</w:t>
      </w:r>
      <w:r w:rsidR="00555300">
        <w:rPr>
          <w:rFonts w:ascii="Arial" w:eastAsia="Times New Roman" w:hAnsi="Arial" w:cs="Arial"/>
          <w:sz w:val="20"/>
          <w:szCs w:val="20"/>
        </w:rPr>
        <w:t>'</w:t>
      </w:r>
      <w:r w:rsidRPr="00B926CB">
        <w:rPr>
          <w:rFonts w:ascii="Arial" w:eastAsia="Times New Roman" w:hAnsi="Arial" w:cs="Arial"/>
          <w:sz w:val="20"/>
          <w:szCs w:val="20"/>
        </w:rPr>
        <w:t>s milk,</w:t>
      </w:r>
      <w:r>
        <w:rPr>
          <w:rFonts w:ascii="Arial" w:eastAsia="Times New Roman" w:hAnsi="Arial" w:cs="Arial"/>
          <w:sz w:val="20"/>
          <w:szCs w:val="20"/>
        </w:rPr>
        <w:t xml:space="preserve"> </w:t>
      </w:r>
      <w:r w:rsidRPr="00B926CB">
        <w:rPr>
          <w:rFonts w:ascii="Arial" w:eastAsia="Times New Roman" w:hAnsi="Arial" w:cs="Arial"/>
          <w:sz w:val="20"/>
          <w:szCs w:val="20"/>
        </w:rPr>
        <w:t>hen</w:t>
      </w:r>
      <w:r w:rsidR="00555300">
        <w:rPr>
          <w:rFonts w:ascii="Arial" w:eastAsia="Times New Roman" w:hAnsi="Arial" w:cs="Arial"/>
          <w:sz w:val="20"/>
          <w:szCs w:val="20"/>
        </w:rPr>
        <w:t>'</w:t>
      </w:r>
      <w:r w:rsidRPr="00B926CB">
        <w:rPr>
          <w:rFonts w:ascii="Arial" w:eastAsia="Times New Roman" w:hAnsi="Arial" w:cs="Arial"/>
          <w:sz w:val="20"/>
          <w:szCs w:val="20"/>
        </w:rPr>
        <w:t>s egg, peanut, soybean, hazelnut, almond</w:t>
      </w:r>
      <w:r>
        <w:rPr>
          <w:rFonts w:ascii="Arial" w:eastAsia="Times New Roman" w:hAnsi="Arial" w:cs="Arial"/>
          <w:sz w:val="20"/>
          <w:szCs w:val="20"/>
        </w:rPr>
        <w:t xml:space="preserve">, and other ingredients and contaminants added to cocoa to make sweet chocolate </w:t>
      </w:r>
      <w:r>
        <w:rPr>
          <w:rFonts w:ascii="Arial" w:eastAsia="Times New Roman" w:hAnsi="Arial" w:cs="Arial"/>
          <w:noProof/>
          <w:sz w:val="20"/>
          <w:szCs w:val="20"/>
        </w:rPr>
        <w:t>(Lopes et al. 2019, Pilolli et al. 2024)</w:t>
      </w:r>
      <w:r>
        <w:rPr>
          <w:rFonts w:ascii="Arial" w:eastAsia="Times New Roman" w:hAnsi="Arial" w:cs="Arial"/>
          <w:sz w:val="20"/>
          <w:szCs w:val="20"/>
        </w:rPr>
        <w:t xml:space="preserve">. </w:t>
      </w:r>
      <w:r w:rsidRPr="00A8275D">
        <w:rPr>
          <w:rFonts w:ascii="Arial" w:eastAsia="Times New Roman" w:hAnsi="Arial" w:cs="Arial"/>
          <w:sz w:val="20"/>
          <w:szCs w:val="20"/>
        </w:rPr>
        <w:t xml:space="preserve">The Allergen Nomenclature Sub-Committee of the World Health Organization and International Union of Immunological Societies (WHO/IUIS) do not recognize any protein derived from </w:t>
      </w:r>
      <w:r w:rsidRPr="00A8275D">
        <w:rPr>
          <w:rFonts w:ascii="Arial" w:eastAsia="Times New Roman" w:hAnsi="Arial" w:cs="Arial"/>
          <w:i/>
          <w:iCs/>
          <w:sz w:val="20"/>
          <w:szCs w:val="20"/>
        </w:rPr>
        <w:t>Theobroma cacao</w:t>
      </w:r>
      <w:r w:rsidRPr="00A8275D">
        <w:rPr>
          <w:rFonts w:ascii="Arial" w:eastAsia="Times New Roman" w:hAnsi="Arial" w:cs="Arial"/>
          <w:sz w:val="20"/>
          <w:szCs w:val="20"/>
        </w:rPr>
        <w:t xml:space="preserve"> </w:t>
      </w:r>
      <w:r>
        <w:rPr>
          <w:rFonts w:ascii="Arial" w:eastAsia="Times New Roman" w:hAnsi="Arial" w:cs="Arial"/>
          <w:sz w:val="20"/>
          <w:szCs w:val="20"/>
        </w:rPr>
        <w:t>that</w:t>
      </w:r>
      <w:r w:rsidRPr="00A8275D">
        <w:rPr>
          <w:rFonts w:ascii="Arial" w:eastAsia="Times New Roman" w:hAnsi="Arial" w:cs="Arial"/>
          <w:sz w:val="20"/>
          <w:szCs w:val="20"/>
        </w:rPr>
        <w:t xml:space="preserve"> could </w:t>
      </w:r>
      <w:r>
        <w:rPr>
          <w:rFonts w:ascii="Arial" w:eastAsia="Times New Roman" w:hAnsi="Arial" w:cs="Arial"/>
          <w:sz w:val="20"/>
          <w:szCs w:val="20"/>
        </w:rPr>
        <w:t>officially be stated as a major (or a minor)</w:t>
      </w:r>
      <w:r w:rsidRPr="00A8275D">
        <w:rPr>
          <w:rFonts w:ascii="Arial" w:eastAsia="Times New Roman" w:hAnsi="Arial" w:cs="Arial"/>
          <w:sz w:val="20"/>
          <w:szCs w:val="20"/>
        </w:rPr>
        <w:t xml:space="preserve"> </w:t>
      </w:r>
      <w:r>
        <w:rPr>
          <w:rFonts w:ascii="Arial" w:eastAsia="Times New Roman" w:hAnsi="Arial" w:cs="Arial"/>
          <w:sz w:val="20"/>
          <w:szCs w:val="20"/>
        </w:rPr>
        <w:t xml:space="preserve">IgE-mediated </w:t>
      </w:r>
      <w:r w:rsidRPr="00A8275D">
        <w:rPr>
          <w:rFonts w:ascii="Arial" w:eastAsia="Times New Roman" w:hAnsi="Arial" w:cs="Arial"/>
          <w:sz w:val="20"/>
          <w:szCs w:val="20"/>
        </w:rPr>
        <w:t>allergen.</w:t>
      </w:r>
      <w:r>
        <w:rPr>
          <w:rFonts w:ascii="Arial" w:eastAsia="Times New Roman" w:hAnsi="Arial" w:cs="Arial"/>
          <w:sz w:val="20"/>
          <w:szCs w:val="20"/>
        </w:rPr>
        <w:t xml:space="preserve"> A candidate to be recognized as a significant IgE-mediated cocoa allergen is the</w:t>
      </w:r>
      <w:r w:rsidRPr="00F72BC6">
        <w:rPr>
          <w:rFonts w:ascii="Arial" w:eastAsia="Times New Roman" w:hAnsi="Arial" w:cs="Arial"/>
          <w:sz w:val="20"/>
          <w:szCs w:val="20"/>
        </w:rPr>
        <w:t xml:space="preserve"> </w:t>
      </w:r>
      <w:r>
        <w:rPr>
          <w:rFonts w:ascii="Arial" w:eastAsia="Times New Roman" w:hAnsi="Arial" w:cs="Arial"/>
          <w:sz w:val="20"/>
          <w:szCs w:val="20"/>
        </w:rPr>
        <w:t>P</w:t>
      </w:r>
      <w:r w:rsidRPr="00F72BC6">
        <w:rPr>
          <w:rFonts w:ascii="Arial" w:eastAsia="Times New Roman" w:hAnsi="Arial" w:cs="Arial"/>
          <w:sz w:val="20"/>
          <w:szCs w:val="20"/>
        </w:rPr>
        <w:t>athogenesis</w:t>
      </w:r>
      <w:r>
        <w:rPr>
          <w:rFonts w:ascii="Arial" w:eastAsia="Times New Roman" w:hAnsi="Arial" w:cs="Arial"/>
          <w:sz w:val="20"/>
          <w:szCs w:val="20"/>
        </w:rPr>
        <w:t>-R</w:t>
      </w:r>
      <w:r w:rsidRPr="00F72BC6">
        <w:rPr>
          <w:rFonts w:ascii="Arial" w:eastAsia="Times New Roman" w:hAnsi="Arial" w:cs="Arial"/>
          <w:sz w:val="20"/>
          <w:szCs w:val="20"/>
        </w:rPr>
        <w:t>elated protein PR10 (TcPR-10),</w:t>
      </w:r>
      <w:r>
        <w:rPr>
          <w:rFonts w:ascii="Arial" w:eastAsia="Times New Roman" w:hAnsi="Arial" w:cs="Arial"/>
          <w:sz w:val="20"/>
          <w:szCs w:val="20"/>
        </w:rPr>
        <w:t xml:space="preserve"> a </w:t>
      </w:r>
      <w:r w:rsidRPr="00F72BC6">
        <w:rPr>
          <w:rFonts w:ascii="Arial" w:eastAsia="Times New Roman" w:hAnsi="Arial" w:cs="Arial"/>
          <w:sz w:val="20"/>
          <w:szCs w:val="20"/>
        </w:rPr>
        <w:t xml:space="preserve">protein with homology to pollen </w:t>
      </w:r>
      <w:r>
        <w:rPr>
          <w:rFonts w:ascii="Arial" w:eastAsia="Times New Roman" w:hAnsi="Arial" w:cs="Arial"/>
          <w:sz w:val="20"/>
          <w:szCs w:val="20"/>
        </w:rPr>
        <w:t>and</w:t>
      </w:r>
      <w:r w:rsidRPr="00F72BC6">
        <w:rPr>
          <w:rFonts w:ascii="Arial" w:eastAsia="Times New Roman" w:hAnsi="Arial" w:cs="Arial"/>
          <w:sz w:val="20"/>
          <w:szCs w:val="20"/>
        </w:rPr>
        <w:t xml:space="preserve"> food allergens</w:t>
      </w:r>
      <w:r>
        <w:rPr>
          <w:rFonts w:ascii="Arial" w:eastAsia="Times New Roman" w:hAnsi="Arial" w:cs="Arial"/>
          <w:sz w:val="20"/>
          <w:szCs w:val="20"/>
        </w:rPr>
        <w:t xml:space="preserve"> derived from the Birch </w:t>
      </w:r>
      <w:r w:rsidRPr="00F72BC6">
        <w:rPr>
          <w:rFonts w:ascii="Arial" w:eastAsia="Times New Roman" w:hAnsi="Arial" w:cs="Arial"/>
          <w:sz w:val="20"/>
          <w:szCs w:val="20"/>
        </w:rPr>
        <w:t>(</w:t>
      </w:r>
      <w:r w:rsidRPr="00F72BC6">
        <w:rPr>
          <w:rFonts w:ascii="Arial" w:eastAsia="Times New Roman" w:hAnsi="Arial" w:cs="Arial"/>
          <w:i/>
          <w:iCs/>
          <w:sz w:val="20"/>
          <w:szCs w:val="20"/>
        </w:rPr>
        <w:t>Betula verrucosa</w:t>
      </w:r>
      <w:r w:rsidRPr="00F72BC6">
        <w:rPr>
          <w:rFonts w:ascii="Arial" w:eastAsia="Times New Roman" w:hAnsi="Arial" w:cs="Arial"/>
          <w:sz w:val="20"/>
          <w:szCs w:val="20"/>
        </w:rPr>
        <w:t>),</w:t>
      </w:r>
      <w:r>
        <w:rPr>
          <w:rFonts w:ascii="Arial" w:eastAsia="Times New Roman" w:hAnsi="Arial" w:cs="Arial"/>
          <w:sz w:val="20"/>
          <w:szCs w:val="20"/>
        </w:rPr>
        <w:t xml:space="preserve"> the pear  </w:t>
      </w:r>
      <w:r w:rsidRPr="00F72BC6">
        <w:rPr>
          <w:rFonts w:ascii="Arial" w:eastAsia="Times New Roman" w:hAnsi="Arial" w:cs="Arial"/>
          <w:sz w:val="20"/>
          <w:szCs w:val="20"/>
        </w:rPr>
        <w:t>(</w:t>
      </w:r>
      <w:r w:rsidRPr="00F72BC6">
        <w:rPr>
          <w:rFonts w:ascii="Arial" w:eastAsia="Times New Roman" w:hAnsi="Arial" w:cs="Arial"/>
          <w:i/>
          <w:iCs/>
          <w:sz w:val="20"/>
          <w:szCs w:val="20"/>
        </w:rPr>
        <w:t>Prunus persica</w:t>
      </w:r>
      <w:r w:rsidRPr="00F72BC6">
        <w:rPr>
          <w:rFonts w:ascii="Arial" w:eastAsia="Times New Roman" w:hAnsi="Arial" w:cs="Arial"/>
          <w:sz w:val="20"/>
          <w:szCs w:val="20"/>
        </w:rPr>
        <w:t>)</w:t>
      </w:r>
      <w:r>
        <w:rPr>
          <w:rFonts w:ascii="Arial" w:eastAsia="Times New Roman" w:hAnsi="Arial" w:cs="Arial"/>
          <w:sz w:val="20"/>
          <w:szCs w:val="20"/>
        </w:rPr>
        <w:t xml:space="preserve">, the apple </w:t>
      </w:r>
      <w:r w:rsidRPr="00F72BC6">
        <w:rPr>
          <w:rFonts w:ascii="Arial" w:eastAsia="Times New Roman" w:hAnsi="Arial" w:cs="Arial"/>
          <w:sz w:val="20"/>
          <w:szCs w:val="20"/>
        </w:rPr>
        <w:t>(</w:t>
      </w:r>
      <w:r w:rsidRPr="00F72BC6">
        <w:rPr>
          <w:rFonts w:ascii="Arial" w:eastAsia="Times New Roman" w:hAnsi="Arial" w:cs="Arial"/>
          <w:i/>
          <w:iCs/>
          <w:sz w:val="20"/>
          <w:szCs w:val="20"/>
        </w:rPr>
        <w:t>Malus domestica</w:t>
      </w:r>
      <w:r w:rsidRPr="00F72BC6">
        <w:rPr>
          <w:rFonts w:ascii="Arial" w:eastAsia="Times New Roman" w:hAnsi="Arial" w:cs="Arial"/>
          <w:sz w:val="20"/>
          <w:szCs w:val="20"/>
        </w:rPr>
        <w:t>)</w:t>
      </w:r>
      <w:r>
        <w:rPr>
          <w:rFonts w:ascii="Arial" w:eastAsia="Times New Roman" w:hAnsi="Arial" w:cs="Arial"/>
          <w:sz w:val="20"/>
          <w:szCs w:val="20"/>
        </w:rPr>
        <w:t xml:space="preserve">, the cherry </w:t>
      </w:r>
      <w:r w:rsidRPr="00F72BC6">
        <w:rPr>
          <w:rFonts w:ascii="Arial" w:eastAsia="Times New Roman" w:hAnsi="Arial" w:cs="Arial"/>
          <w:sz w:val="20"/>
          <w:szCs w:val="20"/>
        </w:rPr>
        <w:t>(</w:t>
      </w:r>
      <w:r w:rsidRPr="00F72BC6">
        <w:rPr>
          <w:rFonts w:ascii="Arial" w:eastAsia="Times New Roman" w:hAnsi="Arial" w:cs="Arial"/>
          <w:i/>
          <w:iCs/>
          <w:sz w:val="20"/>
          <w:szCs w:val="20"/>
        </w:rPr>
        <w:t>Prunus avium</w:t>
      </w:r>
      <w:r w:rsidRPr="00F72BC6">
        <w:rPr>
          <w:rFonts w:ascii="Arial" w:eastAsia="Times New Roman" w:hAnsi="Arial" w:cs="Arial"/>
          <w:sz w:val="20"/>
          <w:szCs w:val="20"/>
        </w:rPr>
        <w:t>)</w:t>
      </w:r>
      <w:r>
        <w:rPr>
          <w:rFonts w:ascii="Arial" w:eastAsia="Times New Roman" w:hAnsi="Arial" w:cs="Arial"/>
          <w:sz w:val="20"/>
          <w:szCs w:val="20"/>
        </w:rPr>
        <w:t xml:space="preserve"> and the carrot </w:t>
      </w:r>
      <w:r w:rsidRPr="00F72BC6">
        <w:rPr>
          <w:rFonts w:ascii="Arial" w:eastAsia="Times New Roman" w:hAnsi="Arial" w:cs="Arial"/>
          <w:sz w:val="20"/>
          <w:szCs w:val="20"/>
        </w:rPr>
        <w:t>(</w:t>
      </w:r>
      <w:r w:rsidRPr="00F72BC6">
        <w:rPr>
          <w:rFonts w:ascii="Arial" w:eastAsia="Times New Roman" w:hAnsi="Arial" w:cs="Arial"/>
          <w:i/>
          <w:iCs/>
          <w:sz w:val="20"/>
          <w:szCs w:val="20"/>
        </w:rPr>
        <w:t>Daucus carota</w:t>
      </w:r>
      <w:r w:rsidRPr="00F72BC6">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noProof/>
          <w:sz w:val="20"/>
          <w:szCs w:val="20"/>
        </w:rPr>
        <w:t>(Menezes et al. 2012)</w:t>
      </w:r>
      <w:r>
        <w:rPr>
          <w:rFonts w:ascii="Arial" w:eastAsia="Times New Roman" w:hAnsi="Arial" w:cs="Arial"/>
          <w:sz w:val="20"/>
          <w:szCs w:val="20"/>
        </w:rPr>
        <w:t xml:space="preserve">. </w:t>
      </w:r>
    </w:p>
    <w:p w14:paraId="39AC9C74" w14:textId="77777777" w:rsidR="00DF1CFC" w:rsidRPr="004B069F" w:rsidRDefault="00DF1CFC" w:rsidP="006C1E58">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However, cocoa is one of the foods more consistently associated with high nickel content, a metal that functions as a hapten responsible for various n</w:t>
      </w:r>
      <w:r w:rsidRPr="0067297F">
        <w:rPr>
          <w:rFonts w:ascii="Arial" w:eastAsia="Times New Roman" w:hAnsi="Arial" w:cs="Arial"/>
          <w:sz w:val="20"/>
          <w:szCs w:val="20"/>
        </w:rPr>
        <w:t xml:space="preserve">on–IgE-mediated </w:t>
      </w:r>
      <w:r>
        <w:rPr>
          <w:rFonts w:ascii="Arial" w:eastAsia="Times New Roman" w:hAnsi="Arial" w:cs="Arial"/>
          <w:sz w:val="20"/>
          <w:szCs w:val="20"/>
        </w:rPr>
        <w:t xml:space="preserve">symptomatic hypersensitivities associated with several toxic and allergic diseases </w:t>
      </w:r>
      <w:r>
        <w:rPr>
          <w:rFonts w:ascii="Arial" w:eastAsia="Times New Roman" w:hAnsi="Arial" w:cs="Arial"/>
          <w:noProof/>
          <w:sz w:val="20"/>
          <w:szCs w:val="20"/>
        </w:rPr>
        <w:t>(Cubadda et al. 2020)</w:t>
      </w:r>
      <w:r>
        <w:rPr>
          <w:rFonts w:ascii="Arial" w:eastAsia="Times New Roman" w:hAnsi="Arial" w:cs="Arial"/>
          <w:sz w:val="20"/>
          <w:szCs w:val="20"/>
        </w:rPr>
        <w:t xml:space="preserve">. </w:t>
      </w:r>
      <w:r w:rsidRPr="004B069F">
        <w:rPr>
          <w:rFonts w:ascii="Arial" w:eastAsia="Times New Roman" w:hAnsi="Arial" w:cs="Arial"/>
          <w:sz w:val="20"/>
          <w:szCs w:val="20"/>
        </w:rPr>
        <w:t>Nickel is the fifth mo</w:t>
      </w:r>
      <w:r>
        <w:rPr>
          <w:rFonts w:ascii="Arial" w:eastAsia="Times New Roman" w:hAnsi="Arial" w:cs="Arial"/>
          <w:sz w:val="20"/>
          <w:szCs w:val="20"/>
        </w:rPr>
        <w:t>st</w:t>
      </w:r>
      <w:r w:rsidRPr="004B069F">
        <w:rPr>
          <w:rFonts w:ascii="Arial" w:eastAsia="Times New Roman" w:hAnsi="Arial" w:cs="Arial"/>
          <w:sz w:val="20"/>
          <w:szCs w:val="20"/>
        </w:rPr>
        <w:t xml:space="preserve"> abundant metal in </w:t>
      </w:r>
      <w:r>
        <w:rPr>
          <w:rFonts w:ascii="Arial" w:eastAsia="Times New Roman" w:hAnsi="Arial" w:cs="Arial"/>
          <w:sz w:val="20"/>
          <w:szCs w:val="20"/>
        </w:rPr>
        <w:t xml:space="preserve">the </w:t>
      </w:r>
      <w:r w:rsidRPr="004B069F">
        <w:rPr>
          <w:rFonts w:ascii="Arial" w:eastAsia="Times New Roman" w:hAnsi="Arial" w:cs="Arial"/>
          <w:sz w:val="20"/>
          <w:szCs w:val="20"/>
        </w:rPr>
        <w:t>earth</w:t>
      </w:r>
      <w:r>
        <w:rPr>
          <w:rFonts w:ascii="Arial" w:eastAsia="Times New Roman" w:hAnsi="Arial" w:cs="Arial"/>
          <w:sz w:val="20"/>
          <w:szCs w:val="20"/>
        </w:rPr>
        <w:t>'s</w:t>
      </w:r>
      <w:r w:rsidRPr="004B069F">
        <w:rPr>
          <w:rFonts w:ascii="Arial" w:eastAsia="Times New Roman" w:hAnsi="Arial" w:cs="Arial"/>
          <w:sz w:val="20"/>
          <w:szCs w:val="20"/>
        </w:rPr>
        <w:t xml:space="preserve"> crust</w:t>
      </w:r>
      <w:r>
        <w:rPr>
          <w:rFonts w:ascii="Arial" w:eastAsia="Times New Roman" w:hAnsi="Arial" w:cs="Arial"/>
          <w:sz w:val="20"/>
          <w:szCs w:val="20"/>
        </w:rPr>
        <w:t>. I</w:t>
      </w:r>
      <w:r w:rsidRPr="004B069F">
        <w:rPr>
          <w:rFonts w:ascii="Arial" w:eastAsia="Times New Roman" w:hAnsi="Arial" w:cs="Arial"/>
          <w:sz w:val="20"/>
          <w:szCs w:val="20"/>
        </w:rPr>
        <w:t xml:space="preserve">t is found in soil, absorbed by cocoa roots, and transported </w:t>
      </w:r>
      <w:r>
        <w:rPr>
          <w:rFonts w:ascii="Arial" w:eastAsia="Times New Roman" w:hAnsi="Arial" w:cs="Arial"/>
          <w:sz w:val="20"/>
          <w:szCs w:val="20"/>
        </w:rPr>
        <w:t xml:space="preserve">upright </w:t>
      </w:r>
      <w:r w:rsidRPr="004B069F">
        <w:rPr>
          <w:rFonts w:ascii="Arial" w:eastAsia="Times New Roman" w:hAnsi="Arial" w:cs="Arial"/>
          <w:sz w:val="20"/>
          <w:szCs w:val="20"/>
        </w:rPr>
        <w:t xml:space="preserve">to accumulate in cocoa beans </w:t>
      </w:r>
      <w:r>
        <w:rPr>
          <w:rFonts w:ascii="Arial" w:eastAsia="Times New Roman" w:hAnsi="Arial" w:cs="Arial"/>
          <w:noProof/>
          <w:sz w:val="20"/>
          <w:szCs w:val="20"/>
        </w:rPr>
        <w:t>(Mostafa, Mohamed and Fouad 2024)</w:t>
      </w:r>
      <w:r w:rsidRPr="004B069F">
        <w:rPr>
          <w:rFonts w:ascii="Arial" w:eastAsia="Times New Roman" w:hAnsi="Arial" w:cs="Arial"/>
          <w:sz w:val="20"/>
          <w:szCs w:val="20"/>
        </w:rPr>
        <w:t>.</w:t>
      </w:r>
    </w:p>
    <w:p w14:paraId="2DFAD28D" w14:textId="77777777" w:rsidR="00DF1CFC" w:rsidRDefault="00DF1CFC" w:rsidP="00585ECD">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 xml:space="preserve">Besides nickel, cocoa beans may present several toxic metals absorbed from the soil, posing human health risks </w:t>
      </w:r>
      <w:r>
        <w:rPr>
          <w:rFonts w:ascii="Arial" w:eastAsia="Times New Roman" w:hAnsi="Arial" w:cs="Arial"/>
          <w:noProof/>
          <w:sz w:val="20"/>
          <w:szCs w:val="20"/>
        </w:rPr>
        <w:t>(Frimpong et al. 2024)</w:t>
      </w:r>
      <w:r>
        <w:rPr>
          <w:rFonts w:ascii="Arial" w:eastAsia="Times New Roman" w:hAnsi="Arial" w:cs="Arial"/>
          <w:sz w:val="20"/>
          <w:szCs w:val="20"/>
        </w:rPr>
        <w:t xml:space="preserve">. </w:t>
      </w:r>
      <w:r w:rsidRPr="00886A1C">
        <w:rPr>
          <w:rFonts w:ascii="Arial" w:eastAsia="Times New Roman" w:hAnsi="Arial" w:cs="Arial"/>
          <w:sz w:val="20"/>
          <w:szCs w:val="20"/>
        </w:rPr>
        <w:t xml:space="preserve">Besides cocoa, nickel may be present in </w:t>
      </w:r>
      <w:r>
        <w:rPr>
          <w:rFonts w:ascii="Arial" w:eastAsia="Times New Roman" w:hAnsi="Arial" w:cs="Arial"/>
          <w:sz w:val="20"/>
          <w:szCs w:val="20"/>
        </w:rPr>
        <w:t>licorice, lettuce</w:t>
      </w:r>
      <w:r w:rsidRPr="00886A1C">
        <w:rPr>
          <w:rFonts w:ascii="Arial" w:eastAsia="Times New Roman" w:hAnsi="Arial" w:cs="Arial"/>
          <w:sz w:val="20"/>
          <w:szCs w:val="20"/>
        </w:rPr>
        <w:t>, soybeans, oatmeal, nuts, almonds, legumes</w:t>
      </w:r>
      <w:r>
        <w:rPr>
          <w:rFonts w:ascii="Arial" w:eastAsia="Times New Roman" w:hAnsi="Arial" w:cs="Arial"/>
          <w:sz w:val="20"/>
          <w:szCs w:val="20"/>
        </w:rPr>
        <w:t xml:space="preserve">, </w:t>
      </w:r>
      <w:r w:rsidRPr="00585ECD">
        <w:rPr>
          <w:rFonts w:ascii="Arial" w:eastAsia="Times New Roman" w:hAnsi="Arial" w:cs="Arial"/>
          <w:sz w:val="20"/>
          <w:szCs w:val="20"/>
        </w:rPr>
        <w:t xml:space="preserve">peanuts, oats, grains, whole wheat </w:t>
      </w:r>
      <w:r>
        <w:rPr>
          <w:rFonts w:ascii="Arial" w:eastAsia="Times New Roman" w:hAnsi="Arial" w:cs="Arial"/>
          <w:sz w:val="20"/>
          <w:szCs w:val="20"/>
        </w:rPr>
        <w:t>(</w:t>
      </w:r>
      <w:r w:rsidRPr="00585ECD">
        <w:rPr>
          <w:rFonts w:ascii="Arial" w:eastAsia="Times New Roman" w:hAnsi="Arial" w:cs="Arial"/>
          <w:sz w:val="20"/>
          <w:szCs w:val="20"/>
        </w:rPr>
        <w:t>and whole meal</w:t>
      </w:r>
      <w:r>
        <w:rPr>
          <w:rFonts w:ascii="Arial" w:eastAsia="Times New Roman" w:hAnsi="Arial" w:cs="Arial"/>
          <w:sz w:val="20"/>
          <w:szCs w:val="20"/>
        </w:rPr>
        <w:t xml:space="preserve"> </w:t>
      </w:r>
      <w:r w:rsidRPr="00585ECD">
        <w:rPr>
          <w:rFonts w:ascii="Arial" w:eastAsia="Times New Roman" w:hAnsi="Arial" w:cs="Arial"/>
          <w:sz w:val="20"/>
          <w:szCs w:val="20"/>
        </w:rPr>
        <w:t>flours)</w:t>
      </w:r>
      <w:r>
        <w:rPr>
          <w:rFonts w:ascii="Arial" w:eastAsia="Times New Roman" w:hAnsi="Arial" w:cs="Arial"/>
          <w:sz w:val="20"/>
          <w:szCs w:val="20"/>
        </w:rPr>
        <w:t>, and mainly</w:t>
      </w:r>
      <w:r w:rsidRPr="00886A1C">
        <w:rPr>
          <w:rFonts w:ascii="Arial" w:eastAsia="Times New Roman" w:hAnsi="Arial" w:cs="Arial"/>
          <w:sz w:val="20"/>
          <w:szCs w:val="20"/>
        </w:rPr>
        <w:t xml:space="preserve"> </w:t>
      </w:r>
      <w:r>
        <w:rPr>
          <w:rFonts w:ascii="Arial" w:eastAsia="Times New Roman" w:hAnsi="Arial" w:cs="Arial"/>
          <w:sz w:val="20"/>
          <w:szCs w:val="20"/>
        </w:rPr>
        <w:t xml:space="preserve">in </w:t>
      </w:r>
      <w:r w:rsidRPr="00886A1C">
        <w:rPr>
          <w:rFonts w:ascii="Arial" w:eastAsia="Times New Roman" w:hAnsi="Arial" w:cs="Arial"/>
          <w:sz w:val="20"/>
          <w:szCs w:val="20"/>
        </w:rPr>
        <w:t xml:space="preserve">canned food </w:t>
      </w:r>
      <w:r>
        <w:rPr>
          <w:rFonts w:ascii="Arial" w:eastAsia="Times New Roman" w:hAnsi="Arial" w:cs="Arial"/>
          <w:sz w:val="20"/>
          <w:szCs w:val="20"/>
        </w:rPr>
        <w:t>with</w:t>
      </w:r>
      <w:r w:rsidRPr="00886A1C">
        <w:rPr>
          <w:rFonts w:ascii="Arial" w:eastAsia="Times New Roman" w:hAnsi="Arial" w:cs="Arial"/>
          <w:sz w:val="20"/>
          <w:szCs w:val="20"/>
        </w:rPr>
        <w:t xml:space="preserve"> high nickel contents, liberated from </w:t>
      </w:r>
      <w:r>
        <w:rPr>
          <w:rFonts w:ascii="Arial" w:eastAsia="Times New Roman" w:hAnsi="Arial" w:cs="Arial"/>
          <w:sz w:val="20"/>
          <w:szCs w:val="20"/>
        </w:rPr>
        <w:t>a nickel-plated</w:t>
      </w:r>
      <w:r w:rsidRPr="00886A1C">
        <w:rPr>
          <w:rFonts w:ascii="Arial" w:eastAsia="Times New Roman" w:hAnsi="Arial" w:cs="Arial"/>
          <w:sz w:val="20"/>
          <w:szCs w:val="20"/>
        </w:rPr>
        <w:t xml:space="preserve"> </w:t>
      </w:r>
      <w:r>
        <w:rPr>
          <w:rFonts w:ascii="Arial" w:eastAsia="Times New Roman" w:hAnsi="Arial" w:cs="Arial"/>
          <w:sz w:val="20"/>
          <w:szCs w:val="20"/>
        </w:rPr>
        <w:t>tin</w:t>
      </w:r>
      <w:r w:rsidRPr="00886A1C">
        <w:rPr>
          <w:rFonts w:ascii="Arial" w:eastAsia="Times New Roman" w:hAnsi="Arial" w:cs="Arial"/>
          <w:sz w:val="20"/>
          <w:szCs w:val="20"/>
        </w:rPr>
        <w:t xml:space="preserve"> alloy </w:t>
      </w:r>
      <w:r>
        <w:rPr>
          <w:rFonts w:ascii="Arial" w:eastAsia="Times New Roman" w:hAnsi="Arial" w:cs="Arial"/>
          <w:noProof/>
          <w:sz w:val="20"/>
          <w:szCs w:val="20"/>
        </w:rPr>
        <w:t>(Sharma 2013, Abeck et al. 1993, Veien and Menné 1990, Veien et al. 1985)</w:t>
      </w:r>
      <w:r w:rsidRPr="00886A1C">
        <w:rPr>
          <w:rFonts w:ascii="Arial" w:eastAsia="Times New Roman" w:hAnsi="Arial" w:cs="Arial"/>
          <w:sz w:val="20"/>
          <w:szCs w:val="20"/>
        </w:rPr>
        <w:t>.</w:t>
      </w:r>
    </w:p>
    <w:p w14:paraId="0A6C3ED9" w14:textId="77777777" w:rsidR="00DF1CFC" w:rsidRPr="00DC5DC9" w:rsidRDefault="00DF1CFC" w:rsidP="00676C65">
      <w:pPr>
        <w:spacing w:after="0" w:line="240" w:lineRule="auto"/>
        <w:ind w:firstLine="708"/>
        <w:jc w:val="both"/>
        <w:rPr>
          <w:rFonts w:ascii="Arial" w:eastAsia="Times New Roman" w:hAnsi="Arial" w:cs="Arial"/>
          <w:sz w:val="20"/>
          <w:szCs w:val="20"/>
        </w:rPr>
      </w:pPr>
      <w:r w:rsidRPr="00C65B90">
        <w:rPr>
          <w:rFonts w:ascii="Arial" w:eastAsia="Times New Roman" w:hAnsi="Arial" w:cs="Arial"/>
          <w:sz w:val="20"/>
          <w:szCs w:val="20"/>
        </w:rPr>
        <w:t xml:space="preserve"> </w:t>
      </w:r>
      <w:r>
        <w:rPr>
          <w:rFonts w:ascii="Arial" w:eastAsia="Times New Roman" w:hAnsi="Arial" w:cs="Arial"/>
          <w:sz w:val="20"/>
          <w:szCs w:val="20"/>
        </w:rPr>
        <w:t xml:space="preserve">Nickel is one of the leading causes of allergic contact dermatitis, which is diagnosed by patch tests </w:t>
      </w:r>
      <w:r>
        <w:rPr>
          <w:rFonts w:ascii="Arial" w:eastAsia="Times New Roman" w:hAnsi="Arial" w:cs="Arial"/>
          <w:noProof/>
          <w:sz w:val="20"/>
          <w:szCs w:val="20"/>
        </w:rPr>
        <w:t>(Isufi et al. 2025)</w:t>
      </w:r>
      <w:r w:rsidRPr="00C65B90">
        <w:rPr>
          <w:rFonts w:ascii="Arial" w:eastAsia="Times New Roman" w:hAnsi="Arial" w:cs="Arial"/>
          <w:sz w:val="20"/>
          <w:szCs w:val="20"/>
        </w:rPr>
        <w:t>.</w:t>
      </w:r>
      <w:r>
        <w:rPr>
          <w:rFonts w:ascii="Arial" w:eastAsia="Times New Roman" w:hAnsi="Arial" w:cs="Arial"/>
          <w:sz w:val="20"/>
          <w:szCs w:val="20"/>
        </w:rPr>
        <w:t xml:space="preserve"> </w:t>
      </w:r>
      <w:r w:rsidRPr="00886A1C">
        <w:rPr>
          <w:rFonts w:ascii="Arial" w:eastAsia="Times New Roman" w:hAnsi="Arial" w:cs="Arial"/>
          <w:sz w:val="20"/>
          <w:szCs w:val="20"/>
        </w:rPr>
        <w:t>Nickel is a hapten collected by d</w:t>
      </w:r>
      <w:r w:rsidRPr="000B34E1">
        <w:rPr>
          <w:rFonts w:ascii="Arial" w:eastAsia="Times New Roman" w:hAnsi="Arial" w:cs="Arial"/>
          <w:sz w:val="20"/>
          <w:szCs w:val="20"/>
        </w:rPr>
        <w:t xml:space="preserve">endritic cells through the Toll-like receptor 4 and presented to naïve T cells in regional lymph nodes </w:t>
      </w:r>
      <w:r>
        <w:rPr>
          <w:rFonts w:ascii="Arial" w:eastAsia="Times New Roman" w:hAnsi="Arial" w:cs="Arial"/>
          <w:noProof/>
          <w:sz w:val="20"/>
          <w:szCs w:val="20"/>
        </w:rPr>
        <w:t>(Schmidt et al. 2010, Roediger and Weninger 2011)</w:t>
      </w:r>
      <w:r w:rsidRPr="000B34E1">
        <w:rPr>
          <w:rFonts w:ascii="Arial" w:eastAsia="Times New Roman" w:hAnsi="Arial" w:cs="Arial"/>
          <w:sz w:val="20"/>
          <w:szCs w:val="20"/>
        </w:rPr>
        <w:t>. Ni</w:t>
      </w:r>
      <w:r w:rsidRPr="00DC5DC9">
        <w:rPr>
          <w:rFonts w:ascii="Arial" w:eastAsia="Times New Roman" w:hAnsi="Arial" w:cs="Arial"/>
          <w:sz w:val="20"/>
          <w:szCs w:val="20"/>
        </w:rPr>
        <w:t xml:space="preserve">ckel Hypersensitivity may be responsible for Allergic Contact Dermatitis, Allergic Contact Mucositis, and Systemic Nickel Allergy Syndrome, a term commonly used to describe clinical manifestations of the systemic provocation by haptens associated with atopic dermatitis, psoriasis, urticaria, angioedema, rhinitis, asthma, headache, chronic fatigue, post-prandial dyspnea, cystitis, vulvovaginitis, acne, and iron deficiency anemia  </w:t>
      </w:r>
      <w:r w:rsidRPr="00DC5DC9">
        <w:rPr>
          <w:rFonts w:ascii="Arial" w:eastAsia="Times New Roman" w:hAnsi="Arial" w:cs="Arial"/>
          <w:noProof/>
          <w:sz w:val="20"/>
          <w:szCs w:val="20"/>
        </w:rPr>
        <w:t>(Schäfer et al. 2001, Ahlström et al. 2019, Greco et al. 2023, Ricciardi et al. 2014, Nijhawan et al. 2009, Veien 2011, Akiba et al. 2025)</w:t>
      </w:r>
      <w:r w:rsidRPr="00DC5DC9">
        <w:rPr>
          <w:rFonts w:ascii="Arial" w:eastAsia="Times New Roman" w:hAnsi="Arial" w:cs="Arial"/>
          <w:sz w:val="20"/>
          <w:szCs w:val="20"/>
        </w:rPr>
        <w:t>.</w:t>
      </w:r>
    </w:p>
    <w:p w14:paraId="75B3B337" w14:textId="77777777" w:rsidR="00DF1CFC" w:rsidRPr="00DC5DC9" w:rsidRDefault="00DF1CFC" w:rsidP="00886A1C">
      <w:pPr>
        <w:spacing w:after="0" w:line="240" w:lineRule="auto"/>
        <w:ind w:firstLine="708"/>
        <w:jc w:val="both"/>
        <w:rPr>
          <w:rFonts w:ascii="Arial" w:eastAsia="Times New Roman" w:hAnsi="Arial" w:cs="Arial"/>
          <w:sz w:val="20"/>
          <w:szCs w:val="20"/>
        </w:rPr>
      </w:pPr>
      <w:r w:rsidRPr="00DC5DC9">
        <w:rPr>
          <w:rFonts w:ascii="Arial" w:eastAsia="Times New Roman" w:hAnsi="Arial" w:cs="Arial"/>
          <w:sz w:val="20"/>
          <w:szCs w:val="20"/>
        </w:rPr>
        <w:t xml:space="preserve"> Sometimes, the exposition through a systemic route of immunoreactive haptens may produce localized cutaneous hypersensitivity phenotypes such as dyshidrotic eczema (pompholyx), toxicoderma-like rash, chronic pruritus, maculopapular rash, vasculitis-like lesions, flexural dermatitis, papuloerythroderma-like eruptions, and baboon syndrome </w:t>
      </w:r>
      <w:r w:rsidRPr="00DC5DC9">
        <w:rPr>
          <w:rFonts w:ascii="Arial" w:eastAsia="Times New Roman" w:hAnsi="Arial" w:cs="Arial"/>
          <w:noProof/>
          <w:sz w:val="20"/>
          <w:szCs w:val="20"/>
        </w:rPr>
        <w:t>(Antico and Soana 2015)</w:t>
      </w:r>
      <w:r w:rsidRPr="00DC5DC9">
        <w:rPr>
          <w:rFonts w:ascii="Arial" w:eastAsia="Times New Roman" w:hAnsi="Arial" w:cs="Arial"/>
          <w:sz w:val="20"/>
          <w:szCs w:val="20"/>
        </w:rPr>
        <w:t xml:space="preserve">. </w:t>
      </w:r>
    </w:p>
    <w:p w14:paraId="09EF4184" w14:textId="77777777" w:rsidR="00DF1CFC" w:rsidRDefault="00DF1CFC" w:rsidP="00706BE8">
      <w:pPr>
        <w:spacing w:after="0" w:line="240" w:lineRule="auto"/>
        <w:ind w:firstLine="708"/>
        <w:jc w:val="both"/>
        <w:rPr>
          <w:rFonts w:ascii="Arial" w:eastAsia="Times New Roman" w:hAnsi="Arial" w:cs="Arial"/>
          <w:sz w:val="20"/>
          <w:szCs w:val="20"/>
        </w:rPr>
      </w:pPr>
      <w:r w:rsidRPr="00DC5DC9">
        <w:rPr>
          <w:rFonts w:ascii="Arial" w:eastAsia="Times New Roman" w:hAnsi="Arial" w:cs="Arial"/>
          <w:sz w:val="20"/>
          <w:szCs w:val="20"/>
        </w:rPr>
        <w:t xml:space="preserve">Nickel hypersensitivity may be successfully treated with sublingual desensitization and a low-nickel diet. </w:t>
      </w:r>
      <w:r w:rsidRPr="00DC5DC9">
        <w:rPr>
          <w:rFonts w:ascii="Arial" w:eastAsia="Times New Roman" w:hAnsi="Arial" w:cs="Arial"/>
          <w:noProof/>
          <w:sz w:val="20"/>
          <w:szCs w:val="20"/>
        </w:rPr>
        <w:t>(Filatova and Cherpak 2020, Ricciardi et al. 2013, Morris 1998)</w:t>
      </w:r>
      <w:r w:rsidRPr="00DC5DC9">
        <w:rPr>
          <w:rFonts w:ascii="Arial" w:eastAsia="Times New Roman" w:hAnsi="Arial" w:cs="Arial"/>
          <w:sz w:val="20"/>
          <w:szCs w:val="20"/>
        </w:rPr>
        <w:t xml:space="preserve">. Nickel allergy can be diagnosed with cutaneous and oral challenge tests </w:t>
      </w:r>
      <w:r w:rsidRPr="00DC5DC9">
        <w:rPr>
          <w:rFonts w:ascii="Arial" w:eastAsia="Times New Roman" w:hAnsi="Arial" w:cs="Arial"/>
          <w:noProof/>
          <w:sz w:val="20"/>
          <w:szCs w:val="20"/>
        </w:rPr>
        <w:t>(Veien et al. 1987)</w:t>
      </w:r>
      <w:r w:rsidRPr="00DC5DC9">
        <w:rPr>
          <w:rFonts w:ascii="Arial" w:eastAsia="Times New Roman" w:hAnsi="Arial" w:cs="Arial"/>
          <w:sz w:val="20"/>
          <w:szCs w:val="20"/>
        </w:rPr>
        <w:t>. Non–IgE-mediated symptomatic Nickel hypersensitivity may b</w:t>
      </w:r>
      <w:r>
        <w:rPr>
          <w:rFonts w:ascii="Arial" w:eastAsia="Times New Roman" w:hAnsi="Arial" w:cs="Arial"/>
          <w:sz w:val="20"/>
          <w:szCs w:val="20"/>
        </w:rPr>
        <w:t xml:space="preserve">e differentiated with the help of the Leukocyte Adherence Inhibition Test </w:t>
      </w:r>
      <w:r>
        <w:rPr>
          <w:rFonts w:ascii="Arial" w:eastAsia="Times New Roman" w:hAnsi="Arial" w:cs="Arial"/>
          <w:noProof/>
          <w:sz w:val="20"/>
          <w:szCs w:val="20"/>
        </w:rPr>
        <w:t>(Olivier et al. 2023c)</w:t>
      </w:r>
      <w:r>
        <w:rPr>
          <w:rFonts w:ascii="Arial" w:eastAsia="Times New Roman" w:hAnsi="Arial" w:cs="Arial"/>
          <w:sz w:val="20"/>
          <w:szCs w:val="20"/>
        </w:rPr>
        <w:t xml:space="preserve">. </w:t>
      </w:r>
      <w:bookmarkStart w:id="3" w:name="_Hlk167600393"/>
      <w:r w:rsidRPr="00B34364">
        <w:rPr>
          <w:rFonts w:ascii="Arial" w:eastAsia="Times New Roman" w:hAnsi="Arial" w:cs="Arial"/>
          <w:sz w:val="20"/>
          <w:szCs w:val="20"/>
        </w:rPr>
        <w:t xml:space="preserve">Non–IgE-mediated cellular immunoreactivity against </w:t>
      </w:r>
      <w:r>
        <w:rPr>
          <w:rFonts w:ascii="Arial" w:eastAsia="Times New Roman" w:hAnsi="Arial" w:cs="Arial"/>
          <w:sz w:val="20"/>
          <w:szCs w:val="20"/>
        </w:rPr>
        <w:t xml:space="preserve">several </w:t>
      </w:r>
      <w:r w:rsidRPr="00B34364">
        <w:rPr>
          <w:rFonts w:ascii="Arial" w:eastAsia="Times New Roman" w:hAnsi="Arial" w:cs="Arial"/>
          <w:sz w:val="20"/>
          <w:szCs w:val="20"/>
        </w:rPr>
        <w:t xml:space="preserve">food allergens had already been reported by our group with the help of the </w:t>
      </w:r>
      <w:r w:rsidRPr="00B34364">
        <w:rPr>
          <w:rFonts w:ascii="Arial" w:eastAsia="Times New Roman" w:hAnsi="Arial" w:cs="Arial"/>
          <w:iCs/>
          <w:sz w:val="20"/>
          <w:szCs w:val="20"/>
        </w:rPr>
        <w:t>Leukocyte Adherence Inhibition Test (LAIT)</w:t>
      </w:r>
      <w:r w:rsidRPr="00B34364">
        <w:rPr>
          <w:rFonts w:ascii="Arial" w:eastAsia="Times New Roman" w:hAnsi="Arial" w:cs="Arial"/>
          <w:sz w:val="20"/>
          <w:szCs w:val="20"/>
        </w:rPr>
        <w:t xml:space="preserve">, as well as humoral immunoreactivity against </w:t>
      </w:r>
      <w:r>
        <w:rPr>
          <w:rFonts w:ascii="Arial" w:eastAsia="Times New Roman" w:hAnsi="Arial" w:cs="Arial"/>
          <w:sz w:val="20"/>
          <w:szCs w:val="20"/>
        </w:rPr>
        <w:t xml:space="preserve">several </w:t>
      </w:r>
      <w:r w:rsidRPr="00B34364">
        <w:rPr>
          <w:rFonts w:ascii="Arial" w:eastAsia="Times New Roman" w:hAnsi="Arial" w:cs="Arial"/>
          <w:sz w:val="20"/>
          <w:szCs w:val="20"/>
        </w:rPr>
        <w:t xml:space="preserve">food allergens with the help of </w:t>
      </w:r>
      <w:r>
        <w:rPr>
          <w:rFonts w:ascii="Arial" w:eastAsia="Times New Roman" w:hAnsi="Arial" w:cs="Arial"/>
          <w:sz w:val="20"/>
          <w:szCs w:val="20"/>
        </w:rPr>
        <w:t xml:space="preserve">the </w:t>
      </w:r>
      <w:r w:rsidRPr="00B34364">
        <w:rPr>
          <w:rFonts w:ascii="Arial" w:eastAsia="Times New Roman" w:hAnsi="Arial" w:cs="Arial"/>
          <w:iCs/>
          <w:sz w:val="20"/>
          <w:szCs w:val="20"/>
        </w:rPr>
        <w:t xml:space="preserve">Tube Titration of Precipitins (TTP) </w:t>
      </w:r>
      <w:r w:rsidRPr="00B34364">
        <w:rPr>
          <w:rFonts w:ascii="Arial" w:eastAsia="Times New Roman" w:hAnsi="Arial" w:cs="Arial"/>
          <w:sz w:val="20"/>
          <w:szCs w:val="20"/>
        </w:rPr>
        <w:t xml:space="preserve"> </w:t>
      </w:r>
      <w:r>
        <w:rPr>
          <w:rFonts w:ascii="Arial" w:eastAsia="Times New Roman" w:hAnsi="Arial" w:cs="Arial"/>
          <w:noProof/>
          <w:sz w:val="20"/>
          <w:szCs w:val="20"/>
        </w:rPr>
        <w:t>(Olivier et al. 2021d, Olivier et al. 2022a, Olivier et al. 2022c, Olivier et al. 2024a, Olivier et al. 2024b, Olivier et al. 2024c, Olivier et al. 2025)</w:t>
      </w:r>
      <w:r w:rsidRPr="00B34364">
        <w:rPr>
          <w:rFonts w:ascii="Arial" w:eastAsia="Times New Roman" w:hAnsi="Arial" w:cs="Arial"/>
          <w:sz w:val="20"/>
          <w:szCs w:val="20"/>
        </w:rPr>
        <w:t xml:space="preserve">. </w:t>
      </w:r>
      <w:bookmarkEnd w:id="3"/>
      <w:r w:rsidRPr="00B34364">
        <w:rPr>
          <w:rFonts w:ascii="Arial" w:eastAsia="Times New Roman" w:hAnsi="Arial" w:cs="Arial"/>
          <w:sz w:val="20"/>
          <w:szCs w:val="20"/>
        </w:rPr>
        <w:t>We</w:t>
      </w:r>
      <w:r w:rsidRPr="00B34364">
        <w:rPr>
          <w:rFonts w:ascii="Arial" w:eastAsia="Times New Roman" w:hAnsi="Arial" w:cs="Arial"/>
          <w:iCs/>
          <w:sz w:val="20"/>
          <w:szCs w:val="20"/>
        </w:rPr>
        <w:t xml:space="preserve"> routinely employ the LAIT and the TTP in our facilities as a triage to evaluate </w:t>
      </w:r>
      <w:r w:rsidRPr="00B34364">
        <w:rPr>
          <w:rFonts w:ascii="Arial" w:eastAsia="Times New Roman" w:hAnsi="Arial" w:cs="Arial"/>
          <w:sz w:val="20"/>
          <w:szCs w:val="20"/>
        </w:rPr>
        <w:t xml:space="preserve">non–IgE-mediated immunoreactivity against suspected allergens </w:t>
      </w:r>
      <w:r w:rsidRPr="00B34364">
        <w:rPr>
          <w:rFonts w:ascii="Arial" w:eastAsia="Times New Roman" w:hAnsi="Arial" w:cs="Arial"/>
          <w:iCs/>
          <w:sz w:val="20"/>
          <w:szCs w:val="20"/>
        </w:rPr>
        <w:t xml:space="preserve">before performing more exhaustive </w:t>
      </w:r>
      <w:r w:rsidRPr="00B34364">
        <w:rPr>
          <w:rFonts w:ascii="Arial" w:eastAsia="Times New Roman" w:hAnsi="Arial" w:cs="Arial"/>
          <w:i/>
          <w:sz w:val="20"/>
          <w:szCs w:val="20"/>
        </w:rPr>
        <w:t>in vivo</w:t>
      </w:r>
      <w:r w:rsidRPr="00B34364">
        <w:rPr>
          <w:rFonts w:ascii="Arial" w:eastAsia="Times New Roman" w:hAnsi="Arial" w:cs="Arial"/>
          <w:iCs/>
          <w:sz w:val="20"/>
          <w:szCs w:val="20"/>
        </w:rPr>
        <w:t xml:space="preserve"> provocation tests </w:t>
      </w:r>
      <w:r>
        <w:rPr>
          <w:rFonts w:ascii="Arial" w:eastAsia="Times New Roman" w:hAnsi="Arial" w:cs="Arial"/>
          <w:iCs/>
          <w:noProof/>
          <w:sz w:val="20"/>
          <w:szCs w:val="20"/>
        </w:rPr>
        <w:t>(Kuratsuji 1981, Olivier et al. 2023f, Olivier et al. 2023h, Olivier et al. 2023d, Olivier et al. 2023b, Olivier et al. 2023e, Olivier et al. 2024f)</w:t>
      </w:r>
      <w:r w:rsidRPr="00B34364">
        <w:rPr>
          <w:rFonts w:ascii="Arial" w:eastAsia="Times New Roman" w:hAnsi="Arial" w:cs="Arial"/>
          <w:iCs/>
          <w:sz w:val="20"/>
          <w:szCs w:val="20"/>
        </w:rPr>
        <w:t xml:space="preserve">. </w:t>
      </w:r>
      <w:r w:rsidRPr="00B34364">
        <w:rPr>
          <w:rFonts w:ascii="Arial" w:eastAsia="Calibri" w:hAnsi="Arial" w:cs="Arial"/>
          <w:bCs/>
          <w:sz w:val="20"/>
        </w:rPr>
        <w:t>To evaluate the potential of the LAIT and TTP to endotyping Non–IgE-mediated cellular and humoral immunoreactivity against cocoa extract and nickel solution, w</w:t>
      </w:r>
      <w:r w:rsidRPr="00B34364">
        <w:rPr>
          <w:rFonts w:ascii="Arial" w:eastAsia="Times New Roman" w:hAnsi="Arial" w:cs="Arial"/>
          <w:sz w:val="20"/>
          <w:szCs w:val="20"/>
        </w:rPr>
        <w:t>e retrospectively compiled the electronic medical charts of</w:t>
      </w:r>
      <w:r w:rsidRPr="00B34364">
        <w:rPr>
          <w:rFonts w:ascii="Arial" w:eastAsia="Calibri" w:hAnsi="Arial" w:cs="Arial"/>
          <w:bCs/>
          <w:sz w:val="20"/>
        </w:rPr>
        <w:t xml:space="preserve"> patients diagnosed with </w:t>
      </w:r>
      <w:r w:rsidRPr="00B34364">
        <w:rPr>
          <w:rFonts w:ascii="Arial" w:eastAsia="Times New Roman" w:hAnsi="Arial" w:cs="Arial"/>
          <w:sz w:val="20"/>
          <w:szCs w:val="20"/>
        </w:rPr>
        <w:t>non–IgE-mediated hypersensitivity</w:t>
      </w:r>
      <w:r w:rsidRPr="00B34364">
        <w:rPr>
          <w:rFonts w:ascii="Arial" w:eastAsia="Calibri" w:hAnsi="Arial" w:cs="Arial"/>
          <w:bCs/>
          <w:sz w:val="20"/>
        </w:rPr>
        <w:t xml:space="preserve"> </w:t>
      </w:r>
      <w:r w:rsidRPr="00B34364">
        <w:rPr>
          <w:rFonts w:ascii="Arial" w:eastAsia="Times New Roman" w:hAnsi="Arial" w:cs="Arial"/>
          <w:sz w:val="20"/>
          <w:szCs w:val="20"/>
        </w:rPr>
        <w:t>who were investigated simultaneously for immunoreactivity against these two allergens by one of these assays.</w:t>
      </w:r>
    </w:p>
    <w:p w14:paraId="3AB1143C" w14:textId="77777777" w:rsidR="00DF1CFC" w:rsidRDefault="00DF1CFC" w:rsidP="00DC71A0">
      <w:pPr>
        <w:spacing w:after="0" w:line="240" w:lineRule="auto"/>
        <w:ind w:firstLine="708"/>
        <w:jc w:val="both"/>
        <w:rPr>
          <w:rFonts w:ascii="Arial" w:eastAsia="Times New Roman" w:hAnsi="Arial" w:cs="Arial"/>
          <w:sz w:val="20"/>
          <w:szCs w:val="20"/>
        </w:rPr>
      </w:pPr>
      <w:r w:rsidRPr="00DC71A0">
        <w:rPr>
          <w:rFonts w:ascii="Arial" w:eastAsia="Times New Roman" w:hAnsi="Arial" w:cs="Arial"/>
          <w:sz w:val="20"/>
          <w:szCs w:val="20"/>
        </w:rPr>
        <w:t xml:space="preserve">The present study is a proof-of-concept that hypothesizes that LAIT and the TTP may differentiate diverse degrees of cellular and humoral immunoreactivity against cocoa extract and nickel solution, as well to verify some cross-reactivity between them through the calculation of a </w:t>
      </w:r>
      <w:r w:rsidRPr="00DC71A0">
        <w:rPr>
          <w:rFonts w:ascii="Arial" w:eastAsia="Times New Roman" w:hAnsi="Arial" w:cs="Arial"/>
          <w:sz w:val="20"/>
          <w:szCs w:val="20"/>
        </w:rPr>
        <w:lastRenderedPageBreak/>
        <w:t>paired t-test to distinguish some order of cross-reactivity</w:t>
      </w:r>
      <w:r>
        <w:rPr>
          <w:rFonts w:ascii="Arial" w:eastAsia="Times New Roman" w:hAnsi="Arial" w:cs="Arial"/>
          <w:sz w:val="20"/>
          <w:szCs w:val="20"/>
        </w:rPr>
        <w:t xml:space="preserve"> in</w:t>
      </w:r>
      <w:r w:rsidRPr="00B34364">
        <w:rPr>
          <w:rFonts w:ascii="Arial" w:eastAsia="Times New Roman" w:hAnsi="Arial" w:cs="Arial"/>
          <w:sz w:val="20"/>
          <w:szCs w:val="20"/>
        </w:rPr>
        <w:t xml:space="preserve"> patients suffering from non–IgE-mediated clinically diagnosed allergies. </w:t>
      </w:r>
    </w:p>
    <w:p w14:paraId="36620CE0" w14:textId="77777777" w:rsidR="00DF1CFC" w:rsidRPr="0067565A" w:rsidRDefault="00DF1CFC" w:rsidP="00DC71A0">
      <w:pPr>
        <w:spacing w:after="0" w:line="240" w:lineRule="auto"/>
        <w:ind w:firstLine="708"/>
        <w:jc w:val="both"/>
        <w:rPr>
          <w:rFonts w:ascii="Arial" w:eastAsia="Times New Roman" w:hAnsi="Arial" w:cs="Arial"/>
          <w:sz w:val="20"/>
          <w:szCs w:val="20"/>
        </w:rPr>
      </w:pPr>
      <w:r w:rsidRPr="00B34364">
        <w:rPr>
          <w:rFonts w:ascii="Arial" w:eastAsia="Times New Roman" w:hAnsi="Arial" w:cs="Arial"/>
          <w:sz w:val="20"/>
          <w:szCs w:val="20"/>
        </w:rPr>
        <w:t xml:space="preserve">As the tests were performed simultaneously with the same venous sample </w:t>
      </w:r>
      <w:r>
        <w:rPr>
          <w:rFonts w:ascii="Arial" w:eastAsia="Times New Roman" w:hAnsi="Arial" w:cs="Arial"/>
          <w:sz w:val="20"/>
          <w:szCs w:val="20"/>
        </w:rPr>
        <w:t>for</w:t>
      </w:r>
      <w:r w:rsidRPr="00B34364">
        <w:rPr>
          <w:rFonts w:ascii="Arial" w:eastAsia="Times New Roman" w:hAnsi="Arial" w:cs="Arial"/>
          <w:sz w:val="20"/>
          <w:szCs w:val="20"/>
        </w:rPr>
        <w:t xml:space="preserve"> the two allergens, it </w:t>
      </w:r>
      <w:r>
        <w:rPr>
          <w:rFonts w:ascii="Arial" w:eastAsia="Times New Roman" w:hAnsi="Arial" w:cs="Arial"/>
          <w:sz w:val="20"/>
          <w:szCs w:val="20"/>
        </w:rPr>
        <w:t>is</w:t>
      </w:r>
      <w:r w:rsidRPr="00B34364">
        <w:rPr>
          <w:rFonts w:ascii="Arial" w:eastAsia="Times New Roman" w:hAnsi="Arial" w:cs="Arial"/>
          <w:sz w:val="20"/>
          <w:szCs w:val="20"/>
        </w:rPr>
        <w:t xml:space="preserve"> possible to calculate a paired t-test </w:t>
      </w:r>
      <w:r>
        <w:rPr>
          <w:rFonts w:ascii="Arial" w:eastAsia="Times New Roman" w:hAnsi="Arial" w:cs="Arial"/>
          <w:sz w:val="20"/>
          <w:szCs w:val="20"/>
        </w:rPr>
        <w:t>between LAIT results (since</w:t>
      </w:r>
      <w:r w:rsidRPr="000260C9">
        <w:rPr>
          <w:rFonts w:ascii="Arial" w:eastAsia="Times New Roman" w:hAnsi="Arial" w:cs="Arial"/>
          <w:sz w:val="20"/>
          <w:szCs w:val="20"/>
        </w:rPr>
        <w:t xml:space="preserve"> they refer to the same quantitative variable), as well </w:t>
      </w:r>
      <w:r>
        <w:rPr>
          <w:rFonts w:ascii="Arial" w:eastAsia="Times New Roman" w:hAnsi="Arial" w:cs="Arial"/>
          <w:sz w:val="20"/>
          <w:szCs w:val="20"/>
        </w:rPr>
        <w:t xml:space="preserve">as </w:t>
      </w:r>
      <w:r w:rsidRPr="000260C9">
        <w:rPr>
          <w:rFonts w:ascii="Arial" w:eastAsia="Times New Roman" w:hAnsi="Arial" w:cs="Arial"/>
          <w:sz w:val="20"/>
          <w:szCs w:val="20"/>
        </w:rPr>
        <w:t>to present a dispersion graph between them</w:t>
      </w:r>
      <w:r>
        <w:rPr>
          <w:rFonts w:ascii="Arial" w:eastAsia="Times New Roman" w:hAnsi="Arial" w:cs="Arial"/>
          <w:sz w:val="20"/>
          <w:szCs w:val="20"/>
        </w:rPr>
        <w:t xml:space="preserve"> </w:t>
      </w:r>
      <w:r w:rsidRPr="0067565A">
        <w:rPr>
          <w:rFonts w:ascii="Arial" w:eastAsia="Times New Roman" w:hAnsi="Arial" w:cs="Arial"/>
          <w:sz w:val="20"/>
          <w:szCs w:val="20"/>
        </w:rPr>
        <w:t xml:space="preserve">to distinguish some order of </w:t>
      </w:r>
      <w:r>
        <w:rPr>
          <w:rFonts w:ascii="Arial" w:eastAsia="Times New Roman" w:hAnsi="Arial" w:cs="Arial"/>
          <w:sz w:val="20"/>
          <w:szCs w:val="20"/>
        </w:rPr>
        <w:t xml:space="preserve">correlation suggesting (or not) </w:t>
      </w:r>
      <w:r w:rsidRPr="0067565A">
        <w:rPr>
          <w:rFonts w:ascii="Arial" w:eastAsia="Times New Roman" w:hAnsi="Arial" w:cs="Arial"/>
          <w:sz w:val="20"/>
          <w:szCs w:val="20"/>
        </w:rPr>
        <w:t>cross-reactivity</w:t>
      </w:r>
      <w:r>
        <w:rPr>
          <w:rFonts w:ascii="Arial" w:eastAsia="Times New Roman" w:hAnsi="Arial" w:cs="Arial"/>
          <w:sz w:val="20"/>
          <w:szCs w:val="20"/>
        </w:rPr>
        <w:t xml:space="preserve"> </w:t>
      </w:r>
      <w:r>
        <w:rPr>
          <w:rFonts w:ascii="Arial" w:eastAsia="Times New Roman" w:hAnsi="Arial" w:cs="Arial"/>
          <w:noProof/>
          <w:sz w:val="20"/>
          <w:szCs w:val="20"/>
        </w:rPr>
        <w:t>(Gosset-Student 1908)</w:t>
      </w:r>
      <w:r>
        <w:rPr>
          <w:rFonts w:ascii="Arial" w:eastAsia="Times New Roman" w:hAnsi="Arial" w:cs="Arial"/>
          <w:sz w:val="20"/>
          <w:szCs w:val="20"/>
        </w:rPr>
        <w:t>.</w:t>
      </w:r>
      <w:r w:rsidRPr="0067565A">
        <w:rPr>
          <w:rFonts w:ascii="Arial" w:eastAsia="Times New Roman" w:hAnsi="Arial" w:cs="Arial"/>
          <w:sz w:val="20"/>
          <w:szCs w:val="20"/>
        </w:rPr>
        <w:t xml:space="preserve"> </w:t>
      </w:r>
    </w:p>
    <w:p w14:paraId="6A94C75D" w14:textId="77777777" w:rsidR="00DF1CFC" w:rsidRPr="00B34364" w:rsidRDefault="00DF1CFC" w:rsidP="005207D9">
      <w:pPr>
        <w:spacing w:after="0" w:line="240" w:lineRule="auto"/>
        <w:ind w:firstLine="709"/>
        <w:jc w:val="both"/>
        <w:rPr>
          <w:rFonts w:ascii="Arial" w:eastAsia="Times New Roman" w:hAnsi="Arial" w:cs="Arial"/>
          <w:sz w:val="20"/>
          <w:szCs w:val="20"/>
        </w:rPr>
      </w:pPr>
    </w:p>
    <w:bookmarkEnd w:id="2"/>
    <w:p w14:paraId="68B11A64" w14:textId="77777777" w:rsidR="00DF1CFC" w:rsidRPr="00B34364" w:rsidRDefault="00DF1CFC" w:rsidP="00FD0E60">
      <w:pPr>
        <w:pStyle w:val="Heading2"/>
        <w:jc w:val="both"/>
      </w:pPr>
      <w:r w:rsidRPr="00B34364">
        <w:t xml:space="preserve">2. MATERIALS AND METHODS </w:t>
      </w:r>
    </w:p>
    <w:p w14:paraId="6D4E65D6" w14:textId="77777777" w:rsidR="00DF1CFC" w:rsidRPr="00537CF5" w:rsidRDefault="00DF1CFC" w:rsidP="00FD0E60">
      <w:pPr>
        <w:spacing w:after="0" w:line="240" w:lineRule="auto"/>
        <w:jc w:val="both"/>
        <w:rPr>
          <w:rFonts w:ascii="Arial" w:eastAsia="Times New Roman" w:hAnsi="Arial" w:cs="Arial"/>
          <w:b/>
          <w:bCs/>
          <w:color w:val="FF0000"/>
          <w:sz w:val="16"/>
          <w:szCs w:val="20"/>
        </w:rPr>
      </w:pPr>
    </w:p>
    <w:p w14:paraId="73A5B814" w14:textId="77777777" w:rsidR="00DF1CFC" w:rsidRPr="00A97C53" w:rsidRDefault="00DF1CFC" w:rsidP="00FD0E60">
      <w:pPr>
        <w:pStyle w:val="Heading2"/>
        <w:jc w:val="both"/>
        <w:rPr>
          <w:rFonts w:eastAsia="Times New Roman"/>
          <w:sz w:val="20"/>
          <w:szCs w:val="24"/>
        </w:rPr>
      </w:pPr>
      <w:r w:rsidRPr="00A97C53">
        <w:rPr>
          <w:rFonts w:eastAsia="Times New Roman"/>
          <w:sz w:val="20"/>
          <w:szCs w:val="24"/>
        </w:rPr>
        <w:t>2.1 Subjects</w:t>
      </w:r>
    </w:p>
    <w:p w14:paraId="3793C27D" w14:textId="77777777" w:rsidR="00DF1CFC" w:rsidRPr="00537CF5" w:rsidRDefault="00DF1CFC" w:rsidP="00FD0E60">
      <w:pPr>
        <w:spacing w:after="0" w:line="240" w:lineRule="auto"/>
        <w:jc w:val="both"/>
        <w:rPr>
          <w:rFonts w:ascii="Arial" w:eastAsia="Times New Roman" w:hAnsi="Arial" w:cs="Arial"/>
          <w:b/>
          <w:bCs/>
          <w:color w:val="FF0000"/>
          <w:sz w:val="16"/>
          <w:szCs w:val="20"/>
        </w:rPr>
      </w:pPr>
    </w:p>
    <w:p w14:paraId="3A990C8D" w14:textId="77777777" w:rsidR="00DF1CFC" w:rsidRPr="00E17166" w:rsidRDefault="00DF1CFC" w:rsidP="00C3336C">
      <w:pPr>
        <w:spacing w:after="0" w:line="240" w:lineRule="auto"/>
        <w:ind w:firstLine="708"/>
        <w:jc w:val="both"/>
        <w:rPr>
          <w:rFonts w:ascii="Arial" w:eastAsia="Times New Roman" w:hAnsi="Arial" w:cs="Arial"/>
          <w:sz w:val="20"/>
          <w:szCs w:val="20"/>
        </w:rPr>
      </w:pPr>
      <w:r w:rsidRPr="00E17166">
        <w:rPr>
          <w:rFonts w:ascii="Arial" w:eastAsia="Times New Roman" w:hAnsi="Arial" w:cs="Arial"/>
          <w:sz w:val="20"/>
          <w:szCs w:val="20"/>
        </w:rPr>
        <w:t>After receiving Institutional Review Board approval from the Instituto Alergoimuno de Americana (Brazil; 02/2025), we reviewed the electronic chart of 10.</w:t>
      </w:r>
      <w:r>
        <w:rPr>
          <w:rFonts w:ascii="Arial" w:eastAsia="Times New Roman" w:hAnsi="Arial" w:cs="Arial"/>
          <w:sz w:val="20"/>
          <w:szCs w:val="20"/>
        </w:rPr>
        <w:t>17</w:t>
      </w:r>
      <w:r w:rsidRPr="00E17166">
        <w:rPr>
          <w:rFonts w:ascii="Arial" w:eastAsia="Times New Roman" w:hAnsi="Arial" w:cs="Arial"/>
          <w:sz w:val="20"/>
          <w:szCs w:val="20"/>
        </w:rPr>
        <w:t xml:space="preserve">0 outpatients who attended our facility from January 2018 to March 2025. </w:t>
      </w:r>
    </w:p>
    <w:p w14:paraId="1C836094" w14:textId="77777777" w:rsidR="00DF1CFC" w:rsidRPr="00785912" w:rsidRDefault="00DF1CFC" w:rsidP="00FF405A">
      <w:pPr>
        <w:spacing w:after="0" w:line="240" w:lineRule="auto"/>
        <w:ind w:firstLine="708"/>
        <w:jc w:val="both"/>
        <w:rPr>
          <w:rFonts w:ascii="Arial" w:eastAsia="Times New Roman" w:hAnsi="Arial" w:cs="Arial"/>
          <w:sz w:val="20"/>
          <w:szCs w:val="20"/>
        </w:rPr>
      </w:pPr>
      <w:r w:rsidRPr="00FF14CA">
        <w:rPr>
          <w:rFonts w:ascii="Arial" w:eastAsia="Times New Roman" w:hAnsi="Arial" w:cs="Arial"/>
          <w:sz w:val="20"/>
          <w:szCs w:val="20"/>
        </w:rPr>
        <w:t>A cohort of 100 consecutive outside patients (TTP cohort) had been simultaneously submitted to TTP with cocoa</w:t>
      </w:r>
      <w:r w:rsidRPr="00785912">
        <w:rPr>
          <w:rFonts w:ascii="Arial" w:eastAsia="Times New Roman" w:hAnsi="Arial" w:cs="Arial"/>
          <w:sz w:val="20"/>
          <w:szCs w:val="20"/>
        </w:rPr>
        <w:t xml:space="preserve"> extract and nickel solution for presenting </w:t>
      </w:r>
      <w:r w:rsidRPr="00785912">
        <w:rPr>
          <w:rFonts w:ascii="Arial" w:eastAsia="Calibri" w:hAnsi="Arial" w:cs="Arial"/>
          <w:bCs/>
          <w:sz w:val="20"/>
        </w:rPr>
        <w:t xml:space="preserve">non–IgE-mediated intrinsic atopic dermatitis and contact dermatitis. </w:t>
      </w:r>
      <w:r w:rsidRPr="00785912">
        <w:rPr>
          <w:rFonts w:ascii="Arial" w:eastAsia="Times New Roman" w:hAnsi="Arial" w:cs="Arial"/>
          <w:sz w:val="20"/>
          <w:szCs w:val="20"/>
        </w:rPr>
        <w:t xml:space="preserve">This cohort counted 27 males; mean age 38.6 years; SD 21.4 years; range 1 to 84 years; median 37.5 years; modes = 4, 7, 27, 30, 32, 33, 41, 45, 46, 50 years (each appeared 3 times); geometric mean = 29.9 years. </w:t>
      </w:r>
    </w:p>
    <w:p w14:paraId="771CE20F" w14:textId="77777777" w:rsidR="00DF1CFC" w:rsidRPr="00E17166" w:rsidRDefault="00DF1CFC" w:rsidP="00193168">
      <w:pPr>
        <w:spacing w:after="0" w:line="240" w:lineRule="auto"/>
        <w:ind w:firstLine="708"/>
        <w:jc w:val="both"/>
        <w:rPr>
          <w:rFonts w:ascii="Arial" w:eastAsia="Calibri" w:hAnsi="Arial" w:cs="Arial"/>
          <w:bCs/>
          <w:sz w:val="20"/>
        </w:rPr>
      </w:pPr>
      <w:r w:rsidRPr="00E17166">
        <w:rPr>
          <w:rFonts w:ascii="Arial" w:eastAsia="Times New Roman" w:hAnsi="Arial" w:cs="Arial"/>
          <w:sz w:val="20"/>
          <w:szCs w:val="20"/>
        </w:rPr>
        <w:t xml:space="preserve">A cohort of 100 consecutive outside patients (LAIT cohort) had been simultaneously submitted to TIAL with cocoa extract and nickel solution for presenting </w:t>
      </w:r>
      <w:r w:rsidRPr="00E17166">
        <w:rPr>
          <w:rFonts w:ascii="Arial" w:eastAsia="Calibri" w:hAnsi="Arial" w:cs="Arial"/>
          <w:bCs/>
          <w:sz w:val="20"/>
        </w:rPr>
        <w:t xml:space="preserve">non–IgE-mediated intrinsic atopic dermatitis and contact dermatitis. </w:t>
      </w:r>
      <w:r w:rsidRPr="00E17166">
        <w:rPr>
          <w:rFonts w:ascii="Arial" w:eastAsia="Times New Roman" w:hAnsi="Arial" w:cs="Arial"/>
          <w:sz w:val="20"/>
          <w:szCs w:val="20"/>
        </w:rPr>
        <w:t xml:space="preserve">This cohort counted 27 males; mean age 43.3 years; SD 19.4 years; range 10 to 91 years; median 40 years; mode = 35 years (appeared seven times); geometric mean = 38.7 years. </w:t>
      </w:r>
    </w:p>
    <w:p w14:paraId="2A19408D" w14:textId="77777777" w:rsidR="00DF1CFC" w:rsidRPr="0082217E" w:rsidRDefault="00DF1CFC" w:rsidP="003A0C9E">
      <w:pPr>
        <w:spacing w:after="0" w:line="240" w:lineRule="auto"/>
        <w:ind w:firstLine="708"/>
        <w:jc w:val="both"/>
        <w:rPr>
          <w:rFonts w:ascii="Arial" w:eastAsia="Times New Roman" w:hAnsi="Arial" w:cs="Arial"/>
          <w:sz w:val="20"/>
          <w:szCs w:val="20"/>
        </w:rPr>
      </w:pPr>
      <w:r w:rsidRPr="0082217E">
        <w:rPr>
          <w:rFonts w:ascii="Arial" w:eastAsia="Calibri" w:hAnsi="Arial" w:cs="Arial"/>
          <w:bCs/>
          <w:sz w:val="20"/>
        </w:rPr>
        <w:t xml:space="preserve">This study did not include patients under biological and/or systemic anti-inflammatory therapy. </w:t>
      </w:r>
      <w:r w:rsidRPr="0082217E">
        <w:rPr>
          <w:rFonts w:ascii="Arial" w:eastAsia="Times New Roman" w:hAnsi="Arial" w:cs="Arial"/>
          <w:sz w:val="20"/>
          <w:szCs w:val="20"/>
        </w:rPr>
        <w:t>These procedures were offered to patients with clinical suspicion of cocoa and/or nickel hypersensitivity who demonstrated a</w:t>
      </w:r>
      <w:r>
        <w:rPr>
          <w:rFonts w:ascii="Arial" w:eastAsia="Times New Roman" w:hAnsi="Arial" w:cs="Arial"/>
          <w:sz w:val="20"/>
          <w:szCs w:val="20"/>
        </w:rPr>
        <w:t>n undetectable specific IgE against cocoa and</w:t>
      </w:r>
      <w:r w:rsidRPr="0082217E">
        <w:rPr>
          <w:rFonts w:ascii="Arial" w:eastAsia="Times New Roman" w:hAnsi="Arial" w:cs="Arial"/>
          <w:sz w:val="20"/>
          <w:szCs w:val="20"/>
        </w:rPr>
        <w:t xml:space="preserve"> non-reactive or inconclusive skin test</w:t>
      </w:r>
      <w:r>
        <w:rPr>
          <w:rFonts w:ascii="Arial" w:eastAsia="Times New Roman" w:hAnsi="Arial" w:cs="Arial"/>
          <w:sz w:val="20"/>
          <w:szCs w:val="20"/>
        </w:rPr>
        <w:t>s</w:t>
      </w:r>
      <w:r w:rsidRPr="0082217E">
        <w:rPr>
          <w:rFonts w:ascii="Arial" w:eastAsia="Times New Roman" w:hAnsi="Arial" w:cs="Arial"/>
          <w:sz w:val="20"/>
          <w:szCs w:val="20"/>
        </w:rPr>
        <w:t xml:space="preserve"> against cocoa extract and nickel solution </w:t>
      </w:r>
      <w:r>
        <w:rPr>
          <w:rFonts w:ascii="Arial" w:eastAsia="Times New Roman" w:hAnsi="Arial" w:cs="Arial"/>
          <w:noProof/>
          <w:sz w:val="20"/>
          <w:szCs w:val="20"/>
        </w:rPr>
        <w:t>(Olivier et al. 2013)</w:t>
      </w:r>
      <w:r w:rsidRPr="0082217E">
        <w:rPr>
          <w:rFonts w:ascii="Arial" w:eastAsia="Times New Roman" w:hAnsi="Arial" w:cs="Arial"/>
          <w:sz w:val="20"/>
          <w:szCs w:val="20"/>
        </w:rPr>
        <w:t>.</w:t>
      </w:r>
    </w:p>
    <w:p w14:paraId="25CE38AA" w14:textId="77777777" w:rsidR="00DF1CFC" w:rsidRPr="0082217E" w:rsidRDefault="00DF1CFC" w:rsidP="003A0C9E">
      <w:pPr>
        <w:spacing w:after="0" w:line="240" w:lineRule="auto"/>
        <w:jc w:val="both"/>
        <w:rPr>
          <w:rFonts w:ascii="Arial" w:eastAsia="Times New Roman" w:hAnsi="Arial" w:cs="Arial"/>
          <w:sz w:val="20"/>
          <w:szCs w:val="20"/>
        </w:rPr>
      </w:pPr>
    </w:p>
    <w:p w14:paraId="7360AA9F" w14:textId="77777777" w:rsidR="00DF1CFC" w:rsidRDefault="00DF1CFC" w:rsidP="003A0C9E">
      <w:pPr>
        <w:spacing w:after="0" w:line="240" w:lineRule="auto"/>
        <w:jc w:val="both"/>
        <w:rPr>
          <w:rFonts w:ascii="Arial" w:eastAsia="Times New Roman" w:hAnsi="Arial" w:cs="Arial"/>
          <w:b/>
          <w:bCs/>
          <w:sz w:val="20"/>
          <w:szCs w:val="20"/>
        </w:rPr>
      </w:pPr>
      <w:r w:rsidRPr="00A97C53">
        <w:rPr>
          <w:rFonts w:ascii="Arial" w:eastAsia="Times New Roman" w:hAnsi="Arial" w:cs="Arial"/>
          <w:b/>
          <w:bCs/>
          <w:sz w:val="20"/>
          <w:szCs w:val="20"/>
        </w:rPr>
        <w:t>2.</w:t>
      </w:r>
      <w:r>
        <w:rPr>
          <w:rFonts w:ascii="Arial" w:eastAsia="Times New Roman" w:hAnsi="Arial" w:cs="Arial"/>
          <w:b/>
          <w:bCs/>
          <w:sz w:val="20"/>
          <w:szCs w:val="20"/>
        </w:rPr>
        <w:t xml:space="preserve">2 </w:t>
      </w:r>
      <w:r w:rsidRPr="00A97C53">
        <w:rPr>
          <w:rFonts w:ascii="Arial" w:eastAsia="Times New Roman" w:hAnsi="Arial" w:cs="Arial"/>
          <w:b/>
          <w:bCs/>
          <w:sz w:val="20"/>
          <w:szCs w:val="20"/>
        </w:rPr>
        <w:t>Extracts</w:t>
      </w:r>
    </w:p>
    <w:p w14:paraId="5E7E7FEF" w14:textId="77777777" w:rsidR="00DF1CFC" w:rsidRPr="00A97C53" w:rsidRDefault="00DF1CFC" w:rsidP="003A0C9E">
      <w:pPr>
        <w:spacing w:after="0" w:line="240" w:lineRule="auto"/>
        <w:jc w:val="both"/>
        <w:rPr>
          <w:rFonts w:ascii="Arial" w:eastAsia="Times New Roman" w:hAnsi="Arial" w:cs="Arial"/>
          <w:b/>
          <w:bCs/>
          <w:sz w:val="20"/>
          <w:szCs w:val="20"/>
        </w:rPr>
      </w:pPr>
    </w:p>
    <w:p w14:paraId="35FEDC80" w14:textId="77777777" w:rsidR="00DF1CFC" w:rsidRPr="00054F9D" w:rsidRDefault="00DF1CFC" w:rsidP="00537CF5">
      <w:pPr>
        <w:spacing w:after="0" w:line="240" w:lineRule="auto"/>
        <w:jc w:val="both"/>
        <w:rPr>
          <w:rFonts w:ascii="Arial" w:eastAsia="Times New Roman" w:hAnsi="Arial" w:cs="Arial"/>
          <w:b/>
          <w:bCs/>
          <w:sz w:val="20"/>
          <w:szCs w:val="20"/>
        </w:rPr>
      </w:pPr>
      <w:r w:rsidRPr="00054F9D">
        <w:rPr>
          <w:rFonts w:ascii="Arial" w:eastAsia="Times New Roman" w:hAnsi="Arial" w:cs="Arial"/>
          <w:b/>
          <w:bCs/>
          <w:sz w:val="20"/>
          <w:szCs w:val="20"/>
        </w:rPr>
        <w:t>2.</w:t>
      </w:r>
      <w:r>
        <w:rPr>
          <w:rFonts w:ascii="Arial" w:eastAsia="Times New Roman" w:hAnsi="Arial" w:cs="Arial"/>
          <w:b/>
          <w:bCs/>
          <w:sz w:val="20"/>
          <w:szCs w:val="20"/>
        </w:rPr>
        <w:t>2.1</w:t>
      </w:r>
      <w:r w:rsidRPr="00054F9D">
        <w:rPr>
          <w:rFonts w:ascii="Arial" w:eastAsia="Times New Roman" w:hAnsi="Arial" w:cs="Arial"/>
          <w:b/>
          <w:bCs/>
          <w:sz w:val="20"/>
          <w:szCs w:val="20"/>
        </w:rPr>
        <w:t xml:space="preserve"> </w:t>
      </w:r>
      <w:r>
        <w:rPr>
          <w:rFonts w:ascii="Arial" w:eastAsia="Times New Roman" w:hAnsi="Arial" w:cs="Arial"/>
          <w:b/>
          <w:bCs/>
          <w:sz w:val="20"/>
          <w:szCs w:val="20"/>
        </w:rPr>
        <w:t>Cocoa</w:t>
      </w:r>
      <w:r w:rsidRPr="00054F9D">
        <w:rPr>
          <w:rFonts w:ascii="Arial" w:eastAsia="Times New Roman" w:hAnsi="Arial" w:cs="Arial"/>
          <w:b/>
          <w:bCs/>
          <w:sz w:val="20"/>
          <w:szCs w:val="20"/>
        </w:rPr>
        <w:t xml:space="preserve"> extract</w:t>
      </w:r>
    </w:p>
    <w:p w14:paraId="0D5DEAD4" w14:textId="77777777" w:rsidR="00DF1CFC" w:rsidRPr="00054F9D" w:rsidRDefault="00DF1CFC" w:rsidP="00537CF5">
      <w:pPr>
        <w:spacing w:after="0" w:line="240" w:lineRule="auto"/>
        <w:jc w:val="both"/>
        <w:rPr>
          <w:rFonts w:ascii="Arial" w:eastAsia="Times New Roman" w:hAnsi="Arial" w:cs="Arial"/>
          <w:sz w:val="20"/>
          <w:szCs w:val="20"/>
        </w:rPr>
      </w:pPr>
    </w:p>
    <w:p w14:paraId="67066FB3" w14:textId="1E893CDF" w:rsidR="00DF1CFC" w:rsidRPr="0082217E" w:rsidRDefault="00DF1CFC" w:rsidP="00537CF5">
      <w:pPr>
        <w:spacing w:after="0" w:line="240" w:lineRule="auto"/>
        <w:jc w:val="both"/>
        <w:rPr>
          <w:rFonts w:ascii="Arial" w:hAnsi="Arial" w:cs="Arial"/>
          <w:sz w:val="20"/>
          <w:szCs w:val="20"/>
        </w:rPr>
      </w:pPr>
      <w:r>
        <w:rPr>
          <w:rFonts w:ascii="Arial" w:hAnsi="Arial" w:cs="Arial"/>
          <w:sz w:val="20"/>
          <w:szCs w:val="20"/>
        </w:rPr>
        <w:tab/>
      </w:r>
      <w:r w:rsidRPr="0082217E">
        <w:rPr>
          <w:rFonts w:ascii="Arial" w:hAnsi="Arial" w:cs="Arial"/>
          <w:sz w:val="20"/>
          <w:szCs w:val="20"/>
        </w:rPr>
        <w:t>The whole cocoa (pulp, peel</w:t>
      </w:r>
      <w:r w:rsidR="00555300">
        <w:rPr>
          <w:rFonts w:ascii="Arial" w:hAnsi="Arial" w:cs="Arial"/>
          <w:sz w:val="20"/>
          <w:szCs w:val="20"/>
        </w:rPr>
        <w:t>,</w:t>
      </w:r>
      <w:r w:rsidRPr="0082217E">
        <w:rPr>
          <w:rFonts w:ascii="Arial" w:hAnsi="Arial" w:cs="Arial"/>
          <w:sz w:val="20"/>
          <w:szCs w:val="20"/>
        </w:rPr>
        <w:t xml:space="preserve"> and seeds) was crushed, </w:t>
      </w:r>
      <w:r w:rsidRPr="0082217E">
        <w:rPr>
          <w:rFonts w:ascii="Arial" w:eastAsia="Times New Roman" w:hAnsi="Arial" w:cs="Arial"/>
          <w:sz w:val="20"/>
          <w:szCs w:val="18"/>
        </w:rPr>
        <w:t xml:space="preserve">homogenized, and then left for 48 hours in a </w:t>
      </w:r>
      <w:r w:rsidRPr="0082217E">
        <w:rPr>
          <w:rFonts w:ascii="Arial" w:eastAsia="Times New Roman" w:hAnsi="Arial" w:cs="Arial"/>
          <w:sz w:val="20"/>
          <w:szCs w:val="20"/>
        </w:rPr>
        <w:t>Coca-based extractor solution (propylparaben 0.5g, methylparaben 1g, sorbitol 30g, NaCl 5g, NaHCO</w:t>
      </w:r>
      <w:r w:rsidRPr="0082217E">
        <w:rPr>
          <w:rFonts w:ascii="Arial" w:eastAsia="Times New Roman" w:hAnsi="Arial" w:cs="Arial"/>
          <w:sz w:val="20"/>
          <w:szCs w:val="20"/>
          <w:vertAlign w:val="subscript"/>
        </w:rPr>
        <w:t>3</w:t>
      </w:r>
      <w:r w:rsidRPr="0082217E">
        <w:rPr>
          <w:rFonts w:ascii="Arial" w:eastAsia="Times New Roman" w:hAnsi="Arial" w:cs="Arial"/>
          <w:sz w:val="20"/>
          <w:szCs w:val="20"/>
        </w:rPr>
        <w:t xml:space="preserve"> 2.5g, 1,000mL H</w:t>
      </w:r>
      <w:r w:rsidRPr="0082217E">
        <w:rPr>
          <w:rFonts w:ascii="Arial" w:eastAsia="Times New Roman" w:hAnsi="Arial" w:cs="Arial"/>
          <w:sz w:val="20"/>
          <w:szCs w:val="20"/>
          <w:vertAlign w:val="subscript"/>
        </w:rPr>
        <w:t>2</w:t>
      </w:r>
      <w:r w:rsidRPr="0082217E">
        <w:rPr>
          <w:rFonts w:ascii="Arial" w:eastAsia="Times New Roman" w:hAnsi="Arial" w:cs="Arial"/>
          <w:sz w:val="20"/>
          <w:szCs w:val="20"/>
        </w:rPr>
        <w:t xml:space="preserve">O) </w:t>
      </w:r>
      <w:r w:rsidRPr="0082217E">
        <w:rPr>
          <w:rFonts w:ascii="Arial" w:eastAsia="Times New Roman" w:hAnsi="Arial" w:cs="Arial"/>
          <w:sz w:val="20"/>
          <w:szCs w:val="18"/>
        </w:rPr>
        <w:t xml:space="preserve"> at 4 °C for protein extraction</w:t>
      </w:r>
      <w:r w:rsidRPr="0082217E">
        <w:rPr>
          <w:rFonts w:ascii="Arial" w:hAnsi="Arial" w:cs="Arial"/>
          <w:sz w:val="20"/>
          <w:szCs w:val="20"/>
        </w:rPr>
        <w:t xml:space="preserve"> before centrifugation and separation of the water-soluble fraction from solid particles and oily fraction </w:t>
      </w:r>
      <w:r>
        <w:rPr>
          <w:rFonts w:ascii="Arial" w:hAnsi="Arial" w:cs="Arial"/>
          <w:noProof/>
          <w:sz w:val="20"/>
          <w:szCs w:val="20"/>
        </w:rPr>
        <w:t>(Coca 1922)</w:t>
      </w:r>
      <w:r w:rsidRPr="0082217E">
        <w:rPr>
          <w:rFonts w:ascii="Arial" w:hAnsi="Arial" w:cs="Arial"/>
          <w:sz w:val="20"/>
          <w:szCs w:val="20"/>
        </w:rPr>
        <w:t>. The protein quantification of the allergen extracts was done according to Bradford</w:t>
      </w:r>
      <w:r w:rsidR="00555300">
        <w:rPr>
          <w:rFonts w:ascii="Arial" w:hAnsi="Arial" w:cs="Arial"/>
          <w:sz w:val="20"/>
          <w:szCs w:val="20"/>
        </w:rPr>
        <w:t>'</w:t>
      </w:r>
      <w:r w:rsidRPr="0082217E">
        <w:rPr>
          <w:rFonts w:ascii="Arial" w:hAnsi="Arial" w:cs="Arial"/>
          <w:sz w:val="20"/>
          <w:szCs w:val="20"/>
        </w:rPr>
        <w:t xml:space="preserve">s protein-dye binding methodology </w:t>
      </w:r>
      <w:r>
        <w:rPr>
          <w:rFonts w:ascii="Arial" w:hAnsi="Arial" w:cs="Arial"/>
          <w:noProof/>
          <w:sz w:val="20"/>
          <w:szCs w:val="20"/>
        </w:rPr>
        <w:t>(Bradford 1976)</w:t>
      </w:r>
      <w:r w:rsidRPr="0082217E">
        <w:rPr>
          <w:rFonts w:ascii="Arial" w:hAnsi="Arial" w:cs="Arial"/>
          <w:sz w:val="20"/>
          <w:szCs w:val="20"/>
        </w:rPr>
        <w:t>. The solution</w:t>
      </w:r>
      <w:r w:rsidRPr="0082217E">
        <w:rPr>
          <w:rFonts w:ascii="Arial" w:eastAsia="Times New Roman" w:hAnsi="Arial" w:cs="Arial"/>
          <w:sz w:val="20"/>
          <w:szCs w:val="18"/>
        </w:rPr>
        <w:t xml:space="preserve"> was diluted in antigen dilution solution (NaCl 10g; KH</w:t>
      </w:r>
      <w:r w:rsidRPr="0082217E">
        <w:rPr>
          <w:rFonts w:ascii="Arial" w:eastAsia="Times New Roman" w:hAnsi="Arial" w:cs="Arial"/>
          <w:sz w:val="20"/>
          <w:szCs w:val="18"/>
          <w:vertAlign w:val="subscript"/>
        </w:rPr>
        <w:t>2</w:t>
      </w:r>
      <w:r w:rsidRPr="0082217E">
        <w:rPr>
          <w:rFonts w:ascii="Arial" w:eastAsia="Times New Roman" w:hAnsi="Arial" w:cs="Arial"/>
          <w:sz w:val="20"/>
          <w:szCs w:val="18"/>
        </w:rPr>
        <w:t>PO</w:t>
      </w:r>
      <w:r w:rsidRPr="0082217E">
        <w:rPr>
          <w:rFonts w:ascii="Arial" w:eastAsia="Times New Roman" w:hAnsi="Arial" w:cs="Arial"/>
          <w:sz w:val="20"/>
          <w:szCs w:val="18"/>
          <w:vertAlign w:val="subscript"/>
        </w:rPr>
        <w:t>4</w:t>
      </w:r>
      <w:r w:rsidRPr="0082217E">
        <w:rPr>
          <w:rFonts w:ascii="Arial" w:eastAsia="Times New Roman" w:hAnsi="Arial" w:cs="Arial"/>
          <w:sz w:val="20"/>
          <w:szCs w:val="18"/>
        </w:rPr>
        <w:t xml:space="preserve"> 0.72g; Na</w:t>
      </w:r>
      <w:r w:rsidRPr="0082217E">
        <w:rPr>
          <w:rFonts w:ascii="Arial" w:eastAsia="Times New Roman" w:hAnsi="Arial" w:cs="Arial"/>
          <w:sz w:val="20"/>
          <w:szCs w:val="18"/>
          <w:vertAlign w:val="subscript"/>
        </w:rPr>
        <w:t>3</w:t>
      </w:r>
      <w:r w:rsidRPr="0082217E">
        <w:rPr>
          <w:rFonts w:ascii="Arial" w:eastAsia="Times New Roman" w:hAnsi="Arial" w:cs="Arial"/>
          <w:sz w:val="20"/>
          <w:szCs w:val="18"/>
        </w:rPr>
        <w:t>PO</w:t>
      </w:r>
      <w:r w:rsidRPr="0082217E">
        <w:rPr>
          <w:rFonts w:ascii="Arial" w:eastAsia="Times New Roman" w:hAnsi="Arial" w:cs="Arial"/>
          <w:sz w:val="20"/>
          <w:szCs w:val="18"/>
          <w:vertAlign w:val="subscript"/>
        </w:rPr>
        <w:t>4</w:t>
      </w:r>
      <w:r w:rsidRPr="0082217E">
        <w:rPr>
          <w:rFonts w:ascii="Arial" w:eastAsia="Times New Roman" w:hAnsi="Arial" w:cs="Arial"/>
          <w:sz w:val="20"/>
          <w:szCs w:val="18"/>
        </w:rPr>
        <w:t xml:space="preserve"> 2.86g; methylparaben 1g; propylparaben 0.5g; glycerin 400mL; H</w:t>
      </w:r>
      <w:r w:rsidRPr="0082217E">
        <w:rPr>
          <w:rFonts w:ascii="Arial" w:eastAsia="Times New Roman" w:hAnsi="Arial" w:cs="Arial"/>
          <w:sz w:val="20"/>
          <w:szCs w:val="18"/>
          <w:vertAlign w:val="subscript"/>
        </w:rPr>
        <w:t>2</w:t>
      </w:r>
      <w:r w:rsidRPr="0082217E">
        <w:rPr>
          <w:rFonts w:ascii="Arial" w:eastAsia="Times New Roman" w:hAnsi="Arial" w:cs="Arial"/>
          <w:sz w:val="20"/>
          <w:szCs w:val="18"/>
        </w:rPr>
        <w:t xml:space="preserve">O 600mL) </w:t>
      </w:r>
      <w:r w:rsidRPr="0082217E">
        <w:rPr>
          <w:rFonts w:ascii="Arial" w:hAnsi="Arial" w:cs="Arial"/>
          <w:sz w:val="20"/>
          <w:szCs w:val="20"/>
        </w:rPr>
        <w:t xml:space="preserve">to an estimated protein concentration of 1 mg/mL and stored at 4 °C into amber opaque glass vials. </w:t>
      </w:r>
      <w:r w:rsidRPr="0082217E">
        <w:rPr>
          <w:rFonts w:ascii="Arial" w:eastAsia="Times New Roman" w:hAnsi="Arial" w:cs="Arial"/>
          <w:sz w:val="20"/>
          <w:szCs w:val="20"/>
        </w:rPr>
        <w:t xml:space="preserve">The cocoa extract was used to perform allergic skin tests, TTP, and LAIT. </w:t>
      </w:r>
      <w:r w:rsidRPr="0082217E">
        <w:rPr>
          <w:rFonts w:ascii="Arial" w:hAnsi="Arial" w:cs="Arial"/>
          <w:sz w:val="20"/>
          <w:szCs w:val="20"/>
          <w:lang w:eastAsia="pt-BR"/>
        </w:rPr>
        <w:t xml:space="preserve">All relevant and mandatory laboratory health and safety measures have been complied with during the experiments. </w:t>
      </w:r>
    </w:p>
    <w:p w14:paraId="7CF81811" w14:textId="77777777" w:rsidR="00DF1CFC" w:rsidRPr="00537CF5" w:rsidRDefault="00DF1CFC" w:rsidP="003A0C9E">
      <w:pPr>
        <w:spacing w:after="0" w:line="240" w:lineRule="auto"/>
        <w:jc w:val="both"/>
        <w:rPr>
          <w:rFonts w:ascii="Arial" w:eastAsia="Times New Roman" w:hAnsi="Arial" w:cs="Arial"/>
          <w:color w:val="FF0000"/>
          <w:sz w:val="20"/>
          <w:szCs w:val="20"/>
        </w:rPr>
      </w:pPr>
    </w:p>
    <w:p w14:paraId="54C02F8C" w14:textId="77777777" w:rsidR="00DF1CFC" w:rsidRPr="00537CF5" w:rsidRDefault="00DF1CFC" w:rsidP="003A0C9E">
      <w:pPr>
        <w:spacing w:after="0" w:line="240" w:lineRule="auto"/>
        <w:jc w:val="both"/>
        <w:rPr>
          <w:rFonts w:ascii="Arial" w:eastAsia="Times New Roman" w:hAnsi="Arial" w:cs="Arial"/>
          <w:b/>
          <w:bCs/>
          <w:sz w:val="20"/>
          <w:szCs w:val="20"/>
        </w:rPr>
      </w:pPr>
      <w:r w:rsidRPr="00537CF5">
        <w:rPr>
          <w:rFonts w:ascii="Arial" w:eastAsia="Times New Roman" w:hAnsi="Arial" w:cs="Arial"/>
          <w:b/>
          <w:bCs/>
          <w:sz w:val="20"/>
          <w:szCs w:val="20"/>
        </w:rPr>
        <w:t>2.</w:t>
      </w:r>
      <w:r>
        <w:rPr>
          <w:rFonts w:ascii="Arial" w:eastAsia="Times New Roman" w:hAnsi="Arial" w:cs="Arial"/>
          <w:b/>
          <w:bCs/>
          <w:sz w:val="20"/>
          <w:szCs w:val="20"/>
        </w:rPr>
        <w:t>2.2</w:t>
      </w:r>
      <w:r w:rsidRPr="00537CF5">
        <w:rPr>
          <w:rFonts w:ascii="Arial" w:eastAsia="Times New Roman" w:hAnsi="Arial" w:cs="Arial"/>
          <w:b/>
          <w:bCs/>
          <w:sz w:val="20"/>
          <w:szCs w:val="20"/>
        </w:rPr>
        <w:t xml:space="preserve"> </w:t>
      </w:r>
      <w:r>
        <w:rPr>
          <w:rFonts w:ascii="Arial" w:eastAsia="Times New Roman" w:hAnsi="Arial" w:cs="Arial"/>
          <w:b/>
          <w:bCs/>
          <w:sz w:val="20"/>
          <w:szCs w:val="20"/>
        </w:rPr>
        <w:t>Nickel solution</w:t>
      </w:r>
    </w:p>
    <w:p w14:paraId="6BECF2EF" w14:textId="77777777" w:rsidR="00DF1CFC" w:rsidRDefault="00DF1CFC" w:rsidP="003A0C9E">
      <w:pPr>
        <w:spacing w:after="0" w:line="240" w:lineRule="auto"/>
        <w:jc w:val="both"/>
        <w:rPr>
          <w:rFonts w:ascii="Arial" w:eastAsia="Times New Roman" w:hAnsi="Arial" w:cs="Arial"/>
          <w:color w:val="FF0000"/>
          <w:sz w:val="20"/>
          <w:szCs w:val="20"/>
        </w:rPr>
      </w:pPr>
    </w:p>
    <w:p w14:paraId="7C30BC4C" w14:textId="77777777" w:rsidR="00DF1CFC" w:rsidRDefault="00DF1CFC" w:rsidP="00A26924">
      <w:pPr>
        <w:spacing w:after="0" w:line="240" w:lineRule="auto"/>
        <w:jc w:val="both"/>
        <w:rPr>
          <w:rFonts w:ascii="Arial" w:eastAsia="Calibri" w:hAnsi="Arial" w:cs="Arial"/>
          <w:bCs/>
          <w:sz w:val="20"/>
        </w:rPr>
      </w:pPr>
      <w:r>
        <w:rPr>
          <w:rFonts w:ascii="Arial" w:eastAsia="Times New Roman" w:hAnsi="Arial" w:cs="Arial"/>
          <w:sz w:val="20"/>
          <w:szCs w:val="20"/>
        </w:rPr>
        <w:tab/>
      </w:r>
      <w:r w:rsidRPr="00372B90">
        <w:rPr>
          <w:rFonts w:ascii="Arial" w:eastAsia="Times New Roman" w:hAnsi="Arial" w:cs="Arial"/>
          <w:sz w:val="20"/>
          <w:szCs w:val="20"/>
        </w:rPr>
        <w:t xml:space="preserve">The </w:t>
      </w:r>
      <w:r w:rsidRPr="00372B90">
        <w:rPr>
          <w:rFonts w:ascii="Arial" w:eastAsia="Calibri" w:hAnsi="Arial" w:cs="Arial"/>
          <w:bCs/>
          <w:sz w:val="20"/>
        </w:rPr>
        <w:t>[NiSO</w:t>
      </w:r>
      <w:r w:rsidRPr="00372B90">
        <w:rPr>
          <w:rFonts w:ascii="Arial" w:eastAsia="Calibri" w:hAnsi="Arial" w:cs="Arial"/>
          <w:bCs/>
          <w:sz w:val="20"/>
          <w:vertAlign w:val="subscript"/>
        </w:rPr>
        <w:t>4</w:t>
      </w:r>
      <w:r w:rsidRPr="00372B90">
        <w:rPr>
          <w:rFonts w:ascii="Arial" w:eastAsia="Calibri" w:hAnsi="Arial" w:cs="Arial"/>
          <w:bCs/>
          <w:sz w:val="20"/>
        </w:rPr>
        <w:t xml:space="preserve"> (H</w:t>
      </w:r>
      <w:r w:rsidRPr="00372B90">
        <w:rPr>
          <w:rFonts w:ascii="Arial" w:eastAsia="Calibri" w:hAnsi="Arial" w:cs="Arial"/>
          <w:bCs/>
          <w:sz w:val="20"/>
          <w:vertAlign w:val="subscript"/>
        </w:rPr>
        <w:t>2</w:t>
      </w:r>
      <w:r w:rsidRPr="00372B90">
        <w:rPr>
          <w:rFonts w:ascii="Arial" w:eastAsia="Calibri" w:hAnsi="Arial" w:cs="Arial"/>
          <w:bCs/>
          <w:sz w:val="20"/>
        </w:rPr>
        <w:t>O)</w:t>
      </w:r>
      <w:r w:rsidRPr="00372B90">
        <w:rPr>
          <w:rFonts w:ascii="Arial" w:eastAsia="Calibri" w:hAnsi="Arial" w:cs="Arial"/>
          <w:bCs/>
          <w:sz w:val="20"/>
          <w:vertAlign w:val="subscript"/>
        </w:rPr>
        <w:t>6</w:t>
      </w:r>
      <w:r w:rsidRPr="00372B90">
        <w:rPr>
          <w:rFonts w:ascii="Arial" w:eastAsia="Calibri" w:hAnsi="Arial" w:cs="Arial"/>
          <w:bCs/>
          <w:sz w:val="20"/>
        </w:rPr>
        <w:t xml:space="preserve">] was acquired from Labcenter Campinas. </w:t>
      </w:r>
      <w:r w:rsidRPr="00AD14C4">
        <w:rPr>
          <w:rFonts w:ascii="Arial" w:eastAsia="Calibri" w:hAnsi="Arial" w:cs="Arial"/>
          <w:bCs/>
          <w:sz w:val="20"/>
        </w:rPr>
        <w:t>The po</w:t>
      </w:r>
      <w:r>
        <w:rPr>
          <w:rFonts w:ascii="Arial" w:eastAsia="Calibri" w:hAnsi="Arial" w:cs="Arial"/>
          <w:bCs/>
          <w:sz w:val="20"/>
        </w:rPr>
        <w:t>w</w:t>
      </w:r>
      <w:r w:rsidRPr="00AD14C4">
        <w:rPr>
          <w:rFonts w:ascii="Arial" w:eastAsia="Calibri" w:hAnsi="Arial" w:cs="Arial"/>
          <w:bCs/>
          <w:sz w:val="20"/>
        </w:rPr>
        <w:t>der was weighed and diluted in a buffer solution [NaCl 10g</w:t>
      </w:r>
      <w:r>
        <w:rPr>
          <w:rFonts w:ascii="Arial" w:eastAsia="Calibri" w:hAnsi="Arial" w:cs="Arial"/>
          <w:bCs/>
          <w:sz w:val="20"/>
        </w:rPr>
        <w:t>;</w:t>
      </w:r>
      <w:r w:rsidRPr="00AD14C4">
        <w:rPr>
          <w:rFonts w:ascii="Arial" w:eastAsia="Calibri" w:hAnsi="Arial" w:cs="Arial"/>
          <w:bCs/>
          <w:sz w:val="20"/>
        </w:rPr>
        <w:t xml:space="preserve"> KH</w:t>
      </w:r>
      <w:r w:rsidRPr="00AD14C4">
        <w:rPr>
          <w:rFonts w:ascii="Arial" w:eastAsia="Calibri" w:hAnsi="Arial" w:cs="Arial"/>
          <w:bCs/>
          <w:sz w:val="20"/>
          <w:vertAlign w:val="subscript"/>
        </w:rPr>
        <w:t>2</w:t>
      </w:r>
      <w:r w:rsidRPr="00AD14C4">
        <w:rPr>
          <w:rFonts w:ascii="Arial" w:eastAsia="Calibri" w:hAnsi="Arial" w:cs="Arial"/>
          <w:bCs/>
          <w:sz w:val="20"/>
        </w:rPr>
        <w:t>PO</w:t>
      </w:r>
      <w:r w:rsidRPr="00AD14C4">
        <w:rPr>
          <w:rFonts w:ascii="Arial" w:eastAsia="Calibri" w:hAnsi="Arial" w:cs="Arial"/>
          <w:bCs/>
          <w:sz w:val="20"/>
          <w:vertAlign w:val="subscript"/>
        </w:rPr>
        <w:t>4</w:t>
      </w:r>
      <w:r w:rsidRPr="00AD14C4">
        <w:rPr>
          <w:rFonts w:ascii="Arial" w:eastAsia="Calibri" w:hAnsi="Arial" w:cs="Arial"/>
          <w:bCs/>
          <w:sz w:val="20"/>
        </w:rPr>
        <w:t xml:space="preserve"> 0,72g</w:t>
      </w:r>
      <w:r>
        <w:rPr>
          <w:rFonts w:ascii="Arial" w:eastAsia="Calibri" w:hAnsi="Arial" w:cs="Arial"/>
          <w:bCs/>
          <w:sz w:val="20"/>
        </w:rPr>
        <w:t>;</w:t>
      </w:r>
      <w:r w:rsidRPr="00AD14C4">
        <w:rPr>
          <w:rFonts w:ascii="Arial" w:eastAsia="Calibri" w:hAnsi="Arial" w:cs="Arial"/>
          <w:bCs/>
          <w:sz w:val="20"/>
        </w:rPr>
        <w:t xml:space="preserve"> Na</w:t>
      </w:r>
      <w:r w:rsidRPr="00AD14C4">
        <w:rPr>
          <w:rFonts w:ascii="Arial" w:eastAsia="Calibri" w:hAnsi="Arial" w:cs="Arial"/>
          <w:bCs/>
          <w:sz w:val="20"/>
          <w:vertAlign w:val="subscript"/>
        </w:rPr>
        <w:t>3</w:t>
      </w:r>
      <w:r w:rsidRPr="00AD14C4">
        <w:rPr>
          <w:rFonts w:ascii="Arial" w:eastAsia="Calibri" w:hAnsi="Arial" w:cs="Arial"/>
          <w:bCs/>
          <w:sz w:val="20"/>
        </w:rPr>
        <w:t>PO</w:t>
      </w:r>
      <w:r w:rsidRPr="00AD14C4">
        <w:rPr>
          <w:rFonts w:ascii="Arial" w:eastAsia="Calibri" w:hAnsi="Arial" w:cs="Arial"/>
          <w:bCs/>
          <w:sz w:val="20"/>
          <w:vertAlign w:val="subscript"/>
        </w:rPr>
        <w:t>4</w:t>
      </w:r>
      <w:r w:rsidRPr="00AD14C4">
        <w:rPr>
          <w:rFonts w:ascii="Arial" w:eastAsia="Calibri" w:hAnsi="Arial" w:cs="Arial"/>
          <w:bCs/>
          <w:sz w:val="20"/>
        </w:rPr>
        <w:t xml:space="preserve"> 2,86g</w:t>
      </w:r>
      <w:r>
        <w:rPr>
          <w:rFonts w:ascii="Arial" w:eastAsia="Calibri" w:hAnsi="Arial" w:cs="Arial"/>
          <w:bCs/>
          <w:sz w:val="20"/>
        </w:rPr>
        <w:t>;</w:t>
      </w:r>
      <w:r w:rsidRPr="00AD14C4">
        <w:rPr>
          <w:rFonts w:ascii="Arial" w:eastAsia="Calibri" w:hAnsi="Arial" w:cs="Arial"/>
          <w:bCs/>
          <w:sz w:val="20"/>
        </w:rPr>
        <w:t xml:space="preserve"> H</w:t>
      </w:r>
      <w:r w:rsidRPr="00AA1F29">
        <w:rPr>
          <w:rFonts w:ascii="Arial" w:eastAsia="Calibri" w:hAnsi="Arial" w:cs="Arial"/>
          <w:bCs/>
          <w:sz w:val="20"/>
          <w:vertAlign w:val="subscript"/>
        </w:rPr>
        <w:t>2</w:t>
      </w:r>
      <w:r w:rsidRPr="00AD14C4">
        <w:rPr>
          <w:rFonts w:ascii="Arial" w:eastAsia="Calibri" w:hAnsi="Arial" w:cs="Arial"/>
          <w:bCs/>
          <w:sz w:val="20"/>
        </w:rPr>
        <w:t>O 600mL] to achieve the final concentration of 1 mg/mL to be employed in th</w:t>
      </w:r>
      <w:r>
        <w:rPr>
          <w:rFonts w:ascii="Arial" w:eastAsia="Calibri" w:hAnsi="Arial" w:cs="Arial"/>
          <w:bCs/>
          <w:sz w:val="20"/>
        </w:rPr>
        <w:t>e LAIT, TTP, and cutaneous tests.</w:t>
      </w:r>
    </w:p>
    <w:p w14:paraId="74B4AB03" w14:textId="77777777" w:rsidR="00DF1CFC" w:rsidRDefault="00DF1CFC" w:rsidP="003A0C9E">
      <w:pPr>
        <w:spacing w:after="0" w:line="240" w:lineRule="auto"/>
        <w:jc w:val="both"/>
        <w:rPr>
          <w:rFonts w:ascii="Arial" w:eastAsia="Times New Roman" w:hAnsi="Arial" w:cs="Arial"/>
          <w:sz w:val="20"/>
          <w:szCs w:val="20"/>
        </w:rPr>
      </w:pPr>
    </w:p>
    <w:p w14:paraId="52119896" w14:textId="77777777" w:rsidR="00DF1CFC" w:rsidRPr="000C794D" w:rsidRDefault="00DF1CFC" w:rsidP="00646870">
      <w:pPr>
        <w:spacing w:after="0" w:line="240" w:lineRule="auto"/>
        <w:jc w:val="both"/>
        <w:rPr>
          <w:rFonts w:ascii="Arial" w:eastAsia="Times New Roman" w:hAnsi="Arial" w:cs="Arial"/>
          <w:b/>
          <w:bCs/>
          <w:sz w:val="20"/>
          <w:szCs w:val="18"/>
        </w:rPr>
      </w:pPr>
      <w:r>
        <w:rPr>
          <w:rFonts w:ascii="Arial" w:eastAsia="Times New Roman" w:hAnsi="Arial" w:cs="Arial"/>
          <w:b/>
          <w:bCs/>
          <w:sz w:val="20"/>
          <w:szCs w:val="18"/>
        </w:rPr>
        <w:t>2.3.</w:t>
      </w:r>
      <w:r w:rsidRPr="000C794D">
        <w:rPr>
          <w:rFonts w:ascii="Arial" w:eastAsia="Times New Roman" w:hAnsi="Arial" w:cs="Arial"/>
          <w:b/>
          <w:bCs/>
          <w:sz w:val="20"/>
          <w:szCs w:val="18"/>
        </w:rPr>
        <w:t xml:space="preserve"> LAIT: </w:t>
      </w:r>
      <w:r w:rsidRPr="000C794D">
        <w:rPr>
          <w:rFonts w:ascii="Arial" w:eastAsia="Times New Roman" w:hAnsi="Arial" w:cs="Arial"/>
          <w:b/>
          <w:bCs/>
          <w:i/>
          <w:iCs/>
          <w:sz w:val="20"/>
          <w:szCs w:val="18"/>
        </w:rPr>
        <w:t>Ex vivo</w:t>
      </w:r>
      <w:r w:rsidRPr="000C794D">
        <w:rPr>
          <w:rFonts w:ascii="Arial" w:eastAsia="Times New Roman" w:hAnsi="Arial" w:cs="Arial"/>
          <w:b/>
          <w:bCs/>
          <w:sz w:val="20"/>
          <w:szCs w:val="18"/>
        </w:rPr>
        <w:t xml:space="preserve"> Investigation: Leukocyte Adherence Inhibition Test</w:t>
      </w:r>
    </w:p>
    <w:p w14:paraId="08178E22" w14:textId="77777777" w:rsidR="00DF1CFC" w:rsidRPr="000C794D" w:rsidRDefault="00DF1CFC" w:rsidP="00646870">
      <w:pPr>
        <w:spacing w:after="0" w:line="240" w:lineRule="auto"/>
        <w:jc w:val="both"/>
        <w:rPr>
          <w:rFonts w:ascii="Arial" w:eastAsia="Times New Roman" w:hAnsi="Arial" w:cs="Arial"/>
          <w:b/>
          <w:bCs/>
          <w:sz w:val="16"/>
          <w:szCs w:val="20"/>
        </w:rPr>
      </w:pPr>
    </w:p>
    <w:p w14:paraId="0AB46773" w14:textId="77777777" w:rsidR="00DF1CFC" w:rsidRPr="000C794D" w:rsidRDefault="00DF1CFC" w:rsidP="00403859">
      <w:pPr>
        <w:spacing w:after="0" w:line="240" w:lineRule="auto"/>
        <w:jc w:val="both"/>
        <w:rPr>
          <w:rFonts w:ascii="Arial" w:eastAsia="Times New Roman" w:hAnsi="Arial" w:cs="Arial"/>
          <w:sz w:val="20"/>
          <w:szCs w:val="20"/>
        </w:rPr>
      </w:pPr>
      <w:r>
        <w:rPr>
          <w:rFonts w:ascii="Arial" w:eastAsia="Times New Roman" w:hAnsi="Arial" w:cs="Arial"/>
          <w:b/>
          <w:bCs/>
          <w:sz w:val="20"/>
          <w:szCs w:val="20"/>
        </w:rPr>
        <w:t>2.3</w:t>
      </w:r>
      <w:r w:rsidRPr="000C794D">
        <w:rPr>
          <w:rFonts w:ascii="Arial" w:eastAsia="Times New Roman" w:hAnsi="Arial" w:cs="Arial"/>
          <w:b/>
          <w:bCs/>
          <w:sz w:val="20"/>
          <w:szCs w:val="20"/>
        </w:rPr>
        <w:t xml:space="preserve">.1 LAIT: </w:t>
      </w:r>
      <w:r w:rsidRPr="000C794D">
        <w:rPr>
          <w:rFonts w:ascii="Arial" w:hAnsi="Arial" w:cs="Arial"/>
          <w:b/>
          <w:bCs/>
          <w:sz w:val="20"/>
          <w:szCs w:val="20"/>
        </w:rPr>
        <w:t xml:space="preserve">Procedure for allergen </w:t>
      </w:r>
      <w:r w:rsidRPr="000C794D">
        <w:rPr>
          <w:rFonts w:ascii="Arial" w:hAnsi="Arial" w:cs="Arial"/>
          <w:b/>
          <w:bCs/>
          <w:i/>
          <w:iCs/>
          <w:sz w:val="20"/>
          <w:szCs w:val="20"/>
        </w:rPr>
        <w:t>ex vivo</w:t>
      </w:r>
      <w:r w:rsidRPr="000C794D">
        <w:rPr>
          <w:rFonts w:ascii="Arial" w:hAnsi="Arial" w:cs="Arial"/>
          <w:b/>
          <w:bCs/>
          <w:sz w:val="20"/>
          <w:szCs w:val="20"/>
        </w:rPr>
        <w:t xml:space="preserve"> challenging </w:t>
      </w:r>
    </w:p>
    <w:p w14:paraId="31CF0163" w14:textId="77777777" w:rsidR="00606F8A" w:rsidRDefault="00606F8A" w:rsidP="00A22110">
      <w:pPr>
        <w:spacing w:after="0" w:line="240" w:lineRule="auto"/>
        <w:ind w:firstLine="708"/>
        <w:jc w:val="both"/>
        <w:rPr>
          <w:rFonts w:ascii="Arial" w:eastAsia="Times New Roman" w:hAnsi="Arial" w:cs="Arial"/>
          <w:sz w:val="20"/>
          <w:szCs w:val="20"/>
        </w:rPr>
      </w:pPr>
    </w:p>
    <w:p w14:paraId="45F169FD" w14:textId="618120AA" w:rsidR="00DF1CFC" w:rsidRPr="000C794D" w:rsidRDefault="00DF1CFC" w:rsidP="00A22110">
      <w:pPr>
        <w:spacing w:after="0" w:line="240" w:lineRule="auto"/>
        <w:ind w:firstLine="708"/>
        <w:jc w:val="both"/>
        <w:rPr>
          <w:rFonts w:ascii="Arial" w:eastAsia="Times New Roman" w:hAnsi="Arial" w:cs="Arial"/>
          <w:sz w:val="20"/>
          <w:szCs w:val="20"/>
        </w:rPr>
      </w:pPr>
      <w:r w:rsidRPr="00444990">
        <w:rPr>
          <w:rFonts w:ascii="Arial" w:eastAsia="Times New Roman" w:hAnsi="Arial" w:cs="Arial"/>
          <w:sz w:val="20"/>
          <w:szCs w:val="20"/>
        </w:rPr>
        <w:t xml:space="preserve">We performed the LAIT as previously described </w:t>
      </w:r>
      <w:r w:rsidRPr="00444990">
        <w:rPr>
          <w:rFonts w:ascii="Arial" w:eastAsia="Times New Roman" w:hAnsi="Arial" w:cs="Arial"/>
          <w:noProof/>
          <w:sz w:val="20"/>
          <w:szCs w:val="20"/>
        </w:rPr>
        <w:t>(Olivier et al. 2012, Olivier et al. 2014, Olivier et al. 2021b, Olivier et al. 2021c, Olivier et al. 2021e, Olivier et al. 2022b, Olivier et al. 2022a, Olivier et al. 2022c, Olivier et al. 2023f, Olivier et al. 2023h, Olivier et al. 2023a, Olivier et al. 2024e)</w:t>
      </w:r>
      <w:r w:rsidRPr="00444990">
        <w:rPr>
          <w:rFonts w:ascii="Arial" w:eastAsia="Times New Roman" w:hAnsi="Arial" w:cs="Arial"/>
          <w:sz w:val="20"/>
          <w:szCs w:val="20"/>
        </w:rPr>
        <w:t xml:space="preserve">. </w:t>
      </w:r>
      <w:r w:rsidRPr="000C794D">
        <w:rPr>
          <w:rFonts w:ascii="Arial" w:eastAsia="Times New Roman" w:hAnsi="Arial" w:cs="Arial"/>
          <w:sz w:val="20"/>
          <w:szCs w:val="20"/>
        </w:rPr>
        <w:t xml:space="preserve">Shortly, each donor's fresh plasma was divided into two parts and used in parallel </w:t>
      </w:r>
      <w:r w:rsidRPr="000C794D">
        <w:rPr>
          <w:rFonts w:ascii="Arial" w:eastAsia="Times New Roman" w:hAnsi="Arial" w:cs="Arial"/>
          <w:i/>
          <w:iCs/>
          <w:sz w:val="20"/>
          <w:szCs w:val="20"/>
        </w:rPr>
        <w:t>ex vivo</w:t>
      </w:r>
      <w:r w:rsidRPr="000C794D">
        <w:rPr>
          <w:rFonts w:ascii="Arial" w:eastAsia="Times New Roman" w:hAnsi="Arial" w:cs="Arial"/>
          <w:sz w:val="20"/>
          <w:szCs w:val="20"/>
        </w:rPr>
        <w:t xml:space="preserve"> challenging tests with the </w:t>
      </w:r>
      <w:r>
        <w:rPr>
          <w:rFonts w:ascii="Arial" w:eastAsia="Times New Roman" w:hAnsi="Arial" w:cs="Arial"/>
          <w:sz w:val="20"/>
          <w:szCs w:val="20"/>
        </w:rPr>
        <w:t>cocoa extract, the nickel solution,</w:t>
      </w:r>
      <w:r w:rsidRPr="000C794D">
        <w:rPr>
          <w:rFonts w:ascii="Arial" w:eastAsia="Times New Roman" w:hAnsi="Arial" w:cs="Arial"/>
          <w:sz w:val="20"/>
          <w:szCs w:val="20"/>
        </w:rPr>
        <w:t xml:space="preserve"> and the unchallenged plasma </w:t>
      </w:r>
      <w:r w:rsidRPr="000C794D">
        <w:rPr>
          <w:rFonts w:ascii="Arial" w:eastAsia="Times New Roman" w:hAnsi="Arial" w:cs="Arial"/>
          <w:sz w:val="20"/>
          <w:szCs w:val="20"/>
        </w:rPr>
        <w:lastRenderedPageBreak/>
        <w:t xml:space="preserve">(added with </w:t>
      </w:r>
      <w:r w:rsidRPr="000C794D">
        <w:rPr>
          <w:rFonts w:ascii="Arial" w:eastAsia="Times New Roman" w:hAnsi="Arial" w:cs="Arial"/>
          <w:sz w:val="20"/>
          <w:szCs w:val="18"/>
        </w:rPr>
        <w:t xml:space="preserve">antigen dilution solution </w:t>
      </w:r>
      <w:r w:rsidRPr="000C794D">
        <w:rPr>
          <w:rFonts w:ascii="Arial" w:eastAsia="Times New Roman" w:hAnsi="Arial" w:cs="Arial"/>
          <w:sz w:val="20"/>
          <w:szCs w:val="20"/>
        </w:rPr>
        <w:t>as a control). We collected plasma with high leukocyte content (buffy coat) from the heparinized tube after one hour of sedimentation at 37 °C. Then, we distributed aliquots of 100 μL into Eppendorf tubes with (or without) the challenging extract and kept them under agitation for 30 minutes (200 rpm at 37 °C).</w:t>
      </w:r>
    </w:p>
    <w:p w14:paraId="597BE620" w14:textId="77777777" w:rsidR="00DF1CFC" w:rsidRPr="00537CF5" w:rsidRDefault="00DF1CFC" w:rsidP="00A22110">
      <w:pPr>
        <w:spacing w:after="0" w:line="240" w:lineRule="auto"/>
        <w:ind w:firstLine="708"/>
        <w:jc w:val="both"/>
        <w:rPr>
          <w:rFonts w:ascii="Arial" w:eastAsia="Times New Roman" w:hAnsi="Arial" w:cs="Arial"/>
          <w:color w:val="FF0000"/>
          <w:sz w:val="20"/>
          <w:szCs w:val="20"/>
        </w:rPr>
      </w:pPr>
    </w:p>
    <w:p w14:paraId="013843F4" w14:textId="77777777" w:rsidR="00DF1CFC" w:rsidRPr="000C794D" w:rsidRDefault="00DF1CFC" w:rsidP="00403859">
      <w:pPr>
        <w:spacing w:after="0" w:line="240" w:lineRule="auto"/>
        <w:jc w:val="both"/>
        <w:rPr>
          <w:rFonts w:ascii="Arial" w:eastAsia="Times New Roman" w:hAnsi="Arial" w:cs="Arial"/>
          <w:sz w:val="20"/>
          <w:szCs w:val="20"/>
        </w:rPr>
      </w:pPr>
      <w:r>
        <w:rPr>
          <w:rFonts w:ascii="Arial" w:eastAsia="Times New Roman" w:hAnsi="Arial" w:cs="Arial"/>
          <w:b/>
          <w:bCs/>
          <w:sz w:val="20"/>
          <w:szCs w:val="20"/>
        </w:rPr>
        <w:t>2.3</w:t>
      </w:r>
      <w:r w:rsidRPr="000C794D">
        <w:rPr>
          <w:rFonts w:ascii="Arial" w:eastAsia="Times New Roman" w:hAnsi="Arial" w:cs="Arial"/>
          <w:b/>
          <w:bCs/>
          <w:sz w:val="20"/>
          <w:szCs w:val="20"/>
        </w:rPr>
        <w:t xml:space="preserve">.2 LAIT: </w:t>
      </w:r>
      <w:r w:rsidRPr="000C794D">
        <w:rPr>
          <w:rFonts w:ascii="Arial" w:hAnsi="Arial" w:cs="Arial"/>
          <w:b/>
          <w:bCs/>
          <w:sz w:val="20"/>
          <w:szCs w:val="20"/>
        </w:rPr>
        <w:t xml:space="preserve">Procedure for adherence assay </w:t>
      </w:r>
    </w:p>
    <w:p w14:paraId="3F16A932" w14:textId="77777777" w:rsidR="00A04591" w:rsidRDefault="00A04591" w:rsidP="00A22110">
      <w:pPr>
        <w:spacing w:after="0" w:line="240" w:lineRule="auto"/>
        <w:ind w:firstLine="708"/>
        <w:jc w:val="both"/>
        <w:rPr>
          <w:rFonts w:ascii="Arial" w:eastAsia="Times New Roman" w:hAnsi="Arial" w:cs="Arial"/>
          <w:sz w:val="20"/>
          <w:szCs w:val="20"/>
        </w:rPr>
      </w:pPr>
    </w:p>
    <w:p w14:paraId="66939173" w14:textId="6365BB94" w:rsidR="00DF1CFC" w:rsidRPr="000C794D" w:rsidRDefault="00DF1CFC" w:rsidP="00A22110">
      <w:pPr>
        <w:spacing w:after="0" w:line="240" w:lineRule="auto"/>
        <w:ind w:firstLine="708"/>
        <w:jc w:val="both"/>
        <w:rPr>
          <w:rFonts w:ascii="Arial" w:eastAsia="Times New Roman" w:hAnsi="Arial" w:cs="Arial"/>
          <w:sz w:val="20"/>
          <w:szCs w:val="20"/>
        </w:rPr>
      </w:pPr>
      <w:r w:rsidRPr="000C794D">
        <w:rPr>
          <w:rFonts w:ascii="Arial" w:eastAsia="Times New Roman" w:hAnsi="Arial" w:cs="Arial"/>
          <w:sz w:val="20"/>
          <w:szCs w:val="20"/>
        </w:rPr>
        <w:t xml:space="preserve">After incubation, the plasma was allocated into a standard Neubauer hemocytometer counting chamber with a plain, non-metallic glass surface and left to stand for 2 hours at 37 °C in the humidified atmosphere of the covered water bath to allow leukocytes to adhere to the glass. Next, we counted the leukocytes, removed the coverslip, and washed the chamber by immersion in a beaker with </w:t>
      </w:r>
      <w:r>
        <w:rPr>
          <w:rFonts w:ascii="Arial" w:eastAsia="Times New Roman" w:hAnsi="Arial" w:cs="Arial"/>
          <w:sz w:val="20"/>
          <w:szCs w:val="20"/>
        </w:rPr>
        <w:t>phosphate buffer saline (</w:t>
      </w:r>
      <w:r w:rsidRPr="000C794D">
        <w:rPr>
          <w:rFonts w:ascii="Arial" w:eastAsia="Times New Roman" w:hAnsi="Arial" w:cs="Arial"/>
          <w:sz w:val="20"/>
          <w:szCs w:val="20"/>
        </w:rPr>
        <w:t>PBS</w:t>
      </w:r>
      <w:r>
        <w:rPr>
          <w:rFonts w:ascii="Arial" w:eastAsia="Times New Roman" w:hAnsi="Arial" w:cs="Arial"/>
          <w:sz w:val="20"/>
          <w:szCs w:val="20"/>
        </w:rPr>
        <w:t>)</w:t>
      </w:r>
      <w:r w:rsidRPr="000C794D">
        <w:rPr>
          <w:rFonts w:ascii="Arial" w:eastAsia="Times New Roman" w:hAnsi="Arial" w:cs="Arial"/>
          <w:sz w:val="20"/>
          <w:szCs w:val="20"/>
        </w:rPr>
        <w:t xml:space="preserve"> at 37 °C. Then, we added a drop of PBS to the hemocytometer's chamber and allocated a clean coverslip over it. The remaining cells were counted in the same squares as previously examined. </w:t>
      </w:r>
    </w:p>
    <w:p w14:paraId="463FD041" w14:textId="77777777" w:rsidR="00DF1CFC" w:rsidRPr="000C794D" w:rsidRDefault="00DF1CFC" w:rsidP="00A22110">
      <w:pPr>
        <w:spacing w:after="0" w:line="240" w:lineRule="auto"/>
        <w:ind w:firstLine="708"/>
        <w:jc w:val="both"/>
        <w:rPr>
          <w:rFonts w:ascii="Arial" w:eastAsia="Times New Roman" w:hAnsi="Arial" w:cs="Arial"/>
          <w:sz w:val="20"/>
          <w:szCs w:val="20"/>
        </w:rPr>
      </w:pPr>
    </w:p>
    <w:p w14:paraId="19252D00" w14:textId="77777777" w:rsidR="00DF1CFC" w:rsidRPr="000C794D" w:rsidRDefault="00DF1CFC" w:rsidP="00403859">
      <w:pPr>
        <w:spacing w:after="0" w:line="240" w:lineRule="auto"/>
        <w:jc w:val="both"/>
        <w:rPr>
          <w:rFonts w:ascii="Arial" w:eastAsia="Times New Roman" w:hAnsi="Arial" w:cs="Arial"/>
          <w:sz w:val="20"/>
          <w:szCs w:val="20"/>
        </w:rPr>
      </w:pPr>
      <w:r>
        <w:rPr>
          <w:rFonts w:ascii="Arial" w:eastAsia="Times New Roman" w:hAnsi="Arial" w:cs="Arial"/>
          <w:b/>
          <w:bCs/>
          <w:sz w:val="20"/>
          <w:szCs w:val="20"/>
        </w:rPr>
        <w:t>2.3.</w:t>
      </w:r>
      <w:r w:rsidRPr="000C794D">
        <w:rPr>
          <w:rFonts w:ascii="Arial" w:eastAsia="Times New Roman" w:hAnsi="Arial" w:cs="Arial"/>
          <w:b/>
          <w:bCs/>
          <w:sz w:val="20"/>
          <w:szCs w:val="20"/>
        </w:rPr>
        <w:t xml:space="preserve">3 LAIT: </w:t>
      </w:r>
      <w:r w:rsidRPr="000C794D">
        <w:rPr>
          <w:rFonts w:ascii="Arial" w:hAnsi="Arial" w:cs="Arial"/>
          <w:b/>
          <w:bCs/>
          <w:sz w:val="20"/>
          <w:szCs w:val="20"/>
        </w:rPr>
        <w:t xml:space="preserve">Procedure for calculation </w:t>
      </w:r>
    </w:p>
    <w:p w14:paraId="39ECE0E3" w14:textId="77777777" w:rsidR="00606F8A" w:rsidRDefault="00606F8A" w:rsidP="00A22110">
      <w:pPr>
        <w:spacing w:after="0" w:line="240" w:lineRule="auto"/>
        <w:ind w:firstLine="708"/>
        <w:jc w:val="both"/>
        <w:rPr>
          <w:rFonts w:ascii="Arial" w:eastAsia="Times New Roman" w:hAnsi="Arial" w:cs="Arial"/>
          <w:sz w:val="20"/>
          <w:szCs w:val="20"/>
        </w:rPr>
      </w:pPr>
    </w:p>
    <w:p w14:paraId="423C153E" w14:textId="6D74EE75" w:rsidR="00DF1CFC" w:rsidRPr="000C794D" w:rsidRDefault="00DF1CFC" w:rsidP="00A22110">
      <w:pPr>
        <w:spacing w:after="0" w:line="240" w:lineRule="auto"/>
        <w:ind w:firstLine="708"/>
        <w:jc w:val="both"/>
        <w:rPr>
          <w:rFonts w:ascii="Arial" w:eastAsia="Times New Roman" w:hAnsi="Arial" w:cs="Arial"/>
          <w:sz w:val="20"/>
          <w:szCs w:val="20"/>
        </w:rPr>
      </w:pPr>
      <w:r w:rsidRPr="000C794D">
        <w:rPr>
          <w:rFonts w:ascii="Arial" w:eastAsia="Times New Roman" w:hAnsi="Arial" w:cs="Arial"/>
          <w:sz w:val="20"/>
          <w:szCs w:val="20"/>
        </w:rPr>
        <w:t>The percentage of Leukocyte Adherence (LA) of each assay was estimated as: (the number of leukocytes observed on the hemocytometry chamber after washing divided by the number of leukocytes observed on the hemocytometry chamber before washing) and multiplied by 100 (%). The Leukocyte Adherence Ratio (LAR) was estimated based on the ratio between the LA from the antigen-specific challenged plasma and the LA from the unchallenged control plasma: LAR = LA of the challenged sample divided by LA of unchallenged control plasma multiplied by 100 (%). To further calculate the Leukocyte Adherence Inhibition (LAI), we subtracted the LAR from 100 (%). We employed the LAI results for the cascade distribution chart and the statistics calculations, both performed with the help of the Microsoft Excel</w:t>
      </w:r>
      <w:r w:rsidRPr="000C794D">
        <w:rPr>
          <w:rFonts w:ascii="Arial" w:eastAsia="Times New Roman" w:hAnsi="Arial" w:cs="Arial"/>
          <w:sz w:val="20"/>
          <w:szCs w:val="20"/>
          <w:vertAlign w:val="superscript"/>
        </w:rPr>
        <w:t>®</w:t>
      </w:r>
      <w:r w:rsidRPr="000C794D">
        <w:rPr>
          <w:rFonts w:ascii="Arial" w:eastAsia="Times New Roman" w:hAnsi="Arial" w:cs="Arial"/>
          <w:sz w:val="20"/>
          <w:szCs w:val="20"/>
        </w:rPr>
        <w:t xml:space="preserve"> statistical package.</w:t>
      </w:r>
    </w:p>
    <w:p w14:paraId="1607C6DD" w14:textId="77777777" w:rsidR="00DF1CFC" w:rsidRPr="000C794D" w:rsidRDefault="00DF1CFC" w:rsidP="00A22110">
      <w:pPr>
        <w:spacing w:after="0" w:line="240" w:lineRule="auto"/>
        <w:jc w:val="both"/>
        <w:rPr>
          <w:rFonts w:ascii="Arial" w:eastAsia="Times New Roman" w:hAnsi="Arial" w:cs="Arial"/>
          <w:sz w:val="20"/>
          <w:szCs w:val="20"/>
        </w:rPr>
      </w:pPr>
    </w:p>
    <w:p w14:paraId="4364CFDF" w14:textId="77777777" w:rsidR="00DF1CFC" w:rsidRPr="000C794D" w:rsidRDefault="00DF1CFC" w:rsidP="00A22110">
      <w:pPr>
        <w:spacing w:after="0" w:line="240" w:lineRule="auto"/>
        <w:jc w:val="both"/>
        <w:rPr>
          <w:rFonts w:ascii="Arial" w:eastAsia="Times New Roman" w:hAnsi="Arial" w:cs="Arial"/>
          <w:b/>
          <w:bCs/>
          <w:sz w:val="20"/>
          <w:szCs w:val="20"/>
        </w:rPr>
      </w:pPr>
      <w:r>
        <w:rPr>
          <w:rFonts w:ascii="Arial" w:eastAsia="Times New Roman" w:hAnsi="Arial" w:cs="Arial"/>
          <w:b/>
          <w:bCs/>
          <w:sz w:val="20"/>
          <w:szCs w:val="20"/>
        </w:rPr>
        <w:t>2.4</w:t>
      </w:r>
      <w:r w:rsidRPr="000C794D">
        <w:rPr>
          <w:rFonts w:ascii="Arial" w:eastAsia="Times New Roman" w:hAnsi="Arial" w:cs="Arial"/>
          <w:b/>
          <w:bCs/>
          <w:sz w:val="20"/>
          <w:szCs w:val="20"/>
        </w:rPr>
        <w:t xml:space="preserve"> TTP: </w:t>
      </w:r>
      <w:r w:rsidRPr="000C794D">
        <w:rPr>
          <w:rFonts w:ascii="Arial" w:eastAsia="Times New Roman" w:hAnsi="Arial" w:cs="Arial"/>
          <w:b/>
          <w:bCs/>
          <w:i/>
          <w:iCs/>
          <w:sz w:val="20"/>
          <w:szCs w:val="20"/>
        </w:rPr>
        <w:t>In vitro</w:t>
      </w:r>
      <w:r w:rsidRPr="000C794D">
        <w:rPr>
          <w:rFonts w:ascii="Arial" w:eastAsia="Times New Roman" w:hAnsi="Arial" w:cs="Arial"/>
          <w:b/>
          <w:bCs/>
          <w:sz w:val="20"/>
          <w:szCs w:val="20"/>
        </w:rPr>
        <w:t xml:space="preserve"> Investigation: Tube Titration of Precipitins</w:t>
      </w:r>
    </w:p>
    <w:p w14:paraId="0D8771B6" w14:textId="77777777" w:rsidR="00DF1CFC" w:rsidRPr="000C794D" w:rsidRDefault="00DF1CFC" w:rsidP="00DF582F">
      <w:pPr>
        <w:spacing w:after="0" w:line="240" w:lineRule="auto"/>
        <w:jc w:val="both"/>
        <w:rPr>
          <w:rFonts w:ascii="Arial" w:eastAsia="Times New Roman" w:hAnsi="Arial" w:cs="Arial"/>
          <w:sz w:val="20"/>
          <w:szCs w:val="20"/>
        </w:rPr>
      </w:pPr>
    </w:p>
    <w:p w14:paraId="20220279" w14:textId="11F0E971" w:rsidR="00DF1CFC" w:rsidRPr="000C794D" w:rsidRDefault="00DF1CFC" w:rsidP="00DF582F">
      <w:pPr>
        <w:spacing w:after="0" w:line="240" w:lineRule="auto"/>
        <w:ind w:firstLine="360"/>
        <w:jc w:val="both"/>
      </w:pPr>
      <w:r w:rsidRPr="000C794D">
        <w:rPr>
          <w:rFonts w:ascii="Arial" w:eastAsia="Times New Roman" w:hAnsi="Arial" w:cs="Arial"/>
          <w:sz w:val="20"/>
          <w:szCs w:val="20"/>
        </w:rPr>
        <w:t xml:space="preserve">As previously reported, the semi-quantitative TTP against the </w:t>
      </w:r>
      <w:r>
        <w:rPr>
          <w:rFonts w:ascii="Arial" w:eastAsia="Times New Roman" w:hAnsi="Arial" w:cs="Arial"/>
          <w:sz w:val="20"/>
          <w:szCs w:val="20"/>
        </w:rPr>
        <w:t>cocoa extract and the nickel</w:t>
      </w:r>
      <w:r w:rsidRPr="000C794D">
        <w:rPr>
          <w:rFonts w:ascii="Arial" w:eastAsia="Times New Roman" w:hAnsi="Arial" w:cs="Arial"/>
          <w:sz w:val="20"/>
          <w:szCs w:val="20"/>
        </w:rPr>
        <w:t xml:space="preserve"> solution was performed in a transparent vitreous tube array </w:t>
      </w:r>
      <w:r>
        <w:rPr>
          <w:rFonts w:ascii="Arial" w:eastAsia="Times New Roman" w:hAnsi="Arial" w:cs="Arial"/>
          <w:noProof/>
          <w:sz w:val="20"/>
          <w:szCs w:val="20"/>
        </w:rPr>
        <w:t>(Olivier et al. 2021f, Olivier et al. 2024g, Olivier et al. 2024d, Olivier et al. 2024b, Olivier et al. 2024a)</w:t>
      </w:r>
      <w:r w:rsidRPr="000C794D">
        <w:rPr>
          <w:rFonts w:ascii="Arial" w:eastAsia="Times New Roman" w:hAnsi="Arial" w:cs="Arial"/>
          <w:sz w:val="20"/>
          <w:szCs w:val="20"/>
        </w:rPr>
        <w:t>. Shortly, the patient</w:t>
      </w:r>
      <w:r w:rsidR="00555300">
        <w:rPr>
          <w:rFonts w:ascii="Arial" w:eastAsia="Times New Roman" w:hAnsi="Arial" w:cs="Arial"/>
          <w:sz w:val="20"/>
          <w:szCs w:val="20"/>
        </w:rPr>
        <w:t>'</w:t>
      </w:r>
      <w:r w:rsidRPr="000C794D">
        <w:rPr>
          <w:rFonts w:ascii="Arial" w:eastAsia="Times New Roman" w:hAnsi="Arial" w:cs="Arial"/>
          <w:sz w:val="20"/>
          <w:szCs w:val="20"/>
        </w:rPr>
        <w:t xml:space="preserve">s blood was collected in a clot-activator collecting tube. After separation, the serum was centrifugated at 2,000 rpm for 10 minutes. Each allergen extract was allocated in sets of eleven glass tubes at progressive duplicated serum dilutions. The progressive dilutions were combined with </w:t>
      </w:r>
      <w:r>
        <w:rPr>
          <w:rFonts w:ascii="Arial" w:eastAsia="Times New Roman" w:hAnsi="Arial" w:cs="Arial"/>
          <w:sz w:val="20"/>
          <w:szCs w:val="20"/>
        </w:rPr>
        <w:t xml:space="preserve">separated aliquots of </w:t>
      </w:r>
      <w:r w:rsidRPr="000C794D">
        <w:rPr>
          <w:rFonts w:ascii="Arial" w:eastAsia="Times New Roman" w:hAnsi="Arial" w:cs="Arial"/>
          <w:sz w:val="20"/>
          <w:szCs w:val="20"/>
        </w:rPr>
        <w:t>15 μL of the antigen (</w:t>
      </w:r>
      <w:r>
        <w:rPr>
          <w:rFonts w:ascii="Arial" w:eastAsia="Times New Roman" w:hAnsi="Arial" w:cs="Arial"/>
          <w:sz w:val="20"/>
          <w:szCs w:val="20"/>
        </w:rPr>
        <w:t>cocoa extract or nickel solution)</w:t>
      </w:r>
      <w:r w:rsidRPr="000C794D">
        <w:rPr>
          <w:rFonts w:ascii="Arial" w:eastAsia="Times New Roman" w:hAnsi="Arial" w:cs="Arial"/>
          <w:sz w:val="20"/>
          <w:szCs w:val="20"/>
        </w:rPr>
        <w:t xml:space="preserve"> with 250 μL of the patient</w:t>
      </w:r>
      <w:r w:rsidR="00555300">
        <w:rPr>
          <w:rFonts w:ascii="Arial" w:eastAsia="Times New Roman" w:hAnsi="Arial" w:cs="Arial"/>
          <w:sz w:val="20"/>
          <w:szCs w:val="20"/>
        </w:rPr>
        <w:t>'</w:t>
      </w:r>
      <w:r w:rsidRPr="000C794D">
        <w:rPr>
          <w:rFonts w:ascii="Arial" w:eastAsia="Times New Roman" w:hAnsi="Arial" w:cs="Arial"/>
          <w:sz w:val="20"/>
          <w:szCs w:val="20"/>
        </w:rPr>
        <w:t xml:space="preserve">s serum, progressively diluted into physiological saline solution (NaCl 0,9%) in the dilution ratios of 1:1; 1:2; 1:4; 1:8; 1:16; 1:32; 1:64; 1:128; 1:256; and 1:512. One tube was a blank control done with the </w:t>
      </w:r>
      <w:r>
        <w:rPr>
          <w:rFonts w:ascii="Arial" w:eastAsia="Times New Roman" w:hAnsi="Arial" w:cs="Arial"/>
          <w:sz w:val="20"/>
          <w:szCs w:val="20"/>
        </w:rPr>
        <w:t xml:space="preserve">distilled </w:t>
      </w:r>
      <w:r w:rsidRPr="000C794D">
        <w:rPr>
          <w:rFonts w:ascii="Arial" w:eastAsia="Times New Roman" w:hAnsi="Arial" w:cs="Arial"/>
          <w:sz w:val="20"/>
          <w:szCs w:val="20"/>
        </w:rPr>
        <w:t xml:space="preserve">water and serum to observe occasional spontaneous precipitation (Sia Test). After 24 hours, the tubes were examined, and the titers (the highest dilution factor that yields a positive reading) were recorded </w:t>
      </w:r>
      <w:r>
        <w:rPr>
          <w:rFonts w:ascii="Arial" w:eastAsia="Times New Roman" w:hAnsi="Arial" w:cs="Arial"/>
          <w:noProof/>
          <w:sz w:val="20"/>
          <w:szCs w:val="20"/>
        </w:rPr>
        <w:t>(Williams and Chase</w:t>
      </w:r>
      <w:r w:rsidR="00555300">
        <w:rPr>
          <w:rFonts w:ascii="Arial" w:eastAsia="Times New Roman" w:hAnsi="Arial" w:cs="Arial"/>
          <w:noProof/>
          <w:sz w:val="20"/>
          <w:szCs w:val="20"/>
        </w:rPr>
        <w:t>,</w:t>
      </w:r>
      <w:r>
        <w:rPr>
          <w:rFonts w:ascii="Arial" w:eastAsia="Times New Roman" w:hAnsi="Arial" w:cs="Arial"/>
          <w:noProof/>
          <w:sz w:val="20"/>
          <w:szCs w:val="20"/>
        </w:rPr>
        <w:t xml:space="preserve"> 1971)</w:t>
      </w:r>
      <w:r w:rsidRPr="000C794D">
        <w:rPr>
          <w:rFonts w:ascii="Arial" w:eastAsia="Times New Roman" w:hAnsi="Arial" w:cs="Arial"/>
          <w:sz w:val="20"/>
          <w:szCs w:val="20"/>
        </w:rPr>
        <w:t>.</w:t>
      </w:r>
    </w:p>
    <w:p w14:paraId="65E0E16A" w14:textId="77777777" w:rsidR="00DF1CFC" w:rsidRPr="00537CF5" w:rsidRDefault="00DF1CFC" w:rsidP="00646870">
      <w:pPr>
        <w:spacing w:after="0" w:line="240" w:lineRule="auto"/>
        <w:jc w:val="both"/>
        <w:rPr>
          <w:rFonts w:ascii="Arial" w:eastAsia="Times New Roman" w:hAnsi="Arial" w:cs="Arial"/>
          <w:b/>
          <w:bCs/>
          <w:color w:val="FF0000"/>
          <w:sz w:val="20"/>
          <w:szCs w:val="20"/>
        </w:rPr>
        <w:sectPr w:rsidR="00DF1CFC" w:rsidRPr="00537CF5" w:rsidSect="00DF1CFC">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pPr>
    </w:p>
    <w:p w14:paraId="7F34937E" w14:textId="77777777" w:rsidR="00DF1CFC" w:rsidRPr="000C794D" w:rsidRDefault="00DF1CFC" w:rsidP="00646870">
      <w:pPr>
        <w:spacing w:after="0" w:line="240" w:lineRule="auto"/>
        <w:jc w:val="both"/>
        <w:rPr>
          <w:rFonts w:ascii="Arial" w:eastAsia="Times New Roman" w:hAnsi="Arial" w:cs="Arial"/>
          <w:b/>
          <w:bCs/>
          <w:szCs w:val="20"/>
        </w:rPr>
      </w:pPr>
      <w:r w:rsidRPr="000C794D">
        <w:rPr>
          <w:rFonts w:ascii="Arial" w:eastAsia="Times New Roman" w:hAnsi="Arial" w:cs="Arial"/>
          <w:b/>
          <w:bCs/>
          <w:szCs w:val="20"/>
        </w:rPr>
        <w:lastRenderedPageBreak/>
        <w:t>3. RESULTS</w:t>
      </w:r>
    </w:p>
    <w:p w14:paraId="1F0B4FDF" w14:textId="77777777" w:rsidR="00DF1CFC" w:rsidRPr="000C794D" w:rsidRDefault="00DF1CFC" w:rsidP="00646870">
      <w:pPr>
        <w:spacing w:after="0" w:line="240" w:lineRule="auto"/>
        <w:jc w:val="both"/>
        <w:rPr>
          <w:rFonts w:ascii="Arial" w:eastAsia="Times New Roman" w:hAnsi="Arial" w:cs="Arial"/>
          <w:sz w:val="20"/>
          <w:szCs w:val="20"/>
        </w:rPr>
      </w:pPr>
    </w:p>
    <w:p w14:paraId="1003E4AC" w14:textId="77777777" w:rsidR="00DF1CFC" w:rsidRPr="000C794D" w:rsidRDefault="00DF1CFC" w:rsidP="00EB37DE">
      <w:pPr>
        <w:spacing w:after="0" w:line="240" w:lineRule="auto"/>
        <w:ind w:firstLine="708"/>
        <w:jc w:val="both"/>
        <w:rPr>
          <w:rFonts w:ascii="Arial" w:eastAsia="Times New Roman" w:hAnsi="Arial" w:cs="Arial"/>
          <w:sz w:val="20"/>
          <w:szCs w:val="20"/>
        </w:rPr>
      </w:pPr>
      <w:r w:rsidRPr="000C794D">
        <w:rPr>
          <w:rFonts w:ascii="Arial" w:eastAsia="Times New Roman" w:hAnsi="Arial" w:cs="Arial"/>
          <w:sz w:val="20"/>
          <w:szCs w:val="20"/>
        </w:rPr>
        <w:t xml:space="preserve">As a retrospective survey, there was no research protocol; therefore, we report the incidental immune investigation as registered in the digital medical charts. </w:t>
      </w:r>
    </w:p>
    <w:p w14:paraId="006858FB" w14:textId="77777777" w:rsidR="00DF1CFC" w:rsidRPr="00E35811" w:rsidRDefault="00DF1CFC" w:rsidP="00FB5DD2">
      <w:pPr>
        <w:spacing w:after="0" w:line="240" w:lineRule="auto"/>
        <w:ind w:firstLine="708"/>
        <w:jc w:val="both"/>
        <w:rPr>
          <w:rFonts w:ascii="Arial" w:eastAsia="Times New Roman" w:hAnsi="Arial" w:cs="Arial"/>
          <w:sz w:val="20"/>
          <w:szCs w:val="20"/>
        </w:rPr>
      </w:pPr>
      <w:r w:rsidRPr="00E35811">
        <w:rPr>
          <w:rFonts w:ascii="Arial" w:eastAsia="Times New Roman" w:hAnsi="Arial" w:cs="Arial"/>
          <w:sz w:val="20"/>
          <w:szCs w:val="20"/>
        </w:rPr>
        <w:t xml:space="preserve">The TTP for the cocoa extract showed a distribution concentrated on the higher dilutions (Fig 1). There was one negative result. The mean was estimated at 1:385; the median was 1:512; the standard deviation was estimated at 1:180; the mode was 1:512 (appeared 65 times).  </w:t>
      </w:r>
    </w:p>
    <w:p w14:paraId="3E2A3507" w14:textId="77777777" w:rsidR="00DF1CFC" w:rsidRDefault="00DF1CFC" w:rsidP="00E22C5E">
      <w:pPr>
        <w:spacing w:after="0" w:line="240" w:lineRule="auto"/>
        <w:ind w:firstLine="708"/>
        <w:jc w:val="both"/>
        <w:rPr>
          <w:rFonts w:ascii="Arial" w:eastAsia="Times New Roman" w:hAnsi="Arial" w:cs="Arial"/>
          <w:sz w:val="20"/>
          <w:szCs w:val="20"/>
        </w:rPr>
      </w:pPr>
      <w:r w:rsidRPr="003570BB">
        <w:rPr>
          <w:rFonts w:ascii="Arial" w:eastAsia="Times New Roman" w:hAnsi="Arial" w:cs="Arial"/>
          <w:sz w:val="20"/>
          <w:szCs w:val="20"/>
        </w:rPr>
        <w:t xml:space="preserve">The TTP for the nickel showed a distribution concentrated on the higher dilutions (Fig 2). There was one negative result. The mean was estimated at 1:309; the median was 1:256; the standard deviation was estimated at 1:199; the mode was 1:512 (appeared 46 times).  </w:t>
      </w:r>
    </w:p>
    <w:p w14:paraId="74412EF3" w14:textId="77777777" w:rsidR="00DF1CFC" w:rsidRPr="008B731D" w:rsidRDefault="00DF1CFC" w:rsidP="00DD5EFE">
      <w:pPr>
        <w:spacing w:after="0" w:line="240" w:lineRule="auto"/>
        <w:ind w:firstLine="708"/>
        <w:jc w:val="both"/>
        <w:rPr>
          <w:rFonts w:ascii="Arial" w:eastAsia="Times New Roman" w:hAnsi="Arial" w:cs="Arial"/>
          <w:sz w:val="20"/>
          <w:szCs w:val="20"/>
        </w:rPr>
      </w:pPr>
      <w:r w:rsidRPr="008B731D">
        <w:rPr>
          <w:rFonts w:ascii="Arial" w:eastAsia="Times New Roman" w:hAnsi="Arial" w:cs="Arial"/>
          <w:sz w:val="20"/>
          <w:szCs w:val="20"/>
        </w:rPr>
        <w:t xml:space="preserve">The LAIT for the cocoa extract showed a wide distribution range of results. Most results were concentrated in the </w:t>
      </w:r>
      <w:r>
        <w:rPr>
          <w:rFonts w:ascii="Arial" w:eastAsia="Times New Roman" w:hAnsi="Arial" w:cs="Arial"/>
          <w:sz w:val="20"/>
          <w:szCs w:val="20"/>
        </w:rPr>
        <w:t>higher</w:t>
      </w:r>
      <w:r w:rsidRPr="008B731D">
        <w:rPr>
          <w:rFonts w:ascii="Arial" w:eastAsia="Times New Roman" w:hAnsi="Arial" w:cs="Arial"/>
          <w:sz w:val="20"/>
          <w:szCs w:val="20"/>
        </w:rPr>
        <w:t xml:space="preserve"> immunoreactive groups. There were seven negative results. The LAI ranged from 0% to 98%. The mean was 51.9%; the median was 56%; the standard deviation was 26.3%; the mode was 0% (appeared seven times). The cascade distribution demonstrates a wide range of LAI results (Fig. 3). Some patients showed low or moderate immunoreactivity during the </w:t>
      </w:r>
      <w:r w:rsidRPr="008B731D">
        <w:rPr>
          <w:rFonts w:ascii="Arial" w:eastAsia="Times New Roman" w:hAnsi="Arial" w:cs="Arial"/>
          <w:i/>
          <w:iCs/>
          <w:sz w:val="20"/>
          <w:szCs w:val="20"/>
        </w:rPr>
        <w:t>ex vivo</w:t>
      </w:r>
      <w:r w:rsidRPr="008B731D">
        <w:rPr>
          <w:rFonts w:ascii="Arial" w:eastAsia="Times New Roman" w:hAnsi="Arial" w:cs="Arial"/>
          <w:sz w:val="20"/>
          <w:szCs w:val="20"/>
        </w:rPr>
        <w:t xml:space="preserve"> challenge test. In contrast, others displayed strong immunoreactivity, which supposedly</w:t>
      </w:r>
      <w:r>
        <w:rPr>
          <w:rFonts w:ascii="Arial" w:eastAsia="Times New Roman" w:hAnsi="Arial" w:cs="Arial"/>
          <w:sz w:val="20"/>
          <w:szCs w:val="20"/>
        </w:rPr>
        <w:t xml:space="preserve"> </w:t>
      </w:r>
      <w:r w:rsidRPr="008B731D">
        <w:rPr>
          <w:rFonts w:ascii="Arial" w:eastAsia="Times New Roman" w:hAnsi="Arial" w:cs="Arial"/>
          <w:sz w:val="20"/>
          <w:szCs w:val="20"/>
        </w:rPr>
        <w:t xml:space="preserve">could reflect the participation of cocoa allergens in </w:t>
      </w:r>
      <w:r>
        <w:rPr>
          <w:rFonts w:ascii="Arial" w:eastAsia="Times New Roman" w:hAnsi="Arial" w:cs="Arial"/>
          <w:sz w:val="20"/>
          <w:szCs w:val="20"/>
        </w:rPr>
        <w:t>the</w:t>
      </w:r>
      <w:r w:rsidRPr="008B731D">
        <w:rPr>
          <w:rFonts w:ascii="Arial" w:eastAsia="Times New Roman" w:hAnsi="Arial" w:cs="Arial"/>
          <w:sz w:val="20"/>
          <w:szCs w:val="20"/>
        </w:rPr>
        <w:t xml:space="preserve"> Non–IgE-mediated hypersensitivity condition </w:t>
      </w:r>
      <w:r>
        <w:rPr>
          <w:rFonts w:ascii="Arial" w:eastAsia="Times New Roman" w:hAnsi="Arial" w:cs="Arial"/>
          <w:sz w:val="20"/>
          <w:szCs w:val="20"/>
        </w:rPr>
        <w:t>of</w:t>
      </w:r>
      <w:r w:rsidRPr="008B731D">
        <w:rPr>
          <w:rFonts w:ascii="Arial" w:eastAsia="Times New Roman" w:hAnsi="Arial" w:cs="Arial"/>
          <w:sz w:val="20"/>
          <w:szCs w:val="20"/>
        </w:rPr>
        <w:t xml:space="preserve"> these patients.</w:t>
      </w:r>
    </w:p>
    <w:p w14:paraId="03B30D9A" w14:textId="77777777" w:rsidR="00DF1CFC" w:rsidRPr="0016421D" w:rsidRDefault="00DF1CFC" w:rsidP="007B3859">
      <w:pPr>
        <w:spacing w:after="0" w:line="240" w:lineRule="auto"/>
        <w:ind w:firstLine="708"/>
        <w:jc w:val="both"/>
        <w:rPr>
          <w:rFonts w:ascii="Arial" w:eastAsia="Times New Roman" w:hAnsi="Arial" w:cs="Arial"/>
          <w:sz w:val="20"/>
          <w:szCs w:val="20"/>
        </w:rPr>
      </w:pPr>
      <w:r w:rsidRPr="0016421D">
        <w:rPr>
          <w:rFonts w:ascii="Arial" w:eastAsia="Times New Roman" w:hAnsi="Arial" w:cs="Arial"/>
          <w:sz w:val="20"/>
          <w:szCs w:val="20"/>
        </w:rPr>
        <w:t>The LAIT for nickel solution showed a wide distribution range of results. Most results were concentrated in the lower and m</w:t>
      </w:r>
      <w:r>
        <w:rPr>
          <w:rFonts w:ascii="Arial" w:eastAsia="Times New Roman" w:hAnsi="Arial" w:cs="Arial"/>
          <w:sz w:val="20"/>
          <w:szCs w:val="20"/>
        </w:rPr>
        <w:t>oderate</w:t>
      </w:r>
      <w:r w:rsidRPr="0016421D">
        <w:rPr>
          <w:rFonts w:ascii="Arial" w:eastAsia="Times New Roman" w:hAnsi="Arial" w:cs="Arial"/>
          <w:sz w:val="20"/>
          <w:szCs w:val="20"/>
        </w:rPr>
        <w:t xml:space="preserve"> immunoreactive groups. There were eighteen negative results. The LAI ranged from 0% to 89%. The mean was 33%; the median was 33%; the standard deviation was 26,6%; the mode was 0% (appeared eighteen times). The cascade distribution demonstrates a wide range of LAI results (Fig. 4). Some patients showed low or moderate immunoreactivity during the </w:t>
      </w:r>
      <w:r w:rsidRPr="0016421D">
        <w:rPr>
          <w:rFonts w:ascii="Arial" w:eastAsia="Times New Roman" w:hAnsi="Arial" w:cs="Arial"/>
          <w:i/>
          <w:iCs/>
          <w:sz w:val="20"/>
          <w:szCs w:val="20"/>
        </w:rPr>
        <w:t>ex vivo</w:t>
      </w:r>
      <w:r w:rsidRPr="0016421D">
        <w:rPr>
          <w:rFonts w:ascii="Arial" w:eastAsia="Times New Roman" w:hAnsi="Arial" w:cs="Arial"/>
          <w:sz w:val="20"/>
          <w:szCs w:val="20"/>
        </w:rPr>
        <w:t xml:space="preserve"> challenge test. In contrast, others displayed strong immunoreactivity, which could reflect the participation of nickel in the Non–IgE-mediated hypersensitivity condition of these patients.</w:t>
      </w:r>
    </w:p>
    <w:p w14:paraId="071D8106" w14:textId="77777777" w:rsidR="00DF1CFC" w:rsidRPr="003570BB" w:rsidRDefault="00DF1CFC" w:rsidP="00EE667B">
      <w:pPr>
        <w:spacing w:after="0" w:line="240" w:lineRule="auto"/>
        <w:ind w:firstLine="708"/>
        <w:jc w:val="both"/>
        <w:rPr>
          <w:rFonts w:ascii="Arial" w:eastAsia="Times New Roman" w:hAnsi="Arial" w:cs="Arial"/>
          <w:sz w:val="20"/>
          <w:szCs w:val="20"/>
        </w:rPr>
      </w:pPr>
      <w:r w:rsidRPr="00C310F0">
        <w:rPr>
          <w:rFonts w:ascii="Arial" w:eastAsia="Times New Roman" w:hAnsi="Arial" w:cs="Arial"/>
          <w:sz w:val="20"/>
          <w:szCs w:val="20"/>
        </w:rPr>
        <w:t xml:space="preserve">The Pearson correlation indicated that there is a significant medium positive relationship between TTP results between Cocoa (x-axis) and Nickel (y-axis), r(98) = .335; p &lt; .001; see Figure </w:t>
      </w:r>
      <w:r>
        <w:rPr>
          <w:rFonts w:ascii="Arial" w:eastAsia="Times New Roman" w:hAnsi="Arial" w:cs="Arial"/>
          <w:sz w:val="20"/>
          <w:szCs w:val="20"/>
        </w:rPr>
        <w:t>5</w:t>
      </w:r>
      <w:r w:rsidRPr="00C310F0">
        <w:rPr>
          <w:rFonts w:ascii="Arial" w:eastAsia="Times New Roman" w:hAnsi="Arial" w:cs="Arial"/>
          <w:sz w:val="20"/>
          <w:szCs w:val="20"/>
        </w:rPr>
        <w:t>.</w:t>
      </w:r>
    </w:p>
    <w:p w14:paraId="11EB7FE0" w14:textId="77777777" w:rsidR="00DF1CFC" w:rsidRPr="00C310F0" w:rsidRDefault="00DF1CFC" w:rsidP="00FA6944">
      <w:pPr>
        <w:spacing w:after="0" w:line="240" w:lineRule="auto"/>
        <w:ind w:firstLine="708"/>
        <w:jc w:val="both"/>
        <w:rPr>
          <w:rFonts w:ascii="Arial" w:eastAsia="Times New Roman" w:hAnsi="Arial" w:cs="Arial"/>
          <w:sz w:val="20"/>
          <w:szCs w:val="20"/>
        </w:rPr>
      </w:pPr>
      <w:r w:rsidRPr="00802B6E">
        <w:rPr>
          <w:rFonts w:ascii="Arial" w:eastAsia="Times New Roman" w:hAnsi="Arial" w:cs="Arial"/>
          <w:sz w:val="20"/>
          <w:szCs w:val="20"/>
        </w:rPr>
        <w:t>The Pearson</w:t>
      </w:r>
      <w:r w:rsidRPr="00C310F0">
        <w:rPr>
          <w:rFonts w:ascii="Arial" w:eastAsia="Times New Roman" w:hAnsi="Arial" w:cs="Arial"/>
          <w:sz w:val="20"/>
          <w:szCs w:val="20"/>
        </w:rPr>
        <w:t xml:space="preserve"> correlation indicated that there is a significant medium positive relationship between LAIT results between Cocoa (x-axis) and Nickel (y-axis), r(98) = .425; p &lt; .001; see Figure </w:t>
      </w:r>
      <w:r>
        <w:rPr>
          <w:rFonts w:ascii="Arial" w:eastAsia="Times New Roman" w:hAnsi="Arial" w:cs="Arial"/>
          <w:sz w:val="20"/>
          <w:szCs w:val="20"/>
        </w:rPr>
        <w:t>6</w:t>
      </w:r>
      <w:r w:rsidRPr="00C310F0">
        <w:rPr>
          <w:rFonts w:ascii="Arial" w:eastAsia="Times New Roman" w:hAnsi="Arial" w:cs="Arial"/>
          <w:sz w:val="20"/>
          <w:szCs w:val="20"/>
        </w:rPr>
        <w:t>.</w:t>
      </w:r>
    </w:p>
    <w:p w14:paraId="12956CCD" w14:textId="77777777" w:rsidR="00DF1CFC" w:rsidRPr="00C310F0" w:rsidRDefault="00DF1CFC" w:rsidP="00FA6944">
      <w:pPr>
        <w:spacing w:after="0" w:line="240" w:lineRule="auto"/>
        <w:ind w:firstLine="708"/>
        <w:jc w:val="both"/>
        <w:rPr>
          <w:rFonts w:ascii="Arial" w:eastAsia="Times New Roman" w:hAnsi="Arial" w:cs="Arial"/>
          <w:sz w:val="20"/>
          <w:szCs w:val="20"/>
        </w:rPr>
      </w:pPr>
    </w:p>
    <w:p w14:paraId="097B9F56" w14:textId="77777777" w:rsidR="00DF1CFC" w:rsidRDefault="00DF1CFC" w:rsidP="007D34A0">
      <w:pPr>
        <w:pStyle w:val="NormalWeb"/>
      </w:pPr>
      <w:r>
        <w:rPr>
          <w:noProof/>
        </w:rPr>
        <w:drawing>
          <wp:inline distT="0" distB="0" distL="0" distR="0" wp14:anchorId="2BF16105" wp14:editId="6623B682">
            <wp:extent cx="5746750" cy="3232785"/>
            <wp:effectExtent l="0" t="0" r="6350" b="5715"/>
            <wp:docPr id="270354683" name="Imagem 7"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354683" name="Imagem 7" descr="Gráfico&#10;&#10;O conteúdo gerado por IA pode estar incorre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69C55D2" w14:textId="77777777" w:rsidR="00DF1CFC" w:rsidRPr="00F931F3" w:rsidRDefault="00DF1CFC" w:rsidP="00B2020B">
      <w:pPr>
        <w:spacing w:after="0" w:line="240" w:lineRule="auto"/>
        <w:jc w:val="both"/>
        <w:rPr>
          <w:rFonts w:ascii="Arial" w:eastAsia="Times New Roman" w:hAnsi="Arial" w:cs="Arial"/>
          <w:sz w:val="20"/>
          <w:szCs w:val="20"/>
        </w:rPr>
      </w:pPr>
      <w:r>
        <w:rPr>
          <w:rFonts w:ascii="Arial" w:eastAsia="Times New Roman" w:hAnsi="Arial" w:cs="Arial"/>
          <w:sz w:val="20"/>
          <w:szCs w:val="20"/>
        </w:rPr>
        <w:t>F</w:t>
      </w:r>
      <w:r w:rsidRPr="00F931F3">
        <w:rPr>
          <w:rFonts w:ascii="Arial" w:eastAsia="Times New Roman" w:hAnsi="Arial" w:cs="Arial"/>
          <w:sz w:val="20"/>
          <w:szCs w:val="20"/>
        </w:rPr>
        <w:t xml:space="preserve">ig. 1. Cascade distribution chart of the tube titration of precipitins (x-axis %) resulting from the cocoa extract </w:t>
      </w:r>
      <w:r w:rsidRPr="00F931F3">
        <w:rPr>
          <w:rFonts w:ascii="Arial" w:eastAsia="Calibri" w:hAnsi="Arial" w:cs="Arial"/>
          <w:bCs/>
          <w:sz w:val="20"/>
        </w:rPr>
        <w:t>against the serum of</w:t>
      </w:r>
      <w:r w:rsidRPr="00F931F3">
        <w:rPr>
          <w:rFonts w:ascii="Arial" w:eastAsia="Times New Roman" w:hAnsi="Arial" w:cs="Arial"/>
          <w:sz w:val="20"/>
          <w:szCs w:val="20"/>
        </w:rPr>
        <w:t xml:space="preserve"> the TTP cohort of 100 tests/subjects (y-axis).</w:t>
      </w:r>
    </w:p>
    <w:p w14:paraId="1695403E" w14:textId="77777777" w:rsidR="00DF1CFC" w:rsidRDefault="00DF1CFC" w:rsidP="00B2020B">
      <w:pPr>
        <w:spacing w:after="0" w:line="240" w:lineRule="auto"/>
        <w:jc w:val="both"/>
        <w:rPr>
          <w:rFonts w:ascii="Arial" w:eastAsia="Times New Roman" w:hAnsi="Arial" w:cs="Arial"/>
          <w:color w:val="FF0000"/>
          <w:sz w:val="20"/>
          <w:szCs w:val="20"/>
        </w:rPr>
      </w:pPr>
    </w:p>
    <w:p w14:paraId="76CE5406" w14:textId="77777777" w:rsidR="00DF1CFC" w:rsidRDefault="00DF1CFC" w:rsidP="002C092C">
      <w:pPr>
        <w:pStyle w:val="NormalWeb"/>
      </w:pPr>
      <w:r>
        <w:rPr>
          <w:noProof/>
        </w:rPr>
        <w:lastRenderedPageBreak/>
        <w:drawing>
          <wp:inline distT="0" distB="0" distL="0" distR="0" wp14:anchorId="031D9430" wp14:editId="20CAABB0">
            <wp:extent cx="5746750" cy="3232785"/>
            <wp:effectExtent l="0" t="0" r="6350" b="5715"/>
            <wp:docPr id="1250169684" name="Imagem 8" descr="Gráfic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169684" name="Imagem 8" descr="Gráfico&#10;&#10;O conteúdo gerado por IA pode estar incorre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47A71A6" w14:textId="77777777" w:rsidR="00DF1CFC" w:rsidRPr="00DC11B7" w:rsidRDefault="00DF1CFC" w:rsidP="00320799">
      <w:pPr>
        <w:spacing w:after="0" w:line="240" w:lineRule="auto"/>
        <w:jc w:val="both"/>
        <w:rPr>
          <w:rFonts w:ascii="Arial" w:eastAsia="Times New Roman" w:hAnsi="Arial" w:cs="Arial"/>
          <w:sz w:val="20"/>
          <w:szCs w:val="20"/>
        </w:rPr>
      </w:pPr>
      <w:r w:rsidRPr="00DC11B7">
        <w:rPr>
          <w:rFonts w:ascii="Arial" w:eastAsia="Times New Roman" w:hAnsi="Arial" w:cs="Arial"/>
          <w:sz w:val="20"/>
          <w:szCs w:val="20"/>
        </w:rPr>
        <w:t xml:space="preserve">Fig. 2. Cascade distribution chart of the tube titration of precipitins (x-axis %) resulting from the nickel solution </w:t>
      </w:r>
      <w:r w:rsidRPr="00DC11B7">
        <w:rPr>
          <w:rFonts w:ascii="Arial" w:eastAsia="Calibri" w:hAnsi="Arial" w:cs="Arial"/>
          <w:bCs/>
          <w:sz w:val="20"/>
        </w:rPr>
        <w:t>against the serum of</w:t>
      </w:r>
      <w:r w:rsidRPr="00DC11B7">
        <w:rPr>
          <w:rFonts w:ascii="Arial" w:eastAsia="Times New Roman" w:hAnsi="Arial" w:cs="Arial"/>
          <w:sz w:val="20"/>
          <w:szCs w:val="20"/>
        </w:rPr>
        <w:t xml:space="preserve"> the TTP cohort of 100 tests/subjects (y-axis).</w:t>
      </w:r>
    </w:p>
    <w:p w14:paraId="4866D6BB" w14:textId="77777777" w:rsidR="00DF1CFC" w:rsidRPr="00DC11B7" w:rsidRDefault="00DF1CFC" w:rsidP="00320799">
      <w:pPr>
        <w:spacing w:after="0" w:line="240" w:lineRule="auto"/>
        <w:jc w:val="both"/>
        <w:rPr>
          <w:rFonts w:ascii="Arial" w:eastAsia="Times New Roman" w:hAnsi="Arial" w:cs="Arial"/>
          <w:sz w:val="20"/>
          <w:szCs w:val="20"/>
        </w:rPr>
      </w:pPr>
    </w:p>
    <w:p w14:paraId="2C488D37" w14:textId="77777777" w:rsidR="00DF1CFC" w:rsidRDefault="00DF1CFC" w:rsidP="00067FD8">
      <w:pPr>
        <w:pStyle w:val="NormalWeb"/>
      </w:pPr>
      <w:r>
        <w:rPr>
          <w:noProof/>
        </w:rPr>
        <w:drawing>
          <wp:inline distT="0" distB="0" distL="0" distR="0" wp14:anchorId="1A2945E6" wp14:editId="3C6B538F">
            <wp:extent cx="5746750" cy="3232785"/>
            <wp:effectExtent l="0" t="0" r="6350" b="5715"/>
            <wp:docPr id="513120018" name="Imagem 4"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120018" name="Imagem 4" descr="Gráfico, Gráfico de cascata&#10;&#10;O conteúdo gerado por IA pode estar incorre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765E432E" w14:textId="77777777" w:rsidR="00DF1CFC" w:rsidRPr="00067FD8" w:rsidRDefault="00DF1CFC" w:rsidP="00646870">
      <w:pPr>
        <w:spacing w:after="0" w:line="240" w:lineRule="auto"/>
        <w:jc w:val="both"/>
        <w:rPr>
          <w:rFonts w:ascii="Arial" w:eastAsia="Times New Roman" w:hAnsi="Arial" w:cs="Arial"/>
          <w:sz w:val="20"/>
          <w:szCs w:val="20"/>
        </w:rPr>
      </w:pPr>
      <w:r w:rsidRPr="00067FD8">
        <w:rPr>
          <w:rFonts w:ascii="Arial" w:eastAsia="Times New Roman" w:hAnsi="Arial" w:cs="Arial"/>
          <w:sz w:val="20"/>
          <w:szCs w:val="20"/>
        </w:rPr>
        <w:t xml:space="preserve">Fig. 3. Cascade distribution chart of the range groups of Leukocyte Adherence Inhibition (LAI) results (x-axis %) of the </w:t>
      </w:r>
      <w:r w:rsidRPr="00067FD8">
        <w:rPr>
          <w:rFonts w:ascii="Arial" w:eastAsia="Times New Roman" w:hAnsi="Arial" w:cs="Arial"/>
          <w:i/>
          <w:iCs/>
          <w:sz w:val="20"/>
          <w:szCs w:val="20"/>
        </w:rPr>
        <w:t>ex vivo</w:t>
      </w:r>
      <w:r w:rsidRPr="00067FD8">
        <w:rPr>
          <w:rFonts w:ascii="Arial" w:eastAsia="Times New Roman" w:hAnsi="Arial" w:cs="Arial"/>
          <w:sz w:val="20"/>
          <w:szCs w:val="20"/>
        </w:rPr>
        <w:t xml:space="preserve"> challenge test against cocoa extract monitored by the Leukocyte Adherence Inhibition Test (LAIT), according to the respective number of outcomes over the LAIT cohort with 100 tests/subjects (y-axis).</w:t>
      </w:r>
    </w:p>
    <w:p w14:paraId="19443180" w14:textId="77777777" w:rsidR="00DF1CFC" w:rsidRDefault="00DF1CFC" w:rsidP="001659B2">
      <w:pPr>
        <w:pStyle w:val="NormalWeb"/>
        <w:jc w:val="both"/>
        <w:rPr>
          <w:rFonts w:ascii="Arial" w:hAnsi="Arial" w:cs="Arial"/>
          <w:sz w:val="20"/>
          <w:szCs w:val="20"/>
          <w:lang w:val="en-US"/>
        </w:rPr>
      </w:pPr>
      <w:r>
        <w:rPr>
          <w:noProof/>
        </w:rPr>
        <w:lastRenderedPageBreak/>
        <w:drawing>
          <wp:inline distT="0" distB="0" distL="0" distR="0" wp14:anchorId="7C7167F7" wp14:editId="25AE78D3">
            <wp:extent cx="5746750" cy="3232785"/>
            <wp:effectExtent l="0" t="0" r="6350" b="5715"/>
            <wp:docPr id="170131189" name="Imagem 6" descr="Gráfico, Gráfico de cascat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31189" name="Imagem 6" descr="Gráfico, Gráfico de cascata&#10;&#10;O conteúdo gerado por IA pode estar incorre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682BC3A7" w14:textId="77777777" w:rsidR="00DF1CFC" w:rsidRPr="0005724F" w:rsidRDefault="00DF1CFC" w:rsidP="001659B2">
      <w:pPr>
        <w:pStyle w:val="NormalWeb"/>
        <w:jc w:val="both"/>
        <w:rPr>
          <w:lang w:val="en-US"/>
        </w:rPr>
      </w:pPr>
      <w:r w:rsidRPr="0005724F">
        <w:rPr>
          <w:rFonts w:ascii="Arial" w:hAnsi="Arial" w:cs="Arial"/>
          <w:sz w:val="20"/>
          <w:szCs w:val="20"/>
          <w:lang w:val="en-US"/>
        </w:rPr>
        <w:t xml:space="preserve">Fig. 4. Cascade distribution chart of the range groups of Leukocyte Adherence Inhibition (LAI) results (x-axis %) of </w:t>
      </w:r>
      <w:r w:rsidRPr="0005724F">
        <w:rPr>
          <w:rFonts w:ascii="Arial" w:hAnsi="Arial" w:cs="Arial"/>
          <w:i/>
          <w:iCs/>
          <w:sz w:val="20"/>
          <w:szCs w:val="20"/>
          <w:lang w:val="en-US"/>
        </w:rPr>
        <w:t>ex vivo</w:t>
      </w:r>
      <w:r w:rsidRPr="0005724F">
        <w:rPr>
          <w:rFonts w:ascii="Arial" w:hAnsi="Arial" w:cs="Arial"/>
          <w:sz w:val="20"/>
          <w:szCs w:val="20"/>
          <w:lang w:val="en-US"/>
        </w:rPr>
        <w:t xml:space="preserve"> </w:t>
      </w:r>
      <w:r w:rsidRPr="0005724F">
        <w:rPr>
          <w:rFonts w:ascii="Arial" w:hAnsi="Arial" w:cs="Arial"/>
          <w:i/>
          <w:iCs/>
          <w:sz w:val="20"/>
          <w:szCs w:val="20"/>
          <w:lang w:val="en-US"/>
        </w:rPr>
        <w:t>ex vivo</w:t>
      </w:r>
      <w:r w:rsidRPr="0005724F">
        <w:rPr>
          <w:rFonts w:ascii="Arial" w:hAnsi="Arial" w:cs="Arial"/>
          <w:sz w:val="20"/>
          <w:szCs w:val="20"/>
          <w:lang w:val="en-US"/>
        </w:rPr>
        <w:t xml:space="preserve"> challenge test against nickel solution monitored by the Leukocyte Adherence Inhibition Test (LAIT), according to the respective number of outcomes over the LAIT cohort with 100 tests/subjects (y-axis).</w:t>
      </w:r>
    </w:p>
    <w:p w14:paraId="71FDDACC" w14:textId="77777777" w:rsidR="00DF1CFC" w:rsidRDefault="00DF1CFC" w:rsidP="002B5AD6">
      <w:pPr>
        <w:pStyle w:val="NormalWeb"/>
      </w:pPr>
      <w:r>
        <w:rPr>
          <w:noProof/>
        </w:rPr>
        <w:drawing>
          <wp:inline distT="0" distB="0" distL="0" distR="0" wp14:anchorId="315E0780" wp14:editId="7F5292F6">
            <wp:extent cx="5746750" cy="3232785"/>
            <wp:effectExtent l="0" t="0" r="6350" b="5715"/>
            <wp:docPr id="197976782" name="Imagem 10" descr="Gráfico, Gráfico de linhas&#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6782" name="Imagem 10" descr="Gráfico, Gráfico de linhas&#10;&#10;O conteúdo gerado por IA pode estar incorre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32BFAAFD" w14:textId="77777777" w:rsidR="00DF1CFC" w:rsidRPr="00F77EFC" w:rsidRDefault="00DF1CFC" w:rsidP="002B5AD6">
      <w:pPr>
        <w:spacing w:after="0" w:line="240" w:lineRule="auto"/>
        <w:jc w:val="both"/>
        <w:rPr>
          <w:rFonts w:ascii="Arial" w:eastAsia="Times New Roman" w:hAnsi="Arial" w:cs="Arial"/>
          <w:sz w:val="20"/>
          <w:szCs w:val="20"/>
        </w:rPr>
      </w:pPr>
      <w:r w:rsidRPr="00F77EFC">
        <w:rPr>
          <w:rFonts w:ascii="Arial" w:eastAsia="Times New Roman" w:hAnsi="Arial" w:cs="Arial"/>
          <w:sz w:val="20"/>
          <w:szCs w:val="20"/>
        </w:rPr>
        <w:t xml:space="preserve">Fig. </w:t>
      </w:r>
      <w:r>
        <w:rPr>
          <w:rFonts w:ascii="Arial" w:eastAsia="Times New Roman" w:hAnsi="Arial" w:cs="Arial"/>
          <w:sz w:val="20"/>
          <w:szCs w:val="20"/>
        </w:rPr>
        <w:t>5</w:t>
      </w:r>
      <w:r w:rsidRPr="00F77EFC">
        <w:rPr>
          <w:rFonts w:ascii="Arial" w:eastAsia="Times New Roman" w:hAnsi="Arial" w:cs="Arial"/>
          <w:sz w:val="20"/>
          <w:szCs w:val="20"/>
        </w:rPr>
        <w:t>. Dispersion chart of the Leukocyte Adherence Inhibition (LAI) results of th</w:t>
      </w:r>
      <w:r>
        <w:rPr>
          <w:rFonts w:ascii="Arial" w:eastAsia="Times New Roman" w:hAnsi="Arial" w:cs="Arial"/>
          <w:sz w:val="20"/>
          <w:szCs w:val="20"/>
        </w:rPr>
        <w:t xml:space="preserve">e Tube Titration of Precipitins </w:t>
      </w:r>
      <w:r w:rsidRPr="00F77EFC">
        <w:rPr>
          <w:rFonts w:ascii="Arial" w:eastAsia="Times New Roman" w:hAnsi="Arial" w:cs="Arial"/>
          <w:sz w:val="20"/>
          <w:szCs w:val="20"/>
        </w:rPr>
        <w:t xml:space="preserve">against cocoa extract (x-axis %), plotted against the LAI results of the </w:t>
      </w:r>
      <w:r>
        <w:rPr>
          <w:rFonts w:ascii="Arial" w:eastAsia="Times New Roman" w:hAnsi="Arial" w:cs="Arial"/>
          <w:sz w:val="20"/>
          <w:szCs w:val="20"/>
        </w:rPr>
        <w:t xml:space="preserve">Tube Titration of Precipitins </w:t>
      </w:r>
      <w:r w:rsidRPr="00F77EFC">
        <w:rPr>
          <w:rFonts w:ascii="Arial" w:eastAsia="Times New Roman" w:hAnsi="Arial" w:cs="Arial"/>
          <w:sz w:val="20"/>
          <w:szCs w:val="20"/>
        </w:rPr>
        <w:t>against nickel solution (y-axis %).</w:t>
      </w:r>
    </w:p>
    <w:p w14:paraId="7E0F6E85" w14:textId="77777777" w:rsidR="00DF1CFC" w:rsidRPr="00593D0F" w:rsidRDefault="00DF1CFC" w:rsidP="00320799">
      <w:pPr>
        <w:spacing w:after="0" w:line="240" w:lineRule="auto"/>
        <w:jc w:val="both"/>
        <w:rPr>
          <w:rFonts w:ascii="Arial" w:eastAsia="Times New Roman" w:hAnsi="Arial" w:cs="Arial"/>
          <w:color w:val="FF0000"/>
          <w:sz w:val="20"/>
          <w:szCs w:val="20"/>
        </w:rPr>
      </w:pPr>
    </w:p>
    <w:p w14:paraId="310FD084" w14:textId="77777777" w:rsidR="00DF1CFC" w:rsidRDefault="00DF1CFC" w:rsidP="00802B6E">
      <w:pPr>
        <w:pStyle w:val="NormalWeb"/>
      </w:pPr>
      <w:r>
        <w:rPr>
          <w:noProof/>
        </w:rPr>
        <w:lastRenderedPageBreak/>
        <w:drawing>
          <wp:inline distT="0" distB="0" distL="0" distR="0" wp14:anchorId="1DDCE2ED" wp14:editId="3DFA65CE">
            <wp:extent cx="5746750" cy="3232785"/>
            <wp:effectExtent l="0" t="0" r="6350" b="5715"/>
            <wp:docPr id="410441697" name="Imagem 7" descr="Gráfico, Gráfico de dispersã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41697" name="Imagem 7" descr="Gráfico, Gráfico de dispersão&#10;&#10;O conteúdo gerado por IA pode estar incorre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6750" cy="3232785"/>
                    </a:xfrm>
                    <a:prstGeom prst="rect">
                      <a:avLst/>
                    </a:prstGeom>
                    <a:noFill/>
                    <a:ln>
                      <a:noFill/>
                    </a:ln>
                  </pic:spPr>
                </pic:pic>
              </a:graphicData>
            </a:graphic>
          </wp:inline>
        </w:drawing>
      </w:r>
    </w:p>
    <w:p w14:paraId="46BF1685" w14:textId="77777777" w:rsidR="00DF1CFC" w:rsidRPr="00F77EFC" w:rsidRDefault="00DF1CFC" w:rsidP="007B40CE">
      <w:pPr>
        <w:spacing w:after="0" w:line="240" w:lineRule="auto"/>
        <w:jc w:val="both"/>
        <w:rPr>
          <w:rFonts w:ascii="Arial" w:eastAsia="Times New Roman" w:hAnsi="Arial" w:cs="Arial"/>
          <w:sz w:val="20"/>
          <w:szCs w:val="20"/>
        </w:rPr>
      </w:pPr>
      <w:r w:rsidRPr="00F77EFC">
        <w:rPr>
          <w:rFonts w:ascii="Arial" w:eastAsia="Times New Roman" w:hAnsi="Arial" w:cs="Arial"/>
          <w:sz w:val="20"/>
          <w:szCs w:val="20"/>
        </w:rPr>
        <w:t xml:space="preserve">Fig. </w:t>
      </w:r>
      <w:r>
        <w:rPr>
          <w:rFonts w:ascii="Arial" w:eastAsia="Times New Roman" w:hAnsi="Arial" w:cs="Arial"/>
          <w:sz w:val="20"/>
          <w:szCs w:val="20"/>
        </w:rPr>
        <w:t>6</w:t>
      </w:r>
      <w:r w:rsidRPr="00F77EFC">
        <w:rPr>
          <w:rFonts w:ascii="Arial" w:eastAsia="Times New Roman" w:hAnsi="Arial" w:cs="Arial"/>
          <w:sz w:val="20"/>
          <w:szCs w:val="20"/>
        </w:rPr>
        <w:t xml:space="preserve">. Dispersion chart of the Leukocyte Adherence Inhibition (LAI) results of the </w:t>
      </w:r>
      <w:r w:rsidRPr="00F77EFC">
        <w:rPr>
          <w:rFonts w:ascii="Arial" w:eastAsia="Times New Roman" w:hAnsi="Arial" w:cs="Arial"/>
          <w:i/>
          <w:iCs/>
          <w:sz w:val="20"/>
          <w:szCs w:val="20"/>
        </w:rPr>
        <w:t>ex vivo</w:t>
      </w:r>
      <w:r w:rsidRPr="00F77EFC">
        <w:rPr>
          <w:rFonts w:ascii="Arial" w:eastAsia="Times New Roman" w:hAnsi="Arial" w:cs="Arial"/>
          <w:sz w:val="20"/>
          <w:szCs w:val="20"/>
        </w:rPr>
        <w:t xml:space="preserve"> challenge test against cocoa extract (x-axis %), plotted against the LAI results of the </w:t>
      </w:r>
      <w:r w:rsidRPr="00F77EFC">
        <w:rPr>
          <w:rFonts w:ascii="Arial" w:eastAsia="Times New Roman" w:hAnsi="Arial" w:cs="Arial"/>
          <w:i/>
          <w:iCs/>
          <w:sz w:val="20"/>
          <w:szCs w:val="20"/>
        </w:rPr>
        <w:t>ex vivo</w:t>
      </w:r>
      <w:r w:rsidRPr="00F77EFC">
        <w:rPr>
          <w:rFonts w:ascii="Arial" w:eastAsia="Times New Roman" w:hAnsi="Arial" w:cs="Arial"/>
          <w:sz w:val="20"/>
          <w:szCs w:val="20"/>
        </w:rPr>
        <w:t xml:space="preserve"> challenge test against nickel solution (y-axis %).</w:t>
      </w:r>
    </w:p>
    <w:p w14:paraId="2BCFB97E" w14:textId="77777777" w:rsidR="00DF1CFC" w:rsidRPr="00593D0F" w:rsidRDefault="00DF1CFC" w:rsidP="007B40CE">
      <w:pPr>
        <w:spacing w:after="0" w:line="240" w:lineRule="auto"/>
        <w:jc w:val="both"/>
        <w:rPr>
          <w:rFonts w:ascii="Arial" w:eastAsia="Times New Roman" w:hAnsi="Arial" w:cs="Arial"/>
          <w:color w:val="FF0000"/>
          <w:sz w:val="20"/>
          <w:szCs w:val="20"/>
        </w:rPr>
      </w:pPr>
    </w:p>
    <w:p w14:paraId="5B0BF40F" w14:textId="77777777" w:rsidR="00DF1CFC" w:rsidRPr="00537CF5" w:rsidRDefault="00DF1CFC" w:rsidP="00320799">
      <w:pPr>
        <w:spacing w:after="0" w:line="240" w:lineRule="auto"/>
        <w:jc w:val="both"/>
        <w:rPr>
          <w:rFonts w:ascii="Arial" w:eastAsia="Times New Roman" w:hAnsi="Arial" w:cs="Arial"/>
          <w:color w:val="FF0000"/>
          <w:sz w:val="20"/>
          <w:szCs w:val="20"/>
        </w:rPr>
      </w:pPr>
    </w:p>
    <w:p w14:paraId="749EC2C1" w14:textId="77777777" w:rsidR="00DF1CFC" w:rsidRPr="00537CF5" w:rsidRDefault="00DF1CFC" w:rsidP="005E6636">
      <w:pPr>
        <w:spacing w:after="0" w:line="240" w:lineRule="auto"/>
        <w:jc w:val="both"/>
        <w:rPr>
          <w:rFonts w:ascii="Arial" w:eastAsia="Times New Roman" w:hAnsi="Arial" w:cs="Arial"/>
          <w:color w:val="FF0000"/>
          <w:sz w:val="20"/>
          <w:szCs w:val="20"/>
        </w:rPr>
      </w:pPr>
      <w:r w:rsidRPr="00537CF5">
        <w:rPr>
          <w:rFonts w:ascii="Arial" w:eastAsia="Times New Roman" w:hAnsi="Arial" w:cs="Arial"/>
          <w:color w:val="FF0000"/>
          <w:sz w:val="20"/>
          <w:szCs w:val="20"/>
        </w:rPr>
        <w:tab/>
      </w:r>
    </w:p>
    <w:p w14:paraId="09A2681E" w14:textId="77777777" w:rsidR="00DF1CFC" w:rsidRPr="00822F58" w:rsidRDefault="00DF1CFC" w:rsidP="00646870">
      <w:pPr>
        <w:pStyle w:val="Heading2"/>
        <w:rPr>
          <w:rFonts w:eastAsia="Times New Roman"/>
        </w:rPr>
      </w:pPr>
      <w:r w:rsidRPr="00822F58">
        <w:rPr>
          <w:rFonts w:eastAsia="Times New Roman"/>
        </w:rPr>
        <w:t>4. DISCUSSION</w:t>
      </w:r>
    </w:p>
    <w:p w14:paraId="36810012" w14:textId="77777777" w:rsidR="00DF1CFC" w:rsidRDefault="00DF1CFC" w:rsidP="00660920">
      <w:pPr>
        <w:spacing w:after="0" w:line="240" w:lineRule="auto"/>
        <w:jc w:val="both"/>
        <w:rPr>
          <w:rFonts w:ascii="Arial" w:eastAsia="Times New Roman" w:hAnsi="Arial" w:cs="Arial"/>
          <w:color w:val="FF0000"/>
          <w:sz w:val="20"/>
          <w:szCs w:val="20"/>
        </w:rPr>
      </w:pPr>
    </w:p>
    <w:p w14:paraId="0DEC7CB9" w14:textId="77777777" w:rsidR="00DF1CFC" w:rsidRDefault="00DF1CFC" w:rsidP="00801079">
      <w:pPr>
        <w:tabs>
          <w:tab w:val="left" w:pos="1560"/>
        </w:tabs>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 xml:space="preserve">Cocoa polyphenols have several effects on innate inflammatory response and systemic and intestinal adaptive immune systems </w:t>
      </w:r>
      <w:r>
        <w:rPr>
          <w:rFonts w:ascii="Arial" w:eastAsia="Times New Roman" w:hAnsi="Arial" w:cs="Arial"/>
          <w:noProof/>
          <w:sz w:val="20"/>
          <w:szCs w:val="20"/>
        </w:rPr>
        <w:t>(Pérez-Cano et al. 2013)</w:t>
      </w:r>
      <w:r>
        <w:rPr>
          <w:rFonts w:ascii="Arial" w:eastAsia="Times New Roman" w:hAnsi="Arial" w:cs="Arial"/>
          <w:sz w:val="20"/>
          <w:szCs w:val="20"/>
        </w:rPr>
        <w:t xml:space="preserve">. Animal studies have </w:t>
      </w:r>
      <w:r w:rsidRPr="001D278F">
        <w:rPr>
          <w:rFonts w:ascii="Arial" w:eastAsia="Times New Roman" w:hAnsi="Arial" w:cs="Arial"/>
          <w:sz w:val="20"/>
          <w:szCs w:val="20"/>
        </w:rPr>
        <w:t>observed that polyphenols</w:t>
      </w:r>
      <w:r>
        <w:rPr>
          <w:rFonts w:ascii="Arial" w:eastAsia="Times New Roman" w:hAnsi="Arial" w:cs="Arial"/>
          <w:sz w:val="20"/>
          <w:szCs w:val="20"/>
        </w:rPr>
        <w:t xml:space="preserve"> in </w:t>
      </w:r>
      <w:r w:rsidRPr="001D278F">
        <w:rPr>
          <w:rFonts w:ascii="Arial" w:eastAsia="Times New Roman" w:hAnsi="Arial" w:cs="Arial"/>
          <w:sz w:val="20"/>
          <w:szCs w:val="20"/>
        </w:rPr>
        <w:t>co</w:t>
      </w:r>
      <w:r>
        <w:rPr>
          <w:rFonts w:ascii="Arial" w:eastAsia="Times New Roman" w:hAnsi="Arial" w:cs="Arial"/>
          <w:sz w:val="20"/>
          <w:szCs w:val="20"/>
        </w:rPr>
        <w:t>coa</w:t>
      </w:r>
      <w:r w:rsidRPr="001D278F">
        <w:rPr>
          <w:rFonts w:ascii="Arial" w:eastAsia="Times New Roman" w:hAnsi="Arial" w:cs="Arial"/>
          <w:sz w:val="20"/>
          <w:szCs w:val="20"/>
        </w:rPr>
        <w:t xml:space="preserve"> extract </w:t>
      </w:r>
      <w:r>
        <w:rPr>
          <w:rFonts w:ascii="Arial" w:eastAsia="Times New Roman" w:hAnsi="Arial" w:cs="Arial"/>
          <w:sz w:val="20"/>
          <w:szCs w:val="20"/>
        </w:rPr>
        <w:t xml:space="preserve">prevent IgE synthesis and can </w:t>
      </w:r>
      <w:r w:rsidRPr="001D278F">
        <w:rPr>
          <w:rFonts w:ascii="Arial" w:eastAsia="Times New Roman" w:hAnsi="Arial" w:cs="Arial"/>
          <w:sz w:val="20"/>
          <w:szCs w:val="20"/>
        </w:rPr>
        <w:t xml:space="preserve">suppress the development of </w:t>
      </w:r>
      <w:r>
        <w:rPr>
          <w:rFonts w:ascii="Arial" w:eastAsia="Times New Roman" w:hAnsi="Arial" w:cs="Arial"/>
          <w:sz w:val="20"/>
          <w:szCs w:val="20"/>
        </w:rPr>
        <w:t xml:space="preserve">Atopic Dermatitis by </w:t>
      </w:r>
      <w:r w:rsidRPr="001D278F">
        <w:rPr>
          <w:rFonts w:ascii="Arial" w:eastAsia="Times New Roman" w:hAnsi="Arial" w:cs="Arial"/>
          <w:sz w:val="20"/>
          <w:szCs w:val="20"/>
        </w:rPr>
        <w:t>downregulati</w:t>
      </w:r>
      <w:r>
        <w:rPr>
          <w:rFonts w:ascii="Arial" w:eastAsia="Times New Roman" w:hAnsi="Arial" w:cs="Arial"/>
          <w:sz w:val="20"/>
          <w:szCs w:val="20"/>
        </w:rPr>
        <w:t>ng</w:t>
      </w:r>
      <w:r w:rsidRPr="001D278F">
        <w:rPr>
          <w:rFonts w:ascii="Arial" w:eastAsia="Times New Roman" w:hAnsi="Arial" w:cs="Arial"/>
          <w:sz w:val="20"/>
          <w:szCs w:val="20"/>
        </w:rPr>
        <w:t xml:space="preserve"> inflammatory markers</w:t>
      </w:r>
      <w:r>
        <w:rPr>
          <w:rFonts w:ascii="Arial" w:eastAsia="Times New Roman" w:hAnsi="Arial" w:cs="Arial"/>
          <w:sz w:val="20"/>
          <w:szCs w:val="20"/>
        </w:rPr>
        <w:t xml:space="preserve">, </w:t>
      </w:r>
      <w:r w:rsidRPr="001D278F">
        <w:rPr>
          <w:rFonts w:ascii="Arial" w:eastAsia="Times New Roman" w:hAnsi="Arial" w:cs="Arial"/>
          <w:sz w:val="20"/>
          <w:szCs w:val="20"/>
        </w:rPr>
        <w:t>inflammatory</w:t>
      </w:r>
      <w:r>
        <w:rPr>
          <w:rFonts w:ascii="Arial" w:eastAsia="Times New Roman" w:hAnsi="Arial" w:cs="Arial"/>
          <w:sz w:val="20"/>
          <w:szCs w:val="20"/>
        </w:rPr>
        <w:t xml:space="preserve"> </w:t>
      </w:r>
      <w:r w:rsidRPr="001D278F">
        <w:rPr>
          <w:rFonts w:ascii="Arial" w:eastAsia="Times New Roman" w:hAnsi="Arial" w:cs="Arial"/>
          <w:sz w:val="20"/>
          <w:szCs w:val="20"/>
        </w:rPr>
        <w:t>chemokines</w:t>
      </w:r>
      <w:r>
        <w:rPr>
          <w:rFonts w:ascii="Arial" w:eastAsia="Times New Roman" w:hAnsi="Arial" w:cs="Arial"/>
          <w:sz w:val="20"/>
          <w:szCs w:val="20"/>
        </w:rPr>
        <w:t xml:space="preserve">, and </w:t>
      </w:r>
      <w:r w:rsidRPr="001D278F">
        <w:rPr>
          <w:rFonts w:ascii="Arial" w:eastAsia="Times New Roman" w:hAnsi="Arial" w:cs="Arial"/>
          <w:sz w:val="20"/>
          <w:szCs w:val="20"/>
        </w:rPr>
        <w:t>cell infiltration into lesion areas</w:t>
      </w:r>
      <w:r>
        <w:rPr>
          <w:rFonts w:ascii="Arial" w:eastAsia="Times New Roman" w:hAnsi="Arial" w:cs="Arial"/>
          <w:sz w:val="20"/>
          <w:szCs w:val="20"/>
        </w:rPr>
        <w:t xml:space="preserve">, turning this food a potential therapy for patients with skin diseases; however, these preliminary data does not justify yet its empirical prescription for the treatment of allergic patients </w:t>
      </w:r>
      <w:r>
        <w:rPr>
          <w:rFonts w:ascii="Arial" w:eastAsia="Times New Roman" w:hAnsi="Arial" w:cs="Arial"/>
          <w:noProof/>
          <w:sz w:val="20"/>
          <w:szCs w:val="20"/>
        </w:rPr>
        <w:t>(Kang et al. 2017, Abril-Gil et al. 2012)</w:t>
      </w:r>
      <w:r>
        <w:rPr>
          <w:rFonts w:ascii="Arial" w:eastAsia="Times New Roman" w:hAnsi="Arial" w:cs="Arial"/>
          <w:sz w:val="20"/>
          <w:szCs w:val="20"/>
        </w:rPr>
        <w:t>.</w:t>
      </w:r>
    </w:p>
    <w:p w14:paraId="447971F0" w14:textId="77777777" w:rsidR="00DF1CFC" w:rsidRDefault="00DF1CFC" w:rsidP="00801079">
      <w:pPr>
        <w:tabs>
          <w:tab w:val="left" w:pos="1560"/>
        </w:tabs>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Despite the results demonstrating a positive correlation between cocoa and nickel immunoreactivity, the cocoa extract demonstrated significantly higher immune responses, suggesting that nickel is not the only active allergen in the cocoa extract. This infers that evaluating one allergen does not eliminate the need to evaluate the other. This observation also demonstrates that cocoa polyphenols do not directly suppress the immunoreactivity evaluated by the assays, leading to more studies about their alleged downregulation effects over inflammatory chemokines and immune cells, as reported in animal studies.</w:t>
      </w:r>
    </w:p>
    <w:p w14:paraId="0214EEE4" w14:textId="7477BE7A" w:rsidR="00DF1CFC" w:rsidRPr="00DC2855" w:rsidRDefault="00DF1CFC" w:rsidP="00801079">
      <w:pPr>
        <w:tabs>
          <w:tab w:val="left" w:pos="1560"/>
        </w:tabs>
        <w:spacing w:after="0" w:line="240" w:lineRule="auto"/>
        <w:ind w:firstLine="708"/>
        <w:jc w:val="both"/>
        <w:rPr>
          <w:rFonts w:ascii="Arial" w:eastAsia="Times New Roman" w:hAnsi="Arial" w:cs="Arial"/>
          <w:sz w:val="20"/>
          <w:szCs w:val="20"/>
        </w:rPr>
      </w:pPr>
      <w:r w:rsidRPr="007D1834">
        <w:rPr>
          <w:rFonts w:ascii="Arial" w:eastAsia="Times New Roman" w:hAnsi="Arial" w:cs="Arial"/>
          <w:sz w:val="20"/>
          <w:szCs w:val="20"/>
        </w:rPr>
        <w:t xml:space="preserve">Endotyping </w:t>
      </w:r>
      <w:r>
        <w:rPr>
          <w:rFonts w:ascii="Arial" w:eastAsia="Times New Roman" w:hAnsi="Arial" w:cs="Arial"/>
          <w:sz w:val="20"/>
          <w:szCs w:val="20"/>
        </w:rPr>
        <w:t>cellular and humoral immunoreactivity biomarkers</w:t>
      </w:r>
      <w:r w:rsidRPr="007D1834">
        <w:rPr>
          <w:rFonts w:ascii="Arial" w:eastAsia="Times New Roman" w:hAnsi="Arial" w:cs="Arial"/>
          <w:sz w:val="20"/>
          <w:szCs w:val="20"/>
        </w:rPr>
        <w:t xml:space="preserve"> against specific allergens</w:t>
      </w:r>
      <w:r>
        <w:rPr>
          <w:rFonts w:ascii="Arial" w:eastAsia="Times New Roman" w:hAnsi="Arial" w:cs="Arial"/>
          <w:sz w:val="20"/>
          <w:szCs w:val="20"/>
        </w:rPr>
        <w:t>, haptens,</w:t>
      </w:r>
      <w:r w:rsidRPr="007D1834">
        <w:rPr>
          <w:rFonts w:ascii="Arial" w:eastAsia="Times New Roman" w:hAnsi="Arial" w:cs="Arial"/>
          <w:sz w:val="20"/>
          <w:szCs w:val="20"/>
        </w:rPr>
        <w:t xml:space="preserve"> and their respective cross-reactivities are tools to build effective strategies to personalize exclusion diets and desensitization treatments for allergic patients </w:t>
      </w:r>
      <w:r>
        <w:rPr>
          <w:rFonts w:ascii="Arial" w:eastAsia="Times New Roman" w:hAnsi="Arial" w:cs="Arial"/>
          <w:noProof/>
          <w:sz w:val="20"/>
          <w:szCs w:val="20"/>
        </w:rPr>
        <w:t>(Agache and Akdis 2020, Khan 2016)</w:t>
      </w:r>
      <w:r w:rsidRPr="007D1834">
        <w:rPr>
          <w:rFonts w:ascii="Arial" w:eastAsia="Times New Roman" w:hAnsi="Arial" w:cs="Arial"/>
          <w:sz w:val="20"/>
          <w:szCs w:val="20"/>
        </w:rPr>
        <w:t>.</w:t>
      </w:r>
      <w:r>
        <w:rPr>
          <w:rFonts w:ascii="Arial" w:eastAsia="Times New Roman" w:hAnsi="Arial" w:cs="Arial"/>
          <w:sz w:val="20"/>
          <w:szCs w:val="20"/>
        </w:rPr>
        <w:t xml:space="preserve"> </w:t>
      </w:r>
      <w:r w:rsidRPr="00DC2855">
        <w:rPr>
          <w:rFonts w:ascii="Arial" w:eastAsia="Times New Roman" w:hAnsi="Arial" w:cs="Arial"/>
          <w:sz w:val="20"/>
          <w:szCs w:val="20"/>
        </w:rPr>
        <w:t>Due to the facility</w:t>
      </w:r>
      <w:r>
        <w:rPr>
          <w:rFonts w:ascii="Arial" w:eastAsia="Times New Roman" w:hAnsi="Arial" w:cs="Arial"/>
          <w:sz w:val="20"/>
          <w:szCs w:val="20"/>
        </w:rPr>
        <w:t xml:space="preserve">'s ability to diagnose hypersensitivities associated with the IgE-mediated endotype, there is a tendentious bias among physicians to just </w:t>
      </w:r>
      <w:r w:rsidR="00555300">
        <w:rPr>
          <w:rFonts w:ascii="Arial" w:eastAsia="Times New Roman" w:hAnsi="Arial" w:cs="Arial"/>
          <w:sz w:val="20"/>
          <w:szCs w:val="20"/>
        </w:rPr>
        <w:t>"</w:t>
      </w:r>
      <w:r>
        <w:rPr>
          <w:rFonts w:ascii="Arial" w:eastAsia="Times New Roman" w:hAnsi="Arial" w:cs="Arial"/>
          <w:sz w:val="20"/>
          <w:szCs w:val="20"/>
        </w:rPr>
        <w:t>ignore</w:t>
      </w:r>
      <w:r w:rsidR="00555300">
        <w:rPr>
          <w:rFonts w:ascii="Arial" w:eastAsia="Times New Roman" w:hAnsi="Arial" w:cs="Arial"/>
          <w:sz w:val="20"/>
          <w:szCs w:val="20"/>
        </w:rPr>
        <w:t>"</w:t>
      </w:r>
      <w:r>
        <w:rPr>
          <w:rFonts w:ascii="Arial" w:eastAsia="Times New Roman" w:hAnsi="Arial" w:cs="Arial"/>
          <w:sz w:val="20"/>
          <w:szCs w:val="20"/>
        </w:rPr>
        <w:t xml:space="preserve"> the non-</w:t>
      </w:r>
      <w:r w:rsidRPr="00DC2855">
        <w:rPr>
          <w:rFonts w:ascii="Arial" w:eastAsia="Times New Roman" w:hAnsi="Arial" w:cs="Arial"/>
          <w:sz w:val="20"/>
          <w:szCs w:val="20"/>
        </w:rPr>
        <w:t xml:space="preserve">IgE-mediated mechanisms </w:t>
      </w:r>
      <w:r>
        <w:rPr>
          <w:rFonts w:ascii="Arial" w:eastAsia="Times New Roman" w:hAnsi="Arial" w:cs="Arial"/>
          <w:noProof/>
          <w:sz w:val="20"/>
          <w:szCs w:val="20"/>
        </w:rPr>
        <w:t>(Zhang et al. 2024)</w:t>
      </w:r>
      <w:r w:rsidRPr="00DC2855">
        <w:rPr>
          <w:rFonts w:ascii="Arial" w:eastAsia="Times New Roman" w:hAnsi="Arial" w:cs="Arial"/>
          <w:sz w:val="20"/>
          <w:szCs w:val="20"/>
        </w:rPr>
        <w:t xml:space="preserve">. To demonstrate a non–IgE-mediated allergic endotype, sometimes it is necessary to employ a multi-omics approach to differentiate the variety of clinical phenotypes and immune endotypes </w:t>
      </w:r>
      <w:r>
        <w:rPr>
          <w:rFonts w:ascii="Arial" w:eastAsia="Times New Roman" w:hAnsi="Arial" w:cs="Arial"/>
          <w:noProof/>
          <w:sz w:val="20"/>
          <w:szCs w:val="20"/>
        </w:rPr>
        <w:t>(Macowan et al. 2025, Yoon and Bunyavanich 2025)</w:t>
      </w:r>
      <w:r w:rsidRPr="00DC2855">
        <w:rPr>
          <w:rFonts w:ascii="Arial" w:eastAsia="Times New Roman" w:hAnsi="Arial" w:cs="Arial"/>
          <w:sz w:val="20"/>
          <w:szCs w:val="20"/>
        </w:rPr>
        <w:t xml:space="preserve">. </w:t>
      </w:r>
    </w:p>
    <w:p w14:paraId="781D471D" w14:textId="77777777" w:rsidR="00DF1CFC" w:rsidRDefault="00DF1CFC" w:rsidP="001A31E4">
      <w:pPr>
        <w:spacing w:after="0" w:line="240" w:lineRule="auto"/>
        <w:ind w:firstLine="708"/>
        <w:jc w:val="both"/>
        <w:rPr>
          <w:rFonts w:ascii="Arial" w:eastAsia="Times New Roman" w:hAnsi="Arial" w:cs="Arial"/>
          <w:sz w:val="20"/>
          <w:szCs w:val="20"/>
        </w:rPr>
      </w:pPr>
      <w:r w:rsidRPr="003206BA">
        <w:rPr>
          <w:rFonts w:ascii="Arial" w:eastAsia="Times New Roman" w:hAnsi="Arial" w:cs="Arial"/>
          <w:sz w:val="20"/>
          <w:szCs w:val="20"/>
        </w:rPr>
        <w:t xml:space="preserve">The substantial number of sources for nickel is a confounding factor when investigating clinical hypersensitivity against this </w:t>
      </w:r>
      <w:r>
        <w:rPr>
          <w:rFonts w:ascii="Arial" w:eastAsia="Times New Roman" w:hAnsi="Arial" w:cs="Arial"/>
          <w:sz w:val="20"/>
          <w:szCs w:val="20"/>
        </w:rPr>
        <w:t>hapten</w:t>
      </w:r>
      <w:r w:rsidRPr="003206BA">
        <w:rPr>
          <w:rFonts w:ascii="Arial" w:eastAsia="Times New Roman" w:hAnsi="Arial" w:cs="Arial"/>
          <w:sz w:val="20"/>
          <w:szCs w:val="20"/>
        </w:rPr>
        <w:t xml:space="preserve">. </w:t>
      </w:r>
      <w:r>
        <w:rPr>
          <w:rFonts w:ascii="Arial" w:eastAsia="Times New Roman" w:hAnsi="Arial" w:cs="Arial"/>
          <w:sz w:val="20"/>
          <w:szCs w:val="20"/>
        </w:rPr>
        <w:t xml:space="preserve">Initially, it may appear to be a polysensitization picture since the patients react to a confounder number of unrelated sources. The patient may also present unrelated symptoms, leading to the diagnosis of several allergic phenotypes. Until the conclusion that all </w:t>
      </w:r>
      <w:r>
        <w:rPr>
          <w:rFonts w:ascii="Arial" w:eastAsia="Times New Roman" w:hAnsi="Arial" w:cs="Arial"/>
          <w:sz w:val="20"/>
          <w:szCs w:val="20"/>
        </w:rPr>
        <w:lastRenderedPageBreak/>
        <w:t xml:space="preserve">phenotypes are produced by only one endotype mechanism elicited by only one allergen, it is usually a long journey requiring complex dietary interventions </w:t>
      </w:r>
      <w:r>
        <w:rPr>
          <w:rFonts w:ascii="Arial" w:eastAsia="Times New Roman" w:hAnsi="Arial" w:cs="Arial"/>
          <w:noProof/>
          <w:sz w:val="20"/>
          <w:szCs w:val="20"/>
        </w:rPr>
        <w:t>(Mikajiri et al. 2024)</w:t>
      </w:r>
      <w:r>
        <w:rPr>
          <w:rFonts w:ascii="Arial" w:eastAsia="Times New Roman" w:hAnsi="Arial" w:cs="Arial"/>
          <w:sz w:val="20"/>
          <w:szCs w:val="20"/>
        </w:rPr>
        <w:t xml:space="preserve">. </w:t>
      </w:r>
    </w:p>
    <w:p w14:paraId="163E1CC6" w14:textId="31C6870D" w:rsidR="00DF1CFC" w:rsidRDefault="00DF1CFC" w:rsidP="001A31E4">
      <w:pPr>
        <w:spacing w:after="0" w:line="240" w:lineRule="auto"/>
        <w:ind w:firstLine="708"/>
        <w:jc w:val="both"/>
        <w:rPr>
          <w:rFonts w:ascii="Arial" w:eastAsia="Times New Roman" w:hAnsi="Arial" w:cs="Arial"/>
          <w:sz w:val="20"/>
          <w:szCs w:val="20"/>
        </w:rPr>
      </w:pPr>
      <w:r>
        <w:rPr>
          <w:rFonts w:ascii="Arial" w:eastAsia="Times New Roman" w:hAnsi="Arial" w:cs="Arial"/>
          <w:sz w:val="20"/>
          <w:szCs w:val="20"/>
        </w:rPr>
        <w:t xml:space="preserve">As a hapten, even in the presence of an IgE-mediated hypersensitivity, it is almost impossible to develop a specific IgE-antibody for a commercial immunoassay against the multitude of carrier-haptens conjugates that may be produced once nickel gains blood circulation and conjugates with albumin, </w:t>
      </w:r>
      <w:r w:rsidRPr="00B76E05">
        <w:rPr>
          <w:rFonts w:ascii="Arial" w:eastAsia="Times New Roman" w:hAnsi="Arial" w:cs="Arial"/>
          <w:sz w:val="20"/>
          <w:szCs w:val="20"/>
        </w:rPr>
        <w:t>nickeloplasmin</w:t>
      </w:r>
      <w:r>
        <w:rPr>
          <w:rFonts w:ascii="Arial" w:eastAsia="Times New Roman" w:hAnsi="Arial" w:cs="Arial"/>
          <w:sz w:val="20"/>
          <w:szCs w:val="20"/>
        </w:rPr>
        <w:t xml:space="preserve">, or another serum protein </w:t>
      </w:r>
      <w:r>
        <w:rPr>
          <w:rFonts w:ascii="Arial" w:eastAsia="Times New Roman" w:hAnsi="Arial" w:cs="Arial"/>
          <w:noProof/>
          <w:sz w:val="20"/>
          <w:szCs w:val="20"/>
        </w:rPr>
        <w:t>(Barceloux 1999)</w:t>
      </w:r>
      <w:r>
        <w:rPr>
          <w:rFonts w:ascii="Arial" w:eastAsia="Times New Roman" w:hAnsi="Arial" w:cs="Arial"/>
          <w:sz w:val="20"/>
          <w:szCs w:val="20"/>
        </w:rPr>
        <w:t>. The best strategy is to challenge the patients</w:t>
      </w:r>
      <w:r w:rsidR="00555300">
        <w:rPr>
          <w:rFonts w:ascii="Arial" w:eastAsia="Times New Roman" w:hAnsi="Arial" w:cs="Arial"/>
          <w:sz w:val="20"/>
          <w:szCs w:val="20"/>
        </w:rPr>
        <w:t>'</w:t>
      </w:r>
      <w:r>
        <w:rPr>
          <w:rFonts w:ascii="Arial" w:eastAsia="Times New Roman" w:hAnsi="Arial" w:cs="Arial"/>
          <w:sz w:val="20"/>
          <w:szCs w:val="20"/>
        </w:rPr>
        <w:t xml:space="preserve"> living plasma (</w:t>
      </w:r>
      <w:r w:rsidRPr="00683DA1">
        <w:rPr>
          <w:rFonts w:ascii="Arial" w:eastAsia="Times New Roman" w:hAnsi="Arial" w:cs="Arial"/>
          <w:i/>
          <w:iCs/>
          <w:sz w:val="20"/>
          <w:szCs w:val="20"/>
        </w:rPr>
        <w:t>ex vivo</w:t>
      </w:r>
      <w:r>
        <w:rPr>
          <w:rFonts w:ascii="Arial" w:eastAsia="Times New Roman" w:hAnsi="Arial" w:cs="Arial"/>
          <w:sz w:val="20"/>
          <w:szCs w:val="20"/>
        </w:rPr>
        <w:t>) or fresh serum (</w:t>
      </w:r>
      <w:r w:rsidRPr="00683DA1">
        <w:rPr>
          <w:rFonts w:ascii="Arial" w:eastAsia="Times New Roman" w:hAnsi="Arial" w:cs="Arial"/>
          <w:i/>
          <w:iCs/>
          <w:sz w:val="20"/>
          <w:szCs w:val="20"/>
        </w:rPr>
        <w:t>in vitro</w:t>
      </w:r>
      <w:r>
        <w:rPr>
          <w:rFonts w:ascii="Arial" w:eastAsia="Times New Roman" w:hAnsi="Arial" w:cs="Arial"/>
          <w:sz w:val="20"/>
          <w:szCs w:val="20"/>
        </w:rPr>
        <w:t>) with nickel solution and quantify the resulting immunoreactivity.</w:t>
      </w:r>
    </w:p>
    <w:p w14:paraId="67E29E6F" w14:textId="77777777" w:rsidR="00DF1CFC" w:rsidRDefault="00DF1CFC" w:rsidP="00E9423A">
      <w:pPr>
        <w:spacing w:after="0" w:line="240" w:lineRule="auto"/>
        <w:jc w:val="both"/>
        <w:rPr>
          <w:rFonts w:ascii="Arial" w:eastAsia="Times New Roman" w:hAnsi="Arial" w:cs="Arial"/>
          <w:sz w:val="20"/>
          <w:szCs w:val="20"/>
        </w:rPr>
      </w:pPr>
      <w:r>
        <w:rPr>
          <w:rFonts w:ascii="Arial" w:eastAsia="Times New Roman" w:hAnsi="Arial" w:cs="Arial"/>
          <w:sz w:val="20"/>
          <w:szCs w:val="20"/>
        </w:rPr>
        <w:tab/>
      </w:r>
      <w:r w:rsidRPr="00B72CA7">
        <w:rPr>
          <w:rFonts w:ascii="Arial" w:eastAsia="Times New Roman" w:hAnsi="Arial" w:cs="Arial"/>
          <w:sz w:val="20"/>
          <w:szCs w:val="20"/>
        </w:rPr>
        <w:t>The correlation and the distribution of simultaneous positive specific</w:t>
      </w:r>
      <w:r>
        <w:rPr>
          <w:rFonts w:ascii="Arial" w:eastAsia="Times New Roman" w:hAnsi="Arial" w:cs="Arial"/>
          <w:sz w:val="20"/>
          <w:szCs w:val="20"/>
        </w:rPr>
        <w:t xml:space="preserve"> </w:t>
      </w:r>
      <w:r w:rsidRPr="00B72CA7">
        <w:rPr>
          <w:rFonts w:ascii="Arial" w:eastAsia="Times New Roman" w:hAnsi="Arial" w:cs="Arial"/>
          <w:sz w:val="20"/>
          <w:szCs w:val="20"/>
        </w:rPr>
        <w:t>IgE against food and inhalant allergens is usually weak</w:t>
      </w:r>
      <w:r>
        <w:rPr>
          <w:rFonts w:ascii="Arial" w:eastAsia="Times New Roman" w:hAnsi="Arial" w:cs="Arial"/>
          <w:sz w:val="20"/>
          <w:szCs w:val="20"/>
        </w:rPr>
        <w:t>. H</w:t>
      </w:r>
      <w:r w:rsidRPr="00B72CA7">
        <w:rPr>
          <w:rFonts w:ascii="Arial" w:eastAsia="Times New Roman" w:hAnsi="Arial" w:cs="Arial"/>
          <w:sz w:val="20"/>
          <w:szCs w:val="20"/>
        </w:rPr>
        <w:t xml:space="preserve">owever, polysensitization is more </w:t>
      </w:r>
      <w:r>
        <w:rPr>
          <w:rFonts w:ascii="Arial" w:eastAsia="Times New Roman" w:hAnsi="Arial" w:cs="Arial"/>
          <w:sz w:val="20"/>
          <w:szCs w:val="20"/>
        </w:rPr>
        <w:t>of a rule</w:t>
      </w:r>
      <w:r w:rsidRPr="00B72CA7">
        <w:rPr>
          <w:rFonts w:ascii="Arial" w:eastAsia="Times New Roman" w:hAnsi="Arial" w:cs="Arial"/>
          <w:sz w:val="20"/>
          <w:szCs w:val="20"/>
        </w:rPr>
        <w:t xml:space="preserve"> than an exception </w:t>
      </w:r>
      <w:r>
        <w:rPr>
          <w:rFonts w:ascii="Arial" w:eastAsia="Times New Roman" w:hAnsi="Arial" w:cs="Arial"/>
          <w:noProof/>
          <w:sz w:val="20"/>
          <w:szCs w:val="20"/>
        </w:rPr>
        <w:t>(Zhang et al. 2025, Čelakovská et al. 2024)</w:t>
      </w:r>
      <w:r w:rsidRPr="00B72CA7">
        <w:rPr>
          <w:rFonts w:ascii="Arial" w:eastAsia="Times New Roman" w:hAnsi="Arial" w:cs="Arial"/>
          <w:sz w:val="20"/>
          <w:szCs w:val="20"/>
        </w:rPr>
        <w:t>.</w:t>
      </w:r>
      <w:r>
        <w:rPr>
          <w:rFonts w:ascii="Arial" w:eastAsia="Times New Roman" w:hAnsi="Arial" w:cs="Arial"/>
          <w:sz w:val="20"/>
          <w:szCs w:val="20"/>
        </w:rPr>
        <w:t xml:space="preserve"> </w:t>
      </w:r>
    </w:p>
    <w:p w14:paraId="7BE5059A" w14:textId="77777777" w:rsidR="00DF1CFC" w:rsidRPr="002200C9" w:rsidRDefault="00DF1CFC" w:rsidP="00BF257C">
      <w:pPr>
        <w:tabs>
          <w:tab w:val="left" w:pos="1560"/>
        </w:tabs>
        <w:spacing w:after="0" w:line="240" w:lineRule="auto"/>
        <w:ind w:firstLine="708"/>
        <w:jc w:val="both"/>
        <w:rPr>
          <w:rFonts w:ascii="Arial" w:eastAsia="Times New Roman" w:hAnsi="Arial" w:cs="Arial"/>
          <w:sz w:val="20"/>
          <w:szCs w:val="20"/>
        </w:rPr>
      </w:pPr>
      <w:r w:rsidRPr="00991FD2">
        <w:rPr>
          <w:rFonts w:ascii="Arial" w:eastAsia="Times New Roman" w:hAnsi="Arial" w:cs="Arial"/>
          <w:sz w:val="20"/>
          <w:szCs w:val="20"/>
        </w:rPr>
        <w:t xml:space="preserve">The research of precipitins is the pioneering laboratory exam upon which the bases of Immunology were constructed </w:t>
      </w:r>
      <w:r>
        <w:rPr>
          <w:rFonts w:ascii="Arial" w:eastAsia="Times New Roman" w:hAnsi="Arial" w:cs="Arial"/>
          <w:noProof/>
          <w:sz w:val="20"/>
          <w:szCs w:val="20"/>
        </w:rPr>
        <w:t>(Wells 1911)</w:t>
      </w:r>
      <w:r w:rsidRPr="00991FD2">
        <w:rPr>
          <w:rFonts w:ascii="Arial" w:eastAsia="Times New Roman" w:hAnsi="Arial" w:cs="Arial"/>
          <w:sz w:val="20"/>
          <w:szCs w:val="20"/>
        </w:rPr>
        <w:t>. Precipitating antibodies testifies a humoral immune response against the tested antig</w:t>
      </w:r>
      <w:r w:rsidRPr="002200C9">
        <w:rPr>
          <w:rFonts w:ascii="Arial" w:eastAsia="Times New Roman" w:hAnsi="Arial" w:cs="Arial"/>
          <w:sz w:val="20"/>
          <w:szCs w:val="20"/>
        </w:rPr>
        <w:t xml:space="preserve">ens </w:t>
      </w:r>
      <w:r>
        <w:rPr>
          <w:rFonts w:ascii="Arial" w:eastAsia="Times New Roman" w:hAnsi="Arial" w:cs="Arial"/>
          <w:noProof/>
          <w:sz w:val="20"/>
          <w:szCs w:val="20"/>
        </w:rPr>
        <w:t>(Gell, Harington and Rivers 1946)</w:t>
      </w:r>
      <w:r w:rsidRPr="002200C9">
        <w:rPr>
          <w:rFonts w:ascii="Arial" w:eastAsia="Times New Roman" w:hAnsi="Arial" w:cs="Arial"/>
          <w:sz w:val="20"/>
          <w:szCs w:val="20"/>
        </w:rPr>
        <w:t>.</w:t>
      </w:r>
      <w:bookmarkStart w:id="4" w:name="_Hlk166391357"/>
      <w:r w:rsidRPr="002200C9">
        <w:rPr>
          <w:rFonts w:ascii="Arial" w:eastAsia="Times New Roman" w:hAnsi="Arial" w:cs="Arial"/>
          <w:sz w:val="20"/>
          <w:szCs w:val="20"/>
        </w:rPr>
        <w:t xml:space="preserve"> </w:t>
      </w:r>
      <w:bookmarkEnd w:id="4"/>
      <w:r w:rsidRPr="002200C9">
        <w:rPr>
          <w:rFonts w:ascii="Arial" w:eastAsia="Times New Roman" w:hAnsi="Arial" w:cs="Arial"/>
          <w:sz w:val="20"/>
          <w:szCs w:val="20"/>
        </w:rPr>
        <w:t xml:space="preserve">Before the discovery of IgE, the research of precipitins was the leading way to realize </w:t>
      </w:r>
      <w:r w:rsidRPr="002200C9">
        <w:rPr>
          <w:rFonts w:ascii="Arial" w:eastAsia="Times New Roman" w:hAnsi="Arial" w:cs="Arial"/>
          <w:i/>
          <w:iCs/>
          <w:sz w:val="20"/>
          <w:szCs w:val="20"/>
        </w:rPr>
        <w:t>in vitro</w:t>
      </w:r>
      <w:r w:rsidRPr="002200C9">
        <w:rPr>
          <w:rFonts w:ascii="Arial" w:eastAsia="Times New Roman" w:hAnsi="Arial" w:cs="Arial"/>
          <w:sz w:val="20"/>
          <w:szCs w:val="20"/>
        </w:rPr>
        <w:t xml:space="preserve"> diagnos</w:t>
      </w:r>
      <w:r>
        <w:rPr>
          <w:rFonts w:ascii="Arial" w:eastAsia="Times New Roman" w:hAnsi="Arial" w:cs="Arial"/>
          <w:sz w:val="20"/>
          <w:szCs w:val="20"/>
        </w:rPr>
        <w:t>is</w:t>
      </w:r>
      <w:r w:rsidRPr="002200C9">
        <w:rPr>
          <w:rFonts w:ascii="Arial" w:eastAsia="Times New Roman" w:hAnsi="Arial" w:cs="Arial"/>
          <w:sz w:val="20"/>
          <w:szCs w:val="20"/>
        </w:rPr>
        <w:t xml:space="preserve"> of immunoreactivity against allergens </w:t>
      </w:r>
      <w:r>
        <w:rPr>
          <w:rFonts w:ascii="Arial" w:eastAsia="Times New Roman" w:hAnsi="Arial" w:cs="Arial"/>
          <w:noProof/>
          <w:sz w:val="20"/>
          <w:szCs w:val="20"/>
        </w:rPr>
        <w:t>(Augustin and Hayward 1960, Augustin, Hayward and Longbottom 1960, Augustin 1953)</w:t>
      </w:r>
      <w:r w:rsidRPr="002200C9">
        <w:rPr>
          <w:rFonts w:ascii="Arial" w:eastAsia="Times New Roman" w:hAnsi="Arial" w:cs="Arial"/>
          <w:sz w:val="20"/>
          <w:szCs w:val="20"/>
        </w:rPr>
        <w:t xml:space="preserve">.  </w:t>
      </w:r>
    </w:p>
    <w:p w14:paraId="1C14D9C3" w14:textId="77777777" w:rsidR="00DF1CFC" w:rsidRPr="00BE00CD" w:rsidRDefault="00DF1CFC" w:rsidP="00BE00CD">
      <w:pPr>
        <w:tabs>
          <w:tab w:val="left" w:pos="1560"/>
        </w:tabs>
        <w:spacing w:after="0" w:line="240" w:lineRule="auto"/>
        <w:ind w:firstLine="708"/>
        <w:jc w:val="both"/>
        <w:rPr>
          <w:rFonts w:ascii="Arial" w:eastAsia="Times New Roman" w:hAnsi="Arial" w:cs="Arial"/>
          <w:sz w:val="20"/>
          <w:szCs w:val="20"/>
        </w:rPr>
      </w:pPr>
      <w:r w:rsidRPr="00991FD2">
        <w:rPr>
          <w:rFonts w:ascii="Arial" w:eastAsia="Times New Roman" w:hAnsi="Arial" w:cs="Arial"/>
          <w:sz w:val="20"/>
          <w:szCs w:val="20"/>
        </w:rPr>
        <w:t>Precipitins against food proteins and circulating immune complexes are strongly associated with patients with selective IgA deficiency since the secretory IgA is one of the main participants of the mechanism of immune</w:t>
      </w:r>
      <w:r>
        <w:rPr>
          <w:rFonts w:ascii="Arial" w:eastAsia="Times New Roman" w:hAnsi="Arial" w:cs="Arial"/>
          <w:sz w:val="20"/>
          <w:szCs w:val="20"/>
        </w:rPr>
        <w:t xml:space="preserve"> </w:t>
      </w:r>
      <w:r w:rsidRPr="00991FD2">
        <w:rPr>
          <w:rFonts w:ascii="Arial" w:eastAsia="Times New Roman" w:hAnsi="Arial" w:cs="Arial"/>
          <w:sz w:val="20"/>
          <w:szCs w:val="20"/>
        </w:rPr>
        <w:t>exclusion promoted into the intestinal</w:t>
      </w:r>
      <w:r w:rsidRPr="00BE00CD">
        <w:rPr>
          <w:rFonts w:ascii="Arial" w:eastAsia="Times New Roman" w:hAnsi="Arial" w:cs="Arial"/>
          <w:sz w:val="20"/>
          <w:szCs w:val="20"/>
        </w:rPr>
        <w:t xml:space="preserve"> lumen to prevent the absorption of undigested proteins to blood circulation </w:t>
      </w:r>
      <w:r>
        <w:rPr>
          <w:rFonts w:ascii="Arial" w:eastAsia="Times New Roman" w:hAnsi="Arial" w:cs="Arial"/>
          <w:noProof/>
          <w:sz w:val="20"/>
          <w:szCs w:val="20"/>
        </w:rPr>
        <w:t>(Cunningham-Rundles et al. 1978)</w:t>
      </w:r>
      <w:r w:rsidRPr="00BE00CD">
        <w:rPr>
          <w:rFonts w:ascii="Arial" w:eastAsia="Times New Roman" w:hAnsi="Arial" w:cs="Arial"/>
          <w:sz w:val="20"/>
          <w:szCs w:val="20"/>
        </w:rPr>
        <w:t xml:space="preserve">. Primary selective immune deficiencies (such as </w:t>
      </w:r>
      <w:r>
        <w:rPr>
          <w:rFonts w:ascii="Arial" w:eastAsia="Times New Roman" w:hAnsi="Arial" w:cs="Arial"/>
          <w:sz w:val="20"/>
          <w:szCs w:val="20"/>
        </w:rPr>
        <w:t>IgA or IgE) lead to</w:t>
      </w:r>
      <w:r w:rsidRPr="00BE00CD">
        <w:rPr>
          <w:rFonts w:ascii="Arial" w:eastAsia="Times New Roman" w:hAnsi="Arial" w:cs="Arial"/>
          <w:sz w:val="20"/>
          <w:szCs w:val="20"/>
        </w:rPr>
        <w:t xml:space="preserve"> immune dysregulation, a concept that is evolving as specific endotypes associated with secondary immunodeficiencies raised by the inflammatory conditions provided by the allergic reactions </w:t>
      </w:r>
      <w:r>
        <w:rPr>
          <w:rFonts w:ascii="Arial" w:eastAsia="Times New Roman" w:hAnsi="Arial" w:cs="Arial"/>
          <w:noProof/>
          <w:sz w:val="20"/>
          <w:szCs w:val="20"/>
        </w:rPr>
        <w:t>(Henrickson 2025, Olivier et al. 2023g, Sapartini et al. 2025)</w:t>
      </w:r>
      <w:r w:rsidRPr="00BE00CD">
        <w:rPr>
          <w:rFonts w:ascii="Arial" w:eastAsia="Times New Roman" w:hAnsi="Arial" w:cs="Arial"/>
          <w:sz w:val="20"/>
          <w:szCs w:val="20"/>
        </w:rPr>
        <w:t>.</w:t>
      </w:r>
    </w:p>
    <w:p w14:paraId="66F2C835" w14:textId="77777777" w:rsidR="00DF1CFC" w:rsidRDefault="00DF1CFC" w:rsidP="00D70667">
      <w:pPr>
        <w:spacing w:after="0" w:line="240" w:lineRule="auto"/>
        <w:ind w:firstLine="708"/>
        <w:jc w:val="both"/>
        <w:rPr>
          <w:rFonts w:ascii="Arial" w:eastAsia="Times New Roman" w:hAnsi="Arial" w:cs="Arial"/>
          <w:sz w:val="20"/>
          <w:szCs w:val="20"/>
        </w:rPr>
      </w:pPr>
      <w:r w:rsidRPr="00973D5F">
        <w:rPr>
          <w:rFonts w:ascii="Arial" w:eastAsia="Times New Roman" w:hAnsi="Arial" w:cs="Arial"/>
          <w:color w:val="FF0000"/>
          <w:sz w:val="20"/>
          <w:szCs w:val="20"/>
        </w:rPr>
        <w:t xml:space="preserve"> </w:t>
      </w:r>
      <w:r w:rsidRPr="00A23134">
        <w:rPr>
          <w:rFonts w:ascii="Arial" w:eastAsia="Times New Roman" w:hAnsi="Arial" w:cs="Arial"/>
          <w:sz w:val="20"/>
          <w:szCs w:val="20"/>
        </w:rPr>
        <w:t xml:space="preserve">The LAIT was designed as an </w:t>
      </w:r>
      <w:r w:rsidRPr="00A23134">
        <w:rPr>
          <w:rFonts w:ascii="Arial" w:eastAsia="Times New Roman" w:hAnsi="Arial" w:cs="Arial"/>
          <w:i/>
          <w:iCs/>
          <w:sz w:val="20"/>
          <w:szCs w:val="20"/>
        </w:rPr>
        <w:t>ex vivo</w:t>
      </w:r>
      <w:r w:rsidRPr="00A23134">
        <w:rPr>
          <w:rFonts w:ascii="Arial" w:eastAsia="Times New Roman" w:hAnsi="Arial" w:cs="Arial"/>
          <w:sz w:val="20"/>
          <w:szCs w:val="20"/>
        </w:rPr>
        <w:t xml:space="preserve"> challenge test performed with a viable leukocyte buffy coat </w:t>
      </w:r>
      <w:r>
        <w:rPr>
          <w:rFonts w:ascii="Arial" w:eastAsia="Times New Roman" w:hAnsi="Arial" w:cs="Arial"/>
          <w:sz w:val="20"/>
          <w:szCs w:val="20"/>
        </w:rPr>
        <w:t>exploring several immune pathways, resulting in</w:t>
      </w:r>
      <w:r w:rsidRPr="00A23134">
        <w:rPr>
          <w:rFonts w:ascii="Arial" w:eastAsia="Times New Roman" w:hAnsi="Arial" w:cs="Arial"/>
          <w:sz w:val="20"/>
          <w:szCs w:val="20"/>
        </w:rPr>
        <w:t xml:space="preserve"> a final result quantified as the allergen-specific leukocyte adherence inhibition </w:t>
      </w:r>
      <w:r>
        <w:rPr>
          <w:rFonts w:ascii="Arial" w:eastAsia="Times New Roman" w:hAnsi="Arial" w:cs="Arial"/>
          <w:noProof/>
          <w:sz w:val="20"/>
          <w:szCs w:val="20"/>
        </w:rPr>
        <w:t>(Olivier et al. 2021a, Thomson 1982, Tong et al. 1979, Fink et al. 1987, Halliday, Maluish and Miller 1974)</w:t>
      </w:r>
      <w:r w:rsidRPr="00A23134">
        <w:rPr>
          <w:rFonts w:ascii="Arial" w:eastAsia="Times New Roman" w:hAnsi="Arial" w:cs="Arial"/>
          <w:sz w:val="20"/>
          <w:szCs w:val="20"/>
        </w:rPr>
        <w:t>.</w:t>
      </w:r>
    </w:p>
    <w:p w14:paraId="0AF78634" w14:textId="123F3963" w:rsidR="00DF1CFC" w:rsidRPr="007304FD" w:rsidRDefault="00DF1CFC" w:rsidP="00E42537">
      <w:pPr>
        <w:spacing w:after="0" w:line="240" w:lineRule="auto"/>
        <w:ind w:firstLine="708"/>
        <w:jc w:val="both"/>
        <w:rPr>
          <w:rFonts w:ascii="Arial" w:eastAsia="Times New Roman" w:hAnsi="Arial" w:cs="Arial"/>
          <w:sz w:val="20"/>
          <w:szCs w:val="20"/>
        </w:rPr>
      </w:pPr>
      <w:r w:rsidRPr="007304FD">
        <w:rPr>
          <w:rFonts w:ascii="Arial" w:eastAsia="Times New Roman" w:hAnsi="Arial" w:cs="Arial"/>
          <w:sz w:val="20"/>
          <w:szCs w:val="20"/>
        </w:rPr>
        <w:t>The comparative results obtained from the TIAL cohort demonstrated a more significative immunoreactivity from the tests performed with cocoa extract than th</w:t>
      </w:r>
      <w:r>
        <w:rPr>
          <w:rFonts w:ascii="Arial" w:eastAsia="Times New Roman" w:hAnsi="Arial" w:cs="Arial"/>
          <w:sz w:val="20"/>
          <w:szCs w:val="20"/>
        </w:rPr>
        <w:t>ose</w:t>
      </w:r>
      <w:r w:rsidRPr="007304FD">
        <w:rPr>
          <w:rFonts w:ascii="Arial" w:eastAsia="Times New Roman" w:hAnsi="Arial" w:cs="Arial"/>
          <w:sz w:val="20"/>
          <w:szCs w:val="20"/>
        </w:rPr>
        <w:t xml:space="preserve"> obtained with the nickel solution. Th</w:t>
      </w:r>
      <w:r>
        <w:rPr>
          <w:rFonts w:ascii="Arial" w:eastAsia="Times New Roman" w:hAnsi="Arial" w:cs="Arial"/>
          <w:sz w:val="20"/>
          <w:szCs w:val="20"/>
        </w:rPr>
        <w:t>is</w:t>
      </w:r>
      <w:r w:rsidRPr="007304FD">
        <w:rPr>
          <w:rFonts w:ascii="Arial" w:eastAsia="Times New Roman" w:hAnsi="Arial" w:cs="Arial"/>
          <w:sz w:val="20"/>
          <w:szCs w:val="20"/>
        </w:rPr>
        <w:t xml:space="preserve"> finding states that cocoas possess more allergens responsible for cellular immunoreactivity besides nickel. This means that if a patient presents cellular immunoreactivity against cocoa, he/she will not necessarily present immunoreactivity against nickel; however, reciprocation is less probable.</w:t>
      </w:r>
    </w:p>
    <w:p w14:paraId="54E43069" w14:textId="77777777" w:rsidR="00DF1CFC" w:rsidRPr="00CC1210" w:rsidRDefault="00DF1CFC" w:rsidP="00102055">
      <w:pPr>
        <w:spacing w:after="0" w:line="240" w:lineRule="auto"/>
        <w:ind w:firstLine="708"/>
        <w:jc w:val="both"/>
        <w:rPr>
          <w:rFonts w:ascii="Arial" w:eastAsia="Times New Roman" w:hAnsi="Arial" w:cs="Arial"/>
          <w:sz w:val="20"/>
          <w:szCs w:val="20"/>
        </w:rPr>
      </w:pPr>
      <w:r w:rsidRPr="00CC1210">
        <w:rPr>
          <w:rFonts w:ascii="Arial" w:eastAsia="Times New Roman" w:hAnsi="Arial" w:cs="Arial"/>
          <w:sz w:val="20"/>
          <w:szCs w:val="20"/>
        </w:rPr>
        <w:t xml:space="preserve">This preliminary retrospective survey demonstrated extensive results from the TTP and the </w:t>
      </w:r>
      <w:r w:rsidRPr="00CC1210">
        <w:rPr>
          <w:rFonts w:ascii="Arial" w:eastAsia="Times New Roman" w:hAnsi="Arial" w:cs="Arial"/>
          <w:i/>
          <w:iCs/>
          <w:sz w:val="20"/>
          <w:szCs w:val="20"/>
        </w:rPr>
        <w:t>ex vivo</w:t>
      </w:r>
      <w:r w:rsidRPr="00CC1210">
        <w:rPr>
          <w:rFonts w:ascii="Arial" w:eastAsia="Times New Roman" w:hAnsi="Arial" w:cs="Arial"/>
          <w:sz w:val="20"/>
          <w:szCs w:val="20"/>
        </w:rPr>
        <w:t xml:space="preserve"> challenge test monitored by LAIT against cocoa extract and nickel solution in two cohorts of patients with Allergic Contact and Atopic Dermatitis. TTP and LAIT are complementary triage tests used at our facilities to select worthwhile antigens to proceed with more laborious </w:t>
      </w:r>
      <w:r w:rsidRPr="00CC1210">
        <w:rPr>
          <w:rFonts w:ascii="Arial" w:eastAsia="Times New Roman" w:hAnsi="Arial" w:cs="Arial"/>
          <w:i/>
          <w:iCs/>
          <w:sz w:val="20"/>
          <w:szCs w:val="20"/>
        </w:rPr>
        <w:t>in vivo</w:t>
      </w:r>
      <w:r w:rsidRPr="00CC1210">
        <w:rPr>
          <w:rFonts w:ascii="Arial" w:eastAsia="Times New Roman" w:hAnsi="Arial" w:cs="Arial"/>
          <w:sz w:val="20"/>
          <w:szCs w:val="20"/>
        </w:rPr>
        <w:t xml:space="preserve"> provocation tests when the specific IgE is undetectable. None of our patients presented an exclusive reaction to these allergens. Every patient was simultaneously tested for several chemical and biological allergens, demonstrating positive results for some of them. </w:t>
      </w:r>
    </w:p>
    <w:p w14:paraId="51221CD6" w14:textId="77777777" w:rsidR="00DF1CFC" w:rsidRPr="00973D5F" w:rsidRDefault="00DF1CFC" w:rsidP="00102055">
      <w:pPr>
        <w:spacing w:after="0" w:line="240" w:lineRule="auto"/>
        <w:ind w:firstLine="708"/>
        <w:jc w:val="both"/>
        <w:rPr>
          <w:rFonts w:ascii="Arial" w:eastAsia="Times New Roman" w:hAnsi="Arial" w:cs="Arial"/>
          <w:color w:val="FF0000"/>
          <w:sz w:val="20"/>
          <w:szCs w:val="20"/>
        </w:rPr>
      </w:pPr>
    </w:p>
    <w:p w14:paraId="24B91EC7" w14:textId="77777777" w:rsidR="00DF1CFC" w:rsidRPr="00A931B9" w:rsidRDefault="00DF1CFC" w:rsidP="00102055">
      <w:pPr>
        <w:spacing w:after="0" w:line="240" w:lineRule="auto"/>
        <w:ind w:firstLine="708"/>
        <w:jc w:val="both"/>
        <w:rPr>
          <w:rFonts w:ascii="Arial" w:eastAsia="Times New Roman" w:hAnsi="Arial" w:cs="Arial"/>
          <w:sz w:val="20"/>
          <w:szCs w:val="20"/>
        </w:rPr>
      </w:pPr>
    </w:p>
    <w:p w14:paraId="6CDE7462" w14:textId="77777777" w:rsidR="00DF1CFC" w:rsidRPr="0043252F" w:rsidRDefault="00DF1CFC" w:rsidP="002863D3">
      <w:pPr>
        <w:spacing w:after="0" w:line="240" w:lineRule="auto"/>
        <w:jc w:val="both"/>
        <w:rPr>
          <w:rFonts w:ascii="Arial" w:eastAsia="Times New Roman" w:hAnsi="Arial" w:cs="Arial"/>
          <w:b/>
          <w:bCs/>
        </w:rPr>
      </w:pPr>
      <w:r w:rsidRPr="0043252F">
        <w:rPr>
          <w:rFonts w:ascii="Arial" w:eastAsia="Times New Roman" w:hAnsi="Arial" w:cs="Arial"/>
          <w:b/>
          <w:bCs/>
        </w:rPr>
        <w:t>5. LIMITATIONS</w:t>
      </w:r>
    </w:p>
    <w:p w14:paraId="2D23C75E" w14:textId="77777777" w:rsidR="00DF1CFC" w:rsidRPr="00587B42" w:rsidRDefault="00DF1CFC" w:rsidP="002863D3">
      <w:pPr>
        <w:spacing w:after="0" w:line="240" w:lineRule="auto"/>
        <w:ind w:firstLine="708"/>
        <w:jc w:val="both"/>
        <w:rPr>
          <w:rFonts w:ascii="Arial" w:eastAsia="Times New Roman" w:hAnsi="Arial" w:cs="Arial"/>
          <w:sz w:val="20"/>
          <w:szCs w:val="20"/>
        </w:rPr>
      </w:pPr>
      <w:r w:rsidRPr="00587B42">
        <w:rPr>
          <w:rFonts w:ascii="Arial" w:eastAsia="Times New Roman" w:hAnsi="Arial" w:cs="Arial"/>
          <w:sz w:val="20"/>
          <w:szCs w:val="20"/>
        </w:rPr>
        <w:tab/>
      </w:r>
      <w:r w:rsidRPr="00587B42">
        <w:rPr>
          <w:rFonts w:ascii="Arial" w:eastAsia="Times New Roman" w:hAnsi="Arial" w:cs="Arial"/>
          <w:sz w:val="20"/>
          <w:szCs w:val="20"/>
        </w:rPr>
        <w:tab/>
      </w:r>
    </w:p>
    <w:p w14:paraId="50A42D0D" w14:textId="77777777" w:rsidR="00DF1CFC" w:rsidRPr="00587B42" w:rsidRDefault="00DF1CFC" w:rsidP="002863D3">
      <w:pPr>
        <w:spacing w:after="0" w:line="240" w:lineRule="auto"/>
        <w:ind w:firstLine="708"/>
        <w:jc w:val="both"/>
        <w:rPr>
          <w:rFonts w:ascii="Arial" w:eastAsia="Times New Roman" w:hAnsi="Arial" w:cs="Arial"/>
          <w:sz w:val="20"/>
          <w:szCs w:val="20"/>
        </w:rPr>
      </w:pPr>
      <w:bookmarkStart w:id="5" w:name="_Hlk163286442"/>
      <w:r w:rsidRPr="00587B42">
        <w:rPr>
          <w:rFonts w:ascii="Arial" w:eastAsia="Times New Roman" w:hAnsi="Arial" w:cs="Arial"/>
          <w:sz w:val="20"/>
          <w:szCs w:val="20"/>
        </w:rPr>
        <w:t xml:space="preserve">This study is a retrospective analysis of data collected over </w:t>
      </w:r>
      <w:r>
        <w:rPr>
          <w:rFonts w:ascii="Arial" w:eastAsia="Times New Roman" w:hAnsi="Arial" w:cs="Arial"/>
          <w:sz w:val="20"/>
          <w:szCs w:val="20"/>
        </w:rPr>
        <w:t>seven years</w:t>
      </w:r>
      <w:r w:rsidRPr="00587B42">
        <w:rPr>
          <w:rFonts w:ascii="Arial" w:eastAsia="Times New Roman" w:hAnsi="Arial" w:cs="Arial"/>
          <w:sz w:val="20"/>
          <w:szCs w:val="20"/>
        </w:rPr>
        <w:t xml:space="preserve">. There was no protocol research, and the subject's data was limited to the essentials available on our electronic sheets. Therefore, we could not establish a cross-comparison between positive and negative controls to validate the results. The number of subjects is appropriate for preliminary study; however, future studies must be more comprehensive. The lack of a </w:t>
      </w:r>
      <w:r>
        <w:rPr>
          <w:rFonts w:ascii="Arial" w:eastAsia="Times New Roman" w:hAnsi="Arial" w:cs="Arial"/>
          <w:sz w:val="20"/>
          <w:szCs w:val="20"/>
        </w:rPr>
        <w:t xml:space="preserve">prospective </w:t>
      </w:r>
      <w:r w:rsidRPr="00587B42">
        <w:rPr>
          <w:rFonts w:ascii="Arial" w:eastAsia="Times New Roman" w:hAnsi="Arial" w:cs="Arial"/>
          <w:sz w:val="20"/>
          <w:szCs w:val="20"/>
        </w:rPr>
        <w:t>research protocol implies the possibility of a bias produced by the p</w:t>
      </w:r>
      <w:r>
        <w:rPr>
          <w:rFonts w:ascii="Arial" w:eastAsia="Times New Roman" w:hAnsi="Arial" w:cs="Arial"/>
          <w:sz w:val="20"/>
          <w:szCs w:val="20"/>
        </w:rPr>
        <w:t>hysician's point of view, which indicated the exam was based on</w:t>
      </w:r>
      <w:r w:rsidRPr="00587B42">
        <w:rPr>
          <w:rFonts w:ascii="Arial" w:eastAsia="Times New Roman" w:hAnsi="Arial" w:cs="Arial"/>
          <w:sz w:val="20"/>
          <w:szCs w:val="20"/>
        </w:rPr>
        <w:t xml:space="preserve"> clinical suspicion led purely by anamnesis and physical examination. The study lost many of these patients to follow-up, so assuring the relationship between the immunoassay results and the patient's clinical outcome is not possible yet. The two procedures were not compared with paired tests because they were taken from distinct groups of patients.</w:t>
      </w:r>
    </w:p>
    <w:p w14:paraId="456125A3" w14:textId="77777777" w:rsidR="00DF1CFC" w:rsidRPr="00995BFD" w:rsidRDefault="00DF1CFC" w:rsidP="002863D3">
      <w:pPr>
        <w:spacing w:after="0" w:line="240" w:lineRule="auto"/>
        <w:ind w:firstLine="708"/>
        <w:jc w:val="both"/>
        <w:rPr>
          <w:rFonts w:ascii="Arial" w:eastAsia="Times New Roman" w:hAnsi="Arial" w:cs="Arial"/>
          <w:sz w:val="20"/>
          <w:szCs w:val="20"/>
        </w:rPr>
      </w:pPr>
    </w:p>
    <w:bookmarkEnd w:id="5"/>
    <w:p w14:paraId="3AEDB6DB" w14:textId="77777777" w:rsidR="00DF1CFC" w:rsidRPr="00995BFD" w:rsidRDefault="00DF1CFC" w:rsidP="00646870">
      <w:pPr>
        <w:spacing w:after="0" w:line="240" w:lineRule="auto"/>
        <w:jc w:val="both"/>
        <w:rPr>
          <w:rFonts w:ascii="Arial" w:eastAsia="Times New Roman" w:hAnsi="Arial" w:cs="Arial"/>
          <w:sz w:val="16"/>
          <w:szCs w:val="20"/>
        </w:rPr>
      </w:pPr>
    </w:p>
    <w:p w14:paraId="4C8CC4D4" w14:textId="77777777" w:rsidR="00DF1CFC" w:rsidRPr="00995BFD" w:rsidRDefault="00DF1CFC" w:rsidP="00646870">
      <w:pPr>
        <w:pStyle w:val="Heading2"/>
        <w:rPr>
          <w:rFonts w:eastAsia="Times New Roman"/>
        </w:rPr>
      </w:pPr>
      <w:r w:rsidRPr="00995BFD">
        <w:rPr>
          <w:rFonts w:eastAsia="Times New Roman"/>
        </w:rPr>
        <w:lastRenderedPageBreak/>
        <w:t>6. CONCLUSION</w:t>
      </w:r>
    </w:p>
    <w:p w14:paraId="4F67C79D" w14:textId="77777777" w:rsidR="00DF1CFC" w:rsidRPr="00995BFD" w:rsidRDefault="00DF1CFC" w:rsidP="00646870">
      <w:pPr>
        <w:keepNext/>
        <w:spacing w:after="0" w:line="240" w:lineRule="auto"/>
        <w:jc w:val="both"/>
        <w:rPr>
          <w:rFonts w:ascii="Arial" w:eastAsia="Times New Roman" w:hAnsi="Arial" w:cs="Arial"/>
          <w:b/>
          <w:caps/>
          <w:sz w:val="16"/>
          <w:szCs w:val="20"/>
        </w:rPr>
      </w:pPr>
    </w:p>
    <w:p w14:paraId="5B61C0A1" w14:textId="77777777" w:rsidR="00DF1CFC" w:rsidRPr="003D1935" w:rsidRDefault="00DF1CFC" w:rsidP="00794B03">
      <w:pPr>
        <w:spacing w:after="0" w:line="240" w:lineRule="auto"/>
        <w:ind w:firstLine="708"/>
        <w:jc w:val="both"/>
        <w:rPr>
          <w:rFonts w:ascii="Arial" w:eastAsia="Times New Roman" w:hAnsi="Arial" w:cs="Arial"/>
          <w:sz w:val="20"/>
          <w:szCs w:val="20"/>
        </w:rPr>
      </w:pPr>
      <w:r w:rsidRPr="003D1935">
        <w:rPr>
          <w:rFonts w:ascii="Arial" w:eastAsia="Calibri" w:hAnsi="Arial" w:cs="Arial"/>
          <w:bCs/>
          <w:sz w:val="20"/>
        </w:rPr>
        <w:t xml:space="preserve">Our preliminary results show that the LAIT and TTP may differentiate diverse degrees of immunoreactivity against cocoa extracts and nickel solution in patients clinically diagnosed with </w:t>
      </w:r>
      <w:r w:rsidRPr="003D1935">
        <w:rPr>
          <w:rFonts w:ascii="Arial" w:eastAsia="Times New Roman" w:hAnsi="Arial" w:cs="Arial"/>
          <w:sz w:val="20"/>
          <w:szCs w:val="20"/>
        </w:rPr>
        <w:t>non–IgE-mediated atopic and allergic contact dermatitis</w:t>
      </w:r>
      <w:r w:rsidRPr="003D1935">
        <w:rPr>
          <w:rFonts w:ascii="Arial" w:eastAsia="Calibri" w:hAnsi="Arial" w:cs="Arial"/>
          <w:bCs/>
          <w:sz w:val="20"/>
        </w:rPr>
        <w:t xml:space="preserve">. TIAL and TTP are inexpensive, can be performed with minimum laboratory equipment, and can be incorporated into strategies to address health disparities in </w:t>
      </w:r>
      <w:r>
        <w:rPr>
          <w:rFonts w:ascii="Arial" w:eastAsia="Calibri" w:hAnsi="Arial" w:cs="Arial"/>
          <w:bCs/>
          <w:sz w:val="20"/>
        </w:rPr>
        <w:t>managing</w:t>
      </w:r>
      <w:r w:rsidRPr="003D1935">
        <w:rPr>
          <w:rFonts w:ascii="Arial" w:eastAsia="Calibri" w:hAnsi="Arial" w:cs="Arial"/>
          <w:bCs/>
          <w:sz w:val="20"/>
        </w:rPr>
        <w:t xml:space="preserve"> allergies </w:t>
      </w:r>
      <w:r>
        <w:rPr>
          <w:rFonts w:ascii="Arial" w:eastAsia="Calibri" w:hAnsi="Arial" w:cs="Arial"/>
          <w:bCs/>
          <w:noProof/>
          <w:sz w:val="20"/>
        </w:rPr>
        <w:t>(Anagnostou et al. 2025)</w:t>
      </w:r>
      <w:r w:rsidRPr="003D1935">
        <w:rPr>
          <w:rFonts w:ascii="Arial" w:eastAsia="Calibri" w:hAnsi="Arial" w:cs="Arial"/>
          <w:bCs/>
          <w:sz w:val="20"/>
        </w:rPr>
        <w:t xml:space="preserve">. </w:t>
      </w:r>
      <w:r w:rsidRPr="003D1935">
        <w:rPr>
          <w:rFonts w:ascii="Arial" w:eastAsia="Times New Roman" w:hAnsi="Arial" w:cs="Arial"/>
          <w:sz w:val="20"/>
          <w:szCs w:val="20"/>
        </w:rPr>
        <w:t xml:space="preserve">As a preliminary report, the propaedeutic meaning of the presented results and the possibility of interferents must be yet established </w:t>
      </w:r>
      <w:r>
        <w:rPr>
          <w:rFonts w:ascii="Arial" w:eastAsia="Times New Roman" w:hAnsi="Arial" w:cs="Arial"/>
          <w:noProof/>
          <w:sz w:val="20"/>
          <w:szCs w:val="20"/>
        </w:rPr>
        <w:t>(Anouar, Hazim and Brahim 2024)</w:t>
      </w:r>
      <w:r w:rsidRPr="003D1935">
        <w:rPr>
          <w:rFonts w:ascii="Arial" w:eastAsia="Times New Roman" w:hAnsi="Arial" w:cs="Arial"/>
          <w:sz w:val="20"/>
          <w:szCs w:val="20"/>
        </w:rPr>
        <w:t xml:space="preserve">. More studies focused on the quality-by-design approach with prospective larger double-blind cohorts need to evaluate the potential contribution of LAIT and TTP for endotyping cellular and humoral immunoreactivity in patients suspected of hypersensitivity against nickel and nickel-containing foods </w:t>
      </w:r>
      <w:r>
        <w:rPr>
          <w:rFonts w:ascii="Arial" w:eastAsia="Times New Roman" w:hAnsi="Arial" w:cs="Arial"/>
          <w:noProof/>
          <w:sz w:val="20"/>
          <w:szCs w:val="20"/>
        </w:rPr>
        <w:t>(Chiarentin et al. 2023)</w:t>
      </w:r>
      <w:r w:rsidRPr="003D1935">
        <w:rPr>
          <w:rFonts w:ascii="Arial" w:eastAsia="Times New Roman" w:hAnsi="Arial" w:cs="Arial"/>
          <w:sz w:val="20"/>
          <w:szCs w:val="20"/>
        </w:rPr>
        <w:t>.</w:t>
      </w:r>
    </w:p>
    <w:p w14:paraId="5027BE39" w14:textId="77777777" w:rsidR="00DF1CFC" w:rsidRPr="003D1935" w:rsidRDefault="00DF1CFC" w:rsidP="003500B1">
      <w:pPr>
        <w:tabs>
          <w:tab w:val="left" w:pos="3794"/>
        </w:tabs>
        <w:spacing w:after="0" w:line="240" w:lineRule="auto"/>
        <w:ind w:firstLine="708"/>
        <w:jc w:val="both"/>
        <w:rPr>
          <w:rFonts w:ascii="Arial" w:eastAsia="Times New Roman" w:hAnsi="Arial" w:cs="Arial"/>
          <w:sz w:val="20"/>
          <w:szCs w:val="20"/>
        </w:rPr>
      </w:pPr>
      <w:r w:rsidRPr="003D1935">
        <w:rPr>
          <w:rFonts w:ascii="Arial" w:eastAsia="Times New Roman" w:hAnsi="Arial" w:cs="Arial"/>
          <w:sz w:val="20"/>
          <w:szCs w:val="20"/>
        </w:rPr>
        <w:tab/>
      </w:r>
    </w:p>
    <w:p w14:paraId="1FB97377" w14:textId="77777777" w:rsidR="00DF1CFC" w:rsidRPr="00BB4D69" w:rsidRDefault="00DF1CFC" w:rsidP="008E79BC">
      <w:pPr>
        <w:spacing w:after="0" w:line="240" w:lineRule="auto"/>
        <w:ind w:firstLine="708"/>
        <w:jc w:val="both"/>
        <w:rPr>
          <w:rFonts w:ascii="Arial" w:eastAsia="Times New Roman" w:hAnsi="Arial" w:cs="Arial"/>
          <w:color w:val="FF0000"/>
          <w:sz w:val="20"/>
          <w:szCs w:val="20"/>
        </w:rPr>
      </w:pPr>
      <w:r w:rsidRPr="00BB4D69">
        <w:rPr>
          <w:rFonts w:ascii="Arial" w:eastAsia="Times New Roman" w:hAnsi="Arial" w:cs="Arial"/>
          <w:color w:val="FF0000"/>
          <w:sz w:val="20"/>
          <w:szCs w:val="20"/>
        </w:rPr>
        <w:tab/>
      </w:r>
    </w:p>
    <w:p w14:paraId="288F5F25" w14:textId="77777777" w:rsidR="00DF1CFC" w:rsidRPr="00BB4D69" w:rsidRDefault="00DF1CFC" w:rsidP="008E79BC">
      <w:pPr>
        <w:rPr>
          <w:rFonts w:ascii="Arial" w:eastAsia="Times New Roman" w:hAnsi="Arial" w:cs="Arial"/>
          <w:b/>
          <w:bCs/>
        </w:rPr>
      </w:pPr>
      <w:bookmarkStart w:id="6" w:name="_Hlk182027939"/>
      <w:r w:rsidRPr="00BB4D69">
        <w:rPr>
          <w:rFonts w:ascii="Arial" w:eastAsia="Times New Roman" w:hAnsi="Arial" w:cs="Arial"/>
          <w:b/>
          <w:bCs/>
        </w:rPr>
        <w:t>7. FUTURE DIRECTIONS AND RECOMMENDATIONS FOR CLINICAL PRACTICE</w:t>
      </w:r>
    </w:p>
    <w:p w14:paraId="1F41C9C9" w14:textId="77777777" w:rsidR="00DF1CFC" w:rsidRPr="00BB4D69" w:rsidRDefault="00DF1CFC" w:rsidP="00214F60">
      <w:pPr>
        <w:spacing w:after="0" w:line="240" w:lineRule="auto"/>
        <w:ind w:firstLine="708"/>
        <w:jc w:val="both"/>
        <w:rPr>
          <w:rFonts w:ascii="Arial" w:eastAsia="Times New Roman" w:hAnsi="Arial" w:cs="Arial"/>
          <w:sz w:val="20"/>
          <w:szCs w:val="20"/>
        </w:rPr>
      </w:pPr>
      <w:r w:rsidRPr="00BB4D69">
        <w:rPr>
          <w:rFonts w:ascii="Arial" w:eastAsia="Times New Roman" w:hAnsi="Arial" w:cs="Arial"/>
          <w:sz w:val="20"/>
          <w:szCs w:val="20"/>
        </w:rPr>
        <w:t xml:space="preserve">The primary intended use of </w:t>
      </w:r>
      <w:r w:rsidRPr="005714AA">
        <w:rPr>
          <w:rFonts w:ascii="Arial" w:eastAsia="Times New Roman" w:hAnsi="Arial" w:cs="Arial"/>
          <w:i/>
          <w:iCs/>
          <w:sz w:val="20"/>
          <w:szCs w:val="20"/>
        </w:rPr>
        <w:t>in vitro</w:t>
      </w:r>
      <w:r w:rsidRPr="00BB4D69">
        <w:rPr>
          <w:rFonts w:ascii="Arial" w:eastAsia="Times New Roman" w:hAnsi="Arial" w:cs="Arial"/>
          <w:sz w:val="20"/>
          <w:szCs w:val="20"/>
        </w:rPr>
        <w:t xml:space="preserve"> or </w:t>
      </w:r>
      <w:r w:rsidRPr="005714AA">
        <w:rPr>
          <w:rFonts w:ascii="Arial" w:eastAsia="Times New Roman" w:hAnsi="Arial" w:cs="Arial"/>
          <w:i/>
          <w:iCs/>
          <w:sz w:val="20"/>
          <w:szCs w:val="20"/>
        </w:rPr>
        <w:t>ex vivo</w:t>
      </w:r>
      <w:r w:rsidRPr="00BB4D69">
        <w:rPr>
          <w:rFonts w:ascii="Arial" w:eastAsia="Times New Roman" w:hAnsi="Arial" w:cs="Arial"/>
          <w:sz w:val="20"/>
          <w:szCs w:val="20"/>
        </w:rPr>
        <w:t xml:space="preserve"> allergen challenge</w:t>
      </w:r>
      <w:r>
        <w:rPr>
          <w:rFonts w:ascii="Arial" w:eastAsia="Times New Roman" w:hAnsi="Arial" w:cs="Arial"/>
          <w:sz w:val="20"/>
          <w:szCs w:val="20"/>
        </w:rPr>
        <w:t xml:space="preserve"> test</w:t>
      </w:r>
      <w:r w:rsidRPr="00BB4D69">
        <w:rPr>
          <w:rFonts w:ascii="Arial" w:eastAsia="Times New Roman" w:hAnsi="Arial" w:cs="Arial"/>
          <w:sz w:val="20"/>
          <w:szCs w:val="20"/>
        </w:rPr>
        <w:t xml:space="preserve">s is to spare the patients from being submitted to </w:t>
      </w:r>
      <w:r>
        <w:rPr>
          <w:rFonts w:ascii="Arial" w:eastAsia="Times New Roman" w:hAnsi="Arial" w:cs="Arial"/>
          <w:sz w:val="20"/>
          <w:szCs w:val="20"/>
        </w:rPr>
        <w:t xml:space="preserve">unnecessary, </w:t>
      </w:r>
      <w:r w:rsidRPr="00BB4D69">
        <w:rPr>
          <w:rFonts w:ascii="Arial" w:eastAsia="Times New Roman" w:hAnsi="Arial" w:cs="Arial"/>
          <w:sz w:val="20"/>
          <w:szCs w:val="20"/>
        </w:rPr>
        <w:t>exhaustive</w:t>
      </w:r>
      <w:r>
        <w:rPr>
          <w:rFonts w:ascii="Arial" w:eastAsia="Times New Roman" w:hAnsi="Arial" w:cs="Arial"/>
          <w:sz w:val="20"/>
          <w:szCs w:val="20"/>
        </w:rPr>
        <w:t>,</w:t>
      </w:r>
      <w:r w:rsidRPr="00BB4D69">
        <w:rPr>
          <w:rFonts w:ascii="Arial" w:eastAsia="Times New Roman" w:hAnsi="Arial" w:cs="Arial"/>
          <w:sz w:val="20"/>
          <w:szCs w:val="20"/>
        </w:rPr>
        <w:t xml:space="preserve"> and dangerous </w:t>
      </w:r>
      <w:r w:rsidRPr="00BB4D69">
        <w:rPr>
          <w:rFonts w:ascii="Arial" w:eastAsia="Times New Roman" w:hAnsi="Arial" w:cs="Arial"/>
          <w:i/>
          <w:iCs/>
          <w:sz w:val="20"/>
          <w:szCs w:val="20"/>
        </w:rPr>
        <w:t>in vivo</w:t>
      </w:r>
      <w:r w:rsidRPr="00BB4D69">
        <w:rPr>
          <w:rFonts w:ascii="Arial" w:eastAsia="Times New Roman" w:hAnsi="Arial" w:cs="Arial"/>
          <w:sz w:val="20"/>
          <w:szCs w:val="20"/>
        </w:rPr>
        <w:t xml:space="preserve"> challenge tests. Exploring the humoral and the cellular arms of immune systems, the TTP and TIAL alone or combined may represent, in </w:t>
      </w:r>
      <w:r>
        <w:rPr>
          <w:rFonts w:ascii="Arial" w:eastAsia="Times New Roman" w:hAnsi="Arial" w:cs="Arial"/>
          <w:sz w:val="20"/>
          <w:szCs w:val="20"/>
        </w:rPr>
        <w:t>the</w:t>
      </w:r>
      <w:r w:rsidRPr="00BB4D69">
        <w:rPr>
          <w:rFonts w:ascii="Arial" w:eastAsia="Times New Roman" w:hAnsi="Arial" w:cs="Arial"/>
          <w:sz w:val="20"/>
          <w:szCs w:val="20"/>
        </w:rPr>
        <w:t xml:space="preserve"> near future, a tool for allergists to construct an etiologic diagnosis from their patients, as well as determine the endotypes (mechanisms) of hypersensitivity, in order to choose more convenient and personalized therapies for them. </w:t>
      </w:r>
      <w:r>
        <w:rPr>
          <w:rFonts w:ascii="Arial" w:eastAsia="Times New Roman" w:hAnsi="Arial" w:cs="Arial"/>
          <w:sz w:val="20"/>
          <w:szCs w:val="20"/>
        </w:rPr>
        <w:t xml:space="preserve">Adding data provided by TTP and TIAL may also contribute to streamlining biomedical research and improving tools such as Large Language Models, usually used by </w:t>
      </w:r>
      <w:r w:rsidRPr="006E0430">
        <w:rPr>
          <w:rFonts w:ascii="Arial" w:eastAsia="Times New Roman" w:hAnsi="Arial" w:cs="Arial"/>
          <w:sz w:val="20"/>
          <w:szCs w:val="20"/>
        </w:rPr>
        <w:t>clinicians as a</w:t>
      </w:r>
      <w:r>
        <w:rPr>
          <w:rFonts w:ascii="Arial" w:eastAsia="Times New Roman" w:hAnsi="Arial" w:cs="Arial"/>
          <w:sz w:val="20"/>
          <w:szCs w:val="20"/>
        </w:rPr>
        <w:t xml:space="preserve"> </w:t>
      </w:r>
      <w:r w:rsidRPr="006E0430">
        <w:rPr>
          <w:rFonts w:ascii="Arial" w:eastAsia="Times New Roman" w:hAnsi="Arial" w:cs="Arial"/>
          <w:sz w:val="20"/>
          <w:szCs w:val="20"/>
        </w:rPr>
        <w:t>decision support system to enhance diagnostic accuracy</w:t>
      </w:r>
      <w:r>
        <w:rPr>
          <w:rFonts w:ascii="Arial" w:eastAsia="Times New Roman" w:hAnsi="Arial" w:cs="Arial"/>
          <w:sz w:val="20"/>
          <w:szCs w:val="20"/>
        </w:rPr>
        <w:t xml:space="preserve"> </w:t>
      </w:r>
      <w:r>
        <w:rPr>
          <w:rFonts w:ascii="Arial" w:eastAsia="Times New Roman" w:hAnsi="Arial" w:cs="Arial"/>
          <w:noProof/>
          <w:sz w:val="20"/>
          <w:szCs w:val="20"/>
        </w:rPr>
        <w:t>(Abers and Mathias 2025)</w:t>
      </w:r>
      <w:r>
        <w:rPr>
          <w:rFonts w:ascii="Arial" w:eastAsia="Times New Roman" w:hAnsi="Arial" w:cs="Arial"/>
          <w:sz w:val="20"/>
          <w:szCs w:val="20"/>
        </w:rPr>
        <w:t>.</w:t>
      </w:r>
    </w:p>
    <w:p w14:paraId="39E6F877" w14:textId="77777777" w:rsidR="00DF1CFC" w:rsidRPr="00BB4D69" w:rsidRDefault="00DF1CFC" w:rsidP="008E79BC">
      <w:pPr>
        <w:spacing w:after="0" w:line="240" w:lineRule="auto"/>
        <w:ind w:firstLine="708"/>
        <w:jc w:val="both"/>
        <w:rPr>
          <w:rFonts w:ascii="Arial" w:eastAsia="Times New Roman" w:hAnsi="Arial" w:cs="Arial"/>
          <w:sz w:val="20"/>
          <w:szCs w:val="20"/>
        </w:rPr>
      </w:pPr>
    </w:p>
    <w:p w14:paraId="6CD6BBE7" w14:textId="77777777" w:rsidR="00DF1CFC" w:rsidRPr="00BB4D69" w:rsidRDefault="00DF1CFC" w:rsidP="008E79BC">
      <w:pPr>
        <w:spacing w:after="0" w:line="240" w:lineRule="auto"/>
        <w:ind w:firstLine="708"/>
        <w:jc w:val="both"/>
        <w:rPr>
          <w:rFonts w:ascii="Arial" w:eastAsia="Times New Roman" w:hAnsi="Arial" w:cs="Arial"/>
          <w:color w:val="FF0000"/>
          <w:sz w:val="20"/>
          <w:szCs w:val="20"/>
        </w:rPr>
      </w:pPr>
    </w:p>
    <w:p w14:paraId="04F3827C" w14:textId="77777777" w:rsidR="00DF1CFC" w:rsidRPr="00BB4D69" w:rsidRDefault="00DF1CFC" w:rsidP="008E79BC">
      <w:pPr>
        <w:pStyle w:val="Heading2"/>
        <w:rPr>
          <w:rFonts w:eastAsia="Times New Roman" w:cs="Arial"/>
        </w:rPr>
      </w:pPr>
      <w:r w:rsidRPr="00BB4D69">
        <w:rPr>
          <w:rFonts w:eastAsia="Times New Roman" w:cs="Arial"/>
        </w:rPr>
        <w:t>CONSENT</w:t>
      </w:r>
    </w:p>
    <w:p w14:paraId="0CE18260" w14:textId="77777777" w:rsidR="00DF1CFC" w:rsidRPr="00BB4D69" w:rsidRDefault="00DF1CFC" w:rsidP="008E79BC">
      <w:pPr>
        <w:spacing w:after="0" w:line="240" w:lineRule="auto"/>
        <w:rPr>
          <w:rFonts w:ascii="Arial" w:hAnsi="Arial" w:cs="Arial"/>
          <w:sz w:val="20"/>
        </w:rPr>
      </w:pPr>
    </w:p>
    <w:p w14:paraId="4253609C" w14:textId="77777777" w:rsidR="00DF1CFC" w:rsidRPr="005E2A7F" w:rsidRDefault="00DF1CFC" w:rsidP="008E79BC">
      <w:pPr>
        <w:spacing w:after="0" w:line="240" w:lineRule="auto"/>
        <w:rPr>
          <w:rFonts w:ascii="Arial" w:hAnsi="Arial" w:cs="Arial"/>
          <w:sz w:val="20"/>
        </w:rPr>
      </w:pPr>
      <w:r w:rsidRPr="00BB4D69">
        <w:rPr>
          <w:rFonts w:ascii="Arial" w:hAnsi="Arial" w:cs="Arial"/>
          <w:sz w:val="20"/>
        </w:rPr>
        <w:t xml:space="preserve">As a retrospective survey of results recorded </w:t>
      </w:r>
      <w:r w:rsidRPr="00BB4D69">
        <w:rPr>
          <w:rFonts w:ascii="Arial" w:hAnsi="Arial" w:cs="Arial"/>
          <w:i/>
          <w:iCs/>
          <w:sz w:val="20"/>
        </w:rPr>
        <w:t>in cognito</w:t>
      </w:r>
      <w:r w:rsidRPr="00BB4D69">
        <w:rPr>
          <w:rFonts w:ascii="Arial" w:hAnsi="Arial" w:cs="Arial"/>
          <w:sz w:val="20"/>
        </w:rPr>
        <w:t>, consent was given collectively by the institution's ethics committee</w:t>
      </w:r>
      <w:r w:rsidRPr="005E2A7F">
        <w:rPr>
          <w:rFonts w:ascii="Arial" w:hAnsi="Arial" w:cs="Arial"/>
          <w:sz w:val="20"/>
        </w:rPr>
        <w:t xml:space="preserve"> following the principles of the Declaration of Helsinki </w:t>
      </w:r>
      <w:r>
        <w:rPr>
          <w:rFonts w:ascii="Arial" w:hAnsi="Arial" w:cs="Arial"/>
          <w:noProof/>
          <w:sz w:val="20"/>
        </w:rPr>
        <w:t>(WMA 2013)</w:t>
      </w:r>
      <w:r w:rsidRPr="005E2A7F">
        <w:rPr>
          <w:rFonts w:ascii="Arial" w:hAnsi="Arial" w:cs="Arial"/>
          <w:sz w:val="20"/>
        </w:rPr>
        <w:t>.</w:t>
      </w:r>
    </w:p>
    <w:p w14:paraId="13AE224E" w14:textId="77777777" w:rsidR="00DF1CFC" w:rsidRPr="005E2A7F" w:rsidRDefault="00DF1CFC" w:rsidP="008E79BC">
      <w:pPr>
        <w:spacing w:after="0" w:line="240" w:lineRule="auto"/>
        <w:rPr>
          <w:rFonts w:ascii="Arial" w:hAnsi="Arial" w:cs="Arial"/>
          <w:color w:val="FF0000"/>
          <w:sz w:val="20"/>
        </w:rPr>
      </w:pPr>
    </w:p>
    <w:p w14:paraId="1A66D7D0" w14:textId="77777777" w:rsidR="00DF1CFC" w:rsidRPr="005E2A7F" w:rsidRDefault="00DF1CFC" w:rsidP="008E79BC">
      <w:pPr>
        <w:pStyle w:val="Heading2"/>
      </w:pPr>
      <w:r w:rsidRPr="005E2A7F">
        <w:t>ETHICAL APPROVALS</w:t>
      </w:r>
    </w:p>
    <w:p w14:paraId="7672195B" w14:textId="77777777" w:rsidR="00DF1CFC" w:rsidRPr="005E2A7F" w:rsidRDefault="00DF1CFC" w:rsidP="008E79BC">
      <w:pPr>
        <w:keepNext/>
        <w:keepLines/>
        <w:spacing w:after="0" w:line="240" w:lineRule="auto"/>
        <w:jc w:val="both"/>
        <w:outlineLvl w:val="0"/>
        <w:rPr>
          <w:rFonts w:ascii="Arial" w:eastAsiaTheme="majorEastAsia" w:hAnsi="Arial" w:cs="Arial"/>
          <w:b/>
          <w:bCs/>
          <w:sz w:val="20"/>
          <w:szCs w:val="20"/>
        </w:rPr>
      </w:pPr>
    </w:p>
    <w:p w14:paraId="1243AD40" w14:textId="77777777" w:rsidR="00DF1CFC" w:rsidRPr="005E2A7F" w:rsidRDefault="00DF1CFC" w:rsidP="008E79BC">
      <w:pPr>
        <w:spacing w:after="0" w:line="240" w:lineRule="auto"/>
        <w:jc w:val="both"/>
        <w:rPr>
          <w:rFonts w:ascii="Arial" w:eastAsia="Times New Roman" w:hAnsi="Arial" w:cs="Arial"/>
          <w:sz w:val="20"/>
          <w:szCs w:val="20"/>
        </w:rPr>
      </w:pPr>
      <w:r w:rsidRPr="005E2A7F">
        <w:rPr>
          <w:rFonts w:ascii="Arial" w:eastAsia="Times New Roman" w:hAnsi="Arial" w:cs="Arial"/>
          <w:sz w:val="20"/>
          <w:szCs w:val="20"/>
        </w:rPr>
        <w:t>The authors have collected and preserved written ethical approval per international standards.</w:t>
      </w:r>
    </w:p>
    <w:p w14:paraId="495A2706" w14:textId="77777777" w:rsidR="00DF1CFC" w:rsidRPr="005E2A7F" w:rsidRDefault="00DF1CFC" w:rsidP="008E79BC">
      <w:pPr>
        <w:spacing w:after="0" w:line="240" w:lineRule="auto"/>
        <w:jc w:val="both"/>
        <w:rPr>
          <w:rFonts w:ascii="Arial" w:eastAsia="Times New Roman" w:hAnsi="Arial" w:cs="Arial"/>
          <w:color w:val="FF0000"/>
          <w:sz w:val="20"/>
          <w:szCs w:val="20"/>
        </w:rPr>
      </w:pPr>
    </w:p>
    <w:p w14:paraId="42D3BB74" w14:textId="77777777" w:rsidR="00DF1CFC" w:rsidRDefault="00DF1CFC" w:rsidP="008E79BC">
      <w:pPr>
        <w:spacing w:after="0" w:line="240" w:lineRule="auto"/>
        <w:jc w:val="both"/>
        <w:rPr>
          <w:rFonts w:ascii="Arial" w:eastAsia="Times New Roman" w:hAnsi="Arial" w:cs="Arial"/>
          <w:sz w:val="20"/>
          <w:szCs w:val="20"/>
        </w:rPr>
      </w:pPr>
    </w:p>
    <w:p w14:paraId="4FCB1D91" w14:textId="77777777" w:rsidR="00DF1CFC" w:rsidRDefault="00DF1CFC" w:rsidP="008E79BC">
      <w:pPr>
        <w:spacing w:after="0" w:line="240" w:lineRule="auto"/>
        <w:jc w:val="both"/>
        <w:rPr>
          <w:rFonts w:ascii="Arial" w:eastAsia="Times New Roman" w:hAnsi="Arial" w:cs="Arial"/>
          <w:sz w:val="20"/>
          <w:szCs w:val="20"/>
        </w:rPr>
      </w:pPr>
    </w:p>
    <w:p w14:paraId="3E3A2801" w14:textId="77777777" w:rsidR="00DF1CFC" w:rsidRPr="00652DDB" w:rsidRDefault="00DF1CFC" w:rsidP="008E79BC">
      <w:pPr>
        <w:rPr>
          <w:rFonts w:ascii="Arial" w:eastAsia="Calibri" w:hAnsi="Arial" w:cs="Arial"/>
          <w:b/>
          <w:bCs/>
          <w:kern w:val="2"/>
          <w:sz w:val="24"/>
          <w:szCs w:val="24"/>
          <w14:ligatures w14:val="standardContextual"/>
        </w:rPr>
      </w:pPr>
      <w:r w:rsidRPr="00652DDB">
        <w:rPr>
          <w:rFonts w:ascii="Arial" w:eastAsia="Calibri" w:hAnsi="Arial" w:cs="Arial"/>
          <w:b/>
          <w:bCs/>
          <w:kern w:val="2"/>
          <w:sz w:val="24"/>
          <w:szCs w:val="24"/>
          <w14:ligatures w14:val="standardContextual"/>
        </w:rPr>
        <w:t>Disclaimer (</w:t>
      </w:r>
      <w:r>
        <w:rPr>
          <w:rFonts w:ascii="Arial" w:eastAsia="Calibri" w:hAnsi="Arial" w:cs="Arial"/>
          <w:b/>
          <w:bCs/>
          <w:kern w:val="2"/>
          <w:sz w:val="24"/>
          <w:szCs w:val="24"/>
          <w14:ligatures w14:val="standardContextual"/>
        </w:rPr>
        <w:t>a</w:t>
      </w:r>
      <w:r w:rsidRPr="00652DDB">
        <w:rPr>
          <w:rFonts w:ascii="Arial" w:eastAsia="Calibri" w:hAnsi="Arial" w:cs="Arial"/>
          <w:b/>
          <w:bCs/>
          <w:kern w:val="2"/>
          <w:sz w:val="24"/>
          <w:szCs w:val="24"/>
          <w14:ligatures w14:val="standardContextual"/>
        </w:rPr>
        <w:t>rtificial intelligence)</w:t>
      </w:r>
    </w:p>
    <w:p w14:paraId="581D9085" w14:textId="77777777" w:rsidR="00DF1CFC" w:rsidRPr="00652DDB" w:rsidRDefault="00DF1CFC" w:rsidP="008E79BC">
      <w:pPr>
        <w:jc w:val="both"/>
        <w:rPr>
          <w:rFonts w:ascii="Arial" w:eastAsia="Calibri" w:hAnsi="Arial" w:cs="Arial"/>
          <w:kern w:val="2"/>
          <w:sz w:val="20"/>
          <w:szCs w:val="20"/>
          <w14:ligatures w14:val="standardContextual"/>
        </w:rPr>
      </w:pPr>
      <w:r w:rsidRPr="00B93469">
        <w:rPr>
          <w:rFonts w:ascii="Arial" w:eastAsia="Calibri" w:hAnsi="Arial" w:cs="Arial"/>
          <w:kern w:val="2"/>
          <w:sz w:val="20"/>
          <w:szCs w:val="20"/>
          <w14:ligatures w14:val="standardContextual"/>
        </w:rPr>
        <w:t>Authors hereby declare that NO generative AI technologies such as Large Language Models (ChatGPT, COPILOT, etc.) and text-to-image generators have been used during the writing or editing of this manuscript</w:t>
      </w:r>
      <w:r w:rsidRPr="00652DDB">
        <w:rPr>
          <w:rFonts w:ascii="Arial" w:eastAsia="Calibri" w:hAnsi="Arial" w:cs="Arial"/>
          <w:kern w:val="2"/>
          <w:sz w:val="20"/>
          <w:szCs w:val="20"/>
          <w14:ligatures w14:val="standardContextual"/>
        </w:rPr>
        <w:t xml:space="preserve">. </w:t>
      </w:r>
    </w:p>
    <w:bookmarkEnd w:id="6"/>
    <w:p w14:paraId="013E1636" w14:textId="77777777" w:rsidR="00DF1CFC" w:rsidRPr="005E2A7F" w:rsidRDefault="00DF1CFC" w:rsidP="00B45921">
      <w:pPr>
        <w:spacing w:after="0" w:line="240" w:lineRule="auto"/>
        <w:jc w:val="both"/>
        <w:rPr>
          <w:rFonts w:ascii="Arial" w:eastAsia="Times New Roman" w:hAnsi="Arial" w:cs="Arial"/>
          <w:color w:val="FF0000"/>
          <w:sz w:val="20"/>
          <w:szCs w:val="20"/>
        </w:rPr>
        <w:sectPr w:rsidR="00DF1CFC" w:rsidRPr="005E2A7F" w:rsidSect="00DF1CFC">
          <w:headerReference w:type="even" r:id="rId19"/>
          <w:headerReference w:type="default" r:id="rId20"/>
          <w:footerReference w:type="default" r:id="rId21"/>
          <w:headerReference w:type="first" r:id="rId22"/>
          <w:footerReference w:type="first" r:id="rId23"/>
          <w:type w:val="continuous"/>
          <w:pgSz w:w="11909" w:h="16834" w:code="9"/>
          <w:pgMar w:top="1440" w:right="1419" w:bottom="1440" w:left="1440" w:header="720" w:footer="864" w:gutter="0"/>
          <w:cols w:space="720"/>
          <w:titlePg/>
          <w:docGrid w:linePitch="360"/>
        </w:sectPr>
      </w:pPr>
    </w:p>
    <w:p w14:paraId="45E6CB91" w14:textId="77777777" w:rsidR="00DF1CFC" w:rsidRPr="005E2A7F" w:rsidRDefault="00DF1CFC" w:rsidP="00B45921">
      <w:pPr>
        <w:spacing w:after="0" w:line="240" w:lineRule="auto"/>
        <w:jc w:val="both"/>
        <w:rPr>
          <w:rFonts w:ascii="Arial" w:eastAsia="Times New Roman" w:hAnsi="Arial" w:cs="Arial"/>
          <w:color w:val="FF0000"/>
          <w:sz w:val="20"/>
          <w:szCs w:val="20"/>
        </w:rPr>
        <w:sectPr w:rsidR="00DF1CFC" w:rsidRPr="005E2A7F" w:rsidSect="00DF1CFC">
          <w:type w:val="continuous"/>
          <w:pgSz w:w="11909" w:h="16834" w:code="9"/>
          <w:pgMar w:top="1440" w:right="1419" w:bottom="1440" w:left="1440" w:header="720" w:footer="864" w:gutter="0"/>
          <w:cols w:space="720"/>
          <w:titlePg/>
          <w:docGrid w:linePitch="360"/>
        </w:sectPr>
      </w:pPr>
    </w:p>
    <w:p w14:paraId="421C4B20" w14:textId="77777777" w:rsidR="00DF1CFC" w:rsidRPr="005E2A7F" w:rsidRDefault="00DF1CFC" w:rsidP="00B45921">
      <w:pPr>
        <w:spacing w:after="0" w:line="240" w:lineRule="auto"/>
        <w:jc w:val="right"/>
        <w:rPr>
          <w:rFonts w:ascii="Arial" w:hAnsi="Arial" w:cs="Arial"/>
          <w:color w:val="FF0000"/>
        </w:rPr>
      </w:pPr>
    </w:p>
    <w:p w14:paraId="527ADA93" w14:textId="77777777" w:rsidR="00DF1CFC" w:rsidRPr="005E2A7F" w:rsidRDefault="00DF1CFC" w:rsidP="00B45921">
      <w:pPr>
        <w:spacing w:after="0" w:line="240" w:lineRule="auto"/>
        <w:rPr>
          <w:rFonts w:ascii="Arial" w:hAnsi="Arial" w:cs="Arial"/>
        </w:rPr>
      </w:pPr>
    </w:p>
    <w:p w14:paraId="4E200BF9" w14:textId="77777777" w:rsidR="00DF1CFC" w:rsidRPr="00DF1CFC" w:rsidRDefault="00DF1CFC">
      <w:pPr>
        <w:rPr>
          <w:rFonts w:ascii="Arial" w:hAnsi="Arial" w:cs="Arial"/>
          <w:b/>
          <w:bCs/>
        </w:rPr>
      </w:pPr>
      <w:r w:rsidRPr="00DF1CFC">
        <w:rPr>
          <w:rFonts w:ascii="Arial" w:hAnsi="Arial" w:cs="Arial"/>
          <w:b/>
          <w:bCs/>
        </w:rPr>
        <w:t>REFERENCES</w:t>
      </w:r>
    </w:p>
    <w:p w14:paraId="3E782FBE" w14:textId="77777777" w:rsidR="00DF1CFC" w:rsidRPr="00DF1CFC" w:rsidRDefault="00DF1CFC">
      <w:pPr>
        <w:rPr>
          <w:rFonts w:ascii="Arial" w:hAnsi="Arial" w:cs="Arial"/>
        </w:rPr>
      </w:pPr>
    </w:p>
    <w:p w14:paraId="0FA3AFD5" w14:textId="77777777" w:rsidR="004243C6" w:rsidRDefault="004243C6" w:rsidP="003A7DE7">
      <w:pPr>
        <w:pStyle w:val="EndNoteBibliography"/>
        <w:spacing w:after="0"/>
        <w:ind w:left="720" w:hanging="720"/>
        <w:sectPr w:rsidR="004243C6" w:rsidSect="00DF1CFC">
          <w:type w:val="continuous"/>
          <w:pgSz w:w="11909" w:h="16834" w:code="9"/>
          <w:pgMar w:top="1440" w:right="1419" w:bottom="1440" w:left="1440" w:header="720" w:footer="864" w:gutter="0"/>
          <w:cols w:space="720"/>
          <w:titlePg/>
          <w:docGrid w:linePitch="360"/>
        </w:sectPr>
      </w:pPr>
    </w:p>
    <w:p w14:paraId="72B873BA" w14:textId="6F7043AB" w:rsidR="003A7DE7" w:rsidRPr="004243C6" w:rsidRDefault="003A7DE7" w:rsidP="003A7DE7">
      <w:pPr>
        <w:pStyle w:val="EndNoteBibliography"/>
        <w:spacing w:after="0"/>
        <w:ind w:left="720" w:hanging="720"/>
        <w:rPr>
          <w:lang w:val="pt-BR"/>
        </w:rPr>
      </w:pPr>
      <w:r w:rsidRPr="004243C6">
        <w:t xml:space="preserve">Abeck, D., Traenckner, I., Steinkraus, V., Vieluf, D., &amp; Ring, J. </w:t>
      </w:r>
      <w:r w:rsidR="009A425C" w:rsidRPr="004243C6">
        <w:t>(</w:t>
      </w:r>
      <w:r w:rsidRPr="004243C6">
        <w:t>1993</w:t>
      </w:r>
      <w:r w:rsidR="009A425C" w:rsidRPr="004243C6">
        <w:t>)</w:t>
      </w:r>
      <w:r w:rsidRPr="004243C6">
        <w:t xml:space="preserve">. </w:t>
      </w:r>
      <w:r w:rsidRPr="004243C6">
        <w:rPr>
          <w:lang w:val="pt-BR"/>
        </w:rPr>
        <w:t xml:space="preserve">Chronic urticaria due to nickel intake. </w:t>
      </w:r>
      <w:r w:rsidRPr="004243C6">
        <w:rPr>
          <w:i/>
          <w:lang w:val="pt-BR"/>
        </w:rPr>
        <w:t>Acta Dermato-Venereologica</w:t>
      </w:r>
      <w:r w:rsidRPr="004243C6">
        <w:rPr>
          <w:lang w:val="pt-BR"/>
        </w:rPr>
        <w:t>, 73(6): 438-439.</w:t>
      </w:r>
    </w:p>
    <w:p w14:paraId="293C90E5" w14:textId="4CA34169" w:rsidR="003A7DE7" w:rsidRPr="004243C6" w:rsidRDefault="003A7DE7" w:rsidP="003A7DE7">
      <w:pPr>
        <w:pStyle w:val="EndNoteBibliography"/>
        <w:spacing w:after="0"/>
        <w:ind w:left="720" w:hanging="720"/>
      </w:pPr>
      <w:r w:rsidRPr="004243C6">
        <w:rPr>
          <w:lang w:val="pt-BR"/>
        </w:rPr>
        <w:t xml:space="preserve">Abers, M. S., &amp; Mathias, R. A. </w:t>
      </w:r>
      <w:r w:rsidR="00FC0D35" w:rsidRPr="004243C6">
        <w:rPr>
          <w:lang w:val="pt-BR"/>
        </w:rPr>
        <w:t>(</w:t>
      </w:r>
      <w:r w:rsidRPr="004243C6">
        <w:rPr>
          <w:lang w:val="pt-BR"/>
        </w:rPr>
        <w:t>2025</w:t>
      </w:r>
      <w:r w:rsidR="00FC0D35" w:rsidRPr="004243C6">
        <w:rPr>
          <w:lang w:val="pt-BR"/>
        </w:rPr>
        <w:t>)</w:t>
      </w:r>
      <w:r w:rsidRPr="004243C6">
        <w:rPr>
          <w:lang w:val="pt-BR"/>
        </w:rPr>
        <w:t xml:space="preserve">. </w:t>
      </w:r>
      <w:r w:rsidRPr="004243C6">
        <w:t xml:space="preserve">Novel applications of large language models in clinical research. </w:t>
      </w:r>
      <w:r w:rsidRPr="004243C6">
        <w:rPr>
          <w:i/>
        </w:rPr>
        <w:t>Journal of Allergy and Clinical Immunology</w:t>
      </w:r>
      <w:r w:rsidRPr="004243C6">
        <w:t xml:space="preserve">, </w:t>
      </w:r>
      <w:r w:rsidR="009A425C" w:rsidRPr="004243C6">
        <w:t>155(3), 813–814</w:t>
      </w:r>
      <w:r w:rsidRPr="004243C6">
        <w:t>.</w:t>
      </w:r>
    </w:p>
    <w:p w14:paraId="138F7171" w14:textId="6630EFF5" w:rsidR="003A7DE7" w:rsidRPr="004243C6" w:rsidRDefault="003A7DE7" w:rsidP="003A7DE7">
      <w:pPr>
        <w:pStyle w:val="EndNoteBibliography"/>
        <w:spacing w:after="0"/>
        <w:ind w:left="720" w:hanging="720"/>
      </w:pPr>
      <w:r w:rsidRPr="004243C6">
        <w:lastRenderedPageBreak/>
        <w:t xml:space="preserve">Abril-Gil, M., Massot-Cladera, M., Pérez-Cano, F. J., Castellote, C., Franch, A., &amp; Castell, M. </w:t>
      </w:r>
      <w:r w:rsidR="00FC0D35" w:rsidRPr="004243C6">
        <w:t>(</w:t>
      </w:r>
      <w:r w:rsidRPr="004243C6">
        <w:t>2012</w:t>
      </w:r>
      <w:r w:rsidR="00FC0D35" w:rsidRPr="004243C6">
        <w:t>)</w:t>
      </w:r>
      <w:r w:rsidRPr="004243C6">
        <w:t xml:space="preserve">. A diet enriched with cocoa prevents IgE synthesis in a rat allergy model. </w:t>
      </w:r>
      <w:r w:rsidRPr="004243C6">
        <w:rPr>
          <w:i/>
        </w:rPr>
        <w:t>Pharmacology Research</w:t>
      </w:r>
      <w:r w:rsidRPr="004243C6">
        <w:t>, 65(6): 603-608.</w:t>
      </w:r>
    </w:p>
    <w:p w14:paraId="00FFC423" w14:textId="07391274" w:rsidR="003A7DE7" w:rsidRPr="004243C6" w:rsidRDefault="003A7DE7" w:rsidP="003A7DE7">
      <w:pPr>
        <w:pStyle w:val="EndNoteBibliography"/>
        <w:spacing w:after="0"/>
        <w:ind w:left="720" w:hanging="720"/>
      </w:pPr>
      <w:r w:rsidRPr="004243C6">
        <w:t xml:space="preserve">Agache, I., &amp; Akdis, C. A. </w:t>
      </w:r>
      <w:r w:rsidR="00FC0D35" w:rsidRPr="004243C6">
        <w:t>(</w:t>
      </w:r>
      <w:r w:rsidRPr="004243C6">
        <w:t>2020</w:t>
      </w:r>
      <w:r w:rsidR="00FC0D35" w:rsidRPr="004243C6">
        <w:t>)</w:t>
      </w:r>
      <w:r w:rsidRPr="004243C6">
        <w:t xml:space="preserve">. Endotypes of allergic diseases and asthma: An important step in building blocks for the future of precision medicine. </w:t>
      </w:r>
      <w:r w:rsidRPr="004243C6">
        <w:rPr>
          <w:i/>
        </w:rPr>
        <w:t>Allergology International</w:t>
      </w:r>
      <w:r w:rsidRPr="004243C6">
        <w:t>, 65(3): 243-252.</w:t>
      </w:r>
    </w:p>
    <w:p w14:paraId="6F141C26" w14:textId="2729CF01" w:rsidR="003A7DE7" w:rsidRPr="004243C6" w:rsidRDefault="003A7DE7" w:rsidP="003A7DE7">
      <w:pPr>
        <w:pStyle w:val="EndNoteBibliography"/>
        <w:spacing w:after="0"/>
        <w:ind w:left="720" w:hanging="720"/>
      </w:pPr>
      <w:r w:rsidRPr="004243C6">
        <w:t xml:space="preserve">Ahlström, M. G., Thyssen, J. P., Wennervaldt, M., Menné, T., &amp; Johansen, J. D. </w:t>
      </w:r>
      <w:r w:rsidR="00FC0D35" w:rsidRPr="004243C6">
        <w:t>(</w:t>
      </w:r>
      <w:r w:rsidRPr="004243C6">
        <w:t>2019</w:t>
      </w:r>
      <w:r w:rsidR="00FC0D35" w:rsidRPr="004243C6">
        <w:t>)</w:t>
      </w:r>
      <w:r w:rsidRPr="004243C6">
        <w:t xml:space="preserve">. Nickel allergy and allergic contact dermatitis: A clinical review of immunology, epidemiology, exposure, and treatment. </w:t>
      </w:r>
      <w:r w:rsidRPr="004243C6">
        <w:rPr>
          <w:i/>
        </w:rPr>
        <w:t>Contact Dermatitis</w:t>
      </w:r>
      <w:r w:rsidRPr="004243C6">
        <w:t>, 81(4): 227-241.</w:t>
      </w:r>
    </w:p>
    <w:p w14:paraId="7188C8CD" w14:textId="04BA9FA3" w:rsidR="003A7DE7" w:rsidRPr="004243C6" w:rsidRDefault="003A7DE7" w:rsidP="003A7DE7">
      <w:pPr>
        <w:pStyle w:val="EndNoteBibliography"/>
        <w:spacing w:after="0"/>
        <w:ind w:left="720" w:hanging="720"/>
      </w:pPr>
      <w:r w:rsidRPr="004243C6">
        <w:t xml:space="preserve">Akiba, Y., Takaoka, Y., Eguch, K., Akiba, N., Ko, N., &amp; Uoshima, K. </w:t>
      </w:r>
      <w:r w:rsidR="00FC0D35" w:rsidRPr="004243C6">
        <w:t>(</w:t>
      </w:r>
      <w:r w:rsidRPr="004243C6">
        <w:t>2025</w:t>
      </w:r>
      <w:r w:rsidR="00FC0D35" w:rsidRPr="004243C6">
        <w:t>)</w:t>
      </w:r>
      <w:r w:rsidRPr="004243C6">
        <w:t xml:space="preserve">. Metal allergy as a persistent factor for psoriasis. </w:t>
      </w:r>
      <w:r w:rsidRPr="004243C6">
        <w:rPr>
          <w:i/>
        </w:rPr>
        <w:t>Journal of Prosthodontic Research</w:t>
      </w:r>
      <w:r w:rsidRPr="004243C6">
        <w:t>.</w:t>
      </w:r>
    </w:p>
    <w:p w14:paraId="278C548A" w14:textId="2417FEB1" w:rsidR="003A7DE7" w:rsidRPr="004243C6" w:rsidRDefault="003A7DE7" w:rsidP="003A7DE7">
      <w:pPr>
        <w:pStyle w:val="EndNoteBibliography"/>
        <w:spacing w:after="0"/>
        <w:ind w:left="720" w:hanging="720"/>
      </w:pPr>
      <w:r w:rsidRPr="004243C6">
        <w:t xml:space="preserve">Anagnostou, A., Wang, J., Chinthrajah, S., Gupta, R., Davis, C. M., Parrish, C., </w:t>
      </w:r>
      <w:r w:rsidR="00AF20A2" w:rsidRPr="004243C6">
        <w:t>et al</w:t>
      </w:r>
      <w:r w:rsidRPr="004243C6">
        <w:t xml:space="preserve">. </w:t>
      </w:r>
      <w:r w:rsidR="00FC0D35" w:rsidRPr="004243C6">
        <w:t>(</w:t>
      </w:r>
      <w:r w:rsidRPr="004243C6">
        <w:t>2025</w:t>
      </w:r>
      <w:r w:rsidR="00FC0D35" w:rsidRPr="004243C6">
        <w:t>)</w:t>
      </w:r>
      <w:r w:rsidRPr="004243C6">
        <w:t xml:space="preserve">. Addressing health disparities in food allergy: A Position Statement of the AAAAI Prior Authorization Task Force. </w:t>
      </w:r>
      <w:r w:rsidRPr="004243C6">
        <w:rPr>
          <w:i/>
        </w:rPr>
        <w:t>Journal of Allergy and Clinical Immunology</w:t>
      </w:r>
      <w:r w:rsidRPr="004243C6">
        <w:t>, 155(1): 53-61.</w:t>
      </w:r>
    </w:p>
    <w:p w14:paraId="4D93F38B" w14:textId="37AAF4B5" w:rsidR="003A7DE7" w:rsidRPr="004243C6" w:rsidRDefault="003A7DE7" w:rsidP="003A7DE7">
      <w:pPr>
        <w:pStyle w:val="EndNoteBibliography"/>
        <w:spacing w:after="0"/>
        <w:ind w:left="720" w:hanging="720"/>
      </w:pPr>
      <w:r w:rsidRPr="00444990">
        <w:t xml:space="preserve">Anouar, S., Hazim, R., &amp; Brahim, A. </w:t>
      </w:r>
      <w:r w:rsidR="00FC0D35" w:rsidRPr="00444990">
        <w:t>(</w:t>
      </w:r>
      <w:r w:rsidRPr="00444990">
        <w:t>2024</w:t>
      </w:r>
      <w:r w:rsidR="00FC0D35" w:rsidRPr="00444990">
        <w:t>)</w:t>
      </w:r>
      <w:r w:rsidRPr="00444990">
        <w:t xml:space="preserve">. </w:t>
      </w:r>
      <w:r w:rsidRPr="004243C6">
        <w:t xml:space="preserve">Interferences in Immunological Assays: Causes, Detection, and Prevention. </w:t>
      </w:r>
      <w:r w:rsidRPr="004243C6">
        <w:rPr>
          <w:i/>
        </w:rPr>
        <w:t>Asian J</w:t>
      </w:r>
      <w:r w:rsidR="00FC0D35" w:rsidRPr="004243C6">
        <w:rPr>
          <w:i/>
        </w:rPr>
        <w:t>ournal of</w:t>
      </w:r>
      <w:r w:rsidRPr="004243C6">
        <w:rPr>
          <w:i/>
        </w:rPr>
        <w:t xml:space="preserve"> Immunol</w:t>
      </w:r>
      <w:r w:rsidR="00FC0D35" w:rsidRPr="004243C6">
        <w:rPr>
          <w:i/>
        </w:rPr>
        <w:t>ogy</w:t>
      </w:r>
      <w:r w:rsidRPr="004243C6">
        <w:t>, 7(1): 71-78.</w:t>
      </w:r>
    </w:p>
    <w:p w14:paraId="3FF30B4A" w14:textId="3CC58159" w:rsidR="003A7DE7" w:rsidRPr="004243C6" w:rsidRDefault="003A7DE7" w:rsidP="003A7DE7">
      <w:pPr>
        <w:pStyle w:val="EndNoteBibliography"/>
        <w:spacing w:after="0"/>
        <w:ind w:left="720" w:hanging="720"/>
      </w:pPr>
      <w:r w:rsidRPr="004243C6">
        <w:t xml:space="preserve">Antico, A., &amp; Soana, R. </w:t>
      </w:r>
      <w:r w:rsidR="00FC0D35" w:rsidRPr="004243C6">
        <w:t>(</w:t>
      </w:r>
      <w:r w:rsidRPr="004243C6">
        <w:t>2015</w:t>
      </w:r>
      <w:r w:rsidR="00FC0D35" w:rsidRPr="004243C6">
        <w:t>)</w:t>
      </w:r>
      <w:r w:rsidRPr="004243C6">
        <w:t xml:space="preserve">. Nickel sensitization and dietary nickel are a substantial cause of symptoms provocation in patients with chronic allergic-like dermatitis syndromes. </w:t>
      </w:r>
      <w:r w:rsidRPr="004243C6">
        <w:rPr>
          <w:i/>
        </w:rPr>
        <w:t>Allergy &amp; Rhinology (Providence, R.I.)</w:t>
      </w:r>
      <w:r w:rsidRPr="004243C6">
        <w:t>, 6(1): 56-63.</w:t>
      </w:r>
    </w:p>
    <w:p w14:paraId="6A04F005" w14:textId="5D6A33FF" w:rsidR="003A7DE7" w:rsidRPr="004243C6" w:rsidRDefault="003A7DE7" w:rsidP="003A7DE7">
      <w:pPr>
        <w:pStyle w:val="EndNoteBibliography"/>
        <w:spacing w:after="0"/>
        <w:ind w:left="720" w:hanging="720"/>
      </w:pPr>
      <w:r w:rsidRPr="004243C6">
        <w:t xml:space="preserve">Augustin, R. </w:t>
      </w:r>
      <w:r w:rsidR="00FC0D35" w:rsidRPr="004243C6">
        <w:t>(</w:t>
      </w:r>
      <w:r w:rsidRPr="004243C6">
        <w:t>1953</w:t>
      </w:r>
      <w:r w:rsidR="00FC0D35" w:rsidRPr="004243C6">
        <w:t>)</w:t>
      </w:r>
      <w:r w:rsidRPr="004243C6">
        <w:t xml:space="preserve">. Precipitins to grass pollen proteins. </w:t>
      </w:r>
      <w:r w:rsidRPr="004243C6">
        <w:rPr>
          <w:i/>
        </w:rPr>
        <w:t>Nature</w:t>
      </w:r>
      <w:r w:rsidRPr="004243C6">
        <w:t>, 172(4372): 307.</w:t>
      </w:r>
    </w:p>
    <w:p w14:paraId="5A78DD5C" w14:textId="25AE637D" w:rsidR="003A7DE7" w:rsidRPr="004243C6" w:rsidRDefault="003A7DE7" w:rsidP="003A7DE7">
      <w:pPr>
        <w:pStyle w:val="EndNoteBibliography"/>
        <w:spacing w:after="0"/>
        <w:ind w:left="720" w:hanging="720"/>
      </w:pPr>
      <w:r w:rsidRPr="004243C6">
        <w:t xml:space="preserve">Augustin, R., &amp; Hayward, B. J. </w:t>
      </w:r>
      <w:r w:rsidR="003917DD" w:rsidRPr="004243C6">
        <w:t>(</w:t>
      </w:r>
      <w:r w:rsidRPr="004243C6">
        <w:t>1960</w:t>
      </w:r>
      <w:r w:rsidR="003917DD" w:rsidRPr="004243C6">
        <w:t>)</w:t>
      </w:r>
      <w:r w:rsidRPr="004243C6">
        <w:t>. Human reagins to grass pollens and moulds: their purification and physico-</w:t>
      </w:r>
      <w:r w:rsidRPr="004243C6">
        <w:t xml:space="preserve">chemical characterization. </w:t>
      </w:r>
      <w:r w:rsidRPr="004243C6">
        <w:rPr>
          <w:i/>
        </w:rPr>
        <w:t>Immunology</w:t>
      </w:r>
      <w:r w:rsidRPr="004243C6">
        <w:t>, 3(1): 45-73.</w:t>
      </w:r>
    </w:p>
    <w:p w14:paraId="69D101B0" w14:textId="1BFEE3D3" w:rsidR="003A7DE7" w:rsidRPr="004243C6" w:rsidRDefault="003A7DE7" w:rsidP="003A7DE7">
      <w:pPr>
        <w:pStyle w:val="EndNoteBibliography"/>
        <w:spacing w:after="0"/>
        <w:ind w:left="720" w:hanging="720"/>
      </w:pPr>
      <w:r w:rsidRPr="004243C6">
        <w:t xml:space="preserve">Augustin, R., Hayward, B. J., &amp; Longbottom, J. L. </w:t>
      </w:r>
      <w:r w:rsidR="00FC0D35" w:rsidRPr="004243C6">
        <w:t>(</w:t>
      </w:r>
      <w:r w:rsidRPr="004243C6">
        <w:t>1960</w:t>
      </w:r>
      <w:r w:rsidR="00FC0D35" w:rsidRPr="004243C6">
        <w:t>)</w:t>
      </w:r>
      <w:r w:rsidRPr="004243C6">
        <w:t xml:space="preserve">. Isolation and physico-chemical characterization of reagins, blocking antibodies and precipitins to grass pollens. </w:t>
      </w:r>
      <w:r w:rsidRPr="004243C6">
        <w:rPr>
          <w:i/>
        </w:rPr>
        <w:t>Clinical and Experimental Allergy (Copenhagen)</w:t>
      </w:r>
      <w:r w:rsidRPr="004243C6">
        <w:t>, 7: 31-37.</w:t>
      </w:r>
    </w:p>
    <w:p w14:paraId="123AB307" w14:textId="3588C7FF" w:rsidR="003A7DE7" w:rsidRPr="004243C6" w:rsidRDefault="003A7DE7" w:rsidP="003A7DE7">
      <w:pPr>
        <w:pStyle w:val="EndNoteBibliography"/>
        <w:spacing w:after="0"/>
        <w:ind w:left="720" w:hanging="720"/>
      </w:pPr>
      <w:r w:rsidRPr="004243C6">
        <w:t xml:space="preserve">Barceloux, D. G. </w:t>
      </w:r>
      <w:r w:rsidR="00FC0D35" w:rsidRPr="004243C6">
        <w:t>(</w:t>
      </w:r>
      <w:r w:rsidRPr="004243C6">
        <w:t>1999</w:t>
      </w:r>
      <w:r w:rsidR="00FC0D35" w:rsidRPr="004243C6">
        <w:t>)</w:t>
      </w:r>
      <w:r w:rsidRPr="004243C6">
        <w:t xml:space="preserve">. Nickel. </w:t>
      </w:r>
      <w:r w:rsidRPr="004243C6">
        <w:rPr>
          <w:i/>
        </w:rPr>
        <w:t>J</w:t>
      </w:r>
      <w:r w:rsidR="00FC0D35" w:rsidRPr="004243C6">
        <w:rPr>
          <w:i/>
        </w:rPr>
        <w:t>ournal of</w:t>
      </w:r>
      <w:r w:rsidRPr="004243C6">
        <w:rPr>
          <w:i/>
        </w:rPr>
        <w:t xml:space="preserve"> Toxicol</w:t>
      </w:r>
      <w:r w:rsidR="00FC0D35" w:rsidRPr="004243C6">
        <w:rPr>
          <w:i/>
        </w:rPr>
        <w:t>ogy.</w:t>
      </w:r>
      <w:r w:rsidRPr="004243C6">
        <w:rPr>
          <w:i/>
        </w:rPr>
        <w:t xml:space="preserve"> Clin</w:t>
      </w:r>
      <w:r w:rsidR="00FC0D35" w:rsidRPr="004243C6">
        <w:rPr>
          <w:i/>
        </w:rPr>
        <w:t>ical</w:t>
      </w:r>
      <w:r w:rsidRPr="004243C6">
        <w:rPr>
          <w:i/>
        </w:rPr>
        <w:t xml:space="preserve"> Toxicol</w:t>
      </w:r>
      <w:r w:rsidR="00FC0D35" w:rsidRPr="004243C6">
        <w:rPr>
          <w:i/>
        </w:rPr>
        <w:t>ogy</w:t>
      </w:r>
      <w:r w:rsidRPr="004243C6">
        <w:t>, 37(2): 239-258.</w:t>
      </w:r>
    </w:p>
    <w:p w14:paraId="70F2D135" w14:textId="0E7A9C10" w:rsidR="003A7DE7" w:rsidRPr="004243C6" w:rsidRDefault="003A7DE7" w:rsidP="003A7DE7">
      <w:pPr>
        <w:pStyle w:val="EndNoteBibliography"/>
        <w:spacing w:after="0"/>
        <w:ind w:left="720" w:hanging="720"/>
      </w:pPr>
      <w:r w:rsidRPr="004243C6">
        <w:t xml:space="preserve">Bradford, M. M. </w:t>
      </w:r>
      <w:r w:rsidR="00FC0D35" w:rsidRPr="004243C6">
        <w:t>(</w:t>
      </w:r>
      <w:r w:rsidRPr="004243C6">
        <w:t>1976</w:t>
      </w:r>
      <w:r w:rsidR="00FC0D35" w:rsidRPr="004243C6">
        <w:t>)</w:t>
      </w:r>
      <w:r w:rsidRPr="004243C6">
        <w:t xml:space="preserve">. A rapid and sensitive method for the quantitation of microgram quantities of protein utilizing the principle of protein-dye binding. </w:t>
      </w:r>
      <w:r w:rsidR="00FC0D35" w:rsidRPr="004243C6">
        <w:rPr>
          <w:i/>
        </w:rPr>
        <w:t>Analitical Biochemical</w:t>
      </w:r>
      <w:r w:rsidRPr="004243C6">
        <w:t>, 72: 248-254.</w:t>
      </w:r>
    </w:p>
    <w:p w14:paraId="2E50CAE7" w14:textId="7624A942" w:rsidR="003A7DE7" w:rsidRPr="004243C6" w:rsidRDefault="003A7DE7" w:rsidP="003A7DE7">
      <w:pPr>
        <w:pStyle w:val="EndNoteBibliography"/>
        <w:spacing w:after="0"/>
        <w:ind w:left="720" w:hanging="720"/>
        <w:rPr>
          <w:lang w:val="pt-BR"/>
        </w:rPr>
      </w:pPr>
      <w:r w:rsidRPr="004243C6">
        <w:t xml:space="preserve">Čelakovská, J., Čermákova, E., Andrýs, C., Boudkova, P., &amp; Krejsek, J. </w:t>
      </w:r>
      <w:r w:rsidR="00FC0D35" w:rsidRPr="004243C6">
        <w:t>(</w:t>
      </w:r>
      <w:r w:rsidRPr="004243C6">
        <w:t>2024</w:t>
      </w:r>
      <w:r w:rsidR="00FC0D35" w:rsidRPr="004243C6">
        <w:t>)</w:t>
      </w:r>
      <w:r w:rsidRPr="004243C6">
        <w:t xml:space="preserve">. Sensitization to latex and food allergens in atopic dermatitis patients according to ALEX2 Allergy Xplorer test. </w:t>
      </w:r>
      <w:r w:rsidRPr="004243C6">
        <w:rPr>
          <w:i/>
          <w:lang w:val="pt-BR"/>
        </w:rPr>
        <w:t>Molecular Immunology</w:t>
      </w:r>
      <w:r w:rsidRPr="004243C6">
        <w:rPr>
          <w:lang w:val="pt-BR"/>
        </w:rPr>
        <w:t>, 175: 89-102.</w:t>
      </w:r>
    </w:p>
    <w:p w14:paraId="6C84C214" w14:textId="0D94D679" w:rsidR="003A7DE7" w:rsidRPr="004243C6" w:rsidRDefault="003A7DE7" w:rsidP="003A7DE7">
      <w:pPr>
        <w:pStyle w:val="EndNoteBibliography"/>
        <w:spacing w:after="0"/>
        <w:ind w:left="720" w:hanging="720"/>
      </w:pPr>
      <w:r w:rsidRPr="004243C6">
        <w:rPr>
          <w:lang w:val="pt-BR"/>
        </w:rPr>
        <w:t xml:space="preserve">Chiarentin, L., Gonçalves, C., Augusto, C., Miranda, M., Cardoso, C., &amp; Vitorino, C. </w:t>
      </w:r>
      <w:r w:rsidR="00FC0D35" w:rsidRPr="004243C6">
        <w:rPr>
          <w:lang w:val="pt-BR"/>
        </w:rPr>
        <w:t>(</w:t>
      </w:r>
      <w:r w:rsidRPr="004243C6">
        <w:rPr>
          <w:lang w:val="pt-BR"/>
        </w:rPr>
        <w:t>2023</w:t>
      </w:r>
      <w:r w:rsidR="00FC0D35" w:rsidRPr="004243C6">
        <w:rPr>
          <w:lang w:val="pt-BR"/>
        </w:rPr>
        <w:t>)</w:t>
      </w:r>
      <w:r w:rsidRPr="004243C6">
        <w:rPr>
          <w:lang w:val="pt-BR"/>
        </w:rPr>
        <w:t xml:space="preserve">. </w:t>
      </w:r>
      <w:r w:rsidRPr="004243C6">
        <w:t xml:space="preserve">Drilling into "Quality by Design" Approach for Analytical Methods. </w:t>
      </w:r>
      <w:r w:rsidR="00FC0D35" w:rsidRPr="004243C6">
        <w:rPr>
          <w:i/>
        </w:rPr>
        <w:t>Critical Reviews in Analytical Chemistry</w:t>
      </w:r>
      <w:r w:rsidRPr="004243C6">
        <w:t>: 1-42.</w:t>
      </w:r>
    </w:p>
    <w:p w14:paraId="3C166204" w14:textId="41E2374D" w:rsidR="003A7DE7" w:rsidRPr="004243C6" w:rsidRDefault="003A7DE7" w:rsidP="003A7DE7">
      <w:pPr>
        <w:pStyle w:val="EndNoteBibliography"/>
        <w:spacing w:after="0"/>
        <w:ind w:left="720" w:hanging="720"/>
      </w:pPr>
      <w:r w:rsidRPr="004243C6">
        <w:t xml:space="preserve">Coca, A. F. </w:t>
      </w:r>
      <w:r w:rsidR="00FC0D35" w:rsidRPr="004243C6">
        <w:t>(</w:t>
      </w:r>
      <w:r w:rsidRPr="004243C6">
        <w:t>1922</w:t>
      </w:r>
      <w:r w:rsidR="00FC0D35" w:rsidRPr="004243C6">
        <w:t>)</w:t>
      </w:r>
      <w:r w:rsidRPr="004243C6">
        <w:t xml:space="preserve">. Studies in Specific Hypersensitiveness V. The Preparation of Fluid Extracts and Solutions for Use in the Diagnosis and Treatment of the Allergies with Notes on the Collection of Pollens. </w:t>
      </w:r>
      <w:r w:rsidRPr="004243C6">
        <w:rPr>
          <w:i/>
        </w:rPr>
        <w:t>The Journal of Immunology</w:t>
      </w:r>
      <w:r w:rsidRPr="004243C6">
        <w:t>, 7(2): 163-178.</w:t>
      </w:r>
    </w:p>
    <w:p w14:paraId="41BB0AE5" w14:textId="2584278D" w:rsidR="003A7DE7" w:rsidRPr="004243C6" w:rsidRDefault="003A7DE7" w:rsidP="003A7DE7">
      <w:pPr>
        <w:pStyle w:val="EndNoteBibliography"/>
        <w:spacing w:after="0"/>
        <w:ind w:left="720" w:hanging="720"/>
      </w:pPr>
      <w:r w:rsidRPr="00444990">
        <w:t xml:space="preserve">Cubadda, F., Iacoponi, F., Ferraris, F., D'Amato, M., Aureli, F., Raggi, A., </w:t>
      </w:r>
      <w:r w:rsidR="00AF20A2" w:rsidRPr="00444990">
        <w:t>et al.</w:t>
      </w:r>
      <w:r w:rsidRPr="00444990">
        <w:t xml:space="preserve"> </w:t>
      </w:r>
      <w:r w:rsidR="00FC0D35" w:rsidRPr="00444990">
        <w:t>(</w:t>
      </w:r>
      <w:r w:rsidRPr="00444990">
        <w:t>2020</w:t>
      </w:r>
      <w:r w:rsidR="00FC0D35" w:rsidRPr="00444990">
        <w:t>)</w:t>
      </w:r>
      <w:r w:rsidRPr="00444990">
        <w:t xml:space="preserve">. </w:t>
      </w:r>
      <w:r w:rsidRPr="004243C6">
        <w:t xml:space="preserve">Dietary exposure of the Italian population to nickel: The national Total Diet Study. </w:t>
      </w:r>
      <w:r w:rsidRPr="004243C6">
        <w:rPr>
          <w:i/>
        </w:rPr>
        <w:t xml:space="preserve">Food and Chemical </w:t>
      </w:r>
      <w:r w:rsidR="00555300" w:rsidRPr="004243C6">
        <w:rPr>
          <w:i/>
        </w:rPr>
        <w:t>T</w:t>
      </w:r>
      <w:r w:rsidRPr="004243C6">
        <w:rPr>
          <w:i/>
        </w:rPr>
        <w:t>oxicology</w:t>
      </w:r>
      <w:r w:rsidRPr="004243C6">
        <w:t>, 146: 111813.</w:t>
      </w:r>
    </w:p>
    <w:p w14:paraId="3F9DCC0F" w14:textId="56713347" w:rsidR="003A7DE7" w:rsidRPr="004243C6" w:rsidRDefault="003A7DE7" w:rsidP="003A7DE7">
      <w:pPr>
        <w:pStyle w:val="EndNoteBibliography"/>
        <w:spacing w:after="0"/>
        <w:ind w:left="720" w:hanging="720"/>
      </w:pPr>
      <w:r w:rsidRPr="004243C6">
        <w:t xml:space="preserve">Cunningham-Rundles, C., Brandeis, W. E., Good, R. A., &amp; Day, N. K. </w:t>
      </w:r>
      <w:r w:rsidR="003917DD" w:rsidRPr="004243C6">
        <w:t>(</w:t>
      </w:r>
      <w:r w:rsidRPr="004243C6">
        <w:t>1978</w:t>
      </w:r>
      <w:r w:rsidR="003917DD" w:rsidRPr="004243C6">
        <w:t>)</w:t>
      </w:r>
      <w:r w:rsidRPr="004243C6">
        <w:t xml:space="preserve">. Milk precipitins, circulating immune complexes, and IgA deficiency. </w:t>
      </w:r>
      <w:r w:rsidRPr="004243C6">
        <w:rPr>
          <w:i/>
        </w:rPr>
        <w:t xml:space="preserve">Proceedings of the National Academy </w:t>
      </w:r>
      <w:r w:rsidRPr="004243C6">
        <w:rPr>
          <w:i/>
        </w:rPr>
        <w:lastRenderedPageBreak/>
        <w:t>of Sciences of the United States of America</w:t>
      </w:r>
      <w:r w:rsidRPr="004243C6">
        <w:t>, 75(7): 3387-3389.</w:t>
      </w:r>
    </w:p>
    <w:p w14:paraId="23AA1F43" w14:textId="03086B7F" w:rsidR="003A7DE7" w:rsidRPr="004243C6" w:rsidRDefault="003A7DE7" w:rsidP="003A7DE7">
      <w:pPr>
        <w:pStyle w:val="EndNoteBibliography"/>
        <w:spacing w:after="0"/>
        <w:ind w:left="720" w:hanging="720"/>
      </w:pPr>
      <w:r w:rsidRPr="004243C6">
        <w:t xml:space="preserve">Filatova, D., &amp; Cherpak, C. </w:t>
      </w:r>
      <w:r w:rsidR="003917DD" w:rsidRPr="004243C6">
        <w:t>(</w:t>
      </w:r>
      <w:r w:rsidRPr="004243C6">
        <w:t>2020</w:t>
      </w:r>
      <w:r w:rsidR="003917DD" w:rsidRPr="004243C6">
        <w:t>)</w:t>
      </w:r>
      <w:r w:rsidRPr="004243C6">
        <w:t xml:space="preserve">. Mechanisms of Nickel-Induced Cell Damage in Allergic Contact Dermatitis and Nutritional Intervention Strategies. </w:t>
      </w:r>
      <w:r w:rsidRPr="004243C6">
        <w:rPr>
          <w:i/>
        </w:rPr>
        <w:t>Endocr</w:t>
      </w:r>
      <w:r w:rsidR="003917DD" w:rsidRPr="004243C6">
        <w:rPr>
          <w:i/>
        </w:rPr>
        <w:t>ine</w:t>
      </w:r>
      <w:r w:rsidRPr="004243C6">
        <w:rPr>
          <w:i/>
        </w:rPr>
        <w:t xml:space="preserve"> Metab</w:t>
      </w:r>
      <w:r w:rsidR="003917DD" w:rsidRPr="004243C6">
        <w:rPr>
          <w:i/>
        </w:rPr>
        <w:t>olic</w:t>
      </w:r>
      <w:r w:rsidRPr="004243C6">
        <w:rPr>
          <w:i/>
        </w:rPr>
        <w:t xml:space="preserve"> </w:t>
      </w:r>
      <w:r w:rsidR="003917DD" w:rsidRPr="004243C6">
        <w:rPr>
          <w:i/>
        </w:rPr>
        <w:t xml:space="preserve">&amp; </w:t>
      </w:r>
      <w:r w:rsidRPr="004243C6">
        <w:rPr>
          <w:i/>
        </w:rPr>
        <w:t>Immune Disord</w:t>
      </w:r>
      <w:r w:rsidR="003917DD" w:rsidRPr="004243C6">
        <w:rPr>
          <w:i/>
        </w:rPr>
        <w:t>ers</w:t>
      </w:r>
      <w:r w:rsidRPr="004243C6">
        <w:rPr>
          <w:i/>
        </w:rPr>
        <w:t xml:space="preserve"> Drug Targets</w:t>
      </w:r>
      <w:r w:rsidRPr="004243C6">
        <w:t>, 20(7): 1010-1014.</w:t>
      </w:r>
    </w:p>
    <w:p w14:paraId="507E0F93" w14:textId="6B1B96C5" w:rsidR="003A7DE7" w:rsidRPr="004243C6" w:rsidRDefault="003A7DE7" w:rsidP="003A7DE7">
      <w:pPr>
        <w:pStyle w:val="EndNoteBibliography"/>
        <w:spacing w:after="0"/>
        <w:ind w:left="720" w:hanging="720"/>
      </w:pPr>
      <w:r w:rsidRPr="004243C6">
        <w:t>Fink, A., Heller, L., Eliraz, A., Weisman, Z., Miskin, A., Schlezinger,</w:t>
      </w:r>
      <w:r w:rsidR="003917DD" w:rsidRPr="004243C6">
        <w:t xml:space="preserve"> et al. (</w:t>
      </w:r>
      <w:r w:rsidRPr="004243C6">
        <w:t>1987</w:t>
      </w:r>
      <w:r w:rsidR="003917DD" w:rsidRPr="004243C6">
        <w:t>)</w:t>
      </w:r>
      <w:r w:rsidRPr="004243C6">
        <w:t xml:space="preserve">. Allergen-specific leukocyte adherence inhibition (LAI) assay: sensitivity, specificity and mechanism. </w:t>
      </w:r>
      <w:r w:rsidRPr="004243C6">
        <w:rPr>
          <w:i/>
        </w:rPr>
        <w:t>Immunol</w:t>
      </w:r>
      <w:r w:rsidR="003917DD" w:rsidRPr="004243C6">
        <w:rPr>
          <w:i/>
        </w:rPr>
        <w:t xml:space="preserve">ogy </w:t>
      </w:r>
      <w:r w:rsidRPr="004243C6">
        <w:rPr>
          <w:i/>
        </w:rPr>
        <w:t>Lett</w:t>
      </w:r>
      <w:r w:rsidR="003917DD" w:rsidRPr="004243C6">
        <w:rPr>
          <w:i/>
        </w:rPr>
        <w:t>ers</w:t>
      </w:r>
      <w:r w:rsidRPr="004243C6">
        <w:t>, 16(1): 65-70.</w:t>
      </w:r>
    </w:p>
    <w:p w14:paraId="0F286A20" w14:textId="57CB2CA7" w:rsidR="003A7DE7" w:rsidRPr="004243C6" w:rsidRDefault="003A7DE7" w:rsidP="003A7DE7">
      <w:pPr>
        <w:pStyle w:val="EndNoteBibliography"/>
        <w:spacing w:after="0"/>
        <w:ind w:left="720" w:hanging="720"/>
      </w:pPr>
      <w:r w:rsidRPr="004243C6">
        <w:t xml:space="preserve">Frimpong, E., Ankapong, E., Boakye, K. O., Ansah, E., Gyamfi, O., Barnes, B., </w:t>
      </w:r>
      <w:r w:rsidR="00D102A0" w:rsidRPr="004243C6">
        <w:t>et al. (</w:t>
      </w:r>
      <w:r w:rsidRPr="004243C6">
        <w:t>2024</w:t>
      </w:r>
      <w:r w:rsidR="00D102A0" w:rsidRPr="004243C6">
        <w:t>)</w:t>
      </w:r>
      <w:r w:rsidRPr="004243C6">
        <w:t xml:space="preserve">. Uptake and in-vitro bioaccessibility of toxic metals in cocoa beans: Human health risks. </w:t>
      </w:r>
      <w:r w:rsidRPr="004243C6">
        <w:rPr>
          <w:i/>
        </w:rPr>
        <w:t>Environmental Geochemistry and Health</w:t>
      </w:r>
      <w:r w:rsidRPr="004243C6">
        <w:t>, 47(2): 33.</w:t>
      </w:r>
    </w:p>
    <w:p w14:paraId="1C7BFA6F" w14:textId="5C5A53E9" w:rsidR="003A7DE7" w:rsidRPr="004243C6" w:rsidRDefault="003A7DE7" w:rsidP="003A7DE7">
      <w:pPr>
        <w:pStyle w:val="EndNoteBibliography"/>
        <w:spacing w:after="0"/>
        <w:ind w:left="720" w:hanging="720"/>
      </w:pPr>
      <w:r w:rsidRPr="004243C6">
        <w:t xml:space="preserve">Gell, P. G. H., Harington, C. R., &amp; Rivers, R. P. </w:t>
      </w:r>
      <w:r w:rsidR="00D102A0" w:rsidRPr="004243C6">
        <w:t>(</w:t>
      </w:r>
      <w:r w:rsidRPr="004243C6">
        <w:t>1946</w:t>
      </w:r>
      <w:r w:rsidR="00D102A0" w:rsidRPr="004243C6">
        <w:t>)</w:t>
      </w:r>
      <w:r w:rsidRPr="004243C6">
        <w:t xml:space="preserve">. The antigenic function of simple chemical compounds; production of precipitins in rabbits. </w:t>
      </w:r>
      <w:r w:rsidRPr="004243C6">
        <w:rPr>
          <w:i/>
        </w:rPr>
        <w:t>British Journal of Experimental Pathology</w:t>
      </w:r>
      <w:r w:rsidRPr="004243C6">
        <w:t>, 27(5): 267-286.</w:t>
      </w:r>
    </w:p>
    <w:p w14:paraId="5B433FA0" w14:textId="4F7E5099" w:rsidR="003A7DE7" w:rsidRPr="004243C6" w:rsidRDefault="003A7DE7" w:rsidP="003A7DE7">
      <w:pPr>
        <w:pStyle w:val="EndNoteBibliography"/>
        <w:spacing w:after="0"/>
        <w:ind w:left="720" w:hanging="720"/>
        <w:rPr>
          <w:lang w:val="pt-BR"/>
        </w:rPr>
      </w:pPr>
      <w:r w:rsidRPr="004243C6">
        <w:t xml:space="preserve">Gosset-Student, W. S. </w:t>
      </w:r>
      <w:r w:rsidR="00D102A0" w:rsidRPr="004243C6">
        <w:t>(</w:t>
      </w:r>
      <w:r w:rsidRPr="004243C6">
        <w:t>1908</w:t>
      </w:r>
      <w:r w:rsidR="00D102A0" w:rsidRPr="004243C6">
        <w:t>)</w:t>
      </w:r>
      <w:r w:rsidRPr="004243C6">
        <w:t xml:space="preserve">. The probable error of a mean. </w:t>
      </w:r>
      <w:r w:rsidRPr="004243C6">
        <w:rPr>
          <w:i/>
          <w:lang w:val="pt-BR"/>
        </w:rPr>
        <w:t>Biometrika</w:t>
      </w:r>
      <w:r w:rsidRPr="004243C6">
        <w:rPr>
          <w:lang w:val="pt-BR"/>
        </w:rPr>
        <w:t>, 6(1): 1-25.</w:t>
      </w:r>
    </w:p>
    <w:p w14:paraId="3DECCC05" w14:textId="6B2337B3" w:rsidR="003A7DE7" w:rsidRPr="004243C6" w:rsidRDefault="003A7DE7" w:rsidP="003A7DE7">
      <w:pPr>
        <w:pStyle w:val="EndNoteBibliography"/>
        <w:spacing w:after="0"/>
        <w:ind w:left="720" w:hanging="720"/>
      </w:pPr>
      <w:r w:rsidRPr="004243C6">
        <w:rPr>
          <w:lang w:val="pt-BR"/>
        </w:rPr>
        <w:t>Greco, N., Pisano, A., Mezzatesta, L., Pettinelli, M., Meacci, A., Pignataro, M. G.,</w:t>
      </w:r>
      <w:r w:rsidR="00D102A0" w:rsidRPr="004243C6">
        <w:rPr>
          <w:lang w:val="pt-BR"/>
        </w:rPr>
        <w:t xml:space="preserve"> et al.</w:t>
      </w:r>
      <w:r w:rsidRPr="004243C6">
        <w:rPr>
          <w:lang w:val="pt-BR"/>
        </w:rPr>
        <w:t xml:space="preserve"> </w:t>
      </w:r>
      <w:r w:rsidR="00D102A0" w:rsidRPr="004243C6">
        <w:t>(</w:t>
      </w:r>
      <w:r w:rsidRPr="004243C6">
        <w:t>2023</w:t>
      </w:r>
      <w:r w:rsidR="00D102A0" w:rsidRPr="004243C6">
        <w:t>)</w:t>
      </w:r>
      <w:r w:rsidRPr="004243C6">
        <w:t>. New Insights and Evidence on "Food Intolerances": Non-Celiac Gluten Sensitivity and Nickel Allergic Contact Mucositis</w:t>
      </w:r>
      <w:r w:rsidR="00D102A0" w:rsidRPr="004243C6">
        <w:t>. Nutrients,</w:t>
      </w:r>
      <w:r w:rsidRPr="004243C6">
        <w:t xml:space="preserve"> 15(10): 2353.</w:t>
      </w:r>
    </w:p>
    <w:p w14:paraId="405BAF10" w14:textId="454D794B" w:rsidR="003A7DE7" w:rsidRPr="004243C6" w:rsidRDefault="003A7DE7" w:rsidP="003A7DE7">
      <w:pPr>
        <w:pStyle w:val="EndNoteBibliography"/>
        <w:spacing w:after="0"/>
        <w:ind w:left="720" w:hanging="720"/>
      </w:pPr>
      <w:r w:rsidRPr="004243C6">
        <w:t xml:space="preserve">Halliday, W. J., Maluish, A., &amp; Miller, S. </w:t>
      </w:r>
      <w:r w:rsidR="007B3CEE" w:rsidRPr="004243C6">
        <w:t>(</w:t>
      </w:r>
      <w:r w:rsidRPr="004243C6">
        <w:t>1974</w:t>
      </w:r>
      <w:r w:rsidR="007B3CEE" w:rsidRPr="004243C6">
        <w:t>)</w:t>
      </w:r>
      <w:r w:rsidRPr="004243C6">
        <w:t xml:space="preserve">. Blocking and unblocking of cell-mediated anti-tumor immunity in mice, as detected by the leucocyte adherence inhibition test. </w:t>
      </w:r>
      <w:r w:rsidRPr="004243C6">
        <w:rPr>
          <w:i/>
        </w:rPr>
        <w:t>Cellular Immunology</w:t>
      </w:r>
      <w:r w:rsidRPr="004243C6">
        <w:t>, 10(3): 467-475.</w:t>
      </w:r>
    </w:p>
    <w:p w14:paraId="1857CB16" w14:textId="37164944" w:rsidR="003A7DE7" w:rsidRPr="004243C6" w:rsidRDefault="003A7DE7" w:rsidP="003A7DE7">
      <w:pPr>
        <w:pStyle w:val="EndNoteBibliography"/>
        <w:spacing w:after="0"/>
        <w:ind w:left="720" w:hanging="720"/>
      </w:pPr>
      <w:r w:rsidRPr="004243C6">
        <w:t xml:space="preserve">Henrickson, S. E. </w:t>
      </w:r>
      <w:r w:rsidR="007B3CEE" w:rsidRPr="004243C6">
        <w:t>(</w:t>
      </w:r>
      <w:r w:rsidRPr="004243C6">
        <w:t>2025</w:t>
      </w:r>
      <w:r w:rsidR="007B3CEE" w:rsidRPr="004243C6">
        <w:t>)</w:t>
      </w:r>
      <w:r w:rsidRPr="004243C6">
        <w:t xml:space="preserve">. Evolution of the concept of immune dysregulation and current classification. </w:t>
      </w:r>
      <w:r w:rsidRPr="004243C6">
        <w:rPr>
          <w:i/>
        </w:rPr>
        <w:t>Journal of Allergy and Clinical Immunology</w:t>
      </w:r>
      <w:r w:rsidRPr="004243C6">
        <w:t>, 155(1): 89-91.</w:t>
      </w:r>
    </w:p>
    <w:p w14:paraId="7B16CF66" w14:textId="0866846C" w:rsidR="003A7DE7" w:rsidRPr="004243C6" w:rsidRDefault="003A7DE7" w:rsidP="003A7DE7">
      <w:pPr>
        <w:pStyle w:val="EndNoteBibliography"/>
        <w:spacing w:after="0"/>
        <w:ind w:left="720" w:hanging="720"/>
      </w:pPr>
      <w:r w:rsidRPr="004243C6">
        <w:t xml:space="preserve">Isufi, D., Jensen, M. B., Kursawe Larsen, C., Alinaghi, F., Schwensen, J. F. B., &amp; Johansen, J. D. </w:t>
      </w:r>
      <w:r w:rsidR="007B3CEE" w:rsidRPr="004243C6">
        <w:t>(</w:t>
      </w:r>
      <w:r w:rsidRPr="004243C6">
        <w:t>2025</w:t>
      </w:r>
      <w:r w:rsidR="007B3CEE" w:rsidRPr="004243C6">
        <w:t>)</w:t>
      </w:r>
      <w:r w:rsidRPr="004243C6">
        <w:t xml:space="preserve">. Allergens Responsible for Contact Allergy in Children From 2010 to 2024: A Systematic Review and Meta-Analysis. </w:t>
      </w:r>
      <w:r w:rsidRPr="004243C6">
        <w:rPr>
          <w:i/>
        </w:rPr>
        <w:t>Contact Dermatitis</w:t>
      </w:r>
      <w:r w:rsidRPr="004243C6">
        <w:t>.</w:t>
      </w:r>
    </w:p>
    <w:p w14:paraId="351F760A" w14:textId="4C14DD0E" w:rsidR="003A7DE7" w:rsidRPr="004243C6" w:rsidRDefault="003A7DE7" w:rsidP="003A7DE7">
      <w:pPr>
        <w:pStyle w:val="EndNoteBibliography"/>
        <w:spacing w:after="0"/>
        <w:ind w:left="720" w:hanging="720"/>
      </w:pPr>
      <w:r w:rsidRPr="004243C6">
        <w:t xml:space="preserve">Kang, H., Lee, C. H., Kim, J. R., Kwon, J. Y., Son, M. J., Kim, J. E., </w:t>
      </w:r>
      <w:r w:rsidR="007B3CEE" w:rsidRPr="004243C6">
        <w:t>et al.</w:t>
      </w:r>
      <w:r w:rsidRPr="004243C6">
        <w:t xml:space="preserve"> </w:t>
      </w:r>
      <w:r w:rsidR="007B3CEE" w:rsidRPr="004243C6">
        <w:t>(</w:t>
      </w:r>
      <w:r w:rsidRPr="004243C6">
        <w:t>2017</w:t>
      </w:r>
      <w:r w:rsidR="007B3CEE" w:rsidRPr="004243C6">
        <w:t>)</w:t>
      </w:r>
      <w:r w:rsidRPr="004243C6">
        <w:t xml:space="preserve">. Theobroma cacao extract attenuates the development of Dermatophagoides farinae-induced atopic dermatitis-like symptoms in NC/Nga mice. </w:t>
      </w:r>
      <w:r w:rsidRPr="004243C6">
        <w:rPr>
          <w:i/>
        </w:rPr>
        <w:t xml:space="preserve">Food </w:t>
      </w:r>
      <w:r w:rsidR="00555300" w:rsidRPr="004243C6">
        <w:rPr>
          <w:i/>
        </w:rPr>
        <w:t>C</w:t>
      </w:r>
      <w:r w:rsidRPr="004243C6">
        <w:rPr>
          <w:i/>
        </w:rPr>
        <w:t>hemistry</w:t>
      </w:r>
      <w:r w:rsidRPr="004243C6">
        <w:t>, 216: 19-26.</w:t>
      </w:r>
    </w:p>
    <w:p w14:paraId="13002C63" w14:textId="7E267FDC" w:rsidR="003A7DE7" w:rsidRPr="004243C6" w:rsidRDefault="003A7DE7" w:rsidP="003A7DE7">
      <w:pPr>
        <w:pStyle w:val="EndNoteBibliography"/>
        <w:spacing w:after="0"/>
        <w:ind w:left="720" w:hanging="720"/>
      </w:pPr>
      <w:r w:rsidRPr="004243C6">
        <w:t xml:space="preserve">Khan, M. M. </w:t>
      </w:r>
      <w:r w:rsidR="007B3CEE" w:rsidRPr="004243C6">
        <w:t>(</w:t>
      </w:r>
      <w:r w:rsidRPr="004243C6">
        <w:t>2016</w:t>
      </w:r>
      <w:r w:rsidR="007B3CEE" w:rsidRPr="004243C6">
        <w:t>)</w:t>
      </w:r>
      <w:r w:rsidRPr="004243C6">
        <w:t xml:space="preserve">. Allergic Disease. In M. M. Khan (Ed.), </w:t>
      </w:r>
      <w:r w:rsidRPr="004243C6">
        <w:rPr>
          <w:i/>
        </w:rPr>
        <w:t>Immunopharmacology</w:t>
      </w:r>
      <w:r w:rsidRPr="004243C6">
        <w:t>: 197-225. Cham: Springer International Publishing.</w:t>
      </w:r>
    </w:p>
    <w:p w14:paraId="08B381C6" w14:textId="0E0C6007" w:rsidR="003A7DE7" w:rsidRPr="004243C6" w:rsidRDefault="003A7DE7" w:rsidP="003A7DE7">
      <w:pPr>
        <w:pStyle w:val="EndNoteBibliography"/>
        <w:spacing w:after="0"/>
        <w:ind w:left="720" w:hanging="720"/>
      </w:pPr>
      <w:r w:rsidRPr="004243C6">
        <w:t xml:space="preserve">Kuratsuji, T. </w:t>
      </w:r>
      <w:r w:rsidR="007B3CEE" w:rsidRPr="004243C6">
        <w:t>(</w:t>
      </w:r>
      <w:r w:rsidRPr="004243C6">
        <w:t>1981</w:t>
      </w:r>
      <w:r w:rsidR="007B3CEE" w:rsidRPr="004243C6">
        <w:t>)</w:t>
      </w:r>
      <w:r w:rsidRPr="004243C6">
        <w:t xml:space="preserve">. Studies on leukocyte adherence inhibition test. Part II. Clinical applications of LAI test to detect delayed type hypersensitivity in infants and children. </w:t>
      </w:r>
      <w:r w:rsidRPr="004243C6">
        <w:rPr>
          <w:i/>
        </w:rPr>
        <w:t>Keio J</w:t>
      </w:r>
      <w:r w:rsidR="007B3CEE" w:rsidRPr="004243C6">
        <w:rPr>
          <w:i/>
        </w:rPr>
        <w:t>ournal of</w:t>
      </w:r>
      <w:r w:rsidRPr="004243C6">
        <w:rPr>
          <w:i/>
        </w:rPr>
        <w:t xml:space="preserve"> Med</w:t>
      </w:r>
      <w:r w:rsidR="007B3CEE" w:rsidRPr="004243C6">
        <w:rPr>
          <w:i/>
        </w:rPr>
        <w:t>icine</w:t>
      </w:r>
      <w:r w:rsidRPr="004243C6">
        <w:t>, 30(2): 65-69.</w:t>
      </w:r>
    </w:p>
    <w:p w14:paraId="6986380F" w14:textId="55F08D13" w:rsidR="003A7DE7" w:rsidRPr="004243C6" w:rsidRDefault="003A7DE7" w:rsidP="003A7DE7">
      <w:pPr>
        <w:pStyle w:val="EndNoteBibliography"/>
        <w:spacing w:after="0"/>
        <w:ind w:left="720" w:hanging="720"/>
      </w:pPr>
      <w:r w:rsidRPr="004243C6">
        <w:t xml:space="preserve">Lopes, J. P., Kattan, J., Doppelt, A., Nowak-Węgrzyn, A., &amp; Bunyavanich, S. </w:t>
      </w:r>
      <w:r w:rsidR="007B3CEE" w:rsidRPr="004243C6">
        <w:t>(</w:t>
      </w:r>
      <w:r w:rsidRPr="004243C6">
        <w:t>2019</w:t>
      </w:r>
      <w:r w:rsidR="007B3CEE" w:rsidRPr="004243C6">
        <w:t>)</w:t>
      </w:r>
      <w:r w:rsidRPr="004243C6">
        <w:t xml:space="preserve">. Not so sweet: True chocolate and cocoa allergy. </w:t>
      </w:r>
      <w:r w:rsidRPr="004243C6">
        <w:rPr>
          <w:i/>
        </w:rPr>
        <w:t>The Journal of Allergy and Clinical Immunology: In Practice</w:t>
      </w:r>
      <w:r w:rsidRPr="004243C6">
        <w:t>, 7(8): 2868-2871.</w:t>
      </w:r>
    </w:p>
    <w:p w14:paraId="5D217AF4" w14:textId="0AD8F172" w:rsidR="003A7DE7" w:rsidRPr="00444990" w:rsidRDefault="003A7DE7" w:rsidP="003A7DE7">
      <w:pPr>
        <w:pStyle w:val="EndNoteBibliography"/>
        <w:spacing w:after="0"/>
        <w:ind w:left="720" w:hanging="720"/>
      </w:pPr>
      <w:r w:rsidRPr="004243C6">
        <w:rPr>
          <w:lang w:val="fr-FR"/>
        </w:rPr>
        <w:t xml:space="preserve">Macowan, M., Pattaroni, C., Bonner, K., Chatzis, R., Daunt, C., Gore, M., </w:t>
      </w:r>
      <w:r w:rsidR="007B3CEE" w:rsidRPr="004243C6">
        <w:rPr>
          <w:lang w:val="fr-FR"/>
        </w:rPr>
        <w:t>et al.</w:t>
      </w:r>
      <w:r w:rsidRPr="004243C6">
        <w:rPr>
          <w:lang w:val="fr-FR"/>
        </w:rPr>
        <w:t xml:space="preserve"> </w:t>
      </w:r>
      <w:r w:rsidR="007B3CEE" w:rsidRPr="004243C6">
        <w:t>(</w:t>
      </w:r>
      <w:r w:rsidRPr="004243C6">
        <w:t>2025</w:t>
      </w:r>
      <w:r w:rsidR="007B3CEE" w:rsidRPr="004243C6">
        <w:t>)</w:t>
      </w:r>
      <w:r w:rsidRPr="004243C6">
        <w:t xml:space="preserve">. Deep multiomic profiling reveals molecular signatures that underpin preschool wheeze and asthma. </w:t>
      </w:r>
      <w:r w:rsidRPr="00444990">
        <w:rPr>
          <w:i/>
        </w:rPr>
        <w:t>Journal of Allergy and Clinical Immunology</w:t>
      </w:r>
      <w:r w:rsidRPr="00444990">
        <w:t>, 155(1): 94-106.</w:t>
      </w:r>
    </w:p>
    <w:p w14:paraId="6876C4DF" w14:textId="66EE02E7" w:rsidR="003A7DE7" w:rsidRPr="004243C6" w:rsidRDefault="003A7DE7" w:rsidP="003A7DE7">
      <w:pPr>
        <w:pStyle w:val="EndNoteBibliography"/>
        <w:spacing w:after="0"/>
        <w:ind w:left="720" w:hanging="720"/>
      </w:pPr>
      <w:r w:rsidRPr="00444990">
        <w:t>Menezes, S. P., dos Santos, J. L., Cardoso, T. H. S., Pirovani, C. P., Micheli, F., Noronha, F. S. M.,</w:t>
      </w:r>
      <w:r w:rsidR="007B3CEE" w:rsidRPr="00444990">
        <w:t xml:space="preserve"> et al.</w:t>
      </w:r>
      <w:r w:rsidRPr="00444990">
        <w:t xml:space="preserve"> </w:t>
      </w:r>
      <w:r w:rsidR="007B3CEE" w:rsidRPr="00444990">
        <w:t>(</w:t>
      </w:r>
      <w:r w:rsidRPr="00444990">
        <w:t>2012</w:t>
      </w:r>
      <w:r w:rsidR="007B3CEE" w:rsidRPr="00444990">
        <w:t>)</w:t>
      </w:r>
      <w:r w:rsidRPr="00444990">
        <w:t xml:space="preserve">. </w:t>
      </w:r>
      <w:r w:rsidRPr="004243C6">
        <w:t xml:space="preserve">Evaluation of the Allergenicity Potential of TcPR-10 Protein from Theobroma cacao. </w:t>
      </w:r>
      <w:r w:rsidRPr="004243C6">
        <w:rPr>
          <w:i/>
        </w:rPr>
        <w:t>PLOS ONE</w:t>
      </w:r>
      <w:r w:rsidRPr="004243C6">
        <w:t>, 7(6): e37969.</w:t>
      </w:r>
    </w:p>
    <w:p w14:paraId="2F6B7DDF" w14:textId="5B5FE4D5" w:rsidR="003A7DE7" w:rsidRPr="004243C6" w:rsidRDefault="003A7DE7" w:rsidP="003A7DE7">
      <w:pPr>
        <w:pStyle w:val="EndNoteBibliography"/>
        <w:spacing w:after="0"/>
        <w:ind w:left="720" w:hanging="720"/>
      </w:pPr>
      <w:r w:rsidRPr="004243C6">
        <w:t xml:space="preserve">Mikajiri, R., Fukunaga, A., Miyoshi, M., Maeshige, N., Washio, K., Masaki, T., et-al. </w:t>
      </w:r>
      <w:r w:rsidR="007B3CEE" w:rsidRPr="004243C6">
        <w:t>(</w:t>
      </w:r>
      <w:r w:rsidRPr="004243C6">
        <w:t>2024</w:t>
      </w:r>
      <w:r w:rsidR="007B3CEE" w:rsidRPr="004243C6">
        <w:t>)</w:t>
      </w:r>
      <w:r w:rsidRPr="004243C6">
        <w:t xml:space="preserve">. Dietary Intervention for Control of Clinical Symptom in </w:t>
      </w:r>
      <w:r w:rsidRPr="004243C6">
        <w:lastRenderedPageBreak/>
        <w:t xml:space="preserve">Patients with Systemic Metal Allergy: A Single Center Randomized Controlled Clinical Study. </w:t>
      </w:r>
      <w:r w:rsidRPr="004243C6">
        <w:rPr>
          <w:i/>
        </w:rPr>
        <w:t>The Kobe Journal of Medical Sciences</w:t>
      </w:r>
      <w:r w:rsidRPr="004243C6">
        <w:t>, 69(4): E129-e143.</w:t>
      </w:r>
    </w:p>
    <w:p w14:paraId="49C8AC34" w14:textId="77777777" w:rsidR="003A7DE7" w:rsidRPr="004243C6" w:rsidRDefault="003A7DE7" w:rsidP="003A7DE7">
      <w:pPr>
        <w:pStyle w:val="EndNoteBibliography"/>
        <w:spacing w:after="0"/>
        <w:ind w:left="720" w:hanging="720"/>
      </w:pPr>
      <w:r w:rsidRPr="004243C6">
        <w:t xml:space="preserve">Morris, D. L. 1998. Intradermal testing and sublingual desensitization for nickel. </w:t>
      </w:r>
      <w:r w:rsidRPr="004243C6">
        <w:rPr>
          <w:i/>
        </w:rPr>
        <w:t>Cutis</w:t>
      </w:r>
      <w:r w:rsidRPr="004243C6">
        <w:t>, 61(3): 129-132.</w:t>
      </w:r>
    </w:p>
    <w:p w14:paraId="328318B7" w14:textId="44E44EA3" w:rsidR="003A7DE7" w:rsidRPr="004243C6" w:rsidRDefault="003A7DE7" w:rsidP="003A7DE7">
      <w:pPr>
        <w:pStyle w:val="EndNoteBibliography"/>
        <w:spacing w:after="0"/>
        <w:ind w:left="720" w:hanging="720"/>
      </w:pPr>
      <w:r w:rsidRPr="004243C6">
        <w:t xml:space="preserve">Mostafa, M. R., Mohamed, G. G., &amp; Fouad, O. A. </w:t>
      </w:r>
      <w:r w:rsidR="007B3CEE" w:rsidRPr="004243C6">
        <w:t>(</w:t>
      </w:r>
      <w:r w:rsidRPr="004243C6">
        <w:t>2024</w:t>
      </w:r>
      <w:r w:rsidR="007B3CEE" w:rsidRPr="004243C6">
        <w:t>)</w:t>
      </w:r>
      <w:r w:rsidRPr="004243C6">
        <w:t xml:space="preserve">. Electrochemical and statistical study of Nickel ion assessment in daily children intake samples relying on magnesium aluminate spinel nanoparticles. </w:t>
      </w:r>
      <w:r w:rsidRPr="004243C6">
        <w:rPr>
          <w:i/>
        </w:rPr>
        <w:t>Scientific reports</w:t>
      </w:r>
      <w:r w:rsidRPr="004243C6">
        <w:t>, 14(1): 16424.</w:t>
      </w:r>
    </w:p>
    <w:p w14:paraId="6A57E571" w14:textId="56F53404" w:rsidR="003A7DE7" w:rsidRPr="004243C6" w:rsidRDefault="003A7DE7" w:rsidP="003A7DE7">
      <w:pPr>
        <w:pStyle w:val="EndNoteBibliography"/>
        <w:spacing w:after="0"/>
        <w:ind w:left="720" w:hanging="720"/>
        <w:rPr>
          <w:lang w:val="pt-BR"/>
        </w:rPr>
      </w:pPr>
      <w:r w:rsidRPr="004243C6">
        <w:t xml:space="preserve">Nijhawan, R. I., Molenda, M., Zirwas, M. J., &amp; Jacob, S. E. </w:t>
      </w:r>
      <w:r w:rsidR="007B3CEE" w:rsidRPr="004243C6">
        <w:t>(</w:t>
      </w:r>
      <w:r w:rsidRPr="004243C6">
        <w:t>2009</w:t>
      </w:r>
      <w:r w:rsidR="007B3CEE" w:rsidRPr="004243C6">
        <w:t>)</w:t>
      </w:r>
      <w:r w:rsidRPr="004243C6">
        <w:t xml:space="preserve">. Systemic contact dermatitis. </w:t>
      </w:r>
      <w:r w:rsidRPr="004243C6">
        <w:rPr>
          <w:i/>
          <w:lang w:val="pt-BR"/>
        </w:rPr>
        <w:t>Dermatologic Clinics</w:t>
      </w:r>
      <w:r w:rsidRPr="004243C6">
        <w:rPr>
          <w:lang w:val="pt-BR"/>
        </w:rPr>
        <w:t>, 27(3): 355-364, vii.</w:t>
      </w:r>
    </w:p>
    <w:p w14:paraId="490A0C66" w14:textId="09219C79" w:rsidR="003A7DE7" w:rsidRPr="004243C6" w:rsidRDefault="003A7DE7" w:rsidP="003A7DE7">
      <w:pPr>
        <w:pStyle w:val="EndNoteBibliography"/>
        <w:spacing w:after="0"/>
        <w:ind w:left="720" w:hanging="720"/>
        <w:rPr>
          <w:lang w:val="pt-BR"/>
        </w:rPr>
      </w:pPr>
      <w:r w:rsidRPr="004243C6">
        <w:rPr>
          <w:lang w:val="pt-BR"/>
        </w:rPr>
        <w:t xml:space="preserve">Nin-Valencia, A., Retes, L. S., Bartolomé-Zavala, B., Perdomo-Gutiérrez, G., &amp; Bigorra, T. </w:t>
      </w:r>
      <w:r w:rsidR="007B3CEE" w:rsidRPr="004243C6">
        <w:rPr>
          <w:lang w:val="pt-BR"/>
        </w:rPr>
        <w:t>(</w:t>
      </w:r>
      <w:r w:rsidRPr="004243C6">
        <w:rPr>
          <w:lang w:val="pt-BR"/>
        </w:rPr>
        <w:t>2024</w:t>
      </w:r>
      <w:r w:rsidR="007B3CEE" w:rsidRPr="004243C6">
        <w:rPr>
          <w:lang w:val="pt-BR"/>
        </w:rPr>
        <w:t>)</w:t>
      </w:r>
      <w:r w:rsidRPr="004243C6">
        <w:rPr>
          <w:lang w:val="pt-BR"/>
        </w:rPr>
        <w:t xml:space="preserve">. Allergy to Theobroma Cacao. </w:t>
      </w:r>
      <w:r w:rsidRPr="004243C6">
        <w:rPr>
          <w:i/>
          <w:lang w:val="pt-BR"/>
        </w:rPr>
        <w:t>Clinical Case Reports</w:t>
      </w:r>
      <w:r w:rsidRPr="004243C6">
        <w:rPr>
          <w:lang w:val="pt-BR"/>
        </w:rPr>
        <w:t>, 12(6): e8803.</w:t>
      </w:r>
    </w:p>
    <w:p w14:paraId="218A718F" w14:textId="67701D27" w:rsidR="003A7DE7" w:rsidRPr="004243C6" w:rsidRDefault="003A7DE7" w:rsidP="003A7DE7">
      <w:pPr>
        <w:pStyle w:val="EndNoteBibliography"/>
        <w:spacing w:after="0"/>
        <w:ind w:left="720" w:hanging="720"/>
      </w:pPr>
      <w:r w:rsidRPr="004243C6">
        <w:rPr>
          <w:lang w:val="pt-BR"/>
        </w:rPr>
        <w:t xml:space="preserve">Olivier, C. E., Argentão, D. G. P., Santos, R. A. P. G., Silva, M. D., Lima, R. P. S., &amp; Zollner, R. L. </w:t>
      </w:r>
      <w:r w:rsidR="007B3CEE" w:rsidRPr="004243C6">
        <w:rPr>
          <w:lang w:val="pt-BR"/>
        </w:rPr>
        <w:t>(</w:t>
      </w:r>
      <w:r w:rsidRPr="004243C6">
        <w:rPr>
          <w:lang w:val="pt-BR"/>
        </w:rPr>
        <w:t>2013</w:t>
      </w:r>
      <w:r w:rsidR="007B3CEE" w:rsidRPr="004243C6">
        <w:rPr>
          <w:lang w:val="pt-BR"/>
        </w:rPr>
        <w:t>)</w:t>
      </w:r>
      <w:r w:rsidRPr="004243C6">
        <w:rPr>
          <w:lang w:val="pt-BR"/>
        </w:rPr>
        <w:t xml:space="preserve">. </w:t>
      </w:r>
      <w:r w:rsidRPr="004243C6">
        <w:t xml:space="preserve">Skin scrape test: an inexpensive and painless skin test for recognition of immediate hypersensitivity in children and adults. </w:t>
      </w:r>
      <w:r w:rsidRPr="004243C6">
        <w:rPr>
          <w:i/>
        </w:rPr>
        <w:t>The Open Allergy Journal</w:t>
      </w:r>
      <w:r w:rsidRPr="004243C6">
        <w:t>, 6: 9-17.</w:t>
      </w:r>
    </w:p>
    <w:p w14:paraId="57333FE2" w14:textId="573207B5" w:rsidR="003A7DE7" w:rsidRPr="004243C6" w:rsidRDefault="003A7DE7" w:rsidP="003A7DE7">
      <w:pPr>
        <w:pStyle w:val="EndNoteBibliography"/>
        <w:spacing w:after="0"/>
        <w:ind w:left="720" w:hanging="720"/>
      </w:pPr>
      <w:r w:rsidRPr="00444990">
        <w:t xml:space="preserve">Olivier, C. E., Lima, R. P. d. S., Pinto, D. G., &amp; Santos, R. A. P. G. d. </w:t>
      </w:r>
      <w:r w:rsidR="007B3CEE" w:rsidRPr="00444990">
        <w:t>(</w:t>
      </w:r>
      <w:r w:rsidRPr="00444990">
        <w:t>2021a</w:t>
      </w:r>
      <w:r w:rsidR="007B3CEE" w:rsidRPr="00444990">
        <w:t>)</w:t>
      </w:r>
      <w:r w:rsidRPr="00444990">
        <w:t xml:space="preserve">. </w:t>
      </w:r>
      <w:r w:rsidRPr="004243C6">
        <w:t xml:space="preserve">The Plasma Preincubation with Papain Before the Assay Suggests that a Gell and Coombs Type II Reaction is Been Demonstrated by the Leukocyte Adherence Inhibition Test. </w:t>
      </w:r>
      <w:r w:rsidRPr="004243C6">
        <w:rPr>
          <w:i/>
        </w:rPr>
        <w:t>Biomedical Journal of Scientific &amp; Technical Research</w:t>
      </w:r>
      <w:r w:rsidRPr="004243C6">
        <w:t>, 36(3): 28647 - 28655.</w:t>
      </w:r>
    </w:p>
    <w:p w14:paraId="64269F22" w14:textId="2A35A4E8" w:rsidR="003A7DE7" w:rsidRPr="004243C6" w:rsidRDefault="003A7DE7" w:rsidP="003A7DE7">
      <w:pPr>
        <w:pStyle w:val="EndNoteBibliography"/>
        <w:spacing w:after="0"/>
        <w:ind w:left="720" w:hanging="720"/>
        <w:rPr>
          <w:lang w:val="pt-BR"/>
        </w:rPr>
      </w:pPr>
      <w:r w:rsidRPr="00444990">
        <w:t xml:space="preserve">Olivier, C. E., Lima, R. P. S., Pinto, D. G., Santos, R. A. P. G., Silva, G. K. M., Lorena, S. L. S., </w:t>
      </w:r>
      <w:r w:rsidR="007B3CEE" w:rsidRPr="00444990">
        <w:t>et al.</w:t>
      </w:r>
      <w:r w:rsidRPr="00444990">
        <w:t xml:space="preserve"> </w:t>
      </w:r>
      <w:r w:rsidR="007B3CEE" w:rsidRPr="00444990">
        <w:t>(</w:t>
      </w:r>
      <w:r w:rsidRPr="00444990">
        <w:t>2012</w:t>
      </w:r>
      <w:r w:rsidR="007B3CEE" w:rsidRPr="00444990">
        <w:t>)</w:t>
      </w:r>
      <w:r w:rsidRPr="00444990">
        <w:t xml:space="preserve">. </w:t>
      </w:r>
      <w:r w:rsidRPr="004243C6">
        <w:t xml:space="preserve">In search of a tolerance-induction strategy for cow's milk allergies: significant reduction of beta-lactoglobulin allergenicity via transglutaminase/cysteine </w:t>
      </w:r>
      <w:r w:rsidRPr="004243C6">
        <w:t xml:space="preserve">polymerization. </w:t>
      </w:r>
      <w:r w:rsidRPr="004243C6">
        <w:rPr>
          <w:i/>
          <w:lang w:val="pt-BR"/>
        </w:rPr>
        <w:t>Clinics</w:t>
      </w:r>
      <w:r w:rsidRPr="004243C6">
        <w:rPr>
          <w:lang w:val="pt-BR"/>
        </w:rPr>
        <w:t>, 67(10): 1171-1179.</w:t>
      </w:r>
    </w:p>
    <w:p w14:paraId="38B3D9FB" w14:textId="17B22F3B" w:rsidR="003A7DE7" w:rsidRPr="004243C6" w:rsidRDefault="003A7DE7" w:rsidP="003A7DE7">
      <w:pPr>
        <w:pStyle w:val="EndNoteBibliography"/>
        <w:spacing w:after="0"/>
        <w:ind w:left="720" w:hanging="720"/>
      </w:pPr>
      <w:r w:rsidRPr="004243C6">
        <w:rPr>
          <w:lang w:val="pt-BR"/>
        </w:rPr>
        <w:t>Olivier, C. E., Pinto, D. G., Lima, R. P. S., Silva, M. D. d., Santos, R. A. P. G., Teixeira, A. P. M.,</w:t>
      </w:r>
      <w:r w:rsidR="007B3CEE" w:rsidRPr="004243C6">
        <w:rPr>
          <w:lang w:val="pt-BR"/>
        </w:rPr>
        <w:t xml:space="preserve"> et al.</w:t>
      </w:r>
      <w:r w:rsidRPr="004243C6">
        <w:rPr>
          <w:lang w:val="pt-BR"/>
        </w:rPr>
        <w:t xml:space="preserve"> </w:t>
      </w:r>
      <w:r w:rsidR="007B3CEE" w:rsidRPr="00444990">
        <w:t>(</w:t>
      </w:r>
      <w:r w:rsidRPr="00444990">
        <w:t>2021b</w:t>
      </w:r>
      <w:r w:rsidR="007B3CEE" w:rsidRPr="00444990">
        <w:t>)</w:t>
      </w:r>
      <w:r w:rsidRPr="00444990">
        <w:t xml:space="preserve">. </w:t>
      </w:r>
      <w:r w:rsidRPr="004243C6">
        <w:t xml:space="preserve">Assessment of Immunoreactivity against Therapeutic Options Employing the Leukocyte Adherence Inhibition Test as a Tool for Precision Medicine. </w:t>
      </w:r>
      <w:r w:rsidRPr="004243C6">
        <w:rPr>
          <w:i/>
        </w:rPr>
        <w:t>European Journal of Clinical Medicine</w:t>
      </w:r>
      <w:r w:rsidRPr="004243C6">
        <w:t>, 2(3): 40-45.</w:t>
      </w:r>
    </w:p>
    <w:p w14:paraId="66BE4AF9" w14:textId="7F923549" w:rsidR="003A7DE7" w:rsidRPr="004243C6" w:rsidRDefault="003A7DE7" w:rsidP="003A7DE7">
      <w:pPr>
        <w:pStyle w:val="EndNoteBibliography"/>
        <w:spacing w:after="0"/>
        <w:ind w:left="720" w:hanging="720"/>
      </w:pPr>
      <w:r w:rsidRPr="00444990">
        <w:t xml:space="preserve">Olivier, C. E., Pinto, D. G., Santos, R. A. P. G., &amp; Lima, R. P. S. </w:t>
      </w:r>
      <w:r w:rsidR="007B3CEE" w:rsidRPr="00444990">
        <w:t>(</w:t>
      </w:r>
      <w:r w:rsidRPr="00444990">
        <w:t>2021c</w:t>
      </w:r>
      <w:r w:rsidR="007B3CEE" w:rsidRPr="00444990">
        <w:t>)</w:t>
      </w:r>
      <w:r w:rsidRPr="00444990">
        <w:t xml:space="preserve">. </w:t>
      </w:r>
      <w:r w:rsidRPr="004243C6">
        <w:t>Dextran</w:t>
      </w:r>
      <w:r w:rsidR="00555300" w:rsidRPr="004243C6">
        <w:t>'</w:t>
      </w:r>
      <w:r w:rsidRPr="004243C6">
        <w:t xml:space="preserve">s interference over the Leukocyte Adherence Inhibition Test. </w:t>
      </w:r>
      <w:r w:rsidRPr="004243C6">
        <w:rPr>
          <w:i/>
        </w:rPr>
        <w:t>Academia Letter</w:t>
      </w:r>
      <w:r w:rsidRPr="004243C6">
        <w:t>, Article (number): 3792.</w:t>
      </w:r>
    </w:p>
    <w:p w14:paraId="2D4F15AA" w14:textId="7D9E58BA"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Miguel, C. S., Santos, R. A. P. G., Rocha, N. S., Et-al. </w:t>
      </w:r>
      <w:r w:rsidR="007B3CEE" w:rsidRPr="00444990">
        <w:t>(</w:t>
      </w:r>
      <w:r w:rsidRPr="004243C6">
        <w:t>2025</w:t>
      </w:r>
      <w:r w:rsidR="007B3CEE" w:rsidRPr="004243C6">
        <w:t>)</w:t>
      </w:r>
      <w:r w:rsidRPr="004243C6">
        <w:t xml:space="preserve">. Endotyping Cellular and Humoral Immunoreactivity against Pollen and Citrus Fruits in Patients with Non IgE mediated Rhinoconjunctivitis. </w:t>
      </w:r>
      <w:r w:rsidRPr="004243C6">
        <w:rPr>
          <w:i/>
          <w:lang w:val="pt-BR"/>
        </w:rPr>
        <w:t>Asian Journal of Immunology</w:t>
      </w:r>
      <w:r w:rsidRPr="004243C6">
        <w:rPr>
          <w:lang w:val="pt-BR"/>
        </w:rPr>
        <w:t>, 8(1): 8-25.</w:t>
      </w:r>
    </w:p>
    <w:p w14:paraId="4DFEE11D" w14:textId="258FC195" w:rsidR="003A7DE7" w:rsidRPr="004243C6" w:rsidRDefault="003A7DE7" w:rsidP="003A7DE7">
      <w:pPr>
        <w:pStyle w:val="EndNoteBibliography"/>
        <w:spacing w:after="0"/>
        <w:ind w:left="720" w:hanging="720"/>
        <w:rPr>
          <w:lang w:val="pt-BR"/>
        </w:rPr>
      </w:pPr>
      <w:r w:rsidRPr="004243C6">
        <w:rPr>
          <w:lang w:val="pt-BR"/>
        </w:rPr>
        <w:t>Olivier, C. E., Pinto, D. G., Teixeira, A. P. M., Miguel, C. S., Santos, R. A. P. G., Santana, J. L. S.</w:t>
      </w:r>
      <w:r w:rsidR="007B3CEE" w:rsidRPr="004243C6">
        <w:rPr>
          <w:lang w:val="pt-BR"/>
        </w:rPr>
        <w:t xml:space="preserve"> et al.</w:t>
      </w:r>
      <w:r w:rsidRPr="004243C6">
        <w:rPr>
          <w:lang w:val="pt-BR"/>
        </w:rPr>
        <w:t xml:space="preserve"> </w:t>
      </w:r>
      <w:r w:rsidR="007B3CEE" w:rsidRPr="004243C6">
        <w:t>(</w:t>
      </w:r>
      <w:r w:rsidRPr="004243C6">
        <w:t>2024</w:t>
      </w:r>
      <w:r w:rsidR="007B3CEE" w:rsidRPr="004243C6">
        <w:t>a)</w:t>
      </w:r>
      <w:r w:rsidRPr="004243C6">
        <w:t>. Cellular and Humoral Immunoreactivity against Hen</w:t>
      </w:r>
      <w:r w:rsidR="00555300" w:rsidRPr="004243C6">
        <w:t>'</w:t>
      </w:r>
      <w:r w:rsidRPr="004243C6">
        <w:t xml:space="preserve">s Egg White: Relevance in Allergic Patients. </w:t>
      </w:r>
      <w:r w:rsidRPr="004243C6">
        <w:rPr>
          <w:i/>
          <w:lang w:val="pt-BR"/>
        </w:rPr>
        <w:t>Asian Journal of Immunology</w:t>
      </w:r>
      <w:r w:rsidRPr="004243C6">
        <w:rPr>
          <w:lang w:val="pt-BR"/>
        </w:rPr>
        <w:t>, 7(1): 274-284.</w:t>
      </w:r>
    </w:p>
    <w:p w14:paraId="460F04E1" w14:textId="636F032A" w:rsidR="003A7DE7" w:rsidRPr="004243C6" w:rsidRDefault="003A7DE7" w:rsidP="003A7DE7">
      <w:pPr>
        <w:pStyle w:val="EndNoteBibliography"/>
        <w:spacing w:after="0"/>
        <w:ind w:left="720" w:hanging="720"/>
      </w:pPr>
      <w:r w:rsidRPr="004243C6">
        <w:rPr>
          <w:lang w:val="pt-BR"/>
        </w:rPr>
        <w:t xml:space="preserve">Olivier, C. E., Pinto, D. G., Teixeira, A. P. M., Miguel, C. S., Santos, R. A. P. G., Santana, J. L. S., </w:t>
      </w:r>
      <w:r w:rsidR="000915F7" w:rsidRPr="004243C6">
        <w:rPr>
          <w:lang w:val="pt-BR"/>
        </w:rPr>
        <w:t>et al.</w:t>
      </w:r>
      <w:r w:rsidRPr="004243C6">
        <w:rPr>
          <w:lang w:val="pt-BR"/>
        </w:rPr>
        <w:t xml:space="preserve"> </w:t>
      </w:r>
      <w:r w:rsidR="000915F7" w:rsidRPr="00444990">
        <w:t>(</w:t>
      </w:r>
      <w:r w:rsidRPr="00444990">
        <w:t>2024b</w:t>
      </w:r>
      <w:r w:rsidR="000915F7" w:rsidRPr="00444990">
        <w:t>)</w:t>
      </w:r>
      <w:r w:rsidRPr="00444990">
        <w:t xml:space="preserve">. </w:t>
      </w:r>
      <w:r w:rsidRPr="004243C6">
        <w:t xml:space="preserve">Endotyping Cellular and Humoral Immunoreactivity against Allium spices and Sulfites preservatives in Allergic Patients. A Retrospective Study. </w:t>
      </w:r>
      <w:r w:rsidRPr="004243C6">
        <w:rPr>
          <w:i/>
        </w:rPr>
        <w:t>Asian Journal of Immunology</w:t>
      </w:r>
      <w:r w:rsidRPr="004243C6">
        <w:t>, 7(1).</w:t>
      </w:r>
    </w:p>
    <w:p w14:paraId="493B026E" w14:textId="6E1FAD09" w:rsidR="003A7DE7" w:rsidRPr="004243C6" w:rsidRDefault="003A7DE7" w:rsidP="003A7DE7">
      <w:pPr>
        <w:pStyle w:val="EndNoteBibliography"/>
        <w:spacing w:after="0"/>
        <w:ind w:left="720" w:hanging="720"/>
        <w:rPr>
          <w:lang w:val="pt-BR"/>
        </w:rPr>
      </w:pPr>
      <w:r w:rsidRPr="00444990">
        <w:t xml:space="preserve">Olivier, C. E., Pinto, D. G., Teixeira, A. P. M., Santana, J. L. S., Santos, R. A. P. G., &amp; Lima, R. P. S. </w:t>
      </w:r>
      <w:r w:rsidR="00C7215E" w:rsidRPr="00444990">
        <w:t>(</w:t>
      </w:r>
      <w:r w:rsidRPr="00444990">
        <w:t>2021d</w:t>
      </w:r>
      <w:r w:rsidR="00C7215E" w:rsidRPr="00444990">
        <w:t>)</w:t>
      </w:r>
      <w:r w:rsidRPr="00444990">
        <w:t xml:space="preserve">. </w:t>
      </w:r>
      <w:r w:rsidRPr="004243C6">
        <w:t xml:space="preserve">Self-imposed food restriction and oral food challenges are correlated with precipitin's accuracy in the diagnosis of non-IgE-mediated food-related adulthood acute episodes of urticaria. </w:t>
      </w:r>
      <w:r w:rsidRPr="004243C6">
        <w:rPr>
          <w:i/>
          <w:lang w:val="pt-BR"/>
        </w:rPr>
        <w:lastRenderedPageBreak/>
        <w:t>Journal of Allergy &amp; Therapy</w:t>
      </w:r>
      <w:r w:rsidRPr="004243C6">
        <w:rPr>
          <w:lang w:val="pt-BR"/>
        </w:rPr>
        <w:t>, 12(8): 1-8.</w:t>
      </w:r>
    </w:p>
    <w:p w14:paraId="77D915DE" w14:textId="441D2B70"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C7215E" w:rsidRPr="004243C6">
        <w:rPr>
          <w:lang w:val="pt-BR"/>
        </w:rPr>
        <w:t>(</w:t>
      </w:r>
      <w:r w:rsidRPr="004243C6">
        <w:rPr>
          <w:lang w:val="pt-BR"/>
        </w:rPr>
        <w:t>2023</w:t>
      </w:r>
      <w:r w:rsidR="00C7215E" w:rsidRPr="004243C6">
        <w:rPr>
          <w:lang w:val="pt-BR"/>
        </w:rPr>
        <w:t>ª)</w:t>
      </w:r>
      <w:r w:rsidRPr="004243C6">
        <w:rPr>
          <w:lang w:val="pt-BR"/>
        </w:rPr>
        <w:t xml:space="preserve">. </w:t>
      </w:r>
      <w:r w:rsidRPr="004243C6">
        <w:t xml:space="preserve">Contribution of the Leukocyte Adherence Inhibition Test to the Diagnosis of Immunoreactivity against Cobalt. </w:t>
      </w:r>
      <w:r w:rsidRPr="004243C6">
        <w:rPr>
          <w:i/>
          <w:lang w:val="pt-BR"/>
        </w:rPr>
        <w:t>Asian Journal of Immunology</w:t>
      </w:r>
      <w:r w:rsidRPr="004243C6">
        <w:rPr>
          <w:lang w:val="pt-BR"/>
        </w:rPr>
        <w:t>, 6(1): 174-184.</w:t>
      </w:r>
    </w:p>
    <w:p w14:paraId="5E28D2AB" w14:textId="3E031605"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C7215E" w:rsidRPr="004243C6">
        <w:rPr>
          <w:lang w:val="pt-BR"/>
        </w:rPr>
        <w:t>(</w:t>
      </w:r>
      <w:r w:rsidRPr="004243C6">
        <w:rPr>
          <w:lang w:val="pt-BR"/>
        </w:rPr>
        <w:t>2023b</w:t>
      </w:r>
      <w:r w:rsidR="00C7215E" w:rsidRPr="004243C6">
        <w:rPr>
          <w:lang w:val="pt-BR"/>
        </w:rPr>
        <w:t>)</w:t>
      </w:r>
      <w:r w:rsidRPr="004243C6">
        <w:rPr>
          <w:lang w:val="pt-BR"/>
        </w:rPr>
        <w:t xml:space="preserve">. </w:t>
      </w:r>
      <w:r w:rsidRPr="004243C6">
        <w:t xml:space="preserve">Contribution of the Leukocyte Adherence Inhibition Test to the Diagnosis of Innate Non–IgE-mediated Immunoreactivity against </w:t>
      </w:r>
      <w:r w:rsidRPr="004243C6">
        <w:rPr>
          <w:i/>
        </w:rPr>
        <w:t>Saccharomyces cerevisiae</w:t>
      </w:r>
      <w:r w:rsidRPr="004243C6">
        <w:t xml:space="preserve">. </w:t>
      </w:r>
      <w:r w:rsidRPr="004243C6">
        <w:rPr>
          <w:i/>
          <w:lang w:val="pt-BR"/>
        </w:rPr>
        <w:t>Asian Journal of Immunology</w:t>
      </w:r>
      <w:r w:rsidRPr="004243C6">
        <w:rPr>
          <w:lang w:val="pt-BR"/>
        </w:rPr>
        <w:t>, 6(1): 234-241.</w:t>
      </w:r>
    </w:p>
    <w:p w14:paraId="5F26CF0C" w14:textId="56FAE83E"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C7215E" w:rsidRPr="004243C6">
        <w:rPr>
          <w:lang w:val="pt-BR"/>
        </w:rPr>
        <w:t>(</w:t>
      </w:r>
      <w:r w:rsidRPr="004243C6">
        <w:rPr>
          <w:lang w:val="pt-BR"/>
        </w:rPr>
        <w:t>2023c</w:t>
      </w:r>
      <w:r w:rsidR="00C7215E" w:rsidRPr="004243C6">
        <w:rPr>
          <w:lang w:val="pt-BR"/>
        </w:rPr>
        <w:t>)</w:t>
      </w:r>
      <w:r w:rsidRPr="004243C6">
        <w:rPr>
          <w:lang w:val="pt-BR"/>
        </w:rPr>
        <w:t xml:space="preserve">. </w:t>
      </w:r>
      <w:r w:rsidRPr="004243C6">
        <w:t xml:space="preserve">Contributions of the Leukocyte Adherence Inhibition Test to the Diagnosis of Hypersensitivity Reactions Produced by Nickel. </w:t>
      </w:r>
      <w:r w:rsidRPr="004243C6">
        <w:rPr>
          <w:i/>
          <w:lang w:val="pt-BR"/>
        </w:rPr>
        <w:t>Asian Journal of Immunology</w:t>
      </w:r>
      <w:r w:rsidRPr="004243C6">
        <w:rPr>
          <w:lang w:val="pt-BR"/>
        </w:rPr>
        <w:t>, 6(1): 120-128.</w:t>
      </w:r>
    </w:p>
    <w:p w14:paraId="6EE1F2E5" w14:textId="00CFC64A"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C7215E" w:rsidRPr="004243C6">
        <w:rPr>
          <w:lang w:val="pt-BR"/>
        </w:rPr>
        <w:t>(</w:t>
      </w:r>
      <w:r w:rsidRPr="004243C6">
        <w:rPr>
          <w:lang w:val="pt-BR"/>
        </w:rPr>
        <w:t>2024c</w:t>
      </w:r>
      <w:r w:rsidR="00C7215E" w:rsidRPr="004243C6">
        <w:rPr>
          <w:lang w:val="pt-BR"/>
        </w:rPr>
        <w:t>)</w:t>
      </w:r>
      <w:r w:rsidRPr="004243C6">
        <w:rPr>
          <w:lang w:val="pt-BR"/>
        </w:rPr>
        <w:t xml:space="preserve">. </w:t>
      </w:r>
      <w:r w:rsidRPr="004243C6">
        <w:t xml:space="preserve">Contribution of Leukocyte Adherence Inhibition Test in the Evaluation of Non–IgE-mediated Immunoreactivity against Peanut Proteins in Children and Adults with Atopic Dermatitis. </w:t>
      </w:r>
      <w:r w:rsidRPr="004243C6">
        <w:rPr>
          <w:i/>
          <w:lang w:val="pt-BR"/>
        </w:rPr>
        <w:t>Asian Journal of Immunology</w:t>
      </w:r>
      <w:r w:rsidRPr="004243C6">
        <w:rPr>
          <w:lang w:val="pt-BR"/>
        </w:rPr>
        <w:t>, 7(1): 55-62.</w:t>
      </w:r>
    </w:p>
    <w:p w14:paraId="6D303ED7" w14:textId="3B08EA3F"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FF5264" w:rsidRPr="004243C6">
        <w:rPr>
          <w:lang w:val="pt-BR"/>
        </w:rPr>
        <w:t>(</w:t>
      </w:r>
      <w:r w:rsidRPr="004243C6">
        <w:rPr>
          <w:lang w:val="pt-BR"/>
        </w:rPr>
        <w:t>2024d</w:t>
      </w:r>
      <w:r w:rsidR="00FF5264" w:rsidRPr="004243C6">
        <w:rPr>
          <w:lang w:val="pt-BR"/>
        </w:rPr>
        <w:t>)</w:t>
      </w:r>
      <w:r w:rsidRPr="004243C6">
        <w:rPr>
          <w:lang w:val="pt-BR"/>
        </w:rPr>
        <w:t xml:space="preserve">. </w:t>
      </w:r>
      <w:r w:rsidRPr="004243C6">
        <w:t xml:space="preserve">Endotyping Cellular and Humoral Immunoreactivity against Aluminum in Allergic Patients: A Retrospective Study. </w:t>
      </w:r>
      <w:r w:rsidRPr="004243C6">
        <w:rPr>
          <w:i/>
          <w:lang w:val="pt-BR"/>
        </w:rPr>
        <w:t>Asian Journal of Immunology</w:t>
      </w:r>
      <w:r w:rsidRPr="004243C6">
        <w:rPr>
          <w:lang w:val="pt-BR"/>
        </w:rPr>
        <w:t>, 7(1): 149-158.</w:t>
      </w:r>
    </w:p>
    <w:p w14:paraId="6EE79D7D" w14:textId="43366D51"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&amp; Lima, R. P. S. </w:t>
      </w:r>
      <w:r w:rsidR="00FF5264" w:rsidRPr="004243C6">
        <w:rPr>
          <w:lang w:val="pt-BR"/>
        </w:rPr>
        <w:t>(</w:t>
      </w:r>
      <w:r w:rsidRPr="004243C6">
        <w:rPr>
          <w:lang w:val="pt-BR"/>
        </w:rPr>
        <w:t>2024e</w:t>
      </w:r>
      <w:r w:rsidR="00FF5264" w:rsidRPr="004243C6">
        <w:rPr>
          <w:lang w:val="pt-BR"/>
        </w:rPr>
        <w:t>)</w:t>
      </w:r>
      <w:r w:rsidRPr="004243C6">
        <w:rPr>
          <w:lang w:val="pt-BR"/>
        </w:rPr>
        <w:t xml:space="preserve">. </w:t>
      </w:r>
      <w:r w:rsidRPr="004243C6">
        <w:t xml:space="preserve">Exploring the Role of Leukocyte Adherence Inhibition Test in Assessing Non-IgE </w:t>
      </w:r>
      <w:r w:rsidRPr="004243C6">
        <w:t xml:space="preserve">Mediated Immunoreactivity to Benzoic Acid in Allergic Patients. </w:t>
      </w:r>
      <w:r w:rsidRPr="004243C6">
        <w:rPr>
          <w:i/>
          <w:lang w:val="pt-BR"/>
        </w:rPr>
        <w:t>Asian Journal of Immunology</w:t>
      </w:r>
      <w:r w:rsidRPr="004243C6">
        <w:rPr>
          <w:lang w:val="pt-BR"/>
        </w:rPr>
        <w:t>, 7(1): 63-70.</w:t>
      </w:r>
    </w:p>
    <w:p w14:paraId="4691A717" w14:textId="4E67B91B"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Lima, R. P. S., </w:t>
      </w:r>
      <w:r w:rsidR="00FF5264" w:rsidRPr="004243C6">
        <w:rPr>
          <w:lang w:val="pt-BR"/>
        </w:rPr>
        <w:t>et al.</w:t>
      </w:r>
      <w:r w:rsidRPr="004243C6">
        <w:rPr>
          <w:lang w:val="pt-BR"/>
        </w:rPr>
        <w:t xml:space="preserve"> </w:t>
      </w:r>
      <w:r w:rsidR="00FF5264" w:rsidRPr="00444990">
        <w:t>(</w:t>
      </w:r>
      <w:r w:rsidRPr="00444990">
        <w:t>2023d</w:t>
      </w:r>
      <w:r w:rsidR="00FF5264" w:rsidRPr="00444990">
        <w:t>)</w:t>
      </w:r>
      <w:r w:rsidRPr="00444990">
        <w:t xml:space="preserve">. </w:t>
      </w:r>
      <w:r w:rsidRPr="004243C6">
        <w:t xml:space="preserve">Contribution of the Leukocyte Adherence Inhibition Test to the Diagnosis of Innate Non–IgE-mediated Immunoreactivity against </w:t>
      </w:r>
      <w:r w:rsidRPr="004243C6">
        <w:rPr>
          <w:i/>
        </w:rPr>
        <w:t>Alternaria alternata</w:t>
      </w:r>
      <w:r w:rsidRPr="004243C6">
        <w:t xml:space="preserve">. </w:t>
      </w:r>
      <w:r w:rsidRPr="004243C6">
        <w:rPr>
          <w:i/>
          <w:lang w:val="pt-BR"/>
        </w:rPr>
        <w:t>Asian Journal of Immunology</w:t>
      </w:r>
      <w:r w:rsidRPr="004243C6">
        <w:rPr>
          <w:lang w:val="pt-BR"/>
        </w:rPr>
        <w:t>, 6(1): 243-251.</w:t>
      </w:r>
    </w:p>
    <w:p w14:paraId="5CC3FFBC" w14:textId="04E38B9F"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Lima, R. P. S., </w:t>
      </w:r>
      <w:r w:rsidR="00FF5264" w:rsidRPr="004243C6">
        <w:rPr>
          <w:lang w:val="pt-BR"/>
        </w:rPr>
        <w:t>et al.</w:t>
      </w:r>
      <w:r w:rsidRPr="004243C6">
        <w:rPr>
          <w:lang w:val="pt-BR"/>
        </w:rPr>
        <w:t xml:space="preserve"> </w:t>
      </w:r>
      <w:r w:rsidR="00FF5264" w:rsidRPr="00444990">
        <w:t>(</w:t>
      </w:r>
      <w:r w:rsidRPr="00444990">
        <w:t>2023e</w:t>
      </w:r>
      <w:r w:rsidR="00FF5264" w:rsidRPr="00444990">
        <w:t>)</w:t>
      </w:r>
      <w:r w:rsidRPr="00444990">
        <w:t xml:space="preserve">. </w:t>
      </w:r>
      <w:r w:rsidRPr="004243C6">
        <w:t xml:space="preserve">Contribution of the Leukocyte Adherence Inhibition Test to the Diagnosis of Non–IgE-mediated Immunoreactivity against Candida albicans in Patients with Atopic Dermatitis. </w:t>
      </w:r>
      <w:r w:rsidRPr="004243C6">
        <w:rPr>
          <w:i/>
          <w:lang w:val="pt-BR"/>
        </w:rPr>
        <w:t>Asian Journal of Immunology</w:t>
      </w:r>
      <w:r w:rsidRPr="004243C6">
        <w:rPr>
          <w:lang w:val="pt-BR"/>
        </w:rPr>
        <w:t>, 6(1): 268-276.</w:t>
      </w:r>
    </w:p>
    <w:p w14:paraId="6636BC17" w14:textId="7AC3AF58" w:rsidR="003A7DE7" w:rsidRPr="004243C6" w:rsidRDefault="003A7DE7" w:rsidP="003A7DE7">
      <w:pPr>
        <w:pStyle w:val="EndNoteBibliography"/>
        <w:spacing w:after="0"/>
        <w:ind w:left="720" w:hanging="720"/>
      </w:pPr>
      <w:r w:rsidRPr="004243C6">
        <w:rPr>
          <w:lang w:val="pt-BR"/>
        </w:rPr>
        <w:t xml:space="preserve">Olivier, C. E., Pinto, D. G., Teixeira, A. P. M., Santana, J. L. S., Santos, R. A. P. G., Lima, R. P. S., </w:t>
      </w:r>
      <w:r w:rsidR="00FF5264" w:rsidRPr="004243C6">
        <w:rPr>
          <w:lang w:val="pt-BR"/>
        </w:rPr>
        <w:t>et al.</w:t>
      </w:r>
      <w:r w:rsidRPr="004243C6">
        <w:rPr>
          <w:lang w:val="pt-BR"/>
        </w:rPr>
        <w:t xml:space="preserve"> </w:t>
      </w:r>
      <w:r w:rsidR="00FF5264" w:rsidRPr="004243C6">
        <w:t>(</w:t>
      </w:r>
      <w:r w:rsidRPr="004243C6">
        <w:t>2023f</w:t>
      </w:r>
      <w:r w:rsidR="00FF5264" w:rsidRPr="004243C6">
        <w:t>)</w:t>
      </w:r>
      <w:r w:rsidRPr="004243C6">
        <w:t>. Evaluating Non-IgE-mediated Allergens</w:t>
      </w:r>
      <w:r w:rsidR="00555300" w:rsidRPr="004243C6">
        <w:t>'</w:t>
      </w:r>
      <w:r w:rsidRPr="004243C6">
        <w:t xml:space="preserve"> Immunoreactivity in Patients with </w:t>
      </w:r>
      <w:r w:rsidR="00555300" w:rsidRPr="004243C6">
        <w:t>"</w:t>
      </w:r>
      <w:r w:rsidRPr="004243C6">
        <w:t>Intrinsic</w:t>
      </w:r>
      <w:r w:rsidR="00555300" w:rsidRPr="004243C6">
        <w:t>"</w:t>
      </w:r>
      <w:r w:rsidRPr="004243C6">
        <w:t xml:space="preserve"> Persistent Rhinitis with Help of the Leukocyte Adherence Inhibition Test. </w:t>
      </w:r>
      <w:r w:rsidRPr="004243C6">
        <w:rPr>
          <w:i/>
        </w:rPr>
        <w:t>European Journal of Medical and Health Sciences</w:t>
      </w:r>
      <w:r w:rsidRPr="004243C6">
        <w:t>, 5(1): 17-22.</w:t>
      </w:r>
    </w:p>
    <w:p w14:paraId="5CDAB4AA" w14:textId="75DB3B07" w:rsidR="003A7DE7" w:rsidRPr="004243C6" w:rsidRDefault="003A7DE7" w:rsidP="003A7DE7">
      <w:pPr>
        <w:pStyle w:val="EndNoteBibliography"/>
        <w:spacing w:after="0"/>
        <w:ind w:left="720" w:hanging="720"/>
        <w:rPr>
          <w:lang w:val="pt-BR"/>
        </w:rPr>
      </w:pPr>
      <w:r w:rsidRPr="00444990">
        <w:t>Olivier, C. E., Pinto, D. G., Teixeira, A. P. M., Santana, J. L. S., Santos, R. A. P. G., Lima, R. P. S.,</w:t>
      </w:r>
      <w:r w:rsidR="00FF5264" w:rsidRPr="00444990">
        <w:t xml:space="preserve"> et al.</w:t>
      </w:r>
      <w:r w:rsidRPr="00444990">
        <w:t xml:space="preserve"> </w:t>
      </w:r>
      <w:r w:rsidR="00FF5264" w:rsidRPr="00444990">
        <w:t>(</w:t>
      </w:r>
      <w:r w:rsidRPr="00444990">
        <w:t>2023g</w:t>
      </w:r>
      <w:r w:rsidR="00FF5264" w:rsidRPr="00444990">
        <w:t>)</w:t>
      </w:r>
      <w:r w:rsidRPr="00444990">
        <w:t xml:space="preserve">. </w:t>
      </w:r>
      <w:r w:rsidRPr="004243C6">
        <w:t xml:space="preserve">Far Beyond the IgE: Insights into the Clinical Profile of Allergic Patients with Selective IgE Deficiency, Urticarial Vasculitis, Allergic Pharyngitis, and Perennial Allergic Conjunctivitis. , 7(1), 35–45. </w:t>
      </w:r>
      <w:r w:rsidRPr="004243C6">
        <w:rPr>
          <w:i/>
          <w:lang w:val="pt-BR"/>
        </w:rPr>
        <w:t>Asian Journal of Immunology</w:t>
      </w:r>
      <w:r w:rsidRPr="004243C6">
        <w:rPr>
          <w:lang w:val="pt-BR"/>
        </w:rPr>
        <w:t>, 7(1): 35-45.</w:t>
      </w:r>
    </w:p>
    <w:p w14:paraId="4D51D6B1" w14:textId="195BF853" w:rsidR="003A7DE7" w:rsidRPr="004243C6" w:rsidRDefault="003A7DE7" w:rsidP="003A7DE7">
      <w:pPr>
        <w:pStyle w:val="EndNoteBibliography"/>
        <w:spacing w:after="0"/>
        <w:ind w:left="720" w:hanging="720"/>
        <w:rPr>
          <w:lang w:val="pt-BR"/>
        </w:rPr>
      </w:pPr>
      <w:r w:rsidRPr="004243C6">
        <w:rPr>
          <w:lang w:val="pt-BR"/>
        </w:rPr>
        <w:t>Olivier, C. E., Pinto, D. G., Teixeira, A. P. M., Santana, J. L. S., Santos, R. A. P. G., Lima, R. P. S.,</w:t>
      </w:r>
      <w:r w:rsidR="00FF5264" w:rsidRPr="004243C6">
        <w:rPr>
          <w:lang w:val="pt-BR"/>
        </w:rPr>
        <w:t xml:space="preserve"> et al.</w:t>
      </w:r>
      <w:r w:rsidRPr="004243C6">
        <w:rPr>
          <w:lang w:val="pt-BR"/>
        </w:rPr>
        <w:t xml:space="preserve"> </w:t>
      </w:r>
      <w:r w:rsidR="00FF5264" w:rsidRPr="00444990">
        <w:t>(</w:t>
      </w:r>
      <w:r w:rsidRPr="00444990">
        <w:t>2024f</w:t>
      </w:r>
      <w:r w:rsidR="00FF5264" w:rsidRPr="00444990">
        <w:t>)</w:t>
      </w:r>
      <w:r w:rsidRPr="00444990">
        <w:t xml:space="preserve">. </w:t>
      </w:r>
      <w:r w:rsidRPr="004243C6">
        <w:t xml:space="preserve">Contribution of the Leukocyte Adherence Inhibition Test in Diagnosing Non–IgE-Mediated Immunoreactivity against Aspergillus </w:t>
      </w:r>
      <w:r w:rsidRPr="004243C6">
        <w:lastRenderedPageBreak/>
        <w:t xml:space="preserve">fumigatus in Patients with Allergic Rhinitis and Asthma. </w:t>
      </w:r>
      <w:r w:rsidRPr="004243C6">
        <w:rPr>
          <w:i/>
          <w:lang w:val="pt-BR"/>
        </w:rPr>
        <w:t>Asian Journal of Immunology</w:t>
      </w:r>
      <w:r w:rsidRPr="004243C6">
        <w:rPr>
          <w:lang w:val="pt-BR"/>
        </w:rPr>
        <w:t>, 7(1): 12-20.</w:t>
      </w:r>
    </w:p>
    <w:p w14:paraId="57A62495" w14:textId="4A43AB60" w:rsidR="003A7DE7" w:rsidRPr="004243C6" w:rsidRDefault="003A7DE7" w:rsidP="003A7DE7">
      <w:pPr>
        <w:pStyle w:val="EndNoteBibliography"/>
        <w:spacing w:after="0"/>
        <w:ind w:left="720" w:hanging="720"/>
        <w:rPr>
          <w:lang w:val="pt-BR"/>
        </w:rPr>
      </w:pPr>
      <w:r w:rsidRPr="004243C6">
        <w:rPr>
          <w:lang w:val="pt-BR"/>
        </w:rPr>
        <w:t>Olivier, C. E., Pinto, D. G., Teixeira, A. P. M., Santana, J. L. S., Santos, R. A. P. G., Lima, R. P. S.,</w:t>
      </w:r>
      <w:r w:rsidR="00FF5264" w:rsidRPr="004243C6">
        <w:rPr>
          <w:lang w:val="pt-BR"/>
        </w:rPr>
        <w:t xml:space="preserve"> et al.</w:t>
      </w:r>
      <w:r w:rsidRPr="004243C6">
        <w:rPr>
          <w:lang w:val="pt-BR"/>
        </w:rPr>
        <w:t xml:space="preserve"> </w:t>
      </w:r>
      <w:r w:rsidR="00FF5264" w:rsidRPr="00444990">
        <w:t>(</w:t>
      </w:r>
      <w:r w:rsidRPr="00444990">
        <w:t>2024g</w:t>
      </w:r>
      <w:r w:rsidR="00FF5264" w:rsidRPr="00444990">
        <w:t>)</w:t>
      </w:r>
      <w:r w:rsidRPr="00444990">
        <w:t xml:space="preserve">. </w:t>
      </w:r>
      <w:r w:rsidRPr="004243C6">
        <w:t xml:space="preserve">Endotyping Non-IgE-Mediated Immunoreactivity to Dermatophagoides farinae: Implications for Allergic Patients. </w:t>
      </w:r>
      <w:r w:rsidRPr="004243C6">
        <w:rPr>
          <w:i/>
          <w:lang w:val="pt-BR"/>
        </w:rPr>
        <w:t>Asian Journal of Immunology</w:t>
      </w:r>
      <w:r w:rsidRPr="004243C6">
        <w:rPr>
          <w:lang w:val="pt-BR"/>
        </w:rPr>
        <w:t>, 7(1): 90-99.</w:t>
      </w:r>
    </w:p>
    <w:p w14:paraId="1BD651A1" w14:textId="728E9B4B"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&amp; Lima, R. P. S. </w:t>
      </w:r>
      <w:r w:rsidR="00FF5264" w:rsidRPr="004243C6">
        <w:rPr>
          <w:lang w:val="pt-BR"/>
        </w:rPr>
        <w:t>(</w:t>
      </w:r>
      <w:r w:rsidRPr="004243C6">
        <w:rPr>
          <w:lang w:val="pt-BR"/>
        </w:rPr>
        <w:t>2021e</w:t>
      </w:r>
      <w:r w:rsidR="00FF5264" w:rsidRPr="004243C6">
        <w:rPr>
          <w:lang w:val="pt-BR"/>
        </w:rPr>
        <w:t>)</w:t>
      </w:r>
      <w:r w:rsidRPr="004243C6">
        <w:rPr>
          <w:lang w:val="pt-BR"/>
        </w:rPr>
        <w:t xml:space="preserve">. </w:t>
      </w:r>
      <w:r w:rsidRPr="004243C6">
        <w:t xml:space="preserve">Immunoreactivity against Dermatophagoides pteronyssinus Assessed by the Leukocyte Adherence Inhibition Test in Patients with Intrinsic Atopic Dermatitis and Correlated </w:t>
      </w:r>
      <w:r w:rsidR="00555300" w:rsidRPr="004243C6">
        <w:t>"</w:t>
      </w:r>
      <w:r w:rsidRPr="004243C6">
        <w:t>Intrinsic</w:t>
      </w:r>
      <w:r w:rsidR="00555300" w:rsidRPr="004243C6">
        <w:t>"</w:t>
      </w:r>
      <w:r w:rsidRPr="004243C6">
        <w:t xml:space="preserve"> Non–IgE-mediated Allergic Conditions. </w:t>
      </w:r>
      <w:r w:rsidRPr="004243C6">
        <w:rPr>
          <w:i/>
          <w:lang w:val="pt-BR"/>
        </w:rPr>
        <w:t>European Journal of Clinical Medicine</w:t>
      </w:r>
      <w:r w:rsidRPr="004243C6">
        <w:rPr>
          <w:lang w:val="pt-BR"/>
        </w:rPr>
        <w:t>, 2(6): 45-50.</w:t>
      </w:r>
    </w:p>
    <w:p w14:paraId="08065DBD" w14:textId="252D1821"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&amp; Lima, R. P. S. </w:t>
      </w:r>
      <w:r w:rsidR="00FF5264" w:rsidRPr="004243C6">
        <w:rPr>
          <w:lang w:val="pt-BR"/>
        </w:rPr>
        <w:t>(</w:t>
      </w:r>
      <w:r w:rsidRPr="004243C6">
        <w:rPr>
          <w:lang w:val="pt-BR"/>
        </w:rPr>
        <w:t>2021f</w:t>
      </w:r>
      <w:r w:rsidR="00FF5264" w:rsidRPr="004243C6">
        <w:rPr>
          <w:lang w:val="pt-BR"/>
        </w:rPr>
        <w:t>)</w:t>
      </w:r>
      <w:r w:rsidRPr="004243C6">
        <w:rPr>
          <w:lang w:val="pt-BR"/>
        </w:rPr>
        <w:t xml:space="preserve">. </w:t>
      </w:r>
      <w:r w:rsidRPr="004243C6">
        <w:t xml:space="preserve">Intrinsic Atopic Dermatitis: Titration of Precipitins in the Screening of Food Allergens for Prescription of Elimination Diets and Desensitization Strategies. </w:t>
      </w:r>
      <w:r w:rsidRPr="004243C6">
        <w:rPr>
          <w:i/>
          <w:lang w:val="pt-BR"/>
        </w:rPr>
        <w:t>European Journal of Clinical Medicine</w:t>
      </w:r>
      <w:r w:rsidRPr="004243C6">
        <w:rPr>
          <w:lang w:val="pt-BR"/>
        </w:rPr>
        <w:t>, 2(6): 1-9.</w:t>
      </w:r>
    </w:p>
    <w:p w14:paraId="7746E3BD" w14:textId="6D15A2A6"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&amp; Lima, R. P. S. </w:t>
      </w:r>
      <w:r w:rsidR="00FF5264" w:rsidRPr="004243C6">
        <w:rPr>
          <w:lang w:val="pt-BR"/>
        </w:rPr>
        <w:t>(</w:t>
      </w:r>
      <w:r w:rsidRPr="004243C6">
        <w:rPr>
          <w:lang w:val="pt-BR"/>
        </w:rPr>
        <w:t>2022</w:t>
      </w:r>
      <w:r w:rsidR="00FF5264" w:rsidRPr="004243C6">
        <w:rPr>
          <w:lang w:val="pt-BR"/>
        </w:rPr>
        <w:t>ª)</w:t>
      </w:r>
      <w:r w:rsidRPr="004243C6">
        <w:rPr>
          <w:lang w:val="pt-BR"/>
        </w:rPr>
        <w:t xml:space="preserve">. </w:t>
      </w:r>
      <w:r w:rsidRPr="004243C6">
        <w:t xml:space="preserve">Contribution of the Leukocyte Adherence Inhibition Test for the evaluation of immunoreactivity against gluten extracts in non—IgE-mediated / non-autoimmune Gluten-Related Disorders. </w:t>
      </w:r>
      <w:r w:rsidRPr="004243C6">
        <w:rPr>
          <w:i/>
          <w:lang w:val="pt-BR"/>
        </w:rPr>
        <w:t>European Journal of Clinical Medicine</w:t>
      </w:r>
      <w:r w:rsidRPr="004243C6">
        <w:rPr>
          <w:lang w:val="pt-BR"/>
        </w:rPr>
        <w:t>, 3(2): 1-7.</w:t>
      </w:r>
    </w:p>
    <w:p w14:paraId="759BBFD2" w14:textId="63FFB8D9"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&amp; Lima, R. P. S. </w:t>
      </w:r>
      <w:r w:rsidR="0027162B" w:rsidRPr="004243C6">
        <w:rPr>
          <w:lang w:val="pt-BR"/>
        </w:rPr>
        <w:t>(</w:t>
      </w:r>
      <w:r w:rsidRPr="004243C6">
        <w:rPr>
          <w:lang w:val="pt-BR"/>
        </w:rPr>
        <w:t>2022b</w:t>
      </w:r>
      <w:r w:rsidR="0027162B" w:rsidRPr="004243C6">
        <w:rPr>
          <w:lang w:val="pt-BR"/>
        </w:rPr>
        <w:t>)</w:t>
      </w:r>
      <w:r w:rsidRPr="004243C6">
        <w:rPr>
          <w:lang w:val="pt-BR"/>
        </w:rPr>
        <w:t xml:space="preserve">. </w:t>
      </w:r>
      <w:r w:rsidRPr="004243C6">
        <w:t xml:space="preserve">Contribution of the Leukocyte Adherence Inhibition Test to the Evaluation of Cellular Immunoreactivity against Latex </w:t>
      </w:r>
      <w:r w:rsidRPr="004243C6">
        <w:t xml:space="preserve">Extracts for Non—IgE-Mediated Latex-Fruit-Pollen Syndrome in Allergic Candidates to Exclusion Diets and Allergic Desensitization. </w:t>
      </w:r>
      <w:r w:rsidRPr="004243C6">
        <w:rPr>
          <w:i/>
          <w:lang w:val="pt-BR"/>
        </w:rPr>
        <w:t>European Journal of Clinical Medicine</w:t>
      </w:r>
      <w:r w:rsidRPr="004243C6">
        <w:rPr>
          <w:lang w:val="pt-BR"/>
        </w:rPr>
        <w:t>, 3(1): 11-17.</w:t>
      </w:r>
    </w:p>
    <w:p w14:paraId="731AC65C" w14:textId="66E5FD0C"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&amp; Lima, R. P. S. </w:t>
      </w:r>
      <w:r w:rsidR="0027162B" w:rsidRPr="004243C6">
        <w:rPr>
          <w:lang w:val="pt-BR"/>
        </w:rPr>
        <w:t>(</w:t>
      </w:r>
      <w:r w:rsidRPr="004243C6">
        <w:rPr>
          <w:lang w:val="pt-BR"/>
        </w:rPr>
        <w:t>2022c</w:t>
      </w:r>
      <w:r w:rsidR="0027162B" w:rsidRPr="004243C6">
        <w:rPr>
          <w:lang w:val="pt-BR"/>
        </w:rPr>
        <w:t>)</w:t>
      </w:r>
      <w:r w:rsidRPr="004243C6">
        <w:rPr>
          <w:lang w:val="pt-BR"/>
        </w:rPr>
        <w:t xml:space="preserve">. </w:t>
      </w:r>
      <w:r w:rsidRPr="004243C6">
        <w:t>Leukocyte Adherence Inhibition Test to the assessment of Immunoreactivity Against Cow</w:t>
      </w:r>
      <w:r w:rsidR="00555300" w:rsidRPr="004243C6">
        <w:t>'</w:t>
      </w:r>
      <w:r w:rsidRPr="004243C6">
        <w:t xml:space="preserve">s Milk Proteins in Non—IgE-Mediated Gastrointestinal Food Allergy. </w:t>
      </w:r>
      <w:r w:rsidRPr="004243C6">
        <w:rPr>
          <w:i/>
          <w:lang w:val="pt-BR"/>
        </w:rPr>
        <w:t>European Journal of Clinical Medicine</w:t>
      </w:r>
      <w:r w:rsidRPr="004243C6">
        <w:rPr>
          <w:lang w:val="pt-BR"/>
        </w:rPr>
        <w:t>, 3(2): 38-43.</w:t>
      </w:r>
    </w:p>
    <w:p w14:paraId="6538A6FD" w14:textId="766F8B77" w:rsidR="003A7DE7" w:rsidRPr="004243C6" w:rsidRDefault="003A7DE7" w:rsidP="003A7DE7">
      <w:pPr>
        <w:pStyle w:val="EndNoteBibliography"/>
        <w:spacing w:after="0"/>
        <w:ind w:left="720" w:hanging="720"/>
        <w:rPr>
          <w:lang w:val="pt-BR"/>
        </w:rPr>
      </w:pPr>
      <w:r w:rsidRPr="004243C6">
        <w:rPr>
          <w:lang w:val="pt-BR"/>
        </w:rPr>
        <w:t xml:space="preserve">Olivier, C. E., Pinto, D. G., Teixeira, A. P. M., Santana, J. L. S., Santos, R. A. P. G. S., Lima, R. P. S., </w:t>
      </w:r>
      <w:r w:rsidR="0027162B" w:rsidRPr="004243C6">
        <w:rPr>
          <w:lang w:val="pt-BR"/>
        </w:rPr>
        <w:t>et al.</w:t>
      </w:r>
      <w:r w:rsidRPr="004243C6">
        <w:rPr>
          <w:lang w:val="pt-BR"/>
        </w:rPr>
        <w:t xml:space="preserve"> </w:t>
      </w:r>
      <w:r w:rsidR="0027162B" w:rsidRPr="004243C6">
        <w:t>(</w:t>
      </w:r>
      <w:r w:rsidRPr="004243C6">
        <w:t>2023h</w:t>
      </w:r>
      <w:r w:rsidR="0027162B" w:rsidRPr="004243C6">
        <w:t>)</w:t>
      </w:r>
      <w:r w:rsidRPr="004243C6">
        <w:t>. Evaluating Non-IgE-Mediated Allergens</w:t>
      </w:r>
      <w:r w:rsidR="00555300" w:rsidRPr="004243C6">
        <w:t>'</w:t>
      </w:r>
      <w:r w:rsidRPr="004243C6">
        <w:t xml:space="preserve"> Immunoreactivity in Patients Formerly Classified as </w:t>
      </w:r>
      <w:r w:rsidR="00555300" w:rsidRPr="004243C6">
        <w:t>"</w:t>
      </w:r>
      <w:r w:rsidRPr="004243C6">
        <w:t>Intrinsic</w:t>
      </w:r>
      <w:r w:rsidR="00555300" w:rsidRPr="004243C6">
        <w:t>"</w:t>
      </w:r>
      <w:r w:rsidRPr="004243C6">
        <w:t xml:space="preserve"> Asthmatics with Help of the Leukocyte Adherence Inhibition Test. </w:t>
      </w:r>
      <w:r w:rsidRPr="004243C6">
        <w:rPr>
          <w:i/>
          <w:lang w:val="pt-BR"/>
        </w:rPr>
        <w:t>European Journal of Clinical Medicine</w:t>
      </w:r>
      <w:r w:rsidRPr="004243C6">
        <w:rPr>
          <w:lang w:val="pt-BR"/>
        </w:rPr>
        <w:t>, 4(2): 1-7.</w:t>
      </w:r>
    </w:p>
    <w:p w14:paraId="496B2395" w14:textId="6C534B2A" w:rsidR="003A7DE7" w:rsidRPr="004243C6" w:rsidRDefault="003A7DE7" w:rsidP="003A7DE7">
      <w:pPr>
        <w:pStyle w:val="EndNoteBibliography"/>
        <w:spacing w:after="0"/>
        <w:ind w:left="720" w:hanging="720"/>
      </w:pPr>
      <w:r w:rsidRPr="004243C6">
        <w:rPr>
          <w:lang w:val="pt-BR"/>
        </w:rPr>
        <w:t xml:space="preserve">Olivier, C. E., Santos, R. A. P. G., Lima, R. P. S., Argentão, D. G. P., Silva, G. K. M., &amp; Silva, M. D. </w:t>
      </w:r>
      <w:r w:rsidR="0027162B" w:rsidRPr="004243C6">
        <w:rPr>
          <w:lang w:val="pt-BR"/>
        </w:rPr>
        <w:t>(</w:t>
      </w:r>
      <w:r w:rsidRPr="004243C6">
        <w:rPr>
          <w:lang w:val="pt-BR"/>
        </w:rPr>
        <w:t>2014</w:t>
      </w:r>
      <w:r w:rsidR="0027162B" w:rsidRPr="004243C6">
        <w:rPr>
          <w:lang w:val="pt-BR"/>
        </w:rPr>
        <w:t>)</w:t>
      </w:r>
      <w:r w:rsidRPr="004243C6">
        <w:rPr>
          <w:lang w:val="pt-BR"/>
        </w:rPr>
        <w:t xml:space="preserve">. </w:t>
      </w:r>
      <w:r w:rsidRPr="004243C6">
        <w:t xml:space="preserve">A Novel Utility for an Old Method: The Leukocyte Adherence Inhibition Test Is an Easy Way to Detect the Immunoreactive Interference of the Collection Tube Anticoagulant on Cellular Immunoassays. </w:t>
      </w:r>
      <w:r w:rsidRPr="004243C6">
        <w:rPr>
          <w:i/>
        </w:rPr>
        <w:t>Journal of Cell Adhesion</w:t>
      </w:r>
      <w:r w:rsidRPr="004243C6">
        <w:t>, Article ID 860427(http://dx.doi.org/10.1155/2014/860427): 1-6.</w:t>
      </w:r>
    </w:p>
    <w:p w14:paraId="2E40E5A5" w14:textId="5A1431F7" w:rsidR="003A7DE7" w:rsidRPr="004243C6" w:rsidRDefault="003A7DE7" w:rsidP="003A7DE7">
      <w:pPr>
        <w:pStyle w:val="EndNoteBibliography"/>
        <w:spacing w:after="0"/>
        <w:ind w:left="720" w:hanging="720"/>
      </w:pPr>
      <w:r w:rsidRPr="004243C6">
        <w:t xml:space="preserve">Pérez-Cano, F. J., Massot-Cladera, M., Franch, À., Castellote, C., &amp; Castell, M. </w:t>
      </w:r>
      <w:r w:rsidR="0027162B" w:rsidRPr="004243C6">
        <w:t>(</w:t>
      </w:r>
      <w:r w:rsidRPr="004243C6">
        <w:t>2013</w:t>
      </w:r>
      <w:r w:rsidR="0027162B" w:rsidRPr="004243C6">
        <w:t>)</w:t>
      </w:r>
      <w:r w:rsidRPr="004243C6">
        <w:t xml:space="preserve">. The effects of cocoa on the immune system. </w:t>
      </w:r>
      <w:r w:rsidRPr="004243C6">
        <w:rPr>
          <w:i/>
        </w:rPr>
        <w:t>Frontiers in Pharmacology</w:t>
      </w:r>
      <w:r w:rsidRPr="004243C6">
        <w:t xml:space="preserve">, </w:t>
      </w:r>
      <w:r w:rsidR="0027162B" w:rsidRPr="004243C6">
        <w:t>4:4:71.</w:t>
      </w:r>
    </w:p>
    <w:p w14:paraId="0AB6AE9B" w14:textId="42AE7A05" w:rsidR="003A7DE7" w:rsidRPr="00444990" w:rsidRDefault="003A7DE7" w:rsidP="003A7DE7">
      <w:pPr>
        <w:pStyle w:val="EndNoteBibliography"/>
        <w:spacing w:after="0"/>
        <w:ind w:left="720" w:hanging="720"/>
      </w:pPr>
      <w:r w:rsidRPr="00444990">
        <w:t xml:space="preserve">Pilolli, R., Lamonaca, A., Nitride, C., De Angelis, E., van Poucke, C., Gillard, N., </w:t>
      </w:r>
      <w:r w:rsidR="0027162B" w:rsidRPr="00444990">
        <w:t>et al. (</w:t>
      </w:r>
      <w:r w:rsidRPr="00444990">
        <w:t>2024</w:t>
      </w:r>
      <w:r w:rsidR="0027162B" w:rsidRPr="00444990">
        <w:t>)</w:t>
      </w:r>
      <w:r w:rsidRPr="00444990">
        <w:t xml:space="preserve">. </w:t>
      </w:r>
      <w:r w:rsidRPr="004243C6">
        <w:t xml:space="preserve">In-house validation of an LC-MS method for the multiplexed quantitative determination of total allergenic food in chocolate. </w:t>
      </w:r>
      <w:r w:rsidRPr="00444990">
        <w:rPr>
          <w:i/>
        </w:rPr>
        <w:lastRenderedPageBreak/>
        <w:t>Analytical and Bioanalytical Chemistry</w:t>
      </w:r>
      <w:r w:rsidRPr="00444990">
        <w:t>, 416(3): 809-825.</w:t>
      </w:r>
    </w:p>
    <w:p w14:paraId="1D55249C" w14:textId="31FDE370" w:rsidR="003A7DE7" w:rsidRPr="004243C6" w:rsidRDefault="003A7DE7" w:rsidP="003A7DE7">
      <w:pPr>
        <w:pStyle w:val="EndNoteBibliography"/>
        <w:spacing w:after="0"/>
        <w:ind w:left="720" w:hanging="720"/>
      </w:pPr>
      <w:r w:rsidRPr="00444990">
        <w:t xml:space="preserve">Ricciardi, L., Arena, A., Arena, E., Zambito, M., Ingrassia, A., Valenti, G., </w:t>
      </w:r>
      <w:r w:rsidR="0027162B" w:rsidRPr="00444990">
        <w:t>et al. (</w:t>
      </w:r>
      <w:r w:rsidRPr="00444990">
        <w:t>2014</w:t>
      </w:r>
      <w:r w:rsidR="0027162B" w:rsidRPr="00444990">
        <w:t>)</w:t>
      </w:r>
      <w:r w:rsidRPr="00444990">
        <w:t xml:space="preserve">. </w:t>
      </w:r>
      <w:r w:rsidRPr="004243C6">
        <w:t xml:space="preserve">Systemic nickel allergy syndrome: epidemiological data from four Italian allergy units. </w:t>
      </w:r>
      <w:r w:rsidR="001C23C7" w:rsidRPr="004243C6">
        <w:rPr>
          <w:i/>
        </w:rPr>
        <w:t>International Journal Immunopathology and Pharmacology,</w:t>
      </w:r>
      <w:r w:rsidRPr="004243C6">
        <w:t xml:space="preserve"> 27(1): 131-136.</w:t>
      </w:r>
    </w:p>
    <w:p w14:paraId="666A4644" w14:textId="5A5EC225" w:rsidR="003A7DE7" w:rsidRPr="004243C6" w:rsidRDefault="003A7DE7" w:rsidP="003A7DE7">
      <w:pPr>
        <w:pStyle w:val="EndNoteBibliography"/>
        <w:spacing w:after="0"/>
        <w:ind w:left="720" w:hanging="720"/>
      </w:pPr>
      <w:r w:rsidRPr="004243C6">
        <w:t xml:space="preserve">Ricciardi, L., Carni, A., Loschiavo, G., Gangemi, S., Tigano, V., Arena, E., </w:t>
      </w:r>
      <w:r w:rsidR="00622254" w:rsidRPr="004243C6">
        <w:t>et al.</w:t>
      </w:r>
      <w:r w:rsidRPr="004243C6">
        <w:t xml:space="preserve"> </w:t>
      </w:r>
      <w:r w:rsidR="00622254" w:rsidRPr="004243C6">
        <w:t>(</w:t>
      </w:r>
      <w:r w:rsidRPr="004243C6">
        <w:t>2013</w:t>
      </w:r>
      <w:r w:rsidR="00622254" w:rsidRPr="004243C6">
        <w:t>)</w:t>
      </w:r>
      <w:r w:rsidRPr="004243C6">
        <w:t xml:space="preserve">. Systemic nickel allergy: oral desensitization and possible role of cytokines interleukins 2 and 10. </w:t>
      </w:r>
      <w:r w:rsidR="00770994" w:rsidRPr="004243C6">
        <w:rPr>
          <w:i/>
        </w:rPr>
        <w:t>International Journal Immunopathology and Pharmacology</w:t>
      </w:r>
      <w:r w:rsidRPr="004243C6">
        <w:t>, 26(1): 251-257.</w:t>
      </w:r>
    </w:p>
    <w:p w14:paraId="1616977E" w14:textId="15888FCF" w:rsidR="003A7DE7" w:rsidRPr="004243C6" w:rsidRDefault="003A7DE7" w:rsidP="003A7DE7">
      <w:pPr>
        <w:pStyle w:val="EndNoteBibliography"/>
        <w:spacing w:after="0"/>
        <w:ind w:left="720" w:hanging="720"/>
      </w:pPr>
      <w:r w:rsidRPr="004243C6">
        <w:t xml:space="preserve">Roediger, B., &amp; Weninger, W. </w:t>
      </w:r>
      <w:r w:rsidR="00622254" w:rsidRPr="004243C6">
        <w:t>(</w:t>
      </w:r>
      <w:r w:rsidRPr="004243C6">
        <w:t>2011</w:t>
      </w:r>
      <w:r w:rsidR="00622254" w:rsidRPr="004243C6">
        <w:t>)</w:t>
      </w:r>
      <w:r w:rsidRPr="004243C6">
        <w:t xml:space="preserve">. How nickel turns on innate immune cells. </w:t>
      </w:r>
      <w:r w:rsidRPr="004243C6">
        <w:rPr>
          <w:i/>
        </w:rPr>
        <w:t>Immunol</w:t>
      </w:r>
      <w:r w:rsidR="00622254" w:rsidRPr="004243C6">
        <w:rPr>
          <w:i/>
        </w:rPr>
        <w:t>ogy and</w:t>
      </w:r>
      <w:r w:rsidRPr="004243C6">
        <w:rPr>
          <w:i/>
        </w:rPr>
        <w:t xml:space="preserve"> Cell Biol</w:t>
      </w:r>
      <w:r w:rsidR="00622254" w:rsidRPr="004243C6">
        <w:rPr>
          <w:i/>
        </w:rPr>
        <w:t>ogy</w:t>
      </w:r>
      <w:r w:rsidRPr="004243C6">
        <w:t>, 89(1): 1-2.</w:t>
      </w:r>
    </w:p>
    <w:p w14:paraId="7BBE68C1" w14:textId="57F3C153" w:rsidR="003A7DE7" w:rsidRPr="004243C6" w:rsidRDefault="003A7DE7" w:rsidP="003A7DE7">
      <w:pPr>
        <w:pStyle w:val="EndNoteBibliography"/>
        <w:spacing w:after="0"/>
        <w:ind w:left="720" w:hanging="720"/>
      </w:pPr>
      <w:r w:rsidRPr="004243C6">
        <w:t xml:space="preserve">Sapartini, G., Wong, G. W. K., Indrati, A. R., Kartasasmita, C. B., &amp; Setiabudiawan, B. </w:t>
      </w:r>
      <w:r w:rsidR="00622254" w:rsidRPr="004243C6">
        <w:t>(</w:t>
      </w:r>
      <w:r w:rsidRPr="004243C6">
        <w:t>2025</w:t>
      </w:r>
      <w:r w:rsidR="00622254" w:rsidRPr="004243C6">
        <w:t>)</w:t>
      </w:r>
      <w:r w:rsidRPr="004243C6">
        <w:t xml:space="preserve">. Asthma Risk Prevalence and Associated Factors in Stunted Children: A Study Using Asthma Predictive Index. </w:t>
      </w:r>
      <w:r w:rsidRPr="004243C6">
        <w:rPr>
          <w:i/>
        </w:rPr>
        <w:t>Medicina (MDPI)</w:t>
      </w:r>
      <w:r w:rsidRPr="004243C6">
        <w:t>, 61(1): 140.</w:t>
      </w:r>
    </w:p>
    <w:p w14:paraId="52C5A5DB" w14:textId="4F8CC986" w:rsidR="003A7DE7" w:rsidRPr="004243C6" w:rsidRDefault="003A7DE7" w:rsidP="003A7DE7">
      <w:pPr>
        <w:pStyle w:val="EndNoteBibliography"/>
        <w:spacing w:after="0"/>
        <w:ind w:left="720" w:hanging="720"/>
      </w:pPr>
      <w:r w:rsidRPr="004243C6">
        <w:t xml:space="preserve">Schäfer, T., Böhler, E., Ruhdorfer, S., Weigl, L., Wessner, D., Filipiak, B., </w:t>
      </w:r>
      <w:r w:rsidR="00622254" w:rsidRPr="004243C6">
        <w:t>et al.</w:t>
      </w:r>
      <w:r w:rsidRPr="004243C6">
        <w:t xml:space="preserve"> </w:t>
      </w:r>
      <w:r w:rsidR="00622254" w:rsidRPr="004243C6">
        <w:t>(</w:t>
      </w:r>
      <w:r w:rsidRPr="004243C6">
        <w:t>2001</w:t>
      </w:r>
      <w:r w:rsidR="00622254" w:rsidRPr="004243C6">
        <w:t>)</w:t>
      </w:r>
      <w:r w:rsidRPr="004243C6">
        <w:t xml:space="preserve">. Epidemiology of contact allergy in adults. </w:t>
      </w:r>
      <w:r w:rsidRPr="004243C6">
        <w:rPr>
          <w:i/>
        </w:rPr>
        <w:t>Allergy</w:t>
      </w:r>
      <w:r w:rsidRPr="004243C6">
        <w:t>, 56(12): 1192-1196.</w:t>
      </w:r>
    </w:p>
    <w:p w14:paraId="03789236" w14:textId="51926E95" w:rsidR="003A7DE7" w:rsidRPr="004243C6" w:rsidRDefault="003A7DE7" w:rsidP="003A7DE7">
      <w:pPr>
        <w:pStyle w:val="EndNoteBibliography"/>
        <w:spacing w:after="0"/>
        <w:ind w:left="720" w:hanging="720"/>
      </w:pPr>
      <w:r w:rsidRPr="004243C6">
        <w:t xml:space="preserve">Schmidt, M., Raghavan, B., Müller, V., Vogl, T., Fejer, G., Tchaptchet, S., </w:t>
      </w:r>
      <w:r w:rsidR="00622254" w:rsidRPr="004243C6">
        <w:t>et al.</w:t>
      </w:r>
      <w:r w:rsidRPr="004243C6">
        <w:t xml:space="preserve"> </w:t>
      </w:r>
      <w:r w:rsidR="00622254" w:rsidRPr="004243C6">
        <w:t>(</w:t>
      </w:r>
      <w:r w:rsidRPr="004243C6">
        <w:t>2010</w:t>
      </w:r>
      <w:r w:rsidR="00622254" w:rsidRPr="004243C6">
        <w:t>)</w:t>
      </w:r>
      <w:r w:rsidRPr="004243C6">
        <w:t xml:space="preserve">. Crucial role for human Toll-like receptor 4 in the development of contact allergy to nickel. </w:t>
      </w:r>
      <w:r w:rsidRPr="004243C6">
        <w:rPr>
          <w:i/>
        </w:rPr>
        <w:t>Nat</w:t>
      </w:r>
      <w:r w:rsidR="00622254" w:rsidRPr="004243C6">
        <w:rPr>
          <w:i/>
        </w:rPr>
        <w:t>ure</w:t>
      </w:r>
      <w:r w:rsidRPr="004243C6">
        <w:rPr>
          <w:i/>
        </w:rPr>
        <w:t xml:space="preserve"> Immunol</w:t>
      </w:r>
      <w:r w:rsidR="00622254" w:rsidRPr="004243C6">
        <w:rPr>
          <w:i/>
        </w:rPr>
        <w:t>ogy</w:t>
      </w:r>
      <w:r w:rsidRPr="004243C6">
        <w:t>, 11(9): 814-819.</w:t>
      </w:r>
    </w:p>
    <w:p w14:paraId="438DD851" w14:textId="6800FC55" w:rsidR="003A7DE7" w:rsidRPr="004243C6" w:rsidRDefault="003A7DE7" w:rsidP="003A7DE7">
      <w:pPr>
        <w:pStyle w:val="EndNoteBibliography"/>
        <w:spacing w:after="0"/>
        <w:ind w:left="720" w:hanging="720"/>
      </w:pPr>
      <w:r w:rsidRPr="004243C6">
        <w:t xml:space="preserve">Sharma, A. D. </w:t>
      </w:r>
      <w:r w:rsidR="00622254" w:rsidRPr="004243C6">
        <w:t>(</w:t>
      </w:r>
      <w:r w:rsidRPr="004243C6">
        <w:t>2013</w:t>
      </w:r>
      <w:r w:rsidR="00622254" w:rsidRPr="004243C6">
        <w:t>)</w:t>
      </w:r>
      <w:r w:rsidRPr="004243C6">
        <w:t xml:space="preserve">. Low nickel diet in dermatology. </w:t>
      </w:r>
      <w:r w:rsidRPr="004243C6">
        <w:rPr>
          <w:i/>
        </w:rPr>
        <w:t>Indian Journal of Dermatology</w:t>
      </w:r>
      <w:r w:rsidRPr="004243C6">
        <w:t>, 58(3): 240.</w:t>
      </w:r>
    </w:p>
    <w:p w14:paraId="33B065D5" w14:textId="2BED8071" w:rsidR="003A7DE7" w:rsidRPr="004243C6" w:rsidRDefault="003A7DE7" w:rsidP="003A7DE7">
      <w:pPr>
        <w:pStyle w:val="EndNoteBibliography"/>
        <w:spacing w:after="0"/>
        <w:ind w:left="720" w:hanging="720"/>
      </w:pPr>
      <w:r w:rsidRPr="004243C6">
        <w:t xml:space="preserve">Sloan, A. E., &amp; Powers, M. E. </w:t>
      </w:r>
      <w:r w:rsidR="00622254" w:rsidRPr="004243C6">
        <w:t>(</w:t>
      </w:r>
      <w:r w:rsidRPr="004243C6">
        <w:t>1986</w:t>
      </w:r>
      <w:r w:rsidR="00622254" w:rsidRPr="004243C6">
        <w:t>)</w:t>
      </w:r>
      <w:r w:rsidRPr="004243C6">
        <w:t xml:space="preserve">. A perspective on popular perceptions of adverse reactions to foods. </w:t>
      </w:r>
      <w:r w:rsidRPr="004243C6">
        <w:rPr>
          <w:i/>
        </w:rPr>
        <w:t>The Journal of Allergy and Clinical Immunology</w:t>
      </w:r>
      <w:r w:rsidRPr="004243C6">
        <w:t>, 78(1 Pt 2): 127-133.</w:t>
      </w:r>
    </w:p>
    <w:p w14:paraId="113F5E05" w14:textId="77777777" w:rsidR="003A7DE7" w:rsidRPr="004243C6" w:rsidRDefault="003A7DE7" w:rsidP="003A7DE7">
      <w:pPr>
        <w:pStyle w:val="EndNoteBibliography"/>
        <w:spacing w:after="0"/>
        <w:ind w:left="720" w:hanging="720"/>
      </w:pPr>
      <w:r w:rsidRPr="004243C6">
        <w:t xml:space="preserve">Thomson, D. M. P. 1982. </w:t>
      </w:r>
      <w:r w:rsidRPr="004243C6">
        <w:rPr>
          <w:i/>
        </w:rPr>
        <w:t xml:space="preserve">Assessment of immune status by the leukocyte </w:t>
      </w:r>
      <w:r w:rsidRPr="004243C6">
        <w:rPr>
          <w:i/>
        </w:rPr>
        <w:t>adherence inhibition test</w:t>
      </w:r>
      <w:r w:rsidRPr="004243C6">
        <w:t>. New York: Academic Press.</w:t>
      </w:r>
    </w:p>
    <w:p w14:paraId="47069DCA" w14:textId="4C58D8C0" w:rsidR="003A7DE7" w:rsidRPr="004243C6" w:rsidRDefault="003A7DE7" w:rsidP="003A7DE7">
      <w:pPr>
        <w:pStyle w:val="EndNoteBibliography"/>
        <w:spacing w:after="0"/>
        <w:ind w:left="720" w:hanging="720"/>
      </w:pPr>
      <w:r w:rsidRPr="004243C6">
        <w:t xml:space="preserve">Tong, A. W., Burger, D. R., Finke, P., Barney, C., Vandenbark, A. A., &amp; Vetto, R. M. </w:t>
      </w:r>
      <w:r w:rsidR="00F72402" w:rsidRPr="004243C6">
        <w:t>(</w:t>
      </w:r>
      <w:r w:rsidRPr="004243C6">
        <w:t>1979</w:t>
      </w:r>
      <w:r w:rsidR="00F72402" w:rsidRPr="004243C6">
        <w:t>)</w:t>
      </w:r>
      <w:r w:rsidRPr="004243C6">
        <w:t xml:space="preserve">. Assessment of the mechanism of the leukocyte adherence inhibition test. </w:t>
      </w:r>
      <w:r w:rsidRPr="004243C6">
        <w:rPr>
          <w:i/>
        </w:rPr>
        <w:t>Cancer Res</w:t>
      </w:r>
      <w:r w:rsidR="00F75AA7" w:rsidRPr="004243C6">
        <w:rPr>
          <w:i/>
        </w:rPr>
        <w:t>earch</w:t>
      </w:r>
      <w:r w:rsidRPr="004243C6">
        <w:t>, 39(2 Pt 2): 597-603.</w:t>
      </w:r>
    </w:p>
    <w:p w14:paraId="63E01C28" w14:textId="1C75A18E" w:rsidR="003A7DE7" w:rsidRPr="004243C6" w:rsidRDefault="003A7DE7" w:rsidP="003A7DE7">
      <w:pPr>
        <w:pStyle w:val="EndNoteBibliography"/>
        <w:spacing w:after="0"/>
        <w:ind w:left="720" w:hanging="720"/>
      </w:pPr>
      <w:r w:rsidRPr="004243C6">
        <w:t xml:space="preserve">Veien, N. K. </w:t>
      </w:r>
      <w:r w:rsidR="00F72402" w:rsidRPr="004243C6">
        <w:t>(</w:t>
      </w:r>
      <w:r w:rsidRPr="004243C6">
        <w:t>2011</w:t>
      </w:r>
      <w:r w:rsidR="00F72402" w:rsidRPr="004243C6">
        <w:t>)</w:t>
      </w:r>
      <w:r w:rsidRPr="004243C6">
        <w:t xml:space="preserve">. Systemic contact dermatitis. </w:t>
      </w:r>
      <w:r w:rsidRPr="004243C6">
        <w:rPr>
          <w:i/>
        </w:rPr>
        <w:t>International Journal of Dermatology</w:t>
      </w:r>
      <w:r w:rsidRPr="004243C6">
        <w:t>, 50(12): 1445-1456.</w:t>
      </w:r>
    </w:p>
    <w:p w14:paraId="27A51934" w14:textId="1B059694" w:rsidR="003A7DE7" w:rsidRPr="004243C6" w:rsidRDefault="003A7DE7" w:rsidP="003A7DE7">
      <w:pPr>
        <w:pStyle w:val="EndNoteBibliography"/>
        <w:spacing w:after="0"/>
        <w:ind w:left="720" w:hanging="720"/>
        <w:rPr>
          <w:lang w:val="pt-BR"/>
        </w:rPr>
      </w:pPr>
      <w:r w:rsidRPr="004243C6">
        <w:t xml:space="preserve">Veien, N. K., Hattel, T., Justesen, O., &amp; Nørholm, A. </w:t>
      </w:r>
      <w:r w:rsidR="00F72402" w:rsidRPr="004243C6">
        <w:t>(</w:t>
      </w:r>
      <w:r w:rsidRPr="004243C6">
        <w:t>1985</w:t>
      </w:r>
      <w:r w:rsidR="00F72402" w:rsidRPr="004243C6">
        <w:t>)</w:t>
      </w:r>
      <w:r w:rsidRPr="004243C6">
        <w:t xml:space="preserve">. Dietary treatment of nickel dermatitis. </w:t>
      </w:r>
      <w:r w:rsidRPr="004243C6">
        <w:rPr>
          <w:i/>
          <w:lang w:val="pt-BR"/>
        </w:rPr>
        <w:t>Acta Dermato-Venereologica</w:t>
      </w:r>
      <w:r w:rsidRPr="004243C6">
        <w:rPr>
          <w:lang w:val="pt-BR"/>
        </w:rPr>
        <w:t>, 65(2): 138-142.</w:t>
      </w:r>
    </w:p>
    <w:p w14:paraId="03C49E3C" w14:textId="43FCC412" w:rsidR="003A7DE7" w:rsidRPr="004243C6" w:rsidRDefault="003A7DE7" w:rsidP="003A7DE7">
      <w:pPr>
        <w:pStyle w:val="EndNoteBibliography"/>
        <w:spacing w:after="0"/>
        <w:ind w:left="720" w:hanging="720"/>
      </w:pPr>
      <w:r w:rsidRPr="00444990">
        <w:rPr>
          <w:lang w:val="pt-BR"/>
        </w:rPr>
        <w:t xml:space="preserve">Veien, N. K., Hattel, T., Justesen, O., &amp; Nørholm, A. </w:t>
      </w:r>
      <w:r w:rsidR="0091684B" w:rsidRPr="00444990">
        <w:rPr>
          <w:lang w:val="pt-BR"/>
        </w:rPr>
        <w:t>(</w:t>
      </w:r>
      <w:r w:rsidRPr="00444990">
        <w:rPr>
          <w:lang w:val="pt-BR"/>
        </w:rPr>
        <w:t>1987</w:t>
      </w:r>
      <w:r w:rsidR="0091684B" w:rsidRPr="00444990">
        <w:rPr>
          <w:lang w:val="pt-BR"/>
        </w:rPr>
        <w:t>)</w:t>
      </w:r>
      <w:r w:rsidRPr="00444990">
        <w:rPr>
          <w:lang w:val="pt-BR"/>
        </w:rPr>
        <w:t xml:space="preserve">. </w:t>
      </w:r>
      <w:r w:rsidRPr="004243C6">
        <w:t xml:space="preserve">Oral challenge with nickel and cobalt in patients with positive patch tests to nickel and/or cobalt. </w:t>
      </w:r>
      <w:r w:rsidRPr="004243C6">
        <w:rPr>
          <w:i/>
        </w:rPr>
        <w:t>Acta Dermato-Venereologica</w:t>
      </w:r>
      <w:r w:rsidRPr="004243C6">
        <w:t>, 67(4): 321-325.</w:t>
      </w:r>
    </w:p>
    <w:p w14:paraId="28F71C12" w14:textId="7A0EEB42" w:rsidR="003A7DE7" w:rsidRPr="004243C6" w:rsidRDefault="003A7DE7" w:rsidP="003A7DE7">
      <w:pPr>
        <w:pStyle w:val="EndNoteBibliography"/>
        <w:spacing w:after="0"/>
        <w:ind w:left="720" w:hanging="720"/>
      </w:pPr>
      <w:r w:rsidRPr="00444990">
        <w:t xml:space="preserve">Veien, N. K., &amp; Menné, T. </w:t>
      </w:r>
      <w:r w:rsidR="0091684B" w:rsidRPr="00444990">
        <w:t>(</w:t>
      </w:r>
      <w:r w:rsidRPr="00444990">
        <w:t>1990</w:t>
      </w:r>
      <w:r w:rsidR="0091684B" w:rsidRPr="00444990">
        <w:t>)</w:t>
      </w:r>
      <w:r w:rsidRPr="00444990">
        <w:t xml:space="preserve">. </w:t>
      </w:r>
      <w:r w:rsidRPr="004243C6">
        <w:t xml:space="preserve">Nickel contact allergy and a nickel-restricted diet. </w:t>
      </w:r>
      <w:r w:rsidRPr="004243C6">
        <w:rPr>
          <w:i/>
        </w:rPr>
        <w:t>Seminars in Dermatology</w:t>
      </w:r>
      <w:r w:rsidRPr="004243C6">
        <w:t>, 9(3): 197-205.</w:t>
      </w:r>
    </w:p>
    <w:p w14:paraId="2AFCA1D4" w14:textId="0663AE2F" w:rsidR="003A7DE7" w:rsidRPr="004243C6" w:rsidRDefault="003A7DE7" w:rsidP="003A7DE7">
      <w:pPr>
        <w:pStyle w:val="EndNoteBibliography"/>
        <w:spacing w:after="0"/>
        <w:ind w:left="720" w:hanging="720"/>
      </w:pPr>
      <w:r w:rsidRPr="004243C6">
        <w:t xml:space="preserve">Wells, H. G. </w:t>
      </w:r>
      <w:r w:rsidR="0091684B" w:rsidRPr="004243C6">
        <w:t>(</w:t>
      </w:r>
      <w:r w:rsidRPr="004243C6">
        <w:t>1911</w:t>
      </w:r>
      <w:r w:rsidR="0091684B" w:rsidRPr="004243C6">
        <w:t>)</w:t>
      </w:r>
      <w:r w:rsidRPr="004243C6">
        <w:t xml:space="preserve">. Studies on the chemistry of anaphylaxis (III). Experiments with isolated proteins, especially those of the hen's egg. </w:t>
      </w:r>
      <w:r w:rsidRPr="004243C6">
        <w:rPr>
          <w:i/>
        </w:rPr>
        <w:t>Journal of Infectious Diseases</w:t>
      </w:r>
      <w:r w:rsidRPr="004243C6">
        <w:t>, 9: 147-171.</w:t>
      </w:r>
    </w:p>
    <w:p w14:paraId="38D8F9D7" w14:textId="57714105" w:rsidR="003A7DE7" w:rsidRPr="004243C6" w:rsidRDefault="003A7DE7" w:rsidP="003A7DE7">
      <w:pPr>
        <w:pStyle w:val="EndNoteBibliography"/>
        <w:spacing w:after="0"/>
        <w:ind w:left="720" w:hanging="720"/>
      </w:pPr>
      <w:r w:rsidRPr="004243C6">
        <w:t xml:space="preserve">Williams, C. A., &amp; Chase, M. W. </w:t>
      </w:r>
      <w:r w:rsidR="0091684B" w:rsidRPr="004243C6">
        <w:t>(</w:t>
      </w:r>
      <w:r w:rsidRPr="004243C6">
        <w:t>1971</w:t>
      </w:r>
      <w:r w:rsidR="0091684B" w:rsidRPr="004243C6">
        <w:t>)</w:t>
      </w:r>
      <w:r w:rsidRPr="004243C6">
        <w:t xml:space="preserve">. CHAPTER 13 - Precipitation Reactions, </w:t>
      </w:r>
      <w:r w:rsidRPr="004243C6">
        <w:rPr>
          <w:i/>
        </w:rPr>
        <w:t>Reactions of Antibodies with Soluble Antigens</w:t>
      </w:r>
      <w:r w:rsidRPr="004243C6">
        <w:t>, Vol. 3: 1-102: Academic Press.</w:t>
      </w:r>
    </w:p>
    <w:p w14:paraId="76F56CF1" w14:textId="702B8F8E" w:rsidR="003A7DE7" w:rsidRPr="004243C6" w:rsidRDefault="003A7DE7" w:rsidP="003A7DE7">
      <w:pPr>
        <w:pStyle w:val="EndNoteBibliography"/>
        <w:spacing w:after="0"/>
        <w:ind w:left="720" w:hanging="720"/>
      </w:pPr>
      <w:r w:rsidRPr="004243C6">
        <w:t xml:space="preserve">WMA. </w:t>
      </w:r>
      <w:r w:rsidR="0091684B" w:rsidRPr="004243C6">
        <w:t>(</w:t>
      </w:r>
      <w:r w:rsidRPr="004243C6">
        <w:t>2013</w:t>
      </w:r>
      <w:r w:rsidR="0091684B" w:rsidRPr="004243C6">
        <w:t>)</w:t>
      </w:r>
      <w:r w:rsidRPr="004243C6">
        <w:t xml:space="preserve">. World Medical Association Declaration of Helsinki: ethical principles for medical research involving human subjects. </w:t>
      </w:r>
      <w:r w:rsidR="0091684B" w:rsidRPr="004243C6">
        <w:rPr>
          <w:i/>
        </w:rPr>
        <w:t>Journal of Allergy and Clinical Immunology</w:t>
      </w:r>
      <w:r w:rsidRPr="004243C6">
        <w:t>, 310(20): 2191-2194.</w:t>
      </w:r>
    </w:p>
    <w:p w14:paraId="40615076" w14:textId="342CF622" w:rsidR="003A7DE7" w:rsidRPr="004243C6" w:rsidRDefault="003A7DE7" w:rsidP="003A7DE7">
      <w:pPr>
        <w:pStyle w:val="EndNoteBibliography"/>
        <w:spacing w:after="0"/>
        <w:ind w:left="720" w:hanging="720"/>
      </w:pPr>
      <w:r w:rsidRPr="004243C6">
        <w:t xml:space="preserve">Yoon, Y., &amp; Bunyavanich, S. </w:t>
      </w:r>
      <w:r w:rsidR="0091684B" w:rsidRPr="004243C6">
        <w:t>(</w:t>
      </w:r>
      <w:r w:rsidRPr="004243C6">
        <w:t>2025</w:t>
      </w:r>
      <w:r w:rsidR="0091684B" w:rsidRPr="004243C6">
        <w:t>)</w:t>
      </w:r>
      <w:r w:rsidRPr="004243C6">
        <w:t xml:space="preserve">. Multi-omic Approaches for Endotype Discovery in Allergy/Immunology. </w:t>
      </w:r>
      <w:r w:rsidRPr="004243C6">
        <w:rPr>
          <w:i/>
        </w:rPr>
        <w:t>Journal of Allergy and Clinical Immunology</w:t>
      </w:r>
      <w:r w:rsidRPr="004243C6">
        <w:t>.</w:t>
      </w:r>
      <w:r w:rsidR="00CD0A72" w:rsidRPr="004243C6">
        <w:t xml:space="preserve"> Dec 31:S0091-6749(24)02473-4.</w:t>
      </w:r>
    </w:p>
    <w:p w14:paraId="7058A2E5" w14:textId="5EB78E9B" w:rsidR="003A7DE7" w:rsidRPr="004243C6" w:rsidRDefault="003A7DE7" w:rsidP="003A7DE7">
      <w:pPr>
        <w:pStyle w:val="EndNoteBibliography"/>
        <w:spacing w:after="0"/>
        <w:ind w:left="720" w:hanging="720"/>
      </w:pPr>
      <w:r w:rsidRPr="00444990">
        <w:t xml:space="preserve">Zhang, J., Tang, Y., Yang, D., &amp; Yu, J. </w:t>
      </w:r>
      <w:r w:rsidR="0091684B" w:rsidRPr="00444990">
        <w:t>(</w:t>
      </w:r>
      <w:r w:rsidRPr="00444990">
        <w:t>2025</w:t>
      </w:r>
      <w:r w:rsidR="0091684B" w:rsidRPr="00444990">
        <w:t>)</w:t>
      </w:r>
      <w:r w:rsidRPr="00444990">
        <w:t xml:space="preserve">. </w:t>
      </w:r>
      <w:r w:rsidRPr="004243C6">
        <w:t xml:space="preserve">Investigating allergen-specific IgE distribution and correlations in </w:t>
      </w:r>
      <w:r w:rsidRPr="004243C6">
        <w:lastRenderedPageBreak/>
        <w:t xml:space="preserve">chronic urticaria: a retrospective study in Shanghai, China. </w:t>
      </w:r>
      <w:r w:rsidRPr="004243C6">
        <w:rPr>
          <w:i/>
        </w:rPr>
        <w:t>European Journal of Medical Research</w:t>
      </w:r>
      <w:r w:rsidRPr="004243C6">
        <w:t>, 30(1): 182.</w:t>
      </w:r>
    </w:p>
    <w:p w14:paraId="136E17D7" w14:textId="2B2D8B06" w:rsidR="003A7DE7" w:rsidRPr="004243C6" w:rsidRDefault="003A7DE7" w:rsidP="003A7DE7">
      <w:pPr>
        <w:pStyle w:val="EndNoteBibliography"/>
        <w:ind w:left="720" w:hanging="720"/>
      </w:pPr>
      <w:r w:rsidRPr="004243C6">
        <w:t xml:space="preserve">Zhang, S., Zhang, X., Wei, C., Zhang, L., &amp; Li, Z. </w:t>
      </w:r>
      <w:r w:rsidR="0091684B" w:rsidRPr="004243C6">
        <w:t>(</w:t>
      </w:r>
      <w:r w:rsidRPr="004243C6">
        <w:t>2024</w:t>
      </w:r>
      <w:r w:rsidR="0091684B" w:rsidRPr="004243C6">
        <w:t>)</w:t>
      </w:r>
      <w:r w:rsidRPr="004243C6">
        <w:t xml:space="preserve">. Causality Between 91 Circulating Inflammatory Proteins and </w:t>
      </w:r>
      <w:r w:rsidRPr="004243C6">
        <w:t xml:space="preserve">Various Asthma Phenotypes: A Mendelian Randomization Study. </w:t>
      </w:r>
      <w:r w:rsidRPr="004243C6">
        <w:rPr>
          <w:i/>
        </w:rPr>
        <w:t>ImmunoTargets and Therapy</w:t>
      </w:r>
      <w:r w:rsidRPr="004243C6">
        <w:t>, 13: 617-629.</w:t>
      </w:r>
    </w:p>
    <w:p w14:paraId="01955545" w14:textId="77777777" w:rsidR="003A7DE7" w:rsidRPr="004243C6" w:rsidRDefault="003A7DE7" w:rsidP="003A7DE7"/>
    <w:p w14:paraId="159D445D" w14:textId="77777777" w:rsidR="004243C6" w:rsidRDefault="004243C6" w:rsidP="003A7DE7">
      <w:pPr>
        <w:sectPr w:rsidR="004243C6" w:rsidSect="004243C6">
          <w:type w:val="continuous"/>
          <w:pgSz w:w="11909" w:h="16834" w:code="9"/>
          <w:pgMar w:top="1440" w:right="1419" w:bottom="1440" w:left="1440" w:header="720" w:footer="864" w:gutter="0"/>
          <w:cols w:num="2" w:space="720"/>
          <w:titlePg/>
          <w:docGrid w:linePitch="360"/>
        </w:sectPr>
      </w:pPr>
    </w:p>
    <w:p w14:paraId="58F4FA74" w14:textId="77777777" w:rsidR="003A7DE7" w:rsidRDefault="003A7DE7" w:rsidP="003A7DE7"/>
    <w:p w14:paraId="0F007CB5" w14:textId="77777777" w:rsidR="00854DA7" w:rsidRDefault="00854DA7"/>
    <w:sectPr w:rsidR="00854DA7" w:rsidSect="00DF1CFC">
      <w:type w:val="continuous"/>
      <w:pgSz w:w="11909" w:h="16834" w:code="9"/>
      <w:pgMar w:top="1440" w:right="1419"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81735" w14:textId="77777777" w:rsidR="0055101F" w:rsidRDefault="0055101F">
      <w:pPr>
        <w:spacing w:after="0" w:line="240" w:lineRule="auto"/>
      </w:pPr>
      <w:r>
        <w:separator/>
      </w:r>
    </w:p>
  </w:endnote>
  <w:endnote w:type="continuationSeparator" w:id="0">
    <w:p w14:paraId="6E2B959E" w14:textId="77777777" w:rsidR="0055101F" w:rsidRDefault="0055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71A0" w14:textId="77777777" w:rsidR="009B36DA" w:rsidRDefault="009B3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129F6" w14:textId="77777777" w:rsidR="009B36DA" w:rsidRDefault="009B36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584C2" w14:textId="77777777" w:rsidR="00DF5887" w:rsidRPr="005E2A7F" w:rsidRDefault="00BB256D"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w:t>
    </w:r>
  </w:p>
  <w:p w14:paraId="4F3303AE" w14:textId="77777777" w:rsidR="00DF5887" w:rsidRPr="005E2A7F" w:rsidRDefault="00DF5887" w:rsidP="00B552F7">
    <w:pPr>
      <w:tabs>
        <w:tab w:val="center" w:pos="4320"/>
        <w:tab w:val="right" w:pos="8640"/>
      </w:tabs>
      <w:spacing w:after="0" w:line="240" w:lineRule="auto"/>
      <w:rPr>
        <w:rFonts w:ascii="Arial" w:eastAsia="Times New Roman" w:hAnsi="Arial" w:cs="Arial"/>
        <w:i/>
        <w:sz w:val="16"/>
        <w:szCs w:val="20"/>
      </w:rPr>
    </w:pPr>
  </w:p>
  <w:p w14:paraId="73211821"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57A795BC"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53282EED"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479D2DF0"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99F8B" w14:textId="77777777" w:rsidR="00DF5887" w:rsidRPr="005E2A7F" w:rsidRDefault="00DF5887">
    <w:pPr>
      <w:pStyle w:val="Footer"/>
      <w:jc w:val="center"/>
      <w:rPr>
        <w:rFonts w:ascii="Arial" w:hAnsi="Arial" w:cs="Arial"/>
        <w:sz w:val="28"/>
      </w:rPr>
    </w:pPr>
  </w:p>
  <w:p w14:paraId="4D4A4C05" w14:textId="77777777" w:rsidR="00DF5887" w:rsidRPr="005E2A7F" w:rsidRDefault="00000000">
    <w:pPr>
      <w:pStyle w:val="Footer"/>
      <w:jc w:val="center"/>
      <w:rPr>
        <w:rFonts w:ascii="Arial" w:hAnsi="Arial" w:cs="Arial"/>
        <w:sz w:val="20"/>
      </w:rPr>
    </w:pPr>
    <w:sdt>
      <w:sdtPr>
        <w:rPr>
          <w:rFonts w:ascii="Arial" w:hAnsi="Arial" w:cs="Arial"/>
          <w:sz w:val="20"/>
        </w:rPr>
        <w:id w:val="2976702"/>
        <w:docPartObj>
          <w:docPartGallery w:val="Page Numbers (Bottom of Page)"/>
          <w:docPartUnique/>
        </w:docPartObj>
      </w:sdtPr>
      <w:sdtContent>
        <w:r w:rsidR="00BB256D" w:rsidRPr="005E2A7F">
          <w:rPr>
            <w:rFonts w:ascii="Arial" w:hAnsi="Arial" w:cs="Arial"/>
            <w:sz w:val="20"/>
          </w:rPr>
          <w:fldChar w:fldCharType="begin"/>
        </w:r>
        <w:r w:rsidR="00BB256D" w:rsidRPr="005E2A7F">
          <w:rPr>
            <w:rFonts w:ascii="Arial" w:hAnsi="Arial" w:cs="Arial"/>
            <w:sz w:val="20"/>
          </w:rPr>
          <w:instrText xml:space="preserve"> PAGE   \* MERGEFORMAT </w:instrText>
        </w:r>
        <w:r w:rsidR="00BB256D" w:rsidRPr="005E2A7F">
          <w:rPr>
            <w:rFonts w:ascii="Arial" w:hAnsi="Arial" w:cs="Arial"/>
            <w:sz w:val="20"/>
          </w:rPr>
          <w:fldChar w:fldCharType="separate"/>
        </w:r>
        <w:r w:rsidR="00BB256D" w:rsidRPr="005E2A7F">
          <w:rPr>
            <w:rFonts w:ascii="Arial" w:hAnsi="Arial" w:cs="Arial"/>
            <w:sz w:val="20"/>
          </w:rPr>
          <w:t>2</w:t>
        </w:r>
        <w:r w:rsidR="00BB256D" w:rsidRPr="005E2A7F">
          <w:rPr>
            <w:rFonts w:ascii="Arial" w:hAnsi="Arial" w:cs="Arial"/>
            <w:sz w:val="20"/>
          </w:rPr>
          <w:fldChar w:fldCharType="end"/>
        </w:r>
      </w:sdtContent>
    </w:sdt>
  </w:p>
  <w:p w14:paraId="36534252" w14:textId="77777777" w:rsidR="00DF5887" w:rsidRPr="005E2A7F" w:rsidRDefault="00DF5887">
    <w:pPr>
      <w:pStyle w:val="Footer"/>
      <w:jc w:val="center"/>
      <w:rPr>
        <w:rFonts w:ascii="Arial" w:hAnsi="Arial" w:cs="Arial"/>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9D4E" w14:textId="77777777" w:rsidR="00DF5887" w:rsidRPr="005E2A7F" w:rsidRDefault="00BB256D" w:rsidP="00B552F7">
    <w:pPr>
      <w:tabs>
        <w:tab w:val="center" w:pos="4320"/>
        <w:tab w:val="right" w:pos="8640"/>
      </w:tabs>
      <w:spacing w:after="0" w:line="240" w:lineRule="auto"/>
      <w:rPr>
        <w:rFonts w:ascii="Arial" w:eastAsia="Times New Roman" w:hAnsi="Arial" w:cs="Arial"/>
        <w:sz w:val="16"/>
        <w:szCs w:val="20"/>
      </w:rPr>
    </w:pPr>
    <w:r w:rsidRPr="005E2A7F">
      <w:rPr>
        <w:rFonts w:ascii="Arial" w:eastAsia="Times New Roman" w:hAnsi="Arial" w:cs="Arial"/>
        <w:sz w:val="16"/>
        <w:szCs w:val="20"/>
      </w:rPr>
      <w:t>_____________________________________________________________________________________________________</w:t>
    </w:r>
  </w:p>
  <w:p w14:paraId="2E917A26" w14:textId="77777777" w:rsidR="00DF5887" w:rsidRPr="005E2A7F" w:rsidRDefault="00DF5887" w:rsidP="00B552F7">
    <w:pPr>
      <w:tabs>
        <w:tab w:val="center" w:pos="4320"/>
        <w:tab w:val="right" w:pos="8640"/>
      </w:tabs>
      <w:spacing w:after="0" w:line="240" w:lineRule="auto"/>
      <w:rPr>
        <w:rFonts w:ascii="Arial" w:eastAsia="Times New Roman" w:hAnsi="Arial" w:cs="Arial"/>
        <w:i/>
        <w:sz w:val="16"/>
        <w:szCs w:val="20"/>
      </w:rPr>
    </w:pPr>
  </w:p>
  <w:p w14:paraId="2F7E2CBA"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45AB9431"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6260F6E9"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p w14:paraId="3CED440D" w14:textId="77777777" w:rsidR="00DF5887" w:rsidRPr="005E2A7F" w:rsidRDefault="00DF5887" w:rsidP="00B552F7">
    <w:pPr>
      <w:tabs>
        <w:tab w:val="center" w:pos="4320"/>
        <w:tab w:val="right" w:pos="8640"/>
      </w:tabs>
      <w:spacing w:after="0" w:line="240" w:lineRule="auto"/>
      <w:jc w:val="both"/>
      <w:rPr>
        <w:rFonts w:ascii="Arial" w:eastAsia="Times New Roman"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B3D39" w14:textId="77777777" w:rsidR="0055101F" w:rsidRDefault="0055101F">
      <w:pPr>
        <w:spacing w:after="0" w:line="240" w:lineRule="auto"/>
      </w:pPr>
      <w:r>
        <w:separator/>
      </w:r>
    </w:p>
  </w:footnote>
  <w:footnote w:type="continuationSeparator" w:id="0">
    <w:p w14:paraId="3824F4EC" w14:textId="77777777" w:rsidR="0055101F" w:rsidRDefault="00551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8CEC5" w14:textId="423191E0" w:rsidR="00DF5887" w:rsidRPr="005E2A7F" w:rsidRDefault="00000000">
    <w:pPr>
      <w:pStyle w:val="Header"/>
    </w:pPr>
    <w:r>
      <w:rPr>
        <w:noProof/>
      </w:rPr>
      <w:pict w14:anchorId="6094A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19" o:spid="_x0000_s1028" type="#_x0000_t136" style="position:absolute;margin-left:0;margin-top:0;width:574.15pt;height:63.75pt;rotation:315;z-index:-25165209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r w:rsidR="00BB256D" w:rsidRPr="005E2A7F">
      <w:rPr>
        <w:noProof/>
      </w:rPr>
      <mc:AlternateContent>
        <mc:Choice Requires="wps">
          <w:drawing>
            <wp:anchor distT="0" distB="0" distL="114300" distR="114300" simplePos="0" relativeHeight="251660288" behindDoc="1" locked="0" layoutInCell="0" allowOverlap="1" wp14:anchorId="2E1DF8E1" wp14:editId="4EE19C04">
              <wp:simplePos x="0" y="0"/>
              <wp:positionH relativeFrom="margin">
                <wp:align>center</wp:align>
              </wp:positionH>
              <wp:positionV relativeFrom="margin">
                <wp:align>center</wp:align>
              </wp:positionV>
              <wp:extent cx="6076950" cy="2025650"/>
              <wp:effectExtent l="0" t="1771650" r="0" b="1270000"/>
              <wp:wrapNone/>
              <wp:docPr id="796480287"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6950" cy="2025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0CB4AB" w14:textId="77777777" w:rsidR="00DF5887" w:rsidRPr="005E2A7F" w:rsidRDefault="00BB256D"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E1DF8E1" id="_x0000_t202" coordsize="21600,21600" o:spt="202" path="m,l,21600r21600,l21600,xe">
              <v:stroke joinstyle="miter"/>
              <v:path gradientshapeok="t" o:connecttype="rect"/>
            </v:shapetype>
            <v:shape id="Caixa de Texto 1" o:spid="_x0000_s1026" type="#_x0000_t202" style="position:absolute;margin-left:0;margin-top:0;width:478.5pt;height:15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" o:allowincell="f" filled="f" stroked="f">
              <v:stroke joinstyle="round"/>
              <o:lock v:ext="edit" shapetype="t"/>
              <v:textbox style="mso-fit-shape-to-text:t">
                <w:txbxContent>
                  <w:p w14:paraId="690CB4AB" w14:textId="77777777" w:rsidR="00DF5887" w:rsidRPr="005E2A7F" w:rsidRDefault="00BB256D" w:rsidP="00102D72">
                    <w:pPr>
                      <w:jc w:val="center"/>
                      <w:rPr>
                        <w:rFonts w:ascii="Calibri" w:eastAsia="Calibri" w:hAnsi="Calibri" w:cs="Calibri"/>
                        <w:color w:val="C0C0C0"/>
                        <w:sz w:val="2"/>
                        <w:szCs w:val="2"/>
                        <w14:textFill>
                          <w14:solidFill>
                            <w14:srgbClr w14:val="C0C0C0">
                              <w14:alpha w14:val="50000"/>
                            </w14:srgbClr>
                          </w14:solidFill>
                        </w14:textFill>
                      </w:rPr>
                    </w:pPr>
                    <w:r w:rsidRPr="005E2A7F">
                      <w:rPr>
                        <w:rFonts w:ascii="Calibri" w:eastAsia="Calibri" w:hAnsi="Calibri" w:cs="Calibri"/>
                        <w:color w:val="C0C0C0"/>
                        <w:sz w:val="2"/>
                        <w:szCs w:val="2"/>
                        <w14:textFill>
                          <w14:solidFill>
                            <w14:srgbClr w14:val="C0C0C0">
                              <w14:alpha w14:val="50000"/>
                            </w14:srgbClr>
                          </w14:solidFill>
                        </w14:textFill>
                      </w:rPr>
                      <w:t>Galley Proof</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5FED6" w14:textId="584D7C46" w:rsidR="00DF5887" w:rsidRPr="005E2A7F" w:rsidRDefault="00000000"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44DC7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20" o:spid="_x0000_s1029" type="#_x0000_t136" style="position:absolute;left:0;text-align:left;margin-left:0;margin-top:0;width:574.15pt;height:63.75pt;rotation:315;z-index:-25165004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p w14:paraId="70CE194D"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2DAD9CB4"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7861776F"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rPr>
    </w:pPr>
  </w:p>
  <w:p w14:paraId="4E2FD98E" w14:textId="77777777" w:rsidR="00DF5887" w:rsidRPr="005E2A7F" w:rsidRDefault="00DF5887" w:rsidP="006C56FD">
    <w:pPr>
      <w:tabs>
        <w:tab w:val="center" w:pos="4320"/>
        <w:tab w:val="right" w:pos="8640"/>
      </w:tabs>
      <w:spacing w:after="0" w:line="240" w:lineRule="auto"/>
      <w:jc w:val="righ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3A822" w14:textId="0C9F1F9F" w:rsidR="009B36DA" w:rsidRDefault="00000000">
    <w:pPr>
      <w:pStyle w:val="Header"/>
    </w:pPr>
    <w:r>
      <w:rPr>
        <w:noProof/>
      </w:rPr>
      <w:pict w14:anchorId="082B9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18" o:spid="_x0000_s1027" type="#_x0000_t136" style="position:absolute;margin-left:0;margin-top:0;width:574.15pt;height:63.75pt;rotation:315;z-index:-251654144;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EC60" w14:textId="5BFF4B6B" w:rsidR="00DF5887" w:rsidRPr="005E2A7F" w:rsidRDefault="00000000">
    <w:pPr>
      <w:pStyle w:val="Header"/>
    </w:pPr>
    <w:r>
      <w:rPr>
        <w:noProof/>
      </w:rPr>
      <w:pict w14:anchorId="6FCE64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22" o:spid="_x0000_s1031" type="#_x0000_t136" style="position:absolute;margin-left:0;margin-top:0;width:574.15pt;height:63.75pt;rotation:315;z-index:-251645952;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B12AD" w14:textId="280AD17B" w:rsidR="00DF5887" w:rsidRPr="005E2A7F" w:rsidRDefault="00000000" w:rsidP="006C56FD">
    <w:pPr>
      <w:tabs>
        <w:tab w:val="center" w:pos="4320"/>
        <w:tab w:val="right" w:pos="8640"/>
      </w:tabs>
      <w:spacing w:after="0" w:line="240" w:lineRule="auto"/>
      <w:jc w:val="right"/>
      <w:rPr>
        <w:rFonts w:ascii="Arial" w:eastAsia="Times New Roman" w:hAnsi="Arial" w:cs="Arial"/>
        <w:i/>
        <w:sz w:val="16"/>
        <w:szCs w:val="20"/>
        <w:highlight w:val="yellow"/>
      </w:rPr>
    </w:pPr>
    <w:r>
      <w:rPr>
        <w:noProof/>
      </w:rPr>
      <w:pict w14:anchorId="240D29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23" o:spid="_x0000_s1032" type="#_x0000_t136" style="position:absolute;left:0;text-align:left;margin-left:0;margin-top:0;width:574.15pt;height:63.75pt;rotation:315;z-index:-251643904;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p w14:paraId="24285ABB"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3B2D7048"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59394469" w14:textId="77777777" w:rsidR="00DF5887" w:rsidRPr="005E2A7F" w:rsidRDefault="00DF5887" w:rsidP="006C56FD">
    <w:pPr>
      <w:tabs>
        <w:tab w:val="center" w:pos="4320"/>
        <w:tab w:val="right" w:pos="8640"/>
      </w:tabs>
      <w:spacing w:after="0" w:line="240" w:lineRule="auto"/>
      <w:jc w:val="right"/>
      <w:rPr>
        <w:rFonts w:ascii="Arial" w:eastAsia="Times New Roman" w:hAnsi="Arial" w:cs="Arial"/>
        <w:i/>
        <w:sz w:val="16"/>
        <w:szCs w:val="20"/>
        <w:highlight w:val="yellow"/>
      </w:rPr>
    </w:pPr>
  </w:p>
  <w:p w14:paraId="43E5B9D5" w14:textId="77777777" w:rsidR="00DF5887" w:rsidRPr="001D19AD" w:rsidRDefault="00DF5887" w:rsidP="006C56FD">
    <w:pPr>
      <w:tabs>
        <w:tab w:val="center" w:pos="4320"/>
        <w:tab w:val="right" w:pos="8640"/>
      </w:tabs>
      <w:spacing w:after="0" w:line="240" w:lineRule="auto"/>
      <w:jc w:val="right"/>
      <w:rPr>
        <w:rFonts w:ascii="Arial" w:eastAsia="Times New Roman" w:hAnsi="Arial" w:cs="Arial"/>
        <w:b/>
        <w:bCs/>
        <w:i/>
        <w:sz w:val="16"/>
        <w:szCs w:val="20"/>
      </w:rPr>
    </w:pPr>
  </w:p>
  <w:p w14:paraId="5F16ED67" w14:textId="77777777" w:rsidR="00DF5887" w:rsidRPr="005E2A7F" w:rsidRDefault="00DF5887" w:rsidP="006C56FD">
    <w:pPr>
      <w:tabs>
        <w:tab w:val="center" w:pos="4320"/>
        <w:tab w:val="right" w:pos="8640"/>
      </w:tabs>
      <w:spacing w:after="0" w:line="240" w:lineRule="auto"/>
      <w:jc w:val="right"/>
      <w:rPr>
        <w:sz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44C24" w14:textId="66CE7427" w:rsidR="009B36DA" w:rsidRDefault="00000000">
    <w:pPr>
      <w:pStyle w:val="Header"/>
    </w:pPr>
    <w:r>
      <w:rPr>
        <w:noProof/>
      </w:rPr>
      <w:pict w14:anchorId="166CC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8221" o:spid="_x0000_s1030" type="#_x0000_t136" style="position:absolute;margin-left:0;margin-top:0;width:574.15pt;height:63.75pt;rotation:315;z-index:-25164800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0145"/>
    <w:multiLevelType w:val="hybridMultilevel"/>
    <w:tmpl w:val="708652B8"/>
    <w:lvl w:ilvl="0" w:tplc="25BAC404">
      <w:start w:val="1"/>
      <w:numFmt w:val="decimal"/>
      <w:lvlText w:val="%1."/>
      <w:lvlJc w:val="left"/>
      <w:pPr>
        <w:ind w:left="1128" w:hanging="360"/>
      </w:pPr>
      <w:rPr>
        <w:rFonts w:hint="default"/>
      </w:rPr>
    </w:lvl>
    <w:lvl w:ilvl="1" w:tplc="04160019" w:tentative="1">
      <w:start w:val="1"/>
      <w:numFmt w:val="lowerLetter"/>
      <w:lvlText w:val="%2."/>
      <w:lvlJc w:val="left"/>
      <w:pPr>
        <w:ind w:left="1848" w:hanging="360"/>
      </w:pPr>
    </w:lvl>
    <w:lvl w:ilvl="2" w:tplc="0416001B" w:tentative="1">
      <w:start w:val="1"/>
      <w:numFmt w:val="lowerRoman"/>
      <w:lvlText w:val="%3."/>
      <w:lvlJc w:val="right"/>
      <w:pPr>
        <w:ind w:left="2568" w:hanging="180"/>
      </w:pPr>
    </w:lvl>
    <w:lvl w:ilvl="3" w:tplc="0416000F" w:tentative="1">
      <w:start w:val="1"/>
      <w:numFmt w:val="decimal"/>
      <w:lvlText w:val="%4."/>
      <w:lvlJc w:val="left"/>
      <w:pPr>
        <w:ind w:left="3288" w:hanging="360"/>
      </w:pPr>
    </w:lvl>
    <w:lvl w:ilvl="4" w:tplc="04160019" w:tentative="1">
      <w:start w:val="1"/>
      <w:numFmt w:val="lowerLetter"/>
      <w:lvlText w:val="%5."/>
      <w:lvlJc w:val="left"/>
      <w:pPr>
        <w:ind w:left="4008" w:hanging="360"/>
      </w:pPr>
    </w:lvl>
    <w:lvl w:ilvl="5" w:tplc="0416001B" w:tentative="1">
      <w:start w:val="1"/>
      <w:numFmt w:val="lowerRoman"/>
      <w:lvlText w:val="%6."/>
      <w:lvlJc w:val="right"/>
      <w:pPr>
        <w:ind w:left="4728" w:hanging="180"/>
      </w:pPr>
    </w:lvl>
    <w:lvl w:ilvl="6" w:tplc="0416000F" w:tentative="1">
      <w:start w:val="1"/>
      <w:numFmt w:val="decimal"/>
      <w:lvlText w:val="%7."/>
      <w:lvlJc w:val="left"/>
      <w:pPr>
        <w:ind w:left="5448" w:hanging="360"/>
      </w:pPr>
    </w:lvl>
    <w:lvl w:ilvl="7" w:tplc="04160019" w:tentative="1">
      <w:start w:val="1"/>
      <w:numFmt w:val="lowerLetter"/>
      <w:lvlText w:val="%8."/>
      <w:lvlJc w:val="left"/>
      <w:pPr>
        <w:ind w:left="6168" w:hanging="360"/>
      </w:pPr>
    </w:lvl>
    <w:lvl w:ilvl="8" w:tplc="0416001B" w:tentative="1">
      <w:start w:val="1"/>
      <w:numFmt w:val="lowerRoman"/>
      <w:lvlText w:val="%9."/>
      <w:lvlJc w:val="right"/>
      <w:pPr>
        <w:ind w:left="6888" w:hanging="180"/>
      </w:pPr>
    </w:lvl>
  </w:abstractNum>
  <w:abstractNum w:abstractNumId="1" w15:restartNumberingAfterBreak="0">
    <w:nsid w:val="159A632E"/>
    <w:multiLevelType w:val="hybridMultilevel"/>
    <w:tmpl w:val="09149ED2"/>
    <w:lvl w:ilvl="0" w:tplc="04160011">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F203307"/>
    <w:multiLevelType w:val="hybridMultilevel"/>
    <w:tmpl w:val="C832B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425D3"/>
    <w:multiLevelType w:val="hybridMultilevel"/>
    <w:tmpl w:val="7C462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E0679"/>
    <w:multiLevelType w:val="hybridMultilevel"/>
    <w:tmpl w:val="260C221C"/>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9207A52"/>
    <w:multiLevelType w:val="hybridMultilevel"/>
    <w:tmpl w:val="8BA6CA74"/>
    <w:lvl w:ilvl="0" w:tplc="B43634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780FCD"/>
    <w:multiLevelType w:val="hybridMultilevel"/>
    <w:tmpl w:val="4C561770"/>
    <w:lvl w:ilvl="0" w:tplc="20363B16">
      <w:start w:val="1"/>
      <w:numFmt w:val="upp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77DC7F1A"/>
    <w:multiLevelType w:val="multilevel"/>
    <w:tmpl w:val="AAC2893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40940798">
    <w:abstractNumId w:val="7"/>
  </w:num>
  <w:num w:numId="2" w16cid:durableId="352270128">
    <w:abstractNumId w:val="3"/>
  </w:num>
  <w:num w:numId="3" w16cid:durableId="1733654518">
    <w:abstractNumId w:val="2"/>
  </w:num>
  <w:num w:numId="4" w16cid:durableId="760221711">
    <w:abstractNumId w:val="5"/>
  </w:num>
  <w:num w:numId="5" w16cid:durableId="849638506">
    <w:abstractNumId w:val="6"/>
  </w:num>
  <w:num w:numId="6" w16cid:durableId="327176390">
    <w:abstractNumId w:val="0"/>
  </w:num>
  <w:num w:numId="7" w16cid:durableId="1650327936">
    <w:abstractNumId w:val="1"/>
  </w:num>
  <w:num w:numId="8" w16cid:durableId="14841551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ytjQ1N7EwMzM3NzBQ0lEKTi0uzszPAykwrAUAxsiL1SwAAAA="/>
    <w:docVar w:name="EN.InstantFormat" w:val="&lt;ENInstantFormat&gt;&lt;Enabled&gt;1&lt;/Enabled&gt;&lt;ScanUnformatted&gt;1&lt;/ScanUnformatted&gt;&lt;ScanChanges&gt;1&lt;/ScanChanges&gt;&lt;Suspended&gt;1&lt;/Suspended&gt;&lt;/ENInstantFormat&gt;"/>
  </w:docVars>
  <w:rsids>
    <w:rsidRoot w:val="00DF1CFC"/>
    <w:rsid w:val="0008620B"/>
    <w:rsid w:val="000915F7"/>
    <w:rsid w:val="00093D2B"/>
    <w:rsid w:val="001C23C7"/>
    <w:rsid w:val="001D19AD"/>
    <w:rsid w:val="001E541D"/>
    <w:rsid w:val="00235FCF"/>
    <w:rsid w:val="0027162B"/>
    <w:rsid w:val="002F3EF6"/>
    <w:rsid w:val="00304FDF"/>
    <w:rsid w:val="003917DD"/>
    <w:rsid w:val="003A7DE7"/>
    <w:rsid w:val="003F5288"/>
    <w:rsid w:val="004243C6"/>
    <w:rsid w:val="00444990"/>
    <w:rsid w:val="004616B0"/>
    <w:rsid w:val="004C7E14"/>
    <w:rsid w:val="004E4D03"/>
    <w:rsid w:val="0055101F"/>
    <w:rsid w:val="00555300"/>
    <w:rsid w:val="0056663C"/>
    <w:rsid w:val="00606F8A"/>
    <w:rsid w:val="00622254"/>
    <w:rsid w:val="006D68DB"/>
    <w:rsid w:val="0074529A"/>
    <w:rsid w:val="00770994"/>
    <w:rsid w:val="00780DC9"/>
    <w:rsid w:val="007B3CEE"/>
    <w:rsid w:val="00816730"/>
    <w:rsid w:val="008421CD"/>
    <w:rsid w:val="00854DA7"/>
    <w:rsid w:val="0091684B"/>
    <w:rsid w:val="00933B49"/>
    <w:rsid w:val="00952663"/>
    <w:rsid w:val="009659F9"/>
    <w:rsid w:val="009A425C"/>
    <w:rsid w:val="009A7E43"/>
    <w:rsid w:val="009B36DA"/>
    <w:rsid w:val="00A04591"/>
    <w:rsid w:val="00AD798B"/>
    <w:rsid w:val="00AF20A2"/>
    <w:rsid w:val="00BB256D"/>
    <w:rsid w:val="00BE7F9B"/>
    <w:rsid w:val="00C7215E"/>
    <w:rsid w:val="00CD0A72"/>
    <w:rsid w:val="00D102A0"/>
    <w:rsid w:val="00D77D6D"/>
    <w:rsid w:val="00DC5DC9"/>
    <w:rsid w:val="00DE782F"/>
    <w:rsid w:val="00DF1CFC"/>
    <w:rsid w:val="00DF5887"/>
    <w:rsid w:val="00F21CDB"/>
    <w:rsid w:val="00F61D2B"/>
    <w:rsid w:val="00F72402"/>
    <w:rsid w:val="00F75AA7"/>
    <w:rsid w:val="00F83E90"/>
    <w:rsid w:val="00FC0D35"/>
    <w:rsid w:val="00FC270B"/>
    <w:rsid w:val="00FF2FB1"/>
    <w:rsid w:val="00FF52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73AFD"/>
  <w15:chartTrackingRefBased/>
  <w15:docId w15:val="{38EC1140-AC1B-4562-8022-508120EB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CFC"/>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DF1CFC"/>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DF1CFC"/>
    <w:pPr>
      <w:keepNext/>
      <w:keepLines/>
      <w:spacing w:after="0" w:line="240" w:lineRule="auto"/>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DF1CFC"/>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DF1CFC"/>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DF1C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1C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C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C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C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CFC"/>
    <w:rPr>
      <w:rFonts w:ascii="Arial" w:eastAsiaTheme="majorEastAsia" w:hAnsi="Arial" w:cstheme="majorBidi"/>
      <w:b/>
      <w:bCs/>
      <w:kern w:val="0"/>
      <w:sz w:val="36"/>
      <w:szCs w:val="28"/>
      <w:lang w:val="en-US"/>
      <w14:ligatures w14:val="none"/>
    </w:rPr>
  </w:style>
  <w:style w:type="character" w:customStyle="1" w:styleId="Heading2Char">
    <w:name w:val="Heading 2 Char"/>
    <w:basedOn w:val="DefaultParagraphFont"/>
    <w:link w:val="Heading2"/>
    <w:uiPriority w:val="9"/>
    <w:rsid w:val="00DF1CFC"/>
    <w:rPr>
      <w:rFonts w:ascii="Arial" w:eastAsiaTheme="majorEastAsia" w:hAnsi="Arial" w:cstheme="majorBidi"/>
      <w:b/>
      <w:bCs/>
      <w:kern w:val="0"/>
      <w:szCs w:val="26"/>
      <w:lang w:val="en-US"/>
      <w14:ligatures w14:val="none"/>
    </w:rPr>
  </w:style>
  <w:style w:type="character" w:customStyle="1" w:styleId="Heading3Char">
    <w:name w:val="Heading 3 Char"/>
    <w:basedOn w:val="DefaultParagraphFont"/>
    <w:link w:val="Heading3"/>
    <w:uiPriority w:val="9"/>
    <w:rsid w:val="00DF1CFC"/>
    <w:rPr>
      <w:rFonts w:ascii="Arial" w:eastAsiaTheme="majorEastAsia" w:hAnsi="Arial" w:cstheme="majorBidi"/>
      <w:b/>
      <w:bCs/>
      <w:i/>
      <w:kern w:val="0"/>
      <w:sz w:val="24"/>
      <w:lang w:val="en-US"/>
      <w14:ligatures w14:val="none"/>
    </w:rPr>
  </w:style>
  <w:style w:type="character" w:customStyle="1" w:styleId="Heading4Char">
    <w:name w:val="Heading 4 Char"/>
    <w:basedOn w:val="DefaultParagraphFont"/>
    <w:link w:val="Heading4"/>
    <w:uiPriority w:val="9"/>
    <w:rsid w:val="00DF1CFC"/>
    <w:rPr>
      <w:rFonts w:ascii="Arial" w:eastAsiaTheme="majorEastAsia" w:hAnsi="Arial" w:cstheme="majorBidi"/>
      <w:b/>
      <w:bCs/>
      <w:i/>
      <w:iCs/>
      <w:kern w:val="0"/>
      <w:sz w:val="20"/>
      <w:lang w:val="en-US"/>
      <w14:ligatures w14:val="none"/>
    </w:rPr>
  </w:style>
  <w:style w:type="character" w:customStyle="1" w:styleId="Heading5Char">
    <w:name w:val="Heading 5 Char"/>
    <w:basedOn w:val="DefaultParagraphFont"/>
    <w:link w:val="Heading5"/>
    <w:uiPriority w:val="9"/>
    <w:semiHidden/>
    <w:rsid w:val="00DF1C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1C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C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C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CFC"/>
    <w:rPr>
      <w:rFonts w:eastAsiaTheme="majorEastAsia" w:cstheme="majorBidi"/>
      <w:color w:val="272727" w:themeColor="text1" w:themeTint="D8"/>
    </w:rPr>
  </w:style>
  <w:style w:type="paragraph" w:styleId="Title">
    <w:name w:val="Title"/>
    <w:basedOn w:val="Normal"/>
    <w:next w:val="Normal"/>
    <w:link w:val="TitleChar"/>
    <w:uiPriority w:val="10"/>
    <w:qFormat/>
    <w:rsid w:val="00DF1C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C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C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C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CFC"/>
    <w:pPr>
      <w:spacing w:before="160"/>
      <w:jc w:val="center"/>
    </w:pPr>
    <w:rPr>
      <w:i/>
      <w:iCs/>
      <w:color w:val="404040" w:themeColor="text1" w:themeTint="BF"/>
    </w:rPr>
  </w:style>
  <w:style w:type="character" w:customStyle="1" w:styleId="QuoteChar">
    <w:name w:val="Quote Char"/>
    <w:basedOn w:val="DefaultParagraphFont"/>
    <w:link w:val="Quote"/>
    <w:uiPriority w:val="29"/>
    <w:rsid w:val="00DF1CFC"/>
    <w:rPr>
      <w:i/>
      <w:iCs/>
      <w:color w:val="404040" w:themeColor="text1" w:themeTint="BF"/>
    </w:rPr>
  </w:style>
  <w:style w:type="paragraph" w:styleId="ListParagraph">
    <w:name w:val="List Paragraph"/>
    <w:basedOn w:val="Normal"/>
    <w:uiPriority w:val="34"/>
    <w:qFormat/>
    <w:rsid w:val="00DF1CFC"/>
    <w:pPr>
      <w:ind w:left="720"/>
      <w:contextualSpacing/>
    </w:pPr>
  </w:style>
  <w:style w:type="character" w:styleId="IntenseEmphasis">
    <w:name w:val="Intense Emphasis"/>
    <w:basedOn w:val="DefaultParagraphFont"/>
    <w:uiPriority w:val="21"/>
    <w:qFormat/>
    <w:rsid w:val="00DF1CFC"/>
    <w:rPr>
      <w:i/>
      <w:iCs/>
      <w:color w:val="0F4761" w:themeColor="accent1" w:themeShade="BF"/>
    </w:rPr>
  </w:style>
  <w:style w:type="paragraph" w:styleId="IntenseQuote">
    <w:name w:val="Intense Quote"/>
    <w:basedOn w:val="Normal"/>
    <w:next w:val="Normal"/>
    <w:link w:val="IntenseQuoteChar"/>
    <w:uiPriority w:val="30"/>
    <w:qFormat/>
    <w:rsid w:val="00DF1C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1CFC"/>
    <w:rPr>
      <w:i/>
      <w:iCs/>
      <w:color w:val="0F4761" w:themeColor="accent1" w:themeShade="BF"/>
    </w:rPr>
  </w:style>
  <w:style w:type="character" w:styleId="IntenseReference">
    <w:name w:val="Intense Reference"/>
    <w:basedOn w:val="DefaultParagraphFont"/>
    <w:uiPriority w:val="32"/>
    <w:qFormat/>
    <w:rsid w:val="00DF1CFC"/>
    <w:rPr>
      <w:b/>
      <w:bCs/>
      <w:smallCaps/>
      <w:color w:val="0F4761" w:themeColor="accent1" w:themeShade="BF"/>
      <w:spacing w:val="5"/>
    </w:rPr>
  </w:style>
  <w:style w:type="paragraph" w:styleId="Header">
    <w:name w:val="header"/>
    <w:basedOn w:val="Normal"/>
    <w:link w:val="HeaderChar"/>
    <w:uiPriority w:val="99"/>
    <w:unhideWhenUsed/>
    <w:rsid w:val="00DF1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CFC"/>
    <w:rPr>
      <w:rFonts w:eastAsiaTheme="minorEastAsia"/>
      <w:kern w:val="0"/>
      <w:lang w:val="en-US"/>
      <w14:ligatures w14:val="none"/>
    </w:rPr>
  </w:style>
  <w:style w:type="paragraph" w:styleId="Footer">
    <w:name w:val="footer"/>
    <w:basedOn w:val="Normal"/>
    <w:link w:val="FooterChar"/>
    <w:uiPriority w:val="99"/>
    <w:unhideWhenUsed/>
    <w:rsid w:val="00DF1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CFC"/>
    <w:rPr>
      <w:rFonts w:eastAsiaTheme="minorEastAsia"/>
      <w:kern w:val="0"/>
      <w:lang w:val="en-US"/>
      <w14:ligatures w14:val="none"/>
    </w:rPr>
  </w:style>
  <w:style w:type="table" w:styleId="TableGrid">
    <w:name w:val="Table Grid"/>
    <w:basedOn w:val="TableNormal"/>
    <w:uiPriority w:val="59"/>
    <w:rsid w:val="00DF1CFC"/>
    <w:pPr>
      <w:spacing w:after="0" w:line="240" w:lineRule="auto"/>
    </w:pPr>
    <w:rPr>
      <w:rFonts w:ascii="Calibri" w:eastAsia="Calibri"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F1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CFC"/>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DF1CFC"/>
    <w:rPr>
      <w:color w:val="467886" w:themeColor="hyperlink"/>
      <w:u w:val="single"/>
    </w:rPr>
  </w:style>
  <w:style w:type="paragraph" w:customStyle="1" w:styleId="ReferHead">
    <w:name w:val="Refer Head"/>
    <w:basedOn w:val="Normal"/>
    <w:rsid w:val="00DF1CFC"/>
    <w:pPr>
      <w:keepNext/>
      <w:spacing w:after="240" w:line="240" w:lineRule="auto"/>
    </w:pPr>
    <w:rPr>
      <w:rFonts w:ascii="Helvetica" w:eastAsia="Times New Roman" w:hAnsi="Helvetica" w:cs="Times New Roman"/>
      <w:b/>
      <w:caps/>
      <w:szCs w:val="20"/>
    </w:rPr>
  </w:style>
  <w:style w:type="paragraph" w:customStyle="1" w:styleId="EndNoteBibliographyTitle">
    <w:name w:val="EndNote Bibliography Title"/>
    <w:basedOn w:val="Normal"/>
    <w:link w:val="EndNoteBibliographyTitleChar"/>
    <w:rsid w:val="00DF1CF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DF1CFC"/>
    <w:rPr>
      <w:rFonts w:ascii="Calibri" w:eastAsiaTheme="minorEastAsia" w:hAnsi="Calibri" w:cs="Calibri"/>
      <w:noProof/>
      <w:kern w:val="0"/>
      <w:lang w:val="en-US"/>
      <w14:ligatures w14:val="none"/>
    </w:rPr>
  </w:style>
  <w:style w:type="paragraph" w:customStyle="1" w:styleId="EndNoteBibliography">
    <w:name w:val="EndNote Bibliography"/>
    <w:basedOn w:val="Normal"/>
    <w:link w:val="EndNoteBibliographyChar"/>
    <w:rsid w:val="00DF1CFC"/>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DF1CFC"/>
    <w:rPr>
      <w:rFonts w:ascii="Calibri" w:eastAsiaTheme="minorEastAsia" w:hAnsi="Calibri" w:cs="Calibri"/>
      <w:noProof/>
      <w:kern w:val="0"/>
      <w:lang w:val="en-US"/>
      <w14:ligatures w14:val="none"/>
    </w:rPr>
  </w:style>
  <w:style w:type="paragraph" w:styleId="NoSpacing">
    <w:name w:val="No Spacing"/>
    <w:uiPriority w:val="1"/>
    <w:qFormat/>
    <w:rsid w:val="00DF1CFC"/>
    <w:pPr>
      <w:spacing w:after="0" w:line="240" w:lineRule="auto"/>
    </w:pPr>
    <w:rPr>
      <w:rFonts w:eastAsiaTheme="minorEastAsia"/>
      <w:kern w:val="0"/>
      <w:lang w:val="en-US"/>
      <w14:ligatures w14:val="none"/>
    </w:rPr>
  </w:style>
  <w:style w:type="character" w:styleId="UnresolvedMention">
    <w:name w:val="Unresolved Mention"/>
    <w:basedOn w:val="DefaultParagraphFont"/>
    <w:uiPriority w:val="99"/>
    <w:semiHidden/>
    <w:unhideWhenUsed/>
    <w:rsid w:val="00DF1CFC"/>
    <w:rPr>
      <w:color w:val="605E5C"/>
      <w:shd w:val="clear" w:color="auto" w:fill="E1DFDD"/>
    </w:rPr>
  </w:style>
  <w:style w:type="character" w:styleId="FollowedHyperlink">
    <w:name w:val="FollowedHyperlink"/>
    <w:basedOn w:val="DefaultParagraphFont"/>
    <w:uiPriority w:val="99"/>
    <w:semiHidden/>
    <w:unhideWhenUsed/>
    <w:rsid w:val="00DF1CFC"/>
    <w:rPr>
      <w:color w:val="96607D" w:themeColor="followedHyperlink"/>
      <w:u w:val="single"/>
    </w:rPr>
  </w:style>
  <w:style w:type="character" w:customStyle="1" w:styleId="position-number">
    <w:name w:val="position-number"/>
    <w:basedOn w:val="DefaultParagraphFont"/>
    <w:rsid w:val="00DF1CFC"/>
  </w:style>
  <w:style w:type="character" w:customStyle="1" w:styleId="docsum-authors">
    <w:name w:val="docsum-authors"/>
    <w:basedOn w:val="DefaultParagraphFont"/>
    <w:rsid w:val="00DF1CFC"/>
  </w:style>
  <w:style w:type="character" w:customStyle="1" w:styleId="docsum-journal-citation">
    <w:name w:val="docsum-journal-citation"/>
    <w:basedOn w:val="DefaultParagraphFont"/>
    <w:rsid w:val="00DF1CFC"/>
  </w:style>
  <w:style w:type="character" w:customStyle="1" w:styleId="citation-part">
    <w:name w:val="citation-part"/>
    <w:basedOn w:val="DefaultParagraphFont"/>
    <w:rsid w:val="00DF1CFC"/>
  </w:style>
  <w:style w:type="character" w:customStyle="1" w:styleId="docsum-pmid">
    <w:name w:val="docsum-pmid"/>
    <w:basedOn w:val="DefaultParagraphFont"/>
    <w:rsid w:val="00DF1CFC"/>
  </w:style>
  <w:style w:type="character" w:customStyle="1" w:styleId="free-resources">
    <w:name w:val="free-resources"/>
    <w:basedOn w:val="DefaultParagraphFont"/>
    <w:rsid w:val="00DF1CFC"/>
  </w:style>
  <w:style w:type="character" w:customStyle="1" w:styleId="publication-type">
    <w:name w:val="publication-type"/>
    <w:basedOn w:val="DefaultParagraphFont"/>
    <w:rsid w:val="00DF1CFC"/>
  </w:style>
  <w:style w:type="character" w:styleId="Emphasis">
    <w:name w:val="Emphasis"/>
    <w:basedOn w:val="DefaultParagraphFont"/>
    <w:uiPriority w:val="20"/>
    <w:qFormat/>
    <w:rsid w:val="00DF1CFC"/>
    <w:rPr>
      <w:i/>
      <w:iCs/>
    </w:rPr>
  </w:style>
  <w:style w:type="paragraph" w:styleId="NormalWeb">
    <w:name w:val="Normal (Web)"/>
    <w:basedOn w:val="Normal"/>
    <w:uiPriority w:val="99"/>
    <w:unhideWhenUsed/>
    <w:rsid w:val="00DF1CFC"/>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Revision">
    <w:name w:val="Revision"/>
    <w:hidden/>
    <w:uiPriority w:val="99"/>
    <w:semiHidden/>
    <w:rsid w:val="004C7E14"/>
    <w:pPr>
      <w:spacing w:after="0" w:line="240" w:lineRule="auto"/>
    </w:pPr>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header" Target="header6.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7342</Words>
  <Characters>41855</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Celso Eduardo Olivier</dc:creator>
  <cp:keywords/>
  <dc:description/>
  <cp:lastModifiedBy>Editor-11</cp:lastModifiedBy>
  <cp:revision>8</cp:revision>
  <dcterms:created xsi:type="dcterms:W3CDTF">2025-04-01T10:07:00Z</dcterms:created>
  <dcterms:modified xsi:type="dcterms:W3CDTF">2025-04-01T11:35:00Z</dcterms:modified>
</cp:coreProperties>
</file>