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1CA7" w:rsidRDefault="007923AB">
      <w:pPr>
        <w:spacing w:line="360" w:lineRule="auto"/>
        <w:jc w:val="right"/>
        <w:rPr>
          <w:rFonts w:ascii="Times New Roman" w:hAnsi="Times New Roman"/>
          <w:b/>
          <w:bCs/>
          <w:i/>
          <w:sz w:val="28"/>
          <w:szCs w:val="28"/>
          <w:u w:val="single"/>
        </w:rPr>
      </w:pPr>
      <w:r>
        <w:rPr>
          <w:rFonts w:ascii="Times New Roman" w:hAnsi="Times New Roman"/>
          <w:b/>
          <w:bCs/>
          <w:i/>
          <w:sz w:val="28"/>
          <w:szCs w:val="28"/>
          <w:u w:val="single"/>
        </w:rPr>
        <w:t>Review Article</w:t>
      </w:r>
    </w:p>
    <w:p w:rsidR="000E1CA7" w:rsidRDefault="007923AB">
      <w:pPr>
        <w:spacing w:line="360" w:lineRule="auto"/>
        <w:jc w:val="center"/>
        <w:rPr>
          <w:rFonts w:ascii="Times New Roman" w:hAnsi="Times New Roman"/>
          <w:b/>
          <w:bCs/>
          <w:sz w:val="28"/>
          <w:szCs w:val="28"/>
        </w:rPr>
      </w:pPr>
      <w:r>
        <w:rPr>
          <w:rFonts w:ascii="Times New Roman" w:hAnsi="Times New Roman"/>
          <w:b/>
          <w:bCs/>
          <w:sz w:val="28"/>
          <w:szCs w:val="28"/>
        </w:rPr>
        <w:t>Digital Twins for Climate-Resilient Infrastructure: Simulating Environmental Impact on Buildings</w:t>
      </w:r>
    </w:p>
    <w:p w:rsidR="000E1CA7" w:rsidRDefault="000E1CA7">
      <w:pPr>
        <w:spacing w:line="360" w:lineRule="auto"/>
        <w:jc w:val="center"/>
        <w:rPr>
          <w:rFonts w:ascii="Times New Roman" w:hAnsi="Times New Roman"/>
          <w:b/>
          <w:bCs/>
          <w:sz w:val="28"/>
          <w:szCs w:val="28"/>
        </w:rPr>
      </w:pPr>
    </w:p>
    <w:p w:rsidR="000E1CA7" w:rsidRDefault="007923AB">
      <w:pPr>
        <w:spacing w:line="360" w:lineRule="auto"/>
        <w:rPr>
          <w:rFonts w:ascii="Times New Roman" w:hAnsi="Times New Roman"/>
          <w:b/>
          <w:bCs/>
          <w:sz w:val="28"/>
          <w:szCs w:val="28"/>
        </w:rPr>
      </w:pPr>
      <w:r>
        <w:rPr>
          <w:rFonts w:ascii="Times New Roman" w:hAnsi="Times New Roman"/>
          <w:b/>
          <w:bCs/>
          <w:sz w:val="28"/>
          <w:szCs w:val="28"/>
        </w:rPr>
        <w:t>Abstract</w:t>
      </w:r>
    </w:p>
    <w:p w:rsidR="000E1CA7" w:rsidRDefault="007923AB">
      <w:pPr>
        <w:pStyle w:val="NormalWeb"/>
        <w:spacing w:beforeAutospacing="1" w:after="0" w:afterAutospacing="1" w:line="360" w:lineRule="auto"/>
        <w:jc w:val="both"/>
        <w:rPr>
          <w:rFonts w:ascii="Times New Roman" w:hAnsi="Times New Roman"/>
        </w:rPr>
      </w:pPr>
      <w:r>
        <w:rPr>
          <w:rFonts w:hint="eastAsia"/>
        </w:rPr>
        <w:t>This study explores how digital twin technology is transforming</w:t>
      </w:r>
      <w:r>
        <w:rPr>
          <w:rFonts w:hint="eastAsia"/>
        </w:rPr>
        <w:t xml:space="preserve"> building design and management amid climate change by simulating real-time environmental interactions to enhance infrastructure resilience. A systematic literature review was conducted using databases such as IEEE Xplore, ScienceDirect, and Scopus, focusi</w:t>
      </w:r>
      <w:r>
        <w:rPr>
          <w:rFonts w:hint="eastAsia"/>
        </w:rPr>
        <w:t>ng on peer-reviewed studies from 2015 to 2025 that emphasize real-world applications and predictive modeling. Results indicate that digital twins can reduce energy use by up to 30%, lower operational costs by 25%, and improve climate adaptability through e</w:t>
      </w:r>
      <w:r>
        <w:rPr>
          <w:rFonts w:hint="eastAsia"/>
        </w:rPr>
        <w:t>nhanced indoor climate control, flood risk assessment, and urban-scale planning. The study concludes that digital twins offer significant potential for sustainable development and urban resilience, though broader implementation requires addressing data int</w:t>
      </w:r>
      <w:r>
        <w:rPr>
          <w:rFonts w:hint="eastAsia"/>
        </w:rPr>
        <w:t>egration and cybersecurity concerns.</w:t>
      </w:r>
    </w:p>
    <w:p w:rsidR="000E1CA7" w:rsidRDefault="007923AB">
      <w:pPr>
        <w:rPr>
          <w:rFonts w:ascii="Times New Roman" w:hAnsi="Times New Roman"/>
          <w:b/>
          <w:bCs/>
          <w:sz w:val="24"/>
          <w:szCs w:val="24"/>
        </w:rPr>
      </w:pPr>
      <w:r>
        <w:rPr>
          <w:rFonts w:ascii="Times New Roman" w:hAnsi="Times New Roman"/>
          <w:b/>
          <w:bCs/>
          <w:sz w:val="24"/>
          <w:szCs w:val="24"/>
        </w:rPr>
        <w:t>Keywords:</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Digital Twin, Climate Resilience, Infrastructure, Building Simulation, Environmental Impact, Sustainability, Climate Change, Smart Buildings, Energy Efficiency, Predictive Modeling.</w:t>
      </w:r>
    </w:p>
    <w:p w:rsidR="000E1CA7" w:rsidRDefault="007923AB">
      <w:pPr>
        <w:spacing w:line="360" w:lineRule="auto"/>
        <w:jc w:val="both"/>
        <w:rPr>
          <w:rFonts w:ascii="Times New Roman" w:hAnsi="Times New Roman"/>
          <w:b/>
          <w:bCs/>
          <w:sz w:val="28"/>
          <w:szCs w:val="28"/>
        </w:rPr>
      </w:pPr>
      <w:r>
        <w:rPr>
          <w:rFonts w:ascii="Times New Roman" w:hAnsi="Times New Roman"/>
          <w:b/>
          <w:bCs/>
          <w:sz w:val="28"/>
          <w:szCs w:val="28"/>
        </w:rPr>
        <w:t>1 Introduction</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 xml:space="preserve">In the face </w:t>
      </w:r>
      <w:r>
        <w:rPr>
          <w:rFonts w:ascii="Times New Roman" w:hAnsi="Times New Roman"/>
          <w:sz w:val="24"/>
          <w:szCs w:val="24"/>
        </w:rPr>
        <w:t>of escalating climate change, the resilience of infrastructure—particularly buildings—has become a paramount concern. Extreme weather events, rising sea levels, and fluctuating temperatures pose significant threats to the structural integrity and functiona</w:t>
      </w:r>
      <w:r>
        <w:rPr>
          <w:rFonts w:ascii="Times New Roman" w:hAnsi="Times New Roman"/>
          <w:sz w:val="24"/>
          <w:szCs w:val="24"/>
        </w:rPr>
        <w:t>lity of built environments. To address these challenges, innovative technologies are being harnessed to predict, simulate, and mitigate environmental impacts. Among these, digital twins have emerged as a transformative tool in enhancing the climate resilie</w:t>
      </w:r>
      <w:r>
        <w:rPr>
          <w:rFonts w:ascii="Times New Roman" w:hAnsi="Times New Roman"/>
          <w:sz w:val="24"/>
          <w:szCs w:val="24"/>
        </w:rPr>
        <w:t>nce of infrastructure (Digital Twin Consortium, 2023).</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lastRenderedPageBreak/>
        <w:t>A digital twin is a dynamic, virtual representation of a physical object or system, continuously updated with real-time data. In the context of buildings, digital twins replicate structural and operati</w:t>
      </w:r>
      <w:r>
        <w:rPr>
          <w:rFonts w:ascii="Times New Roman" w:hAnsi="Times New Roman"/>
          <w:sz w:val="24"/>
          <w:szCs w:val="24"/>
        </w:rPr>
        <w:t>onal characteristics, enabling stakeholders to monitor performance, anticipate issues, and implement proactive measures. This technology facilitates a comprehensive understanding of how buildings respond to environmental stressors, thereby informing design</w:t>
      </w:r>
      <w:r>
        <w:rPr>
          <w:rFonts w:ascii="Times New Roman" w:hAnsi="Times New Roman"/>
          <w:sz w:val="24"/>
          <w:szCs w:val="24"/>
        </w:rPr>
        <w:t xml:space="preserve"> and maintenance strategies aimed at bolstering resilience (Ni et al., 2024).</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The integration of digital twins into infrastructure planning allows for sophisticated simulations of environmental scenarios. By modeling the effects of variables such as temper</w:t>
      </w:r>
      <w:r>
        <w:rPr>
          <w:rFonts w:ascii="Times New Roman" w:hAnsi="Times New Roman"/>
          <w:sz w:val="24"/>
          <w:szCs w:val="24"/>
        </w:rPr>
        <w:t xml:space="preserve">ature fluctuations, humidity levels, and wind loads, digital twins provide insights into potential vulnerabilities. This predictive capability is crucial for designing buildings that can withstand and adapt to changing climatic conditions, ensuring safety </w:t>
      </w:r>
      <w:r>
        <w:rPr>
          <w:rFonts w:ascii="Times New Roman" w:hAnsi="Times New Roman"/>
          <w:sz w:val="24"/>
          <w:szCs w:val="24"/>
        </w:rPr>
        <w:t>and functionality over time (</w:t>
      </w:r>
      <w:proofErr w:type="spellStart"/>
      <w:r>
        <w:rPr>
          <w:rFonts w:ascii="Times New Roman" w:hAnsi="Times New Roman"/>
          <w:sz w:val="24"/>
          <w:szCs w:val="24"/>
        </w:rPr>
        <w:t>Thangarajah</w:t>
      </w:r>
      <w:proofErr w:type="spellEnd"/>
      <w:r>
        <w:rPr>
          <w:rFonts w:ascii="Times New Roman" w:hAnsi="Times New Roman"/>
          <w:sz w:val="24"/>
          <w:szCs w:val="24"/>
        </w:rPr>
        <w:t>, 2025).</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Moreover, digital twins support real-time monitoring and management of building systems. Sensors embedded within structures collect data on energy consumption, indoor air quality, and occupancy patterns. Thi</w:t>
      </w:r>
      <w:r>
        <w:rPr>
          <w:rFonts w:ascii="Times New Roman" w:hAnsi="Times New Roman"/>
          <w:sz w:val="24"/>
          <w:szCs w:val="24"/>
        </w:rPr>
        <w:t>s information feeds into the digital twin, enabling continuous assessment and optimization of building performance. Such responsiveness is vital for maintaining operational efficiency and occupant comfort amid environmental fluctuations (Panaro et al., 202</w:t>
      </w:r>
      <w:r>
        <w:rPr>
          <w:rFonts w:ascii="Times New Roman" w:hAnsi="Times New Roman"/>
          <w:sz w:val="24"/>
          <w:szCs w:val="24"/>
        </w:rPr>
        <w:t>4).</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The application of digital twins extends beyond individual buildings to encompass entire urban environments. Cities like Singapore have developed comprehensive digital twin platforms to simulate and analyze urban dynamics, including infrastructure resi</w:t>
      </w:r>
      <w:r>
        <w:rPr>
          <w:rFonts w:ascii="Times New Roman" w:hAnsi="Times New Roman"/>
          <w:sz w:val="24"/>
          <w:szCs w:val="24"/>
        </w:rPr>
        <w:t>lience to climate impacts. These large-scale implementations facilitate coordinated planning and resource allocation, enhancing the overall adaptability of urban systems (Virtual Singapore, 2022).</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Despite the promising potential of digital twins, challenge</w:t>
      </w:r>
      <w:r>
        <w:rPr>
          <w:rFonts w:ascii="Times New Roman" w:hAnsi="Times New Roman"/>
          <w:sz w:val="24"/>
          <w:szCs w:val="24"/>
        </w:rPr>
        <w:t>s remain in their widespread adoption. Issues such as data integration, standardization, and cybersecurity must be addressed to fully realize the benefits of this technology. Collaborativ</w:t>
      </w:r>
      <w:bookmarkStart w:id="0" w:name="_GoBack"/>
      <w:bookmarkEnd w:id="0"/>
      <w:r>
        <w:rPr>
          <w:rFonts w:ascii="Times New Roman" w:hAnsi="Times New Roman"/>
          <w:sz w:val="24"/>
          <w:szCs w:val="24"/>
        </w:rPr>
        <w:t>e efforts among engineers, urban planners, policymakers, and technolo</w:t>
      </w:r>
      <w:r>
        <w:rPr>
          <w:rFonts w:ascii="Times New Roman" w:hAnsi="Times New Roman"/>
          <w:sz w:val="24"/>
          <w:szCs w:val="24"/>
        </w:rPr>
        <w:t xml:space="preserve">gists are essential to overcome these hurdles and advance the development of resilient infrastructure (Digital Twin Consortium, 2023; </w:t>
      </w:r>
      <w:r w:rsidRPr="007923AB">
        <w:rPr>
          <w:rFonts w:ascii="Times New Roman" w:hAnsi="Times New Roman"/>
          <w:sz w:val="24"/>
          <w:szCs w:val="24"/>
        </w:rPr>
        <w:t>Ye et al., 2023; Allan et al., 2024</w:t>
      </w:r>
      <w:r>
        <w:rPr>
          <w:rFonts w:ascii="Times New Roman" w:hAnsi="Times New Roman"/>
          <w:sz w:val="24"/>
          <w:szCs w:val="24"/>
        </w:rPr>
        <w:t xml:space="preserve">). </w:t>
      </w:r>
    </w:p>
    <w:p w:rsidR="000E1CA7" w:rsidRDefault="007923AB">
      <w:pPr>
        <w:pStyle w:val="NormalWeb"/>
        <w:spacing w:beforeAutospacing="1" w:after="0" w:afterAutospacing="1"/>
        <w:jc w:val="center"/>
      </w:pPr>
      <w:r>
        <w:rPr>
          <w:rFonts w:ascii="Times New Roman" w:hAnsi="Times New Roman"/>
          <w:noProof/>
        </w:rPr>
        <w:lastRenderedPageBreak/>
        <w:drawing>
          <wp:anchor distT="0" distB="0" distL="0" distR="0" simplePos="0" relativeHeight="1024" behindDoc="0" locked="0" layoutInCell="1" allowOverlap="1">
            <wp:simplePos x="0" y="0"/>
            <wp:positionH relativeFrom="column">
              <wp:posOffset>311150</wp:posOffset>
            </wp:positionH>
            <wp:positionV relativeFrom="paragraph">
              <wp:posOffset>635</wp:posOffset>
            </wp:positionV>
            <wp:extent cx="4689475" cy="3128010"/>
            <wp:effectExtent l="0" t="0" r="15875" b="15240"/>
            <wp:wrapTopAndBottom/>
            <wp:docPr id="1026" name="Picture 2" descr="ChatGPT Image Apr 16, 2025, 06_27_37 AM"/>
            <wp:cNvGraphicFramePr/>
            <a:graphic xmlns:a="http://schemas.openxmlformats.org/drawingml/2006/main">
              <a:graphicData uri="http://schemas.openxmlformats.org/drawingml/2006/picture">
                <pic:pic xmlns:pic="http://schemas.openxmlformats.org/drawingml/2006/picture">
                  <pic:nvPicPr>
                    <pic:cNvPr id="1026" name="Picture 2" descr="ChatGPT Image Apr 16, 2025, 06_27_37 AM"/>
                    <pic:cNvPicPr/>
                  </pic:nvPicPr>
                  <pic:blipFill>
                    <a:blip r:embed="rId8" cstate="print"/>
                    <a:srcRect/>
                    <a:stretch>
                      <a:fillRect/>
                    </a:stretch>
                  </pic:blipFill>
                  <pic:spPr>
                    <a:xfrm>
                      <a:off x="0" y="0"/>
                      <a:ext cx="4689475" cy="3128010"/>
                    </a:xfrm>
                    <a:prstGeom prst="rect">
                      <a:avLst/>
                    </a:prstGeom>
                  </pic:spPr>
                </pic:pic>
              </a:graphicData>
            </a:graphic>
          </wp:anchor>
        </w:drawing>
      </w:r>
      <w:r>
        <w:rPr>
          <w:rStyle w:val="Strong"/>
          <w:rFonts w:ascii="Times New Roman" w:hAnsi="Times New Roman"/>
          <w:i/>
          <w:iCs/>
          <w:sz w:val="18"/>
          <w:szCs w:val="18"/>
        </w:rPr>
        <w:t>Figure 1: How Digital Twins Work in Buildings</w:t>
      </w:r>
      <w:r>
        <w:rPr>
          <w:rFonts w:ascii="Times New Roman" w:hAnsi="Times New Roman"/>
          <w:i/>
          <w:iCs/>
          <w:sz w:val="18"/>
          <w:szCs w:val="18"/>
        </w:rPr>
        <w:br/>
        <w:t>This diagram illustrates the side-by-side relationship between a physical</w:t>
      </w:r>
      <w:r>
        <w:rPr>
          <w:rFonts w:ascii="Times New Roman" w:hAnsi="Times New Roman"/>
          <w:i/>
          <w:iCs/>
          <w:sz w:val="18"/>
          <w:szCs w:val="18"/>
        </w:rPr>
        <w:t xml:space="preserve"> building and its digital twin. Real-time data from IoT sensors—such as temperature, humidity, and structural integrity—is transmitted via cloud-based infrastructure to a virtual model. The digital replica simulates environmental conditions, forecasts perf</w:t>
      </w:r>
      <w:r>
        <w:rPr>
          <w:rFonts w:ascii="Times New Roman" w:hAnsi="Times New Roman"/>
          <w:i/>
          <w:iCs/>
          <w:sz w:val="18"/>
          <w:szCs w:val="18"/>
        </w:rPr>
        <w:t>ormance, and supports decision-making for energy efficiency, maintenance, and climate resilience.</w:t>
      </w:r>
    </w:p>
    <w:p w:rsidR="000E1CA7" w:rsidRDefault="007923AB">
      <w:pPr>
        <w:spacing w:line="360" w:lineRule="auto"/>
        <w:jc w:val="both"/>
        <w:rPr>
          <w:rFonts w:ascii="Times New Roman" w:hAnsi="Times New Roman"/>
          <w:b/>
          <w:bCs/>
          <w:sz w:val="28"/>
          <w:szCs w:val="28"/>
        </w:rPr>
      </w:pPr>
      <w:r>
        <w:rPr>
          <w:rFonts w:ascii="Times New Roman" w:hAnsi="Times New Roman"/>
          <w:b/>
          <w:bCs/>
          <w:sz w:val="28"/>
          <w:szCs w:val="28"/>
        </w:rPr>
        <w:t>2 Methodology</w:t>
      </w:r>
    </w:p>
    <w:p w:rsidR="000E1CA7" w:rsidRDefault="007923AB">
      <w:pPr>
        <w:pStyle w:val="NormalWeb"/>
        <w:spacing w:beforeAutospacing="1" w:after="0" w:afterAutospacing="1" w:line="360" w:lineRule="auto"/>
        <w:jc w:val="both"/>
        <w:rPr>
          <w:rFonts w:ascii="Times New Roman" w:hAnsi="Times New Roman"/>
        </w:rPr>
      </w:pPr>
      <w:r>
        <w:rPr>
          <w:rFonts w:ascii="Times New Roman" w:hAnsi="Times New Roman"/>
        </w:rPr>
        <w:t>The methodology for the research was designed to systematically gather relevant information from multiple sources with the aim of evaluating the</w:t>
      </w:r>
      <w:r>
        <w:rPr>
          <w:rFonts w:ascii="Times New Roman" w:hAnsi="Times New Roman"/>
        </w:rPr>
        <w:t xml:space="preserve"> potential of digital twin technology in creating climate-resilient buildings. The researchers stated that the search strategy and selection criteria outlined in the study were intended to guide the literature collection and analysis process, thereby ensur</w:t>
      </w:r>
      <w:r>
        <w:rPr>
          <w:rFonts w:ascii="Times New Roman" w:hAnsi="Times New Roman"/>
        </w:rPr>
        <w:t>ing the use of high-quality, up-to-date, and relevant academic and industry sources.</w:t>
      </w:r>
    </w:p>
    <w:p w:rsidR="000E1CA7" w:rsidRDefault="007923AB">
      <w:pPr>
        <w:pStyle w:val="Heading4"/>
        <w:spacing w:line="360" w:lineRule="auto"/>
        <w:jc w:val="both"/>
        <w:rPr>
          <w:rFonts w:ascii="Times New Roman" w:hAnsi="Times New Roman" w:hint="default"/>
        </w:rPr>
      </w:pPr>
      <w:r>
        <w:rPr>
          <w:rFonts w:ascii="Times New Roman" w:hAnsi="Times New Roman" w:hint="default"/>
        </w:rPr>
        <w:t>A. Search Strategy</w:t>
      </w:r>
    </w:p>
    <w:p w:rsidR="000E1CA7" w:rsidRDefault="007923AB">
      <w:pPr>
        <w:pStyle w:val="NormalWeb"/>
        <w:spacing w:beforeAutospacing="1" w:after="0" w:afterAutospacing="1" w:line="360" w:lineRule="auto"/>
        <w:jc w:val="both"/>
        <w:rPr>
          <w:rFonts w:ascii="Times New Roman" w:hAnsi="Times New Roman"/>
        </w:rPr>
      </w:pPr>
      <w:r>
        <w:rPr>
          <w:rFonts w:ascii="Times New Roman" w:hAnsi="Times New Roman"/>
        </w:rPr>
        <w:t>The search strategy focused on identifying peer-reviewed articles, books, reports, and white papers that could provide valuable insights into the integr</w:t>
      </w:r>
      <w:r>
        <w:rPr>
          <w:rFonts w:ascii="Times New Roman" w:hAnsi="Times New Roman"/>
        </w:rPr>
        <w:t>ation of digital twins in climate-resilient infrastructure. The search was conducted through a number of structured steps:</w:t>
      </w:r>
    </w:p>
    <w:p w:rsidR="000E1CA7" w:rsidRDefault="007923AB">
      <w:pPr>
        <w:pStyle w:val="NormalWeb"/>
        <w:spacing w:beforeAutospacing="1" w:after="0" w:afterAutospacing="1" w:line="360" w:lineRule="auto"/>
        <w:ind w:left="720"/>
        <w:jc w:val="both"/>
        <w:rPr>
          <w:rFonts w:ascii="Times New Roman" w:hAnsi="Times New Roman"/>
        </w:rPr>
      </w:pPr>
      <w:r>
        <w:rPr>
          <w:rStyle w:val="Strong"/>
          <w:rFonts w:ascii="Times New Roman" w:hAnsi="Times New Roman"/>
          <w:i/>
          <w:iCs/>
        </w:rPr>
        <w:t>Database Selection</w:t>
      </w:r>
      <w:r>
        <w:rPr>
          <w:rFonts w:ascii="Times New Roman" w:hAnsi="Times New Roman"/>
          <w:i/>
          <w:iCs/>
        </w:rPr>
        <w:br/>
      </w:r>
      <w:r>
        <w:rPr>
          <w:rFonts w:ascii="Times New Roman" w:hAnsi="Times New Roman"/>
        </w:rPr>
        <w:t>The research team explained that they had selected primary databases such as Google Scholar, IEEE Xplore, ScienceD</w:t>
      </w:r>
      <w:r>
        <w:rPr>
          <w:rFonts w:ascii="Times New Roman" w:hAnsi="Times New Roman"/>
        </w:rPr>
        <w:t xml:space="preserve">irect, SpringerLink, Scopus, and Web of Science. These </w:t>
      </w:r>
      <w:r>
        <w:rPr>
          <w:rFonts w:ascii="Times New Roman" w:hAnsi="Times New Roman"/>
        </w:rPr>
        <w:lastRenderedPageBreak/>
        <w:t>databases were chosen because they spanned multiple disciplines, including engineering, environmental science, architecture, and information technology. The team believed that this selection would help</w:t>
      </w:r>
      <w:r>
        <w:rPr>
          <w:rFonts w:ascii="Times New Roman" w:hAnsi="Times New Roman"/>
        </w:rPr>
        <w:t xml:space="preserve"> them gather comprehensive data on both digital twin technology and climate resilience within the built environment.</w:t>
      </w:r>
    </w:p>
    <w:p w:rsidR="000E1CA7" w:rsidRDefault="007923AB">
      <w:pPr>
        <w:pStyle w:val="NormalWeb"/>
        <w:spacing w:beforeAutospacing="1" w:after="0" w:afterAutospacing="1" w:line="360" w:lineRule="auto"/>
        <w:ind w:left="720"/>
        <w:jc w:val="both"/>
        <w:rPr>
          <w:rFonts w:ascii="Times New Roman" w:hAnsi="Times New Roman"/>
        </w:rPr>
      </w:pPr>
      <w:r>
        <w:rPr>
          <w:rStyle w:val="Strong"/>
          <w:rFonts w:ascii="Times New Roman" w:hAnsi="Times New Roman"/>
          <w:i/>
          <w:iCs/>
        </w:rPr>
        <w:t>Keywords and Search Terms</w:t>
      </w:r>
      <w:r>
        <w:rPr>
          <w:rFonts w:ascii="Times New Roman" w:hAnsi="Times New Roman"/>
        </w:rPr>
        <w:br/>
        <w:t>They mentioned that the search utilized specific keywords and search terms, including:</w:t>
      </w:r>
    </w:p>
    <w:p w:rsidR="000E1CA7" w:rsidRDefault="007923AB">
      <w:pPr>
        <w:pStyle w:val="NormalWeb"/>
        <w:spacing w:beforeAutospacing="1" w:after="0" w:afterAutospacing="1" w:line="240" w:lineRule="auto"/>
        <w:ind w:left="1440"/>
        <w:jc w:val="both"/>
        <w:rPr>
          <w:rFonts w:ascii="Times New Roman" w:hAnsi="Times New Roman"/>
        </w:rPr>
      </w:pPr>
      <w:r>
        <w:rPr>
          <w:rFonts w:ascii="Times New Roman" w:hAnsi="Times New Roman"/>
        </w:rPr>
        <w:t>Digital Twin Technology</w:t>
      </w:r>
    </w:p>
    <w:p w:rsidR="000E1CA7" w:rsidRDefault="007923AB">
      <w:pPr>
        <w:pStyle w:val="NormalWeb"/>
        <w:spacing w:beforeAutospacing="1" w:after="0" w:afterAutospacing="1" w:line="240" w:lineRule="auto"/>
        <w:ind w:left="1440"/>
        <w:jc w:val="both"/>
        <w:rPr>
          <w:rFonts w:ascii="Times New Roman" w:hAnsi="Times New Roman"/>
        </w:rPr>
      </w:pPr>
      <w:r>
        <w:rPr>
          <w:rFonts w:ascii="Times New Roman" w:hAnsi="Times New Roman"/>
        </w:rPr>
        <w:t>Cl</w:t>
      </w:r>
      <w:r>
        <w:rPr>
          <w:rFonts w:ascii="Times New Roman" w:hAnsi="Times New Roman"/>
        </w:rPr>
        <w:t>imate Resilience in Buildings</w:t>
      </w:r>
    </w:p>
    <w:p w:rsidR="000E1CA7" w:rsidRDefault="007923AB">
      <w:pPr>
        <w:pStyle w:val="NormalWeb"/>
        <w:spacing w:beforeAutospacing="1" w:after="0" w:afterAutospacing="1" w:line="240" w:lineRule="auto"/>
        <w:ind w:left="1440"/>
        <w:jc w:val="both"/>
        <w:rPr>
          <w:rFonts w:ascii="Times New Roman" w:hAnsi="Times New Roman"/>
        </w:rPr>
      </w:pPr>
      <w:r>
        <w:rPr>
          <w:rFonts w:ascii="Times New Roman" w:hAnsi="Times New Roman"/>
        </w:rPr>
        <w:t>Building Simulation and Climate Change</w:t>
      </w:r>
    </w:p>
    <w:p w:rsidR="000E1CA7" w:rsidRDefault="007923AB">
      <w:pPr>
        <w:pStyle w:val="NormalWeb"/>
        <w:spacing w:beforeAutospacing="1" w:after="0" w:afterAutospacing="1" w:line="240" w:lineRule="auto"/>
        <w:ind w:left="1440"/>
        <w:jc w:val="both"/>
        <w:rPr>
          <w:rFonts w:ascii="Times New Roman" w:hAnsi="Times New Roman"/>
        </w:rPr>
      </w:pPr>
      <w:r>
        <w:rPr>
          <w:rFonts w:ascii="Times New Roman" w:hAnsi="Times New Roman"/>
        </w:rPr>
        <w:t>Environmental Impact Simulation</w:t>
      </w:r>
    </w:p>
    <w:p w:rsidR="000E1CA7" w:rsidRDefault="007923AB">
      <w:pPr>
        <w:pStyle w:val="NormalWeb"/>
        <w:spacing w:beforeAutospacing="1" w:after="0" w:afterAutospacing="1" w:line="240" w:lineRule="auto"/>
        <w:ind w:left="1440"/>
        <w:jc w:val="both"/>
        <w:rPr>
          <w:rFonts w:ascii="Times New Roman" w:hAnsi="Times New Roman"/>
        </w:rPr>
      </w:pPr>
      <w:r>
        <w:rPr>
          <w:rFonts w:ascii="Times New Roman" w:hAnsi="Times New Roman"/>
        </w:rPr>
        <w:t>Sustainable Infrastructure</w:t>
      </w:r>
    </w:p>
    <w:p w:rsidR="000E1CA7" w:rsidRDefault="007923AB">
      <w:pPr>
        <w:pStyle w:val="NormalWeb"/>
        <w:spacing w:beforeAutospacing="1" w:after="0" w:afterAutospacing="1" w:line="240" w:lineRule="auto"/>
        <w:ind w:left="1440"/>
        <w:jc w:val="both"/>
        <w:rPr>
          <w:rFonts w:ascii="Times New Roman" w:hAnsi="Times New Roman"/>
        </w:rPr>
      </w:pPr>
      <w:r>
        <w:rPr>
          <w:rFonts w:ascii="Times New Roman" w:hAnsi="Times New Roman"/>
        </w:rPr>
        <w:t>Energy Efficiency in Buildings</w:t>
      </w:r>
    </w:p>
    <w:p w:rsidR="000E1CA7" w:rsidRDefault="007923AB">
      <w:pPr>
        <w:pStyle w:val="NormalWeb"/>
        <w:spacing w:beforeAutospacing="1" w:after="0" w:afterAutospacing="1" w:line="240" w:lineRule="auto"/>
        <w:ind w:left="1440"/>
        <w:jc w:val="both"/>
        <w:rPr>
          <w:rFonts w:ascii="Times New Roman" w:hAnsi="Times New Roman"/>
        </w:rPr>
      </w:pPr>
      <w:r>
        <w:rPr>
          <w:rFonts w:ascii="Times New Roman" w:hAnsi="Times New Roman"/>
        </w:rPr>
        <w:t>Smart Buildings and Digital Twin</w:t>
      </w:r>
    </w:p>
    <w:p w:rsidR="000E1CA7" w:rsidRDefault="007923AB">
      <w:pPr>
        <w:pStyle w:val="NormalWeb"/>
        <w:spacing w:beforeAutospacing="1" w:after="0" w:afterAutospacing="1" w:line="240" w:lineRule="auto"/>
        <w:ind w:left="1440"/>
        <w:jc w:val="both"/>
        <w:rPr>
          <w:rFonts w:ascii="Times New Roman" w:hAnsi="Times New Roman"/>
        </w:rPr>
      </w:pPr>
      <w:r>
        <w:rPr>
          <w:rFonts w:ascii="Times New Roman" w:hAnsi="Times New Roman"/>
        </w:rPr>
        <w:t>Predictive Modeling in Building Design</w:t>
      </w:r>
    </w:p>
    <w:p w:rsidR="000E1CA7" w:rsidRDefault="007923AB">
      <w:pPr>
        <w:pStyle w:val="NormalWeb"/>
        <w:spacing w:beforeAutospacing="1" w:after="0" w:afterAutospacing="1" w:line="240" w:lineRule="auto"/>
        <w:ind w:left="1440"/>
        <w:jc w:val="both"/>
        <w:rPr>
          <w:rFonts w:ascii="Times New Roman" w:hAnsi="Times New Roman"/>
        </w:rPr>
      </w:pPr>
      <w:r>
        <w:rPr>
          <w:rFonts w:ascii="Times New Roman" w:hAnsi="Times New Roman"/>
        </w:rPr>
        <w:t>Climate Change Adaptation</w:t>
      </w:r>
      <w:r>
        <w:rPr>
          <w:rFonts w:ascii="Times New Roman" w:hAnsi="Times New Roman"/>
        </w:rPr>
        <w:t xml:space="preserve"> in Architecture</w:t>
      </w:r>
    </w:p>
    <w:p w:rsidR="000E1CA7" w:rsidRDefault="007923AB">
      <w:pPr>
        <w:pStyle w:val="NormalWeb"/>
        <w:spacing w:beforeAutospacing="1" w:after="0" w:afterAutospacing="1" w:line="360" w:lineRule="auto"/>
        <w:ind w:left="720"/>
        <w:jc w:val="both"/>
        <w:rPr>
          <w:rFonts w:ascii="Times New Roman" w:hAnsi="Times New Roman"/>
        </w:rPr>
      </w:pPr>
      <w:r>
        <w:rPr>
          <w:rFonts w:ascii="Times New Roman" w:hAnsi="Times New Roman"/>
        </w:rPr>
        <w:t xml:space="preserve">Boolean operators such as </w:t>
      </w:r>
      <w:r>
        <w:rPr>
          <w:rStyle w:val="Emphasis"/>
          <w:rFonts w:ascii="Times New Roman" w:hAnsi="Times New Roman"/>
        </w:rPr>
        <w:t>AND</w:t>
      </w:r>
      <w:r>
        <w:rPr>
          <w:rFonts w:ascii="Times New Roman" w:hAnsi="Times New Roman"/>
        </w:rPr>
        <w:t xml:space="preserve"> </w:t>
      </w:r>
      <w:proofErr w:type="spellStart"/>
      <w:r>
        <w:rPr>
          <w:rFonts w:ascii="Times New Roman" w:hAnsi="Times New Roman"/>
        </w:rPr>
        <w:t>and</w:t>
      </w:r>
      <w:proofErr w:type="spellEnd"/>
      <w:r>
        <w:rPr>
          <w:rFonts w:ascii="Times New Roman" w:hAnsi="Times New Roman"/>
        </w:rPr>
        <w:t xml:space="preserve"> </w:t>
      </w:r>
      <w:r>
        <w:rPr>
          <w:rStyle w:val="Emphasis"/>
          <w:rFonts w:ascii="Times New Roman" w:hAnsi="Times New Roman"/>
        </w:rPr>
        <w:t>OR</w:t>
      </w:r>
      <w:r>
        <w:rPr>
          <w:rFonts w:ascii="Times New Roman" w:hAnsi="Times New Roman"/>
        </w:rPr>
        <w:t xml:space="preserve"> were reportedly used to refine and broaden the search queries.</w:t>
      </w:r>
    </w:p>
    <w:p w:rsidR="000E1CA7" w:rsidRDefault="007923AB">
      <w:pPr>
        <w:pStyle w:val="NormalWeb"/>
        <w:spacing w:beforeAutospacing="1" w:after="0" w:afterAutospacing="1" w:line="360" w:lineRule="auto"/>
        <w:ind w:left="720"/>
        <w:jc w:val="both"/>
        <w:rPr>
          <w:rFonts w:ascii="Times New Roman" w:hAnsi="Times New Roman"/>
        </w:rPr>
      </w:pPr>
      <w:r>
        <w:rPr>
          <w:rStyle w:val="Strong"/>
          <w:rFonts w:ascii="Times New Roman" w:hAnsi="Times New Roman"/>
          <w:i/>
          <w:iCs/>
        </w:rPr>
        <w:t>Search Time Frame</w:t>
      </w:r>
      <w:r>
        <w:rPr>
          <w:rFonts w:ascii="Times New Roman" w:hAnsi="Times New Roman"/>
          <w:i/>
          <w:iCs/>
        </w:rPr>
        <w:t>:</w:t>
      </w:r>
      <w:r>
        <w:rPr>
          <w:rFonts w:ascii="Times New Roman" w:hAnsi="Times New Roman"/>
        </w:rPr>
        <w:br/>
        <w:t>The search was primarily limited to literature published between 2015 and 2025. This time frame was chosen to capture re</w:t>
      </w:r>
      <w:r>
        <w:rPr>
          <w:rFonts w:ascii="Times New Roman" w:hAnsi="Times New Roman"/>
        </w:rPr>
        <w:t>cent advancements in digital twin technology and its application to the built environment, particularly in light of growing awareness around climate change impacts.</w:t>
      </w:r>
    </w:p>
    <w:p w:rsidR="000E1CA7" w:rsidRDefault="007923AB">
      <w:pPr>
        <w:pStyle w:val="NormalWeb"/>
        <w:spacing w:beforeAutospacing="1" w:after="0" w:afterAutospacing="1" w:line="360" w:lineRule="auto"/>
        <w:ind w:left="720"/>
        <w:jc w:val="both"/>
        <w:rPr>
          <w:rFonts w:ascii="Times New Roman" w:hAnsi="Times New Roman"/>
        </w:rPr>
      </w:pPr>
      <w:r>
        <w:rPr>
          <w:rStyle w:val="Strong"/>
          <w:rFonts w:ascii="Times New Roman" w:hAnsi="Times New Roman"/>
          <w:i/>
          <w:iCs/>
        </w:rPr>
        <w:t>Source Types</w:t>
      </w:r>
      <w:r>
        <w:rPr>
          <w:rFonts w:ascii="Times New Roman" w:hAnsi="Times New Roman"/>
        </w:rPr>
        <w:br/>
        <w:t>According to the team, the search encompassed various types of sources, includ</w:t>
      </w:r>
      <w:r>
        <w:rPr>
          <w:rFonts w:ascii="Times New Roman" w:hAnsi="Times New Roman"/>
        </w:rPr>
        <w:t>ing:</w:t>
      </w:r>
    </w:p>
    <w:p w:rsidR="000E1CA7" w:rsidRDefault="007923AB">
      <w:pPr>
        <w:pStyle w:val="NormalWeb"/>
        <w:spacing w:beforeAutospacing="1" w:after="0" w:afterAutospacing="1" w:line="240" w:lineRule="auto"/>
        <w:ind w:left="1440"/>
        <w:jc w:val="both"/>
        <w:rPr>
          <w:rFonts w:ascii="Times New Roman" w:hAnsi="Times New Roman"/>
        </w:rPr>
      </w:pPr>
      <w:r>
        <w:rPr>
          <w:rFonts w:ascii="Times New Roman" w:hAnsi="Times New Roman"/>
        </w:rPr>
        <w:t>Peer-reviewed journal articles</w:t>
      </w:r>
    </w:p>
    <w:p w:rsidR="000E1CA7" w:rsidRDefault="007923AB">
      <w:pPr>
        <w:pStyle w:val="NormalWeb"/>
        <w:spacing w:beforeAutospacing="1" w:after="0" w:afterAutospacing="1" w:line="240" w:lineRule="auto"/>
        <w:ind w:left="1440"/>
        <w:jc w:val="both"/>
        <w:rPr>
          <w:rFonts w:ascii="Times New Roman" w:hAnsi="Times New Roman"/>
        </w:rPr>
      </w:pPr>
      <w:r>
        <w:rPr>
          <w:rFonts w:ascii="Times New Roman" w:hAnsi="Times New Roman"/>
        </w:rPr>
        <w:lastRenderedPageBreak/>
        <w:t>Conference proceedings</w:t>
      </w:r>
    </w:p>
    <w:p w:rsidR="000E1CA7" w:rsidRDefault="007923AB">
      <w:pPr>
        <w:pStyle w:val="NormalWeb"/>
        <w:spacing w:beforeAutospacing="1" w:after="0" w:afterAutospacing="1" w:line="240" w:lineRule="auto"/>
        <w:ind w:left="1440"/>
        <w:jc w:val="both"/>
        <w:rPr>
          <w:rFonts w:ascii="Times New Roman" w:hAnsi="Times New Roman"/>
        </w:rPr>
      </w:pPr>
      <w:r>
        <w:rPr>
          <w:rFonts w:ascii="Times New Roman" w:hAnsi="Times New Roman"/>
        </w:rPr>
        <w:t>Government and industry reports</w:t>
      </w:r>
    </w:p>
    <w:p w:rsidR="000E1CA7" w:rsidRDefault="007923AB">
      <w:pPr>
        <w:pStyle w:val="NormalWeb"/>
        <w:spacing w:beforeAutospacing="1" w:after="0" w:afterAutospacing="1" w:line="240" w:lineRule="auto"/>
        <w:ind w:left="1440"/>
        <w:jc w:val="both"/>
        <w:rPr>
          <w:rFonts w:ascii="Times New Roman" w:hAnsi="Times New Roman"/>
        </w:rPr>
      </w:pPr>
      <w:r>
        <w:rPr>
          <w:rFonts w:ascii="Times New Roman" w:hAnsi="Times New Roman"/>
        </w:rPr>
        <w:t>Technical standards and guidelines</w:t>
      </w:r>
    </w:p>
    <w:p w:rsidR="000E1CA7" w:rsidRDefault="007923AB">
      <w:pPr>
        <w:pStyle w:val="NormalWeb"/>
        <w:spacing w:beforeAutospacing="1" w:after="0" w:afterAutospacing="1" w:line="240" w:lineRule="auto"/>
        <w:ind w:left="1440"/>
        <w:jc w:val="both"/>
        <w:rPr>
          <w:rFonts w:ascii="Times New Roman" w:hAnsi="Times New Roman"/>
        </w:rPr>
      </w:pPr>
      <w:r>
        <w:rPr>
          <w:rFonts w:ascii="Times New Roman" w:hAnsi="Times New Roman"/>
        </w:rPr>
        <w:t>Book chapters</w:t>
      </w:r>
    </w:p>
    <w:p w:rsidR="000E1CA7" w:rsidRDefault="007923AB">
      <w:pPr>
        <w:pStyle w:val="NormalWeb"/>
        <w:spacing w:beforeAutospacing="1" w:after="0" w:afterAutospacing="1" w:line="240" w:lineRule="auto"/>
        <w:ind w:left="1440"/>
        <w:jc w:val="both"/>
        <w:rPr>
          <w:rFonts w:ascii="Times New Roman" w:hAnsi="Times New Roman"/>
        </w:rPr>
      </w:pPr>
      <w:r>
        <w:rPr>
          <w:rFonts w:ascii="Times New Roman" w:hAnsi="Times New Roman"/>
        </w:rPr>
        <w:t>White papers and case studies from reputable organizations</w:t>
      </w:r>
    </w:p>
    <w:p w:rsidR="000E1CA7" w:rsidRDefault="007923AB">
      <w:pPr>
        <w:pStyle w:val="NormalWeb"/>
        <w:spacing w:beforeAutospacing="1" w:after="0" w:afterAutospacing="1" w:line="360" w:lineRule="auto"/>
        <w:ind w:left="720"/>
        <w:jc w:val="both"/>
        <w:rPr>
          <w:rFonts w:ascii="Times New Roman" w:hAnsi="Times New Roman"/>
        </w:rPr>
      </w:pPr>
      <w:r>
        <w:rPr>
          <w:rStyle w:val="Strong"/>
          <w:rFonts w:ascii="Times New Roman" w:hAnsi="Times New Roman"/>
          <w:i/>
          <w:iCs/>
        </w:rPr>
        <w:t>Snowballing</w:t>
      </w:r>
      <w:r>
        <w:rPr>
          <w:rFonts w:ascii="Times New Roman" w:hAnsi="Times New Roman"/>
          <w:i/>
          <w:iCs/>
        </w:rPr>
        <w:t>:</w:t>
      </w:r>
      <w:r>
        <w:rPr>
          <w:rFonts w:ascii="Times New Roman" w:hAnsi="Times New Roman"/>
          <w:i/>
          <w:iCs/>
        </w:rPr>
        <w:br/>
      </w:r>
      <w:r>
        <w:rPr>
          <w:rFonts w:ascii="Times New Roman" w:hAnsi="Times New Roman"/>
        </w:rPr>
        <w:t xml:space="preserve">The methodology also included a snowballing </w:t>
      </w:r>
      <w:r>
        <w:rPr>
          <w:rFonts w:ascii="Times New Roman" w:hAnsi="Times New Roman"/>
        </w:rPr>
        <w:t>approach. The researchers explained that they reviewed reference lists from key papers to uncover additional relevant sources that might have been missed during the initial search phase.</w:t>
      </w:r>
    </w:p>
    <w:p w:rsidR="000E1CA7" w:rsidRDefault="007923AB">
      <w:pPr>
        <w:pStyle w:val="Heading3"/>
        <w:numPr>
          <w:ilvl w:val="0"/>
          <w:numId w:val="1"/>
        </w:numPr>
        <w:spacing w:line="360" w:lineRule="auto"/>
        <w:jc w:val="both"/>
        <w:rPr>
          <w:rFonts w:ascii="Times New Roman" w:hAnsi="Times New Roman" w:hint="default"/>
        </w:rPr>
      </w:pPr>
      <w:r>
        <w:rPr>
          <w:rFonts w:ascii="Times New Roman" w:hAnsi="Times New Roman" w:hint="default"/>
        </w:rPr>
        <w:t xml:space="preserve"> Selection Criteria</w:t>
      </w:r>
    </w:p>
    <w:p w:rsidR="000E1CA7" w:rsidRDefault="007923AB">
      <w:pPr>
        <w:pStyle w:val="NormalWeb"/>
        <w:spacing w:beforeAutospacing="1" w:after="0" w:afterAutospacing="1" w:line="360" w:lineRule="auto"/>
        <w:jc w:val="both"/>
        <w:rPr>
          <w:rFonts w:ascii="Times New Roman" w:hAnsi="Times New Roman"/>
        </w:rPr>
      </w:pPr>
      <w:r>
        <w:rPr>
          <w:rFonts w:ascii="Times New Roman" w:hAnsi="Times New Roman"/>
        </w:rPr>
        <w:t>The researchers applied strict selection criteria</w:t>
      </w:r>
      <w:r>
        <w:rPr>
          <w:rFonts w:ascii="Times New Roman" w:hAnsi="Times New Roman"/>
        </w:rPr>
        <w:t xml:space="preserve"> to ensure that only the most relevant, reliable, and credible sources were included in the study.</w:t>
      </w:r>
    </w:p>
    <w:p w:rsidR="000E1CA7" w:rsidRDefault="007923AB">
      <w:pPr>
        <w:pStyle w:val="NormalWeb"/>
        <w:spacing w:beforeAutospacing="1" w:after="0" w:afterAutospacing="1" w:line="360" w:lineRule="auto"/>
        <w:ind w:left="720"/>
        <w:jc w:val="both"/>
        <w:rPr>
          <w:rFonts w:ascii="Times New Roman" w:hAnsi="Times New Roman"/>
        </w:rPr>
      </w:pPr>
      <w:r>
        <w:rPr>
          <w:rStyle w:val="Strong"/>
          <w:rFonts w:ascii="Times New Roman" w:hAnsi="Times New Roman"/>
          <w:i/>
          <w:iCs/>
        </w:rPr>
        <w:t>Relevance</w:t>
      </w:r>
      <w:r>
        <w:rPr>
          <w:rFonts w:ascii="Times New Roman" w:hAnsi="Times New Roman"/>
          <w:i/>
          <w:iCs/>
        </w:rPr>
        <w:t>:</w:t>
      </w:r>
      <w:r>
        <w:rPr>
          <w:rFonts w:ascii="Times New Roman" w:hAnsi="Times New Roman"/>
          <w:i/>
          <w:iCs/>
        </w:rPr>
        <w:br/>
      </w:r>
      <w:r>
        <w:rPr>
          <w:rFonts w:ascii="Times New Roman" w:hAnsi="Times New Roman"/>
        </w:rPr>
        <w:t>They emphasized that the selected literature needed to be directly related to the integration of digital twins in climate-resilient infrastructure</w:t>
      </w:r>
      <w:r>
        <w:rPr>
          <w:rFonts w:ascii="Times New Roman" w:hAnsi="Times New Roman"/>
        </w:rPr>
        <w:t xml:space="preserve"> or building design. Priority was given to studies focusing on building simulations, predictive modeling, energy efficiency, and environmental impact assessment using digital twin technology. Additionally, sources discussing climate change adaptation and r</w:t>
      </w:r>
      <w:r>
        <w:rPr>
          <w:rFonts w:ascii="Times New Roman" w:hAnsi="Times New Roman"/>
        </w:rPr>
        <w:t>esilience through digital twins were regarded as essential.</w:t>
      </w:r>
    </w:p>
    <w:p w:rsidR="000E1CA7" w:rsidRDefault="007923AB">
      <w:pPr>
        <w:pStyle w:val="NormalWeb"/>
        <w:spacing w:beforeAutospacing="1" w:after="0" w:afterAutospacing="1" w:line="360" w:lineRule="auto"/>
        <w:ind w:left="720"/>
        <w:jc w:val="both"/>
        <w:rPr>
          <w:rFonts w:ascii="Times New Roman" w:hAnsi="Times New Roman"/>
        </w:rPr>
      </w:pPr>
      <w:r>
        <w:rPr>
          <w:rStyle w:val="Strong"/>
          <w:rFonts w:ascii="Times New Roman" w:hAnsi="Times New Roman"/>
          <w:i/>
          <w:iCs/>
        </w:rPr>
        <w:t>Publication Type</w:t>
      </w:r>
      <w:r>
        <w:rPr>
          <w:rFonts w:ascii="Times New Roman" w:hAnsi="Times New Roman"/>
          <w:i/>
          <w:iCs/>
        </w:rPr>
        <w:t>:</w:t>
      </w:r>
      <w:r>
        <w:rPr>
          <w:rFonts w:ascii="Times New Roman" w:hAnsi="Times New Roman"/>
          <w:i/>
          <w:iCs/>
        </w:rPr>
        <w:br/>
      </w:r>
      <w:r>
        <w:rPr>
          <w:rFonts w:ascii="Times New Roman" w:hAnsi="Times New Roman"/>
        </w:rPr>
        <w:t>Only peer-reviewed academic articles, conference papers, and credible industry reports were included. The team stated that publications from reputable journals within environment</w:t>
      </w:r>
      <w:r>
        <w:rPr>
          <w:rFonts w:ascii="Times New Roman" w:hAnsi="Times New Roman"/>
        </w:rPr>
        <w:t>al science, architecture, engineering, and information technology were prioritized.</w:t>
      </w:r>
    </w:p>
    <w:p w:rsidR="000E1CA7" w:rsidRDefault="007923AB">
      <w:pPr>
        <w:pStyle w:val="NormalWeb"/>
        <w:spacing w:beforeAutospacing="1" w:after="0" w:afterAutospacing="1" w:line="360" w:lineRule="auto"/>
        <w:ind w:left="720"/>
        <w:jc w:val="both"/>
        <w:rPr>
          <w:rFonts w:ascii="Times New Roman" w:hAnsi="Times New Roman"/>
        </w:rPr>
      </w:pPr>
      <w:r>
        <w:rPr>
          <w:rStyle w:val="Strong"/>
          <w:rFonts w:ascii="Times New Roman" w:hAnsi="Times New Roman"/>
          <w:i/>
          <w:iCs/>
        </w:rPr>
        <w:t>Quality and Impact</w:t>
      </w:r>
      <w:r>
        <w:rPr>
          <w:rFonts w:ascii="Times New Roman" w:hAnsi="Times New Roman"/>
          <w:i/>
          <w:iCs/>
        </w:rPr>
        <w:t>:</w:t>
      </w:r>
      <w:r>
        <w:rPr>
          <w:rFonts w:ascii="Times New Roman" w:hAnsi="Times New Roman"/>
          <w:i/>
          <w:iCs/>
        </w:rPr>
        <w:br/>
      </w:r>
      <w:r>
        <w:rPr>
          <w:rFonts w:ascii="Times New Roman" w:hAnsi="Times New Roman"/>
        </w:rPr>
        <w:t xml:space="preserve">High citation counts and publications in high-impact journals were used as indicators of </w:t>
      </w:r>
      <w:r>
        <w:rPr>
          <w:rFonts w:ascii="Times New Roman" w:hAnsi="Times New Roman"/>
        </w:rPr>
        <w:lastRenderedPageBreak/>
        <w:t xml:space="preserve">quality. Articles introducing new models, case studies, or </w:t>
      </w:r>
      <w:r>
        <w:rPr>
          <w:rFonts w:ascii="Times New Roman" w:hAnsi="Times New Roman"/>
        </w:rPr>
        <w:t>experimental results demonstrating practical applications of digital twins for building resilience were particularly valued.</w:t>
      </w:r>
    </w:p>
    <w:p w:rsidR="000E1CA7" w:rsidRDefault="007923AB">
      <w:pPr>
        <w:pStyle w:val="NormalWeb"/>
        <w:spacing w:beforeAutospacing="1" w:after="0" w:afterAutospacing="1" w:line="360" w:lineRule="auto"/>
        <w:ind w:left="720"/>
        <w:jc w:val="both"/>
        <w:rPr>
          <w:rFonts w:ascii="Times New Roman" w:hAnsi="Times New Roman"/>
        </w:rPr>
      </w:pPr>
      <w:r>
        <w:rPr>
          <w:rStyle w:val="Strong"/>
          <w:rFonts w:ascii="Times New Roman" w:hAnsi="Times New Roman"/>
          <w:i/>
          <w:iCs/>
        </w:rPr>
        <w:t>Geographic Relevance</w:t>
      </w:r>
      <w:r>
        <w:rPr>
          <w:rFonts w:ascii="Times New Roman" w:hAnsi="Times New Roman"/>
          <w:i/>
          <w:iCs/>
        </w:rPr>
        <w:t>:</w:t>
      </w:r>
      <w:r>
        <w:rPr>
          <w:rFonts w:ascii="Times New Roman" w:hAnsi="Times New Roman"/>
        </w:rPr>
        <w:br/>
        <w:t>The research team sought literature covering global examples, especially from regions severely affected by cl</w:t>
      </w:r>
      <w:r>
        <w:rPr>
          <w:rFonts w:ascii="Times New Roman" w:hAnsi="Times New Roman"/>
        </w:rPr>
        <w:t>imate change (such as coastal and urban areas), or from areas adopting digital twin technologies. Case studies from both developed and developing countries were included to ensure diverse perspectives.</w:t>
      </w:r>
    </w:p>
    <w:p w:rsidR="000E1CA7" w:rsidRDefault="007923AB">
      <w:pPr>
        <w:pStyle w:val="NormalWeb"/>
        <w:spacing w:beforeAutospacing="1" w:after="0" w:afterAutospacing="1" w:line="360" w:lineRule="auto"/>
        <w:ind w:left="720"/>
        <w:jc w:val="both"/>
        <w:rPr>
          <w:rFonts w:ascii="Times New Roman" w:hAnsi="Times New Roman"/>
        </w:rPr>
      </w:pPr>
      <w:r>
        <w:rPr>
          <w:rStyle w:val="Strong"/>
          <w:rFonts w:ascii="Times New Roman" w:hAnsi="Times New Roman"/>
          <w:i/>
          <w:iCs/>
        </w:rPr>
        <w:t>Language</w:t>
      </w:r>
      <w:r>
        <w:rPr>
          <w:rFonts w:ascii="Times New Roman" w:hAnsi="Times New Roman"/>
          <w:i/>
          <w:iCs/>
        </w:rPr>
        <w:t>:</w:t>
      </w:r>
      <w:r>
        <w:rPr>
          <w:rFonts w:ascii="Times New Roman" w:hAnsi="Times New Roman"/>
          <w:i/>
          <w:iCs/>
        </w:rPr>
        <w:br/>
      </w:r>
      <w:r>
        <w:rPr>
          <w:rFonts w:ascii="Times New Roman" w:hAnsi="Times New Roman"/>
        </w:rPr>
        <w:t>They noted that only English-language source</w:t>
      </w:r>
      <w:r>
        <w:rPr>
          <w:rFonts w:ascii="Times New Roman" w:hAnsi="Times New Roman"/>
        </w:rPr>
        <w:t>s were reviewed, to maintain consistency and accessibility.</w:t>
      </w:r>
    </w:p>
    <w:p w:rsidR="000E1CA7" w:rsidRDefault="007923AB">
      <w:pPr>
        <w:pStyle w:val="Heading3"/>
        <w:numPr>
          <w:ilvl w:val="0"/>
          <w:numId w:val="1"/>
        </w:numPr>
        <w:spacing w:line="360" w:lineRule="auto"/>
        <w:jc w:val="both"/>
        <w:rPr>
          <w:rFonts w:ascii="Times New Roman" w:hAnsi="Times New Roman" w:hint="default"/>
        </w:rPr>
      </w:pPr>
      <w:r>
        <w:rPr>
          <w:rFonts w:ascii="Times New Roman" w:hAnsi="Times New Roman" w:hint="default"/>
        </w:rPr>
        <w:t xml:space="preserve"> Exclusion Criteria</w:t>
      </w:r>
    </w:p>
    <w:p w:rsidR="000E1CA7" w:rsidRDefault="007923AB">
      <w:pPr>
        <w:pStyle w:val="NormalWeb"/>
        <w:spacing w:beforeAutospacing="1" w:after="0" w:afterAutospacing="1" w:line="360" w:lineRule="auto"/>
        <w:jc w:val="both"/>
        <w:rPr>
          <w:rFonts w:ascii="Times New Roman" w:hAnsi="Times New Roman"/>
        </w:rPr>
      </w:pPr>
      <w:r>
        <w:rPr>
          <w:rFonts w:ascii="Times New Roman" w:hAnsi="Times New Roman"/>
        </w:rPr>
        <w:t>Sources that did not meet academic rigor—such as blogs or non-peer-reviewed reports—were excluded from the review. The team also excluded literature that focused on digital twi</w:t>
      </w:r>
      <w:r>
        <w:rPr>
          <w:rFonts w:ascii="Times New Roman" w:hAnsi="Times New Roman"/>
        </w:rPr>
        <w:t>n applications unrelated to climate resilience, such as those in purely industrial contexts. Furthermore, studies published before 2015 were generally excluded, unless they offered foundational insights directly relevant to the research objectives.</w:t>
      </w:r>
    </w:p>
    <w:p w:rsidR="000E1CA7" w:rsidRDefault="007923AB">
      <w:pPr>
        <w:rPr>
          <w:rFonts w:ascii="Times New Roman" w:hAnsi="Times New Roman"/>
          <w:b/>
          <w:bCs/>
          <w:sz w:val="24"/>
          <w:szCs w:val="24"/>
        </w:rPr>
      </w:pPr>
      <w:r>
        <w:rPr>
          <w:rFonts w:ascii="Times New Roman" w:hAnsi="Times New Roman"/>
          <w:b/>
          <w:bCs/>
          <w:sz w:val="24"/>
          <w:szCs w:val="24"/>
        </w:rPr>
        <w:t>Table 1</w:t>
      </w:r>
      <w:r>
        <w:rPr>
          <w:rFonts w:ascii="Times New Roman" w:hAnsi="Times New Roman"/>
          <w:b/>
          <w:bCs/>
          <w:sz w:val="24"/>
          <w:szCs w:val="24"/>
        </w:rPr>
        <w:t>: Search Strategy and Selection Criteria</w:t>
      </w:r>
    </w:p>
    <w:tbl>
      <w:tblPr>
        <w:tblW w:w="9479" w:type="dxa"/>
        <w:jc w:val="center"/>
        <w:tblLayout w:type="fixed"/>
        <w:tblLook w:val="04A0" w:firstRow="1" w:lastRow="0" w:firstColumn="1" w:lastColumn="0" w:noHBand="0" w:noVBand="1"/>
      </w:tblPr>
      <w:tblGrid>
        <w:gridCol w:w="4809"/>
        <w:gridCol w:w="4670"/>
      </w:tblGrid>
      <w:tr w:rsidR="000E1CA7">
        <w:trPr>
          <w:trHeight w:val="97"/>
          <w:jc w:val="center"/>
        </w:trPr>
        <w:tc>
          <w:tcPr>
            <w:tcW w:w="4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E1CA7" w:rsidRDefault="007923AB">
            <w:pPr>
              <w:spacing w:line="360" w:lineRule="auto"/>
              <w:jc w:val="both"/>
              <w:rPr>
                <w:rFonts w:ascii="Times New Roman" w:hAnsi="Times New Roman"/>
                <w:b/>
                <w:bCs/>
                <w:sz w:val="24"/>
                <w:szCs w:val="24"/>
              </w:rPr>
            </w:pPr>
            <w:r>
              <w:rPr>
                <w:rFonts w:ascii="Times New Roman" w:eastAsia="MS Mincho" w:hAnsi="Times New Roman"/>
                <w:b/>
                <w:bCs/>
                <w:sz w:val="24"/>
                <w:szCs w:val="24"/>
                <w:lang w:eastAsia="en-US"/>
              </w:rPr>
              <w:t>Search Strategy</w:t>
            </w:r>
          </w:p>
        </w:tc>
        <w:tc>
          <w:tcPr>
            <w:tcW w:w="4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E1CA7" w:rsidRDefault="007923AB">
            <w:pPr>
              <w:spacing w:line="360" w:lineRule="auto"/>
              <w:jc w:val="both"/>
              <w:rPr>
                <w:rFonts w:ascii="Times New Roman" w:hAnsi="Times New Roman"/>
                <w:b/>
                <w:bCs/>
                <w:sz w:val="24"/>
                <w:szCs w:val="24"/>
              </w:rPr>
            </w:pPr>
            <w:r>
              <w:rPr>
                <w:rFonts w:ascii="Times New Roman" w:eastAsia="MS Mincho" w:hAnsi="Times New Roman"/>
                <w:b/>
                <w:bCs/>
                <w:sz w:val="24"/>
                <w:szCs w:val="24"/>
                <w:lang w:eastAsia="en-US"/>
              </w:rPr>
              <w:t>Details</w:t>
            </w:r>
          </w:p>
        </w:tc>
      </w:tr>
      <w:tr w:rsidR="000E1CA7">
        <w:trPr>
          <w:trHeight w:val="225"/>
          <w:jc w:val="center"/>
        </w:trPr>
        <w:tc>
          <w:tcPr>
            <w:tcW w:w="4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E1CA7" w:rsidRDefault="007923AB">
            <w:pPr>
              <w:spacing w:line="360" w:lineRule="auto"/>
              <w:jc w:val="both"/>
              <w:rPr>
                <w:rFonts w:ascii="Times New Roman" w:hAnsi="Times New Roman"/>
                <w:b/>
                <w:bCs/>
                <w:sz w:val="24"/>
                <w:szCs w:val="24"/>
              </w:rPr>
            </w:pPr>
            <w:r>
              <w:rPr>
                <w:rFonts w:ascii="Times New Roman" w:eastAsia="MS Mincho" w:hAnsi="Times New Roman"/>
                <w:b/>
                <w:bCs/>
                <w:sz w:val="24"/>
                <w:szCs w:val="24"/>
                <w:lang w:eastAsia="en-US"/>
              </w:rPr>
              <w:t>Database Selection</w:t>
            </w:r>
          </w:p>
        </w:tc>
        <w:tc>
          <w:tcPr>
            <w:tcW w:w="4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E1CA7" w:rsidRDefault="007923AB">
            <w:pPr>
              <w:spacing w:line="360" w:lineRule="auto"/>
              <w:jc w:val="both"/>
              <w:rPr>
                <w:rFonts w:ascii="Times New Roman" w:hAnsi="Times New Roman"/>
                <w:sz w:val="24"/>
                <w:szCs w:val="24"/>
              </w:rPr>
            </w:pPr>
            <w:r>
              <w:rPr>
                <w:rFonts w:ascii="Times New Roman" w:eastAsia="MS Mincho" w:hAnsi="Times New Roman"/>
                <w:sz w:val="24"/>
                <w:szCs w:val="24"/>
                <w:lang w:eastAsia="en-US"/>
              </w:rPr>
              <w:t>Google Scholar, IEEE Xplore, ScienceDirect, SpringerLink, Scopus, Web of Science</w:t>
            </w:r>
          </w:p>
        </w:tc>
      </w:tr>
      <w:tr w:rsidR="000E1CA7">
        <w:trPr>
          <w:trHeight w:val="545"/>
          <w:jc w:val="center"/>
        </w:trPr>
        <w:tc>
          <w:tcPr>
            <w:tcW w:w="4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E1CA7" w:rsidRDefault="007923AB">
            <w:pPr>
              <w:spacing w:line="360" w:lineRule="auto"/>
              <w:jc w:val="both"/>
              <w:rPr>
                <w:rFonts w:ascii="Times New Roman" w:hAnsi="Times New Roman"/>
                <w:b/>
                <w:bCs/>
                <w:sz w:val="24"/>
                <w:szCs w:val="24"/>
              </w:rPr>
            </w:pPr>
            <w:r>
              <w:rPr>
                <w:rFonts w:ascii="Times New Roman" w:eastAsia="MS Mincho" w:hAnsi="Times New Roman"/>
                <w:b/>
                <w:bCs/>
                <w:sz w:val="24"/>
                <w:szCs w:val="24"/>
                <w:lang w:eastAsia="en-US"/>
              </w:rPr>
              <w:t>Keywords and Search Terms</w:t>
            </w:r>
          </w:p>
        </w:tc>
        <w:tc>
          <w:tcPr>
            <w:tcW w:w="4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E1CA7" w:rsidRDefault="007923AB">
            <w:pPr>
              <w:spacing w:line="360" w:lineRule="auto"/>
              <w:jc w:val="both"/>
              <w:rPr>
                <w:rFonts w:ascii="Times New Roman" w:hAnsi="Times New Roman"/>
                <w:sz w:val="24"/>
                <w:szCs w:val="24"/>
              </w:rPr>
            </w:pPr>
            <w:r>
              <w:rPr>
                <w:rFonts w:ascii="Times New Roman" w:eastAsia="MS Mincho" w:hAnsi="Times New Roman"/>
                <w:sz w:val="24"/>
                <w:szCs w:val="24"/>
                <w:lang w:eastAsia="en-US"/>
              </w:rPr>
              <w:t xml:space="preserve">Digital Twin Technology, Climate Resilience in Buildings, Building Simulation and Climate Change, Environmental Impact Simulation, Sustainable Infrastructure, Smart Buildings and Digital Twin, Predictive </w:t>
            </w:r>
            <w:r>
              <w:rPr>
                <w:rFonts w:ascii="Times New Roman" w:eastAsia="MS Mincho" w:hAnsi="Times New Roman"/>
                <w:sz w:val="24"/>
                <w:szCs w:val="24"/>
                <w:lang w:eastAsia="en-US"/>
              </w:rPr>
              <w:lastRenderedPageBreak/>
              <w:t>Modeling in Building Design, Climate Change Adaptati</w:t>
            </w:r>
            <w:r>
              <w:rPr>
                <w:rFonts w:ascii="Times New Roman" w:eastAsia="MS Mincho" w:hAnsi="Times New Roman"/>
                <w:sz w:val="24"/>
                <w:szCs w:val="24"/>
                <w:lang w:eastAsia="en-US"/>
              </w:rPr>
              <w:t>on in Architecture</w:t>
            </w:r>
          </w:p>
        </w:tc>
      </w:tr>
      <w:tr w:rsidR="000E1CA7">
        <w:trPr>
          <w:trHeight w:val="97"/>
          <w:jc w:val="center"/>
        </w:trPr>
        <w:tc>
          <w:tcPr>
            <w:tcW w:w="4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E1CA7" w:rsidRDefault="007923AB">
            <w:pPr>
              <w:spacing w:line="360" w:lineRule="auto"/>
              <w:jc w:val="both"/>
              <w:rPr>
                <w:rFonts w:ascii="Times New Roman" w:hAnsi="Times New Roman"/>
                <w:b/>
                <w:bCs/>
                <w:sz w:val="24"/>
                <w:szCs w:val="24"/>
              </w:rPr>
            </w:pPr>
            <w:r>
              <w:rPr>
                <w:rFonts w:ascii="Times New Roman" w:eastAsia="MS Mincho" w:hAnsi="Times New Roman"/>
                <w:b/>
                <w:bCs/>
                <w:sz w:val="24"/>
                <w:szCs w:val="24"/>
                <w:lang w:eastAsia="en-US"/>
              </w:rPr>
              <w:lastRenderedPageBreak/>
              <w:t>Search Time Frame</w:t>
            </w:r>
          </w:p>
        </w:tc>
        <w:tc>
          <w:tcPr>
            <w:tcW w:w="4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E1CA7" w:rsidRDefault="007923AB">
            <w:pPr>
              <w:spacing w:line="360" w:lineRule="auto"/>
              <w:jc w:val="both"/>
              <w:rPr>
                <w:rFonts w:ascii="Times New Roman" w:hAnsi="Times New Roman"/>
                <w:sz w:val="24"/>
                <w:szCs w:val="24"/>
              </w:rPr>
            </w:pPr>
            <w:r>
              <w:rPr>
                <w:rFonts w:ascii="Times New Roman" w:eastAsia="MS Mincho" w:hAnsi="Times New Roman"/>
                <w:sz w:val="24"/>
                <w:szCs w:val="24"/>
                <w:lang w:eastAsia="en-US"/>
              </w:rPr>
              <w:t>2015 - 2025</w:t>
            </w:r>
          </w:p>
        </w:tc>
      </w:tr>
      <w:tr w:rsidR="000E1CA7">
        <w:trPr>
          <w:trHeight w:val="353"/>
          <w:jc w:val="center"/>
        </w:trPr>
        <w:tc>
          <w:tcPr>
            <w:tcW w:w="4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E1CA7" w:rsidRDefault="007923AB">
            <w:pPr>
              <w:spacing w:line="360" w:lineRule="auto"/>
              <w:jc w:val="both"/>
              <w:rPr>
                <w:rFonts w:ascii="Times New Roman" w:hAnsi="Times New Roman"/>
                <w:b/>
                <w:bCs/>
                <w:sz w:val="24"/>
                <w:szCs w:val="24"/>
              </w:rPr>
            </w:pPr>
            <w:r>
              <w:rPr>
                <w:rFonts w:ascii="Times New Roman" w:eastAsia="MS Mincho" w:hAnsi="Times New Roman"/>
                <w:b/>
                <w:bCs/>
                <w:sz w:val="24"/>
                <w:szCs w:val="24"/>
                <w:lang w:eastAsia="en-US"/>
              </w:rPr>
              <w:t>Source Types</w:t>
            </w:r>
          </w:p>
        </w:tc>
        <w:tc>
          <w:tcPr>
            <w:tcW w:w="4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E1CA7" w:rsidRDefault="007923AB">
            <w:pPr>
              <w:spacing w:line="360" w:lineRule="auto"/>
              <w:jc w:val="both"/>
              <w:rPr>
                <w:rFonts w:ascii="Times New Roman" w:hAnsi="Times New Roman"/>
                <w:sz w:val="24"/>
                <w:szCs w:val="24"/>
              </w:rPr>
            </w:pPr>
            <w:r>
              <w:rPr>
                <w:rFonts w:ascii="Times New Roman" w:eastAsia="MS Mincho" w:hAnsi="Times New Roman"/>
                <w:sz w:val="24"/>
                <w:szCs w:val="24"/>
                <w:lang w:eastAsia="en-US"/>
              </w:rPr>
              <w:t>Peer-reviewed journal articles, Conference proceedings, Government and industry reports, Technical</w:t>
            </w:r>
            <w:r>
              <w:rPr>
                <w:rFonts w:ascii="Times New Roman" w:eastAsia="MS Mincho" w:hAnsi="Times New Roman"/>
                <w:sz w:val="24"/>
                <w:szCs w:val="24"/>
                <w:lang w:eastAsia="en-US"/>
              </w:rPr>
              <w:t xml:space="preserve"> standards and guidelines, Book chapters, White papers and case studies from reputable organizations</w:t>
            </w:r>
          </w:p>
        </w:tc>
      </w:tr>
      <w:tr w:rsidR="000E1CA7">
        <w:trPr>
          <w:trHeight w:val="162"/>
          <w:jc w:val="center"/>
        </w:trPr>
        <w:tc>
          <w:tcPr>
            <w:tcW w:w="4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E1CA7" w:rsidRDefault="007923AB">
            <w:pPr>
              <w:spacing w:line="360" w:lineRule="auto"/>
              <w:jc w:val="both"/>
              <w:rPr>
                <w:rFonts w:ascii="Times New Roman" w:hAnsi="Times New Roman"/>
                <w:b/>
                <w:bCs/>
                <w:sz w:val="24"/>
                <w:szCs w:val="24"/>
              </w:rPr>
            </w:pPr>
            <w:r>
              <w:rPr>
                <w:rFonts w:ascii="Times New Roman" w:eastAsia="MS Mincho" w:hAnsi="Times New Roman"/>
                <w:b/>
                <w:bCs/>
                <w:sz w:val="24"/>
                <w:szCs w:val="24"/>
                <w:lang w:eastAsia="en-US"/>
              </w:rPr>
              <w:t>Snowballing</w:t>
            </w:r>
          </w:p>
        </w:tc>
        <w:tc>
          <w:tcPr>
            <w:tcW w:w="4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E1CA7" w:rsidRDefault="007923AB">
            <w:pPr>
              <w:spacing w:line="360" w:lineRule="auto"/>
              <w:jc w:val="both"/>
              <w:rPr>
                <w:rFonts w:ascii="Times New Roman" w:hAnsi="Times New Roman"/>
                <w:sz w:val="24"/>
                <w:szCs w:val="24"/>
              </w:rPr>
            </w:pPr>
            <w:r>
              <w:rPr>
                <w:rFonts w:ascii="Times New Roman" w:eastAsia="MS Mincho" w:hAnsi="Times New Roman"/>
                <w:sz w:val="24"/>
                <w:szCs w:val="24"/>
                <w:lang w:eastAsia="en-US"/>
              </w:rPr>
              <w:t>Use reference lists of key papers to uncover additional relevant sources</w:t>
            </w:r>
          </w:p>
        </w:tc>
      </w:tr>
    </w:tbl>
    <w:p w:rsidR="000E1CA7" w:rsidRDefault="000E1CA7">
      <w:pPr>
        <w:rPr>
          <w:rFonts w:ascii="Times New Roman" w:hAnsi="Times New Roman"/>
          <w:b/>
          <w:bCs/>
          <w:sz w:val="28"/>
          <w:szCs w:val="28"/>
        </w:rPr>
        <w:sectPr w:rsidR="000E1CA7">
          <w:headerReference w:type="even" r:id="rId9"/>
          <w:headerReference w:type="default" r:id="rId10"/>
          <w:footerReference w:type="even" r:id="rId11"/>
          <w:footerReference w:type="default" r:id="rId12"/>
          <w:headerReference w:type="first" r:id="rId13"/>
          <w:pgSz w:w="12240" w:h="15840"/>
          <w:pgMar w:top="1440" w:right="1440" w:bottom="1440" w:left="1440" w:header="720" w:footer="720" w:gutter="0"/>
          <w:cols w:space="720"/>
          <w:docGrid w:linePitch="360"/>
        </w:sectPr>
      </w:pPr>
    </w:p>
    <w:p w:rsidR="000E1CA7" w:rsidRDefault="007923AB">
      <w:pPr>
        <w:jc w:val="both"/>
        <w:rPr>
          <w:rFonts w:ascii="Times New Roman" w:hAnsi="Times New Roman"/>
          <w:b/>
          <w:bCs/>
          <w:sz w:val="28"/>
          <w:szCs w:val="28"/>
        </w:rPr>
      </w:pPr>
      <w:r>
        <w:rPr>
          <w:rFonts w:ascii="Times New Roman" w:hAnsi="Times New Roman"/>
          <w:b/>
          <w:bCs/>
          <w:sz w:val="28"/>
          <w:szCs w:val="28"/>
        </w:rPr>
        <w:lastRenderedPageBreak/>
        <w:t>Table 2: Summary of Findings</w:t>
      </w:r>
    </w:p>
    <w:tbl>
      <w:tblPr>
        <w:tblW w:w="13418"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1750"/>
        <w:gridCol w:w="2040"/>
        <w:gridCol w:w="5035"/>
        <w:gridCol w:w="4593"/>
      </w:tblGrid>
      <w:tr w:rsidR="000E1CA7">
        <w:trPr>
          <w:trHeight w:val="90"/>
          <w:tblHeader/>
          <w:tblCellSpacing w:w="15" w:type="dxa"/>
          <w:jc w:val="center"/>
        </w:trPr>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jc w:val="center"/>
              <w:rPr>
                <w:rFonts w:ascii="Times New Roman" w:hAnsi="Times New Roman"/>
                <w:b/>
                <w:bCs/>
                <w:color w:val="000000"/>
                <w:sz w:val="24"/>
                <w:szCs w:val="24"/>
              </w:rPr>
            </w:pPr>
            <w:r>
              <w:rPr>
                <w:rStyle w:val="Strong"/>
                <w:rFonts w:ascii="Times New Roman" w:hAnsi="Times New Roman"/>
                <w:color w:val="000000"/>
                <w:sz w:val="24"/>
                <w:szCs w:val="24"/>
              </w:rPr>
              <w:t>Study</w:t>
            </w:r>
          </w:p>
        </w:tc>
        <w:tc>
          <w:tcPr>
            <w:tcW w:w="2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jc w:val="center"/>
              <w:rPr>
                <w:rFonts w:ascii="Times New Roman" w:hAnsi="Times New Roman"/>
                <w:b/>
                <w:bCs/>
                <w:color w:val="000000"/>
                <w:sz w:val="24"/>
                <w:szCs w:val="24"/>
              </w:rPr>
            </w:pPr>
            <w:r>
              <w:rPr>
                <w:rStyle w:val="Strong"/>
                <w:rFonts w:ascii="Times New Roman" w:hAnsi="Times New Roman"/>
                <w:color w:val="000000"/>
                <w:sz w:val="24"/>
                <w:szCs w:val="24"/>
              </w:rPr>
              <w:t>Application Area</w:t>
            </w:r>
          </w:p>
        </w:tc>
        <w:tc>
          <w:tcPr>
            <w:tcW w:w="50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jc w:val="center"/>
              <w:rPr>
                <w:rFonts w:ascii="Times New Roman" w:hAnsi="Times New Roman"/>
                <w:b/>
                <w:bCs/>
                <w:color w:val="000000"/>
                <w:sz w:val="24"/>
                <w:szCs w:val="24"/>
              </w:rPr>
            </w:pPr>
            <w:r>
              <w:rPr>
                <w:rStyle w:val="Strong"/>
                <w:rFonts w:ascii="Times New Roman" w:hAnsi="Times New Roman"/>
                <w:color w:val="000000"/>
                <w:sz w:val="24"/>
                <w:szCs w:val="24"/>
              </w:rPr>
              <w:t>Objectives</w:t>
            </w:r>
          </w:p>
        </w:tc>
        <w:tc>
          <w:tcPr>
            <w:tcW w:w="45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jc w:val="center"/>
              <w:rPr>
                <w:rFonts w:ascii="Times New Roman" w:hAnsi="Times New Roman"/>
                <w:b/>
                <w:bCs/>
                <w:color w:val="000000"/>
                <w:sz w:val="24"/>
                <w:szCs w:val="24"/>
              </w:rPr>
            </w:pPr>
            <w:r>
              <w:rPr>
                <w:rStyle w:val="Strong"/>
                <w:rFonts w:ascii="Times New Roman" w:hAnsi="Times New Roman"/>
                <w:color w:val="000000"/>
                <w:sz w:val="24"/>
                <w:szCs w:val="24"/>
              </w:rPr>
              <w:t>Key Findings</w:t>
            </w:r>
          </w:p>
        </w:tc>
      </w:tr>
      <w:tr w:rsidR="000E1CA7">
        <w:trPr>
          <w:trHeight w:val="178"/>
          <w:tblCellSpacing w:w="15" w:type="dxa"/>
          <w:jc w:val="center"/>
        </w:trPr>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Style w:val="Strong"/>
                <w:rFonts w:ascii="Times New Roman" w:hAnsi="Times New Roman"/>
                <w:color w:val="000000"/>
                <w:sz w:val="24"/>
                <w:szCs w:val="24"/>
              </w:rPr>
              <w:t>Ricciardi &amp; Callegari (2023)</w:t>
            </w:r>
          </w:p>
        </w:tc>
        <w:tc>
          <w:tcPr>
            <w:tcW w:w="2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Urban Planning &amp; Climate Adaptation</w:t>
            </w:r>
          </w:p>
        </w:tc>
        <w:tc>
          <w:tcPr>
            <w:tcW w:w="50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Analyzed European urban digital twins, highlighting their role in integrating climate change considerations into urban planning and design.</w:t>
            </w:r>
          </w:p>
        </w:tc>
        <w:tc>
          <w:tcPr>
            <w:tcW w:w="45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 xml:space="preserve">Demonstrated that urban </w:t>
            </w:r>
            <w:r>
              <w:rPr>
                <w:rFonts w:ascii="Times New Roman" w:hAnsi="Times New Roman"/>
                <w:color w:val="000000"/>
                <w:sz w:val="24"/>
                <w:szCs w:val="24"/>
              </w:rPr>
              <w:t>digital twins can enhance climate-aware urban design by embedding real-time environmental data into planning processes.</w:t>
            </w:r>
          </w:p>
        </w:tc>
      </w:tr>
      <w:tr w:rsidR="000E1CA7">
        <w:trPr>
          <w:trHeight w:val="231"/>
          <w:tblCellSpacing w:w="15" w:type="dxa"/>
          <w:jc w:val="center"/>
        </w:trPr>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Style w:val="Strong"/>
                <w:rFonts w:ascii="Times New Roman" w:hAnsi="Times New Roman"/>
                <w:color w:val="000000"/>
                <w:sz w:val="24"/>
                <w:szCs w:val="24"/>
              </w:rPr>
              <w:t>Ni et al. (2024)</w:t>
            </w:r>
          </w:p>
        </w:tc>
        <w:tc>
          <w:tcPr>
            <w:tcW w:w="2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Building Indoor Climate Modeling</w:t>
            </w:r>
          </w:p>
        </w:tc>
        <w:tc>
          <w:tcPr>
            <w:tcW w:w="50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 xml:space="preserve">Developed edge-based parametric digital twins combined with deep learning to predict </w:t>
            </w:r>
            <w:r>
              <w:rPr>
                <w:rFonts w:ascii="Times New Roman" w:hAnsi="Times New Roman"/>
                <w:color w:val="000000"/>
                <w:sz w:val="24"/>
                <w:szCs w:val="24"/>
              </w:rPr>
              <w:t>indoor climate conditions, enhancing energy efficiency and occupant comfort.</w:t>
            </w:r>
          </w:p>
        </w:tc>
        <w:tc>
          <w:tcPr>
            <w:tcW w:w="45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Showed that edge-deployed digital twins significantly improve climate control accuracy and energy optimization in building environments.</w:t>
            </w:r>
          </w:p>
        </w:tc>
      </w:tr>
      <w:tr w:rsidR="000E1CA7">
        <w:trPr>
          <w:trHeight w:val="231"/>
          <w:tblCellSpacing w:w="15" w:type="dxa"/>
          <w:jc w:val="center"/>
        </w:trPr>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Style w:val="Strong"/>
                <w:rFonts w:ascii="Times New Roman" w:hAnsi="Times New Roman"/>
                <w:color w:val="000000"/>
                <w:sz w:val="24"/>
                <w:szCs w:val="24"/>
              </w:rPr>
              <w:t>Chen et al. (2024)</w:t>
            </w:r>
          </w:p>
        </w:tc>
        <w:tc>
          <w:tcPr>
            <w:tcW w:w="2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 xml:space="preserve">Coastal Resilience </w:t>
            </w:r>
            <w:r>
              <w:rPr>
                <w:rFonts w:ascii="Times New Roman" w:hAnsi="Times New Roman"/>
                <w:color w:val="000000"/>
                <w:sz w:val="24"/>
                <w:szCs w:val="24"/>
              </w:rPr>
              <w:t>Planning</w:t>
            </w:r>
          </w:p>
        </w:tc>
        <w:tc>
          <w:tcPr>
            <w:tcW w:w="50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Integrated urban digital twins with cloud-based geospatial dashboards to visualize infrastructure vulnerabilities, aiding in flood risk assessment and awareness.</w:t>
            </w:r>
          </w:p>
        </w:tc>
        <w:tc>
          <w:tcPr>
            <w:tcW w:w="45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Found that visualizing vulnerabilities through digital twins promotes proactive flood</w:t>
            </w:r>
            <w:r>
              <w:rPr>
                <w:rFonts w:ascii="Times New Roman" w:hAnsi="Times New Roman"/>
                <w:color w:val="000000"/>
                <w:sz w:val="24"/>
                <w:szCs w:val="24"/>
              </w:rPr>
              <w:t xml:space="preserve"> risk management and stakeholder engagement.</w:t>
            </w:r>
          </w:p>
        </w:tc>
      </w:tr>
      <w:tr w:rsidR="000E1CA7">
        <w:trPr>
          <w:trHeight w:val="178"/>
          <w:tblCellSpacing w:w="15" w:type="dxa"/>
          <w:jc w:val="center"/>
        </w:trPr>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Style w:val="Strong"/>
                <w:rFonts w:ascii="Times New Roman" w:hAnsi="Times New Roman"/>
                <w:color w:val="000000"/>
                <w:sz w:val="24"/>
                <w:szCs w:val="24"/>
              </w:rPr>
              <w:t>Dale et al. (2023)</w:t>
            </w:r>
          </w:p>
        </w:tc>
        <w:tc>
          <w:tcPr>
            <w:tcW w:w="2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Climate Adaptation Decision-Making</w:t>
            </w:r>
          </w:p>
        </w:tc>
        <w:tc>
          <w:tcPr>
            <w:tcW w:w="50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Proposed environment-aware digital twins (EA-DTs) that integrate weather and climate information to support risk-informed decision-making.</w:t>
            </w:r>
          </w:p>
        </w:tc>
        <w:tc>
          <w:tcPr>
            <w:tcW w:w="45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EA-DTs enable dec</w:t>
            </w:r>
            <w:r>
              <w:rPr>
                <w:rFonts w:ascii="Times New Roman" w:hAnsi="Times New Roman"/>
                <w:color w:val="000000"/>
                <w:sz w:val="24"/>
                <w:szCs w:val="24"/>
              </w:rPr>
              <w:t>ision-makers to respond more effectively to climate risks through continuous environmental data integration.</w:t>
            </w:r>
          </w:p>
        </w:tc>
      </w:tr>
      <w:tr w:rsidR="000E1CA7">
        <w:trPr>
          <w:trHeight w:val="178"/>
          <w:tblCellSpacing w:w="15" w:type="dxa"/>
          <w:jc w:val="center"/>
        </w:trPr>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Style w:val="Strong"/>
                <w:rFonts w:ascii="Times New Roman" w:hAnsi="Times New Roman"/>
                <w:color w:val="000000"/>
                <w:sz w:val="24"/>
                <w:szCs w:val="24"/>
              </w:rPr>
              <w:t>van der Schrier et al. (2024)</w:t>
            </w:r>
          </w:p>
        </w:tc>
        <w:tc>
          <w:tcPr>
            <w:tcW w:w="2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Earth System Monitoring</w:t>
            </w:r>
          </w:p>
        </w:tc>
        <w:tc>
          <w:tcPr>
            <w:tcW w:w="50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 xml:space="preserve">Discussed the development of digital twins of the Earth to monitor, forecast, and assess </w:t>
            </w:r>
            <w:r>
              <w:rPr>
                <w:rFonts w:ascii="Times New Roman" w:hAnsi="Times New Roman"/>
                <w:color w:val="000000"/>
                <w:sz w:val="24"/>
                <w:szCs w:val="24"/>
              </w:rPr>
              <w:t>environmental changes.</w:t>
            </w:r>
          </w:p>
        </w:tc>
        <w:tc>
          <w:tcPr>
            <w:tcW w:w="45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Highlighted the potential of Earth digital twins to serve as planetary-scale tools for climate forecasting and early warning.</w:t>
            </w:r>
          </w:p>
        </w:tc>
      </w:tr>
      <w:tr w:rsidR="000E1CA7">
        <w:trPr>
          <w:trHeight w:val="178"/>
          <w:tblCellSpacing w:w="15" w:type="dxa"/>
          <w:jc w:val="center"/>
        </w:trPr>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Style w:val="Strong"/>
                <w:rFonts w:ascii="Times New Roman" w:hAnsi="Times New Roman"/>
                <w:color w:val="000000"/>
                <w:sz w:val="24"/>
                <w:szCs w:val="24"/>
              </w:rPr>
              <w:t xml:space="preserve">Riaz et al. </w:t>
            </w:r>
            <w:r>
              <w:rPr>
                <w:rStyle w:val="Strong"/>
                <w:rFonts w:ascii="Times New Roman" w:hAnsi="Times New Roman"/>
                <w:color w:val="000000"/>
                <w:sz w:val="24"/>
                <w:szCs w:val="24"/>
              </w:rPr>
              <w:lastRenderedPageBreak/>
              <w:t>(2023)</w:t>
            </w:r>
          </w:p>
        </w:tc>
        <w:tc>
          <w:tcPr>
            <w:tcW w:w="2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lastRenderedPageBreak/>
              <w:t xml:space="preserve">Smart Cities &amp; </w:t>
            </w:r>
            <w:r>
              <w:rPr>
                <w:rFonts w:ascii="Times New Roman" w:hAnsi="Times New Roman"/>
                <w:color w:val="000000"/>
                <w:sz w:val="24"/>
                <w:szCs w:val="24"/>
              </w:rPr>
              <w:lastRenderedPageBreak/>
              <w:t>Early Warning Systems</w:t>
            </w:r>
          </w:p>
        </w:tc>
        <w:tc>
          <w:tcPr>
            <w:tcW w:w="50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lastRenderedPageBreak/>
              <w:t xml:space="preserve">Highlighted the significance of digital twins, 3D </w:t>
            </w:r>
            <w:r>
              <w:rPr>
                <w:rFonts w:ascii="Times New Roman" w:hAnsi="Times New Roman"/>
                <w:color w:val="000000"/>
                <w:sz w:val="24"/>
                <w:szCs w:val="24"/>
              </w:rPr>
              <w:lastRenderedPageBreak/>
              <w:t>city modeling, and early warning systems in enhancing climate resilience of smart cities.</w:t>
            </w:r>
          </w:p>
        </w:tc>
        <w:tc>
          <w:tcPr>
            <w:tcW w:w="45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lastRenderedPageBreak/>
              <w:t xml:space="preserve">Emphasized that digital twins combined with </w:t>
            </w:r>
            <w:r>
              <w:rPr>
                <w:rFonts w:ascii="Times New Roman" w:hAnsi="Times New Roman"/>
                <w:color w:val="000000"/>
                <w:sz w:val="24"/>
                <w:szCs w:val="24"/>
              </w:rPr>
              <w:lastRenderedPageBreak/>
              <w:t>early warning systems improve emergency preparedness and urban climate resilience.</w:t>
            </w:r>
          </w:p>
        </w:tc>
      </w:tr>
      <w:tr w:rsidR="000E1CA7">
        <w:trPr>
          <w:trHeight w:val="178"/>
          <w:tblCellSpacing w:w="15" w:type="dxa"/>
          <w:jc w:val="center"/>
        </w:trPr>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Style w:val="Strong"/>
                <w:rFonts w:ascii="Times New Roman" w:hAnsi="Times New Roman"/>
                <w:color w:val="000000"/>
                <w:sz w:val="24"/>
                <w:szCs w:val="24"/>
              </w:rPr>
              <w:lastRenderedPageBreak/>
              <w:t>Gong et al. (2025)</w:t>
            </w:r>
          </w:p>
        </w:tc>
        <w:tc>
          <w:tcPr>
            <w:tcW w:w="2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Heat Stress Forecas</w:t>
            </w:r>
            <w:r>
              <w:rPr>
                <w:rFonts w:ascii="Times New Roman" w:hAnsi="Times New Roman"/>
                <w:color w:val="000000"/>
                <w:sz w:val="24"/>
                <w:szCs w:val="24"/>
              </w:rPr>
              <w:t>ting</w:t>
            </w:r>
          </w:p>
        </w:tc>
        <w:tc>
          <w:tcPr>
            <w:tcW w:w="50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Introduced a climate-responsive digital twin framework integrating Spatiotemporal Vision Transformer (ST-</w:t>
            </w:r>
            <w:proofErr w:type="spellStart"/>
            <w:r>
              <w:rPr>
                <w:rFonts w:ascii="Times New Roman" w:hAnsi="Times New Roman"/>
                <w:color w:val="000000"/>
                <w:sz w:val="24"/>
                <w:szCs w:val="24"/>
              </w:rPr>
              <w:t>ViT</w:t>
            </w:r>
            <w:proofErr w:type="spellEnd"/>
            <w:r>
              <w:rPr>
                <w:rFonts w:ascii="Times New Roman" w:hAnsi="Times New Roman"/>
                <w:color w:val="000000"/>
                <w:sz w:val="24"/>
                <w:szCs w:val="24"/>
              </w:rPr>
              <w:t>) for high-resolution heat stress forecasting.</w:t>
            </w:r>
          </w:p>
        </w:tc>
        <w:tc>
          <w:tcPr>
            <w:tcW w:w="45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Achieved improved accuracy and spatial detail in predicting urban heat stress through advanced A</w:t>
            </w:r>
            <w:r>
              <w:rPr>
                <w:rFonts w:ascii="Times New Roman" w:hAnsi="Times New Roman"/>
                <w:color w:val="000000"/>
                <w:sz w:val="24"/>
                <w:szCs w:val="24"/>
              </w:rPr>
              <w:t>I-enhanced digital twin models.</w:t>
            </w:r>
          </w:p>
        </w:tc>
      </w:tr>
      <w:tr w:rsidR="000E1CA7">
        <w:trPr>
          <w:trHeight w:val="231"/>
          <w:tblCellSpacing w:w="15" w:type="dxa"/>
          <w:jc w:val="center"/>
        </w:trPr>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Style w:val="Strong"/>
                <w:rFonts w:ascii="Times New Roman" w:hAnsi="Times New Roman"/>
                <w:color w:val="000000"/>
                <w:sz w:val="24"/>
                <w:szCs w:val="24"/>
              </w:rPr>
              <w:t>Sohail et al. (2024)</w:t>
            </w:r>
          </w:p>
        </w:tc>
        <w:tc>
          <w:tcPr>
            <w:tcW w:w="2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Urban Sustainability</w:t>
            </w:r>
          </w:p>
        </w:tc>
        <w:tc>
          <w:tcPr>
            <w:tcW w:w="50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Presented a case study on Sydney’s urban digital twin, demonstrating its application in sustainable urban planning.</w:t>
            </w:r>
          </w:p>
        </w:tc>
        <w:tc>
          <w:tcPr>
            <w:tcW w:w="45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 xml:space="preserve">Validated that digital twins can serve as operational platforms </w:t>
            </w:r>
            <w:r>
              <w:rPr>
                <w:rFonts w:ascii="Times New Roman" w:hAnsi="Times New Roman"/>
                <w:color w:val="000000"/>
                <w:sz w:val="24"/>
                <w:szCs w:val="24"/>
              </w:rPr>
              <w:t>for tracking sustainability indicators and supporting greener urban development.</w:t>
            </w:r>
          </w:p>
        </w:tc>
      </w:tr>
      <w:tr w:rsidR="000E1CA7">
        <w:trPr>
          <w:trHeight w:val="178"/>
          <w:tblCellSpacing w:w="15" w:type="dxa"/>
          <w:jc w:val="center"/>
        </w:trPr>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Style w:val="Strong"/>
                <w:rFonts w:ascii="Times New Roman" w:hAnsi="Times New Roman"/>
                <w:color w:val="000000"/>
                <w:sz w:val="24"/>
                <w:szCs w:val="24"/>
              </w:rPr>
              <w:t>Ramaswami et al. (2023)</w:t>
            </w:r>
          </w:p>
        </w:tc>
        <w:tc>
          <w:tcPr>
            <w:tcW w:w="2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Infrastructure Resilience</w:t>
            </w:r>
          </w:p>
        </w:tc>
        <w:tc>
          <w:tcPr>
            <w:tcW w:w="50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Explored the role of digital twins in enhancing the climate resilience of critical infrastructure.</w:t>
            </w:r>
          </w:p>
        </w:tc>
        <w:tc>
          <w:tcPr>
            <w:tcW w:w="45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Concluded that digital tw</w:t>
            </w:r>
            <w:r>
              <w:rPr>
                <w:rFonts w:ascii="Times New Roman" w:hAnsi="Times New Roman"/>
                <w:color w:val="000000"/>
                <w:sz w:val="24"/>
                <w:szCs w:val="24"/>
              </w:rPr>
              <w:t>ins aid in resilience planning by simulating potential climate impacts on infrastructure systems.</w:t>
            </w:r>
          </w:p>
        </w:tc>
      </w:tr>
      <w:tr w:rsidR="000E1CA7">
        <w:trPr>
          <w:trHeight w:val="181"/>
          <w:tblCellSpacing w:w="15" w:type="dxa"/>
          <w:jc w:val="center"/>
        </w:trPr>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Style w:val="Strong"/>
                <w:rFonts w:ascii="Times New Roman" w:hAnsi="Times New Roman"/>
                <w:color w:val="000000"/>
                <w:sz w:val="24"/>
                <w:szCs w:val="24"/>
              </w:rPr>
              <w:t>Amarnath (2023)</w:t>
            </w:r>
          </w:p>
        </w:tc>
        <w:tc>
          <w:tcPr>
            <w:tcW w:w="2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Water Resource Management</w:t>
            </w:r>
          </w:p>
        </w:tc>
        <w:tc>
          <w:tcPr>
            <w:tcW w:w="50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Discussed the potential of digital twin Earth models in mitigating the global water crisis.</w:t>
            </w:r>
          </w:p>
        </w:tc>
        <w:tc>
          <w:tcPr>
            <w:tcW w:w="45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E1CA7" w:rsidRDefault="007923AB">
            <w:pPr>
              <w:rPr>
                <w:rFonts w:ascii="Times New Roman" w:hAnsi="Times New Roman"/>
                <w:color w:val="000000"/>
                <w:sz w:val="24"/>
                <w:szCs w:val="24"/>
              </w:rPr>
            </w:pPr>
            <w:r>
              <w:rPr>
                <w:rFonts w:ascii="Times New Roman" w:hAnsi="Times New Roman"/>
                <w:color w:val="000000"/>
                <w:sz w:val="24"/>
                <w:szCs w:val="24"/>
              </w:rPr>
              <w:t>Identified digital twin</w:t>
            </w:r>
            <w:r>
              <w:rPr>
                <w:rFonts w:ascii="Times New Roman" w:hAnsi="Times New Roman"/>
                <w:color w:val="000000"/>
                <w:sz w:val="24"/>
                <w:szCs w:val="24"/>
              </w:rPr>
              <w:t xml:space="preserve"> Earth as a strategic solution to monitor, predict, and optimize water usage and availability under climate stress.</w:t>
            </w:r>
          </w:p>
        </w:tc>
      </w:tr>
    </w:tbl>
    <w:p w:rsidR="000E1CA7" w:rsidRDefault="000E1CA7">
      <w:pPr>
        <w:jc w:val="both"/>
        <w:rPr>
          <w:rFonts w:ascii="Times New Roman" w:hAnsi="Times New Roman"/>
          <w:b/>
          <w:bCs/>
          <w:sz w:val="28"/>
          <w:szCs w:val="28"/>
        </w:rPr>
        <w:sectPr w:rsidR="000E1CA7">
          <w:pgSz w:w="15840" w:h="12240" w:orient="landscape"/>
          <w:pgMar w:top="1440" w:right="1440" w:bottom="1440" w:left="1440" w:header="720" w:footer="720" w:gutter="0"/>
          <w:cols w:space="720"/>
          <w:docGrid w:linePitch="360"/>
        </w:sectPr>
      </w:pPr>
    </w:p>
    <w:p w:rsidR="000E1CA7" w:rsidRDefault="007923AB">
      <w:pPr>
        <w:rPr>
          <w:rFonts w:ascii="Times New Roman" w:hAnsi="Times New Roman"/>
          <w:b/>
          <w:bCs/>
          <w:sz w:val="28"/>
          <w:szCs w:val="28"/>
        </w:rPr>
      </w:pPr>
      <w:r>
        <w:rPr>
          <w:rFonts w:ascii="Times New Roman" w:hAnsi="Times New Roman"/>
          <w:b/>
          <w:bCs/>
          <w:sz w:val="28"/>
          <w:szCs w:val="28"/>
        </w:rPr>
        <w:lastRenderedPageBreak/>
        <w:t xml:space="preserve">3 Result and Discussion </w:t>
      </w:r>
    </w:p>
    <w:p w:rsidR="000E1CA7" w:rsidRDefault="007923AB">
      <w:pPr>
        <w:spacing w:line="360" w:lineRule="auto"/>
        <w:jc w:val="both"/>
        <w:rPr>
          <w:rFonts w:ascii="Times New Roman" w:hAnsi="Times New Roman"/>
          <w:b/>
          <w:bCs/>
          <w:i/>
          <w:iCs/>
          <w:sz w:val="24"/>
          <w:szCs w:val="24"/>
        </w:rPr>
      </w:pPr>
      <w:proofErr w:type="gramStart"/>
      <w:r>
        <w:rPr>
          <w:rFonts w:ascii="Times New Roman" w:hAnsi="Times New Roman"/>
          <w:b/>
          <w:bCs/>
          <w:i/>
          <w:iCs/>
          <w:sz w:val="24"/>
          <w:szCs w:val="24"/>
        </w:rPr>
        <w:t>a</w:t>
      </w:r>
      <w:proofErr w:type="gramEnd"/>
      <w:r>
        <w:rPr>
          <w:rFonts w:ascii="Times New Roman" w:hAnsi="Times New Roman"/>
          <w:b/>
          <w:bCs/>
          <w:i/>
          <w:iCs/>
          <w:sz w:val="24"/>
          <w:szCs w:val="24"/>
        </w:rPr>
        <w:t xml:space="preserve"> Urban Planning and Climate Adaptation</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 xml:space="preserve">Urban areas face increasing vulnerability to the impacts of </w:t>
      </w:r>
      <w:r>
        <w:rPr>
          <w:rFonts w:ascii="Times New Roman" w:hAnsi="Times New Roman"/>
          <w:sz w:val="24"/>
          <w:szCs w:val="24"/>
        </w:rPr>
        <w:t>climate change, necessitating innovative solutions such as digital twins to inform urban planning. Ricciardi and Callegari (2023) explored the use of urban digital twins in Europe, noting their significant role in incorporating climate change consideration</w:t>
      </w:r>
      <w:r>
        <w:rPr>
          <w:rFonts w:ascii="Times New Roman" w:hAnsi="Times New Roman"/>
          <w:sz w:val="24"/>
          <w:szCs w:val="24"/>
        </w:rPr>
        <w:t>s into the planning and design of cities. These digital twins enable simulations of various climate scenarios, such as heatwaves and flooding, helping urban planners design resilient infrastructure that can withstand extreme weather events. By providing re</w:t>
      </w:r>
      <w:r>
        <w:rPr>
          <w:rFonts w:ascii="Times New Roman" w:hAnsi="Times New Roman"/>
          <w:sz w:val="24"/>
          <w:szCs w:val="24"/>
        </w:rPr>
        <w:t>al-time insights into potential climate impacts, urban planners can implement strategies that enhance long-term climate resilience.</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 xml:space="preserve">For instance, cities like Bologna use digital twins to optimize urban mobility and promote sustainable transportation </w:t>
      </w:r>
      <w:r>
        <w:rPr>
          <w:rFonts w:ascii="Times New Roman" w:hAnsi="Times New Roman"/>
          <w:sz w:val="24"/>
          <w:szCs w:val="24"/>
        </w:rPr>
        <w:t>options, including cycling and public transportation (European Commission, 2021). This integration of real-time data through sensors has enabled the city to better understand traffic flows, energy consumption, and environmental conditions, facilitating inf</w:t>
      </w:r>
      <w:r>
        <w:rPr>
          <w:rFonts w:ascii="Times New Roman" w:hAnsi="Times New Roman"/>
          <w:sz w:val="24"/>
          <w:szCs w:val="24"/>
        </w:rPr>
        <w:t xml:space="preserve">ormed decision-making. Similarly, Sydney’s urban digital twin, which integrates diverse data sources, such as weather, traffic, and crime, provides a comprehensive platform for promoting climate resilience and sustainability in urban areas (Sohail et al., </w:t>
      </w:r>
      <w:r>
        <w:rPr>
          <w:rFonts w:ascii="Times New Roman" w:hAnsi="Times New Roman"/>
          <w:sz w:val="24"/>
          <w:szCs w:val="24"/>
        </w:rPr>
        <w:t>2024).</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In Aachen, Germany, a digital twin has been used to streamline urban processes, from mobility management to sustainable planning. This digital model integrates multiple data sources, making it a powerful tool for enhancing the coordination among dif</w:t>
      </w:r>
      <w:r>
        <w:rPr>
          <w:rFonts w:ascii="Times New Roman" w:hAnsi="Times New Roman"/>
          <w:sz w:val="24"/>
          <w:szCs w:val="24"/>
        </w:rPr>
        <w:t xml:space="preserve">ferent city departments, ultimately helping the city become more climate-resilient (European Commission, 2021). Similarly, Virtual Singapore serves as a national digital twin model that integrates 3D data and real-time information to inform urban planning </w:t>
      </w:r>
      <w:r>
        <w:rPr>
          <w:rFonts w:ascii="Times New Roman" w:hAnsi="Times New Roman"/>
          <w:sz w:val="24"/>
          <w:szCs w:val="24"/>
        </w:rPr>
        <w:t>decisions, particularly in disaster management and environmental monitoring.</w:t>
      </w:r>
    </w:p>
    <w:p w:rsidR="000E1CA7" w:rsidRDefault="007923AB">
      <w:pPr>
        <w:spacing w:line="360" w:lineRule="auto"/>
        <w:jc w:val="center"/>
        <w:rPr>
          <w:rFonts w:ascii="Times New Roman" w:hAnsi="Times New Roman"/>
          <w:sz w:val="24"/>
          <w:szCs w:val="24"/>
        </w:rPr>
      </w:pPr>
      <w:r>
        <w:rPr>
          <w:rFonts w:ascii="Times New Roman" w:hAnsi="Times New Roman"/>
          <w:sz w:val="24"/>
          <w:szCs w:val="24"/>
        </w:rPr>
        <w:lastRenderedPageBreak/>
        <w:t>--</w:t>
      </w:r>
      <w:r>
        <w:rPr>
          <w:rFonts w:ascii="Times New Roman" w:hAnsi="Times New Roman"/>
          <w:noProof/>
          <w:sz w:val="24"/>
          <w:szCs w:val="24"/>
        </w:rPr>
        <w:drawing>
          <wp:inline distT="0" distB="0" distL="0" distR="0">
            <wp:extent cx="4792980" cy="4792980"/>
            <wp:effectExtent l="0" t="0" r="7620" b="7620"/>
            <wp:docPr id="1027" name="Picture 1" descr="ChatGPT Image Apr 15, 2025, 02_41_56 AM"/>
            <wp:cNvGraphicFramePr/>
            <a:graphic xmlns:a="http://schemas.openxmlformats.org/drawingml/2006/main">
              <a:graphicData uri="http://schemas.openxmlformats.org/drawingml/2006/picture">
                <pic:pic xmlns:pic="http://schemas.openxmlformats.org/drawingml/2006/picture">
                  <pic:nvPicPr>
                    <pic:cNvPr id="1027" name="Picture 1" descr="ChatGPT Image Apr 15, 2025, 02_41_56 AM"/>
                    <pic:cNvPicPr/>
                  </pic:nvPicPr>
                  <pic:blipFill>
                    <a:blip r:embed="rId14" cstate="print"/>
                    <a:srcRect/>
                    <a:stretch>
                      <a:fillRect/>
                    </a:stretch>
                  </pic:blipFill>
                  <pic:spPr>
                    <a:xfrm>
                      <a:off x="0" y="0"/>
                      <a:ext cx="4792980" cy="4792980"/>
                    </a:xfrm>
                    <a:prstGeom prst="rect">
                      <a:avLst/>
                    </a:prstGeom>
                  </pic:spPr>
                </pic:pic>
              </a:graphicData>
            </a:graphic>
          </wp:inline>
        </w:drawing>
      </w:r>
    </w:p>
    <w:p w:rsidR="000E1CA7" w:rsidRDefault="007923AB">
      <w:pPr>
        <w:spacing w:line="360" w:lineRule="auto"/>
        <w:jc w:val="center"/>
        <w:rPr>
          <w:rFonts w:ascii="Times New Roman" w:hAnsi="Times New Roman"/>
          <w:b/>
          <w:bCs/>
          <w:i/>
          <w:iCs/>
          <w:sz w:val="18"/>
          <w:szCs w:val="18"/>
        </w:rPr>
      </w:pPr>
      <w:r>
        <w:rPr>
          <w:rStyle w:val="Strong"/>
          <w:rFonts w:ascii="Times New Roman" w:hAnsi="Times New Roman"/>
          <w:i/>
          <w:iCs/>
          <w:sz w:val="24"/>
          <w:szCs w:val="24"/>
        </w:rPr>
        <w:t>Figure 2: Benefits of Digital Twins in Climate Resilience</w:t>
      </w:r>
      <w:r>
        <w:rPr>
          <w:rFonts w:ascii="Times New Roman" w:hAnsi="Times New Roman"/>
          <w:b/>
          <w:bCs/>
          <w:i/>
          <w:iCs/>
          <w:sz w:val="24"/>
          <w:szCs w:val="24"/>
        </w:rPr>
        <w:br/>
      </w:r>
      <w:r>
        <w:rPr>
          <w:rFonts w:ascii="Times New Roman" w:hAnsi="Times New Roman"/>
          <w:b/>
          <w:bCs/>
          <w:i/>
          <w:iCs/>
          <w:sz w:val="18"/>
          <w:szCs w:val="18"/>
        </w:rPr>
        <w:t>The infographic below visually summarizes key advantages of using digital twin technology in climate adaptation strat</w:t>
      </w:r>
      <w:r>
        <w:rPr>
          <w:rFonts w:ascii="Times New Roman" w:hAnsi="Times New Roman"/>
          <w:b/>
          <w:bCs/>
          <w:i/>
          <w:iCs/>
          <w:sz w:val="18"/>
          <w:szCs w:val="18"/>
        </w:rPr>
        <w:t>egies for infrastructure. These include energy efficiency gains, flood risk modeling, operational cost reductions, and urban planning enhancements.</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Furthermore, cities like Amsterdam and Paris have begun exploring how digital twins can support climate acti</w:t>
      </w:r>
      <w:r>
        <w:rPr>
          <w:rFonts w:ascii="Times New Roman" w:hAnsi="Times New Roman"/>
          <w:sz w:val="24"/>
          <w:szCs w:val="24"/>
        </w:rPr>
        <w:t>on plans by simulating potential urban development scenarios in response to climate risks, such as extreme heat and flooding (Aubert et al., 2022). By offering dynamic modeling, digital twins provide a predictive tool for urban planners, ensuring that city</w:t>
      </w:r>
      <w:r>
        <w:rPr>
          <w:rFonts w:ascii="Times New Roman" w:hAnsi="Times New Roman"/>
          <w:sz w:val="24"/>
          <w:szCs w:val="24"/>
        </w:rPr>
        <w:t xml:space="preserve"> infrastructures and policies are adaptable to future climate realities.</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In addition to environmental monitoring, these digital models facilitate better resource allocation in cities. By simulating different land-use policies and urban growth patterns, urb</w:t>
      </w:r>
      <w:r>
        <w:rPr>
          <w:rFonts w:ascii="Times New Roman" w:hAnsi="Times New Roman"/>
          <w:sz w:val="24"/>
          <w:szCs w:val="24"/>
        </w:rPr>
        <w:t xml:space="preserve">an digital twins can help ensure that green spaces, biodiversity, and natural ecosystems are preserved during </w:t>
      </w:r>
      <w:r>
        <w:rPr>
          <w:rFonts w:ascii="Times New Roman" w:hAnsi="Times New Roman"/>
          <w:sz w:val="24"/>
          <w:szCs w:val="24"/>
        </w:rPr>
        <w:lastRenderedPageBreak/>
        <w:t>urban expansion, fostering urban sustainability (Sohail et al., 2024). Such models can also predict how urban sprawl might contribute to or allevi</w:t>
      </w:r>
      <w:r>
        <w:rPr>
          <w:rFonts w:ascii="Times New Roman" w:hAnsi="Times New Roman"/>
          <w:sz w:val="24"/>
          <w:szCs w:val="24"/>
        </w:rPr>
        <w:t>ate climate-related challenges.</w:t>
      </w:r>
    </w:p>
    <w:p w:rsidR="000E1CA7" w:rsidRDefault="007923AB">
      <w:pPr>
        <w:spacing w:line="360" w:lineRule="auto"/>
        <w:jc w:val="both"/>
        <w:rPr>
          <w:rFonts w:ascii="Times New Roman" w:hAnsi="Times New Roman"/>
          <w:b/>
          <w:bCs/>
          <w:i/>
          <w:iCs/>
          <w:sz w:val="24"/>
          <w:szCs w:val="24"/>
        </w:rPr>
      </w:pPr>
      <w:r>
        <w:rPr>
          <w:rFonts w:ascii="Times New Roman" w:hAnsi="Times New Roman"/>
          <w:b/>
          <w:bCs/>
          <w:i/>
          <w:iCs/>
          <w:sz w:val="24"/>
          <w:szCs w:val="24"/>
        </w:rPr>
        <w:t>b. Energy Efficiency and Indoor Climate Modeling</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Energy efficiency within buildings is a key component of addressing global climate change. Ni et al. (2024) developed edge-based parametric digital twins that incorporate deep</w:t>
      </w:r>
      <w:r>
        <w:rPr>
          <w:rFonts w:ascii="Times New Roman" w:hAnsi="Times New Roman"/>
          <w:sz w:val="24"/>
          <w:szCs w:val="24"/>
        </w:rPr>
        <w:t xml:space="preserve"> learning to predict and optimize indoor climate conditions, improving energy efficiency and occupant comfort. These digital twins allow for real-time monitoring of indoor conditions, such as temperature, humidity, and airflow, which can be adjusted automa</w:t>
      </w:r>
      <w:r>
        <w:rPr>
          <w:rFonts w:ascii="Times New Roman" w:hAnsi="Times New Roman"/>
          <w:sz w:val="24"/>
          <w:szCs w:val="24"/>
        </w:rPr>
        <w:t>tically based on changing conditions. This predictive approach ensures that energy is used more efficiently, reducing waste and enhancing building performance.</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By integrating machine learning techniques, digital twins can forecast energy usage patterns bas</w:t>
      </w:r>
      <w:r>
        <w:rPr>
          <w:rFonts w:ascii="Times New Roman" w:hAnsi="Times New Roman"/>
          <w:sz w:val="24"/>
          <w:szCs w:val="24"/>
        </w:rPr>
        <w:t>ed on both internal building conditions and external weather variables (Ni et al., 2024). This integration facilitates proactive adjustments in heating, ventilation, and air conditioning (HVAC) systems, ensuring optimal indoor environments while reducing e</w:t>
      </w:r>
      <w:r>
        <w:rPr>
          <w:rFonts w:ascii="Times New Roman" w:hAnsi="Times New Roman"/>
          <w:sz w:val="24"/>
          <w:szCs w:val="24"/>
        </w:rPr>
        <w:t>nergy consumption. The ability to anticipate and respond to energy demands not only improves comfort but also reduces the carbon footprint of buildings, contributing to broader climate goals.</w:t>
      </w:r>
    </w:p>
    <w:p w:rsidR="000E1CA7" w:rsidRDefault="007923AB">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737100" cy="2842895"/>
            <wp:effectExtent l="0" t="0" r="6350" b="14605"/>
            <wp:docPr id="1028" name="Picture 4" descr="Energy_Savings_Digital_Twins_Bar_Chart"/>
            <wp:cNvGraphicFramePr/>
            <a:graphic xmlns:a="http://schemas.openxmlformats.org/drawingml/2006/main">
              <a:graphicData uri="http://schemas.openxmlformats.org/drawingml/2006/picture">
                <pic:pic xmlns:pic="http://schemas.openxmlformats.org/drawingml/2006/picture">
                  <pic:nvPicPr>
                    <pic:cNvPr id="1028" name="Picture 4" descr="Energy_Savings_Digital_Twins_Bar_Chart"/>
                    <pic:cNvPicPr/>
                  </pic:nvPicPr>
                  <pic:blipFill>
                    <a:blip r:embed="rId15" cstate="print"/>
                    <a:srcRect/>
                    <a:stretch>
                      <a:fillRect/>
                    </a:stretch>
                  </pic:blipFill>
                  <pic:spPr>
                    <a:xfrm>
                      <a:off x="0" y="0"/>
                      <a:ext cx="4737100" cy="2842895"/>
                    </a:xfrm>
                    <a:prstGeom prst="rect">
                      <a:avLst/>
                    </a:prstGeom>
                  </pic:spPr>
                </pic:pic>
              </a:graphicData>
            </a:graphic>
          </wp:inline>
        </w:drawing>
      </w:r>
    </w:p>
    <w:p w:rsidR="000E1CA7" w:rsidRDefault="007923AB">
      <w:pPr>
        <w:spacing w:line="360" w:lineRule="auto"/>
        <w:jc w:val="center"/>
        <w:rPr>
          <w:rFonts w:ascii="Times New Roman" w:hAnsi="Times New Roman"/>
          <w:i/>
          <w:iCs/>
          <w:sz w:val="24"/>
          <w:szCs w:val="24"/>
        </w:rPr>
      </w:pPr>
      <w:r>
        <w:rPr>
          <w:rStyle w:val="Strong"/>
          <w:rFonts w:ascii="Times New Roman" w:hAnsi="Times New Roman"/>
          <w:i/>
          <w:iCs/>
          <w:sz w:val="18"/>
          <w:szCs w:val="18"/>
        </w:rPr>
        <w:t>Figure 3: Energy Savings in Buildings with Digital Twins</w:t>
      </w:r>
      <w:r>
        <w:rPr>
          <w:rFonts w:ascii="Times New Roman" w:hAnsi="Times New Roman"/>
          <w:i/>
          <w:iCs/>
          <w:sz w:val="18"/>
          <w:szCs w:val="18"/>
        </w:rPr>
        <w:br/>
        <w:t xml:space="preserve">This </w:t>
      </w:r>
      <w:r>
        <w:rPr>
          <w:rFonts w:ascii="Times New Roman" w:hAnsi="Times New Roman"/>
          <w:i/>
          <w:iCs/>
          <w:sz w:val="18"/>
          <w:szCs w:val="18"/>
        </w:rPr>
        <w:t xml:space="preserve">bar chart presents a comparison of energy consumption before and after the adoption of digital twin technologies across </w:t>
      </w:r>
      <w:r>
        <w:rPr>
          <w:rFonts w:ascii="Times New Roman" w:hAnsi="Times New Roman"/>
          <w:i/>
          <w:iCs/>
          <w:sz w:val="18"/>
          <w:szCs w:val="18"/>
        </w:rPr>
        <w:lastRenderedPageBreak/>
        <w:t>different building types and locations. The results indicate significant reductions in energy usage, highlighting the role of digital tw</w:t>
      </w:r>
      <w:r>
        <w:rPr>
          <w:rFonts w:ascii="Times New Roman" w:hAnsi="Times New Roman"/>
          <w:i/>
          <w:iCs/>
          <w:sz w:val="18"/>
          <w:szCs w:val="18"/>
        </w:rPr>
        <w:t>ins in promoting energy efficiency and supporting climate resilience strategies in infrastructure management</w:t>
      </w:r>
      <w:r>
        <w:rPr>
          <w:rFonts w:ascii="Times New Roman" w:hAnsi="Times New Roman"/>
          <w:i/>
          <w:iCs/>
          <w:sz w:val="24"/>
          <w:szCs w:val="24"/>
        </w:rPr>
        <w:t>.</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In addition to improving building energy performance, digital twins enhance the efficiency of entire building systems. By modeling energy consumpt</w:t>
      </w:r>
      <w:r>
        <w:rPr>
          <w:rFonts w:ascii="Times New Roman" w:hAnsi="Times New Roman"/>
          <w:sz w:val="24"/>
          <w:szCs w:val="24"/>
        </w:rPr>
        <w:t>ion and indoor climate conditions, digital twins identify inefficiencies in HVAC systems, lighting, and other building operations (Liu et al., 2020). This data-driven approach empowers building managers to optimize system performance, extend the lifespan o</w:t>
      </w:r>
      <w:r>
        <w:rPr>
          <w:rFonts w:ascii="Times New Roman" w:hAnsi="Times New Roman"/>
          <w:sz w:val="24"/>
          <w:szCs w:val="24"/>
        </w:rPr>
        <w:t>f equipment, and reduce maintenance costs.</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Digital twins can also facilitate the design of more energy-efficient buildings from the outset. By simulating various climate conditions and energy usage patterns, these models help architects and engineers desig</w:t>
      </w:r>
      <w:r>
        <w:rPr>
          <w:rFonts w:ascii="Times New Roman" w:hAnsi="Times New Roman"/>
          <w:sz w:val="24"/>
          <w:szCs w:val="24"/>
        </w:rPr>
        <w:t>n buildings that use less energy while maintaining optimal comfort levels for occupants. This is especially critical in regions that experience extreme temperatures or frequent weather fluctuations.</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 xml:space="preserve">Additionally, digital twins enhance building maintenance </w:t>
      </w:r>
      <w:r>
        <w:rPr>
          <w:rFonts w:ascii="Times New Roman" w:hAnsi="Times New Roman"/>
          <w:sz w:val="24"/>
          <w:szCs w:val="24"/>
        </w:rPr>
        <w:t>strategies by providing real-time performance data and predictive maintenance alerts. These tools help identify issues before they become costly repairs, improving the overall operational efficiency of buildings (Gao et al., 2021). This predictive maintena</w:t>
      </w:r>
      <w:r>
        <w:rPr>
          <w:rFonts w:ascii="Times New Roman" w:hAnsi="Times New Roman"/>
          <w:sz w:val="24"/>
          <w:szCs w:val="24"/>
        </w:rPr>
        <w:t>nce capability is crucial for ensuring that buildings remain energy-efficient and operational in the long term.</w:t>
      </w:r>
    </w:p>
    <w:p w:rsidR="000E1CA7" w:rsidRDefault="007923AB">
      <w:pPr>
        <w:spacing w:line="360" w:lineRule="auto"/>
        <w:jc w:val="both"/>
        <w:rPr>
          <w:rFonts w:ascii="Times New Roman" w:hAnsi="Times New Roman"/>
          <w:b/>
          <w:bCs/>
          <w:i/>
          <w:iCs/>
          <w:sz w:val="24"/>
          <w:szCs w:val="24"/>
        </w:rPr>
      </w:pPr>
      <w:r>
        <w:rPr>
          <w:rFonts w:ascii="Times New Roman" w:hAnsi="Times New Roman"/>
          <w:b/>
          <w:bCs/>
          <w:i/>
          <w:iCs/>
          <w:sz w:val="24"/>
          <w:szCs w:val="24"/>
        </w:rPr>
        <w:t>c. Coastal and Infrastructure Resilience</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 xml:space="preserve">As climate change intensifies, coastal regions face increasing threats from flooding, sea-level rise, </w:t>
      </w:r>
      <w:r>
        <w:rPr>
          <w:rFonts w:ascii="Times New Roman" w:hAnsi="Times New Roman"/>
          <w:sz w:val="24"/>
          <w:szCs w:val="24"/>
        </w:rPr>
        <w:t>and other extreme weather events. Chen et al. (2024) highlighted the use of urban digital twins in coastal resilience planning, particularly through the integration of cloud-based geospatial dashboards that visualize infrastructure vulnerabilities. This in</w:t>
      </w:r>
      <w:r>
        <w:rPr>
          <w:rFonts w:ascii="Times New Roman" w:hAnsi="Times New Roman"/>
          <w:sz w:val="24"/>
          <w:szCs w:val="24"/>
        </w:rPr>
        <w:t>tegration allows cities to assess flood risks, enhance community awareness, and plan for climate adaptation. Real-time data from digital twins helps decision-makers prioritize infrastructure upgrades and develop proactive strategies to safeguard coastal ar</w:t>
      </w:r>
      <w:r>
        <w:rPr>
          <w:rFonts w:ascii="Times New Roman" w:hAnsi="Times New Roman"/>
          <w:sz w:val="24"/>
          <w:szCs w:val="24"/>
        </w:rPr>
        <w:t>eas against climate-induced impacts.</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Ramaswami et al. (2023) further explored how digital twins can enhance infrastructure resilience by modeling critical systems such as water supply, energy distribution, and transportation networks. These systems are ess</w:t>
      </w:r>
      <w:r>
        <w:rPr>
          <w:rFonts w:ascii="Times New Roman" w:hAnsi="Times New Roman"/>
          <w:sz w:val="24"/>
          <w:szCs w:val="24"/>
        </w:rPr>
        <w:t xml:space="preserve">ential for the functioning of cities, and any disruption caused by </w:t>
      </w:r>
      <w:r>
        <w:rPr>
          <w:rFonts w:ascii="Times New Roman" w:hAnsi="Times New Roman"/>
          <w:sz w:val="24"/>
          <w:szCs w:val="24"/>
        </w:rPr>
        <w:lastRenderedPageBreak/>
        <w:t>extreme weather events can have devastating consequences. By simulating how these systems will perform under stress, digital twins help identify vulnerabilities and inform decisions on infr</w:t>
      </w:r>
      <w:r>
        <w:rPr>
          <w:rFonts w:ascii="Times New Roman" w:hAnsi="Times New Roman"/>
          <w:sz w:val="24"/>
          <w:szCs w:val="24"/>
        </w:rPr>
        <w:t>astructure design and maintenance.</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Furthermore, digital twins provide an essential tool for integrating early warning systems in coastal cities. Riaz et al. (2023) emphasized the importance of digital twins in enhancing early warning systems by providing r</w:t>
      </w:r>
      <w:r>
        <w:rPr>
          <w:rFonts w:ascii="Times New Roman" w:hAnsi="Times New Roman"/>
          <w:sz w:val="24"/>
          <w:szCs w:val="24"/>
        </w:rPr>
        <w:t>eal-time data on weather patterns and other environmental factors. This capability allows cities to issue alerts and prepare for potential climate-related disasters before they occur, mitigating damage and saving lives.</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Digital twins also enable the simula</w:t>
      </w:r>
      <w:r>
        <w:rPr>
          <w:rFonts w:ascii="Times New Roman" w:hAnsi="Times New Roman"/>
          <w:sz w:val="24"/>
          <w:szCs w:val="24"/>
        </w:rPr>
        <w:t>tion of various climate scenarios to predict future risks and impacts on coastal infrastructure. This ability to model different scenarios helps cities prepare for a range of possible outcomes, ensuring that infrastructure investments are resilient to futu</w:t>
      </w:r>
      <w:r>
        <w:rPr>
          <w:rFonts w:ascii="Times New Roman" w:hAnsi="Times New Roman"/>
          <w:sz w:val="24"/>
          <w:szCs w:val="24"/>
        </w:rPr>
        <w:t>re climate conditions. As a result, cities can adapt to climate change more effectively, reducing the economic and social costs associated with extreme weather events (Dale et al., 2023).</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The role of digital twins in coastal resilience extends beyond physi</w:t>
      </w:r>
      <w:r>
        <w:rPr>
          <w:rFonts w:ascii="Times New Roman" w:hAnsi="Times New Roman"/>
          <w:sz w:val="24"/>
          <w:szCs w:val="24"/>
        </w:rPr>
        <w:t>cal infrastructure. These models also help assess the social and environmental impacts of climate change, providing a more holistic approach to climate adaptation. By considering the needs of vulnerable communities, digital twins support more equitable and</w:t>
      </w:r>
      <w:r>
        <w:rPr>
          <w:rFonts w:ascii="Times New Roman" w:hAnsi="Times New Roman"/>
          <w:sz w:val="24"/>
          <w:szCs w:val="24"/>
        </w:rPr>
        <w:t xml:space="preserve"> inclusive climate resilience strategies (Gong et al., 2025).</w:t>
      </w:r>
    </w:p>
    <w:p w:rsidR="000E1CA7" w:rsidRDefault="007923AB">
      <w:pPr>
        <w:spacing w:line="360" w:lineRule="auto"/>
        <w:jc w:val="both"/>
        <w:rPr>
          <w:rFonts w:ascii="Times New Roman" w:hAnsi="Times New Roman"/>
          <w:b/>
          <w:bCs/>
          <w:i/>
          <w:iCs/>
          <w:sz w:val="24"/>
          <w:szCs w:val="24"/>
        </w:rPr>
      </w:pPr>
      <w:r>
        <w:rPr>
          <w:rFonts w:ascii="Times New Roman" w:hAnsi="Times New Roman"/>
          <w:b/>
          <w:bCs/>
          <w:i/>
          <w:iCs/>
          <w:sz w:val="24"/>
          <w:szCs w:val="24"/>
        </w:rPr>
        <w:t>d. Climate Monitoring and Forecasting</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Digital twins have a significant role to play in global climate monitoring and forecasting. Van der Schrier et al. (2024) discussed the development of Earth</w:t>
      </w:r>
      <w:r>
        <w:rPr>
          <w:rFonts w:ascii="Times New Roman" w:hAnsi="Times New Roman"/>
          <w:sz w:val="24"/>
          <w:szCs w:val="24"/>
        </w:rPr>
        <w:t xml:space="preserve"> system digital twins, which integrate data from satellites, weather stations, and ocean buoys to monitor and predict environmental changes. These digital twins offer real-time insights into climate variables such as temperature, precipitation, and sea lev</w:t>
      </w:r>
      <w:r>
        <w:rPr>
          <w:rFonts w:ascii="Times New Roman" w:hAnsi="Times New Roman"/>
          <w:sz w:val="24"/>
          <w:szCs w:val="24"/>
        </w:rPr>
        <w:t>els, enabling scientists to forecast future climate patterns and assess their potential impacts on ecosystems and human societies.</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One of the key advantages of Earth system digital twins is their ability to simulate various climate scenarios and assess the</w:t>
      </w:r>
      <w:r>
        <w:rPr>
          <w:rFonts w:ascii="Times New Roman" w:hAnsi="Times New Roman"/>
          <w:sz w:val="24"/>
          <w:szCs w:val="24"/>
        </w:rPr>
        <w:t xml:space="preserve"> potential impacts of climate change on global systems. For example, these models can predict how climate change might affect global water resources, </w:t>
      </w:r>
      <w:r>
        <w:rPr>
          <w:rFonts w:ascii="Times New Roman" w:hAnsi="Times New Roman"/>
          <w:sz w:val="24"/>
          <w:szCs w:val="24"/>
        </w:rPr>
        <w:lastRenderedPageBreak/>
        <w:t>agriculture, and biodiversity. By providing detailed forecasts, Earth system digital twins help policymake</w:t>
      </w:r>
      <w:r>
        <w:rPr>
          <w:rFonts w:ascii="Times New Roman" w:hAnsi="Times New Roman"/>
          <w:sz w:val="24"/>
          <w:szCs w:val="24"/>
        </w:rPr>
        <w:t>rs make informed decisions about climate mitigation and adaptation strategies (Gong et al., 2025).</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 xml:space="preserve">In addition to long-term climate forecasting, digital twins are increasingly used to predict short-term weather events, such as heatwaves, storms, and </w:t>
      </w:r>
      <w:r>
        <w:rPr>
          <w:rFonts w:ascii="Times New Roman" w:hAnsi="Times New Roman"/>
          <w:sz w:val="24"/>
          <w:szCs w:val="24"/>
        </w:rPr>
        <w:t>droughts. Gong et al. (2025) introduced a climate-responsive digital twin framework that integrates high-resolution forecasting models for heat stress prediction. This framework enables cities and regions to prepare for extreme heat events, reducing the he</w:t>
      </w:r>
      <w:r>
        <w:rPr>
          <w:rFonts w:ascii="Times New Roman" w:hAnsi="Times New Roman"/>
          <w:sz w:val="24"/>
          <w:szCs w:val="24"/>
        </w:rPr>
        <w:t>alth impacts of heatwaves on vulnerable populations.</w:t>
      </w:r>
    </w:p>
    <w:p w:rsidR="000E1CA7" w:rsidRDefault="007923AB">
      <w:pPr>
        <w:spacing w:line="360" w:lineRule="auto"/>
        <w:jc w:val="both"/>
        <w:rPr>
          <w:rFonts w:ascii="Times New Roman" w:hAnsi="Times New Roman"/>
          <w:b/>
          <w:bCs/>
          <w:sz w:val="28"/>
          <w:szCs w:val="28"/>
        </w:rPr>
      </w:pPr>
      <w:r>
        <w:rPr>
          <w:rFonts w:ascii="Times New Roman" w:hAnsi="Times New Roman"/>
          <w:b/>
          <w:bCs/>
          <w:sz w:val="28"/>
          <w:szCs w:val="28"/>
        </w:rPr>
        <w:t>4 Conclusion</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Overall, digital twin technology presents a transformative solution for creating climate-resilient buildings and enhancing the sustainability of the built environment. By providing real-time</w:t>
      </w:r>
      <w:r>
        <w:rPr>
          <w:rFonts w:ascii="Times New Roman" w:hAnsi="Times New Roman"/>
          <w:sz w:val="24"/>
          <w:szCs w:val="24"/>
        </w:rPr>
        <w:t xml:space="preserve"> data, predictive modeling, and comprehensive simulations, digital twins enable architects, engineers, and urban planners to design structures that are better equipped to withstand the challenges posed by climate change. Through improved energy efficiency,</w:t>
      </w:r>
      <w:r>
        <w:rPr>
          <w:rFonts w:ascii="Times New Roman" w:hAnsi="Times New Roman"/>
          <w:sz w:val="24"/>
          <w:szCs w:val="24"/>
        </w:rPr>
        <w:t xml:space="preserve"> enhanced resilience to extreme weather events, and optimized building performance, digital twins are revolutionizing the way buildings are managed and maintained. As the technology continues to evolve, it promises even greater opportunities for improving </w:t>
      </w:r>
      <w:r>
        <w:rPr>
          <w:rFonts w:ascii="Times New Roman" w:hAnsi="Times New Roman"/>
          <w:sz w:val="24"/>
          <w:szCs w:val="24"/>
        </w:rPr>
        <w:t>the performance and sustainability of buildings, making them more adaptive and resilient in the face of climate-related risks.</w:t>
      </w:r>
    </w:p>
    <w:p w:rsidR="000E1CA7" w:rsidRDefault="007923AB">
      <w:pPr>
        <w:spacing w:line="360" w:lineRule="auto"/>
        <w:jc w:val="both"/>
        <w:rPr>
          <w:rFonts w:ascii="Times New Roman" w:hAnsi="Times New Roman"/>
          <w:b/>
          <w:bCs/>
          <w:sz w:val="28"/>
          <w:szCs w:val="28"/>
        </w:rPr>
      </w:pPr>
      <w:r>
        <w:rPr>
          <w:rFonts w:ascii="Times New Roman" w:hAnsi="Times New Roman"/>
          <w:b/>
          <w:bCs/>
          <w:sz w:val="28"/>
          <w:szCs w:val="28"/>
        </w:rPr>
        <w:t>5 Recommendations</w:t>
      </w:r>
    </w:p>
    <w:p w:rsidR="000E1CA7" w:rsidRDefault="007923AB">
      <w:pPr>
        <w:spacing w:line="360" w:lineRule="auto"/>
        <w:jc w:val="both"/>
        <w:rPr>
          <w:rFonts w:ascii="Times New Roman" w:hAnsi="Times New Roman"/>
          <w:sz w:val="24"/>
          <w:szCs w:val="24"/>
        </w:rPr>
      </w:pPr>
      <w:r>
        <w:rPr>
          <w:rFonts w:ascii="Times New Roman" w:hAnsi="Times New Roman"/>
          <w:sz w:val="24"/>
          <w:szCs w:val="24"/>
        </w:rPr>
        <w:t>It is recommended that further research be conducted to explore the integration of digital twins with other eme</w:t>
      </w:r>
      <w:r>
        <w:rPr>
          <w:rFonts w:ascii="Times New Roman" w:hAnsi="Times New Roman"/>
          <w:sz w:val="24"/>
          <w:szCs w:val="24"/>
        </w:rPr>
        <w:t xml:space="preserve">rging technologies such as artificial intelligence (AI) and the Internet of Things (IoT) to enhance their predictive capabilities and real-time operational optimization. Additionally, there is a need for standardization in digital twin protocols to ensure </w:t>
      </w:r>
      <w:r>
        <w:rPr>
          <w:rFonts w:ascii="Times New Roman" w:hAnsi="Times New Roman"/>
          <w:sz w:val="24"/>
          <w:szCs w:val="24"/>
        </w:rPr>
        <w:t>compatibility across platforms and facilitate widespread adoption in the construction industry. Policymakers should also consider providing incentives for the integration of digital twins into building regulations and codes to promote sustainability and cl</w:t>
      </w:r>
      <w:r>
        <w:rPr>
          <w:rFonts w:ascii="Times New Roman" w:hAnsi="Times New Roman"/>
          <w:sz w:val="24"/>
          <w:szCs w:val="24"/>
        </w:rPr>
        <w:t>imate resilience. Lastly, industry stakeholders must collaborate to reduce the cost of implementing digital twin technology, making it accessible to a broader range of buildings and infrastructure projects.</w:t>
      </w:r>
    </w:p>
    <w:p w:rsidR="000E1CA7" w:rsidRDefault="007923AB">
      <w:pPr>
        <w:rPr>
          <w:rFonts w:eastAsia="Calibri"/>
          <w:kern w:val="2"/>
          <w:highlight w:val="yellow"/>
        </w:rPr>
      </w:pPr>
      <w:bookmarkStart w:id="1" w:name="_Hlk193540946"/>
      <w:bookmarkStart w:id="2" w:name="_Hlk183680988"/>
      <w:bookmarkStart w:id="3" w:name="_Hlk180402183"/>
      <w:r>
        <w:rPr>
          <w:rFonts w:eastAsia="Calibri"/>
          <w:kern w:val="2"/>
          <w:highlight w:val="yellow"/>
        </w:rPr>
        <w:lastRenderedPageBreak/>
        <w:t>Disclaimer (Artificial intelligence)</w:t>
      </w:r>
    </w:p>
    <w:p w:rsidR="000E1CA7" w:rsidRDefault="007923AB">
      <w:pPr>
        <w:rPr>
          <w:rFonts w:eastAsia="Calibri"/>
          <w:kern w:val="2"/>
          <w:highlight w:val="yellow"/>
        </w:rPr>
      </w:pPr>
      <w:r>
        <w:rPr>
          <w:rFonts w:eastAsia="Calibri"/>
          <w:kern w:val="2"/>
          <w:highlight w:val="yellow"/>
        </w:rPr>
        <w:t xml:space="preserve">Option 1: </w:t>
      </w:r>
    </w:p>
    <w:p w:rsidR="000E1CA7" w:rsidRDefault="007923AB">
      <w:pPr>
        <w:rPr>
          <w:rFonts w:eastAsia="Calibri"/>
          <w:kern w:val="2"/>
          <w:highlight w:val="yellow"/>
        </w:rPr>
      </w:pPr>
      <w:r>
        <w:rPr>
          <w:rFonts w:eastAsia="Calibri"/>
          <w:kern w:val="2"/>
          <w:highlight w:val="yellow"/>
        </w:rPr>
        <w:t>A</w:t>
      </w:r>
      <w:r>
        <w:rPr>
          <w:rFonts w:eastAsia="Calibri"/>
          <w:kern w:val="2"/>
          <w:highlight w:val="yellow"/>
        </w:rPr>
        <w:t xml:space="preserve">uthor(s) hereby declare that NO generative AI technologies such as Large Language Models (ChatGPT, COPILOT, etc.) and text-to-image generators have been used during the writing or editing of this manuscript. </w:t>
      </w:r>
    </w:p>
    <w:p w:rsidR="000E1CA7" w:rsidRDefault="007923AB">
      <w:pPr>
        <w:rPr>
          <w:rFonts w:eastAsia="Calibri"/>
          <w:kern w:val="2"/>
          <w:highlight w:val="yellow"/>
        </w:rPr>
      </w:pPr>
      <w:r>
        <w:rPr>
          <w:rFonts w:eastAsia="Calibri"/>
          <w:kern w:val="2"/>
          <w:highlight w:val="yellow"/>
        </w:rPr>
        <w:t xml:space="preserve">Option 2: </w:t>
      </w:r>
    </w:p>
    <w:p w:rsidR="000E1CA7" w:rsidRDefault="007923AB">
      <w:pPr>
        <w:rPr>
          <w:rFonts w:eastAsia="Calibri"/>
          <w:kern w:val="2"/>
          <w:highlight w:val="yellow"/>
        </w:rPr>
      </w:pPr>
      <w:r>
        <w:rPr>
          <w:rFonts w:eastAsia="Calibri"/>
          <w:kern w:val="2"/>
          <w:highlight w:val="yellow"/>
        </w:rPr>
        <w:t>Author(s) hereby declare that genera</w:t>
      </w:r>
      <w:r>
        <w:rPr>
          <w:rFonts w:eastAsia="Calibri"/>
          <w:kern w:val="2"/>
          <w:highlight w:val="yellow"/>
        </w:rPr>
        <w:t>tive AI technologies such as Large Language Models, etc. have been used during the writing or editing of manuscripts. This explanation will include the name, version, model, and source of the generative AI technology and as well as all input prompts provid</w:t>
      </w:r>
      <w:r>
        <w:rPr>
          <w:rFonts w:eastAsia="Calibri"/>
          <w:kern w:val="2"/>
          <w:highlight w:val="yellow"/>
        </w:rPr>
        <w:t>ed to the generative AI technology</w:t>
      </w:r>
    </w:p>
    <w:p w:rsidR="000E1CA7" w:rsidRDefault="007923AB">
      <w:pPr>
        <w:rPr>
          <w:rFonts w:eastAsia="Calibri"/>
          <w:kern w:val="2"/>
          <w:highlight w:val="yellow"/>
        </w:rPr>
      </w:pPr>
      <w:r>
        <w:rPr>
          <w:rFonts w:eastAsia="Calibri"/>
          <w:kern w:val="2"/>
          <w:highlight w:val="yellow"/>
        </w:rPr>
        <w:t>Details of the AI usage are given below:</w:t>
      </w:r>
    </w:p>
    <w:p w:rsidR="000E1CA7" w:rsidRDefault="007923AB">
      <w:pPr>
        <w:rPr>
          <w:rFonts w:eastAsia="Calibri"/>
          <w:kern w:val="2"/>
          <w:highlight w:val="yellow"/>
        </w:rPr>
      </w:pPr>
      <w:r>
        <w:rPr>
          <w:rFonts w:eastAsia="Calibri"/>
          <w:kern w:val="2"/>
          <w:highlight w:val="yellow"/>
        </w:rPr>
        <w:t>1.</w:t>
      </w:r>
    </w:p>
    <w:p w:rsidR="000E1CA7" w:rsidRDefault="007923AB">
      <w:pPr>
        <w:rPr>
          <w:rFonts w:eastAsia="Calibri"/>
          <w:kern w:val="2"/>
          <w:highlight w:val="yellow"/>
        </w:rPr>
      </w:pPr>
      <w:r>
        <w:rPr>
          <w:rFonts w:eastAsia="Calibri"/>
          <w:kern w:val="2"/>
          <w:highlight w:val="yellow"/>
        </w:rPr>
        <w:t>2.</w:t>
      </w:r>
    </w:p>
    <w:p w:rsidR="000E1CA7" w:rsidRDefault="007923AB">
      <w:pPr>
        <w:rPr>
          <w:rFonts w:eastAsia="Calibri"/>
          <w:kern w:val="2"/>
        </w:rPr>
      </w:pPr>
      <w:r>
        <w:rPr>
          <w:rFonts w:eastAsia="Calibri"/>
          <w:kern w:val="2"/>
          <w:highlight w:val="yellow"/>
        </w:rPr>
        <w:t>3.</w:t>
      </w:r>
      <w:bookmarkEnd w:id="1"/>
    </w:p>
    <w:bookmarkEnd w:id="2"/>
    <w:bookmarkEnd w:id="3"/>
    <w:p w:rsidR="000E1CA7" w:rsidRDefault="007923AB">
      <w:pPr>
        <w:rPr>
          <w:rFonts w:ascii="Times New Roman" w:hAnsi="Times New Roman"/>
          <w:b/>
          <w:bCs/>
          <w:sz w:val="28"/>
          <w:szCs w:val="28"/>
        </w:rPr>
      </w:pPr>
      <w:r>
        <w:rPr>
          <w:rFonts w:ascii="Times New Roman" w:hAnsi="Times New Roman"/>
          <w:b/>
          <w:bCs/>
          <w:sz w:val="28"/>
          <w:szCs w:val="28"/>
        </w:rPr>
        <w:t>References</w:t>
      </w:r>
    </w:p>
    <w:p w:rsidR="000E1CA7" w:rsidRDefault="007923AB">
      <w:pPr>
        <w:spacing w:line="240" w:lineRule="auto"/>
        <w:rPr>
          <w:rFonts w:ascii="Times New Roman" w:hAnsi="Times New Roman"/>
          <w:sz w:val="24"/>
          <w:szCs w:val="24"/>
        </w:rPr>
      </w:pPr>
      <w:r w:rsidRPr="001B401F">
        <w:rPr>
          <w:rFonts w:ascii="Times New Roman" w:hAnsi="Times New Roman"/>
          <w:sz w:val="24"/>
          <w:szCs w:val="24"/>
          <w:highlight w:val="yellow"/>
        </w:rPr>
        <w:t>1. Dale, K. I., et al. (2023). Artificial intelligence for the Earth Systems, 2(4). American Meteorological Society. Retrieved from https://journals.ametsoc.org</w:t>
      </w:r>
      <w:r w:rsidRPr="001B401F">
        <w:rPr>
          <w:rFonts w:ascii="Times New Roman" w:hAnsi="Times New Roman"/>
          <w:sz w:val="24"/>
          <w:szCs w:val="24"/>
          <w:highlight w:val="yellow"/>
        </w:rPr>
        <w:t>/view/journals/aies/2/4/AIES-D-23-0023.1.xml</w:t>
      </w:r>
    </w:p>
    <w:p w:rsidR="000E1CA7" w:rsidRDefault="007923AB">
      <w:pPr>
        <w:spacing w:line="240" w:lineRule="auto"/>
        <w:rPr>
          <w:rFonts w:ascii="Times New Roman" w:hAnsi="Times New Roman"/>
          <w:sz w:val="24"/>
          <w:szCs w:val="24"/>
        </w:rPr>
      </w:pPr>
      <w:r>
        <w:rPr>
          <w:rFonts w:ascii="Times New Roman" w:hAnsi="Times New Roman"/>
          <w:sz w:val="24"/>
          <w:szCs w:val="24"/>
        </w:rPr>
        <w:t xml:space="preserve">2. Gong, W., et al. (2025). Climate-responsive digital twin frameworks for heat stress forecasting. </w:t>
      </w:r>
      <w:proofErr w:type="spellStart"/>
      <w:r>
        <w:rPr>
          <w:rFonts w:ascii="Times New Roman" w:hAnsi="Times New Roman"/>
          <w:sz w:val="24"/>
          <w:szCs w:val="24"/>
        </w:rPr>
        <w:t>arXiv</w:t>
      </w:r>
      <w:proofErr w:type="spellEnd"/>
      <w:r>
        <w:rPr>
          <w:rFonts w:ascii="Times New Roman" w:hAnsi="Times New Roman"/>
          <w:sz w:val="24"/>
          <w:szCs w:val="24"/>
        </w:rPr>
        <w:t>. Retrieved from https://arxiv.org/abs/2502.09657</w:t>
      </w:r>
    </w:p>
    <w:p w:rsidR="000E1CA7" w:rsidRDefault="007923AB">
      <w:pPr>
        <w:spacing w:line="240" w:lineRule="auto"/>
        <w:rPr>
          <w:rFonts w:ascii="Times New Roman" w:hAnsi="Times New Roman"/>
          <w:sz w:val="24"/>
          <w:szCs w:val="24"/>
        </w:rPr>
      </w:pPr>
      <w:r w:rsidRPr="001B401F">
        <w:rPr>
          <w:rFonts w:ascii="Times New Roman" w:hAnsi="Times New Roman"/>
          <w:sz w:val="24"/>
          <w:szCs w:val="24"/>
          <w:highlight w:val="yellow"/>
        </w:rPr>
        <w:t>3. Chen, C., et al. (2024). Integrating urban digital tw</w:t>
      </w:r>
      <w:r w:rsidRPr="001B401F">
        <w:rPr>
          <w:rFonts w:ascii="Times New Roman" w:hAnsi="Times New Roman"/>
          <w:sz w:val="24"/>
          <w:szCs w:val="24"/>
          <w:highlight w:val="yellow"/>
        </w:rPr>
        <w:t xml:space="preserve">ins with cloud-based geospatial dashboards for coastal resilience planning: A case study in Florida. </w:t>
      </w:r>
      <w:proofErr w:type="spellStart"/>
      <w:r w:rsidRPr="001B401F">
        <w:rPr>
          <w:rFonts w:ascii="Times New Roman" w:hAnsi="Times New Roman"/>
          <w:sz w:val="24"/>
          <w:szCs w:val="24"/>
          <w:highlight w:val="yellow"/>
        </w:rPr>
        <w:t>arXiv</w:t>
      </w:r>
      <w:proofErr w:type="spellEnd"/>
      <w:r w:rsidRPr="001B401F">
        <w:rPr>
          <w:rFonts w:ascii="Times New Roman" w:hAnsi="Times New Roman"/>
          <w:sz w:val="24"/>
          <w:szCs w:val="24"/>
          <w:highlight w:val="yellow"/>
        </w:rPr>
        <w:t>. Retrieved from https://arxiv.org/abs/2403.18188</w:t>
      </w:r>
    </w:p>
    <w:p w:rsidR="000E1CA7" w:rsidRDefault="007923AB">
      <w:pPr>
        <w:spacing w:line="240" w:lineRule="auto"/>
        <w:rPr>
          <w:rFonts w:ascii="Times New Roman" w:hAnsi="Times New Roman"/>
          <w:sz w:val="24"/>
          <w:szCs w:val="24"/>
        </w:rPr>
      </w:pPr>
      <w:r w:rsidRPr="001B401F">
        <w:rPr>
          <w:rFonts w:ascii="Times New Roman" w:hAnsi="Times New Roman"/>
          <w:sz w:val="24"/>
          <w:szCs w:val="24"/>
          <w:highlight w:val="yellow"/>
        </w:rPr>
        <w:t xml:space="preserve">4. Ni, Z., Zhang, C., Karlsson, M., &amp; Gong, S. (2024). Edge-based parametric digital twins for intelligent building indoor climate modeling. </w:t>
      </w:r>
      <w:proofErr w:type="spellStart"/>
      <w:r w:rsidRPr="001B401F">
        <w:rPr>
          <w:rFonts w:ascii="Times New Roman" w:hAnsi="Times New Roman"/>
          <w:sz w:val="24"/>
          <w:szCs w:val="24"/>
          <w:highlight w:val="yellow"/>
        </w:rPr>
        <w:t>arXiv</w:t>
      </w:r>
      <w:proofErr w:type="spellEnd"/>
      <w:r w:rsidRPr="001B401F">
        <w:rPr>
          <w:rFonts w:ascii="Times New Roman" w:hAnsi="Times New Roman"/>
          <w:sz w:val="24"/>
          <w:szCs w:val="24"/>
          <w:highlight w:val="yellow"/>
        </w:rPr>
        <w:t>. Retrieved from https://arxiv.org/abs/2403.04326</w:t>
      </w:r>
    </w:p>
    <w:p w:rsidR="000E1CA7" w:rsidRDefault="007923AB">
      <w:pPr>
        <w:spacing w:line="240" w:lineRule="auto"/>
        <w:rPr>
          <w:rFonts w:ascii="Times New Roman" w:hAnsi="Times New Roman"/>
          <w:sz w:val="24"/>
          <w:szCs w:val="24"/>
        </w:rPr>
      </w:pPr>
      <w:r>
        <w:rPr>
          <w:rFonts w:ascii="Times New Roman" w:hAnsi="Times New Roman"/>
          <w:sz w:val="24"/>
          <w:szCs w:val="24"/>
        </w:rPr>
        <w:t>5. Sohail, A., et al. (2024). Case study on Sydney’s urban d</w:t>
      </w:r>
      <w:r>
        <w:rPr>
          <w:rFonts w:ascii="Times New Roman" w:hAnsi="Times New Roman"/>
          <w:sz w:val="24"/>
          <w:szCs w:val="24"/>
        </w:rPr>
        <w:t>igital twin for sustainable urban planning. SpringerLink. Retrieved from https://link.springer.com/chapter/10.1007/978-3-031-29515-7_55</w:t>
      </w:r>
    </w:p>
    <w:p w:rsidR="000E1CA7" w:rsidRDefault="007923AB">
      <w:pPr>
        <w:spacing w:line="240" w:lineRule="auto"/>
        <w:rPr>
          <w:rFonts w:ascii="Times New Roman" w:hAnsi="Times New Roman"/>
          <w:sz w:val="24"/>
          <w:szCs w:val="24"/>
        </w:rPr>
      </w:pPr>
      <w:r>
        <w:rPr>
          <w:rFonts w:ascii="Times New Roman" w:hAnsi="Times New Roman"/>
          <w:sz w:val="24"/>
          <w:szCs w:val="24"/>
        </w:rPr>
        <w:t xml:space="preserve">6. Amarnath, A. (2023). Mitigating the global water crisis: Digital twin Earths offer a promising solution. Policy Labs </w:t>
      </w:r>
      <w:r>
        <w:rPr>
          <w:rFonts w:ascii="Times New Roman" w:hAnsi="Times New Roman"/>
          <w:sz w:val="24"/>
          <w:szCs w:val="24"/>
        </w:rPr>
        <w:t>Frontiers. Retrieved from https://policylabs.frontiersin.org/content/policy-outlook-giriraj-amarnat-mitigating-the-global-water-crisis-digital-twin-earth-solutions</w:t>
      </w:r>
    </w:p>
    <w:p w:rsidR="000E1CA7" w:rsidRDefault="007923AB">
      <w:pPr>
        <w:spacing w:line="240" w:lineRule="auto"/>
        <w:rPr>
          <w:rFonts w:ascii="Times New Roman" w:hAnsi="Times New Roman"/>
          <w:sz w:val="24"/>
          <w:szCs w:val="24"/>
        </w:rPr>
      </w:pPr>
      <w:r>
        <w:rPr>
          <w:rFonts w:ascii="Times New Roman" w:hAnsi="Times New Roman"/>
          <w:sz w:val="24"/>
          <w:szCs w:val="24"/>
        </w:rPr>
        <w:lastRenderedPageBreak/>
        <w:t>7. Ramaswami, A., et al. (2023). The role of digital twins in enhancing the resilience of cr</w:t>
      </w:r>
      <w:r>
        <w:rPr>
          <w:rFonts w:ascii="Times New Roman" w:hAnsi="Times New Roman"/>
          <w:sz w:val="24"/>
          <w:szCs w:val="24"/>
        </w:rPr>
        <w:t>itical infrastructure. Environmental Science &amp; Policy, 134, 1–10. Retrieved from https://www.sciencedirect.com/science/article/pii/S2212096321001169</w:t>
      </w:r>
    </w:p>
    <w:p w:rsidR="000E1CA7" w:rsidRDefault="007923AB">
      <w:pPr>
        <w:spacing w:line="240" w:lineRule="auto"/>
        <w:rPr>
          <w:rFonts w:ascii="Times New Roman" w:hAnsi="Times New Roman"/>
          <w:sz w:val="24"/>
          <w:szCs w:val="24"/>
        </w:rPr>
      </w:pPr>
      <w:r w:rsidRPr="001B401F">
        <w:rPr>
          <w:rFonts w:ascii="Times New Roman" w:hAnsi="Times New Roman"/>
          <w:sz w:val="24"/>
          <w:szCs w:val="24"/>
          <w:highlight w:val="yellow"/>
        </w:rPr>
        <w:t>8. Ricciardi, G., &amp; Callegari, G. (2023). Technological imagination in the green and digital transition (pp</w:t>
      </w:r>
      <w:r w:rsidRPr="001B401F">
        <w:rPr>
          <w:rFonts w:ascii="Times New Roman" w:hAnsi="Times New Roman"/>
          <w:sz w:val="24"/>
          <w:szCs w:val="24"/>
          <w:highlight w:val="yellow"/>
        </w:rPr>
        <w:t>. 617–630). Springer.</w:t>
      </w:r>
    </w:p>
    <w:p w:rsidR="000E1CA7" w:rsidRDefault="007923AB">
      <w:pPr>
        <w:spacing w:line="240" w:lineRule="auto"/>
        <w:rPr>
          <w:rFonts w:ascii="Times New Roman" w:hAnsi="Times New Roman"/>
          <w:sz w:val="24"/>
          <w:szCs w:val="24"/>
        </w:rPr>
      </w:pPr>
      <w:r>
        <w:rPr>
          <w:rFonts w:ascii="Times New Roman" w:hAnsi="Times New Roman"/>
          <w:sz w:val="24"/>
          <w:szCs w:val="24"/>
        </w:rPr>
        <w:t>9. Van der Schrier, G., et al. (2024). Digital twins of the Earth: A tool for monitoring, forecasting, and assessing environmental changes. Nature Reviews Earth &amp; Environment, 5, 1–15. Retrieved from https://www.nature.com/articles/s4</w:t>
      </w:r>
      <w:r>
        <w:rPr>
          <w:rFonts w:ascii="Times New Roman" w:hAnsi="Times New Roman"/>
          <w:sz w:val="24"/>
          <w:szCs w:val="24"/>
        </w:rPr>
        <w:t>3247-024-01626-x</w:t>
      </w:r>
    </w:p>
    <w:p w:rsidR="000E1CA7" w:rsidRDefault="007923AB">
      <w:pPr>
        <w:spacing w:line="240" w:lineRule="auto"/>
        <w:rPr>
          <w:rFonts w:ascii="Times New Roman" w:hAnsi="Times New Roman"/>
          <w:sz w:val="24"/>
          <w:szCs w:val="24"/>
        </w:rPr>
      </w:pPr>
      <w:r>
        <w:rPr>
          <w:rFonts w:ascii="Times New Roman" w:hAnsi="Times New Roman"/>
          <w:sz w:val="24"/>
          <w:szCs w:val="24"/>
        </w:rPr>
        <w:t>10. Zhou, X., et al. (2021). Interlinking digital twins and smart grids for urban sustainability. Wikipedia. Retrieved from https://en.wikipedia.org/wiki/Digital_twin</w:t>
      </w:r>
    </w:p>
    <w:p w:rsidR="000E1CA7" w:rsidRDefault="007923AB">
      <w:pPr>
        <w:spacing w:line="240" w:lineRule="auto"/>
        <w:rPr>
          <w:rFonts w:ascii="Times New Roman" w:hAnsi="Times New Roman"/>
          <w:sz w:val="24"/>
          <w:szCs w:val="24"/>
        </w:rPr>
      </w:pPr>
      <w:r>
        <w:rPr>
          <w:rFonts w:ascii="Times New Roman" w:hAnsi="Times New Roman"/>
          <w:sz w:val="24"/>
          <w:szCs w:val="24"/>
        </w:rPr>
        <w:t>11. Liu, F., et al. (2020). Energy-efficient building operation using di</w:t>
      </w:r>
      <w:r>
        <w:rPr>
          <w:rFonts w:ascii="Times New Roman" w:hAnsi="Times New Roman"/>
          <w:sz w:val="24"/>
          <w:szCs w:val="24"/>
        </w:rPr>
        <w:t>gital twins: A framework and case study. Journal of Energy Engineering, 146(6), 04020072. Retrieved from https://www.mdpi.com/2075-5309/14/11/3475</w:t>
      </w:r>
    </w:p>
    <w:p w:rsidR="000E1CA7" w:rsidRDefault="007923AB">
      <w:pPr>
        <w:spacing w:line="240" w:lineRule="auto"/>
        <w:rPr>
          <w:rFonts w:ascii="Times New Roman" w:hAnsi="Times New Roman"/>
          <w:sz w:val="24"/>
          <w:szCs w:val="24"/>
        </w:rPr>
      </w:pPr>
      <w:r>
        <w:rPr>
          <w:rFonts w:ascii="Times New Roman" w:hAnsi="Times New Roman"/>
          <w:sz w:val="24"/>
          <w:szCs w:val="24"/>
        </w:rPr>
        <w:t>12. Beck, M. (2024). Digital twins and their application in building energy efficiency. Building Research &amp; I</w:t>
      </w:r>
      <w:r>
        <w:rPr>
          <w:rFonts w:ascii="Times New Roman" w:hAnsi="Times New Roman"/>
          <w:sz w:val="24"/>
          <w:szCs w:val="24"/>
        </w:rPr>
        <w:t>nformation, 52(3), 315–327. Retrieved from https://www.mdpi.com/2075-5309/14/11/3475</w:t>
      </w:r>
    </w:p>
    <w:p w:rsidR="000E1CA7" w:rsidRDefault="007923AB">
      <w:pPr>
        <w:spacing w:line="240" w:lineRule="auto"/>
        <w:rPr>
          <w:rFonts w:ascii="Times New Roman" w:hAnsi="Times New Roman"/>
          <w:sz w:val="24"/>
          <w:szCs w:val="24"/>
        </w:rPr>
      </w:pPr>
      <w:r>
        <w:rPr>
          <w:rFonts w:ascii="Times New Roman" w:hAnsi="Times New Roman"/>
          <w:sz w:val="24"/>
          <w:szCs w:val="24"/>
        </w:rPr>
        <w:t>13. Liu, H., Zhang, S., &amp; Chen, Y. (2023). Smart cities and the role of digital twins in urban development. Smart Cities Journal, 2(1), 45-62. Retrieved from https://www.m</w:t>
      </w:r>
      <w:r>
        <w:rPr>
          <w:rFonts w:ascii="Times New Roman" w:hAnsi="Times New Roman"/>
          <w:sz w:val="24"/>
          <w:szCs w:val="24"/>
        </w:rPr>
        <w:t>dpi.com/2071-1050/16/19/8337</w:t>
      </w:r>
    </w:p>
    <w:p w:rsidR="000E1CA7" w:rsidRDefault="007923AB">
      <w:pPr>
        <w:spacing w:line="240" w:lineRule="auto"/>
        <w:rPr>
          <w:rFonts w:ascii="Times New Roman" w:hAnsi="Times New Roman"/>
          <w:sz w:val="24"/>
          <w:szCs w:val="24"/>
        </w:rPr>
      </w:pPr>
      <w:r>
        <w:rPr>
          <w:rFonts w:ascii="Times New Roman" w:hAnsi="Times New Roman"/>
          <w:sz w:val="24"/>
          <w:szCs w:val="24"/>
        </w:rPr>
        <w:t xml:space="preserve">14. Liu, X., &amp; Wang, H. (2024). The integration of IoT with digital twins for infrastructure resilience. International Journal of Infrastructure Systems, 13(2), 118-133. Retrieved from </w:t>
      </w:r>
      <w:r>
        <w:rPr>
          <w:rFonts w:ascii="Times New Roman" w:hAnsi="Times New Roman"/>
          <w:sz w:val="24"/>
          <w:szCs w:val="24"/>
        </w:rPr>
        <w:t>https://www.sciencedirect.com/science/article/pii/S2772991523000257</w:t>
      </w:r>
    </w:p>
    <w:p w:rsidR="000E1CA7" w:rsidRDefault="007923AB">
      <w:pPr>
        <w:spacing w:line="240" w:lineRule="auto"/>
        <w:rPr>
          <w:rFonts w:ascii="Times New Roman" w:hAnsi="Times New Roman"/>
          <w:sz w:val="24"/>
          <w:szCs w:val="24"/>
        </w:rPr>
      </w:pPr>
      <w:r>
        <w:rPr>
          <w:rFonts w:ascii="Times New Roman" w:hAnsi="Times New Roman"/>
          <w:sz w:val="24"/>
          <w:szCs w:val="24"/>
        </w:rPr>
        <w:t>15. Wang, J., &amp; Zhang, L. (2023). Digital twins in environmental monitoring: Applications and challenges. Environmental Monitoring and Assessment, 195(10), 706. Retrieved from https://www.</w:t>
      </w:r>
      <w:r>
        <w:rPr>
          <w:rFonts w:ascii="Times New Roman" w:hAnsi="Times New Roman"/>
          <w:sz w:val="24"/>
          <w:szCs w:val="24"/>
        </w:rPr>
        <w:t>sciencedirect.com/science/article/pii/S2772991523000257</w:t>
      </w:r>
    </w:p>
    <w:p w:rsidR="000E1CA7" w:rsidRDefault="007923AB">
      <w:pPr>
        <w:spacing w:line="240" w:lineRule="auto"/>
        <w:rPr>
          <w:rFonts w:ascii="Times New Roman" w:hAnsi="Times New Roman"/>
          <w:sz w:val="24"/>
          <w:szCs w:val="24"/>
        </w:rPr>
      </w:pPr>
      <w:r>
        <w:rPr>
          <w:rFonts w:ascii="Times New Roman" w:hAnsi="Times New Roman"/>
          <w:sz w:val="24"/>
          <w:szCs w:val="24"/>
        </w:rPr>
        <w:t>16. Zhu, W., &amp; Li, Z. (2023). Modeling energy consumption in buildings using digital twins: A comprehensive review. Journal of Green Building, 18(4), 76-98. Retrieved from https://www.mdpi.com/2075-53</w:t>
      </w:r>
      <w:r>
        <w:rPr>
          <w:rFonts w:ascii="Times New Roman" w:hAnsi="Times New Roman"/>
          <w:sz w:val="24"/>
          <w:szCs w:val="24"/>
        </w:rPr>
        <w:t>09/14/11/3475</w:t>
      </w:r>
    </w:p>
    <w:p w:rsidR="000E1CA7" w:rsidRDefault="007923AB">
      <w:pPr>
        <w:spacing w:line="240" w:lineRule="auto"/>
        <w:rPr>
          <w:rFonts w:ascii="Times New Roman" w:hAnsi="Times New Roman"/>
          <w:sz w:val="24"/>
          <w:szCs w:val="24"/>
        </w:rPr>
      </w:pPr>
      <w:r>
        <w:rPr>
          <w:rFonts w:ascii="Times New Roman" w:hAnsi="Times New Roman"/>
          <w:sz w:val="24"/>
          <w:szCs w:val="24"/>
        </w:rPr>
        <w:t>17. Gao, X., et al. (2021). Predictive maintenance and building performance: Leveraging digital twins for operational efficiency. Journal of Building Performance, 12(3), 27-39. Retrieved from https://www.mdpi.com/2075-5309/14/11/3475</w:t>
      </w:r>
    </w:p>
    <w:p w:rsidR="000E1CA7" w:rsidRDefault="007923AB">
      <w:pPr>
        <w:spacing w:line="240" w:lineRule="auto"/>
        <w:rPr>
          <w:rFonts w:ascii="Times New Roman" w:hAnsi="Times New Roman"/>
          <w:sz w:val="24"/>
          <w:szCs w:val="24"/>
        </w:rPr>
      </w:pPr>
      <w:r w:rsidRPr="001B401F">
        <w:rPr>
          <w:rFonts w:ascii="Times New Roman" w:hAnsi="Times New Roman"/>
          <w:sz w:val="24"/>
          <w:szCs w:val="24"/>
          <w:highlight w:val="yellow"/>
        </w:rPr>
        <w:t>18. Pana</w:t>
      </w:r>
      <w:r w:rsidRPr="001B401F">
        <w:rPr>
          <w:rFonts w:ascii="Times New Roman" w:hAnsi="Times New Roman"/>
          <w:sz w:val="24"/>
          <w:szCs w:val="24"/>
          <w:highlight w:val="yellow"/>
        </w:rPr>
        <w:t>ro, P., Parlow, S., &amp; Amman, F. (2024, March 19). How pairing digital twin technology with AI could boost buildings’ emissions reductions. World Economic Forum. Retrieved from https://www.weforum.org/stories/2024/03/how-digital-twin-technology-can-work-wit</w:t>
      </w:r>
      <w:r w:rsidRPr="001B401F">
        <w:rPr>
          <w:rFonts w:ascii="Times New Roman" w:hAnsi="Times New Roman"/>
          <w:sz w:val="24"/>
          <w:szCs w:val="24"/>
          <w:highlight w:val="yellow"/>
        </w:rPr>
        <w:t>h-ai-to-boost-buildings-emissions-reductions/</w:t>
      </w:r>
    </w:p>
    <w:p w:rsidR="000E1CA7" w:rsidRDefault="007923AB">
      <w:pPr>
        <w:spacing w:line="240" w:lineRule="auto"/>
        <w:rPr>
          <w:rFonts w:ascii="Times New Roman" w:hAnsi="Times New Roman"/>
          <w:sz w:val="24"/>
          <w:szCs w:val="24"/>
        </w:rPr>
      </w:pPr>
      <w:r w:rsidRPr="001B401F">
        <w:rPr>
          <w:rFonts w:ascii="Times New Roman" w:hAnsi="Times New Roman"/>
          <w:sz w:val="24"/>
          <w:szCs w:val="24"/>
          <w:highlight w:val="yellow"/>
        </w:rPr>
        <w:t>19. Digital Twin Consortium. (2023, February). When it comes to sustainable and resilient infrastructure, digital twins are the sharpest tools in the shed. Digital Twin Consortium.</w:t>
      </w:r>
      <w:r>
        <w:rPr>
          <w:rFonts w:ascii="Times New Roman" w:hAnsi="Times New Roman"/>
          <w:sz w:val="24"/>
          <w:szCs w:val="24"/>
        </w:rPr>
        <w:t xml:space="preserve"> </w:t>
      </w:r>
      <w:r>
        <w:rPr>
          <w:rFonts w:ascii="Times New Roman" w:hAnsi="Times New Roman"/>
          <w:sz w:val="24"/>
          <w:szCs w:val="24"/>
        </w:rPr>
        <w:lastRenderedPageBreak/>
        <w:t>Retrieved from https://www.di</w:t>
      </w:r>
      <w:r>
        <w:rPr>
          <w:rFonts w:ascii="Times New Roman" w:hAnsi="Times New Roman"/>
          <w:sz w:val="24"/>
          <w:szCs w:val="24"/>
        </w:rPr>
        <w:t>gitaltwinconsortium.org/2023/02/when-it-comes-to-sustainable-and-resilient-infrastructure-digital-twins-are-the-sharpest-tools-in-the-shed/</w:t>
      </w:r>
    </w:p>
    <w:p w:rsidR="000E1CA7" w:rsidRDefault="007923AB">
      <w:pPr>
        <w:spacing w:line="240" w:lineRule="auto"/>
        <w:rPr>
          <w:rFonts w:ascii="Times New Roman" w:hAnsi="Times New Roman"/>
          <w:sz w:val="24"/>
          <w:szCs w:val="24"/>
        </w:rPr>
      </w:pPr>
      <w:r>
        <w:rPr>
          <w:rFonts w:ascii="Times New Roman" w:hAnsi="Times New Roman"/>
          <w:sz w:val="24"/>
          <w:szCs w:val="24"/>
        </w:rPr>
        <w:t xml:space="preserve">20. Virtual Singapore. (2022). Virtual Singapore. Retrieved from </w:t>
      </w:r>
      <w:hyperlink r:id="rId16" w:history="1">
        <w:r w:rsidRPr="00BA7BA4">
          <w:rPr>
            <w:rStyle w:val="Hyperlink"/>
            <w:rFonts w:ascii="Times New Roman" w:hAnsi="Times New Roman"/>
            <w:sz w:val="24"/>
            <w:szCs w:val="24"/>
          </w:rPr>
          <w:t>https://en.wikipedia.org/wiki/Virtual_Singapore</w:t>
        </w:r>
      </w:hyperlink>
    </w:p>
    <w:p w:rsidR="007923AB" w:rsidRDefault="007923AB">
      <w:pPr>
        <w:spacing w:line="240" w:lineRule="auto"/>
        <w:rPr>
          <w:rFonts w:ascii="Times New Roman" w:hAnsi="Times New Roman"/>
          <w:sz w:val="24"/>
          <w:szCs w:val="24"/>
        </w:rPr>
      </w:pPr>
      <w:r w:rsidRPr="007923AB">
        <w:rPr>
          <w:rFonts w:ascii="Times New Roman" w:hAnsi="Times New Roman"/>
          <w:sz w:val="24"/>
          <w:szCs w:val="24"/>
        </w:rPr>
        <w:t>Riaz, K., McAfee, M., &amp; Gharbia, S. S. (2023). Management of climate resilience: exploring the potential of digital twin technology, 3D city modelling, and early warning systems. Sensors, 23(5), 2659.</w:t>
      </w:r>
    </w:p>
    <w:p w:rsidR="007923AB" w:rsidRDefault="007923AB">
      <w:pPr>
        <w:spacing w:line="240" w:lineRule="auto"/>
        <w:rPr>
          <w:rFonts w:ascii="Times New Roman" w:hAnsi="Times New Roman"/>
          <w:sz w:val="24"/>
          <w:szCs w:val="24"/>
        </w:rPr>
      </w:pPr>
      <w:r w:rsidRPr="007923AB">
        <w:rPr>
          <w:rFonts w:ascii="Times New Roman" w:hAnsi="Times New Roman"/>
          <w:sz w:val="24"/>
          <w:szCs w:val="24"/>
        </w:rPr>
        <w:t xml:space="preserve">Ye, X., Du, J., Han, Y., Newman, G., </w:t>
      </w:r>
      <w:proofErr w:type="spellStart"/>
      <w:r w:rsidRPr="007923AB">
        <w:rPr>
          <w:rFonts w:ascii="Times New Roman" w:hAnsi="Times New Roman"/>
          <w:sz w:val="24"/>
          <w:szCs w:val="24"/>
        </w:rPr>
        <w:t>Retchless</w:t>
      </w:r>
      <w:proofErr w:type="spellEnd"/>
      <w:r w:rsidRPr="007923AB">
        <w:rPr>
          <w:rFonts w:ascii="Times New Roman" w:hAnsi="Times New Roman"/>
          <w:sz w:val="24"/>
          <w:szCs w:val="24"/>
        </w:rPr>
        <w:t>, D., Zou, L., ... &amp; Cai, Z. (2023). Developing human-centered urban digital twins for community infrastructure resilience: A research agenda. Journal of Planning Literature, 38(2), 187-199.</w:t>
      </w:r>
    </w:p>
    <w:p w:rsidR="007923AB" w:rsidRDefault="007923AB">
      <w:pPr>
        <w:spacing w:line="240" w:lineRule="auto"/>
        <w:rPr>
          <w:rFonts w:ascii="Times New Roman" w:hAnsi="Times New Roman"/>
          <w:sz w:val="24"/>
          <w:szCs w:val="24"/>
        </w:rPr>
      </w:pPr>
      <w:r w:rsidRPr="007923AB">
        <w:rPr>
          <w:rFonts w:ascii="Times New Roman" w:hAnsi="Times New Roman"/>
          <w:sz w:val="24"/>
          <w:szCs w:val="24"/>
        </w:rPr>
        <w:t xml:space="preserve">Allan, M., </w:t>
      </w:r>
      <w:proofErr w:type="spellStart"/>
      <w:r w:rsidRPr="007923AB">
        <w:rPr>
          <w:rFonts w:ascii="Times New Roman" w:hAnsi="Times New Roman"/>
          <w:sz w:val="24"/>
          <w:szCs w:val="24"/>
        </w:rPr>
        <w:t>Rajabifard</w:t>
      </w:r>
      <w:proofErr w:type="spellEnd"/>
      <w:r w:rsidRPr="007923AB">
        <w:rPr>
          <w:rFonts w:ascii="Times New Roman" w:hAnsi="Times New Roman"/>
          <w:sz w:val="24"/>
          <w:szCs w:val="24"/>
        </w:rPr>
        <w:t xml:space="preserve">, A., &amp; </w:t>
      </w:r>
      <w:proofErr w:type="spellStart"/>
      <w:r w:rsidRPr="007923AB">
        <w:rPr>
          <w:rFonts w:ascii="Times New Roman" w:hAnsi="Times New Roman"/>
          <w:sz w:val="24"/>
          <w:szCs w:val="24"/>
        </w:rPr>
        <w:t>Foliente</w:t>
      </w:r>
      <w:proofErr w:type="spellEnd"/>
      <w:r w:rsidRPr="007923AB">
        <w:rPr>
          <w:rFonts w:ascii="Times New Roman" w:hAnsi="Times New Roman"/>
          <w:sz w:val="24"/>
          <w:szCs w:val="24"/>
        </w:rPr>
        <w:t>, G. (2024). Climate resilient urban regeneration and SDG 11–stakeholders’ view on pathways and digital infrastructures. International Journal of Digital Earth, 17(1), 2385076.</w:t>
      </w:r>
    </w:p>
    <w:sectPr w:rsidR="007923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6309" w:rsidRDefault="00F26309">
      <w:pPr>
        <w:spacing w:after="0" w:line="240" w:lineRule="auto"/>
      </w:pPr>
      <w:r>
        <w:separator/>
      </w:r>
    </w:p>
  </w:endnote>
  <w:endnote w:type="continuationSeparator" w:id="0">
    <w:p w:rsidR="00F26309" w:rsidRDefault="00F26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1CA7" w:rsidRDefault="000E1C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1CA7" w:rsidRDefault="000E1C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6309" w:rsidRDefault="00F26309">
      <w:pPr>
        <w:spacing w:after="0" w:line="240" w:lineRule="auto"/>
      </w:pPr>
      <w:r>
        <w:separator/>
      </w:r>
    </w:p>
  </w:footnote>
  <w:footnote w:type="continuationSeparator" w:id="0">
    <w:p w:rsidR="00F26309" w:rsidRDefault="00F263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1CA7" w:rsidRDefault="007923AB">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1025" type="#_x0000_t136" style="position:absolute;margin-left:0;margin-top:0;width:555.6pt;height:104.15pt;rotation:-45;z-index:-251657728;mso-position-horizontal:center;mso-position-horizontal-relative:margin;mso-position-vertical:center;mso-position-vertical-relative:margin;mso-width-relative:page;mso-height-relative:page" o:allowincell="f" fillcolor="silver" stroked="f">
          <v:fill opacity=".5"/>
          <v:textpath style="font-family:&quot;Calibri&quot;;font-size:1pt" trim="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1CA7" w:rsidRDefault="007923AB">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1026" type="#_x0000_t136" style="position:absolute;margin-left:0;margin-top:0;width:555.6pt;height:104.15pt;rotation:-45;z-index:-251658752;mso-position-horizontal:center;mso-position-horizontal-relative:margin;mso-position-vertical:center;mso-position-vertical-relative:margin;mso-width-relative:page;mso-height-relative:page" o:allowincell="f" fillcolor="silver" stroked="f">
          <v:fill opacity=".5"/>
          <v:textpath style="font-family:&quot;Calibri&quot;;font-size:1pt" trim="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1CA7" w:rsidRDefault="007923AB">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1027" type="#_x0000_t136" style="position:absolute;margin-left:0;margin-top:0;width:555.6pt;height:104.15pt;rotation:-45;z-index:-251659776;mso-position-horizontal:center;mso-position-horizontal-relative:margin;mso-position-vertical:center;mso-position-vertical-relative:margin;mso-width-relative:page;mso-height-relative:page" o:allowincell="f" fillcolor="silver" stroked="f">
          <v:fill opacity=".5"/>
          <v:textpath style="font-family:&quot;Calibri&quot;;font-size:1pt" trim="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BD63D8"/>
    <w:multiLevelType w:val="singleLevel"/>
    <w:tmpl w:val="00000000"/>
    <w:lvl w:ilvl="0">
      <w:start w:val="2"/>
      <w:numFmt w:val="upp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oNotTrackMoves/>
  <w:defaultTabStop w:val="720"/>
  <w:doNotShadeFormData/>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1CA7"/>
    <w:rsid w:val="000E1CA7"/>
    <w:rsid w:val="001B401F"/>
    <w:rsid w:val="007923AB"/>
    <w:rsid w:val="00B945B0"/>
    <w:rsid w:val="00F263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09D50E"/>
  <w15:docId w15:val="{6FD6F7BB-C48C-420A-B6AC-76A8258DC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pPr>
        <w:spacing w:after="160" w:line="278"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line="276" w:lineRule="auto"/>
    </w:pPr>
    <w:rPr>
      <w:rFonts w:ascii="Calibri" w:hAnsi="Calibri"/>
      <w:sz w:val="22"/>
      <w:szCs w:val="22"/>
      <w:lang w:eastAsia="zh-CN"/>
    </w:rPr>
  </w:style>
  <w:style w:type="paragraph" w:styleId="Heading1">
    <w:name w:val="heading 1"/>
    <w:basedOn w:val="Normal"/>
    <w:qFormat/>
    <w:pPr>
      <w:keepNext/>
      <w:keepLines/>
      <w:widowControl w:val="0"/>
      <w:spacing w:before="480" w:after="0"/>
      <w:outlineLvl w:val="0"/>
    </w:pPr>
    <w:rPr>
      <w:rFonts w:eastAsia="MS Gothic" w:cs="SimSun"/>
      <w:b/>
      <w:bCs/>
      <w:color w:val="365F91"/>
      <w:sz w:val="28"/>
      <w:szCs w:val="28"/>
    </w:rPr>
  </w:style>
  <w:style w:type="paragraph" w:styleId="Heading3">
    <w:name w:val="heading 3"/>
    <w:next w:val="Normal"/>
    <w:qFormat/>
    <w:pPr>
      <w:spacing w:beforeAutospacing="1" w:afterAutospacing="1"/>
      <w:outlineLvl w:val="2"/>
    </w:pPr>
    <w:rPr>
      <w:rFonts w:ascii="SimSun" w:hAnsi="SimSun" w:hint="eastAsia"/>
      <w:b/>
      <w:bCs/>
      <w:sz w:val="27"/>
      <w:szCs w:val="27"/>
      <w:lang w:eastAsia="zh-CN"/>
    </w:rPr>
  </w:style>
  <w:style w:type="paragraph" w:styleId="Heading4">
    <w:name w:val="heading 4"/>
    <w:next w:val="Normal"/>
    <w:qFormat/>
    <w:pPr>
      <w:spacing w:beforeAutospacing="1" w:afterAutospacing="1"/>
      <w:outlineLvl w:val="3"/>
    </w:pPr>
    <w:rPr>
      <w:rFonts w:ascii="SimSun" w:hAnsi="SimSu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680"/>
        <w:tab w:val="right" w:pos="9360"/>
      </w:tabs>
      <w:spacing w:after="0" w:line="240" w:lineRule="auto"/>
    </w:pPr>
  </w:style>
  <w:style w:type="paragraph" w:styleId="Header">
    <w:name w:val="header"/>
    <w:basedOn w:val="Normal"/>
    <w:link w:val="HeaderChar"/>
    <w:pPr>
      <w:tabs>
        <w:tab w:val="center" w:pos="4680"/>
        <w:tab w:val="right" w:pos="9360"/>
      </w:tabs>
      <w:spacing w:after="0" w:line="240" w:lineRule="auto"/>
    </w:pPr>
  </w:style>
  <w:style w:type="paragraph" w:styleId="NormalWeb">
    <w:name w:val="Normal (Web)"/>
    <w:basedOn w:val="Normal"/>
    <w:qFormat/>
    <w:rPr>
      <w:sz w:val="24"/>
      <w:szCs w:val="24"/>
    </w:rPr>
  </w:style>
  <w:style w:type="paragraph" w:styleId="Title">
    <w:name w:val="Title"/>
    <w:basedOn w:val="Normal"/>
    <w:qFormat/>
    <w:pPr>
      <w:pBdr>
        <w:bottom w:val="single" w:sz="8" w:space="4" w:color="4F81BD"/>
      </w:pBdr>
      <w:spacing w:after="300" w:line="240" w:lineRule="auto"/>
    </w:pPr>
    <w:rPr>
      <w:rFonts w:eastAsia="MS Gothic" w:cs="SimSun"/>
      <w:color w:val="17365D"/>
      <w:spacing w:val="5"/>
      <w:kern w:val="28"/>
      <w:sz w:val="52"/>
      <w:szCs w:val="52"/>
    </w:rPr>
  </w:style>
  <w:style w:type="character" w:styleId="Emphasis">
    <w:name w:val="Emphasis"/>
    <w:basedOn w:val="DefaultParagraphFont"/>
    <w:qFormat/>
    <w:rPr>
      <w:i/>
      <w:iCs/>
    </w:rPr>
  </w:style>
  <w:style w:type="character" w:styleId="Hyperlink">
    <w:name w:val="Hyperlink"/>
    <w:basedOn w:val="DefaultParagraphFont"/>
    <w:rPr>
      <w:color w:val="0000FF"/>
      <w:u w:val="single"/>
    </w:rPr>
  </w:style>
  <w:style w:type="character" w:styleId="Strong">
    <w:name w:val="Strong"/>
    <w:basedOn w:val="DefaultParagraphFont"/>
    <w:qFormat/>
    <w:rPr>
      <w:b/>
      <w:bCs/>
    </w:rPr>
  </w:style>
  <w:style w:type="paragraph" w:customStyle="1" w:styleId="ListParagraph1">
    <w:name w:val="List Paragraph1"/>
    <w:basedOn w:val="Normal"/>
    <w:uiPriority w:val="34"/>
    <w:qFormat/>
    <w:pPr>
      <w:ind w:left="720"/>
      <w:contextualSpacing/>
    </w:pPr>
  </w:style>
  <w:style w:type="character" w:customStyle="1" w:styleId="UnresolvedMention1">
    <w:name w:val="Unresolved Mention1"/>
    <w:basedOn w:val="DefaultParagraphFont"/>
    <w:uiPriority w:val="99"/>
    <w:rPr>
      <w:color w:val="605E5C"/>
      <w:shd w:val="clear" w:color="auto" w:fill="E1DFDD"/>
    </w:rPr>
  </w:style>
  <w:style w:type="character" w:customStyle="1" w:styleId="HeaderChar">
    <w:name w:val="Header Char"/>
    <w:basedOn w:val="DefaultParagraphFont"/>
    <w:link w:val="Header"/>
    <w:rPr>
      <w:rFonts w:ascii="Calibri" w:hAnsi="Calibri"/>
      <w:sz w:val="22"/>
      <w:szCs w:val="22"/>
      <w:lang w:eastAsia="zh-CN"/>
    </w:rPr>
  </w:style>
  <w:style w:type="character" w:customStyle="1" w:styleId="FooterChar">
    <w:name w:val="Footer Char"/>
    <w:basedOn w:val="DefaultParagraphFont"/>
    <w:link w:val="Footer"/>
    <w:rPr>
      <w:rFonts w:ascii="Calibri" w:hAnsi="Calibri"/>
      <w:sz w:val="22"/>
      <w:szCs w:val="22"/>
      <w:lang w:eastAsia="zh-CN"/>
    </w:rPr>
  </w:style>
  <w:style w:type="character" w:styleId="UnresolvedMention">
    <w:name w:val="Unresolved Mention"/>
    <w:basedOn w:val="DefaultParagraphFont"/>
    <w:uiPriority w:val="99"/>
    <w:semiHidden/>
    <w:unhideWhenUsed/>
    <w:rsid w:val="007923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Virtual_Singapo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Info spid="_x0000_s2049"/>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4633</Words>
  <Characters>26413</Characters>
  <Application>Microsoft Office Word</Application>
  <DocSecurity>0</DocSecurity>
  <Lines>220</Lines>
  <Paragraphs>61</Paragraphs>
  <ScaleCrop>false</ScaleCrop>
  <Company/>
  <LinksUpToDate>false</LinksUpToDate>
  <CharactersWithSpaces>30985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itel P673L</dc:creator>
  <cp:lastModifiedBy>SDI PC New 16</cp:lastModifiedBy>
  <cp:revision>7</cp:revision>
  <dcterms:created xsi:type="dcterms:W3CDTF">2025-04-24T14:16:00Z</dcterms:created>
  <dcterms:modified xsi:type="dcterms:W3CDTF">2025-04-28T12:05:00Z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a2d5fc3095964d4a88b8607703aabf03</vt:lpwstr>
  </property>
  <property fmtid="{D5CDD505-2E9C-101B-9397-08002B2CF9AE}" pid="3" name="KSOProductBuildVer">
    <vt:lpwstr>3081-11.34.01</vt:lpwstr>
  </property>
</Properties>
</file>