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06FA1" w14:textId="77777777" w:rsidR="000260E3" w:rsidRDefault="000260E3" w:rsidP="000260E3">
      <w:pPr>
        <w:pStyle w:val="Author"/>
        <w:jc w:val="both"/>
        <w:rPr>
          <w:rFonts w:ascii="Arial" w:hAnsi="Arial" w:cs="Arial"/>
          <w:bCs/>
          <w:iCs/>
          <w:kern w:val="28"/>
          <w:sz w:val="20"/>
        </w:rPr>
      </w:pPr>
    </w:p>
    <w:p w14:paraId="2F4BAB94" w14:textId="4335CF99" w:rsidR="004D4936" w:rsidRDefault="001E0787" w:rsidP="001E0787">
      <w:pPr>
        <w:pStyle w:val="Author"/>
        <w:spacing w:line="240" w:lineRule="auto"/>
        <w:jc w:val="left"/>
        <w:rPr>
          <w:rFonts w:ascii="Arial" w:hAnsi="Arial" w:cs="Arial"/>
          <w:noProof/>
          <w:sz w:val="28"/>
          <w:szCs w:val="28"/>
          <w:lang w:val="en-PH" w:eastAsia="en-PH"/>
        </w:rPr>
      </w:pPr>
      <w:r w:rsidRPr="004D4936">
        <w:rPr>
          <w:rFonts w:ascii="Arial" w:hAnsi="Arial" w:cs="Arial"/>
          <w:noProof/>
          <w:sz w:val="28"/>
          <w:szCs w:val="28"/>
          <w:lang w:val="en-PH" w:eastAsia="en-PH"/>
        </w:rPr>
        <w:t xml:space="preserve">Workplace environment practices and Career resilience of teachers in Public elementary schools </w:t>
      </w:r>
    </w:p>
    <w:p w14:paraId="0269EE23" w14:textId="77777777" w:rsidR="001E0787" w:rsidRDefault="001E0787" w:rsidP="001E0787">
      <w:pPr>
        <w:pStyle w:val="Author"/>
        <w:spacing w:line="240" w:lineRule="auto"/>
        <w:jc w:val="left"/>
        <w:rPr>
          <w:rFonts w:ascii="Arial" w:hAnsi="Arial" w:cs="Arial"/>
          <w:noProof/>
          <w:sz w:val="28"/>
          <w:szCs w:val="28"/>
          <w:lang w:val="en-PH" w:eastAsia="en-PH"/>
        </w:rPr>
      </w:pPr>
    </w:p>
    <w:p w14:paraId="7D2CDF66" w14:textId="77777777" w:rsidR="00717F2E" w:rsidRDefault="00270F3F">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4D4936">
        <w:trPr>
          <w:trHeight w:val="197"/>
        </w:trPr>
        <w:tc>
          <w:tcPr>
            <w:tcW w:w="9576" w:type="dxa"/>
            <w:shd w:val="clear" w:color="auto" w:fill="F2F2F2"/>
          </w:tcPr>
          <w:p w14:paraId="10E1D353" w14:textId="7ED7E86C" w:rsidR="00717F2E" w:rsidRPr="000211F3" w:rsidRDefault="000211F3">
            <w:pPr>
              <w:jc w:val="both"/>
              <w:rPr>
                <w:rFonts w:ascii="Arial" w:hAnsi="Arial" w:cs="Arial"/>
                <w:iCs/>
              </w:rPr>
            </w:pPr>
            <w:r w:rsidRPr="000211F3">
              <w:rPr>
                <w:rFonts w:ascii="Arial" w:hAnsi="Arial" w:cs="Arial"/>
                <w:bCs/>
                <w:iCs/>
                <w:highlight w:val="yellow"/>
              </w:rPr>
              <w:t>This study aimed to examine the significant relationship between workplace environment practices and career resilience of teachers in public elementary schools in San Isidro District, Division of Davao Oriental. Using a descriptive-correlational research design, a total of 132 teachers were surveyed using contextualized standardized questionnaires, utilizing universal sampling to ensure full representation of the population. The questionnaire was validated by experts in the field, and the reliability analysis confirmed that the instrument had good internal consistency. Data were analyzed using mean, standard deviation (SD), Pearson product-moment correlation, and multiple linear regression analyses. The findings revealed that teachers demonstrate a high level of workplace environment practices, and career resilience was observed among teachers. Correlation analysis indicated a significant positive relationship between workplace environment practices and career resilience. Further analysis revealed that the domains of workplace environment practices significantly influenced teachers’ career resilience, suggesting that a well-structured and supportive work environment contributes to greater resilience among educators. Based on these findings, it is recommended that school leaders and administrators may continue to strengthen workplace practices that promote collaboration, efficient planning, and reflective evaluation. Supporting a positive and responsive work environment can enhance teachers’ resilience and commitment, allowing them to thrive amidst the evolving challenges of the teaching profession.</w:t>
            </w:r>
          </w:p>
        </w:tc>
      </w:tr>
    </w:tbl>
    <w:p w14:paraId="175A3F79" w14:textId="77777777" w:rsidR="00717F2E" w:rsidRDefault="00717F2E">
      <w:pPr>
        <w:pStyle w:val="Body"/>
        <w:spacing w:after="0"/>
        <w:rPr>
          <w:rFonts w:ascii="Arial" w:hAnsi="Arial" w:cs="Arial"/>
          <w:i/>
        </w:rPr>
      </w:pPr>
    </w:p>
    <w:p w14:paraId="02A1992A" w14:textId="2483B4A7" w:rsidR="00717F2E" w:rsidRDefault="00270F3F" w:rsidP="008D6E31">
      <w:pPr>
        <w:jc w:val="both"/>
        <w:rPr>
          <w:rFonts w:ascii="Arial" w:hAnsi="Arial" w:cs="Arial"/>
          <w:iCs/>
        </w:rPr>
      </w:pPr>
      <w:r w:rsidRPr="000763D2">
        <w:rPr>
          <w:rFonts w:ascii="Arial" w:hAnsi="Arial" w:cs="Arial"/>
          <w:i/>
          <w:iCs/>
        </w:rPr>
        <w:t>Keywords</w:t>
      </w:r>
      <w:r>
        <w:rPr>
          <w:rFonts w:ascii="Arial" w:hAnsi="Arial" w:cs="Arial"/>
        </w:rPr>
        <w:t xml:space="preserve">: </w:t>
      </w:r>
      <w:r w:rsidR="005F4312" w:rsidRPr="005F4312">
        <w:rPr>
          <w:rFonts w:ascii="Arial" w:hAnsi="Arial" w:cs="Arial"/>
          <w:iCs/>
        </w:rPr>
        <w:t>Workplace Environment Practices, Career Resilience, Public Elementary School Teachers, Education</w:t>
      </w:r>
    </w:p>
    <w:p w14:paraId="1FDC1513" w14:textId="77777777" w:rsidR="008D6E31" w:rsidRDefault="008D6E31" w:rsidP="008D6E31">
      <w:pPr>
        <w:jc w:val="both"/>
        <w:rPr>
          <w:rFonts w:ascii="Arial" w:hAnsi="Arial" w:cs="Arial"/>
        </w:rPr>
      </w:pPr>
    </w:p>
    <w:p w14:paraId="0C7D9A8E" w14:textId="77777777" w:rsidR="00717F2E" w:rsidRDefault="00270F3F">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2DFC7F3B" w14:textId="2B1DCDE1" w:rsidR="005F4312" w:rsidRPr="005F4312" w:rsidRDefault="005F4312" w:rsidP="005F4312">
      <w:pPr>
        <w:pStyle w:val="AbstHead"/>
        <w:jc w:val="both"/>
        <w:rPr>
          <w:rFonts w:ascii="Arial" w:hAnsi="Arial"/>
          <w:b w:val="0"/>
          <w:caps w:val="0"/>
          <w:sz w:val="20"/>
        </w:rPr>
      </w:pPr>
      <w:r w:rsidRPr="005F4312">
        <w:rPr>
          <w:rFonts w:ascii="Arial" w:hAnsi="Arial"/>
          <w:b w:val="0"/>
          <w:caps w:val="0"/>
          <w:sz w:val="20"/>
        </w:rPr>
        <w:t>Navigating a new or evolving work culture can be a challenging experience for professionals, especially in dynamic environments such as public elementary schools. For teachers, building rapport with colleagues through collaborative projects fosters mutual understanding, trust, and teamwork</w:t>
      </w:r>
      <w:r w:rsidR="001845BF">
        <w:rPr>
          <w:rFonts w:ascii="Arial" w:hAnsi="Arial"/>
          <w:b w:val="0"/>
          <w:caps w:val="0"/>
          <w:sz w:val="20"/>
        </w:rPr>
        <w:t xml:space="preserve"> (</w:t>
      </w:r>
      <w:r w:rsidR="001845BF" w:rsidRPr="001845BF">
        <w:rPr>
          <w:rFonts w:ascii="Arial" w:hAnsi="Arial"/>
          <w:b w:val="0"/>
          <w:caps w:val="0"/>
          <w:sz w:val="20"/>
        </w:rPr>
        <w:t xml:space="preserve">Lipscombe </w:t>
      </w:r>
      <w:r w:rsidR="001845BF">
        <w:rPr>
          <w:rFonts w:ascii="Arial" w:hAnsi="Arial"/>
          <w:b w:val="0"/>
          <w:caps w:val="0"/>
          <w:sz w:val="20"/>
        </w:rPr>
        <w:t xml:space="preserve">et al., 2020). </w:t>
      </w:r>
      <w:r w:rsidRPr="005F4312">
        <w:rPr>
          <w:rFonts w:ascii="Arial" w:hAnsi="Arial"/>
          <w:b w:val="0"/>
          <w:caps w:val="0"/>
          <w:sz w:val="20"/>
        </w:rPr>
        <w:t>Demonstrating professionalism—through respectful communication, a positive attitude, and ethical behavior—lays the foundation for a strong workplace reputation</w:t>
      </w:r>
      <w:r w:rsidR="001845BF">
        <w:rPr>
          <w:rFonts w:ascii="Arial" w:hAnsi="Arial"/>
          <w:b w:val="0"/>
          <w:caps w:val="0"/>
          <w:sz w:val="20"/>
        </w:rPr>
        <w:t xml:space="preserve"> (</w:t>
      </w:r>
      <w:r w:rsidR="001845BF" w:rsidRPr="001845BF">
        <w:rPr>
          <w:rFonts w:ascii="Arial" w:hAnsi="Arial"/>
          <w:b w:val="0"/>
          <w:caps w:val="0"/>
          <w:sz w:val="20"/>
        </w:rPr>
        <w:t>Srivastava</w:t>
      </w:r>
      <w:r w:rsidR="001845BF">
        <w:rPr>
          <w:rFonts w:ascii="Arial" w:hAnsi="Arial"/>
          <w:b w:val="0"/>
          <w:caps w:val="0"/>
          <w:sz w:val="20"/>
        </w:rPr>
        <w:t xml:space="preserve"> et al., 2023).</w:t>
      </w:r>
      <w:r w:rsidRPr="005F4312">
        <w:rPr>
          <w:rFonts w:ascii="Arial" w:hAnsi="Arial"/>
          <w:b w:val="0"/>
          <w:caps w:val="0"/>
          <w:sz w:val="20"/>
        </w:rPr>
        <w:t xml:space="preserve"> As new members of the organization or in times of change, teachers must observe, listen, and thoughtfully contribute ideas, reinforcing their role as constructive and solution-oriented professionals</w:t>
      </w:r>
      <w:r w:rsidR="001845BF">
        <w:rPr>
          <w:rFonts w:ascii="Arial" w:hAnsi="Arial"/>
          <w:b w:val="0"/>
          <w:caps w:val="0"/>
          <w:sz w:val="20"/>
        </w:rPr>
        <w:t xml:space="preserve"> (Hunt, 2022).</w:t>
      </w:r>
    </w:p>
    <w:p w14:paraId="70A5EE93" w14:textId="64D22406" w:rsidR="005F4312" w:rsidRPr="005F4312" w:rsidRDefault="005F4312" w:rsidP="005F4312">
      <w:pPr>
        <w:pStyle w:val="AbstHead"/>
        <w:jc w:val="both"/>
        <w:rPr>
          <w:rFonts w:ascii="Arial" w:hAnsi="Arial"/>
          <w:b w:val="0"/>
          <w:caps w:val="0"/>
          <w:sz w:val="20"/>
        </w:rPr>
      </w:pPr>
      <w:r w:rsidRPr="005F4312">
        <w:rPr>
          <w:rFonts w:ascii="Arial" w:hAnsi="Arial"/>
          <w:b w:val="0"/>
          <w:caps w:val="0"/>
          <w:sz w:val="20"/>
        </w:rPr>
        <w:t xml:space="preserve">In many educational institutions, particularly in multicultural or diverse settings such as London, England, workplace challenges often stem from gaps in communication, skills, or understanding between colleagues and management. As </w:t>
      </w:r>
      <w:r w:rsidR="001845BF">
        <w:rPr>
          <w:rFonts w:ascii="Arial" w:hAnsi="Arial"/>
          <w:b w:val="0"/>
          <w:caps w:val="0"/>
          <w:sz w:val="20"/>
        </w:rPr>
        <w:t>Goff</w:t>
      </w:r>
      <w:r w:rsidRPr="005F4312">
        <w:rPr>
          <w:rFonts w:ascii="Arial" w:hAnsi="Arial"/>
          <w:b w:val="0"/>
          <w:caps w:val="0"/>
          <w:sz w:val="20"/>
        </w:rPr>
        <w:t xml:space="preserve"> (20</w:t>
      </w:r>
      <w:r w:rsidR="001845BF">
        <w:rPr>
          <w:rFonts w:ascii="Arial" w:hAnsi="Arial"/>
          <w:b w:val="0"/>
          <w:caps w:val="0"/>
          <w:sz w:val="20"/>
        </w:rPr>
        <w:t>20</w:t>
      </w:r>
      <w:r w:rsidRPr="005F4312">
        <w:rPr>
          <w:rFonts w:ascii="Arial" w:hAnsi="Arial"/>
          <w:b w:val="0"/>
          <w:caps w:val="0"/>
          <w:sz w:val="20"/>
        </w:rPr>
        <w:t>) noted, these issues can significantly impact morale, productivity, and even workplace safety. Central to addressing these challenges is effective communication, which not only bridges knowledge gaps but also promotes clearer expectations, accountability, and collaboration between teachers and school leaders. Creating spaces for dialogue and joint problem-solving enhances the collective ability to manage difficult situations and strengthens organizational resilience.</w:t>
      </w:r>
    </w:p>
    <w:p w14:paraId="2A760811" w14:textId="5E07C8A3" w:rsidR="005F4312" w:rsidRPr="005F4312" w:rsidRDefault="005F4312" w:rsidP="005F4312">
      <w:pPr>
        <w:pStyle w:val="AbstHead"/>
        <w:jc w:val="both"/>
        <w:rPr>
          <w:rFonts w:ascii="Arial" w:hAnsi="Arial"/>
          <w:b w:val="0"/>
          <w:caps w:val="0"/>
          <w:sz w:val="20"/>
        </w:rPr>
      </w:pPr>
      <w:r w:rsidRPr="005F4312">
        <w:rPr>
          <w:rFonts w:ascii="Arial" w:hAnsi="Arial"/>
          <w:b w:val="0"/>
          <w:caps w:val="0"/>
          <w:sz w:val="20"/>
        </w:rPr>
        <w:t xml:space="preserve">The concept of resilience has traditionally referred to one’s capacity to recover from adversity—whether personal trauma or professional setbacks. Over time, this notion has expanded to include everyday workplace stressors and disruptions, including conflict, </w:t>
      </w:r>
      <w:r w:rsidRPr="005F4312">
        <w:rPr>
          <w:rFonts w:ascii="Arial" w:hAnsi="Arial"/>
          <w:b w:val="0"/>
          <w:caps w:val="0"/>
          <w:sz w:val="20"/>
        </w:rPr>
        <w:lastRenderedPageBreak/>
        <w:t>systemic changes, and resource limitations (</w:t>
      </w:r>
      <w:r w:rsidR="00AB2BC6" w:rsidRPr="00AB2BC6">
        <w:rPr>
          <w:rFonts w:ascii="Arial" w:hAnsi="Arial"/>
          <w:b w:val="0"/>
          <w:caps w:val="0"/>
          <w:sz w:val="20"/>
        </w:rPr>
        <w:t>Vella</w:t>
      </w:r>
      <w:r w:rsidR="00AB2BC6">
        <w:rPr>
          <w:rFonts w:ascii="Arial" w:hAnsi="Arial"/>
          <w:b w:val="0"/>
          <w:caps w:val="0"/>
          <w:sz w:val="20"/>
        </w:rPr>
        <w:t xml:space="preserve"> </w:t>
      </w:r>
      <w:r w:rsidR="00AB2BC6" w:rsidRPr="00AB2BC6">
        <w:rPr>
          <w:rFonts w:ascii="Arial" w:hAnsi="Arial"/>
          <w:b w:val="0"/>
          <w:caps w:val="0"/>
          <w:sz w:val="20"/>
        </w:rPr>
        <w:t>&amp; Pai</w:t>
      </w:r>
      <w:r w:rsidRPr="005F4312">
        <w:rPr>
          <w:rFonts w:ascii="Arial" w:hAnsi="Arial"/>
          <w:b w:val="0"/>
          <w:caps w:val="0"/>
          <w:sz w:val="20"/>
        </w:rPr>
        <w:t>, 201</w:t>
      </w:r>
      <w:r w:rsidR="00AB2BC6">
        <w:rPr>
          <w:rFonts w:ascii="Arial" w:hAnsi="Arial"/>
          <w:b w:val="0"/>
          <w:caps w:val="0"/>
          <w:sz w:val="20"/>
        </w:rPr>
        <w:t>9</w:t>
      </w:r>
      <w:r w:rsidRPr="005F4312">
        <w:rPr>
          <w:rFonts w:ascii="Arial" w:hAnsi="Arial"/>
          <w:b w:val="0"/>
          <w:caps w:val="0"/>
          <w:sz w:val="20"/>
        </w:rPr>
        <w:t>). In this broader view, resilience is not merely reactive but also proactive: it encompasses the skills, attitudes, and support systems that help individuals adapt, grow, and thrive under pressure</w:t>
      </w:r>
      <w:r w:rsidR="00AB2BC6">
        <w:rPr>
          <w:rFonts w:ascii="Arial" w:hAnsi="Arial"/>
          <w:b w:val="0"/>
          <w:caps w:val="0"/>
          <w:sz w:val="20"/>
        </w:rPr>
        <w:t xml:space="preserve"> (Prince, 2019).</w:t>
      </w:r>
    </w:p>
    <w:p w14:paraId="0D2037C4" w14:textId="7746CA7B" w:rsidR="005F4312" w:rsidRPr="005F4312" w:rsidRDefault="005F4312" w:rsidP="005F4312">
      <w:pPr>
        <w:pStyle w:val="AbstHead"/>
        <w:jc w:val="both"/>
        <w:rPr>
          <w:rFonts w:ascii="Arial" w:hAnsi="Arial"/>
          <w:b w:val="0"/>
          <w:caps w:val="0"/>
          <w:sz w:val="20"/>
        </w:rPr>
      </w:pPr>
      <w:r w:rsidRPr="005F4312">
        <w:rPr>
          <w:rFonts w:ascii="Arial" w:hAnsi="Arial"/>
          <w:b w:val="0"/>
          <w:caps w:val="0"/>
          <w:sz w:val="20"/>
        </w:rPr>
        <w:t xml:space="preserve">In the Philippine context, career resilience is increasingly defined as the ability of individuals to adapt to fluctuating work conditions, particularly in the face of discouragement or systemic change. </w:t>
      </w:r>
      <w:proofErr w:type="spellStart"/>
      <w:r w:rsidR="00AB2BC6">
        <w:rPr>
          <w:rFonts w:ascii="Arial" w:hAnsi="Arial"/>
          <w:b w:val="0"/>
          <w:caps w:val="0"/>
          <w:sz w:val="20"/>
        </w:rPr>
        <w:t>Eslit</w:t>
      </w:r>
      <w:proofErr w:type="spellEnd"/>
      <w:r w:rsidRPr="005F4312">
        <w:rPr>
          <w:rFonts w:ascii="Arial" w:hAnsi="Arial"/>
          <w:b w:val="0"/>
          <w:caps w:val="0"/>
          <w:sz w:val="20"/>
        </w:rPr>
        <w:t xml:space="preserve"> (20</w:t>
      </w:r>
      <w:r w:rsidR="00AB2BC6">
        <w:rPr>
          <w:rFonts w:ascii="Arial" w:hAnsi="Arial"/>
          <w:b w:val="0"/>
          <w:caps w:val="0"/>
          <w:sz w:val="20"/>
        </w:rPr>
        <w:t>23</w:t>
      </w:r>
      <w:r w:rsidRPr="005F4312">
        <w:rPr>
          <w:rFonts w:ascii="Arial" w:hAnsi="Arial"/>
          <w:b w:val="0"/>
          <w:caps w:val="0"/>
          <w:sz w:val="20"/>
        </w:rPr>
        <w:t>) emphasized that career resilience involves maintaining psychological equilibrium amid uncertainty while also actively pursuing professional growth. Teachers, who routinely face administrative shifts, curricular reforms, and resource limitations, must develop the flexibility and confidence to persist in their roles despite such challenges. This includes maintaining clarity of purpose, self-regulation of emotions, and constructive goal-setting.</w:t>
      </w:r>
    </w:p>
    <w:p w14:paraId="7E84D574" w14:textId="6CE24E61" w:rsidR="005F4312" w:rsidRPr="005F4312" w:rsidRDefault="005F4312" w:rsidP="005F4312">
      <w:pPr>
        <w:pStyle w:val="AbstHead"/>
        <w:jc w:val="both"/>
        <w:rPr>
          <w:rFonts w:ascii="Arial" w:hAnsi="Arial"/>
          <w:b w:val="0"/>
          <w:caps w:val="0"/>
          <w:sz w:val="20"/>
        </w:rPr>
      </w:pPr>
      <w:r w:rsidRPr="005F4312">
        <w:rPr>
          <w:rFonts w:ascii="Arial" w:hAnsi="Arial"/>
          <w:b w:val="0"/>
          <w:caps w:val="0"/>
          <w:sz w:val="20"/>
        </w:rPr>
        <w:t xml:space="preserve">The workplace environment plays a crucial role in shaping career resilience. Supportive, communicative, and well-organized institutions equip teachers with the structure and morale necessary to manage stress and uncertainty. As </w:t>
      </w:r>
      <w:r w:rsidR="00433F7D">
        <w:rPr>
          <w:rFonts w:ascii="Arial" w:hAnsi="Arial"/>
          <w:b w:val="0"/>
          <w:caps w:val="0"/>
          <w:sz w:val="20"/>
        </w:rPr>
        <w:t>Chen et al.</w:t>
      </w:r>
      <w:r w:rsidRPr="005F4312">
        <w:rPr>
          <w:rFonts w:ascii="Arial" w:hAnsi="Arial"/>
          <w:b w:val="0"/>
          <w:caps w:val="0"/>
          <w:sz w:val="20"/>
        </w:rPr>
        <w:t xml:space="preserve"> (201</w:t>
      </w:r>
      <w:r w:rsidR="00433F7D">
        <w:rPr>
          <w:rFonts w:ascii="Arial" w:hAnsi="Arial"/>
          <w:b w:val="0"/>
          <w:caps w:val="0"/>
          <w:sz w:val="20"/>
        </w:rPr>
        <w:t>9</w:t>
      </w:r>
      <w:r w:rsidRPr="005F4312">
        <w:rPr>
          <w:rFonts w:ascii="Arial" w:hAnsi="Arial"/>
          <w:b w:val="0"/>
          <w:caps w:val="0"/>
          <w:sz w:val="20"/>
        </w:rPr>
        <w:t>) argued, a proactive approach to workplace challenges—rooted in clear procedures, emotional control, and open communication—can mitigate the adverse effects of unexpected disruptions. In public elementary schools, where teaching conditions can vary significantly, resilient educators are better prepared to uphold instructional quality and student engagement amidst evolving demands.</w:t>
      </w:r>
    </w:p>
    <w:p w14:paraId="32B6AC56" w14:textId="48FDBF5F" w:rsidR="008D6E31" w:rsidRDefault="005F4312" w:rsidP="005F4312">
      <w:pPr>
        <w:pStyle w:val="AbstHead"/>
        <w:spacing w:after="0"/>
        <w:jc w:val="both"/>
        <w:rPr>
          <w:rFonts w:ascii="Arial" w:hAnsi="Arial"/>
          <w:b w:val="0"/>
          <w:caps w:val="0"/>
          <w:sz w:val="20"/>
        </w:rPr>
      </w:pPr>
      <w:r w:rsidRPr="005F4312">
        <w:rPr>
          <w:rFonts w:ascii="Arial" w:hAnsi="Arial"/>
          <w:b w:val="0"/>
          <w:caps w:val="0"/>
          <w:sz w:val="20"/>
        </w:rPr>
        <w:t>This study explores the relationship between workplace environment practices and the career resilience of teachers in public elementary schools. Understanding how elements such as communication, planning, implementation, and evaluation influence teachers' adaptability and well-being is essential in promoting sustainable and effective teaching practices. By identifying which aspects of the work environment most significantly affect career resilience, the study aims to inform school leadership, policy-making, and professional development programs that support teacher retention and success.</w:t>
      </w:r>
    </w:p>
    <w:p w14:paraId="191F7E9E" w14:textId="77777777" w:rsidR="005F4312" w:rsidRDefault="005F4312" w:rsidP="005F4312">
      <w:pPr>
        <w:pStyle w:val="AbstHead"/>
        <w:spacing w:after="0"/>
        <w:jc w:val="both"/>
        <w:rPr>
          <w:rFonts w:ascii="Arial" w:hAnsi="Arial" w:cs="Arial"/>
          <w:sz w:val="20"/>
        </w:rPr>
      </w:pPr>
    </w:p>
    <w:p w14:paraId="52B07EAE" w14:textId="1668B255" w:rsidR="00D5414B" w:rsidRDefault="005F4312" w:rsidP="005D71AE">
      <w:pPr>
        <w:ind w:firstLine="720"/>
        <w:jc w:val="center"/>
        <w:rPr>
          <w:rFonts w:ascii="Arial" w:eastAsia="MS Mincho" w:hAnsi="Arial" w:cs="Arial"/>
          <w:b/>
          <w:bCs/>
          <w:lang w:eastAsia="ja-JP"/>
        </w:rPr>
      </w:pPr>
      <w:r>
        <w:rPr>
          <w:noProof/>
        </w:rPr>
        <w:drawing>
          <wp:inline distT="0" distB="0" distL="0" distR="0" wp14:anchorId="498E2A8A" wp14:editId="2E57A92C">
            <wp:extent cx="3436620" cy="3276439"/>
            <wp:effectExtent l="0" t="0" r="0" b="635"/>
            <wp:docPr id="625685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685685" name=""/>
                    <pic:cNvPicPr/>
                  </pic:nvPicPr>
                  <pic:blipFill rotWithShape="1">
                    <a:blip r:embed="rId8"/>
                    <a:srcRect l="12718" t="29370" r="52778" b="12151"/>
                    <a:stretch/>
                  </pic:blipFill>
                  <pic:spPr bwMode="auto">
                    <a:xfrm>
                      <a:off x="0" y="0"/>
                      <a:ext cx="3454546" cy="3293529"/>
                    </a:xfrm>
                    <a:prstGeom prst="rect">
                      <a:avLst/>
                    </a:prstGeom>
                    <a:ln>
                      <a:noFill/>
                    </a:ln>
                    <a:extLst>
                      <a:ext uri="{53640926-AAD7-44D8-BBD7-CCE9431645EC}">
                        <a14:shadowObscured xmlns:a14="http://schemas.microsoft.com/office/drawing/2010/main"/>
                      </a:ext>
                    </a:extLst>
                  </pic:spPr>
                </pic:pic>
              </a:graphicData>
            </a:graphic>
          </wp:inline>
        </w:drawing>
      </w:r>
    </w:p>
    <w:p w14:paraId="77AB5763" w14:textId="77777777" w:rsidR="00D5414B" w:rsidRDefault="00D5414B">
      <w:pPr>
        <w:jc w:val="center"/>
        <w:rPr>
          <w:rFonts w:ascii="Arial" w:eastAsia="MS Mincho" w:hAnsi="Arial" w:cs="Arial"/>
          <w:b/>
          <w:bCs/>
          <w:lang w:eastAsia="ja-JP"/>
        </w:rPr>
      </w:pPr>
    </w:p>
    <w:p w14:paraId="70BF97C8" w14:textId="438A40A6" w:rsidR="00717F2E" w:rsidRPr="00323BB4" w:rsidRDefault="00270F3F"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593D5741" w14:textId="77777777" w:rsidR="00B76F94" w:rsidRDefault="00B76F94">
      <w:pPr>
        <w:pStyle w:val="AbstHead"/>
        <w:spacing w:after="0"/>
        <w:jc w:val="both"/>
        <w:rPr>
          <w:rFonts w:ascii="Arial" w:hAnsi="Arial" w:cs="Arial"/>
          <w:sz w:val="20"/>
        </w:rPr>
      </w:pPr>
    </w:p>
    <w:p w14:paraId="012EB897" w14:textId="367C4A5B" w:rsidR="00717F2E" w:rsidRDefault="00270F3F">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270F3F">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08B5F001" w14:textId="5E31183E" w:rsidR="005F4312" w:rsidRDefault="005F4312" w:rsidP="005F4312">
      <w:pPr>
        <w:jc w:val="both"/>
        <w:rPr>
          <w:rFonts w:ascii="Arial" w:hAnsi="Arial" w:cs="Arial"/>
        </w:rPr>
      </w:pPr>
      <w:r w:rsidRPr="005F4312">
        <w:rPr>
          <w:rFonts w:ascii="Arial" w:hAnsi="Arial" w:cs="Arial"/>
        </w:rPr>
        <w:t>This study used the non-experimental quantitative design utilizing the correlation method. This method was used when the objective described the status of the situation as it exists at the time of the study to explore the causes of a particular phenomenon. Correlation research involves collecting data in order to determine whether a relationship exists between two of the more quantifiable variables (</w:t>
      </w:r>
      <w:r w:rsidR="00073172" w:rsidRPr="00073172">
        <w:rPr>
          <w:rFonts w:ascii="Arial" w:hAnsi="Arial" w:cs="Arial"/>
        </w:rPr>
        <w:t>Bloomfield</w:t>
      </w:r>
      <w:r w:rsidR="00073172">
        <w:rPr>
          <w:rFonts w:ascii="Arial" w:hAnsi="Arial" w:cs="Arial"/>
        </w:rPr>
        <w:t xml:space="preserve"> </w:t>
      </w:r>
      <w:r w:rsidR="00073172" w:rsidRPr="00073172">
        <w:rPr>
          <w:rFonts w:ascii="Arial" w:hAnsi="Arial" w:cs="Arial"/>
        </w:rPr>
        <w:t>&amp; Fisher</w:t>
      </w:r>
      <w:r w:rsidRPr="005F4312">
        <w:rPr>
          <w:rFonts w:ascii="Arial" w:hAnsi="Arial" w:cs="Arial"/>
        </w:rPr>
        <w:t>, 201</w:t>
      </w:r>
      <w:r w:rsidR="00073172">
        <w:rPr>
          <w:rFonts w:ascii="Arial" w:hAnsi="Arial" w:cs="Arial"/>
        </w:rPr>
        <w:t>9</w:t>
      </w:r>
      <w:r w:rsidRPr="005F4312">
        <w:rPr>
          <w:rFonts w:ascii="Arial" w:hAnsi="Arial" w:cs="Arial"/>
        </w:rPr>
        <w:t>).</w:t>
      </w:r>
    </w:p>
    <w:p w14:paraId="18822824" w14:textId="77777777" w:rsidR="00A919E7" w:rsidRDefault="00A919E7" w:rsidP="005F4312">
      <w:pPr>
        <w:jc w:val="both"/>
        <w:rPr>
          <w:rFonts w:ascii="Arial" w:hAnsi="Arial" w:cs="Arial"/>
        </w:rPr>
      </w:pPr>
    </w:p>
    <w:p w14:paraId="2A2DA449" w14:textId="3B78CBD9" w:rsidR="00A919E7" w:rsidRPr="005F4312" w:rsidRDefault="005F4312" w:rsidP="00A919E7">
      <w:pPr>
        <w:jc w:val="both"/>
        <w:rPr>
          <w:rFonts w:ascii="Arial" w:hAnsi="Arial" w:cs="Arial"/>
        </w:rPr>
      </w:pPr>
      <w:r w:rsidRPr="005F4312">
        <w:rPr>
          <w:rFonts w:ascii="Arial" w:hAnsi="Arial" w:cs="Arial"/>
        </w:rPr>
        <w:t>The correlational method involves looking at relationships between two or more variables. While researchers can use correlations to see if a relationship exists, the variables themselves are not under the control of the researchers</w:t>
      </w:r>
      <w:r w:rsidR="00A919E7">
        <w:rPr>
          <w:rFonts w:ascii="Arial" w:hAnsi="Arial" w:cs="Arial"/>
        </w:rPr>
        <w:t xml:space="preserve"> (</w:t>
      </w:r>
      <w:r w:rsidR="00A919E7" w:rsidRPr="00A919E7">
        <w:rPr>
          <w:rFonts w:ascii="Arial" w:hAnsi="Arial" w:cs="Arial"/>
        </w:rPr>
        <w:t>Lindner</w:t>
      </w:r>
      <w:r w:rsidR="00A919E7">
        <w:rPr>
          <w:rFonts w:ascii="Arial" w:hAnsi="Arial" w:cs="Arial"/>
        </w:rPr>
        <w:t xml:space="preserve"> et al., 2020).</w:t>
      </w:r>
      <w:r w:rsidRPr="005F4312">
        <w:rPr>
          <w:rFonts w:ascii="Arial" w:hAnsi="Arial" w:cs="Arial"/>
        </w:rPr>
        <w:t xml:space="preserve"> In other words, correlational studies cannot prove cause-and-effect relationships.</w:t>
      </w:r>
      <w:r w:rsidR="00A919E7">
        <w:rPr>
          <w:rFonts w:ascii="Arial" w:hAnsi="Arial" w:cs="Arial"/>
        </w:rPr>
        <w:t xml:space="preserve"> </w:t>
      </w:r>
      <w:r w:rsidR="00A919E7" w:rsidRPr="005F4312">
        <w:rPr>
          <w:rFonts w:ascii="Arial" w:hAnsi="Arial" w:cs="Arial"/>
        </w:rPr>
        <w:t xml:space="preserve">The focus of the study is to determine the level of dealing with the workplace environment and career resilience of teachers. </w:t>
      </w:r>
    </w:p>
    <w:p w14:paraId="632478A7" w14:textId="34044BC7" w:rsidR="00A919E7" w:rsidRPr="005F4312" w:rsidRDefault="00A919E7" w:rsidP="005F4312">
      <w:pPr>
        <w:jc w:val="both"/>
        <w:rPr>
          <w:rFonts w:ascii="Arial" w:hAnsi="Arial" w:cs="Arial"/>
        </w:rPr>
      </w:pPr>
    </w:p>
    <w:p w14:paraId="2F88E919" w14:textId="77777777" w:rsidR="005D71AE" w:rsidRDefault="005D71AE" w:rsidP="005D71AE">
      <w:pPr>
        <w:jc w:val="both"/>
        <w:rPr>
          <w:rFonts w:ascii="Arial" w:hAnsi="Arial" w:cs="Arial"/>
          <w:b/>
          <w:bCs/>
        </w:rPr>
      </w:pPr>
    </w:p>
    <w:p w14:paraId="318F0781" w14:textId="77777777" w:rsidR="00717F2E" w:rsidRDefault="00270F3F">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40DC6180" w14:textId="77777777" w:rsidR="005F4312" w:rsidRDefault="005F4312" w:rsidP="005D71AE">
      <w:pPr>
        <w:jc w:val="both"/>
        <w:rPr>
          <w:rFonts w:ascii="Arial" w:hAnsi="Arial" w:cs="Arial"/>
        </w:rPr>
      </w:pPr>
      <w:r w:rsidRPr="005F4312">
        <w:rPr>
          <w:rFonts w:ascii="Arial" w:hAnsi="Arial" w:cs="Arial"/>
        </w:rPr>
        <w:t>The respondents of this study were the 132 teachers in public elementary schools in San Isidro District, Division of Davao Oriental. They evaluated their school administrators and colleagues through questionnaire that were administered to them. The teachers involve served at least one year above in public elementary schools in San Isidro District, Division of Davao Oriental. This study was conducted in school year 2022-2023. The researcher used the universal sampling in selecting the respondents</w:t>
      </w:r>
    </w:p>
    <w:p w14:paraId="45EA929B" w14:textId="693211A9" w:rsidR="00951100" w:rsidRDefault="00D57184" w:rsidP="005D71AE">
      <w:pPr>
        <w:jc w:val="both"/>
        <w:rPr>
          <w:rFonts w:ascii="Arial" w:hAnsi="Arial" w:cs="Arial"/>
        </w:rPr>
      </w:pPr>
      <w:r w:rsidRPr="00D57184">
        <w:rPr>
          <w:rFonts w:ascii="Arial" w:hAnsi="Arial" w:cs="Arial"/>
        </w:rPr>
        <w:tab/>
      </w:r>
    </w:p>
    <w:p w14:paraId="1EEBA515" w14:textId="77777777" w:rsidR="00951100" w:rsidRDefault="00951100">
      <w:pPr>
        <w:rPr>
          <w:rFonts w:ascii="Arial" w:hAnsi="Arial" w:cs="Arial"/>
          <w:b/>
          <w:bCs/>
        </w:rPr>
      </w:pPr>
    </w:p>
    <w:p w14:paraId="6BE2C45C" w14:textId="77777777" w:rsidR="00717F2E" w:rsidRDefault="00270F3F">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08448836" w14:textId="7AA55D35" w:rsidR="00360BB6" w:rsidRDefault="00360BB6" w:rsidP="005D71AE">
      <w:pPr>
        <w:jc w:val="both"/>
        <w:rPr>
          <w:rFonts w:ascii="Arial" w:hAnsi="Arial" w:cs="Arial"/>
        </w:rPr>
      </w:pPr>
      <w:r w:rsidRPr="00360BB6">
        <w:rPr>
          <w:rFonts w:ascii="Arial" w:hAnsi="Arial" w:cs="Arial"/>
        </w:rPr>
        <w:t>The research instruments used in gathering the data were based on various authors. The questionnaires were contextualized to the local setting. Refinement of the questionnaires was made possible through the assistance of the thesis adviser and three other validators who evaluated the content of the instrument. The consolidated results from the pilot testing were conducted in a separate public elementary school in San Isidro District, Division of Davao Oriental, which obtained a Cronbach's alpha mean rating result of 0.949 for workplace environment and 0.954 for career resilience. The questionnaire was composed of 45 items. There were nine indicators in the study, with each indicator consisting of five-item questions. A Likert scale was adopted to determine how teachers dealt with their workplace environment and career resilience in public elementary schools in San Isidro District, Division of Davao Oriental. The instrument used in this study contained two parts: Part 1 dealt with how teachers managed their workplace environment.</w:t>
      </w:r>
      <w:r>
        <w:rPr>
          <w:rFonts w:ascii="Arial" w:hAnsi="Arial" w:cs="Arial"/>
        </w:rPr>
        <w:t xml:space="preserve"> </w:t>
      </w:r>
      <w:r w:rsidRPr="00360BB6">
        <w:rPr>
          <w:rFonts w:ascii="Arial" w:hAnsi="Arial" w:cs="Arial"/>
        </w:rPr>
        <w:t>Part 2 is composed of developing the career resilience of public elementary school teachers.</w:t>
      </w:r>
    </w:p>
    <w:p w14:paraId="171E153A" w14:textId="77777777" w:rsidR="00717F2E" w:rsidRDefault="00717F2E">
      <w:pPr>
        <w:rPr>
          <w:rFonts w:ascii="Arial" w:hAnsi="Arial" w:cs="Arial"/>
          <w:b/>
          <w:bCs/>
        </w:rPr>
      </w:pPr>
    </w:p>
    <w:p w14:paraId="27C6641A" w14:textId="17E20B45" w:rsidR="005D71AE" w:rsidRPr="005D71AE" w:rsidRDefault="00270F3F" w:rsidP="005D71AE">
      <w:pPr>
        <w:rPr>
          <w:rFonts w:ascii="Arial" w:hAnsi="Arial" w:cs="Arial"/>
          <w:b/>
          <w:bCs/>
        </w:rPr>
      </w:pPr>
      <w:r>
        <w:rPr>
          <w:rFonts w:ascii="Arial" w:hAnsi="Arial" w:cs="Arial"/>
          <w:b/>
          <w:bCs/>
        </w:rPr>
        <w:t>2.4 Data Gathering Procedure</w:t>
      </w:r>
    </w:p>
    <w:p w14:paraId="3FCC15A5" w14:textId="77777777" w:rsidR="00360BB6" w:rsidRDefault="00360BB6" w:rsidP="005D71AE">
      <w:pPr>
        <w:rPr>
          <w:rFonts w:ascii="Arial" w:hAnsi="Arial" w:cs="Arial"/>
        </w:rPr>
      </w:pPr>
    </w:p>
    <w:p w14:paraId="61FBA3AE" w14:textId="77777777" w:rsidR="00360BB6" w:rsidRDefault="00360BB6" w:rsidP="005D71AE">
      <w:pPr>
        <w:rPr>
          <w:rFonts w:ascii="Arial" w:hAnsi="Arial" w:cs="Arial"/>
        </w:rPr>
      </w:pPr>
    </w:p>
    <w:p w14:paraId="41E660EB" w14:textId="0DF097C9" w:rsidR="005D71AE" w:rsidRDefault="00360BB6" w:rsidP="00360BB6">
      <w:pPr>
        <w:jc w:val="both"/>
        <w:rPr>
          <w:rFonts w:ascii="Arial" w:hAnsi="Arial" w:cs="Arial"/>
        </w:rPr>
      </w:pPr>
      <w:r w:rsidRPr="00360BB6">
        <w:rPr>
          <w:rFonts w:ascii="Arial" w:hAnsi="Arial" w:cs="Arial"/>
        </w:rPr>
        <w:t xml:space="preserve">The data were gathered through the following procedures: A letter of permission was secured to conduct the study on the workplace environment and career resilience of teachers in Rizal Memorial Colleges. The letter of permission and appearance was signed and granted by the Dean of Graduate Studies of Rizal Memorial Colleges, the adviser, the school principal, and the moderators or teachers in charge. Adequate and clear copies were printed to avoid problems with the administration. The researcher personally administered the questionnaire </w:t>
      </w:r>
      <w:r w:rsidRPr="00360BB6">
        <w:rPr>
          <w:rFonts w:ascii="Arial" w:hAnsi="Arial" w:cs="Arial"/>
        </w:rPr>
        <w:lastRenderedPageBreak/>
        <w:t>to the respondents of the study, and they were requested to answer the questionnaire honestly so that valid and reliable data could be elicited. The results were collated and tabulated before being subjected to statistical treatment, analyzed, and interpreted based on the purpose of the study.</w:t>
      </w:r>
    </w:p>
    <w:p w14:paraId="6F79FDE0" w14:textId="77777777" w:rsidR="00360BB6" w:rsidRPr="005D71AE" w:rsidRDefault="00360BB6" w:rsidP="005D71AE"/>
    <w:p w14:paraId="1C13872C" w14:textId="1B7D6D44" w:rsidR="00717F2E" w:rsidRPr="005D71AE" w:rsidRDefault="00270F3F" w:rsidP="005D71AE">
      <w:pPr>
        <w:pStyle w:val="Heading1"/>
        <w:rPr>
          <w:rFonts w:cs="Arial"/>
          <w:sz w:val="20"/>
        </w:rPr>
      </w:pPr>
      <w:r>
        <w:rPr>
          <w:rFonts w:cs="Arial"/>
          <w:sz w:val="20"/>
        </w:rPr>
        <w:t>2.5 Data Analysis</w:t>
      </w:r>
    </w:p>
    <w:p w14:paraId="3CB0DE7E" w14:textId="77777777" w:rsidR="005D71AE" w:rsidRDefault="005D71AE" w:rsidP="00304469">
      <w:pPr>
        <w:pStyle w:val="Head1"/>
        <w:jc w:val="both"/>
        <w:rPr>
          <w:rFonts w:ascii="Arial" w:hAnsi="Arial" w:cs="Arial"/>
          <w:b w:val="0"/>
          <w:caps w:val="0"/>
          <w:sz w:val="20"/>
        </w:rPr>
      </w:pPr>
    </w:p>
    <w:p w14:paraId="5B2F0D95" w14:textId="656A4CEF" w:rsidR="00360BB6" w:rsidRPr="00360BB6" w:rsidRDefault="00360BB6" w:rsidP="00360BB6">
      <w:pPr>
        <w:pStyle w:val="Head1"/>
        <w:jc w:val="both"/>
        <w:rPr>
          <w:rFonts w:ascii="Arial" w:hAnsi="Arial" w:cs="Arial"/>
          <w:b w:val="0"/>
          <w:caps w:val="0"/>
          <w:sz w:val="20"/>
        </w:rPr>
      </w:pPr>
      <w:r w:rsidRPr="00360BB6">
        <w:rPr>
          <w:rFonts w:ascii="Arial" w:hAnsi="Arial" w:cs="Arial"/>
          <w:b w:val="0"/>
          <w:caps w:val="0"/>
          <w:sz w:val="20"/>
        </w:rPr>
        <w:t xml:space="preserve">The gathered data was classified, analyzed and interpreted by using the following statistical tools: </w:t>
      </w:r>
    </w:p>
    <w:p w14:paraId="3729064A" w14:textId="64D78712" w:rsidR="00360BB6" w:rsidRPr="00360BB6" w:rsidRDefault="00360BB6" w:rsidP="00360BB6">
      <w:pPr>
        <w:pStyle w:val="Head1"/>
        <w:jc w:val="both"/>
        <w:rPr>
          <w:rFonts w:ascii="Arial" w:hAnsi="Arial" w:cs="Arial"/>
          <w:b w:val="0"/>
          <w:caps w:val="0"/>
          <w:sz w:val="20"/>
        </w:rPr>
      </w:pPr>
      <w:r w:rsidRPr="00360BB6">
        <w:rPr>
          <w:rFonts w:ascii="Arial" w:hAnsi="Arial" w:cs="Arial"/>
          <w:b w:val="0"/>
          <w:i/>
          <w:iCs/>
          <w:caps w:val="0"/>
          <w:sz w:val="20"/>
        </w:rPr>
        <w:t>Mean.</w:t>
      </w:r>
      <w:r w:rsidRPr="00360BB6">
        <w:rPr>
          <w:rFonts w:ascii="Arial" w:hAnsi="Arial" w:cs="Arial"/>
          <w:b w:val="0"/>
          <w:caps w:val="0"/>
          <w:sz w:val="20"/>
        </w:rPr>
        <w:t xml:space="preserve"> This was used to determine how to deal with the workplace environment and career resilience of teachers in public elementary schools</w:t>
      </w:r>
      <w:r>
        <w:rPr>
          <w:rFonts w:ascii="Arial" w:hAnsi="Arial" w:cs="Arial"/>
          <w:b w:val="0"/>
          <w:caps w:val="0"/>
          <w:sz w:val="20"/>
        </w:rPr>
        <w:t>.</w:t>
      </w:r>
    </w:p>
    <w:p w14:paraId="3BE313B5" w14:textId="7ACE8FD2" w:rsidR="00360BB6" w:rsidRPr="00360BB6" w:rsidRDefault="00360BB6" w:rsidP="00360BB6">
      <w:pPr>
        <w:pStyle w:val="Head1"/>
        <w:jc w:val="both"/>
        <w:rPr>
          <w:rFonts w:ascii="Arial" w:hAnsi="Arial" w:cs="Arial"/>
          <w:b w:val="0"/>
          <w:caps w:val="0"/>
          <w:sz w:val="20"/>
        </w:rPr>
      </w:pPr>
      <w:r w:rsidRPr="00360BB6">
        <w:rPr>
          <w:rFonts w:ascii="Arial" w:hAnsi="Arial" w:cs="Arial"/>
          <w:b w:val="0"/>
          <w:i/>
          <w:iCs/>
          <w:caps w:val="0"/>
          <w:sz w:val="20"/>
        </w:rPr>
        <w:t>Pearson Product Moment Correlation or Pearson r.</w:t>
      </w:r>
      <w:r w:rsidRPr="00360BB6">
        <w:rPr>
          <w:rFonts w:ascii="Arial" w:hAnsi="Arial" w:cs="Arial"/>
          <w:b w:val="0"/>
          <w:caps w:val="0"/>
          <w:sz w:val="20"/>
        </w:rPr>
        <w:t xml:space="preserve"> This was used to measure the significant relationship between dealing with workplace challenges and career resilience of teachers in public elementary schools</w:t>
      </w:r>
      <w:r>
        <w:rPr>
          <w:rFonts w:ascii="Arial" w:hAnsi="Arial" w:cs="Arial"/>
          <w:b w:val="0"/>
          <w:caps w:val="0"/>
          <w:sz w:val="20"/>
        </w:rPr>
        <w:t>.</w:t>
      </w:r>
    </w:p>
    <w:p w14:paraId="7C5CDCF6" w14:textId="38A767C8" w:rsidR="005D71AE" w:rsidRDefault="00360BB6" w:rsidP="00360BB6">
      <w:pPr>
        <w:pStyle w:val="Head1"/>
        <w:spacing w:after="0"/>
        <w:jc w:val="both"/>
        <w:rPr>
          <w:rFonts w:ascii="Arial" w:hAnsi="Arial" w:cs="Arial"/>
          <w:b w:val="0"/>
          <w:caps w:val="0"/>
          <w:sz w:val="20"/>
        </w:rPr>
      </w:pPr>
      <w:r w:rsidRPr="00CB60AE">
        <w:rPr>
          <w:rFonts w:ascii="Arial" w:hAnsi="Arial" w:cs="Arial"/>
          <w:b w:val="0"/>
          <w:i/>
          <w:iCs/>
          <w:caps w:val="0"/>
          <w:sz w:val="20"/>
        </w:rPr>
        <w:t>Regression Analysis</w:t>
      </w:r>
      <w:r w:rsidRPr="00360BB6">
        <w:rPr>
          <w:rFonts w:ascii="Arial" w:hAnsi="Arial" w:cs="Arial"/>
          <w:b w:val="0"/>
          <w:caps w:val="0"/>
          <w:sz w:val="20"/>
        </w:rPr>
        <w:t xml:space="preserve"> was used to determine the significant influence between workplace challenges and career resilience of teachers in public elementary schools</w:t>
      </w:r>
      <w:r>
        <w:rPr>
          <w:rFonts w:ascii="Arial" w:hAnsi="Arial" w:cs="Arial"/>
          <w:b w:val="0"/>
          <w:caps w:val="0"/>
          <w:sz w:val="20"/>
        </w:rPr>
        <w:t>.</w:t>
      </w:r>
    </w:p>
    <w:p w14:paraId="09452CDD" w14:textId="64121A11" w:rsidR="001E0787" w:rsidRDefault="001E0787" w:rsidP="00360BB6">
      <w:pPr>
        <w:pStyle w:val="Head1"/>
        <w:spacing w:after="0"/>
        <w:jc w:val="both"/>
        <w:rPr>
          <w:rFonts w:ascii="Arial" w:hAnsi="Arial" w:cs="Arial"/>
          <w:b w:val="0"/>
          <w:caps w:val="0"/>
          <w:sz w:val="20"/>
        </w:rPr>
      </w:pPr>
    </w:p>
    <w:p w14:paraId="73D7551D" w14:textId="32E34103" w:rsidR="001E0787" w:rsidRPr="001E0787" w:rsidRDefault="001E0787" w:rsidP="001E0787">
      <w:pPr>
        <w:pStyle w:val="Head1"/>
        <w:jc w:val="both"/>
        <w:rPr>
          <w:rFonts w:ascii="Arial" w:hAnsi="Arial" w:cs="Arial"/>
          <w:caps w:val="0"/>
          <w:sz w:val="20"/>
        </w:rPr>
      </w:pPr>
      <w:r w:rsidRPr="001E0787">
        <w:rPr>
          <w:rFonts w:ascii="Arial" w:hAnsi="Arial" w:cs="Arial"/>
          <w:caps w:val="0"/>
          <w:sz w:val="20"/>
        </w:rPr>
        <w:t xml:space="preserve">Ethical Consideration: </w:t>
      </w:r>
    </w:p>
    <w:p w14:paraId="257ED89E" w14:textId="59003FF2" w:rsidR="001E0787" w:rsidRDefault="001E0787" w:rsidP="001E0787">
      <w:pPr>
        <w:pStyle w:val="Head1"/>
        <w:spacing w:after="0"/>
        <w:jc w:val="both"/>
        <w:rPr>
          <w:rFonts w:ascii="Arial" w:hAnsi="Arial" w:cs="Arial"/>
          <w:b w:val="0"/>
          <w:caps w:val="0"/>
          <w:sz w:val="20"/>
        </w:rPr>
      </w:pPr>
      <w:r w:rsidRPr="001E0787">
        <w:rPr>
          <w:rFonts w:ascii="Arial" w:hAnsi="Arial" w:cs="Arial"/>
          <w:b w:val="0"/>
          <w:caps w:val="0"/>
          <w:sz w:val="20"/>
        </w:rPr>
        <w:t>This quantitative study adhered to strict ethical guidelines to safeguard the privacy and confidentiality of all participants. Before data collection, informed consent was obtained from each participant, who was thoroughly briefed on the study's objectives and the measures in place to ensure confidentiality. To maintain anonymity, no personally identifiable information was gathered, and participants were assigned a unique code for data analysis. The collected data were securely stored on encrypted servers, with access limited to the research team. The findings were presented in an aggregated form, ensuring that individual responses could not be traced back to any specific participant. Furthermore, statistical analyses were carried out in a manner that preserved the anonymity and protected the privacy of the respondents throughout the entire study.</w:t>
      </w:r>
    </w:p>
    <w:p w14:paraId="4B3A1DD0" w14:textId="77777777" w:rsidR="00304469" w:rsidRDefault="00304469" w:rsidP="00304469">
      <w:pPr>
        <w:pStyle w:val="Head1"/>
        <w:spacing w:after="0"/>
        <w:jc w:val="both"/>
        <w:rPr>
          <w:rFonts w:ascii="Arial" w:hAnsi="Arial" w:cs="Arial"/>
          <w:sz w:val="20"/>
        </w:rPr>
      </w:pPr>
    </w:p>
    <w:p w14:paraId="54D02440" w14:textId="77777777" w:rsidR="00717F2E" w:rsidRDefault="00270F3F">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2EA2D98B" w14:textId="7B3E69A2" w:rsidR="005D71AE" w:rsidRDefault="00270F3F">
      <w:pPr>
        <w:suppressAutoHyphens/>
        <w:jc w:val="both"/>
        <w:rPr>
          <w:rFonts w:ascii="Arial" w:hAnsi="Arial" w:cs="Arial"/>
          <w:b/>
        </w:rPr>
      </w:pPr>
      <w:r>
        <w:rPr>
          <w:rFonts w:ascii="Arial" w:hAnsi="Arial" w:cs="Arial"/>
          <w:b/>
        </w:rPr>
        <w:t xml:space="preserve">3.1 </w:t>
      </w:r>
      <w:r w:rsidR="00B6361C" w:rsidRPr="00B6361C">
        <w:rPr>
          <w:rFonts w:ascii="Arial" w:hAnsi="Arial" w:cs="Arial"/>
          <w:b/>
        </w:rPr>
        <w:t>Workplace Environment Practices of Teachers</w:t>
      </w:r>
    </w:p>
    <w:p w14:paraId="1DF55D87" w14:textId="77777777" w:rsidR="005D71AE" w:rsidRDefault="005D71AE">
      <w:pPr>
        <w:suppressAutoHyphens/>
        <w:jc w:val="both"/>
        <w:rPr>
          <w:rFonts w:ascii="Arial" w:hAnsi="Arial" w:cs="Arial"/>
          <w:b/>
        </w:rPr>
      </w:pPr>
    </w:p>
    <w:p w14:paraId="1ED70019" w14:textId="72370166" w:rsidR="00D453B9" w:rsidRDefault="00270F3F">
      <w:pPr>
        <w:suppressAutoHyphens/>
        <w:jc w:val="both"/>
        <w:rPr>
          <w:rFonts w:ascii="Arial" w:hAnsi="Arial" w:cs="Arial"/>
          <w:i/>
        </w:rPr>
      </w:pPr>
      <w:r w:rsidRPr="00781D5E">
        <w:rPr>
          <w:rFonts w:ascii="Arial" w:hAnsi="Arial" w:cs="Arial"/>
          <w:iCs/>
        </w:rPr>
        <w:t>Table 1</w:t>
      </w:r>
      <w:r w:rsidR="00781D5E" w:rsidRPr="00781D5E">
        <w:rPr>
          <w:rFonts w:ascii="Arial" w:hAnsi="Arial" w:cs="Arial"/>
          <w:iCs/>
        </w:rPr>
        <w:t>.</w:t>
      </w:r>
      <w:r>
        <w:rPr>
          <w:rFonts w:ascii="Arial" w:hAnsi="Arial" w:cs="Arial"/>
          <w:i/>
        </w:rPr>
        <w:t xml:space="preserve"> </w:t>
      </w:r>
      <w:r w:rsidR="005D71AE" w:rsidRPr="005D71AE">
        <w:rPr>
          <w:rFonts w:ascii="Arial" w:hAnsi="Arial" w:cs="Arial"/>
          <w:i/>
        </w:rPr>
        <w:t xml:space="preserve">Level of </w:t>
      </w:r>
      <w:r w:rsidR="00B6361C" w:rsidRPr="00B6361C">
        <w:rPr>
          <w:rFonts w:ascii="Arial" w:hAnsi="Arial" w:cs="Arial"/>
          <w:i/>
        </w:rPr>
        <w:t>Workplace Environment Practices of Teachers</w:t>
      </w:r>
    </w:p>
    <w:p w14:paraId="69D23EB0" w14:textId="77777777" w:rsidR="008927A1" w:rsidRDefault="008927A1">
      <w:pPr>
        <w:suppressAutoHyphens/>
        <w:jc w:val="both"/>
        <w:rPr>
          <w:rFonts w:ascii="Arial" w:hAnsi="Arial" w:cs="Arial"/>
          <w:i/>
        </w:rPr>
      </w:pPr>
    </w:p>
    <w:p w14:paraId="20CF6BE0" w14:textId="77777777" w:rsidR="00D453B9" w:rsidRDefault="00D453B9" w:rsidP="003248E3">
      <w:pPr>
        <w:jc w:val="both"/>
        <w:rPr>
          <w:rFonts w:ascii="Arial" w:hAnsi="Arial" w:cs="Arial"/>
        </w:rPr>
      </w:pPr>
    </w:p>
    <w:tbl>
      <w:tblPr>
        <w:tblW w:w="8509" w:type="dxa"/>
        <w:jc w:val="center"/>
        <w:tblLook w:val="04A0" w:firstRow="1" w:lastRow="0" w:firstColumn="1" w:lastColumn="0" w:noHBand="0" w:noVBand="1"/>
      </w:tblPr>
      <w:tblGrid>
        <w:gridCol w:w="498"/>
        <w:gridCol w:w="4089"/>
        <w:gridCol w:w="1965"/>
        <w:gridCol w:w="1957"/>
      </w:tblGrid>
      <w:tr w:rsidR="00B6361C" w14:paraId="32D0831D" w14:textId="77777777" w:rsidTr="00944B3C">
        <w:trPr>
          <w:jc w:val="center"/>
        </w:trPr>
        <w:tc>
          <w:tcPr>
            <w:tcW w:w="498" w:type="dxa"/>
            <w:tcBorders>
              <w:top w:val="single" w:sz="4" w:space="0" w:color="auto"/>
              <w:bottom w:val="single" w:sz="4" w:space="0" w:color="auto"/>
            </w:tcBorders>
          </w:tcPr>
          <w:p w14:paraId="3F37409A" w14:textId="77777777" w:rsidR="00B6361C" w:rsidRPr="00B6361C" w:rsidRDefault="00B6361C" w:rsidP="00B6361C">
            <w:pPr>
              <w:pStyle w:val="NoSpacing"/>
              <w:jc w:val="center"/>
              <w:rPr>
                <w:rFonts w:ascii="Arial" w:hAnsi="Arial" w:cs="Arial"/>
                <w:b/>
                <w:bCs/>
                <w:sz w:val="20"/>
                <w:szCs w:val="20"/>
              </w:rPr>
            </w:pPr>
          </w:p>
          <w:p w14:paraId="45B61F40" w14:textId="77777777" w:rsidR="00B6361C" w:rsidRPr="00B6361C" w:rsidRDefault="00B6361C" w:rsidP="00B6361C">
            <w:pPr>
              <w:pStyle w:val="NoSpacing"/>
              <w:jc w:val="center"/>
              <w:rPr>
                <w:rFonts w:ascii="Arial" w:hAnsi="Arial" w:cs="Arial"/>
                <w:b/>
                <w:bCs/>
                <w:sz w:val="20"/>
                <w:szCs w:val="20"/>
              </w:rPr>
            </w:pPr>
            <w:r w:rsidRPr="00B6361C">
              <w:rPr>
                <w:rFonts w:ascii="Arial" w:hAnsi="Arial" w:cs="Arial"/>
                <w:b/>
                <w:bCs/>
                <w:sz w:val="20"/>
                <w:szCs w:val="20"/>
              </w:rPr>
              <w:t>No</w:t>
            </w:r>
          </w:p>
        </w:tc>
        <w:tc>
          <w:tcPr>
            <w:tcW w:w="4089" w:type="dxa"/>
            <w:tcBorders>
              <w:top w:val="single" w:sz="4" w:space="0" w:color="auto"/>
              <w:bottom w:val="single" w:sz="4" w:space="0" w:color="auto"/>
            </w:tcBorders>
          </w:tcPr>
          <w:p w14:paraId="76D9A2C7" w14:textId="77777777" w:rsidR="00B6361C" w:rsidRPr="00B6361C" w:rsidRDefault="00B6361C" w:rsidP="00B6361C">
            <w:pPr>
              <w:pStyle w:val="NoSpacing"/>
              <w:jc w:val="center"/>
              <w:rPr>
                <w:rFonts w:ascii="Arial" w:hAnsi="Arial" w:cs="Arial"/>
                <w:b/>
                <w:bCs/>
                <w:sz w:val="20"/>
                <w:szCs w:val="20"/>
              </w:rPr>
            </w:pPr>
          </w:p>
          <w:p w14:paraId="1646A5E8" w14:textId="6EB4AA38" w:rsidR="00B6361C" w:rsidRPr="00B6361C" w:rsidRDefault="00B6361C" w:rsidP="00B6361C">
            <w:pPr>
              <w:pStyle w:val="NoSpacing"/>
              <w:jc w:val="center"/>
              <w:rPr>
                <w:rFonts w:ascii="Arial" w:hAnsi="Arial" w:cs="Arial"/>
                <w:b/>
                <w:bCs/>
                <w:sz w:val="20"/>
                <w:szCs w:val="20"/>
              </w:rPr>
            </w:pPr>
            <w:r w:rsidRPr="00B6361C">
              <w:rPr>
                <w:rFonts w:ascii="Arial" w:hAnsi="Arial" w:cs="Arial"/>
                <w:b/>
                <w:bCs/>
                <w:sz w:val="20"/>
                <w:szCs w:val="20"/>
              </w:rPr>
              <w:t>Indicators</w:t>
            </w:r>
          </w:p>
        </w:tc>
        <w:tc>
          <w:tcPr>
            <w:tcW w:w="1965" w:type="dxa"/>
            <w:tcBorders>
              <w:top w:val="single" w:sz="4" w:space="0" w:color="auto"/>
              <w:bottom w:val="single" w:sz="4" w:space="0" w:color="auto"/>
            </w:tcBorders>
          </w:tcPr>
          <w:p w14:paraId="2F576144" w14:textId="23F31F94" w:rsidR="00B6361C" w:rsidRPr="00B6361C" w:rsidRDefault="00B6361C" w:rsidP="00B6361C">
            <w:pPr>
              <w:pStyle w:val="NoSpacing"/>
              <w:jc w:val="center"/>
              <w:rPr>
                <w:rFonts w:ascii="Arial" w:hAnsi="Arial" w:cs="Arial"/>
                <w:b/>
                <w:bCs/>
                <w:sz w:val="20"/>
                <w:szCs w:val="20"/>
              </w:rPr>
            </w:pPr>
            <w:r w:rsidRPr="00B6361C">
              <w:rPr>
                <w:rFonts w:ascii="Arial" w:hAnsi="Arial" w:cs="Arial"/>
                <w:b/>
                <w:bCs/>
                <w:sz w:val="20"/>
                <w:szCs w:val="20"/>
              </w:rPr>
              <w:t>Mean</w:t>
            </w:r>
          </w:p>
          <w:p w14:paraId="463B3915" w14:textId="77777777" w:rsidR="00B6361C" w:rsidRPr="00B6361C" w:rsidRDefault="00B6361C" w:rsidP="00B6361C">
            <w:pPr>
              <w:pStyle w:val="NoSpacing"/>
              <w:jc w:val="center"/>
              <w:rPr>
                <w:rFonts w:ascii="Arial" w:hAnsi="Arial" w:cs="Arial"/>
                <w:b/>
                <w:bCs/>
                <w:sz w:val="20"/>
                <w:szCs w:val="20"/>
              </w:rPr>
            </w:pPr>
            <w:r w:rsidRPr="00B6361C">
              <w:rPr>
                <w:rFonts w:ascii="Arial" w:hAnsi="Arial" w:cs="Arial"/>
                <w:b/>
                <w:bCs/>
                <w:sz w:val="20"/>
                <w:szCs w:val="20"/>
              </w:rPr>
              <w:t>(x)</w:t>
            </w:r>
          </w:p>
        </w:tc>
        <w:tc>
          <w:tcPr>
            <w:tcW w:w="1957" w:type="dxa"/>
            <w:tcBorders>
              <w:top w:val="single" w:sz="4" w:space="0" w:color="auto"/>
              <w:bottom w:val="single" w:sz="4" w:space="0" w:color="auto"/>
            </w:tcBorders>
          </w:tcPr>
          <w:p w14:paraId="6909AA20" w14:textId="77777777" w:rsidR="00B6361C" w:rsidRPr="00B6361C" w:rsidRDefault="00B6361C" w:rsidP="00B6361C">
            <w:pPr>
              <w:pStyle w:val="NoSpacing"/>
              <w:jc w:val="center"/>
              <w:rPr>
                <w:rFonts w:ascii="Arial" w:hAnsi="Arial" w:cs="Arial"/>
                <w:b/>
                <w:bCs/>
                <w:sz w:val="20"/>
                <w:szCs w:val="20"/>
              </w:rPr>
            </w:pPr>
            <w:r w:rsidRPr="00B6361C">
              <w:rPr>
                <w:rFonts w:ascii="Arial" w:hAnsi="Arial" w:cs="Arial"/>
                <w:b/>
                <w:bCs/>
                <w:sz w:val="20"/>
                <w:szCs w:val="20"/>
              </w:rPr>
              <w:t>Descriptive Level</w:t>
            </w:r>
          </w:p>
        </w:tc>
      </w:tr>
      <w:tr w:rsidR="00B6361C" w14:paraId="598F92A6" w14:textId="77777777" w:rsidTr="00944B3C">
        <w:trPr>
          <w:jc w:val="center"/>
        </w:trPr>
        <w:tc>
          <w:tcPr>
            <w:tcW w:w="498" w:type="dxa"/>
            <w:tcBorders>
              <w:top w:val="single" w:sz="4" w:space="0" w:color="auto"/>
            </w:tcBorders>
          </w:tcPr>
          <w:p w14:paraId="0442C22F" w14:textId="77777777" w:rsidR="00B6361C" w:rsidRPr="00B6361C" w:rsidRDefault="00B6361C" w:rsidP="00944B3C">
            <w:pPr>
              <w:pStyle w:val="NoSpacing"/>
              <w:jc w:val="both"/>
              <w:rPr>
                <w:rFonts w:ascii="Arial" w:hAnsi="Arial" w:cs="Arial"/>
                <w:sz w:val="20"/>
                <w:szCs w:val="20"/>
              </w:rPr>
            </w:pPr>
            <w:r w:rsidRPr="00B6361C">
              <w:rPr>
                <w:rFonts w:ascii="Arial" w:hAnsi="Arial" w:cs="Arial"/>
                <w:sz w:val="20"/>
                <w:szCs w:val="20"/>
              </w:rPr>
              <w:t>1.</w:t>
            </w:r>
          </w:p>
        </w:tc>
        <w:tc>
          <w:tcPr>
            <w:tcW w:w="4089" w:type="dxa"/>
            <w:tcBorders>
              <w:top w:val="single" w:sz="4" w:space="0" w:color="auto"/>
            </w:tcBorders>
            <w:vAlign w:val="center"/>
          </w:tcPr>
          <w:p w14:paraId="102045F7" w14:textId="77777777" w:rsidR="00B6361C" w:rsidRPr="00B6361C" w:rsidRDefault="00B6361C" w:rsidP="00944B3C">
            <w:pPr>
              <w:pStyle w:val="ListParagraph"/>
              <w:ind w:hanging="685"/>
              <w:jc w:val="both"/>
              <w:rPr>
                <w:rFonts w:ascii="Arial" w:hAnsi="Arial" w:cs="Arial"/>
              </w:rPr>
            </w:pPr>
            <w:r w:rsidRPr="00B6361C">
              <w:rPr>
                <w:rFonts w:ascii="Arial" w:hAnsi="Arial" w:cs="Arial"/>
              </w:rPr>
              <w:t>communication</w:t>
            </w:r>
          </w:p>
        </w:tc>
        <w:tc>
          <w:tcPr>
            <w:tcW w:w="1965" w:type="dxa"/>
            <w:tcBorders>
              <w:top w:val="single" w:sz="4" w:space="0" w:color="auto"/>
            </w:tcBorders>
            <w:vAlign w:val="center"/>
          </w:tcPr>
          <w:p w14:paraId="4128D3BF" w14:textId="77777777" w:rsidR="00B6361C" w:rsidRPr="00B6361C" w:rsidRDefault="00B6361C" w:rsidP="00944B3C">
            <w:pPr>
              <w:pStyle w:val="TableContents"/>
              <w:snapToGrid w:val="0"/>
              <w:jc w:val="center"/>
              <w:rPr>
                <w:rFonts w:ascii="Arial" w:hAnsi="Arial" w:cs="Arial"/>
                <w:sz w:val="20"/>
                <w:szCs w:val="20"/>
              </w:rPr>
            </w:pPr>
            <w:r w:rsidRPr="00B6361C">
              <w:rPr>
                <w:rFonts w:ascii="Arial" w:hAnsi="Arial" w:cs="Arial"/>
                <w:sz w:val="20"/>
                <w:szCs w:val="20"/>
              </w:rPr>
              <w:t>3.57</w:t>
            </w:r>
          </w:p>
        </w:tc>
        <w:tc>
          <w:tcPr>
            <w:tcW w:w="1957" w:type="dxa"/>
            <w:tcBorders>
              <w:top w:val="single" w:sz="4" w:space="0" w:color="auto"/>
            </w:tcBorders>
          </w:tcPr>
          <w:p w14:paraId="56501702" w14:textId="77777777" w:rsidR="00B6361C" w:rsidRPr="00B6361C" w:rsidRDefault="00B6361C" w:rsidP="00944B3C">
            <w:pPr>
              <w:pStyle w:val="NoSpacing"/>
              <w:jc w:val="center"/>
              <w:rPr>
                <w:rFonts w:ascii="Arial" w:hAnsi="Arial" w:cs="Arial"/>
                <w:sz w:val="20"/>
                <w:szCs w:val="20"/>
              </w:rPr>
            </w:pPr>
            <w:r w:rsidRPr="00B6361C">
              <w:rPr>
                <w:rFonts w:ascii="Arial" w:hAnsi="Arial" w:cs="Arial"/>
                <w:sz w:val="20"/>
                <w:szCs w:val="20"/>
              </w:rPr>
              <w:t>High</w:t>
            </w:r>
          </w:p>
        </w:tc>
      </w:tr>
      <w:tr w:rsidR="00B6361C" w14:paraId="754564CD" w14:textId="77777777" w:rsidTr="00944B3C">
        <w:trPr>
          <w:jc w:val="center"/>
        </w:trPr>
        <w:tc>
          <w:tcPr>
            <w:tcW w:w="498" w:type="dxa"/>
          </w:tcPr>
          <w:p w14:paraId="73F9CBDC" w14:textId="77777777" w:rsidR="00B6361C" w:rsidRPr="00B6361C" w:rsidRDefault="00B6361C" w:rsidP="00944B3C">
            <w:pPr>
              <w:pStyle w:val="NoSpacing"/>
              <w:jc w:val="both"/>
              <w:rPr>
                <w:rFonts w:ascii="Arial" w:hAnsi="Arial" w:cs="Arial"/>
                <w:sz w:val="20"/>
                <w:szCs w:val="20"/>
              </w:rPr>
            </w:pPr>
            <w:r w:rsidRPr="00B6361C">
              <w:rPr>
                <w:rFonts w:ascii="Arial" w:hAnsi="Arial" w:cs="Arial"/>
                <w:sz w:val="20"/>
                <w:szCs w:val="20"/>
              </w:rPr>
              <w:t>2.</w:t>
            </w:r>
          </w:p>
        </w:tc>
        <w:tc>
          <w:tcPr>
            <w:tcW w:w="4089" w:type="dxa"/>
            <w:vAlign w:val="center"/>
          </w:tcPr>
          <w:p w14:paraId="510EA3CB" w14:textId="77777777" w:rsidR="00B6361C" w:rsidRPr="00B6361C" w:rsidRDefault="00B6361C" w:rsidP="00944B3C">
            <w:pPr>
              <w:pStyle w:val="ListParagraph"/>
              <w:ind w:hanging="685"/>
              <w:jc w:val="both"/>
              <w:rPr>
                <w:rFonts w:ascii="Arial" w:hAnsi="Arial" w:cs="Arial"/>
              </w:rPr>
            </w:pPr>
            <w:r w:rsidRPr="00B6361C">
              <w:rPr>
                <w:rFonts w:ascii="Arial" w:hAnsi="Arial" w:cs="Arial"/>
              </w:rPr>
              <w:t>planning</w:t>
            </w:r>
            <w:r w:rsidRPr="00B6361C">
              <w:rPr>
                <w:rFonts w:ascii="Arial" w:hAnsi="Arial" w:cs="Arial"/>
                <w:bCs/>
              </w:rPr>
              <w:t xml:space="preserve"> </w:t>
            </w:r>
          </w:p>
        </w:tc>
        <w:tc>
          <w:tcPr>
            <w:tcW w:w="1965" w:type="dxa"/>
            <w:vAlign w:val="center"/>
          </w:tcPr>
          <w:p w14:paraId="39AE79BD" w14:textId="77777777" w:rsidR="00B6361C" w:rsidRPr="00B6361C" w:rsidRDefault="00B6361C" w:rsidP="00944B3C">
            <w:pPr>
              <w:pStyle w:val="TableContents"/>
              <w:snapToGrid w:val="0"/>
              <w:jc w:val="center"/>
              <w:rPr>
                <w:rFonts w:ascii="Arial" w:hAnsi="Arial" w:cs="Arial"/>
                <w:sz w:val="20"/>
                <w:szCs w:val="20"/>
              </w:rPr>
            </w:pPr>
            <w:r w:rsidRPr="00B6361C">
              <w:rPr>
                <w:rFonts w:ascii="Arial" w:hAnsi="Arial" w:cs="Arial"/>
                <w:sz w:val="20"/>
                <w:szCs w:val="20"/>
              </w:rPr>
              <w:t>2.98</w:t>
            </w:r>
          </w:p>
        </w:tc>
        <w:tc>
          <w:tcPr>
            <w:tcW w:w="1957" w:type="dxa"/>
          </w:tcPr>
          <w:p w14:paraId="75811D13" w14:textId="77777777" w:rsidR="00B6361C" w:rsidRPr="00B6361C" w:rsidRDefault="00B6361C" w:rsidP="00944B3C">
            <w:pPr>
              <w:pStyle w:val="NoSpacing"/>
              <w:jc w:val="center"/>
              <w:rPr>
                <w:rFonts w:ascii="Arial" w:hAnsi="Arial" w:cs="Arial"/>
                <w:sz w:val="20"/>
                <w:szCs w:val="20"/>
              </w:rPr>
            </w:pPr>
            <w:r w:rsidRPr="00B6361C">
              <w:rPr>
                <w:rFonts w:ascii="Arial" w:hAnsi="Arial" w:cs="Arial"/>
                <w:sz w:val="20"/>
                <w:szCs w:val="20"/>
              </w:rPr>
              <w:t>Moderate</w:t>
            </w:r>
          </w:p>
        </w:tc>
      </w:tr>
      <w:tr w:rsidR="00B6361C" w14:paraId="27BEA481" w14:textId="77777777" w:rsidTr="00944B3C">
        <w:trPr>
          <w:trHeight w:val="74"/>
          <w:jc w:val="center"/>
        </w:trPr>
        <w:tc>
          <w:tcPr>
            <w:tcW w:w="498" w:type="dxa"/>
          </w:tcPr>
          <w:p w14:paraId="0238F2E7" w14:textId="77777777" w:rsidR="00B6361C" w:rsidRPr="00B6361C" w:rsidRDefault="00B6361C" w:rsidP="00944B3C">
            <w:pPr>
              <w:pStyle w:val="NoSpacing"/>
              <w:jc w:val="both"/>
              <w:rPr>
                <w:rFonts w:ascii="Arial" w:hAnsi="Arial" w:cs="Arial"/>
                <w:sz w:val="20"/>
                <w:szCs w:val="20"/>
              </w:rPr>
            </w:pPr>
            <w:r w:rsidRPr="00B6361C">
              <w:rPr>
                <w:rFonts w:ascii="Arial" w:hAnsi="Arial" w:cs="Arial"/>
                <w:sz w:val="20"/>
                <w:szCs w:val="20"/>
              </w:rPr>
              <w:t>3.</w:t>
            </w:r>
          </w:p>
        </w:tc>
        <w:tc>
          <w:tcPr>
            <w:tcW w:w="4089" w:type="dxa"/>
            <w:vAlign w:val="center"/>
          </w:tcPr>
          <w:p w14:paraId="5DCB4715" w14:textId="77777777" w:rsidR="00B6361C" w:rsidRPr="00B6361C" w:rsidRDefault="00B6361C" w:rsidP="00944B3C">
            <w:pPr>
              <w:jc w:val="both"/>
              <w:rPr>
                <w:rFonts w:ascii="Arial" w:hAnsi="Arial" w:cs="Arial"/>
              </w:rPr>
            </w:pPr>
            <w:r w:rsidRPr="00B6361C">
              <w:rPr>
                <w:rFonts w:ascii="Arial" w:hAnsi="Arial" w:cs="Arial"/>
              </w:rPr>
              <w:t>implementation</w:t>
            </w:r>
          </w:p>
        </w:tc>
        <w:tc>
          <w:tcPr>
            <w:tcW w:w="1965" w:type="dxa"/>
            <w:vAlign w:val="center"/>
          </w:tcPr>
          <w:p w14:paraId="5A72CF31" w14:textId="77777777" w:rsidR="00B6361C" w:rsidRPr="00B6361C" w:rsidRDefault="00B6361C" w:rsidP="00944B3C">
            <w:pPr>
              <w:pStyle w:val="TableContents"/>
              <w:snapToGrid w:val="0"/>
              <w:jc w:val="center"/>
              <w:rPr>
                <w:rFonts w:ascii="Arial" w:hAnsi="Arial" w:cs="Arial"/>
                <w:sz w:val="20"/>
                <w:szCs w:val="20"/>
              </w:rPr>
            </w:pPr>
            <w:r w:rsidRPr="00B6361C">
              <w:rPr>
                <w:rFonts w:ascii="Arial" w:hAnsi="Arial" w:cs="Arial"/>
                <w:sz w:val="20"/>
                <w:szCs w:val="20"/>
              </w:rPr>
              <w:t>3.83</w:t>
            </w:r>
          </w:p>
        </w:tc>
        <w:tc>
          <w:tcPr>
            <w:tcW w:w="1957" w:type="dxa"/>
          </w:tcPr>
          <w:p w14:paraId="01835E20" w14:textId="77777777" w:rsidR="00B6361C" w:rsidRPr="00B6361C" w:rsidRDefault="00B6361C" w:rsidP="00944B3C">
            <w:pPr>
              <w:pStyle w:val="NoSpacing"/>
              <w:jc w:val="center"/>
              <w:rPr>
                <w:rFonts w:ascii="Arial" w:hAnsi="Arial" w:cs="Arial"/>
                <w:sz w:val="20"/>
                <w:szCs w:val="20"/>
              </w:rPr>
            </w:pPr>
            <w:r w:rsidRPr="00B6361C">
              <w:rPr>
                <w:rFonts w:ascii="Arial" w:hAnsi="Arial" w:cs="Arial"/>
                <w:sz w:val="20"/>
                <w:szCs w:val="20"/>
              </w:rPr>
              <w:t>High</w:t>
            </w:r>
          </w:p>
        </w:tc>
      </w:tr>
      <w:tr w:rsidR="00B6361C" w14:paraId="29F91AE5" w14:textId="77777777" w:rsidTr="00944B3C">
        <w:trPr>
          <w:trHeight w:val="74"/>
          <w:jc w:val="center"/>
        </w:trPr>
        <w:tc>
          <w:tcPr>
            <w:tcW w:w="498" w:type="dxa"/>
          </w:tcPr>
          <w:p w14:paraId="57B9A927" w14:textId="77777777" w:rsidR="00B6361C" w:rsidRPr="00B6361C" w:rsidRDefault="00B6361C" w:rsidP="00944B3C">
            <w:pPr>
              <w:pStyle w:val="NoSpacing"/>
              <w:jc w:val="both"/>
              <w:rPr>
                <w:rFonts w:ascii="Arial" w:hAnsi="Arial" w:cs="Arial"/>
                <w:sz w:val="20"/>
                <w:szCs w:val="20"/>
              </w:rPr>
            </w:pPr>
            <w:r w:rsidRPr="00B6361C">
              <w:rPr>
                <w:rFonts w:ascii="Arial" w:hAnsi="Arial" w:cs="Arial"/>
                <w:sz w:val="20"/>
                <w:szCs w:val="20"/>
              </w:rPr>
              <w:t>4</w:t>
            </w:r>
          </w:p>
        </w:tc>
        <w:tc>
          <w:tcPr>
            <w:tcW w:w="4089" w:type="dxa"/>
            <w:vAlign w:val="center"/>
          </w:tcPr>
          <w:p w14:paraId="089B1CAB" w14:textId="77777777" w:rsidR="00B6361C" w:rsidRPr="00B6361C" w:rsidRDefault="00B6361C" w:rsidP="00944B3C">
            <w:pPr>
              <w:jc w:val="both"/>
              <w:rPr>
                <w:rFonts w:ascii="Arial" w:hAnsi="Arial" w:cs="Arial"/>
              </w:rPr>
            </w:pPr>
            <w:r w:rsidRPr="00B6361C">
              <w:rPr>
                <w:rFonts w:ascii="Arial" w:hAnsi="Arial" w:cs="Arial"/>
                <w:bCs/>
              </w:rPr>
              <w:t>evaluation</w:t>
            </w:r>
          </w:p>
        </w:tc>
        <w:tc>
          <w:tcPr>
            <w:tcW w:w="1965" w:type="dxa"/>
            <w:vAlign w:val="center"/>
          </w:tcPr>
          <w:p w14:paraId="41A77FAC" w14:textId="77777777" w:rsidR="00B6361C" w:rsidRPr="00B6361C" w:rsidRDefault="00B6361C" w:rsidP="00944B3C">
            <w:pPr>
              <w:pStyle w:val="NoSpacing"/>
              <w:jc w:val="center"/>
              <w:rPr>
                <w:rFonts w:ascii="Arial" w:hAnsi="Arial" w:cs="Arial"/>
                <w:sz w:val="20"/>
                <w:szCs w:val="20"/>
              </w:rPr>
            </w:pPr>
            <w:r w:rsidRPr="00B6361C">
              <w:rPr>
                <w:rFonts w:ascii="Arial" w:hAnsi="Arial" w:cs="Arial"/>
                <w:sz w:val="20"/>
                <w:szCs w:val="20"/>
              </w:rPr>
              <w:t xml:space="preserve">3.80 </w:t>
            </w:r>
          </w:p>
        </w:tc>
        <w:tc>
          <w:tcPr>
            <w:tcW w:w="1957" w:type="dxa"/>
          </w:tcPr>
          <w:p w14:paraId="51D9C220" w14:textId="77777777" w:rsidR="00B6361C" w:rsidRPr="00B6361C" w:rsidRDefault="00B6361C" w:rsidP="00944B3C">
            <w:pPr>
              <w:pStyle w:val="NoSpacing"/>
              <w:jc w:val="center"/>
              <w:rPr>
                <w:rFonts w:ascii="Arial" w:hAnsi="Arial" w:cs="Arial"/>
                <w:sz w:val="20"/>
                <w:szCs w:val="20"/>
              </w:rPr>
            </w:pPr>
            <w:r w:rsidRPr="00B6361C">
              <w:rPr>
                <w:rFonts w:ascii="Arial" w:hAnsi="Arial" w:cs="Arial"/>
                <w:sz w:val="20"/>
                <w:szCs w:val="20"/>
              </w:rPr>
              <w:t>High</w:t>
            </w:r>
          </w:p>
        </w:tc>
      </w:tr>
      <w:tr w:rsidR="00B6361C" w14:paraId="5E6C8E57" w14:textId="77777777" w:rsidTr="00944B3C">
        <w:trPr>
          <w:jc w:val="center"/>
        </w:trPr>
        <w:tc>
          <w:tcPr>
            <w:tcW w:w="4587" w:type="dxa"/>
            <w:gridSpan w:val="2"/>
            <w:tcBorders>
              <w:bottom w:val="single" w:sz="4" w:space="0" w:color="auto"/>
            </w:tcBorders>
          </w:tcPr>
          <w:p w14:paraId="548991CA" w14:textId="77777777" w:rsidR="00B6361C" w:rsidRPr="00B6361C" w:rsidRDefault="00B6361C" w:rsidP="00944B3C">
            <w:pPr>
              <w:pStyle w:val="NoSpacing"/>
              <w:jc w:val="center"/>
              <w:rPr>
                <w:rFonts w:ascii="Arial" w:hAnsi="Arial" w:cs="Arial"/>
                <w:b/>
                <w:sz w:val="20"/>
                <w:szCs w:val="20"/>
              </w:rPr>
            </w:pPr>
            <w:r w:rsidRPr="00B6361C">
              <w:rPr>
                <w:rFonts w:ascii="Arial" w:hAnsi="Arial" w:cs="Arial"/>
                <w:b/>
                <w:sz w:val="20"/>
                <w:szCs w:val="20"/>
              </w:rPr>
              <w:t>Overall</w:t>
            </w:r>
          </w:p>
        </w:tc>
        <w:tc>
          <w:tcPr>
            <w:tcW w:w="1965" w:type="dxa"/>
            <w:tcBorders>
              <w:bottom w:val="single" w:sz="4" w:space="0" w:color="auto"/>
            </w:tcBorders>
          </w:tcPr>
          <w:p w14:paraId="3CAAE0FA" w14:textId="77777777" w:rsidR="00B6361C" w:rsidRPr="00B6361C" w:rsidRDefault="00B6361C" w:rsidP="00944B3C">
            <w:pPr>
              <w:pStyle w:val="NoSpacing"/>
              <w:jc w:val="center"/>
              <w:rPr>
                <w:rFonts w:ascii="Arial" w:hAnsi="Arial" w:cs="Arial"/>
                <w:b/>
                <w:sz w:val="20"/>
                <w:szCs w:val="20"/>
              </w:rPr>
            </w:pPr>
            <w:r w:rsidRPr="00B6361C">
              <w:rPr>
                <w:rFonts w:ascii="Arial" w:hAnsi="Arial" w:cs="Arial"/>
                <w:b/>
                <w:sz w:val="20"/>
                <w:szCs w:val="20"/>
              </w:rPr>
              <w:t>3.55</w:t>
            </w:r>
          </w:p>
        </w:tc>
        <w:tc>
          <w:tcPr>
            <w:tcW w:w="1957" w:type="dxa"/>
            <w:tcBorders>
              <w:bottom w:val="single" w:sz="4" w:space="0" w:color="auto"/>
            </w:tcBorders>
            <w:vAlign w:val="center"/>
          </w:tcPr>
          <w:p w14:paraId="0285B48F" w14:textId="77777777" w:rsidR="00B6361C" w:rsidRPr="00B6361C" w:rsidRDefault="00B6361C" w:rsidP="00944B3C">
            <w:pPr>
              <w:pStyle w:val="TableContents"/>
              <w:snapToGrid w:val="0"/>
              <w:jc w:val="center"/>
              <w:rPr>
                <w:rFonts w:ascii="Arial" w:hAnsi="Arial" w:cs="Arial"/>
                <w:b/>
                <w:sz w:val="20"/>
                <w:szCs w:val="20"/>
              </w:rPr>
            </w:pPr>
            <w:r w:rsidRPr="00B6361C">
              <w:rPr>
                <w:rFonts w:ascii="Arial" w:hAnsi="Arial" w:cs="Arial"/>
                <w:b/>
                <w:sz w:val="20"/>
                <w:szCs w:val="20"/>
              </w:rPr>
              <w:t>High</w:t>
            </w:r>
          </w:p>
        </w:tc>
      </w:tr>
    </w:tbl>
    <w:p w14:paraId="33FE1028" w14:textId="77777777" w:rsidR="00B6361C" w:rsidRDefault="00B6361C" w:rsidP="003248E3">
      <w:pPr>
        <w:jc w:val="both"/>
        <w:rPr>
          <w:rFonts w:ascii="Arial" w:hAnsi="Arial" w:cs="Arial"/>
        </w:rPr>
      </w:pPr>
    </w:p>
    <w:p w14:paraId="246355D6" w14:textId="77777777" w:rsidR="008F0E58" w:rsidRPr="008F0E58" w:rsidRDefault="008F0E58" w:rsidP="008F0E58">
      <w:pPr>
        <w:jc w:val="both"/>
        <w:rPr>
          <w:rFonts w:ascii="Arial" w:hAnsi="Arial" w:cs="Arial"/>
        </w:rPr>
      </w:pPr>
      <w:r w:rsidRPr="008F0E58">
        <w:rPr>
          <w:rFonts w:ascii="Arial" w:hAnsi="Arial" w:cs="Arial"/>
        </w:rPr>
        <w:t xml:space="preserve">Presented in Table 1 is the level of workplace environment practices of teachers in public elementary schools, including communication, planning, implementation, and evaluation, based on the computed mean scores. The implementation indicator received the highest mean </w:t>
      </w:r>
      <w:r w:rsidRPr="008F0E58">
        <w:rPr>
          <w:rFonts w:ascii="Arial" w:hAnsi="Arial" w:cs="Arial"/>
        </w:rPr>
        <w:lastRenderedPageBreak/>
        <w:t>of 3.83, categorized as high, followed closely by evaluation with a mean of 3.80 and communication with a mean of 3.57, both also rated as high. Meanwhile, the planning indicator had a mean of 2.98, described as moderate. The overall mean of 3.55 indicates a high level of workplace environment practices among teachers.</w:t>
      </w:r>
    </w:p>
    <w:p w14:paraId="11E0A83E" w14:textId="77777777" w:rsidR="008F0E58" w:rsidRPr="008F0E58" w:rsidRDefault="008F0E58" w:rsidP="008F0E58">
      <w:pPr>
        <w:jc w:val="both"/>
        <w:rPr>
          <w:rFonts w:ascii="Arial" w:hAnsi="Arial" w:cs="Arial"/>
        </w:rPr>
      </w:pPr>
    </w:p>
    <w:p w14:paraId="72A32085" w14:textId="77777777" w:rsidR="008F0E58" w:rsidRPr="008F0E58" w:rsidRDefault="008F0E58" w:rsidP="008F0E58">
      <w:pPr>
        <w:jc w:val="both"/>
        <w:rPr>
          <w:rFonts w:ascii="Arial" w:hAnsi="Arial" w:cs="Arial"/>
        </w:rPr>
      </w:pPr>
      <w:r w:rsidRPr="008F0E58">
        <w:rPr>
          <w:rFonts w:ascii="Arial" w:hAnsi="Arial" w:cs="Arial"/>
        </w:rPr>
        <w:t>This finding suggests that public elementary school teachers frequently demonstrate strong workplace environment practices, particularly in how they implement strategies, evaluate outcomes, and maintain effective communication. These dimensions are essential in promoting a positive, organized, and professional atmosphere that supports both teaching performance and student learning.</w:t>
      </w:r>
    </w:p>
    <w:p w14:paraId="772391E3" w14:textId="77777777" w:rsidR="008F0E58" w:rsidRPr="008F0E58" w:rsidRDefault="008F0E58" w:rsidP="008F0E58">
      <w:pPr>
        <w:jc w:val="both"/>
        <w:rPr>
          <w:rFonts w:ascii="Arial" w:hAnsi="Arial" w:cs="Arial"/>
        </w:rPr>
      </w:pPr>
    </w:p>
    <w:p w14:paraId="4FB7D177" w14:textId="3B931D96" w:rsidR="005D71AE" w:rsidRDefault="008F0E58" w:rsidP="008F0E58">
      <w:pPr>
        <w:jc w:val="both"/>
        <w:rPr>
          <w:rFonts w:ascii="Arial" w:hAnsi="Arial" w:cs="Arial"/>
        </w:rPr>
      </w:pPr>
      <w:r w:rsidRPr="008F0E58">
        <w:rPr>
          <w:rFonts w:ascii="Arial" w:hAnsi="Arial" w:cs="Arial"/>
        </w:rPr>
        <w:t xml:space="preserve">This result is supported by the findings of </w:t>
      </w:r>
      <w:proofErr w:type="spellStart"/>
      <w:r w:rsidR="00A919E7" w:rsidRPr="00A919E7">
        <w:rPr>
          <w:rFonts w:ascii="Arial" w:hAnsi="Arial" w:cs="Arial"/>
        </w:rPr>
        <w:t>Monyatsi</w:t>
      </w:r>
      <w:proofErr w:type="spellEnd"/>
      <w:r w:rsidRPr="008F0E58">
        <w:rPr>
          <w:rFonts w:ascii="Arial" w:hAnsi="Arial" w:cs="Arial"/>
        </w:rPr>
        <w:t xml:space="preserve"> (20</w:t>
      </w:r>
      <w:r w:rsidR="00A919E7">
        <w:rPr>
          <w:rFonts w:ascii="Arial" w:hAnsi="Arial" w:cs="Arial"/>
        </w:rPr>
        <w:t>23</w:t>
      </w:r>
      <w:r w:rsidRPr="008F0E58">
        <w:rPr>
          <w:rFonts w:ascii="Arial" w:hAnsi="Arial" w:cs="Arial"/>
        </w:rPr>
        <w:t xml:space="preserve">), who asserted that a well-structured work environment characterized by proactive implementation and reflective evaluation contributes significantly to productivity and staff morale. Similarly, </w:t>
      </w:r>
      <w:proofErr w:type="spellStart"/>
      <w:r w:rsidR="00A919E7" w:rsidRPr="00A919E7">
        <w:rPr>
          <w:rFonts w:ascii="Arial" w:hAnsi="Arial" w:cs="Arial"/>
        </w:rPr>
        <w:t>Rajoo</w:t>
      </w:r>
      <w:proofErr w:type="spellEnd"/>
      <w:r w:rsidRPr="008F0E58">
        <w:rPr>
          <w:rFonts w:ascii="Arial" w:hAnsi="Arial" w:cs="Arial"/>
        </w:rPr>
        <w:t xml:space="preserve"> (20</w:t>
      </w:r>
      <w:r w:rsidR="00A919E7">
        <w:rPr>
          <w:rFonts w:ascii="Arial" w:hAnsi="Arial" w:cs="Arial"/>
        </w:rPr>
        <w:t>20</w:t>
      </w:r>
      <w:r w:rsidRPr="008F0E58">
        <w:rPr>
          <w:rFonts w:ascii="Arial" w:hAnsi="Arial" w:cs="Arial"/>
        </w:rPr>
        <w:t xml:space="preserve">) emphasized that when communication flows clearly and effectively, and when educators are empowered to implement strategies with confidence, it fosters a positive and resilient workplace culture. On the other hand, the high level of workplace environment practices aligns with the findings of </w:t>
      </w:r>
      <w:r w:rsidR="00466DA6">
        <w:rPr>
          <w:rFonts w:ascii="Arial" w:hAnsi="Arial" w:cs="Arial"/>
        </w:rPr>
        <w:t>Diya</w:t>
      </w:r>
      <w:r w:rsidRPr="008F0E58">
        <w:rPr>
          <w:rFonts w:ascii="Arial" w:hAnsi="Arial" w:cs="Arial"/>
        </w:rPr>
        <w:t xml:space="preserve"> (20</w:t>
      </w:r>
      <w:r w:rsidR="00466DA6">
        <w:rPr>
          <w:rFonts w:ascii="Arial" w:hAnsi="Arial" w:cs="Arial"/>
        </w:rPr>
        <w:t>23</w:t>
      </w:r>
      <w:r w:rsidRPr="008F0E58">
        <w:rPr>
          <w:rFonts w:ascii="Arial" w:hAnsi="Arial" w:cs="Arial"/>
        </w:rPr>
        <w:t>), who emphasized that a well-maintained and supportive work environment contributes to increased professional satisfaction and organizational efficiency. When educators consistently engage in effective communication, implementation, and evaluation, it promotes a culture of collaboration, trust, and shared responsibility—key elements in sustaining a productive educational setting.</w:t>
      </w:r>
    </w:p>
    <w:p w14:paraId="366810DC" w14:textId="77777777" w:rsidR="008F0E58" w:rsidRDefault="008F0E58" w:rsidP="008F0E58">
      <w:pPr>
        <w:jc w:val="both"/>
        <w:rPr>
          <w:rFonts w:ascii="Arial" w:hAnsi="Arial" w:cs="Arial"/>
        </w:rPr>
      </w:pPr>
    </w:p>
    <w:p w14:paraId="4D340C85" w14:textId="77777777" w:rsidR="005D71AE" w:rsidRDefault="005D71AE" w:rsidP="005D71AE">
      <w:pPr>
        <w:jc w:val="both"/>
        <w:rPr>
          <w:rFonts w:ascii="Arial" w:hAnsi="Arial" w:cs="Arial"/>
        </w:rPr>
      </w:pPr>
    </w:p>
    <w:p w14:paraId="73523F39" w14:textId="111605FE" w:rsidR="00717F2E" w:rsidRDefault="00270F3F" w:rsidP="005D71AE">
      <w:pPr>
        <w:jc w:val="both"/>
        <w:rPr>
          <w:rFonts w:ascii="Arial" w:hAnsi="Arial" w:cs="Arial"/>
          <w:b/>
        </w:rPr>
      </w:pPr>
      <w:r>
        <w:rPr>
          <w:rFonts w:ascii="Arial" w:hAnsi="Arial" w:cs="Arial"/>
          <w:b/>
        </w:rPr>
        <w:t xml:space="preserve">3.2 </w:t>
      </w:r>
      <w:r w:rsidR="00B6361C" w:rsidRPr="00B6361C">
        <w:rPr>
          <w:rFonts w:ascii="Arial" w:hAnsi="Arial" w:cs="Arial"/>
          <w:b/>
        </w:rPr>
        <w:t>Career Resilience of Teachers</w:t>
      </w:r>
    </w:p>
    <w:p w14:paraId="55F82C25" w14:textId="77777777" w:rsidR="0073677C" w:rsidRDefault="0073677C" w:rsidP="00781D5E">
      <w:pPr>
        <w:jc w:val="both"/>
        <w:rPr>
          <w:rFonts w:ascii="Arial" w:hAnsi="Arial" w:cs="Arial"/>
        </w:rPr>
      </w:pPr>
    </w:p>
    <w:p w14:paraId="58FA531C" w14:textId="49B506A2" w:rsidR="00781D5E" w:rsidRDefault="00270F3F" w:rsidP="0073677C">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555852" w:rsidRPr="00555852">
        <w:rPr>
          <w:rFonts w:ascii="Arial" w:hAnsi="Arial" w:cs="Arial"/>
          <w:i/>
        </w:rPr>
        <w:t xml:space="preserve">Level of </w:t>
      </w:r>
      <w:r w:rsidR="00B6361C" w:rsidRPr="00B6361C">
        <w:rPr>
          <w:rFonts w:ascii="Arial" w:hAnsi="Arial" w:cs="Arial"/>
          <w:i/>
        </w:rPr>
        <w:t>Career Resilience of Teachers</w:t>
      </w:r>
    </w:p>
    <w:p w14:paraId="6A41A5E6" w14:textId="77777777" w:rsidR="00B6361C" w:rsidRDefault="00B6361C" w:rsidP="0073677C">
      <w:pPr>
        <w:jc w:val="both"/>
        <w:rPr>
          <w:rFonts w:ascii="Arial" w:hAnsi="Arial" w:cs="Arial"/>
        </w:rPr>
      </w:pPr>
    </w:p>
    <w:tbl>
      <w:tblPr>
        <w:tblW w:w="8454" w:type="dxa"/>
        <w:jc w:val="center"/>
        <w:tblLook w:val="04A0" w:firstRow="1" w:lastRow="0" w:firstColumn="1" w:lastColumn="0" w:noHBand="0" w:noVBand="1"/>
      </w:tblPr>
      <w:tblGrid>
        <w:gridCol w:w="523"/>
        <w:gridCol w:w="4938"/>
        <w:gridCol w:w="1490"/>
        <w:gridCol w:w="1503"/>
      </w:tblGrid>
      <w:tr w:rsidR="00B6361C" w14:paraId="0CE4DADD" w14:textId="77777777" w:rsidTr="00944B3C">
        <w:trPr>
          <w:jc w:val="center"/>
        </w:trPr>
        <w:tc>
          <w:tcPr>
            <w:tcW w:w="523" w:type="dxa"/>
            <w:tcBorders>
              <w:top w:val="single" w:sz="4" w:space="0" w:color="auto"/>
              <w:bottom w:val="single" w:sz="4" w:space="0" w:color="auto"/>
            </w:tcBorders>
          </w:tcPr>
          <w:p w14:paraId="1F4B32A3" w14:textId="77777777" w:rsidR="00B6361C" w:rsidRPr="00B6361C" w:rsidRDefault="00B6361C" w:rsidP="00B6361C">
            <w:pPr>
              <w:pStyle w:val="NoSpacing"/>
              <w:jc w:val="center"/>
              <w:rPr>
                <w:rFonts w:ascii="Arial" w:hAnsi="Arial" w:cs="Arial"/>
                <w:b/>
                <w:bCs/>
                <w:sz w:val="20"/>
                <w:szCs w:val="20"/>
              </w:rPr>
            </w:pPr>
          </w:p>
          <w:p w14:paraId="22E25136" w14:textId="77777777" w:rsidR="00B6361C" w:rsidRPr="00B6361C" w:rsidRDefault="00B6361C" w:rsidP="00B6361C">
            <w:pPr>
              <w:pStyle w:val="NoSpacing"/>
              <w:jc w:val="center"/>
              <w:rPr>
                <w:rFonts w:ascii="Arial" w:hAnsi="Arial" w:cs="Arial"/>
                <w:b/>
                <w:bCs/>
                <w:sz w:val="20"/>
                <w:szCs w:val="20"/>
              </w:rPr>
            </w:pPr>
            <w:r w:rsidRPr="00B6361C">
              <w:rPr>
                <w:rFonts w:ascii="Arial" w:hAnsi="Arial" w:cs="Arial"/>
                <w:b/>
                <w:bCs/>
                <w:sz w:val="20"/>
                <w:szCs w:val="20"/>
              </w:rPr>
              <w:t>No</w:t>
            </w:r>
          </w:p>
        </w:tc>
        <w:tc>
          <w:tcPr>
            <w:tcW w:w="4938" w:type="dxa"/>
            <w:tcBorders>
              <w:top w:val="single" w:sz="4" w:space="0" w:color="auto"/>
              <w:bottom w:val="single" w:sz="4" w:space="0" w:color="auto"/>
            </w:tcBorders>
          </w:tcPr>
          <w:p w14:paraId="5F524EB8" w14:textId="77777777" w:rsidR="00B6361C" w:rsidRPr="00B6361C" w:rsidRDefault="00B6361C" w:rsidP="00B6361C">
            <w:pPr>
              <w:pStyle w:val="NoSpacing"/>
              <w:jc w:val="center"/>
              <w:rPr>
                <w:rFonts w:ascii="Arial" w:hAnsi="Arial" w:cs="Arial"/>
                <w:b/>
                <w:bCs/>
                <w:sz w:val="20"/>
                <w:szCs w:val="20"/>
              </w:rPr>
            </w:pPr>
          </w:p>
          <w:p w14:paraId="73A2DB55" w14:textId="77777777" w:rsidR="00B6361C" w:rsidRPr="00B6361C" w:rsidRDefault="00B6361C" w:rsidP="00B6361C">
            <w:pPr>
              <w:pStyle w:val="NoSpacing"/>
              <w:jc w:val="center"/>
              <w:rPr>
                <w:rFonts w:ascii="Arial" w:hAnsi="Arial" w:cs="Arial"/>
                <w:b/>
                <w:bCs/>
                <w:sz w:val="20"/>
                <w:szCs w:val="20"/>
              </w:rPr>
            </w:pPr>
            <w:r w:rsidRPr="00B6361C">
              <w:rPr>
                <w:rFonts w:ascii="Arial" w:hAnsi="Arial" w:cs="Arial"/>
                <w:b/>
                <w:bCs/>
                <w:sz w:val="20"/>
                <w:szCs w:val="20"/>
              </w:rPr>
              <w:t>Indicators</w:t>
            </w:r>
          </w:p>
        </w:tc>
        <w:tc>
          <w:tcPr>
            <w:tcW w:w="1490" w:type="dxa"/>
            <w:tcBorders>
              <w:top w:val="single" w:sz="4" w:space="0" w:color="auto"/>
              <w:bottom w:val="single" w:sz="4" w:space="0" w:color="auto"/>
            </w:tcBorders>
          </w:tcPr>
          <w:p w14:paraId="49C53AB3" w14:textId="7FEDB065" w:rsidR="00B6361C" w:rsidRPr="00B6361C" w:rsidRDefault="00B6361C" w:rsidP="00B6361C">
            <w:pPr>
              <w:pStyle w:val="NoSpacing"/>
              <w:jc w:val="center"/>
              <w:rPr>
                <w:rFonts w:ascii="Arial" w:hAnsi="Arial" w:cs="Arial"/>
                <w:b/>
                <w:bCs/>
                <w:sz w:val="20"/>
                <w:szCs w:val="20"/>
              </w:rPr>
            </w:pPr>
            <w:r w:rsidRPr="00B6361C">
              <w:rPr>
                <w:rFonts w:ascii="Arial" w:hAnsi="Arial" w:cs="Arial"/>
                <w:b/>
                <w:bCs/>
                <w:sz w:val="20"/>
                <w:szCs w:val="20"/>
              </w:rPr>
              <w:t>Mean</w:t>
            </w:r>
          </w:p>
          <w:p w14:paraId="2E69B161" w14:textId="77777777" w:rsidR="00B6361C" w:rsidRPr="00B6361C" w:rsidRDefault="00B6361C" w:rsidP="00B6361C">
            <w:pPr>
              <w:pStyle w:val="NoSpacing"/>
              <w:jc w:val="center"/>
              <w:rPr>
                <w:rFonts w:ascii="Arial" w:hAnsi="Arial" w:cs="Arial"/>
                <w:b/>
                <w:bCs/>
                <w:sz w:val="20"/>
                <w:szCs w:val="20"/>
              </w:rPr>
            </w:pPr>
            <w:r w:rsidRPr="00B6361C">
              <w:rPr>
                <w:rFonts w:ascii="Arial" w:hAnsi="Arial" w:cs="Arial"/>
                <w:b/>
                <w:bCs/>
                <w:sz w:val="20"/>
                <w:szCs w:val="20"/>
              </w:rPr>
              <w:t>(x)</w:t>
            </w:r>
          </w:p>
        </w:tc>
        <w:tc>
          <w:tcPr>
            <w:tcW w:w="1503" w:type="dxa"/>
            <w:tcBorders>
              <w:top w:val="single" w:sz="4" w:space="0" w:color="auto"/>
              <w:bottom w:val="single" w:sz="4" w:space="0" w:color="auto"/>
            </w:tcBorders>
          </w:tcPr>
          <w:p w14:paraId="27C6B39A" w14:textId="77777777" w:rsidR="00B6361C" w:rsidRPr="00B6361C" w:rsidRDefault="00B6361C" w:rsidP="00B6361C">
            <w:pPr>
              <w:pStyle w:val="NoSpacing"/>
              <w:jc w:val="center"/>
              <w:rPr>
                <w:rFonts w:ascii="Arial" w:hAnsi="Arial" w:cs="Arial"/>
                <w:b/>
                <w:bCs/>
                <w:sz w:val="20"/>
                <w:szCs w:val="20"/>
              </w:rPr>
            </w:pPr>
            <w:r w:rsidRPr="00B6361C">
              <w:rPr>
                <w:rFonts w:ascii="Arial" w:hAnsi="Arial" w:cs="Arial"/>
                <w:b/>
                <w:bCs/>
                <w:sz w:val="20"/>
                <w:szCs w:val="20"/>
              </w:rPr>
              <w:t>Descriptive Level</w:t>
            </w:r>
          </w:p>
        </w:tc>
      </w:tr>
      <w:tr w:rsidR="00B6361C" w14:paraId="007DD877" w14:textId="77777777" w:rsidTr="00944B3C">
        <w:trPr>
          <w:jc w:val="center"/>
        </w:trPr>
        <w:tc>
          <w:tcPr>
            <w:tcW w:w="523" w:type="dxa"/>
            <w:tcBorders>
              <w:top w:val="single" w:sz="4" w:space="0" w:color="auto"/>
            </w:tcBorders>
          </w:tcPr>
          <w:p w14:paraId="42AD0170" w14:textId="77777777" w:rsidR="00B6361C" w:rsidRPr="00B6361C" w:rsidRDefault="00B6361C" w:rsidP="00944B3C">
            <w:pPr>
              <w:pStyle w:val="NoSpacing"/>
              <w:jc w:val="both"/>
              <w:rPr>
                <w:rFonts w:ascii="Arial" w:hAnsi="Arial" w:cs="Arial"/>
                <w:sz w:val="20"/>
                <w:szCs w:val="20"/>
              </w:rPr>
            </w:pPr>
            <w:r w:rsidRPr="00B6361C">
              <w:rPr>
                <w:rFonts w:ascii="Arial" w:hAnsi="Arial" w:cs="Arial"/>
                <w:sz w:val="20"/>
                <w:szCs w:val="20"/>
              </w:rPr>
              <w:t>1</w:t>
            </w:r>
          </w:p>
        </w:tc>
        <w:tc>
          <w:tcPr>
            <w:tcW w:w="4938" w:type="dxa"/>
            <w:tcBorders>
              <w:top w:val="single" w:sz="4" w:space="0" w:color="auto"/>
            </w:tcBorders>
          </w:tcPr>
          <w:p w14:paraId="021D0586" w14:textId="77777777" w:rsidR="00B6361C" w:rsidRPr="00B6361C" w:rsidRDefault="00B6361C" w:rsidP="00944B3C">
            <w:pPr>
              <w:tabs>
                <w:tab w:val="left" w:pos="720"/>
              </w:tabs>
              <w:jc w:val="both"/>
              <w:rPr>
                <w:rFonts w:ascii="Arial" w:hAnsi="Arial" w:cs="Arial"/>
                <w:bCs/>
              </w:rPr>
            </w:pPr>
            <w:r w:rsidRPr="00B6361C">
              <w:rPr>
                <w:rFonts w:ascii="Arial" w:hAnsi="Arial" w:cs="Arial"/>
                <w:bCs/>
              </w:rPr>
              <w:t xml:space="preserve">confidence </w:t>
            </w:r>
          </w:p>
        </w:tc>
        <w:tc>
          <w:tcPr>
            <w:tcW w:w="1490" w:type="dxa"/>
            <w:tcBorders>
              <w:top w:val="single" w:sz="4" w:space="0" w:color="auto"/>
            </w:tcBorders>
            <w:vAlign w:val="center"/>
          </w:tcPr>
          <w:p w14:paraId="2E69A55F" w14:textId="77777777" w:rsidR="00B6361C" w:rsidRPr="00B6361C" w:rsidRDefault="00B6361C" w:rsidP="00944B3C">
            <w:pPr>
              <w:pStyle w:val="TableContents"/>
              <w:snapToGrid w:val="0"/>
              <w:jc w:val="center"/>
              <w:rPr>
                <w:rFonts w:ascii="Arial" w:hAnsi="Arial" w:cs="Arial"/>
                <w:sz w:val="20"/>
                <w:szCs w:val="20"/>
              </w:rPr>
            </w:pPr>
            <w:r w:rsidRPr="00B6361C">
              <w:rPr>
                <w:rFonts w:ascii="Arial" w:hAnsi="Arial" w:cs="Arial"/>
                <w:sz w:val="20"/>
                <w:szCs w:val="20"/>
              </w:rPr>
              <w:t>3.40</w:t>
            </w:r>
          </w:p>
        </w:tc>
        <w:tc>
          <w:tcPr>
            <w:tcW w:w="1503" w:type="dxa"/>
            <w:tcBorders>
              <w:top w:val="single" w:sz="4" w:space="0" w:color="auto"/>
            </w:tcBorders>
            <w:vAlign w:val="center"/>
          </w:tcPr>
          <w:p w14:paraId="25F9F021" w14:textId="1564D0A5" w:rsidR="00B6361C" w:rsidRPr="00B6361C" w:rsidRDefault="00B6361C" w:rsidP="00944B3C">
            <w:pPr>
              <w:pStyle w:val="TableContents"/>
              <w:snapToGrid w:val="0"/>
              <w:jc w:val="center"/>
              <w:rPr>
                <w:rFonts w:ascii="Arial" w:hAnsi="Arial" w:cs="Arial"/>
                <w:sz w:val="20"/>
                <w:szCs w:val="20"/>
              </w:rPr>
            </w:pPr>
            <w:r>
              <w:rPr>
                <w:rFonts w:ascii="Arial" w:hAnsi="Arial" w:cs="Arial"/>
                <w:sz w:val="20"/>
                <w:szCs w:val="20"/>
              </w:rPr>
              <w:t>High</w:t>
            </w:r>
          </w:p>
        </w:tc>
      </w:tr>
      <w:tr w:rsidR="00B6361C" w14:paraId="1D1F695B" w14:textId="77777777" w:rsidTr="00944B3C">
        <w:trPr>
          <w:jc w:val="center"/>
        </w:trPr>
        <w:tc>
          <w:tcPr>
            <w:tcW w:w="523" w:type="dxa"/>
          </w:tcPr>
          <w:p w14:paraId="76E602BA" w14:textId="77777777" w:rsidR="00B6361C" w:rsidRPr="00B6361C" w:rsidRDefault="00B6361C" w:rsidP="00944B3C">
            <w:pPr>
              <w:pStyle w:val="NoSpacing"/>
              <w:jc w:val="both"/>
              <w:rPr>
                <w:rFonts w:ascii="Arial" w:hAnsi="Arial" w:cs="Arial"/>
                <w:sz w:val="20"/>
                <w:szCs w:val="20"/>
              </w:rPr>
            </w:pPr>
            <w:r w:rsidRPr="00B6361C">
              <w:rPr>
                <w:rFonts w:ascii="Arial" w:hAnsi="Arial" w:cs="Arial"/>
                <w:sz w:val="20"/>
                <w:szCs w:val="20"/>
              </w:rPr>
              <w:t>2</w:t>
            </w:r>
          </w:p>
        </w:tc>
        <w:tc>
          <w:tcPr>
            <w:tcW w:w="4938" w:type="dxa"/>
          </w:tcPr>
          <w:p w14:paraId="71038DEF" w14:textId="77777777" w:rsidR="00B6361C" w:rsidRPr="00B6361C" w:rsidRDefault="00B6361C" w:rsidP="00944B3C">
            <w:pPr>
              <w:tabs>
                <w:tab w:val="left" w:pos="720"/>
              </w:tabs>
              <w:jc w:val="both"/>
              <w:rPr>
                <w:rFonts w:ascii="Arial" w:hAnsi="Arial" w:cs="Arial"/>
                <w:bCs/>
              </w:rPr>
            </w:pPr>
            <w:r w:rsidRPr="00B6361C">
              <w:rPr>
                <w:rFonts w:ascii="Arial" w:hAnsi="Arial" w:cs="Arial"/>
                <w:bCs/>
              </w:rPr>
              <w:t xml:space="preserve">positive outlook </w:t>
            </w:r>
          </w:p>
        </w:tc>
        <w:tc>
          <w:tcPr>
            <w:tcW w:w="1490" w:type="dxa"/>
            <w:vAlign w:val="center"/>
          </w:tcPr>
          <w:p w14:paraId="3068F2A6" w14:textId="77777777" w:rsidR="00B6361C" w:rsidRPr="00B6361C" w:rsidRDefault="00B6361C" w:rsidP="00944B3C">
            <w:pPr>
              <w:pStyle w:val="TableContents"/>
              <w:snapToGrid w:val="0"/>
              <w:jc w:val="center"/>
              <w:rPr>
                <w:rFonts w:ascii="Arial" w:hAnsi="Arial" w:cs="Arial"/>
                <w:sz w:val="20"/>
                <w:szCs w:val="20"/>
              </w:rPr>
            </w:pPr>
            <w:r w:rsidRPr="00B6361C">
              <w:rPr>
                <w:rFonts w:ascii="Arial" w:hAnsi="Arial" w:cs="Arial"/>
                <w:sz w:val="20"/>
                <w:szCs w:val="20"/>
              </w:rPr>
              <w:t>2.90</w:t>
            </w:r>
          </w:p>
        </w:tc>
        <w:tc>
          <w:tcPr>
            <w:tcW w:w="1503" w:type="dxa"/>
            <w:vAlign w:val="center"/>
          </w:tcPr>
          <w:p w14:paraId="4531A8A4" w14:textId="77777777" w:rsidR="00B6361C" w:rsidRPr="00B6361C" w:rsidRDefault="00B6361C" w:rsidP="00944B3C">
            <w:pPr>
              <w:pStyle w:val="TableContents"/>
              <w:snapToGrid w:val="0"/>
              <w:jc w:val="center"/>
              <w:rPr>
                <w:rFonts w:ascii="Arial" w:hAnsi="Arial" w:cs="Arial"/>
                <w:sz w:val="20"/>
                <w:szCs w:val="20"/>
              </w:rPr>
            </w:pPr>
            <w:r w:rsidRPr="00B6361C">
              <w:rPr>
                <w:rFonts w:ascii="Arial" w:hAnsi="Arial" w:cs="Arial"/>
                <w:sz w:val="20"/>
                <w:szCs w:val="20"/>
              </w:rPr>
              <w:t>Moderate</w:t>
            </w:r>
          </w:p>
        </w:tc>
      </w:tr>
      <w:tr w:rsidR="00B6361C" w14:paraId="5F202920" w14:textId="77777777" w:rsidTr="00944B3C">
        <w:trPr>
          <w:jc w:val="center"/>
        </w:trPr>
        <w:tc>
          <w:tcPr>
            <w:tcW w:w="523" w:type="dxa"/>
          </w:tcPr>
          <w:p w14:paraId="5919905D" w14:textId="77777777" w:rsidR="00B6361C" w:rsidRPr="00B6361C" w:rsidRDefault="00B6361C" w:rsidP="00944B3C">
            <w:pPr>
              <w:pStyle w:val="NoSpacing"/>
              <w:jc w:val="both"/>
              <w:rPr>
                <w:rFonts w:ascii="Arial" w:hAnsi="Arial" w:cs="Arial"/>
                <w:sz w:val="20"/>
                <w:szCs w:val="20"/>
              </w:rPr>
            </w:pPr>
            <w:r w:rsidRPr="00B6361C">
              <w:rPr>
                <w:rFonts w:ascii="Arial" w:hAnsi="Arial" w:cs="Arial"/>
                <w:sz w:val="20"/>
                <w:szCs w:val="20"/>
              </w:rPr>
              <w:t>3</w:t>
            </w:r>
          </w:p>
        </w:tc>
        <w:tc>
          <w:tcPr>
            <w:tcW w:w="4938" w:type="dxa"/>
          </w:tcPr>
          <w:p w14:paraId="44C4247D" w14:textId="77777777" w:rsidR="00B6361C" w:rsidRPr="00B6361C" w:rsidRDefault="00B6361C" w:rsidP="00944B3C">
            <w:pPr>
              <w:tabs>
                <w:tab w:val="left" w:pos="720"/>
              </w:tabs>
              <w:jc w:val="both"/>
              <w:rPr>
                <w:rFonts w:ascii="Arial" w:hAnsi="Arial" w:cs="Arial"/>
                <w:bCs/>
              </w:rPr>
            </w:pPr>
            <w:r w:rsidRPr="00B6361C">
              <w:rPr>
                <w:rFonts w:ascii="Arial" w:hAnsi="Arial" w:cs="Arial"/>
                <w:bCs/>
              </w:rPr>
              <w:t>positive emotions</w:t>
            </w:r>
          </w:p>
        </w:tc>
        <w:tc>
          <w:tcPr>
            <w:tcW w:w="1490" w:type="dxa"/>
            <w:vAlign w:val="center"/>
          </w:tcPr>
          <w:p w14:paraId="33B8AE0C" w14:textId="77777777" w:rsidR="00B6361C" w:rsidRPr="00B6361C" w:rsidRDefault="00B6361C" w:rsidP="00944B3C">
            <w:pPr>
              <w:pStyle w:val="TableContents"/>
              <w:snapToGrid w:val="0"/>
              <w:jc w:val="center"/>
              <w:rPr>
                <w:rFonts w:ascii="Arial" w:hAnsi="Arial" w:cs="Arial"/>
                <w:sz w:val="20"/>
                <w:szCs w:val="20"/>
              </w:rPr>
            </w:pPr>
            <w:r w:rsidRPr="00B6361C">
              <w:rPr>
                <w:rFonts w:ascii="Arial" w:hAnsi="Arial" w:cs="Arial"/>
                <w:sz w:val="20"/>
                <w:szCs w:val="20"/>
              </w:rPr>
              <w:t>3.22</w:t>
            </w:r>
          </w:p>
        </w:tc>
        <w:tc>
          <w:tcPr>
            <w:tcW w:w="1503" w:type="dxa"/>
            <w:vAlign w:val="center"/>
          </w:tcPr>
          <w:p w14:paraId="4EF9C5A5" w14:textId="77777777" w:rsidR="00B6361C" w:rsidRPr="00B6361C" w:rsidRDefault="00B6361C" w:rsidP="00944B3C">
            <w:pPr>
              <w:pStyle w:val="TableContents"/>
              <w:snapToGrid w:val="0"/>
              <w:jc w:val="center"/>
              <w:rPr>
                <w:rFonts w:ascii="Arial" w:hAnsi="Arial" w:cs="Arial"/>
                <w:sz w:val="20"/>
                <w:szCs w:val="20"/>
              </w:rPr>
            </w:pPr>
            <w:r w:rsidRPr="00B6361C">
              <w:rPr>
                <w:rFonts w:ascii="Arial" w:hAnsi="Arial" w:cs="Arial"/>
                <w:sz w:val="20"/>
                <w:szCs w:val="20"/>
              </w:rPr>
              <w:t>Moderate</w:t>
            </w:r>
          </w:p>
        </w:tc>
      </w:tr>
      <w:tr w:rsidR="00B6361C" w14:paraId="268274A1" w14:textId="77777777" w:rsidTr="00944B3C">
        <w:trPr>
          <w:jc w:val="center"/>
        </w:trPr>
        <w:tc>
          <w:tcPr>
            <w:tcW w:w="523" w:type="dxa"/>
          </w:tcPr>
          <w:p w14:paraId="6FD696D3" w14:textId="77777777" w:rsidR="00B6361C" w:rsidRPr="00B6361C" w:rsidRDefault="00B6361C" w:rsidP="00944B3C">
            <w:pPr>
              <w:pStyle w:val="NoSpacing"/>
              <w:jc w:val="both"/>
              <w:rPr>
                <w:rFonts w:ascii="Arial" w:hAnsi="Arial" w:cs="Arial"/>
                <w:sz w:val="20"/>
                <w:szCs w:val="20"/>
              </w:rPr>
            </w:pPr>
            <w:r w:rsidRPr="00B6361C">
              <w:rPr>
                <w:rFonts w:ascii="Arial" w:hAnsi="Arial" w:cs="Arial"/>
                <w:sz w:val="20"/>
                <w:szCs w:val="20"/>
              </w:rPr>
              <w:t>4</w:t>
            </w:r>
          </w:p>
        </w:tc>
        <w:tc>
          <w:tcPr>
            <w:tcW w:w="4938" w:type="dxa"/>
          </w:tcPr>
          <w:p w14:paraId="16651391" w14:textId="77777777" w:rsidR="00B6361C" w:rsidRPr="00B6361C" w:rsidRDefault="00B6361C" w:rsidP="00944B3C">
            <w:pPr>
              <w:tabs>
                <w:tab w:val="left" w:pos="720"/>
              </w:tabs>
              <w:jc w:val="both"/>
              <w:rPr>
                <w:rFonts w:ascii="Arial" w:hAnsi="Arial" w:cs="Arial"/>
                <w:bCs/>
              </w:rPr>
            </w:pPr>
            <w:r w:rsidRPr="00B6361C">
              <w:rPr>
                <w:rFonts w:ascii="Arial" w:hAnsi="Arial" w:cs="Arial"/>
                <w:bCs/>
              </w:rPr>
              <w:t>emotional intelligence</w:t>
            </w:r>
          </w:p>
        </w:tc>
        <w:tc>
          <w:tcPr>
            <w:tcW w:w="1490" w:type="dxa"/>
            <w:vAlign w:val="center"/>
          </w:tcPr>
          <w:p w14:paraId="3EAC5F58" w14:textId="77777777" w:rsidR="00B6361C" w:rsidRPr="00B6361C" w:rsidRDefault="00B6361C" w:rsidP="00944B3C">
            <w:pPr>
              <w:pStyle w:val="TableContents"/>
              <w:snapToGrid w:val="0"/>
              <w:jc w:val="center"/>
              <w:rPr>
                <w:rFonts w:ascii="Arial" w:hAnsi="Arial" w:cs="Arial"/>
                <w:sz w:val="20"/>
                <w:szCs w:val="20"/>
              </w:rPr>
            </w:pPr>
            <w:r w:rsidRPr="00B6361C">
              <w:rPr>
                <w:rFonts w:ascii="Arial" w:hAnsi="Arial" w:cs="Arial"/>
                <w:sz w:val="20"/>
                <w:szCs w:val="20"/>
              </w:rPr>
              <w:t>3.22</w:t>
            </w:r>
          </w:p>
        </w:tc>
        <w:tc>
          <w:tcPr>
            <w:tcW w:w="1503" w:type="dxa"/>
            <w:vAlign w:val="center"/>
          </w:tcPr>
          <w:p w14:paraId="75D27940" w14:textId="77777777" w:rsidR="00B6361C" w:rsidRPr="00B6361C" w:rsidRDefault="00B6361C" w:rsidP="00944B3C">
            <w:pPr>
              <w:pStyle w:val="TableContents"/>
              <w:snapToGrid w:val="0"/>
              <w:jc w:val="center"/>
              <w:rPr>
                <w:rFonts w:ascii="Arial" w:hAnsi="Arial" w:cs="Arial"/>
                <w:sz w:val="20"/>
                <w:szCs w:val="20"/>
              </w:rPr>
            </w:pPr>
            <w:r w:rsidRPr="00B6361C">
              <w:rPr>
                <w:rFonts w:ascii="Arial" w:hAnsi="Arial" w:cs="Arial"/>
                <w:sz w:val="20"/>
                <w:szCs w:val="20"/>
              </w:rPr>
              <w:t>Moderate</w:t>
            </w:r>
          </w:p>
        </w:tc>
      </w:tr>
      <w:tr w:rsidR="00B6361C" w14:paraId="076C6E44" w14:textId="77777777" w:rsidTr="00944B3C">
        <w:trPr>
          <w:jc w:val="center"/>
        </w:trPr>
        <w:tc>
          <w:tcPr>
            <w:tcW w:w="5461" w:type="dxa"/>
            <w:gridSpan w:val="2"/>
            <w:tcBorders>
              <w:bottom w:val="single" w:sz="4" w:space="0" w:color="auto"/>
            </w:tcBorders>
          </w:tcPr>
          <w:p w14:paraId="75C0F903" w14:textId="77777777" w:rsidR="00B6361C" w:rsidRPr="00B6361C" w:rsidRDefault="00B6361C" w:rsidP="00944B3C">
            <w:pPr>
              <w:pStyle w:val="NoSpacing"/>
              <w:jc w:val="center"/>
              <w:rPr>
                <w:rFonts w:ascii="Arial" w:hAnsi="Arial" w:cs="Arial"/>
                <w:b/>
                <w:sz w:val="20"/>
                <w:szCs w:val="20"/>
              </w:rPr>
            </w:pPr>
            <w:r w:rsidRPr="00B6361C">
              <w:rPr>
                <w:rFonts w:ascii="Arial" w:hAnsi="Arial" w:cs="Arial"/>
                <w:b/>
                <w:sz w:val="20"/>
                <w:szCs w:val="20"/>
              </w:rPr>
              <w:t>Overall</w:t>
            </w:r>
          </w:p>
        </w:tc>
        <w:tc>
          <w:tcPr>
            <w:tcW w:w="1490" w:type="dxa"/>
            <w:tcBorders>
              <w:bottom w:val="single" w:sz="4" w:space="0" w:color="auto"/>
            </w:tcBorders>
          </w:tcPr>
          <w:p w14:paraId="071DCE98" w14:textId="77777777" w:rsidR="00B6361C" w:rsidRPr="00B6361C" w:rsidRDefault="00B6361C" w:rsidP="00944B3C">
            <w:pPr>
              <w:pStyle w:val="NoSpacing"/>
              <w:jc w:val="center"/>
              <w:rPr>
                <w:rFonts w:ascii="Arial" w:hAnsi="Arial" w:cs="Arial"/>
                <w:b/>
                <w:sz w:val="20"/>
                <w:szCs w:val="20"/>
              </w:rPr>
            </w:pPr>
            <w:r w:rsidRPr="00B6361C">
              <w:rPr>
                <w:rFonts w:ascii="Arial" w:hAnsi="Arial" w:cs="Arial"/>
                <w:b/>
                <w:sz w:val="20"/>
                <w:szCs w:val="20"/>
              </w:rPr>
              <w:t>3.29</w:t>
            </w:r>
          </w:p>
        </w:tc>
        <w:tc>
          <w:tcPr>
            <w:tcW w:w="1503" w:type="dxa"/>
            <w:tcBorders>
              <w:bottom w:val="single" w:sz="4" w:space="0" w:color="auto"/>
            </w:tcBorders>
            <w:vAlign w:val="center"/>
          </w:tcPr>
          <w:p w14:paraId="1D8B6347" w14:textId="77777777" w:rsidR="00B6361C" w:rsidRPr="00B6361C" w:rsidRDefault="00B6361C" w:rsidP="00944B3C">
            <w:pPr>
              <w:pStyle w:val="TableContents"/>
              <w:snapToGrid w:val="0"/>
              <w:jc w:val="center"/>
              <w:rPr>
                <w:rFonts w:ascii="Arial" w:hAnsi="Arial" w:cs="Arial"/>
                <w:b/>
                <w:sz w:val="20"/>
                <w:szCs w:val="20"/>
              </w:rPr>
            </w:pPr>
            <w:r w:rsidRPr="00B6361C">
              <w:rPr>
                <w:rFonts w:ascii="Arial" w:hAnsi="Arial" w:cs="Arial"/>
                <w:b/>
                <w:sz w:val="20"/>
                <w:szCs w:val="20"/>
              </w:rPr>
              <w:t>Moderate</w:t>
            </w:r>
          </w:p>
        </w:tc>
      </w:tr>
    </w:tbl>
    <w:p w14:paraId="21ED3F61" w14:textId="77777777" w:rsidR="0073677C" w:rsidRDefault="0073677C" w:rsidP="0073677C">
      <w:pPr>
        <w:jc w:val="both"/>
        <w:rPr>
          <w:rFonts w:ascii="Arial" w:hAnsi="Arial" w:cs="Arial"/>
        </w:rPr>
      </w:pPr>
    </w:p>
    <w:p w14:paraId="20272E37" w14:textId="05B7164B" w:rsidR="00555852" w:rsidRDefault="00D607E8" w:rsidP="00555852">
      <w:pPr>
        <w:jc w:val="both"/>
        <w:rPr>
          <w:rFonts w:ascii="Arial" w:hAnsi="Arial" w:cs="Arial"/>
        </w:rPr>
      </w:pPr>
      <w:r w:rsidRPr="00D607E8">
        <w:rPr>
          <w:rFonts w:ascii="Arial" w:hAnsi="Arial" w:cs="Arial"/>
        </w:rPr>
        <w:t>Presented in Table 2 is the level of career resilience of teachers in public elementary schools, including confidence, positive outlook, positive emotions, and emotional intelligence, based on the computed mean scores. The confidence indicator received the highest mean of 3.40, categorized as high, followed by positive outlook, positive emotions, and emotional intelligence, which all received means in the moderate range, with scores of 2.90, 3.22, and 3.22, respectively. The overall mean of 3.29 is categorized as moderate, indicating that while teachers demonstrate a moderate level of career resilience, there is room for improvement across various dimensions.</w:t>
      </w:r>
    </w:p>
    <w:p w14:paraId="07A5375C" w14:textId="77777777" w:rsidR="00D607E8" w:rsidRPr="00555852" w:rsidRDefault="00D607E8" w:rsidP="00555852">
      <w:pPr>
        <w:jc w:val="both"/>
        <w:rPr>
          <w:rFonts w:ascii="Arial" w:hAnsi="Arial" w:cs="Arial"/>
        </w:rPr>
      </w:pPr>
    </w:p>
    <w:p w14:paraId="07B3D343" w14:textId="77777777" w:rsidR="00D607E8" w:rsidRPr="00D607E8" w:rsidRDefault="00D607E8" w:rsidP="00D607E8">
      <w:pPr>
        <w:jc w:val="both"/>
        <w:rPr>
          <w:rFonts w:ascii="Arial" w:hAnsi="Arial" w:cs="Arial"/>
        </w:rPr>
      </w:pPr>
      <w:r w:rsidRPr="00D607E8">
        <w:rPr>
          <w:rFonts w:ascii="Arial" w:hAnsi="Arial" w:cs="Arial"/>
        </w:rPr>
        <w:t>This finding suggests that while teachers have a solid foundation of confidence, other aspects of career resilience, such as maintaining a positive outlook, managing emotions, and applying emotional intelligence, are only moderately developed. This indicates that teachers may experience challenges in consistently applying these emotional and adaptive skills to navigate stressors and challenges within their profession.</w:t>
      </w:r>
    </w:p>
    <w:p w14:paraId="18BC6891" w14:textId="77777777" w:rsidR="00D607E8" w:rsidRPr="00D607E8" w:rsidRDefault="00D607E8" w:rsidP="00D607E8">
      <w:pPr>
        <w:jc w:val="both"/>
        <w:rPr>
          <w:rFonts w:ascii="Arial" w:hAnsi="Arial" w:cs="Arial"/>
        </w:rPr>
      </w:pPr>
    </w:p>
    <w:p w14:paraId="18154744" w14:textId="13BBDDCB" w:rsidR="00555852" w:rsidRDefault="00D607E8" w:rsidP="00D607E8">
      <w:pPr>
        <w:jc w:val="both"/>
        <w:rPr>
          <w:rFonts w:ascii="Arial" w:hAnsi="Arial" w:cs="Arial"/>
        </w:rPr>
      </w:pPr>
      <w:r w:rsidRPr="00D607E8">
        <w:rPr>
          <w:rFonts w:ascii="Arial" w:hAnsi="Arial" w:cs="Arial"/>
        </w:rPr>
        <w:t xml:space="preserve">This result aligns with the study of </w:t>
      </w:r>
      <w:r w:rsidR="00D20E99">
        <w:rPr>
          <w:rFonts w:ascii="Arial" w:hAnsi="Arial" w:cs="Arial"/>
        </w:rPr>
        <w:t>Fernades et al.</w:t>
      </w:r>
      <w:r w:rsidRPr="00D607E8">
        <w:rPr>
          <w:rFonts w:ascii="Arial" w:hAnsi="Arial" w:cs="Arial"/>
        </w:rPr>
        <w:t xml:space="preserve"> (20</w:t>
      </w:r>
      <w:r w:rsidR="00D20E99">
        <w:rPr>
          <w:rFonts w:ascii="Arial" w:hAnsi="Arial" w:cs="Arial"/>
        </w:rPr>
        <w:t>23</w:t>
      </w:r>
      <w:r w:rsidRPr="00D607E8">
        <w:rPr>
          <w:rFonts w:ascii="Arial" w:hAnsi="Arial" w:cs="Arial"/>
        </w:rPr>
        <w:t xml:space="preserve">), who emphasized that career resilience is shaped by one's ability to adapt to stress and maintain a balanced outlook amidst </w:t>
      </w:r>
      <w:r w:rsidRPr="00D607E8">
        <w:rPr>
          <w:rFonts w:ascii="Arial" w:hAnsi="Arial" w:cs="Arial"/>
        </w:rPr>
        <w:lastRenderedPageBreak/>
        <w:t xml:space="preserve">challenges. Additionally, </w:t>
      </w:r>
      <w:proofErr w:type="spellStart"/>
      <w:r w:rsidR="00D20E99" w:rsidRPr="00D20E99">
        <w:rPr>
          <w:rFonts w:ascii="Arial" w:hAnsi="Arial" w:cs="Arial"/>
        </w:rPr>
        <w:t>Jogulu</w:t>
      </w:r>
      <w:proofErr w:type="spellEnd"/>
      <w:r w:rsidR="00D20E99">
        <w:rPr>
          <w:rFonts w:ascii="Arial" w:hAnsi="Arial" w:cs="Arial"/>
        </w:rPr>
        <w:t xml:space="preserve"> and </w:t>
      </w:r>
      <w:r w:rsidR="00D20E99" w:rsidRPr="00D20E99">
        <w:rPr>
          <w:rFonts w:ascii="Arial" w:hAnsi="Arial" w:cs="Arial"/>
        </w:rPr>
        <w:t xml:space="preserve">Franken </w:t>
      </w:r>
      <w:r w:rsidRPr="00D607E8">
        <w:rPr>
          <w:rFonts w:ascii="Arial" w:hAnsi="Arial" w:cs="Arial"/>
        </w:rPr>
        <w:t>(20</w:t>
      </w:r>
      <w:r w:rsidR="00D20E99">
        <w:rPr>
          <w:rFonts w:ascii="Arial" w:hAnsi="Arial" w:cs="Arial"/>
        </w:rPr>
        <w:t>23</w:t>
      </w:r>
      <w:r w:rsidRPr="00D607E8">
        <w:rPr>
          <w:rFonts w:ascii="Arial" w:hAnsi="Arial" w:cs="Arial"/>
        </w:rPr>
        <w:t xml:space="preserve">) highlighted that resilience is developed unevenly across individuals, and continuous professional development is needed to enhance coping strategies and long-term career satisfaction. Similarly, </w:t>
      </w:r>
      <w:proofErr w:type="spellStart"/>
      <w:r w:rsidR="00D20E99" w:rsidRPr="00D20E99">
        <w:rPr>
          <w:rFonts w:ascii="Arial" w:hAnsi="Arial" w:cs="Arial"/>
        </w:rPr>
        <w:t>Kutsyuruba</w:t>
      </w:r>
      <w:proofErr w:type="spellEnd"/>
      <w:r w:rsidR="00D20E99" w:rsidRPr="00D20E99">
        <w:rPr>
          <w:rFonts w:ascii="Arial" w:hAnsi="Arial" w:cs="Arial"/>
        </w:rPr>
        <w:t xml:space="preserve"> </w:t>
      </w:r>
      <w:r w:rsidR="00D20E99">
        <w:rPr>
          <w:rFonts w:ascii="Arial" w:hAnsi="Arial" w:cs="Arial"/>
        </w:rPr>
        <w:t xml:space="preserve">et al. </w:t>
      </w:r>
      <w:r w:rsidRPr="00D607E8">
        <w:rPr>
          <w:rFonts w:ascii="Arial" w:hAnsi="Arial" w:cs="Arial"/>
        </w:rPr>
        <w:t>(20</w:t>
      </w:r>
      <w:r w:rsidR="00D20E99">
        <w:rPr>
          <w:rFonts w:ascii="Arial" w:hAnsi="Arial" w:cs="Arial"/>
        </w:rPr>
        <w:t>19</w:t>
      </w:r>
      <w:r w:rsidRPr="00D607E8">
        <w:rPr>
          <w:rFonts w:ascii="Arial" w:hAnsi="Arial" w:cs="Arial"/>
        </w:rPr>
        <w:t>) pointed out that career resilience is influenced by external and internal factors, such as institutional support and personal growth, which can be addressed through targeted training and support to strengthen teachers’ ability to handle workplace stressors.</w:t>
      </w:r>
    </w:p>
    <w:p w14:paraId="520CC293" w14:textId="77777777" w:rsidR="00D607E8" w:rsidRDefault="00D607E8" w:rsidP="00D607E8">
      <w:pPr>
        <w:jc w:val="both"/>
        <w:rPr>
          <w:rFonts w:ascii="Arial" w:hAnsi="Arial" w:cs="Arial"/>
        </w:rPr>
      </w:pPr>
    </w:p>
    <w:p w14:paraId="64AE0AD4" w14:textId="77777777" w:rsidR="00555852" w:rsidRDefault="00555852" w:rsidP="00555852">
      <w:pPr>
        <w:jc w:val="both"/>
        <w:rPr>
          <w:rFonts w:ascii="Arial" w:hAnsi="Arial" w:cs="Arial"/>
        </w:rPr>
      </w:pPr>
    </w:p>
    <w:p w14:paraId="1295EBEE" w14:textId="66A37D03" w:rsidR="008204D0" w:rsidRDefault="00781D5E" w:rsidP="00B6361C">
      <w:pPr>
        <w:jc w:val="both"/>
        <w:rPr>
          <w:rFonts w:ascii="Arial" w:hAnsi="Arial" w:cs="Arial"/>
          <w:b/>
          <w:bCs/>
          <w:iCs/>
        </w:rPr>
      </w:pPr>
      <w:r>
        <w:rPr>
          <w:rFonts w:ascii="Arial" w:hAnsi="Arial" w:cs="Arial"/>
          <w:b/>
          <w:bCs/>
          <w:iCs/>
        </w:rPr>
        <w:t xml:space="preserve">3.3 </w:t>
      </w:r>
      <w:r w:rsidR="00B6361C" w:rsidRPr="00B6361C">
        <w:rPr>
          <w:rFonts w:ascii="Arial" w:hAnsi="Arial" w:cs="Arial"/>
          <w:b/>
          <w:bCs/>
          <w:iCs/>
        </w:rPr>
        <w:t>Significance of the Relationship Between the Workplace Environment Practices and Career Resilience</w:t>
      </w:r>
    </w:p>
    <w:p w14:paraId="553FC244" w14:textId="77777777" w:rsidR="00B6361C" w:rsidRDefault="00B6361C" w:rsidP="00B6361C">
      <w:pPr>
        <w:jc w:val="both"/>
        <w:rPr>
          <w:rFonts w:ascii="Arial" w:hAnsi="Arial" w:cs="Arial"/>
          <w:iCs/>
        </w:rPr>
      </w:pPr>
    </w:p>
    <w:p w14:paraId="54A19FA6" w14:textId="0230456A" w:rsidR="00DE3EAB" w:rsidRDefault="00270F3F">
      <w:pPr>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B6361C" w:rsidRPr="00B6361C">
        <w:rPr>
          <w:rFonts w:ascii="Arial" w:hAnsi="Arial" w:cs="Arial"/>
          <w:i/>
        </w:rPr>
        <w:t>Significance of the Relationship Between the Workplace Environment Practices and Career Resilience</w:t>
      </w:r>
    </w:p>
    <w:p w14:paraId="58EEB6F5" w14:textId="77777777" w:rsidR="00B6361C" w:rsidRDefault="00B6361C">
      <w:pPr>
        <w:rPr>
          <w:rFonts w:ascii="Arial" w:hAnsi="Arial" w:cs="Arial"/>
          <w:i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669"/>
        <w:gridCol w:w="718"/>
        <w:gridCol w:w="872"/>
        <w:gridCol w:w="1283"/>
        <w:gridCol w:w="2001"/>
        <w:gridCol w:w="1225"/>
      </w:tblGrid>
      <w:tr w:rsidR="00B6361C" w14:paraId="255A70FA" w14:textId="77777777" w:rsidTr="00944B3C">
        <w:tc>
          <w:tcPr>
            <w:tcW w:w="1368" w:type="dxa"/>
            <w:tcBorders>
              <w:top w:val="single" w:sz="4" w:space="0" w:color="auto"/>
              <w:bottom w:val="single" w:sz="4" w:space="0" w:color="auto"/>
            </w:tcBorders>
          </w:tcPr>
          <w:p w14:paraId="4FD68C1B" w14:textId="4FADBE2C" w:rsidR="00B6361C" w:rsidRPr="00B6361C" w:rsidRDefault="00B6361C" w:rsidP="00B6361C">
            <w:pPr>
              <w:jc w:val="center"/>
              <w:rPr>
                <w:rFonts w:ascii="Arial" w:hAnsi="Arial" w:cs="Arial"/>
                <w:b/>
                <w:bCs/>
                <w:sz w:val="20"/>
                <w:szCs w:val="20"/>
              </w:rPr>
            </w:pPr>
          </w:p>
          <w:p w14:paraId="74C9B5A8" w14:textId="77777777" w:rsidR="00B6361C" w:rsidRPr="00B6361C" w:rsidRDefault="00B6361C" w:rsidP="00B6361C">
            <w:pPr>
              <w:jc w:val="center"/>
              <w:rPr>
                <w:rFonts w:ascii="Arial" w:hAnsi="Arial" w:cs="Arial"/>
                <w:b/>
                <w:bCs/>
                <w:sz w:val="20"/>
                <w:szCs w:val="20"/>
              </w:rPr>
            </w:pPr>
            <w:r w:rsidRPr="00B6361C">
              <w:rPr>
                <w:rFonts w:ascii="Arial" w:hAnsi="Arial" w:cs="Arial"/>
                <w:b/>
                <w:bCs/>
                <w:sz w:val="20"/>
                <w:szCs w:val="20"/>
              </w:rPr>
              <w:t>Variables</w:t>
            </w:r>
          </w:p>
        </w:tc>
        <w:tc>
          <w:tcPr>
            <w:tcW w:w="720" w:type="dxa"/>
            <w:tcBorders>
              <w:top w:val="single" w:sz="4" w:space="0" w:color="auto"/>
              <w:bottom w:val="single" w:sz="4" w:space="0" w:color="auto"/>
            </w:tcBorders>
          </w:tcPr>
          <w:p w14:paraId="794AE3AA" w14:textId="77777777" w:rsidR="00B6361C" w:rsidRPr="00B6361C" w:rsidRDefault="00B6361C" w:rsidP="00B6361C">
            <w:pPr>
              <w:jc w:val="center"/>
              <w:rPr>
                <w:rFonts w:ascii="Arial" w:hAnsi="Arial" w:cs="Arial"/>
                <w:b/>
                <w:bCs/>
                <w:sz w:val="20"/>
                <w:szCs w:val="20"/>
              </w:rPr>
            </w:pPr>
          </w:p>
          <w:p w14:paraId="490CF7DA" w14:textId="77777777" w:rsidR="00B6361C" w:rsidRPr="00B6361C" w:rsidRDefault="00B6361C" w:rsidP="00B6361C">
            <w:pPr>
              <w:jc w:val="center"/>
              <w:rPr>
                <w:rFonts w:ascii="Arial" w:hAnsi="Arial" w:cs="Arial"/>
                <w:b/>
                <w:bCs/>
                <w:sz w:val="20"/>
                <w:szCs w:val="20"/>
              </w:rPr>
            </w:pPr>
            <w:r w:rsidRPr="00B6361C">
              <w:rPr>
                <w:rFonts w:ascii="Arial" w:hAnsi="Arial" w:cs="Arial"/>
                <w:b/>
                <w:bCs/>
                <w:sz w:val="20"/>
                <w:szCs w:val="20"/>
              </w:rPr>
              <w:t>X</w:t>
            </w:r>
          </w:p>
        </w:tc>
        <w:tc>
          <w:tcPr>
            <w:tcW w:w="810" w:type="dxa"/>
            <w:tcBorders>
              <w:top w:val="single" w:sz="4" w:space="0" w:color="auto"/>
              <w:bottom w:val="single" w:sz="4" w:space="0" w:color="auto"/>
            </w:tcBorders>
          </w:tcPr>
          <w:p w14:paraId="118D5338" w14:textId="77777777" w:rsidR="00B6361C" w:rsidRPr="00B6361C" w:rsidRDefault="00B6361C" w:rsidP="00B6361C">
            <w:pPr>
              <w:jc w:val="center"/>
              <w:rPr>
                <w:rFonts w:ascii="Arial" w:hAnsi="Arial" w:cs="Arial"/>
                <w:b/>
                <w:bCs/>
                <w:sz w:val="20"/>
                <w:szCs w:val="20"/>
              </w:rPr>
            </w:pPr>
          </w:p>
          <w:p w14:paraId="75BE49D5" w14:textId="77777777" w:rsidR="00B6361C" w:rsidRPr="00B6361C" w:rsidRDefault="00B6361C" w:rsidP="00B6361C">
            <w:pPr>
              <w:jc w:val="center"/>
              <w:rPr>
                <w:rFonts w:ascii="Arial" w:hAnsi="Arial" w:cs="Arial"/>
                <w:b/>
                <w:bCs/>
                <w:sz w:val="20"/>
                <w:szCs w:val="20"/>
              </w:rPr>
            </w:pPr>
            <w:r w:rsidRPr="00B6361C">
              <w:rPr>
                <w:rFonts w:ascii="Arial" w:hAnsi="Arial" w:cs="Arial"/>
                <w:b/>
                <w:bCs/>
                <w:sz w:val="20"/>
                <w:szCs w:val="20"/>
              </w:rPr>
              <w:t>Y</w:t>
            </w:r>
          </w:p>
        </w:tc>
        <w:tc>
          <w:tcPr>
            <w:tcW w:w="990" w:type="dxa"/>
            <w:tcBorders>
              <w:top w:val="single" w:sz="4" w:space="0" w:color="auto"/>
              <w:bottom w:val="single" w:sz="4" w:space="0" w:color="auto"/>
            </w:tcBorders>
          </w:tcPr>
          <w:p w14:paraId="20235CF4" w14:textId="77777777" w:rsidR="00B6361C" w:rsidRPr="00B6361C" w:rsidRDefault="00B6361C" w:rsidP="00B6361C">
            <w:pPr>
              <w:jc w:val="center"/>
              <w:rPr>
                <w:rFonts w:ascii="Arial" w:hAnsi="Arial" w:cs="Arial"/>
                <w:b/>
                <w:bCs/>
                <w:sz w:val="20"/>
                <w:szCs w:val="20"/>
              </w:rPr>
            </w:pPr>
          </w:p>
          <w:p w14:paraId="07B1B7C3" w14:textId="77777777" w:rsidR="00B6361C" w:rsidRPr="00B6361C" w:rsidRDefault="00B6361C" w:rsidP="00B6361C">
            <w:pPr>
              <w:jc w:val="center"/>
              <w:rPr>
                <w:rFonts w:ascii="Arial" w:hAnsi="Arial" w:cs="Arial"/>
                <w:b/>
                <w:bCs/>
                <w:sz w:val="20"/>
                <w:szCs w:val="20"/>
              </w:rPr>
            </w:pPr>
            <w:r w:rsidRPr="00B6361C">
              <w:rPr>
                <w:rFonts w:ascii="Arial" w:hAnsi="Arial" w:cs="Arial"/>
                <w:b/>
                <w:bCs/>
                <w:sz w:val="20"/>
                <w:szCs w:val="20"/>
              </w:rPr>
              <w:t>r-value</w:t>
            </w:r>
          </w:p>
        </w:tc>
        <w:tc>
          <w:tcPr>
            <w:tcW w:w="1283" w:type="dxa"/>
            <w:tcBorders>
              <w:top w:val="single" w:sz="4" w:space="0" w:color="auto"/>
              <w:bottom w:val="single" w:sz="4" w:space="0" w:color="auto"/>
            </w:tcBorders>
          </w:tcPr>
          <w:p w14:paraId="47E37361" w14:textId="77777777" w:rsidR="00B6361C" w:rsidRPr="00B6361C" w:rsidRDefault="00B6361C" w:rsidP="00B6361C">
            <w:pPr>
              <w:jc w:val="center"/>
              <w:rPr>
                <w:rFonts w:ascii="Arial" w:hAnsi="Arial" w:cs="Arial"/>
                <w:b/>
                <w:bCs/>
                <w:sz w:val="20"/>
                <w:szCs w:val="20"/>
              </w:rPr>
            </w:pPr>
            <w:r w:rsidRPr="00B6361C">
              <w:rPr>
                <w:rFonts w:ascii="Arial" w:hAnsi="Arial" w:cs="Arial"/>
                <w:b/>
                <w:bCs/>
                <w:sz w:val="20"/>
                <w:szCs w:val="20"/>
              </w:rPr>
              <w:t>Degree of Correlation</w:t>
            </w:r>
          </w:p>
        </w:tc>
        <w:tc>
          <w:tcPr>
            <w:tcW w:w="3037" w:type="dxa"/>
            <w:tcBorders>
              <w:top w:val="single" w:sz="4" w:space="0" w:color="auto"/>
              <w:bottom w:val="single" w:sz="4" w:space="0" w:color="auto"/>
            </w:tcBorders>
          </w:tcPr>
          <w:p w14:paraId="7BCE2B46" w14:textId="77777777" w:rsidR="00B6361C" w:rsidRPr="00B6361C" w:rsidRDefault="00B6361C" w:rsidP="00B6361C">
            <w:pPr>
              <w:jc w:val="center"/>
              <w:rPr>
                <w:rFonts w:ascii="Arial" w:hAnsi="Arial" w:cs="Arial"/>
                <w:b/>
                <w:bCs/>
                <w:sz w:val="20"/>
                <w:szCs w:val="20"/>
              </w:rPr>
            </w:pPr>
            <w:r w:rsidRPr="00B6361C">
              <w:rPr>
                <w:rFonts w:ascii="Arial" w:hAnsi="Arial" w:cs="Arial"/>
                <w:b/>
                <w:bCs/>
                <w:sz w:val="20"/>
                <w:szCs w:val="20"/>
              </w:rPr>
              <w:t>p-value</w:t>
            </w:r>
          </w:p>
        </w:tc>
        <w:tc>
          <w:tcPr>
            <w:tcW w:w="1368" w:type="dxa"/>
            <w:tcBorders>
              <w:top w:val="single" w:sz="4" w:space="0" w:color="auto"/>
              <w:bottom w:val="single" w:sz="4" w:space="0" w:color="auto"/>
            </w:tcBorders>
          </w:tcPr>
          <w:p w14:paraId="2F5F10DF" w14:textId="77777777" w:rsidR="00B6361C" w:rsidRPr="00B6361C" w:rsidRDefault="00B6361C" w:rsidP="00B6361C">
            <w:pPr>
              <w:jc w:val="center"/>
              <w:rPr>
                <w:rFonts w:ascii="Arial" w:hAnsi="Arial" w:cs="Arial"/>
                <w:b/>
                <w:bCs/>
                <w:sz w:val="20"/>
                <w:szCs w:val="20"/>
              </w:rPr>
            </w:pPr>
            <w:r w:rsidRPr="00B6361C">
              <w:rPr>
                <w:rFonts w:ascii="Arial" w:hAnsi="Arial" w:cs="Arial"/>
                <w:b/>
                <w:bCs/>
                <w:sz w:val="20"/>
                <w:szCs w:val="20"/>
              </w:rPr>
              <w:t>Decision</w:t>
            </w:r>
          </w:p>
          <w:p w14:paraId="6D16F8FA" w14:textId="77777777" w:rsidR="00B6361C" w:rsidRPr="00B6361C" w:rsidRDefault="00B6361C" w:rsidP="00B6361C">
            <w:pPr>
              <w:jc w:val="center"/>
              <w:rPr>
                <w:rFonts w:ascii="Arial" w:hAnsi="Arial" w:cs="Arial"/>
                <w:b/>
                <w:bCs/>
                <w:sz w:val="20"/>
                <w:szCs w:val="20"/>
              </w:rPr>
            </w:pPr>
            <w:r w:rsidRPr="00B6361C">
              <w:rPr>
                <w:rFonts w:ascii="Arial" w:hAnsi="Arial" w:cs="Arial"/>
                <w:b/>
                <w:bCs/>
                <w:sz w:val="20"/>
                <w:szCs w:val="20"/>
              </w:rPr>
              <w:t>(Ho)</w:t>
            </w:r>
          </w:p>
        </w:tc>
      </w:tr>
      <w:tr w:rsidR="00B6361C" w14:paraId="6B9867B5" w14:textId="77777777" w:rsidTr="00944B3C">
        <w:tc>
          <w:tcPr>
            <w:tcW w:w="1368" w:type="dxa"/>
            <w:tcBorders>
              <w:top w:val="single" w:sz="4" w:space="0" w:color="auto"/>
            </w:tcBorders>
          </w:tcPr>
          <w:p w14:paraId="19ACFEDD" w14:textId="77777777" w:rsidR="00B6361C" w:rsidRPr="00B6361C" w:rsidRDefault="00B6361C" w:rsidP="00944B3C">
            <w:pPr>
              <w:rPr>
                <w:rStyle w:val="Strong"/>
                <w:rFonts w:ascii="Arial" w:eastAsia="Calibri" w:hAnsi="Arial" w:cs="Arial"/>
                <w:b w:val="0"/>
                <w:i/>
                <w:sz w:val="20"/>
                <w:szCs w:val="20"/>
              </w:rPr>
            </w:pPr>
            <w:r w:rsidRPr="00B6361C">
              <w:rPr>
                <w:rStyle w:val="Strong"/>
                <w:rFonts w:ascii="Arial" w:eastAsia="Calibri" w:hAnsi="Arial" w:cs="Arial"/>
                <w:i/>
                <w:sz w:val="20"/>
                <w:szCs w:val="20"/>
              </w:rPr>
              <w:t>W</w:t>
            </w:r>
            <w:r w:rsidRPr="00B6361C">
              <w:rPr>
                <w:rStyle w:val="Strong"/>
                <w:rFonts w:ascii="Arial" w:hAnsi="Arial" w:cs="Arial"/>
                <w:i/>
                <w:sz w:val="20"/>
                <w:szCs w:val="20"/>
              </w:rPr>
              <w:t>ork</w:t>
            </w:r>
            <w:r w:rsidRPr="00B6361C">
              <w:rPr>
                <w:rStyle w:val="Strong"/>
                <w:rFonts w:ascii="Arial" w:eastAsia="Calibri" w:hAnsi="Arial" w:cs="Arial"/>
                <w:i/>
                <w:sz w:val="20"/>
                <w:szCs w:val="20"/>
              </w:rPr>
              <w:t xml:space="preserve">place Environment </w:t>
            </w:r>
          </w:p>
          <w:p w14:paraId="1CBA282C" w14:textId="77777777" w:rsidR="00B6361C" w:rsidRPr="00B6361C" w:rsidRDefault="00B6361C" w:rsidP="00944B3C">
            <w:pPr>
              <w:rPr>
                <w:rStyle w:val="Strong"/>
                <w:rFonts w:ascii="Arial" w:eastAsia="Calibri" w:hAnsi="Arial" w:cs="Arial"/>
                <w:b w:val="0"/>
                <w:i/>
                <w:sz w:val="20"/>
                <w:szCs w:val="20"/>
              </w:rPr>
            </w:pPr>
          </w:p>
          <w:p w14:paraId="2CA3E931" w14:textId="77777777" w:rsidR="00B6361C" w:rsidRPr="00B6361C" w:rsidRDefault="00B6361C" w:rsidP="00944B3C">
            <w:pPr>
              <w:rPr>
                <w:rStyle w:val="Strong"/>
                <w:rFonts w:ascii="Arial" w:eastAsia="Calibri" w:hAnsi="Arial" w:cs="Arial"/>
                <w:b w:val="0"/>
                <w:i/>
                <w:sz w:val="20"/>
                <w:szCs w:val="20"/>
              </w:rPr>
            </w:pPr>
          </w:p>
          <w:p w14:paraId="2735C209" w14:textId="77777777" w:rsidR="00B6361C" w:rsidRPr="00B6361C" w:rsidRDefault="00B6361C" w:rsidP="00944B3C">
            <w:pPr>
              <w:rPr>
                <w:rStyle w:val="Strong"/>
                <w:rFonts w:ascii="Arial" w:eastAsia="Calibri" w:hAnsi="Arial" w:cs="Arial"/>
                <w:b w:val="0"/>
                <w:i/>
                <w:sz w:val="20"/>
                <w:szCs w:val="20"/>
              </w:rPr>
            </w:pPr>
          </w:p>
          <w:p w14:paraId="5461A6D0" w14:textId="77777777" w:rsidR="00B6361C" w:rsidRPr="00B6361C" w:rsidRDefault="00B6361C" w:rsidP="00944B3C">
            <w:pPr>
              <w:rPr>
                <w:rFonts w:ascii="Arial" w:hAnsi="Arial" w:cs="Arial"/>
                <w:i/>
                <w:sz w:val="20"/>
                <w:szCs w:val="20"/>
              </w:rPr>
            </w:pPr>
            <w:r w:rsidRPr="00B6361C">
              <w:rPr>
                <w:rStyle w:val="Strong"/>
                <w:rFonts w:ascii="Arial" w:eastAsia="Calibri" w:hAnsi="Arial" w:cs="Arial"/>
                <w:i/>
                <w:sz w:val="20"/>
                <w:szCs w:val="20"/>
              </w:rPr>
              <w:t>Career R</w:t>
            </w:r>
            <w:r w:rsidRPr="00B6361C">
              <w:rPr>
                <w:rStyle w:val="Strong"/>
                <w:rFonts w:ascii="Arial" w:hAnsi="Arial" w:cs="Arial"/>
                <w:i/>
                <w:sz w:val="20"/>
                <w:szCs w:val="20"/>
              </w:rPr>
              <w:t>esilience</w:t>
            </w:r>
          </w:p>
        </w:tc>
        <w:tc>
          <w:tcPr>
            <w:tcW w:w="720" w:type="dxa"/>
            <w:tcBorders>
              <w:top w:val="single" w:sz="4" w:space="0" w:color="auto"/>
            </w:tcBorders>
          </w:tcPr>
          <w:p w14:paraId="414967B5" w14:textId="77777777" w:rsidR="00B6361C" w:rsidRPr="00B6361C" w:rsidRDefault="00B6361C" w:rsidP="00944B3C">
            <w:pPr>
              <w:jc w:val="center"/>
              <w:rPr>
                <w:rFonts w:ascii="Arial" w:hAnsi="Arial" w:cs="Arial"/>
                <w:sz w:val="20"/>
                <w:szCs w:val="20"/>
              </w:rPr>
            </w:pPr>
          </w:p>
          <w:p w14:paraId="381C650B" w14:textId="77777777" w:rsidR="00B6361C" w:rsidRPr="00B6361C" w:rsidRDefault="00B6361C" w:rsidP="00944B3C">
            <w:pPr>
              <w:rPr>
                <w:rFonts w:ascii="Arial" w:hAnsi="Arial" w:cs="Arial"/>
                <w:sz w:val="20"/>
                <w:szCs w:val="20"/>
              </w:rPr>
            </w:pPr>
            <w:r w:rsidRPr="00B6361C">
              <w:rPr>
                <w:rFonts w:ascii="Arial" w:hAnsi="Arial" w:cs="Arial"/>
                <w:sz w:val="20"/>
                <w:szCs w:val="20"/>
              </w:rPr>
              <w:t>4.34</w:t>
            </w:r>
          </w:p>
          <w:p w14:paraId="345D2C1E" w14:textId="77777777" w:rsidR="00B6361C" w:rsidRPr="00B6361C" w:rsidRDefault="00B6361C" w:rsidP="00944B3C">
            <w:pPr>
              <w:jc w:val="center"/>
              <w:rPr>
                <w:rFonts w:ascii="Arial" w:hAnsi="Arial" w:cs="Arial"/>
                <w:sz w:val="20"/>
                <w:szCs w:val="20"/>
              </w:rPr>
            </w:pPr>
          </w:p>
          <w:p w14:paraId="75723B8F" w14:textId="77777777" w:rsidR="00B6361C" w:rsidRPr="00B6361C" w:rsidRDefault="00B6361C" w:rsidP="00944B3C">
            <w:pPr>
              <w:jc w:val="center"/>
              <w:rPr>
                <w:rFonts w:ascii="Arial" w:hAnsi="Arial" w:cs="Arial"/>
                <w:sz w:val="20"/>
                <w:szCs w:val="20"/>
              </w:rPr>
            </w:pPr>
          </w:p>
          <w:p w14:paraId="3A63D3C9" w14:textId="77777777" w:rsidR="00B6361C" w:rsidRPr="00B6361C" w:rsidRDefault="00B6361C" w:rsidP="00944B3C">
            <w:pPr>
              <w:jc w:val="center"/>
              <w:rPr>
                <w:rFonts w:ascii="Arial" w:hAnsi="Arial" w:cs="Arial"/>
                <w:sz w:val="20"/>
                <w:szCs w:val="20"/>
              </w:rPr>
            </w:pPr>
          </w:p>
        </w:tc>
        <w:tc>
          <w:tcPr>
            <w:tcW w:w="810" w:type="dxa"/>
            <w:tcBorders>
              <w:top w:val="single" w:sz="4" w:space="0" w:color="auto"/>
            </w:tcBorders>
          </w:tcPr>
          <w:p w14:paraId="22C0A328" w14:textId="77777777" w:rsidR="00B6361C" w:rsidRPr="00B6361C" w:rsidRDefault="00B6361C" w:rsidP="00944B3C">
            <w:pPr>
              <w:jc w:val="center"/>
              <w:rPr>
                <w:rFonts w:ascii="Arial" w:hAnsi="Arial" w:cs="Arial"/>
                <w:sz w:val="20"/>
                <w:szCs w:val="20"/>
              </w:rPr>
            </w:pPr>
          </w:p>
          <w:p w14:paraId="534006E7" w14:textId="77777777" w:rsidR="00B6361C" w:rsidRPr="00B6361C" w:rsidRDefault="00B6361C" w:rsidP="00944B3C">
            <w:pPr>
              <w:jc w:val="center"/>
              <w:rPr>
                <w:rFonts w:ascii="Arial" w:hAnsi="Arial" w:cs="Arial"/>
                <w:sz w:val="20"/>
                <w:szCs w:val="20"/>
              </w:rPr>
            </w:pPr>
          </w:p>
          <w:p w14:paraId="5A55AFCC" w14:textId="77777777" w:rsidR="00B6361C" w:rsidRPr="00B6361C" w:rsidRDefault="00B6361C" w:rsidP="00944B3C">
            <w:pPr>
              <w:jc w:val="center"/>
              <w:rPr>
                <w:rFonts w:ascii="Arial" w:hAnsi="Arial" w:cs="Arial"/>
                <w:sz w:val="20"/>
                <w:szCs w:val="20"/>
              </w:rPr>
            </w:pPr>
          </w:p>
          <w:p w14:paraId="244603D2" w14:textId="77777777" w:rsidR="00B6361C" w:rsidRPr="00B6361C" w:rsidRDefault="00B6361C" w:rsidP="00944B3C">
            <w:pPr>
              <w:jc w:val="center"/>
              <w:rPr>
                <w:rFonts w:ascii="Arial" w:hAnsi="Arial" w:cs="Arial"/>
                <w:sz w:val="20"/>
                <w:szCs w:val="20"/>
              </w:rPr>
            </w:pPr>
          </w:p>
          <w:p w14:paraId="2D0D598B" w14:textId="77777777" w:rsidR="00B6361C" w:rsidRPr="00B6361C" w:rsidRDefault="00B6361C" w:rsidP="00944B3C">
            <w:pPr>
              <w:jc w:val="center"/>
              <w:rPr>
                <w:rFonts w:ascii="Arial" w:hAnsi="Arial" w:cs="Arial"/>
                <w:sz w:val="20"/>
                <w:szCs w:val="20"/>
              </w:rPr>
            </w:pPr>
          </w:p>
          <w:p w14:paraId="7431038F" w14:textId="77777777" w:rsidR="00B6361C" w:rsidRPr="00B6361C" w:rsidRDefault="00B6361C" w:rsidP="00944B3C">
            <w:pPr>
              <w:rPr>
                <w:rFonts w:ascii="Arial" w:hAnsi="Arial" w:cs="Arial"/>
                <w:sz w:val="20"/>
                <w:szCs w:val="20"/>
              </w:rPr>
            </w:pPr>
          </w:p>
          <w:p w14:paraId="17626B87" w14:textId="77777777" w:rsidR="00B6361C" w:rsidRPr="00B6361C" w:rsidRDefault="00B6361C" w:rsidP="00944B3C">
            <w:pPr>
              <w:jc w:val="center"/>
              <w:rPr>
                <w:rFonts w:ascii="Arial" w:hAnsi="Arial" w:cs="Arial"/>
                <w:sz w:val="20"/>
                <w:szCs w:val="20"/>
              </w:rPr>
            </w:pPr>
            <w:r w:rsidRPr="00B6361C">
              <w:rPr>
                <w:rFonts w:ascii="Arial" w:hAnsi="Arial" w:cs="Arial"/>
                <w:sz w:val="20"/>
                <w:szCs w:val="20"/>
              </w:rPr>
              <w:t>4.10</w:t>
            </w:r>
          </w:p>
        </w:tc>
        <w:tc>
          <w:tcPr>
            <w:tcW w:w="990" w:type="dxa"/>
            <w:tcBorders>
              <w:top w:val="single" w:sz="4" w:space="0" w:color="auto"/>
            </w:tcBorders>
          </w:tcPr>
          <w:p w14:paraId="35C3E725" w14:textId="77777777" w:rsidR="00B6361C" w:rsidRPr="00B6361C" w:rsidRDefault="00B6361C" w:rsidP="00944B3C">
            <w:pPr>
              <w:rPr>
                <w:rFonts w:ascii="Arial" w:hAnsi="Arial" w:cs="Arial"/>
                <w:sz w:val="20"/>
                <w:szCs w:val="20"/>
              </w:rPr>
            </w:pPr>
          </w:p>
          <w:p w14:paraId="37874CC2" w14:textId="77777777" w:rsidR="00B6361C" w:rsidRPr="00B6361C" w:rsidRDefault="00B6361C" w:rsidP="00944B3C">
            <w:pPr>
              <w:rPr>
                <w:rFonts w:ascii="Arial" w:hAnsi="Arial" w:cs="Arial"/>
                <w:sz w:val="20"/>
                <w:szCs w:val="20"/>
              </w:rPr>
            </w:pPr>
          </w:p>
          <w:p w14:paraId="5C9891E8" w14:textId="77777777" w:rsidR="00B6361C" w:rsidRPr="00B6361C" w:rsidRDefault="00B6361C" w:rsidP="00944B3C">
            <w:pPr>
              <w:rPr>
                <w:rFonts w:ascii="Arial" w:hAnsi="Arial" w:cs="Arial"/>
                <w:sz w:val="20"/>
                <w:szCs w:val="20"/>
              </w:rPr>
            </w:pPr>
          </w:p>
          <w:p w14:paraId="64224C8B" w14:textId="11E4EB94" w:rsidR="00B6361C" w:rsidRPr="00B6361C" w:rsidRDefault="00B6361C" w:rsidP="00944B3C">
            <w:pPr>
              <w:jc w:val="center"/>
              <w:rPr>
                <w:rFonts w:ascii="Arial" w:hAnsi="Arial" w:cs="Arial"/>
                <w:sz w:val="20"/>
                <w:szCs w:val="20"/>
              </w:rPr>
            </w:pPr>
            <w:r w:rsidRPr="00B6361C">
              <w:rPr>
                <w:rFonts w:ascii="Arial" w:hAnsi="Arial" w:cs="Arial"/>
                <w:sz w:val="20"/>
                <w:szCs w:val="20"/>
              </w:rPr>
              <w:t>0.</w:t>
            </w:r>
            <w:r w:rsidRPr="00B6361C">
              <w:rPr>
                <w:rFonts w:ascii="Arial" w:hAnsi="Arial" w:cs="Arial"/>
                <w:b/>
                <w:sz w:val="20"/>
                <w:szCs w:val="20"/>
              </w:rPr>
              <w:t xml:space="preserve"> </w:t>
            </w:r>
            <w:r w:rsidRPr="00B6361C">
              <w:rPr>
                <w:rFonts w:ascii="Arial" w:hAnsi="Arial" w:cs="Arial"/>
                <w:sz w:val="20"/>
                <w:szCs w:val="20"/>
              </w:rPr>
              <w:t>60</w:t>
            </w:r>
          </w:p>
          <w:p w14:paraId="12DF537B" w14:textId="77777777" w:rsidR="00B6361C" w:rsidRPr="00B6361C" w:rsidRDefault="00B6361C" w:rsidP="00944B3C">
            <w:pPr>
              <w:rPr>
                <w:rFonts w:ascii="Arial" w:hAnsi="Arial" w:cs="Arial"/>
                <w:sz w:val="20"/>
                <w:szCs w:val="20"/>
              </w:rPr>
            </w:pPr>
          </w:p>
        </w:tc>
        <w:tc>
          <w:tcPr>
            <w:tcW w:w="1283" w:type="dxa"/>
            <w:tcBorders>
              <w:top w:val="single" w:sz="4" w:space="0" w:color="auto"/>
            </w:tcBorders>
          </w:tcPr>
          <w:p w14:paraId="1C924724" w14:textId="77777777" w:rsidR="00B6361C" w:rsidRPr="00B6361C" w:rsidRDefault="00B6361C" w:rsidP="00944B3C">
            <w:pPr>
              <w:rPr>
                <w:rFonts w:ascii="Arial" w:hAnsi="Arial" w:cs="Arial"/>
                <w:sz w:val="20"/>
                <w:szCs w:val="20"/>
              </w:rPr>
            </w:pPr>
          </w:p>
          <w:p w14:paraId="32BFDF0F" w14:textId="77777777" w:rsidR="00B6361C" w:rsidRPr="00B6361C" w:rsidRDefault="00B6361C" w:rsidP="00944B3C">
            <w:pPr>
              <w:rPr>
                <w:rFonts w:ascii="Arial" w:hAnsi="Arial" w:cs="Arial"/>
                <w:sz w:val="20"/>
                <w:szCs w:val="20"/>
              </w:rPr>
            </w:pPr>
          </w:p>
          <w:p w14:paraId="05DD1805" w14:textId="77777777" w:rsidR="00B6361C" w:rsidRPr="00B6361C" w:rsidRDefault="00B6361C" w:rsidP="00944B3C">
            <w:pPr>
              <w:rPr>
                <w:rFonts w:ascii="Arial" w:hAnsi="Arial" w:cs="Arial"/>
                <w:sz w:val="20"/>
                <w:szCs w:val="20"/>
              </w:rPr>
            </w:pPr>
          </w:p>
          <w:p w14:paraId="0DEF3BEE" w14:textId="11AC166C" w:rsidR="00B6361C" w:rsidRPr="00B6361C" w:rsidRDefault="00D607E8" w:rsidP="00944B3C">
            <w:pPr>
              <w:jc w:val="center"/>
              <w:rPr>
                <w:rFonts w:ascii="Arial" w:hAnsi="Arial" w:cs="Arial"/>
                <w:sz w:val="20"/>
                <w:szCs w:val="20"/>
              </w:rPr>
            </w:pPr>
            <w:r>
              <w:rPr>
                <w:rFonts w:ascii="Arial" w:hAnsi="Arial" w:cs="Arial"/>
                <w:sz w:val="20"/>
                <w:szCs w:val="20"/>
              </w:rPr>
              <w:t>Moderate</w:t>
            </w:r>
          </w:p>
          <w:p w14:paraId="2DDAD136" w14:textId="77777777" w:rsidR="00B6361C" w:rsidRPr="00B6361C" w:rsidRDefault="00B6361C" w:rsidP="00944B3C">
            <w:pPr>
              <w:jc w:val="center"/>
              <w:rPr>
                <w:rFonts w:ascii="Arial" w:hAnsi="Arial" w:cs="Arial"/>
                <w:sz w:val="20"/>
                <w:szCs w:val="20"/>
              </w:rPr>
            </w:pPr>
            <w:r w:rsidRPr="00B6361C">
              <w:rPr>
                <w:rFonts w:ascii="Arial" w:hAnsi="Arial" w:cs="Arial"/>
                <w:sz w:val="20"/>
                <w:szCs w:val="20"/>
              </w:rPr>
              <w:t>Correlation</w:t>
            </w:r>
          </w:p>
          <w:p w14:paraId="3E98BD7D" w14:textId="77777777" w:rsidR="00B6361C" w:rsidRPr="00B6361C" w:rsidRDefault="00B6361C" w:rsidP="00944B3C">
            <w:pPr>
              <w:rPr>
                <w:rFonts w:ascii="Arial" w:hAnsi="Arial" w:cs="Arial"/>
                <w:sz w:val="20"/>
                <w:szCs w:val="20"/>
              </w:rPr>
            </w:pPr>
          </w:p>
        </w:tc>
        <w:tc>
          <w:tcPr>
            <w:tcW w:w="3037" w:type="dxa"/>
            <w:tcBorders>
              <w:top w:val="single" w:sz="4" w:space="0" w:color="auto"/>
            </w:tcBorders>
          </w:tcPr>
          <w:p w14:paraId="04AA3915" w14:textId="77777777" w:rsidR="00B6361C" w:rsidRPr="00B6361C" w:rsidRDefault="00B6361C" w:rsidP="00944B3C">
            <w:pPr>
              <w:jc w:val="center"/>
              <w:rPr>
                <w:rFonts w:ascii="Arial" w:hAnsi="Arial" w:cs="Arial"/>
                <w:sz w:val="20"/>
                <w:szCs w:val="20"/>
              </w:rPr>
            </w:pPr>
          </w:p>
          <w:p w14:paraId="115C97D9" w14:textId="77777777" w:rsidR="00B6361C" w:rsidRPr="00B6361C" w:rsidRDefault="00B6361C" w:rsidP="00944B3C">
            <w:pPr>
              <w:jc w:val="center"/>
              <w:rPr>
                <w:rFonts w:ascii="Arial" w:hAnsi="Arial" w:cs="Arial"/>
                <w:sz w:val="20"/>
                <w:szCs w:val="20"/>
              </w:rPr>
            </w:pPr>
          </w:p>
          <w:p w14:paraId="283A22AB" w14:textId="77777777" w:rsidR="00B6361C" w:rsidRPr="00B6361C" w:rsidRDefault="00B6361C" w:rsidP="00944B3C">
            <w:pPr>
              <w:rPr>
                <w:rFonts w:ascii="Arial" w:hAnsi="Arial" w:cs="Arial"/>
                <w:sz w:val="20"/>
                <w:szCs w:val="20"/>
              </w:rPr>
            </w:pPr>
          </w:p>
          <w:p w14:paraId="5950D4DC" w14:textId="77777777" w:rsidR="00B6361C" w:rsidRPr="00B6361C" w:rsidRDefault="00B6361C" w:rsidP="00944B3C">
            <w:pPr>
              <w:jc w:val="center"/>
              <w:rPr>
                <w:rFonts w:ascii="Arial" w:hAnsi="Arial" w:cs="Arial"/>
                <w:sz w:val="20"/>
                <w:szCs w:val="20"/>
              </w:rPr>
            </w:pPr>
            <w:r w:rsidRPr="00B6361C">
              <w:rPr>
                <w:rFonts w:ascii="Arial" w:hAnsi="Arial" w:cs="Arial"/>
                <w:sz w:val="20"/>
                <w:szCs w:val="20"/>
              </w:rPr>
              <w:t>0.000</w:t>
            </w:r>
          </w:p>
          <w:p w14:paraId="0D02D47E" w14:textId="77777777" w:rsidR="00B6361C" w:rsidRPr="00B6361C" w:rsidRDefault="00B6361C" w:rsidP="00944B3C">
            <w:pPr>
              <w:jc w:val="center"/>
              <w:rPr>
                <w:rFonts w:ascii="Arial" w:hAnsi="Arial" w:cs="Arial"/>
                <w:sz w:val="20"/>
                <w:szCs w:val="20"/>
              </w:rPr>
            </w:pPr>
          </w:p>
          <w:p w14:paraId="409E8DB6" w14:textId="77777777" w:rsidR="00B6361C" w:rsidRPr="00B6361C" w:rsidRDefault="00B6361C" w:rsidP="00944B3C">
            <w:pPr>
              <w:jc w:val="center"/>
              <w:rPr>
                <w:rFonts w:ascii="Arial" w:hAnsi="Arial" w:cs="Arial"/>
                <w:sz w:val="20"/>
                <w:szCs w:val="20"/>
              </w:rPr>
            </w:pPr>
          </w:p>
          <w:p w14:paraId="1DAF51D7" w14:textId="77777777" w:rsidR="00B6361C" w:rsidRPr="00B6361C" w:rsidRDefault="00B6361C" w:rsidP="00944B3C">
            <w:pPr>
              <w:jc w:val="center"/>
              <w:rPr>
                <w:rFonts w:ascii="Arial" w:hAnsi="Arial" w:cs="Arial"/>
                <w:sz w:val="20"/>
                <w:szCs w:val="20"/>
              </w:rPr>
            </w:pPr>
          </w:p>
        </w:tc>
        <w:tc>
          <w:tcPr>
            <w:tcW w:w="1368" w:type="dxa"/>
            <w:tcBorders>
              <w:top w:val="single" w:sz="4" w:space="0" w:color="auto"/>
            </w:tcBorders>
          </w:tcPr>
          <w:p w14:paraId="69E36CF6" w14:textId="77777777" w:rsidR="00B6361C" w:rsidRPr="00B6361C" w:rsidRDefault="00B6361C" w:rsidP="00944B3C">
            <w:pPr>
              <w:rPr>
                <w:rFonts w:ascii="Arial" w:hAnsi="Arial" w:cs="Arial"/>
                <w:sz w:val="20"/>
                <w:szCs w:val="20"/>
              </w:rPr>
            </w:pPr>
          </w:p>
          <w:p w14:paraId="54D7FAA0" w14:textId="77777777" w:rsidR="00B6361C" w:rsidRPr="00B6361C" w:rsidRDefault="00B6361C" w:rsidP="00944B3C">
            <w:pPr>
              <w:rPr>
                <w:rFonts w:ascii="Arial" w:hAnsi="Arial" w:cs="Arial"/>
                <w:sz w:val="20"/>
                <w:szCs w:val="20"/>
              </w:rPr>
            </w:pPr>
          </w:p>
          <w:p w14:paraId="7CB69D1E" w14:textId="77777777" w:rsidR="00B6361C" w:rsidRPr="00B6361C" w:rsidRDefault="00B6361C" w:rsidP="00944B3C">
            <w:pPr>
              <w:rPr>
                <w:rFonts w:ascii="Arial" w:hAnsi="Arial" w:cs="Arial"/>
                <w:sz w:val="20"/>
                <w:szCs w:val="20"/>
              </w:rPr>
            </w:pPr>
          </w:p>
          <w:p w14:paraId="04B695AB" w14:textId="77777777" w:rsidR="00B6361C" w:rsidRPr="00B6361C" w:rsidRDefault="00B6361C" w:rsidP="00944B3C">
            <w:pPr>
              <w:rPr>
                <w:rFonts w:ascii="Arial" w:hAnsi="Arial" w:cs="Arial"/>
                <w:sz w:val="20"/>
                <w:szCs w:val="20"/>
              </w:rPr>
            </w:pPr>
            <w:r w:rsidRPr="00B6361C">
              <w:rPr>
                <w:rFonts w:ascii="Arial" w:hAnsi="Arial" w:cs="Arial"/>
                <w:sz w:val="20"/>
                <w:szCs w:val="20"/>
              </w:rPr>
              <w:t>Rejected</w:t>
            </w:r>
          </w:p>
        </w:tc>
      </w:tr>
    </w:tbl>
    <w:p w14:paraId="1BDBE2B2" w14:textId="77777777" w:rsidR="00717F2E" w:rsidRDefault="00717F2E">
      <w:pPr>
        <w:jc w:val="both"/>
        <w:rPr>
          <w:rFonts w:ascii="Arial" w:hAnsi="Arial" w:cs="Arial"/>
        </w:rPr>
      </w:pPr>
    </w:p>
    <w:p w14:paraId="621B6D42" w14:textId="0924259E" w:rsidR="00D607E8" w:rsidRPr="00D607E8" w:rsidRDefault="00D607E8" w:rsidP="00D607E8">
      <w:pPr>
        <w:jc w:val="both"/>
        <w:rPr>
          <w:rFonts w:ascii="Arial" w:hAnsi="Arial" w:cs="Arial"/>
        </w:rPr>
      </w:pPr>
      <w:r w:rsidRPr="00D607E8">
        <w:rPr>
          <w:rFonts w:ascii="Arial" w:hAnsi="Arial" w:cs="Arial"/>
        </w:rPr>
        <w:t xml:space="preserve">Presented in Table 3 is the correlation analysis between workplace environment practices and career resilience among teachers in public elementary schools. The relationship between these two variables has a correlation coefficient (r) of 0.60 with a p-value of 0.000, which is less than the 0.05 significance level. This indicates a </w:t>
      </w:r>
      <w:r>
        <w:rPr>
          <w:rFonts w:ascii="Arial" w:hAnsi="Arial" w:cs="Arial"/>
        </w:rPr>
        <w:t>moderate</w:t>
      </w:r>
      <w:r w:rsidRPr="00D607E8">
        <w:rPr>
          <w:rFonts w:ascii="Arial" w:hAnsi="Arial" w:cs="Arial"/>
        </w:rPr>
        <w:t xml:space="preserve"> and statistically significant positive relationship between workplace environment practices and career resilience. The p-value of 0.000 suggests that the null hypothesis (Ho) is rejected, supporting the claim that workplace environment practices are significantly related to the career resilience of teachers.</w:t>
      </w:r>
    </w:p>
    <w:p w14:paraId="513B5D09" w14:textId="77777777" w:rsidR="00D607E8" w:rsidRPr="00D607E8" w:rsidRDefault="00D607E8" w:rsidP="00D607E8">
      <w:pPr>
        <w:jc w:val="both"/>
        <w:rPr>
          <w:rFonts w:ascii="Arial" w:hAnsi="Arial" w:cs="Arial"/>
        </w:rPr>
      </w:pPr>
    </w:p>
    <w:p w14:paraId="6D6CF6DC" w14:textId="77777777" w:rsidR="00D607E8" w:rsidRPr="00D607E8" w:rsidRDefault="00D607E8" w:rsidP="00D607E8">
      <w:pPr>
        <w:jc w:val="both"/>
        <w:rPr>
          <w:rFonts w:ascii="Arial" w:hAnsi="Arial" w:cs="Arial"/>
        </w:rPr>
      </w:pPr>
      <w:r w:rsidRPr="00D607E8">
        <w:rPr>
          <w:rFonts w:ascii="Arial" w:hAnsi="Arial" w:cs="Arial"/>
        </w:rPr>
        <w:t>This finding suggests that the more effective the workplace environment practices—such as communication, implementation, and evaluation—the stronger the career resilience of teachers. A positive and supportive workplace environment appears to play a crucial role in fostering resilience by enhancing teachers' confidence, ability to manage stress, and overall emotional well-being. This relationship highlights the importance of maintaining a work environment that promotes collaboration, trust, and professional growth, which in turn can help teachers better navigate the challenges of their profession.</w:t>
      </w:r>
    </w:p>
    <w:p w14:paraId="084758E6" w14:textId="77777777" w:rsidR="00D607E8" w:rsidRPr="00D607E8" w:rsidRDefault="00D607E8" w:rsidP="00D607E8">
      <w:pPr>
        <w:jc w:val="both"/>
        <w:rPr>
          <w:rFonts w:ascii="Arial" w:hAnsi="Arial" w:cs="Arial"/>
        </w:rPr>
      </w:pPr>
    </w:p>
    <w:p w14:paraId="6E11CB8A" w14:textId="6ECA335B" w:rsidR="00DE3EAB" w:rsidRDefault="00D607E8" w:rsidP="00D607E8">
      <w:pPr>
        <w:jc w:val="both"/>
        <w:rPr>
          <w:rFonts w:ascii="Arial" w:hAnsi="Arial" w:cs="Arial"/>
        </w:rPr>
      </w:pPr>
      <w:r w:rsidRPr="00D607E8">
        <w:rPr>
          <w:rFonts w:ascii="Arial" w:hAnsi="Arial" w:cs="Arial"/>
        </w:rPr>
        <w:t xml:space="preserve">This result aligns with the study of </w:t>
      </w:r>
      <w:r w:rsidR="00510C98" w:rsidRPr="00510C98">
        <w:rPr>
          <w:rFonts w:ascii="Arial" w:hAnsi="Arial" w:cs="Arial"/>
        </w:rPr>
        <w:t>Jiang</w:t>
      </w:r>
      <w:r w:rsidR="00510C98">
        <w:rPr>
          <w:rFonts w:ascii="Arial" w:hAnsi="Arial" w:cs="Arial"/>
        </w:rPr>
        <w:t xml:space="preserve"> et al.</w:t>
      </w:r>
      <w:r w:rsidRPr="00D607E8">
        <w:rPr>
          <w:rFonts w:ascii="Arial" w:hAnsi="Arial" w:cs="Arial"/>
        </w:rPr>
        <w:t xml:space="preserve"> (20</w:t>
      </w:r>
      <w:r w:rsidR="00510C98">
        <w:rPr>
          <w:rFonts w:ascii="Arial" w:hAnsi="Arial" w:cs="Arial"/>
        </w:rPr>
        <w:t>21</w:t>
      </w:r>
      <w:r w:rsidRPr="00D607E8">
        <w:rPr>
          <w:rFonts w:ascii="Arial" w:hAnsi="Arial" w:cs="Arial"/>
        </w:rPr>
        <w:t xml:space="preserve">), who emphasized the importance of a supportive work environment in enhancing career resilience, particularly in terms of adapting to challenges and maintaining a positive outlook. Similarly, </w:t>
      </w:r>
      <w:r w:rsidR="00510C98" w:rsidRPr="00510C98">
        <w:rPr>
          <w:rFonts w:ascii="Arial" w:hAnsi="Arial" w:cs="Arial"/>
        </w:rPr>
        <w:t xml:space="preserve">Duchek </w:t>
      </w:r>
      <w:r w:rsidR="00510C98">
        <w:rPr>
          <w:rFonts w:ascii="Arial" w:hAnsi="Arial" w:cs="Arial"/>
        </w:rPr>
        <w:t xml:space="preserve">et al. </w:t>
      </w:r>
      <w:r w:rsidRPr="00D607E8">
        <w:rPr>
          <w:rFonts w:ascii="Arial" w:hAnsi="Arial" w:cs="Arial"/>
        </w:rPr>
        <w:t>(20</w:t>
      </w:r>
      <w:r w:rsidR="00510C98">
        <w:rPr>
          <w:rFonts w:ascii="Arial" w:hAnsi="Arial" w:cs="Arial"/>
        </w:rPr>
        <w:t>2</w:t>
      </w:r>
      <w:r w:rsidRPr="00D607E8">
        <w:rPr>
          <w:rFonts w:ascii="Arial" w:hAnsi="Arial" w:cs="Arial"/>
        </w:rPr>
        <w:t xml:space="preserve">2) found that a well-structured and encouraging work environment plays a key role in strengthening individuals’ resilience, particularly when it comes to managing stress and overcoming professional setbacks. Furthermore, </w:t>
      </w:r>
      <w:r w:rsidR="00510C98" w:rsidRPr="00510C98">
        <w:rPr>
          <w:rFonts w:ascii="Arial" w:hAnsi="Arial" w:cs="Arial"/>
        </w:rPr>
        <w:t xml:space="preserve">Mullen </w:t>
      </w:r>
      <w:r w:rsidR="00510C98">
        <w:rPr>
          <w:rFonts w:ascii="Arial" w:hAnsi="Arial" w:cs="Arial"/>
        </w:rPr>
        <w:t xml:space="preserve">et al. </w:t>
      </w:r>
      <w:r w:rsidRPr="00D607E8">
        <w:rPr>
          <w:rFonts w:ascii="Arial" w:hAnsi="Arial" w:cs="Arial"/>
        </w:rPr>
        <w:t>(20</w:t>
      </w:r>
      <w:r w:rsidR="00510C98">
        <w:rPr>
          <w:rFonts w:ascii="Arial" w:hAnsi="Arial" w:cs="Arial"/>
        </w:rPr>
        <w:t>21</w:t>
      </w:r>
      <w:r w:rsidRPr="00D607E8">
        <w:rPr>
          <w:rFonts w:ascii="Arial" w:hAnsi="Arial" w:cs="Arial"/>
        </w:rPr>
        <w:t>) highlighted that organizational practices and workplace culture significantly impact career resilience, suggesting that fostering positive relationships and providing professional development opportunities can enhance teachers' ability to cope with stress and sustain their careers over time.</w:t>
      </w:r>
    </w:p>
    <w:p w14:paraId="08138AF1" w14:textId="77777777" w:rsidR="00E34EA8" w:rsidRDefault="00E34EA8" w:rsidP="00DE3EAB">
      <w:pPr>
        <w:jc w:val="both"/>
        <w:rPr>
          <w:rFonts w:ascii="Arial" w:hAnsi="Arial" w:cs="Arial"/>
        </w:rPr>
      </w:pPr>
    </w:p>
    <w:p w14:paraId="01C75831" w14:textId="4A9531EA" w:rsidR="00107572" w:rsidRPr="00107572" w:rsidRDefault="00665D1C" w:rsidP="00B6361C">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B6361C" w:rsidRPr="00B6361C">
        <w:rPr>
          <w:rFonts w:ascii="Arial" w:hAnsi="Arial" w:cs="Arial"/>
          <w:b/>
          <w:bCs/>
          <w:iCs/>
        </w:rPr>
        <w:t xml:space="preserve">The Domains of Workplace Environment Practices </w:t>
      </w:r>
      <w:r w:rsidR="00B6361C">
        <w:rPr>
          <w:rFonts w:ascii="Arial" w:hAnsi="Arial" w:cs="Arial"/>
          <w:b/>
          <w:bCs/>
          <w:iCs/>
        </w:rPr>
        <w:t xml:space="preserve">that </w:t>
      </w:r>
      <w:proofErr w:type="gramStart"/>
      <w:r w:rsidR="00B6361C" w:rsidRPr="00B6361C">
        <w:rPr>
          <w:rFonts w:ascii="Arial" w:hAnsi="Arial" w:cs="Arial"/>
          <w:b/>
          <w:bCs/>
          <w:iCs/>
        </w:rPr>
        <w:t xml:space="preserve">is </w:t>
      </w:r>
      <w:r w:rsidR="00B6361C">
        <w:rPr>
          <w:rFonts w:ascii="Arial" w:hAnsi="Arial" w:cs="Arial"/>
          <w:b/>
          <w:bCs/>
          <w:iCs/>
        </w:rPr>
        <w:t xml:space="preserve"> </w:t>
      </w:r>
      <w:r w:rsidR="00B6361C" w:rsidRPr="00B6361C">
        <w:rPr>
          <w:rFonts w:ascii="Arial" w:hAnsi="Arial" w:cs="Arial"/>
          <w:b/>
          <w:bCs/>
          <w:iCs/>
        </w:rPr>
        <w:t>Significantly</w:t>
      </w:r>
      <w:proofErr w:type="gramEnd"/>
      <w:r w:rsidR="00B6361C" w:rsidRPr="00B6361C">
        <w:rPr>
          <w:rFonts w:ascii="Arial" w:hAnsi="Arial" w:cs="Arial"/>
          <w:b/>
          <w:bCs/>
          <w:iCs/>
        </w:rPr>
        <w:t xml:space="preserve"> Influence Career Resilience</w:t>
      </w:r>
    </w:p>
    <w:p w14:paraId="5314F880" w14:textId="578F1243" w:rsidR="00B364F1" w:rsidRDefault="00B364F1" w:rsidP="00665D1C">
      <w:pPr>
        <w:rPr>
          <w:rFonts w:ascii="Arial" w:hAnsi="Arial" w:cs="Arial"/>
          <w:b/>
          <w:bCs/>
          <w:iCs/>
        </w:rPr>
      </w:pPr>
    </w:p>
    <w:p w14:paraId="461FD1E7" w14:textId="72518425" w:rsidR="00DE3EAB" w:rsidRPr="00B6361C" w:rsidRDefault="00B364F1" w:rsidP="00B364F1">
      <w:pPr>
        <w:jc w:val="both"/>
        <w:rPr>
          <w:rFonts w:ascii="Arial" w:eastAsia="Arial" w:hAnsi="Arial"/>
          <w:i/>
          <w:iCs/>
        </w:rPr>
      </w:pPr>
      <w:r w:rsidRPr="00B364F1">
        <w:rPr>
          <w:rFonts w:ascii="Arial" w:eastAsia="Arial" w:hAnsi="Arial"/>
          <w:b/>
        </w:rPr>
        <w:lastRenderedPageBreak/>
        <w:t xml:space="preserve">Table 4. </w:t>
      </w:r>
      <w:r w:rsidR="00B6361C" w:rsidRPr="00B6361C">
        <w:rPr>
          <w:rFonts w:ascii="Arial" w:eastAsia="Arial" w:hAnsi="Arial"/>
          <w:i/>
          <w:iCs/>
        </w:rPr>
        <w:t xml:space="preserve">The Domains of Workplace Environment Practices that </w:t>
      </w:r>
      <w:proofErr w:type="gramStart"/>
      <w:r w:rsidR="00B6361C" w:rsidRPr="00B6361C">
        <w:rPr>
          <w:rFonts w:ascii="Arial" w:eastAsia="Arial" w:hAnsi="Arial"/>
          <w:i/>
          <w:iCs/>
        </w:rPr>
        <w:t>is  Significantly</w:t>
      </w:r>
      <w:proofErr w:type="gramEnd"/>
      <w:r w:rsidR="00B6361C" w:rsidRPr="00B6361C">
        <w:rPr>
          <w:rFonts w:ascii="Arial" w:eastAsia="Arial" w:hAnsi="Arial"/>
          <w:i/>
          <w:iCs/>
        </w:rPr>
        <w:t xml:space="preserve"> Influence Career Resilience</w:t>
      </w:r>
    </w:p>
    <w:p w14:paraId="5635BDF1" w14:textId="77777777" w:rsidR="00B6361C" w:rsidRPr="00B364F1" w:rsidRDefault="00B6361C" w:rsidP="00B364F1">
      <w:pPr>
        <w:jc w:val="both"/>
        <w:rPr>
          <w:rFonts w:ascii="Arial" w:eastAsia="Arial" w:hAnsi="Arial"/>
          <w:i/>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39"/>
        <w:gridCol w:w="1573"/>
        <w:gridCol w:w="1251"/>
        <w:gridCol w:w="1230"/>
        <w:gridCol w:w="1252"/>
        <w:gridCol w:w="1263"/>
      </w:tblGrid>
      <w:tr w:rsidR="00B6361C" w14:paraId="39CCA0B3" w14:textId="77777777" w:rsidTr="00B6361C">
        <w:trPr>
          <w:trHeight w:val="576"/>
        </w:trPr>
        <w:tc>
          <w:tcPr>
            <w:tcW w:w="3212" w:type="dxa"/>
            <w:gridSpan w:val="2"/>
            <w:tcBorders>
              <w:top w:val="nil"/>
              <w:bottom w:val="single" w:sz="4" w:space="0" w:color="auto"/>
            </w:tcBorders>
            <w:vAlign w:val="center"/>
          </w:tcPr>
          <w:p w14:paraId="7F03EF2F" w14:textId="79FC2AEF" w:rsidR="00B6361C" w:rsidRPr="008F0E58" w:rsidRDefault="00B6361C" w:rsidP="00B6361C">
            <w:pPr>
              <w:rPr>
                <w:rFonts w:ascii="Arial" w:hAnsi="Arial" w:cs="Arial"/>
                <w:iCs/>
                <w:sz w:val="20"/>
                <w:szCs w:val="20"/>
              </w:rPr>
            </w:pPr>
            <w:r w:rsidRPr="008F0E58">
              <w:rPr>
                <w:rStyle w:val="Strong"/>
                <w:rFonts w:ascii="Arial" w:eastAsia="Calibri" w:hAnsi="Arial" w:cs="Arial"/>
                <w:iCs/>
                <w:sz w:val="20"/>
                <w:szCs w:val="20"/>
              </w:rPr>
              <w:t>Workplace Environment Practices</w:t>
            </w:r>
          </w:p>
        </w:tc>
        <w:tc>
          <w:tcPr>
            <w:tcW w:w="1251" w:type="dxa"/>
            <w:tcBorders>
              <w:top w:val="nil"/>
              <w:bottom w:val="single" w:sz="4" w:space="0" w:color="auto"/>
            </w:tcBorders>
            <w:vAlign w:val="center"/>
          </w:tcPr>
          <w:p w14:paraId="54FBDC41" w14:textId="77777777" w:rsidR="00B6361C" w:rsidRPr="008F0E58" w:rsidRDefault="00B6361C" w:rsidP="00944B3C">
            <w:pPr>
              <w:jc w:val="center"/>
              <w:rPr>
                <w:rFonts w:ascii="Arial" w:hAnsi="Arial" w:cs="Arial"/>
                <w:i/>
                <w:sz w:val="20"/>
                <w:szCs w:val="20"/>
              </w:rPr>
            </w:pPr>
            <w:r w:rsidRPr="008F0E58">
              <w:rPr>
                <w:rFonts w:ascii="Arial" w:hAnsi="Arial" w:cs="Arial"/>
                <w:i/>
                <w:sz w:val="20"/>
                <w:szCs w:val="20"/>
              </w:rPr>
              <w:t>B</w:t>
            </w:r>
          </w:p>
        </w:tc>
        <w:tc>
          <w:tcPr>
            <w:tcW w:w="1230" w:type="dxa"/>
            <w:tcBorders>
              <w:top w:val="nil"/>
              <w:bottom w:val="single" w:sz="4" w:space="0" w:color="auto"/>
            </w:tcBorders>
            <w:vAlign w:val="center"/>
          </w:tcPr>
          <w:p w14:paraId="5D3D7EF5" w14:textId="1B8BACA9" w:rsidR="00B6361C" w:rsidRPr="008F0E58" w:rsidRDefault="00A35F70" w:rsidP="00944B3C">
            <w:pPr>
              <w:jc w:val="center"/>
              <w:rPr>
                <w:rFonts w:ascii="Arial" w:hAnsi="Arial" w:cs="Arial"/>
                <w:sz w:val="20"/>
                <w:szCs w:val="20"/>
              </w:rPr>
            </w:pPr>
            <w:r w:rsidRPr="008F0E58">
              <w:rPr>
                <w:rFonts w:ascii="Arial" w:hAnsi="Arial" w:cs="Arial"/>
                <w:sz w:val="20"/>
                <w:szCs w:val="20"/>
              </w:rPr>
              <w:t>Β</w:t>
            </w:r>
          </w:p>
        </w:tc>
        <w:tc>
          <w:tcPr>
            <w:tcW w:w="1252" w:type="dxa"/>
            <w:tcBorders>
              <w:top w:val="nil"/>
              <w:bottom w:val="single" w:sz="4" w:space="0" w:color="auto"/>
            </w:tcBorders>
            <w:vAlign w:val="center"/>
          </w:tcPr>
          <w:p w14:paraId="1B3C5293" w14:textId="77777777" w:rsidR="00B6361C" w:rsidRPr="008F0E58" w:rsidRDefault="00B6361C" w:rsidP="00944B3C">
            <w:pPr>
              <w:jc w:val="center"/>
              <w:rPr>
                <w:rFonts w:ascii="Arial" w:hAnsi="Arial" w:cs="Arial"/>
                <w:i/>
                <w:sz w:val="20"/>
                <w:szCs w:val="20"/>
              </w:rPr>
            </w:pPr>
            <w:r w:rsidRPr="008F0E58">
              <w:rPr>
                <w:rFonts w:ascii="Arial" w:hAnsi="Arial" w:cs="Arial"/>
                <w:i/>
                <w:sz w:val="20"/>
                <w:szCs w:val="20"/>
              </w:rPr>
              <w:t>t</w:t>
            </w:r>
          </w:p>
        </w:tc>
        <w:tc>
          <w:tcPr>
            <w:tcW w:w="1263" w:type="dxa"/>
            <w:tcBorders>
              <w:top w:val="nil"/>
              <w:bottom w:val="single" w:sz="4" w:space="0" w:color="auto"/>
            </w:tcBorders>
            <w:vAlign w:val="center"/>
          </w:tcPr>
          <w:p w14:paraId="74389582" w14:textId="77777777" w:rsidR="00B6361C" w:rsidRPr="008F0E58" w:rsidRDefault="00B6361C" w:rsidP="00944B3C">
            <w:pPr>
              <w:jc w:val="center"/>
              <w:rPr>
                <w:rFonts w:ascii="Arial" w:hAnsi="Arial" w:cs="Arial"/>
                <w:i/>
                <w:sz w:val="20"/>
                <w:szCs w:val="20"/>
              </w:rPr>
            </w:pPr>
            <w:r w:rsidRPr="008F0E58">
              <w:rPr>
                <w:rFonts w:ascii="Arial" w:hAnsi="Arial" w:cs="Arial"/>
                <w:i/>
                <w:sz w:val="20"/>
                <w:szCs w:val="20"/>
              </w:rPr>
              <w:t>Sig.</w:t>
            </w:r>
          </w:p>
        </w:tc>
      </w:tr>
      <w:tr w:rsidR="008F0E58" w14:paraId="47F8C8B4" w14:textId="77777777" w:rsidTr="00A80944">
        <w:trPr>
          <w:trHeight w:val="576"/>
        </w:trPr>
        <w:tc>
          <w:tcPr>
            <w:tcW w:w="3212" w:type="dxa"/>
            <w:gridSpan w:val="2"/>
            <w:tcBorders>
              <w:top w:val="nil"/>
              <w:bottom w:val="single" w:sz="4" w:space="0" w:color="auto"/>
            </w:tcBorders>
          </w:tcPr>
          <w:p w14:paraId="4718F465" w14:textId="1609191B" w:rsidR="008F0E58" w:rsidRPr="008F0E58" w:rsidRDefault="008F0E58" w:rsidP="008F0E58">
            <w:pPr>
              <w:rPr>
                <w:rStyle w:val="Strong"/>
                <w:rFonts w:ascii="Arial" w:eastAsia="Calibri" w:hAnsi="Arial" w:cs="Arial"/>
                <w:iCs/>
                <w:sz w:val="20"/>
                <w:szCs w:val="20"/>
              </w:rPr>
            </w:pPr>
            <w:r w:rsidRPr="008F0E58">
              <w:rPr>
                <w:rFonts w:ascii="Arial" w:eastAsia="Arial" w:hAnsi="Arial" w:cs="Arial"/>
                <w:sz w:val="20"/>
                <w:szCs w:val="20"/>
              </w:rPr>
              <w:t>Constant</w:t>
            </w:r>
          </w:p>
        </w:tc>
        <w:tc>
          <w:tcPr>
            <w:tcW w:w="1251" w:type="dxa"/>
            <w:tcBorders>
              <w:top w:val="nil"/>
              <w:bottom w:val="single" w:sz="4" w:space="0" w:color="auto"/>
            </w:tcBorders>
            <w:vAlign w:val="center"/>
          </w:tcPr>
          <w:p w14:paraId="2364A3FB" w14:textId="7614E5E4" w:rsidR="008F0E58" w:rsidRPr="008F0E58" w:rsidRDefault="008F0E58" w:rsidP="008F0E58">
            <w:pPr>
              <w:jc w:val="center"/>
              <w:rPr>
                <w:rFonts w:ascii="Arial" w:hAnsi="Arial" w:cs="Arial"/>
                <w:sz w:val="20"/>
                <w:szCs w:val="20"/>
              </w:rPr>
            </w:pPr>
            <w:r w:rsidRPr="008F0E58">
              <w:rPr>
                <w:rFonts w:ascii="Arial" w:hAnsi="Arial" w:cs="Arial"/>
                <w:color w:val="000000"/>
                <w:sz w:val="20"/>
                <w:szCs w:val="20"/>
              </w:rPr>
              <w:t>1.74</w:t>
            </w:r>
          </w:p>
        </w:tc>
        <w:tc>
          <w:tcPr>
            <w:tcW w:w="1230" w:type="dxa"/>
            <w:tcBorders>
              <w:top w:val="nil"/>
              <w:bottom w:val="single" w:sz="4" w:space="0" w:color="auto"/>
            </w:tcBorders>
            <w:vAlign w:val="center"/>
          </w:tcPr>
          <w:p w14:paraId="66F38D21" w14:textId="1AC447CD" w:rsidR="008F0E58" w:rsidRPr="008F0E58" w:rsidRDefault="008F0E58" w:rsidP="008F0E58">
            <w:pPr>
              <w:jc w:val="center"/>
              <w:rPr>
                <w:rFonts w:ascii="Arial" w:hAnsi="Arial" w:cs="Arial"/>
                <w:sz w:val="20"/>
                <w:szCs w:val="20"/>
              </w:rPr>
            </w:pPr>
            <w:r w:rsidRPr="008F0E58">
              <w:rPr>
                <w:rFonts w:ascii="Arial" w:hAnsi="Arial" w:cs="Arial"/>
                <w:color w:val="000000"/>
                <w:sz w:val="20"/>
                <w:szCs w:val="20"/>
              </w:rPr>
              <w:t>0.45</w:t>
            </w:r>
          </w:p>
        </w:tc>
        <w:tc>
          <w:tcPr>
            <w:tcW w:w="1252" w:type="dxa"/>
            <w:tcBorders>
              <w:top w:val="nil"/>
              <w:bottom w:val="single" w:sz="4" w:space="0" w:color="auto"/>
            </w:tcBorders>
            <w:vAlign w:val="center"/>
          </w:tcPr>
          <w:p w14:paraId="287A06A1" w14:textId="63675F26" w:rsidR="008F0E58" w:rsidRPr="008F0E58" w:rsidRDefault="008F0E58" w:rsidP="008F0E58">
            <w:pPr>
              <w:jc w:val="center"/>
              <w:rPr>
                <w:rFonts w:ascii="Arial" w:hAnsi="Arial" w:cs="Arial"/>
                <w:sz w:val="20"/>
                <w:szCs w:val="20"/>
              </w:rPr>
            </w:pPr>
            <w:r w:rsidRPr="008F0E58">
              <w:rPr>
                <w:rFonts w:ascii="Arial" w:hAnsi="Arial" w:cs="Arial"/>
                <w:color w:val="000000"/>
                <w:sz w:val="20"/>
                <w:szCs w:val="20"/>
              </w:rPr>
              <w:t>3.87</w:t>
            </w:r>
          </w:p>
        </w:tc>
        <w:tc>
          <w:tcPr>
            <w:tcW w:w="1263" w:type="dxa"/>
            <w:tcBorders>
              <w:top w:val="nil"/>
              <w:bottom w:val="single" w:sz="4" w:space="0" w:color="auto"/>
            </w:tcBorders>
            <w:vAlign w:val="center"/>
          </w:tcPr>
          <w:p w14:paraId="6C5D0795" w14:textId="7D99D55F" w:rsidR="008F0E58" w:rsidRPr="008F0E58" w:rsidRDefault="008F0E58" w:rsidP="008F0E58">
            <w:pPr>
              <w:jc w:val="center"/>
              <w:rPr>
                <w:rFonts w:ascii="Arial" w:hAnsi="Arial" w:cs="Arial"/>
                <w:sz w:val="20"/>
                <w:szCs w:val="20"/>
              </w:rPr>
            </w:pPr>
            <w:r w:rsidRPr="008F0E58">
              <w:rPr>
                <w:rFonts w:ascii="Arial" w:hAnsi="Arial" w:cs="Arial"/>
                <w:sz w:val="20"/>
                <w:szCs w:val="20"/>
              </w:rPr>
              <w:t>.000</w:t>
            </w:r>
          </w:p>
        </w:tc>
      </w:tr>
      <w:tr w:rsidR="00B6361C" w14:paraId="54BE23C9" w14:textId="77777777" w:rsidTr="00B6361C">
        <w:trPr>
          <w:trHeight w:val="432"/>
        </w:trPr>
        <w:tc>
          <w:tcPr>
            <w:tcW w:w="3212" w:type="dxa"/>
            <w:gridSpan w:val="2"/>
            <w:tcBorders>
              <w:top w:val="single" w:sz="4" w:space="0" w:color="auto"/>
            </w:tcBorders>
          </w:tcPr>
          <w:p w14:paraId="30B82903" w14:textId="77777777" w:rsidR="00B6361C" w:rsidRPr="008F0E58" w:rsidRDefault="00B6361C" w:rsidP="00944B3C">
            <w:pPr>
              <w:tabs>
                <w:tab w:val="left" w:pos="720"/>
              </w:tabs>
              <w:jc w:val="both"/>
              <w:rPr>
                <w:rFonts w:ascii="Arial" w:hAnsi="Arial" w:cs="Arial"/>
                <w:sz w:val="20"/>
                <w:szCs w:val="20"/>
              </w:rPr>
            </w:pPr>
            <w:r w:rsidRPr="008F0E58">
              <w:rPr>
                <w:rFonts w:ascii="Arial" w:hAnsi="Arial" w:cs="Arial"/>
                <w:bCs/>
                <w:sz w:val="20"/>
                <w:szCs w:val="20"/>
              </w:rPr>
              <w:t>communication</w:t>
            </w:r>
            <w:r w:rsidRPr="008F0E58">
              <w:rPr>
                <w:rFonts w:ascii="Arial" w:hAnsi="Arial" w:cs="Arial"/>
                <w:sz w:val="20"/>
                <w:szCs w:val="20"/>
              </w:rPr>
              <w:t xml:space="preserve"> </w:t>
            </w:r>
          </w:p>
        </w:tc>
        <w:tc>
          <w:tcPr>
            <w:tcW w:w="1251" w:type="dxa"/>
            <w:tcBorders>
              <w:top w:val="single" w:sz="4" w:space="0" w:color="auto"/>
            </w:tcBorders>
            <w:vAlign w:val="center"/>
          </w:tcPr>
          <w:p w14:paraId="240A1575"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.075</w:t>
            </w:r>
          </w:p>
        </w:tc>
        <w:tc>
          <w:tcPr>
            <w:tcW w:w="1230" w:type="dxa"/>
            <w:tcBorders>
              <w:top w:val="single" w:sz="4" w:space="0" w:color="auto"/>
            </w:tcBorders>
            <w:vAlign w:val="center"/>
          </w:tcPr>
          <w:p w14:paraId="31E5FA47"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.056</w:t>
            </w:r>
          </w:p>
        </w:tc>
        <w:tc>
          <w:tcPr>
            <w:tcW w:w="1252" w:type="dxa"/>
            <w:tcBorders>
              <w:top w:val="single" w:sz="4" w:space="0" w:color="auto"/>
            </w:tcBorders>
            <w:vAlign w:val="center"/>
          </w:tcPr>
          <w:p w14:paraId="5EBF484A"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.503</w:t>
            </w:r>
          </w:p>
        </w:tc>
        <w:tc>
          <w:tcPr>
            <w:tcW w:w="1263" w:type="dxa"/>
            <w:tcBorders>
              <w:top w:val="single" w:sz="4" w:space="0" w:color="auto"/>
            </w:tcBorders>
            <w:vAlign w:val="center"/>
          </w:tcPr>
          <w:p w14:paraId="6B451832"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.002</w:t>
            </w:r>
          </w:p>
        </w:tc>
      </w:tr>
      <w:tr w:rsidR="00B6361C" w14:paraId="0136E059" w14:textId="77777777" w:rsidTr="00E8237A">
        <w:trPr>
          <w:trHeight w:val="432"/>
        </w:trPr>
        <w:tc>
          <w:tcPr>
            <w:tcW w:w="3212" w:type="dxa"/>
            <w:gridSpan w:val="2"/>
          </w:tcPr>
          <w:p w14:paraId="5F3EEDAA" w14:textId="77777777" w:rsidR="00B6361C" w:rsidRPr="008F0E58" w:rsidRDefault="00B6361C" w:rsidP="00944B3C">
            <w:pPr>
              <w:tabs>
                <w:tab w:val="left" w:pos="720"/>
              </w:tabs>
              <w:jc w:val="both"/>
              <w:rPr>
                <w:rFonts w:ascii="Arial" w:hAnsi="Arial" w:cs="Arial"/>
                <w:sz w:val="20"/>
                <w:szCs w:val="20"/>
              </w:rPr>
            </w:pPr>
            <w:r w:rsidRPr="008F0E58">
              <w:rPr>
                <w:rFonts w:ascii="Arial" w:hAnsi="Arial" w:cs="Arial"/>
                <w:bCs/>
                <w:sz w:val="20"/>
                <w:szCs w:val="20"/>
              </w:rPr>
              <w:t xml:space="preserve">planning </w:t>
            </w:r>
          </w:p>
        </w:tc>
        <w:tc>
          <w:tcPr>
            <w:tcW w:w="1251" w:type="dxa"/>
            <w:vAlign w:val="center"/>
          </w:tcPr>
          <w:p w14:paraId="0C30730B"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.014</w:t>
            </w:r>
          </w:p>
        </w:tc>
        <w:tc>
          <w:tcPr>
            <w:tcW w:w="1230" w:type="dxa"/>
            <w:vAlign w:val="center"/>
          </w:tcPr>
          <w:p w14:paraId="39BA3022"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.012</w:t>
            </w:r>
          </w:p>
        </w:tc>
        <w:tc>
          <w:tcPr>
            <w:tcW w:w="1252" w:type="dxa"/>
            <w:vAlign w:val="center"/>
          </w:tcPr>
          <w:p w14:paraId="36D5589A"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.125</w:t>
            </w:r>
          </w:p>
        </w:tc>
        <w:tc>
          <w:tcPr>
            <w:tcW w:w="1263" w:type="dxa"/>
            <w:vAlign w:val="center"/>
          </w:tcPr>
          <w:p w14:paraId="31B4D407"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.000</w:t>
            </w:r>
          </w:p>
        </w:tc>
      </w:tr>
      <w:tr w:rsidR="00B6361C" w14:paraId="365EFCA9" w14:textId="77777777" w:rsidTr="004D4204">
        <w:trPr>
          <w:trHeight w:val="432"/>
        </w:trPr>
        <w:tc>
          <w:tcPr>
            <w:tcW w:w="3212" w:type="dxa"/>
            <w:gridSpan w:val="2"/>
          </w:tcPr>
          <w:p w14:paraId="653F8078" w14:textId="77777777" w:rsidR="00B6361C" w:rsidRPr="008F0E58" w:rsidRDefault="00B6361C" w:rsidP="00944B3C">
            <w:pPr>
              <w:tabs>
                <w:tab w:val="left" w:pos="720"/>
              </w:tabs>
              <w:jc w:val="both"/>
              <w:rPr>
                <w:rFonts w:ascii="Arial" w:hAnsi="Arial" w:cs="Arial"/>
                <w:bCs/>
                <w:sz w:val="20"/>
                <w:szCs w:val="20"/>
              </w:rPr>
            </w:pPr>
            <w:r w:rsidRPr="008F0E58">
              <w:rPr>
                <w:rFonts w:ascii="Arial" w:hAnsi="Arial" w:cs="Arial"/>
                <w:bCs/>
                <w:sz w:val="20"/>
                <w:szCs w:val="20"/>
              </w:rPr>
              <w:t>implementation</w:t>
            </w:r>
          </w:p>
        </w:tc>
        <w:tc>
          <w:tcPr>
            <w:tcW w:w="1251" w:type="dxa"/>
            <w:vAlign w:val="center"/>
          </w:tcPr>
          <w:p w14:paraId="50306FD8"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.217</w:t>
            </w:r>
          </w:p>
        </w:tc>
        <w:tc>
          <w:tcPr>
            <w:tcW w:w="1230" w:type="dxa"/>
            <w:vAlign w:val="center"/>
          </w:tcPr>
          <w:p w14:paraId="6D3F975E"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.205</w:t>
            </w:r>
          </w:p>
        </w:tc>
        <w:tc>
          <w:tcPr>
            <w:tcW w:w="1252" w:type="dxa"/>
            <w:vAlign w:val="center"/>
          </w:tcPr>
          <w:p w14:paraId="3B9EF28D"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1.807</w:t>
            </w:r>
          </w:p>
        </w:tc>
        <w:tc>
          <w:tcPr>
            <w:tcW w:w="1263" w:type="dxa"/>
            <w:vAlign w:val="center"/>
          </w:tcPr>
          <w:p w14:paraId="5BCBD95F"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.000</w:t>
            </w:r>
          </w:p>
        </w:tc>
      </w:tr>
      <w:tr w:rsidR="00B6361C" w14:paraId="6FCB9B3A" w14:textId="77777777" w:rsidTr="00D14D71">
        <w:trPr>
          <w:trHeight w:val="432"/>
        </w:trPr>
        <w:tc>
          <w:tcPr>
            <w:tcW w:w="3212" w:type="dxa"/>
            <w:gridSpan w:val="2"/>
          </w:tcPr>
          <w:p w14:paraId="75CC5547" w14:textId="77777777" w:rsidR="00B6361C" w:rsidRPr="008F0E58" w:rsidRDefault="00B6361C" w:rsidP="00944B3C">
            <w:pPr>
              <w:rPr>
                <w:sz w:val="20"/>
                <w:szCs w:val="20"/>
              </w:rPr>
            </w:pPr>
            <w:r w:rsidRPr="008F0E58">
              <w:rPr>
                <w:rFonts w:ascii="Arial" w:hAnsi="Arial" w:cs="Arial"/>
                <w:bCs/>
                <w:sz w:val="20"/>
                <w:szCs w:val="20"/>
              </w:rPr>
              <w:t xml:space="preserve">evaluation  </w:t>
            </w:r>
          </w:p>
        </w:tc>
        <w:tc>
          <w:tcPr>
            <w:tcW w:w="1251" w:type="dxa"/>
            <w:vAlign w:val="center"/>
          </w:tcPr>
          <w:p w14:paraId="3AF08333"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.074</w:t>
            </w:r>
          </w:p>
        </w:tc>
        <w:tc>
          <w:tcPr>
            <w:tcW w:w="1230" w:type="dxa"/>
            <w:vAlign w:val="center"/>
          </w:tcPr>
          <w:p w14:paraId="37E5FF7D"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.057</w:t>
            </w:r>
          </w:p>
        </w:tc>
        <w:tc>
          <w:tcPr>
            <w:tcW w:w="1252" w:type="dxa"/>
            <w:vAlign w:val="center"/>
          </w:tcPr>
          <w:p w14:paraId="0D872E96"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.502</w:t>
            </w:r>
          </w:p>
        </w:tc>
        <w:tc>
          <w:tcPr>
            <w:tcW w:w="1263" w:type="dxa"/>
            <w:vAlign w:val="center"/>
          </w:tcPr>
          <w:p w14:paraId="1612F19C"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.040</w:t>
            </w:r>
          </w:p>
        </w:tc>
      </w:tr>
      <w:tr w:rsidR="00B6361C" w14:paraId="2A92BCBF" w14:textId="77777777" w:rsidTr="00B6361C">
        <w:trPr>
          <w:trHeight w:val="432"/>
        </w:trPr>
        <w:tc>
          <w:tcPr>
            <w:tcW w:w="1639" w:type="dxa"/>
          </w:tcPr>
          <w:p w14:paraId="710EEAB1" w14:textId="77777777" w:rsidR="00B6361C" w:rsidRPr="008F0E58" w:rsidRDefault="00B6361C" w:rsidP="00944B3C">
            <w:pPr>
              <w:tabs>
                <w:tab w:val="left" w:pos="720"/>
              </w:tabs>
              <w:jc w:val="both"/>
              <w:rPr>
                <w:rFonts w:ascii="Arial" w:hAnsi="Arial" w:cs="Arial"/>
                <w:bCs/>
                <w:sz w:val="20"/>
                <w:szCs w:val="20"/>
              </w:rPr>
            </w:pPr>
          </w:p>
        </w:tc>
        <w:tc>
          <w:tcPr>
            <w:tcW w:w="1573" w:type="dxa"/>
          </w:tcPr>
          <w:p w14:paraId="644E746C" w14:textId="77777777" w:rsidR="00B6361C" w:rsidRPr="008F0E58" w:rsidRDefault="00B6361C" w:rsidP="00944B3C">
            <w:pPr>
              <w:tabs>
                <w:tab w:val="left" w:pos="720"/>
              </w:tabs>
              <w:jc w:val="both"/>
              <w:rPr>
                <w:rFonts w:ascii="Arial" w:hAnsi="Arial" w:cs="Arial"/>
                <w:sz w:val="20"/>
                <w:szCs w:val="20"/>
              </w:rPr>
            </w:pPr>
          </w:p>
        </w:tc>
        <w:tc>
          <w:tcPr>
            <w:tcW w:w="1251" w:type="dxa"/>
            <w:vAlign w:val="center"/>
          </w:tcPr>
          <w:p w14:paraId="30D53145"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.014</w:t>
            </w:r>
          </w:p>
        </w:tc>
        <w:tc>
          <w:tcPr>
            <w:tcW w:w="1230" w:type="dxa"/>
            <w:vAlign w:val="center"/>
          </w:tcPr>
          <w:p w14:paraId="7DCFFC54"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.012</w:t>
            </w:r>
          </w:p>
        </w:tc>
        <w:tc>
          <w:tcPr>
            <w:tcW w:w="1252" w:type="dxa"/>
            <w:vAlign w:val="center"/>
          </w:tcPr>
          <w:p w14:paraId="2F1021AC"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.225</w:t>
            </w:r>
          </w:p>
        </w:tc>
        <w:tc>
          <w:tcPr>
            <w:tcW w:w="1263" w:type="dxa"/>
            <w:vAlign w:val="center"/>
          </w:tcPr>
          <w:p w14:paraId="18E88067"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.001</w:t>
            </w:r>
          </w:p>
        </w:tc>
      </w:tr>
      <w:tr w:rsidR="00B6361C" w14:paraId="5FDC3FA9" w14:textId="77777777" w:rsidTr="00B6361C">
        <w:trPr>
          <w:trHeight w:val="432"/>
        </w:trPr>
        <w:tc>
          <w:tcPr>
            <w:tcW w:w="1639" w:type="dxa"/>
            <w:vAlign w:val="center"/>
          </w:tcPr>
          <w:p w14:paraId="5A5FB03F"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R</w:t>
            </w:r>
          </w:p>
        </w:tc>
        <w:tc>
          <w:tcPr>
            <w:tcW w:w="1573" w:type="dxa"/>
            <w:vAlign w:val="center"/>
          </w:tcPr>
          <w:p w14:paraId="23F937F5"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0.485</w:t>
            </w:r>
          </w:p>
        </w:tc>
        <w:tc>
          <w:tcPr>
            <w:tcW w:w="1251" w:type="dxa"/>
            <w:vAlign w:val="center"/>
          </w:tcPr>
          <w:p w14:paraId="2AE46807" w14:textId="77777777" w:rsidR="00B6361C" w:rsidRPr="008F0E58" w:rsidRDefault="00B6361C" w:rsidP="00944B3C">
            <w:pPr>
              <w:jc w:val="center"/>
              <w:rPr>
                <w:rFonts w:ascii="Arial" w:hAnsi="Arial" w:cs="Arial"/>
                <w:sz w:val="20"/>
                <w:szCs w:val="20"/>
              </w:rPr>
            </w:pPr>
          </w:p>
        </w:tc>
        <w:tc>
          <w:tcPr>
            <w:tcW w:w="1230" w:type="dxa"/>
          </w:tcPr>
          <w:p w14:paraId="1777ACF6" w14:textId="77777777" w:rsidR="00B6361C" w:rsidRPr="008F0E58" w:rsidRDefault="00B6361C" w:rsidP="00944B3C">
            <w:pPr>
              <w:jc w:val="center"/>
              <w:rPr>
                <w:rFonts w:ascii="Arial" w:hAnsi="Arial" w:cs="Arial"/>
                <w:sz w:val="20"/>
                <w:szCs w:val="20"/>
              </w:rPr>
            </w:pPr>
          </w:p>
        </w:tc>
        <w:tc>
          <w:tcPr>
            <w:tcW w:w="1252" w:type="dxa"/>
          </w:tcPr>
          <w:p w14:paraId="653319BB" w14:textId="77777777" w:rsidR="00B6361C" w:rsidRPr="008F0E58" w:rsidRDefault="00B6361C" w:rsidP="00944B3C">
            <w:pPr>
              <w:jc w:val="center"/>
              <w:rPr>
                <w:rFonts w:ascii="Arial" w:hAnsi="Arial" w:cs="Arial"/>
                <w:sz w:val="20"/>
                <w:szCs w:val="20"/>
              </w:rPr>
            </w:pPr>
          </w:p>
        </w:tc>
        <w:tc>
          <w:tcPr>
            <w:tcW w:w="1263" w:type="dxa"/>
          </w:tcPr>
          <w:p w14:paraId="746EF5E5" w14:textId="77777777" w:rsidR="00B6361C" w:rsidRPr="008F0E58" w:rsidRDefault="00B6361C" w:rsidP="00944B3C">
            <w:pPr>
              <w:jc w:val="center"/>
              <w:rPr>
                <w:rFonts w:ascii="Arial" w:hAnsi="Arial" w:cs="Arial"/>
                <w:sz w:val="20"/>
                <w:szCs w:val="20"/>
              </w:rPr>
            </w:pPr>
          </w:p>
        </w:tc>
      </w:tr>
      <w:tr w:rsidR="00B6361C" w14:paraId="41B5FC12" w14:textId="77777777" w:rsidTr="00B6361C">
        <w:trPr>
          <w:trHeight w:val="432"/>
        </w:trPr>
        <w:tc>
          <w:tcPr>
            <w:tcW w:w="1639" w:type="dxa"/>
            <w:vAlign w:val="center"/>
          </w:tcPr>
          <w:p w14:paraId="1F831EC6" w14:textId="77777777" w:rsidR="00B6361C" w:rsidRPr="008F0E58" w:rsidRDefault="00B6361C" w:rsidP="00944B3C">
            <w:pPr>
              <w:jc w:val="center"/>
              <w:rPr>
                <w:rFonts w:ascii="Arial" w:hAnsi="Arial" w:cs="Arial"/>
                <w:sz w:val="20"/>
                <w:szCs w:val="20"/>
                <w:vertAlign w:val="superscript"/>
              </w:rPr>
            </w:pPr>
            <w:r w:rsidRPr="008F0E58">
              <w:rPr>
                <w:rFonts w:ascii="Arial" w:hAnsi="Arial" w:cs="Arial"/>
                <w:sz w:val="20"/>
                <w:szCs w:val="20"/>
              </w:rPr>
              <w:t>R</w:t>
            </w:r>
            <w:r w:rsidRPr="008F0E58">
              <w:rPr>
                <w:rFonts w:ascii="Arial" w:hAnsi="Arial" w:cs="Arial"/>
                <w:sz w:val="20"/>
                <w:szCs w:val="20"/>
                <w:vertAlign w:val="superscript"/>
              </w:rPr>
              <w:t>2</w:t>
            </w:r>
          </w:p>
        </w:tc>
        <w:tc>
          <w:tcPr>
            <w:tcW w:w="1573" w:type="dxa"/>
            <w:vAlign w:val="center"/>
          </w:tcPr>
          <w:p w14:paraId="04404662"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0.235</w:t>
            </w:r>
          </w:p>
        </w:tc>
        <w:tc>
          <w:tcPr>
            <w:tcW w:w="1251" w:type="dxa"/>
            <w:vAlign w:val="center"/>
          </w:tcPr>
          <w:p w14:paraId="30D8D6C6" w14:textId="77777777" w:rsidR="00B6361C" w:rsidRPr="008F0E58" w:rsidRDefault="00B6361C" w:rsidP="00944B3C">
            <w:pPr>
              <w:jc w:val="center"/>
              <w:rPr>
                <w:rFonts w:ascii="Arial" w:hAnsi="Arial" w:cs="Arial"/>
                <w:sz w:val="20"/>
                <w:szCs w:val="20"/>
              </w:rPr>
            </w:pPr>
          </w:p>
        </w:tc>
        <w:tc>
          <w:tcPr>
            <w:tcW w:w="1230" w:type="dxa"/>
          </w:tcPr>
          <w:p w14:paraId="09B4341D" w14:textId="77777777" w:rsidR="00B6361C" w:rsidRPr="008F0E58" w:rsidRDefault="00B6361C" w:rsidP="00944B3C">
            <w:pPr>
              <w:jc w:val="center"/>
              <w:rPr>
                <w:rFonts w:ascii="Arial" w:hAnsi="Arial" w:cs="Arial"/>
                <w:sz w:val="20"/>
                <w:szCs w:val="20"/>
              </w:rPr>
            </w:pPr>
          </w:p>
        </w:tc>
        <w:tc>
          <w:tcPr>
            <w:tcW w:w="1252" w:type="dxa"/>
          </w:tcPr>
          <w:p w14:paraId="613FE944" w14:textId="77777777" w:rsidR="00B6361C" w:rsidRPr="008F0E58" w:rsidRDefault="00B6361C" w:rsidP="00944B3C">
            <w:pPr>
              <w:jc w:val="center"/>
              <w:rPr>
                <w:rFonts w:ascii="Arial" w:hAnsi="Arial" w:cs="Arial"/>
                <w:sz w:val="20"/>
                <w:szCs w:val="20"/>
              </w:rPr>
            </w:pPr>
          </w:p>
        </w:tc>
        <w:tc>
          <w:tcPr>
            <w:tcW w:w="1263" w:type="dxa"/>
          </w:tcPr>
          <w:p w14:paraId="6BE4C066" w14:textId="77777777" w:rsidR="00B6361C" w:rsidRPr="008F0E58" w:rsidRDefault="00B6361C" w:rsidP="00944B3C">
            <w:pPr>
              <w:jc w:val="center"/>
              <w:rPr>
                <w:rFonts w:ascii="Arial" w:hAnsi="Arial" w:cs="Arial"/>
                <w:sz w:val="20"/>
                <w:szCs w:val="20"/>
              </w:rPr>
            </w:pPr>
          </w:p>
        </w:tc>
      </w:tr>
      <w:tr w:rsidR="00B6361C" w14:paraId="0B4CBA1F" w14:textId="77777777" w:rsidTr="00B6361C">
        <w:trPr>
          <w:trHeight w:val="432"/>
        </w:trPr>
        <w:tc>
          <w:tcPr>
            <w:tcW w:w="1639" w:type="dxa"/>
            <w:vAlign w:val="center"/>
          </w:tcPr>
          <w:p w14:paraId="7D94117B"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F</w:t>
            </w:r>
          </w:p>
        </w:tc>
        <w:tc>
          <w:tcPr>
            <w:tcW w:w="1573" w:type="dxa"/>
            <w:vAlign w:val="center"/>
          </w:tcPr>
          <w:p w14:paraId="346F9ECF"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67.28</w:t>
            </w:r>
          </w:p>
        </w:tc>
        <w:tc>
          <w:tcPr>
            <w:tcW w:w="1251" w:type="dxa"/>
            <w:vAlign w:val="center"/>
          </w:tcPr>
          <w:p w14:paraId="392C403E" w14:textId="77777777" w:rsidR="00B6361C" w:rsidRPr="008F0E58" w:rsidRDefault="00B6361C" w:rsidP="00944B3C">
            <w:pPr>
              <w:jc w:val="center"/>
              <w:rPr>
                <w:rFonts w:ascii="Arial" w:hAnsi="Arial" w:cs="Arial"/>
                <w:sz w:val="20"/>
                <w:szCs w:val="20"/>
              </w:rPr>
            </w:pPr>
          </w:p>
        </w:tc>
        <w:tc>
          <w:tcPr>
            <w:tcW w:w="1230" w:type="dxa"/>
          </w:tcPr>
          <w:p w14:paraId="71A96A94" w14:textId="77777777" w:rsidR="00B6361C" w:rsidRPr="008F0E58" w:rsidRDefault="00B6361C" w:rsidP="00944B3C">
            <w:pPr>
              <w:jc w:val="center"/>
              <w:rPr>
                <w:rFonts w:ascii="Arial" w:hAnsi="Arial" w:cs="Arial"/>
                <w:sz w:val="20"/>
                <w:szCs w:val="20"/>
              </w:rPr>
            </w:pPr>
          </w:p>
        </w:tc>
        <w:tc>
          <w:tcPr>
            <w:tcW w:w="1252" w:type="dxa"/>
          </w:tcPr>
          <w:p w14:paraId="0B6AAABA" w14:textId="77777777" w:rsidR="00B6361C" w:rsidRPr="008F0E58" w:rsidRDefault="00B6361C" w:rsidP="00944B3C">
            <w:pPr>
              <w:jc w:val="center"/>
              <w:rPr>
                <w:rFonts w:ascii="Arial" w:hAnsi="Arial" w:cs="Arial"/>
                <w:sz w:val="20"/>
                <w:szCs w:val="20"/>
              </w:rPr>
            </w:pPr>
          </w:p>
        </w:tc>
        <w:tc>
          <w:tcPr>
            <w:tcW w:w="1263" w:type="dxa"/>
          </w:tcPr>
          <w:p w14:paraId="162457E5" w14:textId="77777777" w:rsidR="00B6361C" w:rsidRPr="008F0E58" w:rsidRDefault="00B6361C" w:rsidP="00944B3C">
            <w:pPr>
              <w:jc w:val="center"/>
              <w:rPr>
                <w:rFonts w:ascii="Arial" w:hAnsi="Arial" w:cs="Arial"/>
                <w:sz w:val="20"/>
                <w:szCs w:val="20"/>
              </w:rPr>
            </w:pPr>
          </w:p>
        </w:tc>
      </w:tr>
      <w:tr w:rsidR="00B6361C" w14:paraId="259C7D4A" w14:textId="77777777" w:rsidTr="00B6361C">
        <w:trPr>
          <w:trHeight w:val="432"/>
        </w:trPr>
        <w:tc>
          <w:tcPr>
            <w:tcW w:w="1639" w:type="dxa"/>
            <w:vAlign w:val="center"/>
          </w:tcPr>
          <w:p w14:paraId="198CE725"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Ρ</w:t>
            </w:r>
          </w:p>
        </w:tc>
        <w:tc>
          <w:tcPr>
            <w:tcW w:w="1573" w:type="dxa"/>
            <w:vAlign w:val="center"/>
          </w:tcPr>
          <w:p w14:paraId="4D8C2C8A"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0.002</w:t>
            </w:r>
          </w:p>
        </w:tc>
        <w:tc>
          <w:tcPr>
            <w:tcW w:w="1251" w:type="dxa"/>
            <w:vAlign w:val="center"/>
          </w:tcPr>
          <w:p w14:paraId="15958985" w14:textId="77777777" w:rsidR="00B6361C" w:rsidRPr="008F0E58" w:rsidRDefault="00B6361C" w:rsidP="00944B3C">
            <w:pPr>
              <w:jc w:val="center"/>
              <w:rPr>
                <w:rFonts w:ascii="Arial" w:hAnsi="Arial" w:cs="Arial"/>
                <w:sz w:val="20"/>
                <w:szCs w:val="20"/>
              </w:rPr>
            </w:pPr>
          </w:p>
        </w:tc>
        <w:tc>
          <w:tcPr>
            <w:tcW w:w="1230" w:type="dxa"/>
          </w:tcPr>
          <w:p w14:paraId="24C96F90" w14:textId="77777777" w:rsidR="00B6361C" w:rsidRPr="008F0E58" w:rsidRDefault="00B6361C" w:rsidP="00944B3C">
            <w:pPr>
              <w:jc w:val="center"/>
              <w:rPr>
                <w:rFonts w:ascii="Arial" w:hAnsi="Arial" w:cs="Arial"/>
                <w:sz w:val="20"/>
                <w:szCs w:val="20"/>
              </w:rPr>
            </w:pPr>
          </w:p>
        </w:tc>
        <w:tc>
          <w:tcPr>
            <w:tcW w:w="1252" w:type="dxa"/>
          </w:tcPr>
          <w:p w14:paraId="5EC99C49" w14:textId="77777777" w:rsidR="00B6361C" w:rsidRPr="008F0E58" w:rsidRDefault="00B6361C" w:rsidP="00944B3C">
            <w:pPr>
              <w:jc w:val="center"/>
              <w:rPr>
                <w:rFonts w:ascii="Arial" w:hAnsi="Arial" w:cs="Arial"/>
                <w:sz w:val="20"/>
                <w:szCs w:val="20"/>
              </w:rPr>
            </w:pPr>
          </w:p>
        </w:tc>
        <w:tc>
          <w:tcPr>
            <w:tcW w:w="1263" w:type="dxa"/>
          </w:tcPr>
          <w:p w14:paraId="777D8677" w14:textId="77777777" w:rsidR="00B6361C" w:rsidRPr="008F0E58" w:rsidRDefault="00B6361C" w:rsidP="00944B3C">
            <w:pPr>
              <w:jc w:val="center"/>
              <w:rPr>
                <w:rFonts w:ascii="Arial" w:hAnsi="Arial" w:cs="Arial"/>
                <w:sz w:val="20"/>
                <w:szCs w:val="20"/>
              </w:rPr>
            </w:pPr>
          </w:p>
        </w:tc>
      </w:tr>
    </w:tbl>
    <w:p w14:paraId="7D71F835" w14:textId="77777777" w:rsidR="00B364F1" w:rsidRDefault="00B364F1" w:rsidP="00665D1C">
      <w:pPr>
        <w:rPr>
          <w:rFonts w:ascii="Arial" w:hAnsi="Arial" w:cs="Arial"/>
          <w:b/>
          <w:bCs/>
          <w:iCs/>
        </w:rPr>
      </w:pPr>
    </w:p>
    <w:p w14:paraId="6FDD1CAA" w14:textId="77777777" w:rsidR="00717F2E" w:rsidRDefault="00717F2E">
      <w:pPr>
        <w:jc w:val="both"/>
        <w:rPr>
          <w:rFonts w:ascii="Arial" w:hAnsi="Arial" w:cs="Arial"/>
        </w:rPr>
      </w:pPr>
    </w:p>
    <w:p w14:paraId="7107485A" w14:textId="388BE64F" w:rsidR="00D607E8" w:rsidRPr="00D607E8" w:rsidRDefault="00D607E8" w:rsidP="00D607E8">
      <w:pPr>
        <w:pStyle w:val="ConcHead"/>
        <w:jc w:val="both"/>
        <w:rPr>
          <w:rFonts w:ascii="Arial" w:hAnsi="Arial" w:cs="Arial"/>
          <w:b w:val="0"/>
          <w:caps w:val="0"/>
          <w:sz w:val="20"/>
        </w:rPr>
      </w:pPr>
      <w:r w:rsidRPr="00D607E8">
        <w:rPr>
          <w:rFonts w:ascii="Arial" w:hAnsi="Arial" w:cs="Arial"/>
          <w:b w:val="0"/>
          <w:caps w:val="0"/>
          <w:sz w:val="20"/>
        </w:rPr>
        <w:t>Presented in Table 4 is the regression analysis examining how different domains of workplace environment practices—communication, planning, implementation, and evaluation—significantly influence the career resilience of teachers in public elementary schools. The regression model indicates that all four domains positively contribute to career resilience.</w:t>
      </w:r>
    </w:p>
    <w:p w14:paraId="37A5EDDB" w14:textId="364BA399" w:rsidR="00D607E8" w:rsidRPr="00D607E8" w:rsidRDefault="00D607E8" w:rsidP="00D607E8">
      <w:pPr>
        <w:pStyle w:val="ConcHead"/>
        <w:jc w:val="both"/>
        <w:rPr>
          <w:rFonts w:ascii="Arial" w:hAnsi="Arial" w:cs="Arial"/>
          <w:b w:val="0"/>
          <w:caps w:val="0"/>
          <w:sz w:val="20"/>
        </w:rPr>
      </w:pPr>
      <w:r w:rsidRPr="00D607E8">
        <w:rPr>
          <w:rFonts w:ascii="Arial" w:hAnsi="Arial" w:cs="Arial"/>
          <w:b w:val="0"/>
          <w:caps w:val="0"/>
          <w:sz w:val="20"/>
        </w:rPr>
        <w:t>Among the domains, implementation (B = 0.217, Beta = 0.205) has the strongest influence on career resilience, followed by communication (B = 0.075, Beta = 0.056), evaluation (B = 0.074, Beta = 0.057), and planning (B = 0.014, Beta = 0.012). The t-statistics for each domain (ranging from 1.807 to 3.87) and their corresponding p-values (all less than 0.05) confirm that these influences are statistically significant.</w:t>
      </w:r>
    </w:p>
    <w:p w14:paraId="45DF7407" w14:textId="463AC6A3" w:rsidR="00D607E8" w:rsidRPr="00D607E8" w:rsidRDefault="00D607E8" w:rsidP="00D607E8">
      <w:pPr>
        <w:pStyle w:val="ConcHead"/>
        <w:jc w:val="both"/>
        <w:rPr>
          <w:rFonts w:ascii="Arial" w:hAnsi="Arial" w:cs="Arial"/>
          <w:b w:val="0"/>
          <w:caps w:val="0"/>
          <w:sz w:val="20"/>
        </w:rPr>
      </w:pPr>
      <w:r w:rsidRPr="00D607E8">
        <w:rPr>
          <w:rFonts w:ascii="Arial" w:hAnsi="Arial" w:cs="Arial"/>
          <w:b w:val="0"/>
          <w:caps w:val="0"/>
          <w:sz w:val="20"/>
        </w:rPr>
        <w:t>The regression model explains 23.5% of the variance in career resilience (R² = 0.235). Furthermore, the model’s F-value of 67.28 and its p-value of 0.002 indicate that the model is statistically significant. These findings suggest that workplace environment practices, particularly in the areas of implementation and communication, play a crucial role in enhancing the career resilience of teachers. Strengthening these aspects of workplace practices is likely to support teachers in coping with challenges, improving their professional outlook, and sustaining long-term career satisfaction.</w:t>
      </w:r>
    </w:p>
    <w:p w14:paraId="637F6DC4" w14:textId="3DF6BEAB" w:rsidR="00107572" w:rsidRDefault="00D607E8" w:rsidP="00D607E8">
      <w:pPr>
        <w:pStyle w:val="ConcHead"/>
        <w:spacing w:after="0"/>
        <w:jc w:val="both"/>
        <w:rPr>
          <w:rFonts w:ascii="Arial" w:hAnsi="Arial" w:cs="Arial"/>
          <w:b w:val="0"/>
          <w:caps w:val="0"/>
          <w:sz w:val="20"/>
        </w:rPr>
      </w:pPr>
      <w:r w:rsidRPr="00D607E8">
        <w:rPr>
          <w:rFonts w:ascii="Arial" w:hAnsi="Arial" w:cs="Arial"/>
          <w:b w:val="0"/>
          <w:caps w:val="0"/>
          <w:sz w:val="20"/>
        </w:rPr>
        <w:t xml:space="preserve">This result aligns with the findings of </w:t>
      </w:r>
      <w:r w:rsidR="00F33681" w:rsidRPr="00F33681">
        <w:rPr>
          <w:rFonts w:ascii="Arial" w:hAnsi="Arial" w:cs="Arial"/>
          <w:b w:val="0"/>
          <w:caps w:val="0"/>
          <w:sz w:val="20"/>
        </w:rPr>
        <w:t>Khan</w:t>
      </w:r>
      <w:r w:rsidR="00F33681">
        <w:rPr>
          <w:rFonts w:ascii="Arial" w:hAnsi="Arial" w:cs="Arial"/>
          <w:b w:val="0"/>
          <w:caps w:val="0"/>
          <w:sz w:val="20"/>
        </w:rPr>
        <w:t xml:space="preserve"> et al.</w:t>
      </w:r>
      <w:r w:rsidRPr="00D607E8">
        <w:rPr>
          <w:rFonts w:ascii="Arial" w:hAnsi="Arial" w:cs="Arial"/>
          <w:b w:val="0"/>
          <w:caps w:val="0"/>
          <w:sz w:val="20"/>
        </w:rPr>
        <w:t xml:space="preserve"> (201</w:t>
      </w:r>
      <w:r w:rsidR="00F33681">
        <w:rPr>
          <w:rFonts w:ascii="Arial" w:hAnsi="Arial" w:cs="Arial"/>
          <w:b w:val="0"/>
          <w:caps w:val="0"/>
          <w:sz w:val="20"/>
        </w:rPr>
        <w:t>9</w:t>
      </w:r>
      <w:r w:rsidRPr="00D607E8">
        <w:rPr>
          <w:rFonts w:ascii="Arial" w:hAnsi="Arial" w:cs="Arial"/>
          <w:b w:val="0"/>
          <w:caps w:val="0"/>
          <w:sz w:val="20"/>
        </w:rPr>
        <w:t xml:space="preserve">), who emphasized the importance of a supportive workplace environment in enhancing career resilience, particularly through the development of communication skills and effective implementation practices. </w:t>
      </w:r>
      <w:proofErr w:type="spellStart"/>
      <w:r w:rsidRPr="00D607E8">
        <w:rPr>
          <w:rFonts w:ascii="Arial" w:hAnsi="Arial" w:cs="Arial"/>
          <w:b w:val="0"/>
          <w:caps w:val="0"/>
          <w:sz w:val="20"/>
        </w:rPr>
        <w:t>Similarly</w:t>
      </w:r>
      <w:r w:rsidR="00DF2CC6">
        <w:rPr>
          <w:rFonts w:ascii="Arial" w:hAnsi="Arial" w:cs="Arial"/>
          <w:b w:val="0"/>
          <w:caps w:val="0"/>
          <w:sz w:val="20"/>
        </w:rPr>
        <w:t>Khan</w:t>
      </w:r>
      <w:proofErr w:type="spellEnd"/>
      <w:r w:rsidR="00DF2CC6">
        <w:rPr>
          <w:rFonts w:ascii="Arial" w:hAnsi="Arial" w:cs="Arial"/>
          <w:b w:val="0"/>
          <w:caps w:val="0"/>
          <w:sz w:val="20"/>
        </w:rPr>
        <w:t xml:space="preserve"> et al.</w:t>
      </w:r>
      <w:r w:rsidRPr="00D607E8">
        <w:rPr>
          <w:rFonts w:ascii="Arial" w:hAnsi="Arial" w:cs="Arial"/>
          <w:b w:val="0"/>
          <w:caps w:val="0"/>
          <w:sz w:val="20"/>
        </w:rPr>
        <w:t xml:space="preserve"> (201</w:t>
      </w:r>
      <w:r w:rsidR="00DF2CC6">
        <w:rPr>
          <w:rFonts w:ascii="Arial" w:hAnsi="Arial" w:cs="Arial"/>
          <w:b w:val="0"/>
          <w:caps w:val="0"/>
          <w:sz w:val="20"/>
        </w:rPr>
        <w:t>9</w:t>
      </w:r>
      <w:r w:rsidRPr="00D607E8">
        <w:rPr>
          <w:rFonts w:ascii="Arial" w:hAnsi="Arial" w:cs="Arial"/>
          <w:b w:val="0"/>
          <w:caps w:val="0"/>
          <w:sz w:val="20"/>
        </w:rPr>
        <w:t xml:space="preserve">) noted that a well-structured work environment that promotes active involvement and feedback fosters resilience by helping teachers adapt to changes and challenges in their profession. Moreover, </w:t>
      </w:r>
      <w:r w:rsidR="00DF2CC6" w:rsidRPr="00DF2CC6">
        <w:rPr>
          <w:rFonts w:ascii="Arial" w:hAnsi="Arial" w:cs="Arial"/>
          <w:b w:val="0"/>
          <w:caps w:val="0"/>
          <w:sz w:val="20"/>
        </w:rPr>
        <w:t>Kangas-Dick</w:t>
      </w:r>
      <w:r w:rsidR="00DF2CC6">
        <w:rPr>
          <w:rFonts w:ascii="Arial" w:hAnsi="Arial" w:cs="Arial"/>
          <w:b w:val="0"/>
          <w:caps w:val="0"/>
          <w:sz w:val="20"/>
        </w:rPr>
        <w:t xml:space="preserve"> and </w:t>
      </w:r>
      <w:r w:rsidR="00DF2CC6" w:rsidRPr="00DF2CC6">
        <w:rPr>
          <w:rFonts w:ascii="Arial" w:hAnsi="Arial" w:cs="Arial"/>
          <w:b w:val="0"/>
          <w:caps w:val="0"/>
          <w:sz w:val="20"/>
        </w:rPr>
        <w:t xml:space="preserve">O’Shaughnessy </w:t>
      </w:r>
      <w:r w:rsidRPr="00D607E8">
        <w:rPr>
          <w:rFonts w:ascii="Arial" w:hAnsi="Arial" w:cs="Arial"/>
          <w:b w:val="0"/>
          <w:caps w:val="0"/>
          <w:sz w:val="20"/>
        </w:rPr>
        <w:t>(20</w:t>
      </w:r>
      <w:r w:rsidR="00DF2CC6">
        <w:rPr>
          <w:rFonts w:ascii="Arial" w:hAnsi="Arial" w:cs="Arial"/>
          <w:b w:val="0"/>
          <w:caps w:val="0"/>
          <w:sz w:val="20"/>
        </w:rPr>
        <w:t>20</w:t>
      </w:r>
      <w:r w:rsidRPr="00D607E8">
        <w:rPr>
          <w:rFonts w:ascii="Arial" w:hAnsi="Arial" w:cs="Arial"/>
          <w:b w:val="0"/>
          <w:caps w:val="0"/>
          <w:sz w:val="20"/>
        </w:rPr>
        <w:t xml:space="preserve">) highlighted that workplace practices that emphasize communication and collaboration significantly contribute to career </w:t>
      </w:r>
      <w:r w:rsidRPr="00D607E8">
        <w:rPr>
          <w:rFonts w:ascii="Arial" w:hAnsi="Arial" w:cs="Arial"/>
          <w:b w:val="0"/>
          <w:caps w:val="0"/>
          <w:sz w:val="20"/>
        </w:rPr>
        <w:lastRenderedPageBreak/>
        <w:t>resilience, as they provide teachers with the support and resources necessary to manage stress and maintain a positive outlook in their careers.</w:t>
      </w:r>
    </w:p>
    <w:p w14:paraId="0DA901E2" w14:textId="77777777" w:rsidR="00D607E8" w:rsidRDefault="00D607E8" w:rsidP="00D607E8">
      <w:pPr>
        <w:pStyle w:val="ConcHead"/>
        <w:spacing w:after="0"/>
        <w:jc w:val="both"/>
        <w:rPr>
          <w:rFonts w:ascii="Arial" w:hAnsi="Arial" w:cs="Arial"/>
          <w:b w:val="0"/>
          <w:caps w:val="0"/>
          <w:sz w:val="20"/>
        </w:rPr>
      </w:pPr>
    </w:p>
    <w:p w14:paraId="7C8685A9" w14:textId="77777777" w:rsidR="00D607E8" w:rsidRDefault="00D607E8" w:rsidP="00D607E8">
      <w:pPr>
        <w:pStyle w:val="ConcHead"/>
        <w:spacing w:after="0"/>
        <w:jc w:val="both"/>
        <w:rPr>
          <w:rFonts w:ascii="Arial" w:hAnsi="Arial" w:cs="Arial"/>
          <w:b w:val="0"/>
          <w:caps w:val="0"/>
          <w:sz w:val="20"/>
        </w:rPr>
      </w:pPr>
    </w:p>
    <w:p w14:paraId="371DD412" w14:textId="2EE03B6D" w:rsidR="00717F2E" w:rsidRDefault="00270F3F" w:rsidP="00B364F1">
      <w:pPr>
        <w:pStyle w:val="ConcHead"/>
        <w:spacing w:after="0"/>
        <w:jc w:val="both"/>
        <w:rPr>
          <w:rFonts w:ascii="Arial" w:hAnsi="Arial" w:cs="Arial"/>
          <w:sz w:val="20"/>
        </w:rPr>
      </w:pPr>
      <w:r>
        <w:rPr>
          <w:rFonts w:ascii="Arial" w:hAnsi="Arial" w:cs="Arial"/>
          <w:sz w:val="20"/>
        </w:rPr>
        <w:t xml:space="preserve">4. </w:t>
      </w:r>
      <w:r w:rsidR="00B364F1">
        <w:rPr>
          <w:rFonts w:ascii="Arial" w:hAnsi="Arial" w:cs="Arial"/>
          <w:sz w:val="20"/>
        </w:rPr>
        <w:t>FINDINGS</w:t>
      </w:r>
    </w:p>
    <w:p w14:paraId="0E5D87EA" w14:textId="77777777" w:rsidR="00717F2E" w:rsidRDefault="00717F2E">
      <w:pPr>
        <w:pStyle w:val="ConcHead"/>
        <w:spacing w:after="0"/>
        <w:jc w:val="both"/>
        <w:rPr>
          <w:rFonts w:ascii="Arial" w:hAnsi="Arial" w:cs="Arial"/>
          <w:sz w:val="20"/>
        </w:rPr>
      </w:pPr>
    </w:p>
    <w:p w14:paraId="66BF0561" w14:textId="77777777" w:rsidR="00D607E8" w:rsidRPr="00D607E8" w:rsidRDefault="00D607E8" w:rsidP="00D607E8">
      <w:pPr>
        <w:pStyle w:val="Body"/>
        <w:rPr>
          <w:rFonts w:ascii="Arial" w:hAnsi="Arial" w:cs="Arial"/>
        </w:rPr>
      </w:pPr>
      <w:r w:rsidRPr="00D607E8">
        <w:rPr>
          <w:rFonts w:ascii="Arial" w:hAnsi="Arial" w:cs="Arial"/>
        </w:rPr>
        <w:t>This study aimed to examine the significant relationship between workplace environment practices and career resilience of teachers in public elementary schools. Specifically, it sought to assess the level of workplace environment practices in terms of communication, planning, implementation, and evaluation as perceived by teachers. Additionally, the study aimed to determine the level of career resilience of teachers in terms of confidence, positive outlook, positive emotions, and emotional intelligence. Furthermore, the study aimed to determine whether a significant relationship exists between workplace environment practices and career resilience and identify which domains of workplace environment practices most significantly influence teachers' career resilience. Using a descriptive-correlational research design, a total of 132 teachers from public elementary schools in San Isidro District, Division of Davao Oriental, were surveyed using standardized questionnaires, and the data were analyzed using mean, standard deviation (SD), Pearson product-moment correlation, and multiple linear regression analyses.</w:t>
      </w:r>
    </w:p>
    <w:p w14:paraId="493E586B" w14:textId="77777777" w:rsidR="00D607E8" w:rsidRPr="00D607E8" w:rsidRDefault="00D607E8" w:rsidP="00D607E8">
      <w:pPr>
        <w:pStyle w:val="Body"/>
        <w:rPr>
          <w:rFonts w:ascii="Arial" w:hAnsi="Arial" w:cs="Arial"/>
        </w:rPr>
      </w:pPr>
    </w:p>
    <w:p w14:paraId="77D2D636" w14:textId="198558C9" w:rsidR="00D607E8" w:rsidRPr="00D607E8" w:rsidRDefault="00D607E8" w:rsidP="00D607E8">
      <w:pPr>
        <w:pStyle w:val="Body"/>
        <w:rPr>
          <w:rFonts w:ascii="Arial" w:hAnsi="Arial" w:cs="Arial"/>
        </w:rPr>
      </w:pPr>
      <w:r w:rsidRPr="00D607E8">
        <w:rPr>
          <w:rFonts w:ascii="Arial" w:hAnsi="Arial" w:cs="Arial"/>
        </w:rPr>
        <w:t xml:space="preserve">From the data gathered, the following findings were drawn: Firstly, the level of workplace environment practices in terms of communication, implementation, and evaluation is high, as perceived by teachers, while planning was rated as moderate. Secondly, the level of career resilience in terms of confidence, positive outlook, positive emotions, and emotional intelligence is moderate among teachers. Thirdly, a significant relationship exists between workplace environment practices and career resilience, indicating a positive correlation between the two variables. Finally, </w:t>
      </w:r>
      <w:r>
        <w:rPr>
          <w:rFonts w:ascii="Arial" w:hAnsi="Arial" w:cs="Arial"/>
        </w:rPr>
        <w:t>all</w:t>
      </w:r>
      <w:r w:rsidRPr="00D607E8">
        <w:rPr>
          <w:rFonts w:ascii="Arial" w:hAnsi="Arial" w:cs="Arial"/>
        </w:rPr>
        <w:t xml:space="preserve"> the domains of workplace environment practices </w:t>
      </w:r>
      <w:proofErr w:type="spellStart"/>
      <w:r>
        <w:rPr>
          <w:rFonts w:ascii="Arial" w:hAnsi="Arial" w:cs="Arial"/>
        </w:rPr>
        <w:t>signifcanlty</w:t>
      </w:r>
      <w:proofErr w:type="spellEnd"/>
      <w:r>
        <w:rPr>
          <w:rFonts w:ascii="Arial" w:hAnsi="Arial" w:cs="Arial"/>
        </w:rPr>
        <w:t xml:space="preserve"> influenced </w:t>
      </w:r>
      <w:r w:rsidRPr="00D607E8">
        <w:rPr>
          <w:rFonts w:ascii="Arial" w:hAnsi="Arial" w:cs="Arial"/>
        </w:rPr>
        <w:t xml:space="preserve">career resilience, </w:t>
      </w:r>
      <w:r>
        <w:rPr>
          <w:rFonts w:ascii="Arial" w:hAnsi="Arial" w:cs="Arial"/>
        </w:rPr>
        <w:t xml:space="preserve">emphasizing the </w:t>
      </w:r>
      <w:r w:rsidRPr="00D607E8">
        <w:rPr>
          <w:rFonts w:ascii="Arial" w:hAnsi="Arial" w:cs="Arial"/>
        </w:rPr>
        <w:t>strong workplace practices in enhancing teachers' ability to adapt to challenges and maintain a positive and sustainable career outlook.</w:t>
      </w:r>
    </w:p>
    <w:p w14:paraId="112E0E30" w14:textId="77777777" w:rsidR="00D607E8" w:rsidRDefault="00D607E8" w:rsidP="00B364F1">
      <w:pPr>
        <w:pStyle w:val="Body"/>
        <w:rPr>
          <w:rFonts w:ascii="Arial" w:hAnsi="Arial" w:cs="Arial"/>
          <w:b/>
          <w:bCs/>
        </w:rPr>
      </w:pPr>
    </w:p>
    <w:p w14:paraId="016D2A79" w14:textId="30218668" w:rsidR="00717F2E" w:rsidRDefault="00270F3F" w:rsidP="00B364F1">
      <w:pPr>
        <w:pStyle w:val="Body"/>
        <w:rPr>
          <w:rFonts w:ascii="Arial" w:hAnsi="Arial" w:cs="Arial"/>
        </w:rPr>
      </w:pPr>
      <w:r>
        <w:rPr>
          <w:rFonts w:ascii="Arial" w:hAnsi="Arial" w:cs="Arial"/>
          <w:b/>
          <w:bCs/>
        </w:rPr>
        <w:t xml:space="preserve">5. </w:t>
      </w:r>
      <w:r w:rsidR="00B364F1">
        <w:rPr>
          <w:rFonts w:ascii="Arial" w:hAnsi="Arial" w:cs="Arial"/>
          <w:b/>
          <w:bCs/>
        </w:rPr>
        <w:t>CONCLUSIONS</w:t>
      </w:r>
    </w:p>
    <w:p w14:paraId="1BB8E399" w14:textId="77777777" w:rsidR="00276854" w:rsidRPr="00276854" w:rsidRDefault="00276854" w:rsidP="00276854">
      <w:pPr>
        <w:pStyle w:val="ReferHead"/>
        <w:jc w:val="both"/>
        <w:rPr>
          <w:rFonts w:ascii="Arial" w:hAnsi="Arial" w:cs="Arial"/>
          <w:b w:val="0"/>
          <w:caps w:val="0"/>
          <w:sz w:val="20"/>
        </w:rPr>
      </w:pPr>
      <w:r w:rsidRPr="00276854">
        <w:rPr>
          <w:rFonts w:ascii="Arial" w:hAnsi="Arial" w:cs="Arial"/>
          <w:b w:val="0"/>
          <w:caps w:val="0"/>
          <w:sz w:val="20"/>
        </w:rPr>
        <w:t>Based on the findings of the study, the following conclusions were drawn:</w:t>
      </w:r>
    </w:p>
    <w:p w14:paraId="617CAB0F" w14:textId="46E8221B" w:rsidR="00276854" w:rsidRPr="00276854" w:rsidRDefault="00276854" w:rsidP="00276854">
      <w:pPr>
        <w:pStyle w:val="ReferHead"/>
        <w:jc w:val="both"/>
        <w:rPr>
          <w:rFonts w:ascii="Arial" w:hAnsi="Arial" w:cs="Arial"/>
          <w:b w:val="0"/>
          <w:caps w:val="0"/>
          <w:sz w:val="20"/>
        </w:rPr>
      </w:pPr>
      <w:r w:rsidRPr="00276854">
        <w:rPr>
          <w:rFonts w:ascii="Arial" w:hAnsi="Arial" w:cs="Arial"/>
          <w:b w:val="0"/>
          <w:caps w:val="0"/>
          <w:sz w:val="20"/>
        </w:rPr>
        <w:t xml:space="preserve">Firstly, the level of workplace environment practices among teachers in public elementary schools is </w:t>
      </w:r>
      <w:r>
        <w:rPr>
          <w:rFonts w:ascii="Arial" w:hAnsi="Arial" w:cs="Arial"/>
          <w:b w:val="0"/>
          <w:caps w:val="0"/>
          <w:sz w:val="20"/>
        </w:rPr>
        <w:t xml:space="preserve">oftentimes </w:t>
      </w:r>
      <w:r w:rsidRPr="00276854">
        <w:rPr>
          <w:rFonts w:ascii="Arial" w:hAnsi="Arial" w:cs="Arial"/>
          <w:b w:val="0"/>
          <w:caps w:val="0"/>
          <w:sz w:val="20"/>
        </w:rPr>
        <w:t>manifested, particularly in terms of communication, implementation, and evaluation. Teachers perceive these workplace practices as effective tools that promote a positive and productive school environment. The consistent use of these practices fosters better collaboration, enhances professional engagement, and contributes to overall job satisfaction. The high level of workplace environment practices helps teachers stay organized, effectively manage tasks, and improve their teaching performance.</w:t>
      </w:r>
    </w:p>
    <w:p w14:paraId="5ADDB8DA" w14:textId="77777777" w:rsidR="00276854" w:rsidRPr="00276854" w:rsidRDefault="00276854" w:rsidP="00276854">
      <w:pPr>
        <w:pStyle w:val="ReferHead"/>
        <w:jc w:val="both"/>
        <w:rPr>
          <w:rFonts w:ascii="Arial" w:hAnsi="Arial" w:cs="Arial"/>
          <w:b w:val="0"/>
          <w:caps w:val="0"/>
          <w:sz w:val="20"/>
        </w:rPr>
      </w:pPr>
      <w:r w:rsidRPr="00276854">
        <w:rPr>
          <w:rFonts w:ascii="Arial" w:hAnsi="Arial" w:cs="Arial"/>
          <w:b w:val="0"/>
          <w:caps w:val="0"/>
          <w:sz w:val="20"/>
        </w:rPr>
        <w:t xml:space="preserve">Secondly, the level of career resilience in terms of confidence, positive outlook, positive emotions, and emotional intelligence is moderately manifested among teachers. While teachers show a strong sense of confidence in navigating challenges, other aspects of career resilience, such as maintaining a positive outlook, managing emotions, and applying emotional intelligence, are areas that need further development. Teachers who demonstrate higher levels of resilience are better able to cope with stress, adapt to changing circumstances, and </w:t>
      </w:r>
      <w:r w:rsidRPr="00276854">
        <w:rPr>
          <w:rFonts w:ascii="Arial" w:hAnsi="Arial" w:cs="Arial"/>
          <w:b w:val="0"/>
          <w:caps w:val="0"/>
          <w:sz w:val="20"/>
        </w:rPr>
        <w:lastRenderedPageBreak/>
        <w:t>maintain a balanced professional life. However, the moderate level indicates that there is room for improvement in providing support and training to enhance teachers' emotional resilience.</w:t>
      </w:r>
    </w:p>
    <w:p w14:paraId="0D51534C" w14:textId="77777777" w:rsidR="00276854" w:rsidRPr="00276854" w:rsidRDefault="00276854" w:rsidP="00276854">
      <w:pPr>
        <w:pStyle w:val="ReferHead"/>
        <w:jc w:val="both"/>
        <w:rPr>
          <w:rFonts w:ascii="Arial" w:hAnsi="Arial" w:cs="Arial"/>
          <w:b w:val="0"/>
          <w:caps w:val="0"/>
          <w:sz w:val="20"/>
        </w:rPr>
      </w:pPr>
      <w:r w:rsidRPr="00276854">
        <w:rPr>
          <w:rFonts w:ascii="Arial" w:hAnsi="Arial" w:cs="Arial"/>
          <w:b w:val="0"/>
          <w:caps w:val="0"/>
          <w:sz w:val="20"/>
        </w:rPr>
        <w:t>Thirdly, a significant relationship exists between workplace environment practices and career resilience. This finding indicates that positive workplace practices, particularly in communication and implementation, are strongly correlated with higher levels of career resilience among teachers. Teachers who experience a supportive and well-structured work environment are better equipped to handle challenges, maintain emotional well-being, and sustain long-term career satisfaction.</w:t>
      </w:r>
    </w:p>
    <w:p w14:paraId="74F3A5C9" w14:textId="77777777" w:rsidR="00276854" w:rsidRPr="00276854" w:rsidRDefault="00276854" w:rsidP="00276854">
      <w:pPr>
        <w:pStyle w:val="ReferHead"/>
        <w:jc w:val="both"/>
        <w:rPr>
          <w:rFonts w:ascii="Arial" w:hAnsi="Arial" w:cs="Arial"/>
          <w:b w:val="0"/>
          <w:caps w:val="0"/>
          <w:sz w:val="20"/>
        </w:rPr>
      </w:pPr>
      <w:r w:rsidRPr="00276854">
        <w:rPr>
          <w:rFonts w:ascii="Arial" w:hAnsi="Arial" w:cs="Arial"/>
          <w:b w:val="0"/>
          <w:caps w:val="0"/>
          <w:sz w:val="20"/>
        </w:rPr>
        <w:t>Finally, the domains of workplace environment practices significantly influence career resilience. Communication and implementation have the most substantial impact on teachers' career resilience. These practices provide teachers with the tools and support needed to enhance their adaptive capacity and sustain a positive outlook in their professional lives. Schools that prioritize and strengthen these workplace practices are likely to see improvements in teachers' resilience, job satisfaction, and overall professional development.</w:t>
      </w:r>
    </w:p>
    <w:p w14:paraId="1A00454D" w14:textId="30CB7F0A" w:rsidR="00276854" w:rsidRPr="00276854" w:rsidRDefault="00276854" w:rsidP="00276854">
      <w:pPr>
        <w:pStyle w:val="ReferHead"/>
        <w:jc w:val="both"/>
        <w:rPr>
          <w:rFonts w:ascii="Arial" w:hAnsi="Arial" w:cs="Arial"/>
          <w:b w:val="0"/>
          <w:caps w:val="0"/>
          <w:sz w:val="20"/>
        </w:rPr>
      </w:pPr>
      <w:r w:rsidRPr="00276854">
        <w:rPr>
          <w:rFonts w:ascii="Arial" w:hAnsi="Arial" w:cs="Arial"/>
          <w:b w:val="0"/>
          <w:caps w:val="0"/>
          <w:sz w:val="20"/>
        </w:rPr>
        <w:t>The findings of this study align with the theory of Mohanty (1989), who emphasized that challenges in the workplace, such as knowledge gaps, conflicts, and communication breakdowns, can negatively impact morale, productivity, and safety. Mohanty’s theory underscores the importance of addressing these challenges by developing strategies to foster a positive workplace environment. Gerber (1997) further supports this by highlighting that effective communication is key to resolving workplace issues and creating a clear, open dialogue between employees and management. This foundation enables the development of strategies to address challenging situations and ultimately improve workplace dynamics.</w:t>
      </w:r>
    </w:p>
    <w:p w14:paraId="3D446D18" w14:textId="176F50ED" w:rsidR="00BD76E4" w:rsidRDefault="00276854" w:rsidP="00276854">
      <w:pPr>
        <w:pStyle w:val="ReferHead"/>
        <w:spacing w:after="0"/>
        <w:jc w:val="both"/>
        <w:rPr>
          <w:rFonts w:ascii="Arial" w:hAnsi="Arial" w:cs="Arial"/>
          <w:b w:val="0"/>
          <w:caps w:val="0"/>
          <w:sz w:val="20"/>
        </w:rPr>
      </w:pPr>
      <w:r w:rsidRPr="00276854">
        <w:rPr>
          <w:rFonts w:ascii="Arial" w:hAnsi="Arial" w:cs="Arial"/>
          <w:b w:val="0"/>
          <w:caps w:val="0"/>
          <w:sz w:val="20"/>
        </w:rPr>
        <w:t>The study also supports Brown’s (1996) theory of career resilience, which posits that the ability to adapt to a changing workplace environment and manage one’s career is essential for maintaining employability, particularly in an evolving economic landscape. Career resilience, as Brown highlights, involves not only adapting to changes but also maintaining equilibrium in the face of organizational challenges. This is consistent with the findings that workplace environment practices, such as communication and planning, significantly influence career resilience, helping individuals navigate changes and thrive in a dynamic work environment.</w:t>
      </w:r>
    </w:p>
    <w:p w14:paraId="44FE22E3" w14:textId="77777777" w:rsidR="00276854" w:rsidRDefault="00276854" w:rsidP="00276854">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1C04D399" w14:textId="42F0E5BE" w:rsidR="00276854" w:rsidRPr="00276854" w:rsidRDefault="00276854" w:rsidP="00276854">
      <w:pPr>
        <w:pStyle w:val="ReferHead"/>
        <w:jc w:val="both"/>
        <w:rPr>
          <w:rFonts w:ascii="Arial" w:hAnsi="Arial" w:cs="Arial"/>
          <w:b w:val="0"/>
          <w:caps w:val="0"/>
          <w:sz w:val="20"/>
        </w:rPr>
      </w:pPr>
      <w:r w:rsidRPr="00276854">
        <w:rPr>
          <w:rFonts w:ascii="Arial" w:hAnsi="Arial" w:cs="Arial"/>
          <w:b w:val="0"/>
          <w:caps w:val="0"/>
          <w:sz w:val="20"/>
        </w:rPr>
        <w:t>Based on the findings and conclusions of this study, the following recommendations were proposed:</w:t>
      </w:r>
    </w:p>
    <w:p w14:paraId="3EFE2788" w14:textId="3034C84E" w:rsidR="00276854" w:rsidRPr="00276854" w:rsidRDefault="00276854" w:rsidP="00276854">
      <w:pPr>
        <w:pStyle w:val="ReferHead"/>
        <w:jc w:val="both"/>
        <w:rPr>
          <w:rFonts w:ascii="Arial" w:hAnsi="Arial" w:cs="Arial"/>
          <w:b w:val="0"/>
          <w:caps w:val="0"/>
          <w:sz w:val="20"/>
        </w:rPr>
      </w:pPr>
      <w:r w:rsidRPr="00276854">
        <w:rPr>
          <w:rFonts w:ascii="Arial" w:hAnsi="Arial" w:cs="Arial"/>
          <w:b w:val="0"/>
          <w:caps w:val="0"/>
          <w:sz w:val="20"/>
        </w:rPr>
        <w:t>Firstly, given the high levels of workplace environment practices observed, particularly in communication, planning, implementation, and evaluation, it is recommended that school administrators continue to emphasize and support these core areas. Administrators will ensure that teachers receive ongoing training to further strengthen their skills in communication and collaborative planning. Regular workshops can be organized to help teachers improve implementation and evaluation techniques, ensuring that all aspects of the workplace environment are optimized for enhancing professional practices. Teachers may actively engage in these professional development opportunities to improve communication with colleagues, participate in joint planning sessions, and refine their implementation strategies, which will ultimately improve both their teaching practices and overall professional satisfaction.</w:t>
      </w:r>
    </w:p>
    <w:p w14:paraId="187005DC" w14:textId="23E1E291" w:rsidR="00276854" w:rsidRPr="00276854" w:rsidRDefault="00276854" w:rsidP="00276854">
      <w:pPr>
        <w:pStyle w:val="ReferHead"/>
        <w:jc w:val="both"/>
        <w:rPr>
          <w:rFonts w:ascii="Arial" w:hAnsi="Arial" w:cs="Arial"/>
          <w:b w:val="0"/>
          <w:caps w:val="0"/>
          <w:sz w:val="20"/>
        </w:rPr>
      </w:pPr>
      <w:r w:rsidRPr="00276854">
        <w:rPr>
          <w:rFonts w:ascii="Arial" w:hAnsi="Arial" w:cs="Arial"/>
          <w:b w:val="0"/>
          <w:caps w:val="0"/>
          <w:sz w:val="20"/>
        </w:rPr>
        <w:t xml:space="preserve">Secondly, considering the moderate level of career resilience observed among teachers, it is recommended that school leaders focus on providing additional support to strengthen teachers' resilience. Professional development programs will target emotional intelligence, </w:t>
      </w:r>
      <w:r w:rsidRPr="00276854">
        <w:rPr>
          <w:rFonts w:ascii="Arial" w:hAnsi="Arial" w:cs="Arial"/>
          <w:b w:val="0"/>
          <w:caps w:val="0"/>
          <w:sz w:val="20"/>
        </w:rPr>
        <w:lastRenderedPageBreak/>
        <w:t>stress management, and coping strategies, as these areas were found to be moderately practiced. Schools will provide opportunities for teachers to engage in training that builds their ability to maintain a positive outlook, manage workplace challenges, and stay motivated despite adversity. Teachers may participate in these resilience-building workshops and apply strategies that help them navigate challenges more effectively, manage stress, and maintain a balanced perspective on their professional lives. This support will help teachers enhance their career resilience, contributing to long-term professional satisfaction and well-being.</w:t>
      </w:r>
    </w:p>
    <w:p w14:paraId="60DCA52C" w14:textId="2E446B80" w:rsidR="00276854" w:rsidRPr="00276854" w:rsidRDefault="00276854" w:rsidP="00276854">
      <w:pPr>
        <w:pStyle w:val="ReferHead"/>
        <w:jc w:val="both"/>
        <w:rPr>
          <w:rFonts w:ascii="Arial" w:hAnsi="Arial" w:cs="Arial"/>
          <w:b w:val="0"/>
          <w:caps w:val="0"/>
          <w:sz w:val="20"/>
        </w:rPr>
      </w:pPr>
      <w:r w:rsidRPr="00276854">
        <w:rPr>
          <w:rFonts w:ascii="Arial" w:hAnsi="Arial" w:cs="Arial"/>
          <w:b w:val="0"/>
          <w:caps w:val="0"/>
          <w:sz w:val="20"/>
        </w:rPr>
        <w:t>Thirdly, recognizing the positive correlation between workplace environment practices and career resilience, it is recommended that school leaders create integrated programs that focus on both areas. Programs that encourage teachers to actively engage in workplace environment improvement while simultaneously building their career resilience will provide a holistic approach to teacher development. School administrators will promote a culture of collaboration, where teachers share experiences and strategies to improve both their professional environment and personal career resilience. Teachers may contribute to this culture by actively participating in team discussions, exchanging best practices for fostering a positive workplace environment, and supporting one another’s efforts to build career resilience.</w:t>
      </w:r>
    </w:p>
    <w:p w14:paraId="7C238C0B" w14:textId="2273243D" w:rsidR="006A0F34" w:rsidRDefault="00276854" w:rsidP="00276854">
      <w:pPr>
        <w:pStyle w:val="ReferHead"/>
        <w:spacing w:after="0"/>
        <w:jc w:val="both"/>
        <w:rPr>
          <w:rFonts w:ascii="Arial" w:hAnsi="Arial" w:cs="Arial"/>
          <w:b w:val="0"/>
          <w:caps w:val="0"/>
          <w:sz w:val="20"/>
        </w:rPr>
      </w:pPr>
      <w:r w:rsidRPr="00276854">
        <w:rPr>
          <w:rFonts w:ascii="Arial" w:hAnsi="Arial" w:cs="Arial"/>
          <w:b w:val="0"/>
          <w:caps w:val="0"/>
          <w:sz w:val="20"/>
        </w:rPr>
        <w:t>Finally, it is recommended that school administrators prioritize a culture of continuous support and professional development that reinforces the connection between workplace environment practices and career resilience. Future initiatives will focus on equipping teachers with the tools and resources they need to navigate changing work conditions while fostering a resilient, adaptable mindset. Teachers may contribute to the success of these initiatives by attending workshops, participating in mentoring programs, and sharing their insights on how to integrate resilience strategies into daily teaching practices. This will ensure that both their professional environment and personal resilience are continuously nurtured, leading to greater career satisfaction, improved teacher retention, and positive student outcomes. Future researchers may also explore the long-term impact of these practices on teacher retention, job satisfaction, and overall student outcomes.</w:t>
      </w:r>
    </w:p>
    <w:p w14:paraId="3642015E" w14:textId="1D3B3862" w:rsidR="001E0787" w:rsidRDefault="001E0787" w:rsidP="00276854">
      <w:pPr>
        <w:pStyle w:val="ReferHead"/>
        <w:spacing w:after="0"/>
        <w:jc w:val="both"/>
        <w:rPr>
          <w:rFonts w:ascii="Arial" w:hAnsi="Arial" w:cs="Arial"/>
          <w:b w:val="0"/>
          <w:caps w:val="0"/>
          <w:sz w:val="20"/>
        </w:rPr>
      </w:pPr>
    </w:p>
    <w:p w14:paraId="03EEDB27" w14:textId="5849AB83" w:rsidR="001E0787" w:rsidRPr="001E0787" w:rsidRDefault="001E0787" w:rsidP="00276854">
      <w:pPr>
        <w:pStyle w:val="ReferHead"/>
        <w:spacing w:after="0"/>
        <w:jc w:val="both"/>
        <w:rPr>
          <w:rFonts w:ascii="Arial" w:hAnsi="Arial" w:cs="Arial"/>
          <w:caps w:val="0"/>
          <w:sz w:val="20"/>
        </w:rPr>
      </w:pPr>
      <w:r w:rsidRPr="001E0787">
        <w:rPr>
          <w:rFonts w:ascii="Arial" w:hAnsi="Arial" w:cs="Arial"/>
          <w:caps w:val="0"/>
          <w:sz w:val="20"/>
        </w:rPr>
        <w:t>Ethical Approval:</w:t>
      </w:r>
    </w:p>
    <w:p w14:paraId="1D459436" w14:textId="1153AA5F" w:rsidR="001E0787" w:rsidRDefault="001E0787" w:rsidP="00276854">
      <w:pPr>
        <w:pStyle w:val="ReferHead"/>
        <w:spacing w:after="0"/>
        <w:jc w:val="both"/>
        <w:rPr>
          <w:rFonts w:ascii="Arial" w:hAnsi="Arial" w:cs="Arial"/>
          <w:b w:val="0"/>
          <w:caps w:val="0"/>
          <w:sz w:val="20"/>
        </w:rPr>
      </w:pPr>
    </w:p>
    <w:p w14:paraId="51BBAE51" w14:textId="6A85F3C8" w:rsidR="001E0787" w:rsidRPr="001E0787" w:rsidRDefault="001E0787" w:rsidP="00276854">
      <w:pPr>
        <w:pStyle w:val="ReferHead"/>
        <w:spacing w:after="0"/>
        <w:jc w:val="both"/>
        <w:rPr>
          <w:rFonts w:ascii="Arial" w:hAnsi="Arial" w:cs="Arial"/>
          <w:caps w:val="0"/>
          <w:sz w:val="20"/>
        </w:rPr>
      </w:pPr>
      <w:r w:rsidRPr="001E0787">
        <w:rPr>
          <w:rFonts w:ascii="Arial" w:hAnsi="Arial" w:cs="Arial"/>
          <w:b w:val="0"/>
          <w:caps w:val="0"/>
          <w:sz w:val="20"/>
        </w:rPr>
        <w:t>A letter of permission was secured to conduct the study on the workplace environment and career resilience of teachers in Rizal Memorial Colleges. The letter of permission and appearance was signed and granted by the Dean of Graduate Studies of Rizal Memorial Colleges, the adviser, the school principal, and the moderators or teachers in charge.</w:t>
      </w:r>
    </w:p>
    <w:p w14:paraId="4391F361" w14:textId="2FE63C43" w:rsidR="00276854" w:rsidRDefault="00276854" w:rsidP="00276854">
      <w:pPr>
        <w:pStyle w:val="ReferHead"/>
        <w:spacing w:after="0"/>
        <w:jc w:val="both"/>
        <w:rPr>
          <w:rFonts w:ascii="Arial" w:hAnsi="Arial" w:cs="Arial"/>
          <w:b w:val="0"/>
          <w:caps w:val="0"/>
          <w:sz w:val="20"/>
        </w:rPr>
      </w:pPr>
    </w:p>
    <w:p w14:paraId="1E4B61EC" w14:textId="4CF850FB" w:rsidR="001E0787" w:rsidRDefault="001E0787" w:rsidP="00276854">
      <w:pPr>
        <w:pStyle w:val="ReferHead"/>
        <w:spacing w:after="0"/>
        <w:jc w:val="both"/>
        <w:rPr>
          <w:rFonts w:ascii="Arial" w:hAnsi="Arial" w:cs="Arial"/>
          <w:caps w:val="0"/>
          <w:sz w:val="20"/>
        </w:rPr>
      </w:pPr>
      <w:r w:rsidRPr="001E0787">
        <w:rPr>
          <w:rFonts w:ascii="Arial" w:hAnsi="Arial" w:cs="Arial"/>
          <w:caps w:val="0"/>
          <w:sz w:val="20"/>
        </w:rPr>
        <w:t xml:space="preserve">Consent: </w:t>
      </w:r>
    </w:p>
    <w:p w14:paraId="6D479A80" w14:textId="77777777" w:rsidR="001E0787" w:rsidRDefault="001E0787" w:rsidP="00276854">
      <w:pPr>
        <w:pStyle w:val="ReferHead"/>
        <w:spacing w:after="0"/>
        <w:jc w:val="both"/>
        <w:rPr>
          <w:rFonts w:ascii="Arial" w:hAnsi="Arial" w:cs="Arial"/>
          <w:caps w:val="0"/>
          <w:sz w:val="20"/>
        </w:rPr>
      </w:pPr>
      <w:bookmarkStart w:id="0" w:name="_GoBack"/>
      <w:bookmarkEnd w:id="0"/>
    </w:p>
    <w:p w14:paraId="2EA2B2CE" w14:textId="39D0E76F" w:rsidR="001E0787" w:rsidRPr="001E0787" w:rsidRDefault="001E0787" w:rsidP="00276854">
      <w:pPr>
        <w:pStyle w:val="ReferHead"/>
        <w:spacing w:after="0"/>
        <w:jc w:val="both"/>
        <w:rPr>
          <w:rFonts w:ascii="Arial" w:hAnsi="Arial" w:cs="Arial"/>
          <w:b w:val="0"/>
          <w:caps w:val="0"/>
          <w:sz w:val="20"/>
        </w:rPr>
      </w:pPr>
      <w:r w:rsidRPr="001E0787">
        <w:rPr>
          <w:rFonts w:ascii="Arial" w:hAnsi="Arial" w:cs="Arial"/>
          <w:b w:val="0"/>
          <w:caps w:val="0"/>
          <w:sz w:val="20"/>
        </w:rPr>
        <w:t>Before data collection, informed consent was obtained from each participant</w:t>
      </w:r>
    </w:p>
    <w:p w14:paraId="149160E4" w14:textId="321705BD" w:rsidR="00276854" w:rsidRDefault="00276854" w:rsidP="00276854">
      <w:pPr>
        <w:pStyle w:val="ReferHead"/>
        <w:spacing w:after="0"/>
        <w:jc w:val="both"/>
        <w:rPr>
          <w:rFonts w:ascii="Arial" w:hAnsi="Arial" w:cs="Arial"/>
          <w:bCs/>
          <w:sz w:val="20"/>
        </w:rPr>
      </w:pPr>
    </w:p>
    <w:p w14:paraId="3843ED3E" w14:textId="77777777" w:rsidR="001E0787" w:rsidRDefault="001E0787" w:rsidP="00276854">
      <w:pPr>
        <w:pStyle w:val="ReferHead"/>
        <w:spacing w:after="0"/>
        <w:jc w:val="both"/>
        <w:rPr>
          <w:rFonts w:ascii="Arial" w:hAnsi="Arial" w:cs="Arial"/>
          <w:bCs/>
          <w:sz w:val="20"/>
        </w:rPr>
      </w:pPr>
    </w:p>
    <w:p w14:paraId="7242A187" w14:textId="77777777" w:rsidR="00717F2E" w:rsidRDefault="00717F2E">
      <w:pPr>
        <w:pStyle w:val="ReferHead"/>
        <w:spacing w:after="0"/>
        <w:jc w:val="both"/>
        <w:rPr>
          <w:rFonts w:ascii="Arial" w:hAnsi="Arial" w:cs="Arial"/>
          <w:b w:val="0"/>
          <w:caps w:val="0"/>
          <w:sz w:val="20"/>
        </w:rPr>
      </w:pPr>
    </w:p>
    <w:p w14:paraId="5B478E3A" w14:textId="63283969" w:rsidR="00FA0F04" w:rsidRDefault="00FA0F04">
      <w:pPr>
        <w:pStyle w:val="ReferHead"/>
        <w:spacing w:after="0"/>
        <w:jc w:val="both"/>
        <w:rPr>
          <w:rFonts w:ascii="Arial" w:hAnsi="Arial" w:cs="Arial"/>
          <w:b w:val="0"/>
          <w:caps w:val="0"/>
          <w:sz w:val="20"/>
        </w:rPr>
      </w:pPr>
    </w:p>
    <w:p w14:paraId="5002F8A1" w14:textId="77777777" w:rsidR="006709EA" w:rsidRPr="005B2BE1" w:rsidRDefault="006709EA" w:rsidP="006709EA">
      <w:pPr>
        <w:rPr>
          <w:b/>
          <w:bCs/>
          <w:highlight w:val="yellow"/>
        </w:rPr>
      </w:pPr>
      <w:r w:rsidRPr="005B2BE1">
        <w:rPr>
          <w:b/>
          <w:bCs/>
          <w:highlight w:val="yellow"/>
        </w:rPr>
        <w:t>Disclaimer (Artificial intelligence)</w:t>
      </w:r>
    </w:p>
    <w:p w14:paraId="1D091D32" w14:textId="77777777" w:rsidR="006709EA" w:rsidRPr="00394842" w:rsidRDefault="006709EA" w:rsidP="006709EA">
      <w:pPr>
        <w:rPr>
          <w:highlight w:val="yellow"/>
        </w:rPr>
      </w:pPr>
    </w:p>
    <w:p w14:paraId="01B1BF70" w14:textId="77777777" w:rsidR="006709EA" w:rsidRPr="00D44711" w:rsidRDefault="006709EA" w:rsidP="006709EA">
      <w:pPr>
        <w:pStyle w:val="ReferHead"/>
        <w:spacing w:after="0"/>
        <w:jc w:val="both"/>
        <w:rPr>
          <w:b w:val="0"/>
          <w:caps w:val="0"/>
          <w:sz w:val="20"/>
          <w:highlight w:val="yellow"/>
        </w:rPr>
      </w:pPr>
      <w:r w:rsidRPr="00D44711">
        <w:rPr>
          <w:b w:val="0"/>
          <w:caps w:val="0"/>
          <w:sz w:val="20"/>
          <w:highlight w:val="yellow"/>
        </w:rPr>
        <w:lastRenderedPageBreak/>
        <w:t xml:space="preserve">The author(s) hereby declare that generative AI technologies have been used during the writing and editing of this manuscript. The details of the AI usage are as follows: </w:t>
      </w:r>
    </w:p>
    <w:p w14:paraId="1B09EEFA" w14:textId="77777777" w:rsidR="006709EA" w:rsidRPr="00D44711" w:rsidRDefault="006709EA" w:rsidP="006709EA">
      <w:pPr>
        <w:pStyle w:val="ReferHead"/>
        <w:spacing w:after="0"/>
        <w:jc w:val="both"/>
        <w:rPr>
          <w:b w:val="0"/>
          <w:caps w:val="0"/>
          <w:sz w:val="20"/>
          <w:highlight w:val="yellow"/>
        </w:rPr>
      </w:pPr>
      <w:r w:rsidRPr="00D44711">
        <w:rPr>
          <w:b w:val="0"/>
          <w:caps w:val="0"/>
          <w:sz w:val="20"/>
          <w:highlight w:val="yellow"/>
        </w:rPr>
        <w:t xml:space="preserve">1.Grammarly: Used for grammar and spellchecking, as well as suggestions for improving sentence structure and overall clarity. </w:t>
      </w:r>
    </w:p>
    <w:p w14:paraId="6721A4A4" w14:textId="77777777" w:rsidR="006709EA" w:rsidRDefault="006709EA" w:rsidP="006709EA">
      <w:pPr>
        <w:pStyle w:val="ReferHead"/>
        <w:spacing w:after="0"/>
        <w:jc w:val="both"/>
        <w:rPr>
          <w:rFonts w:ascii="Arial" w:hAnsi="Arial" w:cs="Arial"/>
          <w:b w:val="0"/>
          <w:caps w:val="0"/>
          <w:sz w:val="20"/>
        </w:rPr>
      </w:pPr>
      <w:r w:rsidRPr="00D44711">
        <w:rPr>
          <w:b w:val="0"/>
          <w:caps w:val="0"/>
          <w:sz w:val="20"/>
          <w:highlight w:val="yellow"/>
        </w:rPr>
        <w:t>2.Quillbot: Employed for paraphrasing and refining sentence flow to enhance readability and coherence</w:t>
      </w:r>
    </w:p>
    <w:p w14:paraId="192F5208" w14:textId="77777777" w:rsidR="00FA0F04" w:rsidRDefault="00FA0F04">
      <w:pPr>
        <w:pStyle w:val="ReferHead"/>
        <w:spacing w:after="0"/>
        <w:jc w:val="both"/>
        <w:rPr>
          <w:rFonts w:ascii="Arial" w:hAnsi="Arial" w:cs="Arial"/>
          <w:b w:val="0"/>
          <w:caps w:val="0"/>
          <w:sz w:val="20"/>
        </w:rPr>
      </w:pPr>
    </w:p>
    <w:p w14:paraId="35D6F465" w14:textId="77777777" w:rsidR="006543BB" w:rsidRDefault="006543BB">
      <w:pPr>
        <w:pStyle w:val="ReferHead"/>
        <w:spacing w:after="0"/>
        <w:jc w:val="both"/>
        <w:rPr>
          <w:rFonts w:ascii="Arial" w:hAnsi="Arial" w:cs="Arial"/>
          <w:b w:val="0"/>
          <w:caps w:val="0"/>
          <w:sz w:val="20"/>
        </w:rPr>
      </w:pPr>
    </w:p>
    <w:p w14:paraId="6BABA7FA" w14:textId="7BD25B37" w:rsidR="006543BB" w:rsidRPr="006543BB" w:rsidRDefault="00270F3F" w:rsidP="006543BB">
      <w:pPr>
        <w:pStyle w:val="ReferHead"/>
        <w:spacing w:after="0"/>
        <w:jc w:val="both"/>
        <w:rPr>
          <w:rFonts w:ascii="Arial" w:hAnsi="Arial" w:cs="Arial"/>
          <w:sz w:val="20"/>
        </w:rPr>
      </w:pPr>
      <w:r>
        <w:rPr>
          <w:rFonts w:ascii="Arial" w:hAnsi="Arial" w:cs="Arial"/>
          <w:sz w:val="20"/>
        </w:rPr>
        <w:t>References</w:t>
      </w:r>
    </w:p>
    <w:p w14:paraId="673D5F8A" w14:textId="77777777" w:rsidR="00A705F7" w:rsidRPr="00AD62A2" w:rsidRDefault="00A705F7" w:rsidP="00A705F7">
      <w:pPr>
        <w:rPr>
          <w:rFonts w:ascii="Arial" w:hAnsi="Arial" w:cs="Arial"/>
          <w:color w:val="222222"/>
          <w:shd w:val="clear" w:color="auto" w:fill="FFFFFF"/>
        </w:rPr>
      </w:pPr>
    </w:p>
    <w:p w14:paraId="388731EF" w14:textId="77777777" w:rsidR="00A705F7" w:rsidRPr="00AD62A2" w:rsidRDefault="00A705F7" w:rsidP="00A705F7">
      <w:pPr>
        <w:ind w:left="720" w:hanging="720"/>
        <w:rPr>
          <w:rFonts w:ascii="Arial" w:hAnsi="Arial" w:cs="Arial"/>
        </w:rPr>
      </w:pPr>
    </w:p>
    <w:p w14:paraId="7ED7B1DB" w14:textId="77777777" w:rsidR="00EC7AAE" w:rsidRDefault="00EC7AAE" w:rsidP="00EC7AAE">
      <w:pPr>
        <w:ind w:left="720" w:hanging="720"/>
      </w:pPr>
    </w:p>
    <w:p w14:paraId="30B5F5E1" w14:textId="77777777" w:rsidR="00FB50A0" w:rsidRPr="00D3066D" w:rsidRDefault="00FB50A0" w:rsidP="00FB50A0">
      <w:pPr>
        <w:ind w:left="720" w:hanging="720"/>
        <w:rPr>
          <w:rFonts w:ascii="Arial" w:hAnsi="Arial" w:cs="Arial"/>
          <w:color w:val="222222"/>
          <w:highlight w:val="yellow"/>
          <w:shd w:val="clear" w:color="auto" w:fill="FFFFFF"/>
        </w:rPr>
      </w:pPr>
      <w:r w:rsidRPr="00D3066D">
        <w:rPr>
          <w:rFonts w:ascii="Arial" w:hAnsi="Arial" w:cs="Arial"/>
          <w:color w:val="222222"/>
          <w:highlight w:val="yellow"/>
          <w:shd w:val="clear" w:color="auto" w:fill="FFFFFF"/>
        </w:rPr>
        <w:t>Bloomfield, J., &amp; Fisher, M. J. (2019). Quantitative research design. </w:t>
      </w:r>
      <w:r w:rsidRPr="00D3066D">
        <w:rPr>
          <w:rFonts w:ascii="Arial" w:hAnsi="Arial" w:cs="Arial"/>
          <w:i/>
          <w:iCs/>
          <w:color w:val="222222"/>
          <w:highlight w:val="yellow"/>
          <w:shd w:val="clear" w:color="auto" w:fill="FFFFFF"/>
        </w:rPr>
        <w:t>Journal of the Australasian Rehabilitation Nurses Association</w:t>
      </w:r>
      <w:r w:rsidRPr="00D3066D">
        <w:rPr>
          <w:rFonts w:ascii="Arial" w:hAnsi="Arial" w:cs="Arial"/>
          <w:color w:val="222222"/>
          <w:highlight w:val="yellow"/>
          <w:shd w:val="clear" w:color="auto" w:fill="FFFFFF"/>
        </w:rPr>
        <w:t>, </w:t>
      </w:r>
      <w:r w:rsidRPr="00D3066D">
        <w:rPr>
          <w:rFonts w:ascii="Arial" w:hAnsi="Arial" w:cs="Arial"/>
          <w:i/>
          <w:iCs/>
          <w:color w:val="222222"/>
          <w:highlight w:val="yellow"/>
          <w:shd w:val="clear" w:color="auto" w:fill="FFFFFF"/>
        </w:rPr>
        <w:t>22</w:t>
      </w:r>
      <w:r w:rsidRPr="00D3066D">
        <w:rPr>
          <w:rFonts w:ascii="Arial" w:hAnsi="Arial" w:cs="Arial"/>
          <w:color w:val="222222"/>
          <w:highlight w:val="yellow"/>
          <w:shd w:val="clear" w:color="auto" w:fill="FFFFFF"/>
        </w:rPr>
        <w:t>(2), 27-30.</w:t>
      </w:r>
    </w:p>
    <w:p w14:paraId="4FA677E7" w14:textId="77777777" w:rsidR="00FB50A0" w:rsidRPr="00D3066D" w:rsidRDefault="00FB50A0" w:rsidP="00FB50A0">
      <w:pPr>
        <w:ind w:left="720" w:hanging="720"/>
        <w:rPr>
          <w:rFonts w:ascii="Arial" w:hAnsi="Arial" w:cs="Arial"/>
          <w:color w:val="222222"/>
          <w:highlight w:val="yellow"/>
          <w:shd w:val="clear" w:color="auto" w:fill="FFFFFF"/>
        </w:rPr>
      </w:pPr>
      <w:r w:rsidRPr="00D3066D">
        <w:rPr>
          <w:rFonts w:ascii="Arial" w:hAnsi="Arial" w:cs="Arial"/>
          <w:color w:val="222222"/>
          <w:highlight w:val="yellow"/>
          <w:shd w:val="clear" w:color="auto" w:fill="FFFFFF"/>
        </w:rPr>
        <w:t>Chen, H. Y., Das, A., &amp; Ivanov, D. (2019). Building resilience and managing post-disruption supply chain recovery: Lessons from the information and communication technology industry. </w:t>
      </w:r>
      <w:r w:rsidRPr="00D3066D">
        <w:rPr>
          <w:rFonts w:ascii="Arial" w:hAnsi="Arial" w:cs="Arial"/>
          <w:i/>
          <w:iCs/>
          <w:color w:val="222222"/>
          <w:highlight w:val="yellow"/>
          <w:shd w:val="clear" w:color="auto" w:fill="FFFFFF"/>
        </w:rPr>
        <w:t>International Journal of Information Management</w:t>
      </w:r>
      <w:r w:rsidRPr="00D3066D">
        <w:rPr>
          <w:rFonts w:ascii="Arial" w:hAnsi="Arial" w:cs="Arial"/>
          <w:color w:val="222222"/>
          <w:highlight w:val="yellow"/>
          <w:shd w:val="clear" w:color="auto" w:fill="FFFFFF"/>
        </w:rPr>
        <w:t>, </w:t>
      </w:r>
      <w:r w:rsidRPr="00D3066D">
        <w:rPr>
          <w:rFonts w:ascii="Arial" w:hAnsi="Arial" w:cs="Arial"/>
          <w:i/>
          <w:iCs/>
          <w:color w:val="222222"/>
          <w:highlight w:val="yellow"/>
          <w:shd w:val="clear" w:color="auto" w:fill="FFFFFF"/>
        </w:rPr>
        <w:t>49</w:t>
      </w:r>
      <w:r w:rsidRPr="00D3066D">
        <w:rPr>
          <w:rFonts w:ascii="Arial" w:hAnsi="Arial" w:cs="Arial"/>
          <w:color w:val="222222"/>
          <w:highlight w:val="yellow"/>
          <w:shd w:val="clear" w:color="auto" w:fill="FFFFFF"/>
        </w:rPr>
        <w:t>, 330-342.</w:t>
      </w:r>
    </w:p>
    <w:p w14:paraId="4052B77A" w14:textId="77777777" w:rsidR="00FB50A0" w:rsidRPr="00D3066D" w:rsidRDefault="00FB50A0" w:rsidP="00FB50A0">
      <w:pPr>
        <w:ind w:left="720" w:hanging="720"/>
        <w:rPr>
          <w:rFonts w:ascii="Arial" w:hAnsi="Arial" w:cs="Arial"/>
          <w:color w:val="222222"/>
          <w:highlight w:val="yellow"/>
          <w:shd w:val="clear" w:color="auto" w:fill="FFFFFF"/>
        </w:rPr>
      </w:pPr>
      <w:r w:rsidRPr="00D3066D">
        <w:rPr>
          <w:rFonts w:ascii="Arial" w:hAnsi="Arial" w:cs="Arial"/>
          <w:color w:val="222222"/>
          <w:highlight w:val="yellow"/>
          <w:shd w:val="clear" w:color="auto" w:fill="FFFFFF"/>
        </w:rPr>
        <w:t xml:space="preserve">DIYA, L. (2023). The Impact </w:t>
      </w:r>
      <w:proofErr w:type="gramStart"/>
      <w:r w:rsidRPr="00D3066D">
        <w:rPr>
          <w:rFonts w:ascii="Arial" w:hAnsi="Arial" w:cs="Arial"/>
          <w:color w:val="222222"/>
          <w:highlight w:val="yellow"/>
          <w:shd w:val="clear" w:color="auto" w:fill="FFFFFF"/>
        </w:rPr>
        <w:t>Of</w:t>
      </w:r>
      <w:proofErr w:type="gramEnd"/>
      <w:r w:rsidRPr="00D3066D">
        <w:rPr>
          <w:rFonts w:ascii="Arial" w:hAnsi="Arial" w:cs="Arial"/>
          <w:color w:val="222222"/>
          <w:highlight w:val="yellow"/>
          <w:shd w:val="clear" w:color="auto" w:fill="FFFFFF"/>
        </w:rPr>
        <w:t xml:space="preserve"> Working Environment And Management Support On Job Satisfaction: The Mediating Role Of Job Satisfaction. </w:t>
      </w:r>
      <w:proofErr w:type="spellStart"/>
      <w:r w:rsidRPr="00D3066D">
        <w:rPr>
          <w:rFonts w:ascii="Arial" w:hAnsi="Arial" w:cs="Arial"/>
          <w:i/>
          <w:iCs/>
          <w:color w:val="222222"/>
          <w:highlight w:val="yellow"/>
          <w:shd w:val="clear" w:color="auto" w:fill="FFFFFF"/>
        </w:rPr>
        <w:t>Webology</w:t>
      </w:r>
      <w:proofErr w:type="spellEnd"/>
      <w:r w:rsidRPr="00D3066D">
        <w:rPr>
          <w:rFonts w:ascii="Arial" w:hAnsi="Arial" w:cs="Arial"/>
          <w:color w:val="222222"/>
          <w:highlight w:val="yellow"/>
          <w:shd w:val="clear" w:color="auto" w:fill="FFFFFF"/>
        </w:rPr>
        <w:t>, </w:t>
      </w:r>
      <w:r w:rsidRPr="00D3066D">
        <w:rPr>
          <w:rFonts w:ascii="Arial" w:hAnsi="Arial" w:cs="Arial"/>
          <w:i/>
          <w:iCs/>
          <w:color w:val="222222"/>
          <w:highlight w:val="yellow"/>
          <w:shd w:val="clear" w:color="auto" w:fill="FFFFFF"/>
        </w:rPr>
        <w:t>20</w:t>
      </w:r>
      <w:r w:rsidRPr="00D3066D">
        <w:rPr>
          <w:rFonts w:ascii="Arial" w:hAnsi="Arial" w:cs="Arial"/>
          <w:color w:val="222222"/>
          <w:highlight w:val="yellow"/>
          <w:shd w:val="clear" w:color="auto" w:fill="FFFFFF"/>
        </w:rPr>
        <w:t>(3).</w:t>
      </w:r>
    </w:p>
    <w:p w14:paraId="4055A600" w14:textId="77777777" w:rsidR="00FB50A0" w:rsidRPr="00D3066D" w:rsidRDefault="00FB50A0" w:rsidP="00FB50A0">
      <w:pPr>
        <w:ind w:left="720" w:hanging="720"/>
        <w:rPr>
          <w:rFonts w:ascii="Arial" w:hAnsi="Arial" w:cs="Arial"/>
          <w:color w:val="222222"/>
          <w:highlight w:val="yellow"/>
          <w:shd w:val="clear" w:color="auto" w:fill="FFFFFF"/>
        </w:rPr>
      </w:pPr>
      <w:r w:rsidRPr="00D3066D">
        <w:rPr>
          <w:rFonts w:ascii="Arial" w:hAnsi="Arial" w:cs="Arial"/>
          <w:color w:val="222222"/>
          <w:highlight w:val="yellow"/>
          <w:shd w:val="clear" w:color="auto" w:fill="FFFFFF"/>
        </w:rPr>
        <w:t>Duchek, S., Foerster, C., &amp; Scheuch, I. (2022). Bouncing up: The development of women leaders’ resilience. </w:t>
      </w:r>
      <w:r w:rsidRPr="00D3066D">
        <w:rPr>
          <w:rFonts w:ascii="Arial" w:hAnsi="Arial" w:cs="Arial"/>
          <w:i/>
          <w:iCs/>
          <w:color w:val="222222"/>
          <w:highlight w:val="yellow"/>
          <w:shd w:val="clear" w:color="auto" w:fill="FFFFFF"/>
        </w:rPr>
        <w:t>Scandinavian Journal of Management</w:t>
      </w:r>
      <w:r w:rsidRPr="00D3066D">
        <w:rPr>
          <w:rFonts w:ascii="Arial" w:hAnsi="Arial" w:cs="Arial"/>
          <w:color w:val="222222"/>
          <w:highlight w:val="yellow"/>
          <w:shd w:val="clear" w:color="auto" w:fill="FFFFFF"/>
        </w:rPr>
        <w:t>, </w:t>
      </w:r>
      <w:r w:rsidRPr="00D3066D">
        <w:rPr>
          <w:rFonts w:ascii="Arial" w:hAnsi="Arial" w:cs="Arial"/>
          <w:i/>
          <w:iCs/>
          <w:color w:val="222222"/>
          <w:highlight w:val="yellow"/>
          <w:shd w:val="clear" w:color="auto" w:fill="FFFFFF"/>
        </w:rPr>
        <w:t>38</w:t>
      </w:r>
      <w:r w:rsidRPr="00D3066D">
        <w:rPr>
          <w:rFonts w:ascii="Arial" w:hAnsi="Arial" w:cs="Arial"/>
          <w:color w:val="222222"/>
          <w:highlight w:val="yellow"/>
          <w:shd w:val="clear" w:color="auto" w:fill="FFFFFF"/>
        </w:rPr>
        <w:t>(4), 101234.</w:t>
      </w:r>
    </w:p>
    <w:p w14:paraId="30CE304F" w14:textId="77777777" w:rsidR="00FB50A0" w:rsidRPr="00D3066D" w:rsidRDefault="00FB50A0" w:rsidP="00FB50A0">
      <w:pPr>
        <w:ind w:left="720" w:hanging="720"/>
        <w:rPr>
          <w:rFonts w:ascii="Arial" w:hAnsi="Arial" w:cs="Arial"/>
          <w:color w:val="222222"/>
          <w:highlight w:val="yellow"/>
          <w:shd w:val="clear" w:color="auto" w:fill="FFFFFF"/>
        </w:rPr>
      </w:pPr>
      <w:proofErr w:type="spellStart"/>
      <w:r w:rsidRPr="00D3066D">
        <w:rPr>
          <w:rFonts w:ascii="Arial" w:hAnsi="Arial" w:cs="Arial"/>
          <w:color w:val="222222"/>
          <w:highlight w:val="yellow"/>
          <w:shd w:val="clear" w:color="auto" w:fill="FFFFFF"/>
        </w:rPr>
        <w:t>Eslit</w:t>
      </w:r>
      <w:proofErr w:type="spellEnd"/>
      <w:r w:rsidRPr="00D3066D">
        <w:rPr>
          <w:rFonts w:ascii="Arial" w:hAnsi="Arial" w:cs="Arial"/>
          <w:color w:val="222222"/>
          <w:highlight w:val="yellow"/>
          <w:shd w:val="clear" w:color="auto" w:fill="FFFFFF"/>
        </w:rPr>
        <w:t>, E. R. (2023). Tracing the Uncharted Odyssey: A 2017-2022 Tracer Study of the College of Arts and Sciences Alumni's Career Paths.</w:t>
      </w:r>
    </w:p>
    <w:p w14:paraId="71200629" w14:textId="77777777" w:rsidR="00FB50A0" w:rsidRPr="00D3066D" w:rsidRDefault="00FB50A0" w:rsidP="00FB50A0">
      <w:pPr>
        <w:ind w:left="720" w:hanging="720"/>
        <w:rPr>
          <w:rFonts w:ascii="Arial" w:hAnsi="Arial" w:cs="Arial"/>
          <w:color w:val="222222"/>
          <w:highlight w:val="yellow"/>
          <w:shd w:val="clear" w:color="auto" w:fill="FFFFFF"/>
        </w:rPr>
      </w:pPr>
      <w:r w:rsidRPr="00D3066D">
        <w:rPr>
          <w:rFonts w:ascii="Arial" w:hAnsi="Arial" w:cs="Arial"/>
          <w:color w:val="222222"/>
          <w:highlight w:val="yellow"/>
          <w:shd w:val="clear" w:color="auto" w:fill="FFFFFF"/>
        </w:rPr>
        <w:t>Fernandes, V., Wong, W., &amp; Noonan, M. (2023). Developing adaptability and agility in leadership amidst the COVID-19 crisis: experiences of early-career school principals. </w:t>
      </w:r>
      <w:r w:rsidRPr="00D3066D">
        <w:rPr>
          <w:rFonts w:ascii="Arial" w:hAnsi="Arial" w:cs="Arial"/>
          <w:i/>
          <w:iCs/>
          <w:color w:val="222222"/>
          <w:highlight w:val="yellow"/>
          <w:shd w:val="clear" w:color="auto" w:fill="FFFFFF"/>
        </w:rPr>
        <w:t>International Journal of Educational Management</w:t>
      </w:r>
      <w:r w:rsidRPr="00D3066D">
        <w:rPr>
          <w:rFonts w:ascii="Arial" w:hAnsi="Arial" w:cs="Arial"/>
          <w:color w:val="222222"/>
          <w:highlight w:val="yellow"/>
          <w:shd w:val="clear" w:color="auto" w:fill="FFFFFF"/>
        </w:rPr>
        <w:t>, </w:t>
      </w:r>
      <w:r w:rsidRPr="00D3066D">
        <w:rPr>
          <w:rFonts w:ascii="Arial" w:hAnsi="Arial" w:cs="Arial"/>
          <w:i/>
          <w:iCs/>
          <w:color w:val="222222"/>
          <w:highlight w:val="yellow"/>
          <w:shd w:val="clear" w:color="auto" w:fill="FFFFFF"/>
        </w:rPr>
        <w:t>37</w:t>
      </w:r>
      <w:r w:rsidRPr="00D3066D">
        <w:rPr>
          <w:rFonts w:ascii="Arial" w:hAnsi="Arial" w:cs="Arial"/>
          <w:color w:val="222222"/>
          <w:highlight w:val="yellow"/>
          <w:shd w:val="clear" w:color="auto" w:fill="FFFFFF"/>
        </w:rPr>
        <w:t>(2), 483-506.</w:t>
      </w:r>
    </w:p>
    <w:p w14:paraId="74994D53" w14:textId="77777777" w:rsidR="00FB50A0" w:rsidRPr="00D3066D" w:rsidRDefault="00FB50A0" w:rsidP="00FB50A0">
      <w:pPr>
        <w:ind w:left="720" w:hanging="720"/>
        <w:rPr>
          <w:rFonts w:ascii="Arial" w:hAnsi="Arial" w:cs="Arial"/>
          <w:color w:val="222222"/>
          <w:highlight w:val="yellow"/>
          <w:shd w:val="clear" w:color="auto" w:fill="FFFFFF"/>
        </w:rPr>
      </w:pPr>
      <w:r w:rsidRPr="00D3066D">
        <w:rPr>
          <w:rFonts w:ascii="Arial" w:hAnsi="Arial" w:cs="Arial"/>
          <w:color w:val="222222"/>
          <w:highlight w:val="yellow"/>
          <w:shd w:val="clear" w:color="auto" w:fill="FFFFFF"/>
        </w:rPr>
        <w:t>Goff, L. M., Moore, A., Harding, S., &amp; Rivas, C. (2020). Providing culturally sensitive diabetes self-management education and support for black African and Caribbean communities: a qualitative exploration of the challenges experienced by healthcare practitioners in inner London. </w:t>
      </w:r>
      <w:r w:rsidRPr="00D3066D">
        <w:rPr>
          <w:rFonts w:ascii="Arial" w:hAnsi="Arial" w:cs="Arial"/>
          <w:i/>
          <w:iCs/>
          <w:color w:val="222222"/>
          <w:highlight w:val="yellow"/>
          <w:shd w:val="clear" w:color="auto" w:fill="FFFFFF"/>
        </w:rPr>
        <w:t>BMJ open diabetes research &amp; care</w:t>
      </w:r>
      <w:r w:rsidRPr="00D3066D">
        <w:rPr>
          <w:rFonts w:ascii="Arial" w:hAnsi="Arial" w:cs="Arial"/>
          <w:color w:val="222222"/>
          <w:highlight w:val="yellow"/>
          <w:shd w:val="clear" w:color="auto" w:fill="FFFFFF"/>
        </w:rPr>
        <w:t>, </w:t>
      </w:r>
      <w:r w:rsidRPr="00D3066D">
        <w:rPr>
          <w:rFonts w:ascii="Arial" w:hAnsi="Arial" w:cs="Arial"/>
          <w:i/>
          <w:iCs/>
          <w:color w:val="222222"/>
          <w:highlight w:val="yellow"/>
          <w:shd w:val="clear" w:color="auto" w:fill="FFFFFF"/>
        </w:rPr>
        <w:t>8</w:t>
      </w:r>
      <w:r w:rsidRPr="00D3066D">
        <w:rPr>
          <w:rFonts w:ascii="Arial" w:hAnsi="Arial" w:cs="Arial"/>
          <w:color w:val="222222"/>
          <w:highlight w:val="yellow"/>
          <w:shd w:val="clear" w:color="auto" w:fill="FFFFFF"/>
        </w:rPr>
        <w:t>(2).</w:t>
      </w:r>
    </w:p>
    <w:p w14:paraId="383861DD" w14:textId="77777777" w:rsidR="00FB50A0" w:rsidRPr="00D3066D" w:rsidRDefault="00FB50A0" w:rsidP="00FB50A0">
      <w:pPr>
        <w:ind w:left="720" w:hanging="720"/>
        <w:rPr>
          <w:rFonts w:ascii="Arial" w:hAnsi="Arial" w:cs="Arial"/>
          <w:color w:val="222222"/>
          <w:highlight w:val="yellow"/>
          <w:shd w:val="clear" w:color="auto" w:fill="FFFFFF"/>
        </w:rPr>
      </w:pPr>
      <w:r w:rsidRPr="00D3066D">
        <w:rPr>
          <w:rFonts w:ascii="Arial" w:hAnsi="Arial" w:cs="Arial"/>
          <w:color w:val="222222"/>
          <w:highlight w:val="yellow"/>
          <w:shd w:val="clear" w:color="auto" w:fill="FFFFFF"/>
        </w:rPr>
        <w:t>Hunt, S. (2022). </w:t>
      </w:r>
      <w:r w:rsidRPr="00D3066D">
        <w:rPr>
          <w:rFonts w:ascii="Arial" w:hAnsi="Arial" w:cs="Arial"/>
          <w:i/>
          <w:iCs/>
          <w:color w:val="222222"/>
          <w:highlight w:val="yellow"/>
          <w:shd w:val="clear" w:color="auto" w:fill="FFFFFF"/>
        </w:rPr>
        <w:t>The use of solution-oriented coaching to facilitate teacher’s applications of education technology in a primary school</w:t>
      </w:r>
      <w:r w:rsidRPr="00D3066D">
        <w:rPr>
          <w:rFonts w:ascii="Arial" w:hAnsi="Arial" w:cs="Arial"/>
          <w:color w:val="222222"/>
          <w:highlight w:val="yellow"/>
          <w:shd w:val="clear" w:color="auto" w:fill="FFFFFF"/>
        </w:rPr>
        <w:t> (Doctoral dissertation, University of Nottingham).</w:t>
      </w:r>
    </w:p>
    <w:p w14:paraId="660F26BC" w14:textId="77777777" w:rsidR="00FB50A0" w:rsidRPr="00D3066D" w:rsidRDefault="00FB50A0" w:rsidP="00FB50A0">
      <w:pPr>
        <w:ind w:left="720" w:hanging="720"/>
        <w:rPr>
          <w:rFonts w:ascii="Arial" w:hAnsi="Arial" w:cs="Arial"/>
          <w:color w:val="222222"/>
          <w:highlight w:val="yellow"/>
          <w:shd w:val="clear" w:color="auto" w:fill="FFFFFF"/>
        </w:rPr>
      </w:pPr>
      <w:r w:rsidRPr="00D3066D">
        <w:rPr>
          <w:rFonts w:ascii="Arial" w:hAnsi="Arial" w:cs="Arial"/>
          <w:color w:val="222222"/>
          <w:highlight w:val="yellow"/>
          <w:shd w:val="clear" w:color="auto" w:fill="FFFFFF"/>
        </w:rPr>
        <w:t>Jiang, Z., Jiang, Y., &amp; Nielsen, I. (2021). Thriving and career outcomes: The roles of achievement orientation and resilience. </w:t>
      </w:r>
      <w:r w:rsidRPr="00D3066D">
        <w:rPr>
          <w:rFonts w:ascii="Arial" w:hAnsi="Arial" w:cs="Arial"/>
          <w:i/>
          <w:iCs/>
          <w:color w:val="222222"/>
          <w:highlight w:val="yellow"/>
          <w:shd w:val="clear" w:color="auto" w:fill="FFFFFF"/>
        </w:rPr>
        <w:t>Human Resource Management Journal</w:t>
      </w:r>
      <w:r w:rsidRPr="00D3066D">
        <w:rPr>
          <w:rFonts w:ascii="Arial" w:hAnsi="Arial" w:cs="Arial"/>
          <w:color w:val="222222"/>
          <w:highlight w:val="yellow"/>
          <w:shd w:val="clear" w:color="auto" w:fill="FFFFFF"/>
        </w:rPr>
        <w:t>, </w:t>
      </w:r>
      <w:r w:rsidRPr="00D3066D">
        <w:rPr>
          <w:rFonts w:ascii="Arial" w:hAnsi="Arial" w:cs="Arial"/>
          <w:i/>
          <w:iCs/>
          <w:color w:val="222222"/>
          <w:highlight w:val="yellow"/>
          <w:shd w:val="clear" w:color="auto" w:fill="FFFFFF"/>
        </w:rPr>
        <w:t>31</w:t>
      </w:r>
      <w:r w:rsidRPr="00D3066D">
        <w:rPr>
          <w:rFonts w:ascii="Arial" w:hAnsi="Arial" w:cs="Arial"/>
          <w:color w:val="222222"/>
          <w:highlight w:val="yellow"/>
          <w:shd w:val="clear" w:color="auto" w:fill="FFFFFF"/>
        </w:rPr>
        <w:t>(1), 143-164.</w:t>
      </w:r>
    </w:p>
    <w:p w14:paraId="6E4DF720" w14:textId="77777777" w:rsidR="00FB50A0" w:rsidRPr="00D3066D" w:rsidRDefault="00FB50A0" w:rsidP="00FB50A0">
      <w:pPr>
        <w:ind w:left="720" w:hanging="720"/>
        <w:rPr>
          <w:rFonts w:ascii="Arial" w:hAnsi="Arial" w:cs="Arial"/>
          <w:color w:val="222222"/>
          <w:highlight w:val="yellow"/>
          <w:shd w:val="clear" w:color="auto" w:fill="FFFFFF"/>
        </w:rPr>
      </w:pPr>
      <w:proofErr w:type="spellStart"/>
      <w:r w:rsidRPr="00D3066D">
        <w:rPr>
          <w:rFonts w:ascii="Arial" w:hAnsi="Arial" w:cs="Arial"/>
          <w:color w:val="222222"/>
          <w:highlight w:val="yellow"/>
          <w:shd w:val="clear" w:color="auto" w:fill="FFFFFF"/>
        </w:rPr>
        <w:t>Jogulu</w:t>
      </w:r>
      <w:proofErr w:type="spellEnd"/>
      <w:r w:rsidRPr="00D3066D">
        <w:rPr>
          <w:rFonts w:ascii="Arial" w:hAnsi="Arial" w:cs="Arial"/>
          <w:color w:val="222222"/>
          <w:highlight w:val="yellow"/>
          <w:shd w:val="clear" w:color="auto" w:fill="FFFFFF"/>
        </w:rPr>
        <w:t>, U., &amp; Franken, E. (2023). The career resilience of senior women managers: A cross</w:t>
      </w:r>
      <w:r w:rsidRPr="00D3066D">
        <w:rPr>
          <w:rFonts w:ascii="Cambria Math" w:hAnsi="Cambria Math" w:cs="Cambria Math"/>
          <w:color w:val="222222"/>
          <w:highlight w:val="yellow"/>
          <w:shd w:val="clear" w:color="auto" w:fill="FFFFFF"/>
        </w:rPr>
        <w:t>‐</w:t>
      </w:r>
      <w:r w:rsidRPr="00D3066D">
        <w:rPr>
          <w:rFonts w:ascii="Arial" w:hAnsi="Arial" w:cs="Arial"/>
          <w:color w:val="222222"/>
          <w:highlight w:val="yellow"/>
          <w:shd w:val="clear" w:color="auto" w:fill="FFFFFF"/>
        </w:rPr>
        <w:t>cultural perspective. </w:t>
      </w:r>
      <w:r w:rsidRPr="00D3066D">
        <w:rPr>
          <w:rFonts w:ascii="Arial" w:hAnsi="Arial" w:cs="Arial"/>
          <w:i/>
          <w:iCs/>
          <w:color w:val="222222"/>
          <w:highlight w:val="yellow"/>
          <w:shd w:val="clear" w:color="auto" w:fill="FFFFFF"/>
        </w:rPr>
        <w:t>Gender, Work &amp; Organization</w:t>
      </w:r>
      <w:r w:rsidRPr="00D3066D">
        <w:rPr>
          <w:rFonts w:ascii="Arial" w:hAnsi="Arial" w:cs="Arial"/>
          <w:color w:val="222222"/>
          <w:highlight w:val="yellow"/>
          <w:shd w:val="clear" w:color="auto" w:fill="FFFFFF"/>
        </w:rPr>
        <w:t>, </w:t>
      </w:r>
      <w:r w:rsidRPr="00D3066D">
        <w:rPr>
          <w:rFonts w:ascii="Arial" w:hAnsi="Arial" w:cs="Arial"/>
          <w:i/>
          <w:iCs/>
          <w:color w:val="222222"/>
          <w:highlight w:val="yellow"/>
          <w:shd w:val="clear" w:color="auto" w:fill="FFFFFF"/>
        </w:rPr>
        <w:t>30</w:t>
      </w:r>
      <w:r w:rsidRPr="00D3066D">
        <w:rPr>
          <w:rFonts w:ascii="Arial" w:hAnsi="Arial" w:cs="Arial"/>
          <w:color w:val="222222"/>
          <w:highlight w:val="yellow"/>
          <w:shd w:val="clear" w:color="auto" w:fill="FFFFFF"/>
        </w:rPr>
        <w:t>(1), 280-300.</w:t>
      </w:r>
    </w:p>
    <w:p w14:paraId="400E77FE" w14:textId="77777777" w:rsidR="00FB50A0" w:rsidRPr="00D3066D" w:rsidRDefault="00FB50A0" w:rsidP="00FB50A0">
      <w:pPr>
        <w:ind w:left="720" w:hanging="720"/>
        <w:rPr>
          <w:rFonts w:ascii="Arial" w:hAnsi="Arial" w:cs="Arial"/>
          <w:color w:val="222222"/>
          <w:highlight w:val="yellow"/>
          <w:shd w:val="clear" w:color="auto" w:fill="FFFFFF"/>
        </w:rPr>
      </w:pPr>
      <w:r w:rsidRPr="00D3066D">
        <w:rPr>
          <w:rFonts w:ascii="Arial" w:hAnsi="Arial" w:cs="Arial"/>
          <w:color w:val="222222"/>
          <w:highlight w:val="yellow"/>
          <w:shd w:val="clear" w:color="auto" w:fill="FFFFFF"/>
        </w:rPr>
        <w:t>Kangas-Dick, K., &amp; O’Shaughnessy, E. (2020). Interventions that promote resilience among teachers: A systematic review of the literature. </w:t>
      </w:r>
      <w:r w:rsidRPr="00D3066D">
        <w:rPr>
          <w:rFonts w:ascii="Arial" w:hAnsi="Arial" w:cs="Arial"/>
          <w:i/>
          <w:iCs/>
          <w:color w:val="222222"/>
          <w:highlight w:val="yellow"/>
          <w:shd w:val="clear" w:color="auto" w:fill="FFFFFF"/>
        </w:rPr>
        <w:t>International Journal of School &amp; Educational Psychology</w:t>
      </w:r>
      <w:r w:rsidRPr="00D3066D">
        <w:rPr>
          <w:rFonts w:ascii="Arial" w:hAnsi="Arial" w:cs="Arial"/>
          <w:color w:val="222222"/>
          <w:highlight w:val="yellow"/>
          <w:shd w:val="clear" w:color="auto" w:fill="FFFFFF"/>
        </w:rPr>
        <w:t>, </w:t>
      </w:r>
      <w:r w:rsidRPr="00D3066D">
        <w:rPr>
          <w:rFonts w:ascii="Arial" w:hAnsi="Arial" w:cs="Arial"/>
          <w:i/>
          <w:iCs/>
          <w:color w:val="222222"/>
          <w:highlight w:val="yellow"/>
          <w:shd w:val="clear" w:color="auto" w:fill="FFFFFF"/>
        </w:rPr>
        <w:t>8</w:t>
      </w:r>
      <w:r w:rsidRPr="00D3066D">
        <w:rPr>
          <w:rFonts w:ascii="Arial" w:hAnsi="Arial" w:cs="Arial"/>
          <w:color w:val="222222"/>
          <w:highlight w:val="yellow"/>
          <w:shd w:val="clear" w:color="auto" w:fill="FFFFFF"/>
        </w:rPr>
        <w:t>(2), 131-146.</w:t>
      </w:r>
    </w:p>
    <w:p w14:paraId="061E1E5F" w14:textId="77777777" w:rsidR="00FB50A0" w:rsidRPr="00D3066D" w:rsidRDefault="00FB50A0" w:rsidP="00FB50A0">
      <w:pPr>
        <w:ind w:left="720" w:hanging="720"/>
        <w:rPr>
          <w:rFonts w:ascii="Arial" w:hAnsi="Arial" w:cs="Arial"/>
          <w:color w:val="222222"/>
          <w:highlight w:val="yellow"/>
          <w:shd w:val="clear" w:color="auto" w:fill="FFFFFF"/>
        </w:rPr>
      </w:pPr>
      <w:r w:rsidRPr="00D3066D">
        <w:rPr>
          <w:rFonts w:ascii="Arial" w:hAnsi="Arial" w:cs="Arial"/>
          <w:color w:val="222222"/>
          <w:highlight w:val="yellow"/>
          <w:shd w:val="clear" w:color="auto" w:fill="FFFFFF"/>
        </w:rPr>
        <w:t xml:space="preserve">Khan, Z., Rao-Nicholson, R., Akhtar, P., </w:t>
      </w:r>
      <w:proofErr w:type="spellStart"/>
      <w:r w:rsidRPr="00D3066D">
        <w:rPr>
          <w:rFonts w:ascii="Arial" w:hAnsi="Arial" w:cs="Arial"/>
          <w:color w:val="222222"/>
          <w:highlight w:val="yellow"/>
          <w:shd w:val="clear" w:color="auto" w:fill="FFFFFF"/>
        </w:rPr>
        <w:t>Tarba</w:t>
      </w:r>
      <w:proofErr w:type="spellEnd"/>
      <w:r w:rsidRPr="00D3066D">
        <w:rPr>
          <w:rFonts w:ascii="Arial" w:hAnsi="Arial" w:cs="Arial"/>
          <w:color w:val="222222"/>
          <w:highlight w:val="yellow"/>
          <w:shd w:val="clear" w:color="auto" w:fill="FFFFFF"/>
        </w:rPr>
        <w:t xml:space="preserve">, S. Y., Ahammad, M. F., &amp; </w:t>
      </w:r>
      <w:proofErr w:type="spellStart"/>
      <w:r w:rsidRPr="00D3066D">
        <w:rPr>
          <w:rFonts w:ascii="Arial" w:hAnsi="Arial" w:cs="Arial"/>
          <w:color w:val="222222"/>
          <w:highlight w:val="yellow"/>
          <w:shd w:val="clear" w:color="auto" w:fill="FFFFFF"/>
        </w:rPr>
        <w:t>Vorley</w:t>
      </w:r>
      <w:proofErr w:type="spellEnd"/>
      <w:r w:rsidRPr="00D3066D">
        <w:rPr>
          <w:rFonts w:ascii="Arial" w:hAnsi="Arial" w:cs="Arial"/>
          <w:color w:val="222222"/>
          <w:highlight w:val="yellow"/>
          <w:shd w:val="clear" w:color="auto" w:fill="FFFFFF"/>
        </w:rPr>
        <w:t>, T. (2019). The role of HR practices in developing employee resilience: A case study from the Pakistani telecommunications sector. </w:t>
      </w:r>
      <w:r w:rsidRPr="00D3066D">
        <w:rPr>
          <w:rFonts w:ascii="Arial" w:hAnsi="Arial" w:cs="Arial"/>
          <w:i/>
          <w:iCs/>
          <w:color w:val="222222"/>
          <w:highlight w:val="yellow"/>
          <w:shd w:val="clear" w:color="auto" w:fill="FFFFFF"/>
        </w:rPr>
        <w:t>The International Journal of Human Resource Management</w:t>
      </w:r>
      <w:r w:rsidRPr="00D3066D">
        <w:rPr>
          <w:rFonts w:ascii="Arial" w:hAnsi="Arial" w:cs="Arial"/>
          <w:color w:val="222222"/>
          <w:highlight w:val="yellow"/>
          <w:shd w:val="clear" w:color="auto" w:fill="FFFFFF"/>
        </w:rPr>
        <w:t>, </w:t>
      </w:r>
      <w:r w:rsidRPr="00D3066D">
        <w:rPr>
          <w:rFonts w:ascii="Arial" w:hAnsi="Arial" w:cs="Arial"/>
          <w:i/>
          <w:iCs/>
          <w:color w:val="222222"/>
          <w:highlight w:val="yellow"/>
          <w:shd w:val="clear" w:color="auto" w:fill="FFFFFF"/>
        </w:rPr>
        <w:t>30</w:t>
      </w:r>
      <w:r w:rsidRPr="00D3066D">
        <w:rPr>
          <w:rFonts w:ascii="Arial" w:hAnsi="Arial" w:cs="Arial"/>
          <w:color w:val="222222"/>
          <w:highlight w:val="yellow"/>
          <w:shd w:val="clear" w:color="auto" w:fill="FFFFFF"/>
        </w:rPr>
        <w:t>(8), 1342-1369.</w:t>
      </w:r>
    </w:p>
    <w:p w14:paraId="61C7DF7B" w14:textId="77777777" w:rsidR="00FB50A0" w:rsidRPr="00D3066D" w:rsidRDefault="00FB50A0" w:rsidP="00FB50A0">
      <w:pPr>
        <w:ind w:left="720" w:hanging="720"/>
        <w:rPr>
          <w:rFonts w:ascii="Arial" w:hAnsi="Arial" w:cs="Arial"/>
          <w:color w:val="222222"/>
          <w:highlight w:val="yellow"/>
          <w:shd w:val="clear" w:color="auto" w:fill="FFFFFF"/>
        </w:rPr>
      </w:pPr>
      <w:proofErr w:type="spellStart"/>
      <w:r w:rsidRPr="00D3066D">
        <w:rPr>
          <w:rFonts w:ascii="Arial" w:hAnsi="Arial" w:cs="Arial"/>
          <w:color w:val="222222"/>
          <w:highlight w:val="yellow"/>
          <w:shd w:val="clear" w:color="auto" w:fill="FFFFFF"/>
        </w:rPr>
        <w:t>Kutsyuruba</w:t>
      </w:r>
      <w:proofErr w:type="spellEnd"/>
      <w:r w:rsidRPr="00D3066D">
        <w:rPr>
          <w:rFonts w:ascii="Arial" w:hAnsi="Arial" w:cs="Arial"/>
          <w:color w:val="222222"/>
          <w:highlight w:val="yellow"/>
          <w:shd w:val="clear" w:color="auto" w:fill="FFFFFF"/>
        </w:rPr>
        <w:t xml:space="preserve">, B., Walker, K. D., Stasel, R. S., &amp; </w:t>
      </w:r>
      <w:proofErr w:type="spellStart"/>
      <w:r w:rsidRPr="00D3066D">
        <w:rPr>
          <w:rFonts w:ascii="Arial" w:hAnsi="Arial" w:cs="Arial"/>
          <w:color w:val="222222"/>
          <w:highlight w:val="yellow"/>
          <w:shd w:val="clear" w:color="auto" w:fill="FFFFFF"/>
        </w:rPr>
        <w:t>Makhamreh</w:t>
      </w:r>
      <w:proofErr w:type="spellEnd"/>
      <w:r w:rsidRPr="00D3066D">
        <w:rPr>
          <w:rFonts w:ascii="Arial" w:hAnsi="Arial" w:cs="Arial"/>
          <w:color w:val="222222"/>
          <w:highlight w:val="yellow"/>
          <w:shd w:val="clear" w:color="auto" w:fill="FFFFFF"/>
        </w:rPr>
        <w:t>, M. A. (2019). Developing resilience and promoting well-being in early career teaching. </w:t>
      </w:r>
      <w:r w:rsidRPr="00D3066D">
        <w:rPr>
          <w:rFonts w:ascii="Arial" w:hAnsi="Arial" w:cs="Arial"/>
          <w:i/>
          <w:iCs/>
          <w:color w:val="222222"/>
          <w:highlight w:val="yellow"/>
          <w:shd w:val="clear" w:color="auto" w:fill="FFFFFF"/>
        </w:rPr>
        <w:t xml:space="preserve">Canadian Journal of Education/Revue </w:t>
      </w:r>
      <w:proofErr w:type="spellStart"/>
      <w:r w:rsidRPr="00D3066D">
        <w:rPr>
          <w:rFonts w:ascii="Arial" w:hAnsi="Arial" w:cs="Arial"/>
          <w:i/>
          <w:iCs/>
          <w:color w:val="222222"/>
          <w:highlight w:val="yellow"/>
          <w:shd w:val="clear" w:color="auto" w:fill="FFFFFF"/>
        </w:rPr>
        <w:t>canadienne</w:t>
      </w:r>
      <w:proofErr w:type="spellEnd"/>
      <w:r w:rsidRPr="00D3066D">
        <w:rPr>
          <w:rFonts w:ascii="Arial" w:hAnsi="Arial" w:cs="Arial"/>
          <w:i/>
          <w:iCs/>
          <w:color w:val="222222"/>
          <w:highlight w:val="yellow"/>
          <w:shd w:val="clear" w:color="auto" w:fill="FFFFFF"/>
        </w:rPr>
        <w:t xml:space="preserve"> de </w:t>
      </w:r>
      <w:proofErr w:type="spellStart"/>
      <w:r w:rsidRPr="00D3066D">
        <w:rPr>
          <w:rFonts w:ascii="Arial" w:hAnsi="Arial" w:cs="Arial"/>
          <w:i/>
          <w:iCs/>
          <w:color w:val="222222"/>
          <w:highlight w:val="yellow"/>
          <w:shd w:val="clear" w:color="auto" w:fill="FFFFFF"/>
        </w:rPr>
        <w:t>l'éducation</w:t>
      </w:r>
      <w:proofErr w:type="spellEnd"/>
      <w:r w:rsidRPr="00D3066D">
        <w:rPr>
          <w:rFonts w:ascii="Arial" w:hAnsi="Arial" w:cs="Arial"/>
          <w:color w:val="222222"/>
          <w:highlight w:val="yellow"/>
          <w:shd w:val="clear" w:color="auto" w:fill="FFFFFF"/>
        </w:rPr>
        <w:t>, </w:t>
      </w:r>
      <w:r w:rsidRPr="00D3066D">
        <w:rPr>
          <w:rFonts w:ascii="Arial" w:hAnsi="Arial" w:cs="Arial"/>
          <w:i/>
          <w:iCs/>
          <w:color w:val="222222"/>
          <w:highlight w:val="yellow"/>
          <w:shd w:val="clear" w:color="auto" w:fill="FFFFFF"/>
        </w:rPr>
        <w:t>42</w:t>
      </w:r>
      <w:r w:rsidRPr="00D3066D">
        <w:rPr>
          <w:rFonts w:ascii="Arial" w:hAnsi="Arial" w:cs="Arial"/>
          <w:color w:val="222222"/>
          <w:highlight w:val="yellow"/>
          <w:shd w:val="clear" w:color="auto" w:fill="FFFFFF"/>
        </w:rPr>
        <w:t>(1), 285-321.</w:t>
      </w:r>
    </w:p>
    <w:p w14:paraId="4BD56AEB" w14:textId="77777777" w:rsidR="00FB50A0" w:rsidRPr="00D3066D" w:rsidRDefault="00FB50A0" w:rsidP="00FB50A0">
      <w:pPr>
        <w:ind w:left="720" w:hanging="720"/>
        <w:rPr>
          <w:rFonts w:ascii="Arial" w:hAnsi="Arial" w:cs="Arial"/>
          <w:color w:val="222222"/>
          <w:highlight w:val="yellow"/>
          <w:shd w:val="clear" w:color="auto" w:fill="FFFFFF"/>
        </w:rPr>
      </w:pPr>
      <w:r w:rsidRPr="00D3066D">
        <w:rPr>
          <w:rFonts w:ascii="Arial" w:hAnsi="Arial" w:cs="Arial"/>
          <w:color w:val="222222"/>
          <w:highlight w:val="yellow"/>
          <w:shd w:val="clear" w:color="auto" w:fill="FFFFFF"/>
        </w:rPr>
        <w:t>Lindner, T., Puck, J., &amp; Verbeke, A. (2020). Misconceptions about multicollinearity in international business research: Identification, consequences, and remedies. </w:t>
      </w:r>
      <w:r w:rsidRPr="00D3066D">
        <w:rPr>
          <w:rFonts w:ascii="Arial" w:hAnsi="Arial" w:cs="Arial"/>
          <w:i/>
          <w:iCs/>
          <w:color w:val="222222"/>
          <w:highlight w:val="yellow"/>
          <w:shd w:val="clear" w:color="auto" w:fill="FFFFFF"/>
        </w:rPr>
        <w:t>Journal of International Business Studies</w:t>
      </w:r>
      <w:r w:rsidRPr="00D3066D">
        <w:rPr>
          <w:rFonts w:ascii="Arial" w:hAnsi="Arial" w:cs="Arial"/>
          <w:color w:val="222222"/>
          <w:highlight w:val="yellow"/>
          <w:shd w:val="clear" w:color="auto" w:fill="FFFFFF"/>
        </w:rPr>
        <w:t>, </w:t>
      </w:r>
      <w:r w:rsidRPr="00D3066D">
        <w:rPr>
          <w:rFonts w:ascii="Arial" w:hAnsi="Arial" w:cs="Arial"/>
          <w:i/>
          <w:iCs/>
          <w:color w:val="222222"/>
          <w:highlight w:val="yellow"/>
          <w:shd w:val="clear" w:color="auto" w:fill="FFFFFF"/>
        </w:rPr>
        <w:t>51</w:t>
      </w:r>
      <w:r w:rsidRPr="00D3066D">
        <w:rPr>
          <w:rFonts w:ascii="Arial" w:hAnsi="Arial" w:cs="Arial"/>
          <w:color w:val="222222"/>
          <w:highlight w:val="yellow"/>
          <w:shd w:val="clear" w:color="auto" w:fill="FFFFFF"/>
        </w:rPr>
        <w:t>, 283-298.</w:t>
      </w:r>
    </w:p>
    <w:p w14:paraId="55738F2A" w14:textId="77777777" w:rsidR="00FB50A0" w:rsidRPr="00D3066D" w:rsidRDefault="00FB50A0" w:rsidP="00FB50A0">
      <w:pPr>
        <w:ind w:left="720" w:hanging="720"/>
        <w:rPr>
          <w:rFonts w:ascii="Arial" w:hAnsi="Arial" w:cs="Arial"/>
          <w:color w:val="222222"/>
          <w:highlight w:val="yellow"/>
          <w:shd w:val="clear" w:color="auto" w:fill="FFFFFF"/>
        </w:rPr>
      </w:pPr>
      <w:r w:rsidRPr="00D3066D">
        <w:rPr>
          <w:rFonts w:ascii="Arial" w:hAnsi="Arial" w:cs="Arial"/>
          <w:color w:val="222222"/>
          <w:highlight w:val="yellow"/>
          <w:shd w:val="clear" w:color="auto" w:fill="FFFFFF"/>
        </w:rPr>
        <w:lastRenderedPageBreak/>
        <w:t>Lipscombe, K., Buckley-Walker, K., &amp; McNamara, P. (2020). Understanding collaborative teacher teams as open systems for professional development. </w:t>
      </w:r>
      <w:r w:rsidRPr="00D3066D">
        <w:rPr>
          <w:rFonts w:ascii="Arial" w:hAnsi="Arial" w:cs="Arial"/>
          <w:i/>
          <w:iCs/>
          <w:color w:val="222222"/>
          <w:highlight w:val="yellow"/>
          <w:shd w:val="clear" w:color="auto" w:fill="FFFFFF"/>
        </w:rPr>
        <w:t>Professional development in education</w:t>
      </w:r>
      <w:r w:rsidRPr="00D3066D">
        <w:rPr>
          <w:rFonts w:ascii="Arial" w:hAnsi="Arial" w:cs="Arial"/>
          <w:color w:val="222222"/>
          <w:highlight w:val="yellow"/>
          <w:shd w:val="clear" w:color="auto" w:fill="FFFFFF"/>
        </w:rPr>
        <w:t>, </w:t>
      </w:r>
      <w:r w:rsidRPr="00D3066D">
        <w:rPr>
          <w:rFonts w:ascii="Arial" w:hAnsi="Arial" w:cs="Arial"/>
          <w:i/>
          <w:iCs/>
          <w:color w:val="222222"/>
          <w:highlight w:val="yellow"/>
          <w:shd w:val="clear" w:color="auto" w:fill="FFFFFF"/>
        </w:rPr>
        <w:t>46</w:t>
      </w:r>
      <w:r w:rsidRPr="00D3066D">
        <w:rPr>
          <w:rFonts w:ascii="Arial" w:hAnsi="Arial" w:cs="Arial"/>
          <w:color w:val="222222"/>
          <w:highlight w:val="yellow"/>
          <w:shd w:val="clear" w:color="auto" w:fill="FFFFFF"/>
        </w:rPr>
        <w:t>(3), 373-390.</w:t>
      </w:r>
    </w:p>
    <w:p w14:paraId="4D481746" w14:textId="77777777" w:rsidR="00FB50A0" w:rsidRPr="00D3066D" w:rsidRDefault="00FB50A0" w:rsidP="00FB50A0">
      <w:pPr>
        <w:ind w:left="720" w:hanging="720"/>
        <w:rPr>
          <w:rFonts w:ascii="Arial" w:hAnsi="Arial" w:cs="Arial"/>
          <w:color w:val="222222"/>
          <w:highlight w:val="yellow"/>
          <w:shd w:val="clear" w:color="auto" w:fill="FFFFFF"/>
        </w:rPr>
      </w:pPr>
      <w:proofErr w:type="spellStart"/>
      <w:r w:rsidRPr="00D3066D">
        <w:rPr>
          <w:rFonts w:ascii="Arial" w:hAnsi="Arial" w:cs="Arial"/>
          <w:color w:val="222222"/>
          <w:highlight w:val="yellow"/>
          <w:shd w:val="clear" w:color="auto" w:fill="FFFFFF"/>
        </w:rPr>
        <w:t>Monyatsi</w:t>
      </w:r>
      <w:proofErr w:type="spellEnd"/>
      <w:r w:rsidRPr="00D3066D">
        <w:rPr>
          <w:rFonts w:ascii="Arial" w:hAnsi="Arial" w:cs="Arial"/>
          <w:color w:val="222222"/>
          <w:highlight w:val="yellow"/>
          <w:shd w:val="clear" w:color="auto" w:fill="FFFFFF"/>
        </w:rPr>
        <w:t>, L. (2023). The impact of promotion processes on academic staff morale: A case study at a South African University of Technology.</w:t>
      </w:r>
    </w:p>
    <w:p w14:paraId="61B1AA2D" w14:textId="77777777" w:rsidR="00FB50A0" w:rsidRPr="00D3066D" w:rsidRDefault="00FB50A0" w:rsidP="00FB50A0">
      <w:pPr>
        <w:ind w:left="720" w:hanging="720"/>
        <w:rPr>
          <w:rFonts w:ascii="Arial" w:hAnsi="Arial" w:cs="Arial"/>
          <w:color w:val="222222"/>
          <w:highlight w:val="yellow"/>
          <w:shd w:val="clear" w:color="auto" w:fill="FFFFFF"/>
        </w:rPr>
      </w:pPr>
      <w:r w:rsidRPr="00D3066D">
        <w:rPr>
          <w:rFonts w:ascii="Arial" w:hAnsi="Arial" w:cs="Arial"/>
          <w:color w:val="222222"/>
          <w:highlight w:val="yellow"/>
          <w:shd w:val="clear" w:color="auto" w:fill="FFFFFF"/>
        </w:rPr>
        <w:t>Mullen, C. A., Shields, L. B., &amp; Tienken, C. H. (2021). Developing teacher resilience and resilient school cultures. </w:t>
      </w:r>
      <w:r w:rsidRPr="00D3066D">
        <w:rPr>
          <w:rFonts w:ascii="Arial" w:hAnsi="Arial" w:cs="Arial"/>
          <w:i/>
          <w:iCs/>
          <w:color w:val="222222"/>
          <w:highlight w:val="yellow"/>
          <w:shd w:val="clear" w:color="auto" w:fill="FFFFFF"/>
        </w:rPr>
        <w:t>Journal of Scholarship &amp; Practice</w:t>
      </w:r>
      <w:r w:rsidRPr="00D3066D">
        <w:rPr>
          <w:rFonts w:ascii="Arial" w:hAnsi="Arial" w:cs="Arial"/>
          <w:color w:val="222222"/>
          <w:highlight w:val="yellow"/>
          <w:shd w:val="clear" w:color="auto" w:fill="FFFFFF"/>
        </w:rPr>
        <w:t>, </w:t>
      </w:r>
      <w:r w:rsidRPr="00D3066D">
        <w:rPr>
          <w:rFonts w:ascii="Arial" w:hAnsi="Arial" w:cs="Arial"/>
          <w:i/>
          <w:iCs/>
          <w:color w:val="222222"/>
          <w:highlight w:val="yellow"/>
          <w:shd w:val="clear" w:color="auto" w:fill="FFFFFF"/>
        </w:rPr>
        <w:t>18</w:t>
      </w:r>
      <w:r w:rsidRPr="00D3066D">
        <w:rPr>
          <w:rFonts w:ascii="Arial" w:hAnsi="Arial" w:cs="Arial"/>
          <w:color w:val="222222"/>
          <w:highlight w:val="yellow"/>
          <w:shd w:val="clear" w:color="auto" w:fill="FFFFFF"/>
        </w:rPr>
        <w:t>(1), 8-24.</w:t>
      </w:r>
    </w:p>
    <w:p w14:paraId="77DA60B4" w14:textId="77777777" w:rsidR="00FB50A0" w:rsidRPr="00D3066D" w:rsidRDefault="00FB50A0" w:rsidP="00FB50A0">
      <w:pPr>
        <w:ind w:left="720" w:hanging="720"/>
        <w:rPr>
          <w:rFonts w:ascii="Arial" w:hAnsi="Arial" w:cs="Arial"/>
          <w:color w:val="222222"/>
          <w:highlight w:val="yellow"/>
          <w:shd w:val="clear" w:color="auto" w:fill="FFFFFF"/>
        </w:rPr>
      </w:pPr>
      <w:proofErr w:type="spellStart"/>
      <w:r w:rsidRPr="00D3066D">
        <w:rPr>
          <w:rFonts w:ascii="Arial" w:hAnsi="Arial" w:cs="Arial"/>
          <w:color w:val="222222"/>
          <w:highlight w:val="yellow"/>
          <w:shd w:val="clear" w:color="auto" w:fill="FFFFFF"/>
        </w:rPr>
        <w:t>Osunbor</w:t>
      </w:r>
      <w:proofErr w:type="spellEnd"/>
      <w:r w:rsidRPr="00D3066D">
        <w:rPr>
          <w:rFonts w:ascii="Arial" w:hAnsi="Arial" w:cs="Arial"/>
          <w:color w:val="222222"/>
          <w:highlight w:val="yellow"/>
          <w:shd w:val="clear" w:color="auto" w:fill="FFFFFF"/>
        </w:rPr>
        <w:t xml:space="preserve">, I., &amp; </w:t>
      </w:r>
      <w:proofErr w:type="spellStart"/>
      <w:r w:rsidRPr="00D3066D">
        <w:rPr>
          <w:rFonts w:ascii="Arial" w:hAnsi="Arial" w:cs="Arial"/>
          <w:color w:val="222222"/>
          <w:highlight w:val="yellow"/>
          <w:shd w:val="clear" w:color="auto" w:fill="FFFFFF"/>
        </w:rPr>
        <w:t>Ofobruku</w:t>
      </w:r>
      <w:proofErr w:type="spellEnd"/>
      <w:r w:rsidRPr="00D3066D">
        <w:rPr>
          <w:rFonts w:ascii="Arial" w:hAnsi="Arial" w:cs="Arial"/>
          <w:color w:val="222222"/>
          <w:highlight w:val="yellow"/>
          <w:shd w:val="clear" w:color="auto" w:fill="FFFFFF"/>
        </w:rPr>
        <w:t>, S. A. (2023). Perceptions of research design for qualitative and quantitative studies. </w:t>
      </w:r>
      <w:r w:rsidRPr="00D3066D">
        <w:rPr>
          <w:rFonts w:ascii="Arial" w:hAnsi="Arial" w:cs="Arial"/>
          <w:i/>
          <w:iCs/>
          <w:color w:val="222222"/>
          <w:highlight w:val="yellow"/>
          <w:shd w:val="clear" w:color="auto" w:fill="FFFFFF"/>
        </w:rPr>
        <w:t>The Journal Social &amp; Mgt. Science</w:t>
      </w:r>
      <w:r w:rsidRPr="00D3066D">
        <w:rPr>
          <w:rFonts w:ascii="Arial" w:hAnsi="Arial" w:cs="Arial"/>
          <w:color w:val="222222"/>
          <w:highlight w:val="yellow"/>
          <w:shd w:val="clear" w:color="auto" w:fill="FFFFFF"/>
        </w:rPr>
        <w:t>, 74-84.</w:t>
      </w:r>
    </w:p>
    <w:p w14:paraId="0FBCC9DC" w14:textId="77777777" w:rsidR="00FB50A0" w:rsidRPr="00D3066D" w:rsidRDefault="00FB50A0" w:rsidP="00FB50A0">
      <w:pPr>
        <w:ind w:left="720" w:hanging="720"/>
        <w:rPr>
          <w:rFonts w:ascii="Arial" w:hAnsi="Arial" w:cs="Arial"/>
          <w:color w:val="222222"/>
          <w:highlight w:val="yellow"/>
          <w:shd w:val="clear" w:color="auto" w:fill="FFFFFF"/>
        </w:rPr>
      </w:pPr>
      <w:r w:rsidRPr="00D3066D">
        <w:rPr>
          <w:rFonts w:ascii="Arial" w:hAnsi="Arial" w:cs="Arial"/>
          <w:color w:val="222222"/>
          <w:highlight w:val="yellow"/>
          <w:shd w:val="clear" w:color="auto" w:fill="FFFFFF"/>
        </w:rPr>
        <w:t>Prince, E. S. (2019). </w:t>
      </w:r>
      <w:r w:rsidRPr="00D3066D">
        <w:rPr>
          <w:rFonts w:ascii="Arial" w:hAnsi="Arial" w:cs="Arial"/>
          <w:i/>
          <w:iCs/>
          <w:color w:val="222222"/>
          <w:highlight w:val="yellow"/>
          <w:shd w:val="clear" w:color="auto" w:fill="FFFFFF"/>
        </w:rPr>
        <w:t>7 Skills for the Future: Adaptability, Critical Thinking, Empathy, Integrity, Optimism, Being Proactive, Resilience</w:t>
      </w:r>
      <w:r w:rsidRPr="00D3066D">
        <w:rPr>
          <w:rFonts w:ascii="Arial" w:hAnsi="Arial" w:cs="Arial"/>
          <w:color w:val="222222"/>
          <w:highlight w:val="yellow"/>
          <w:shd w:val="clear" w:color="auto" w:fill="FFFFFF"/>
        </w:rPr>
        <w:t>. Pearson UK.</w:t>
      </w:r>
    </w:p>
    <w:p w14:paraId="5898C91F" w14:textId="77777777" w:rsidR="00FB50A0" w:rsidRPr="00D3066D" w:rsidRDefault="00FB50A0" w:rsidP="00FB50A0">
      <w:pPr>
        <w:ind w:left="720" w:hanging="720"/>
        <w:rPr>
          <w:rFonts w:ascii="Arial" w:hAnsi="Arial" w:cs="Arial"/>
          <w:color w:val="222222"/>
          <w:highlight w:val="yellow"/>
          <w:shd w:val="clear" w:color="auto" w:fill="FFFFFF"/>
        </w:rPr>
      </w:pPr>
      <w:proofErr w:type="spellStart"/>
      <w:r w:rsidRPr="00D3066D">
        <w:rPr>
          <w:rFonts w:ascii="Arial" w:hAnsi="Arial" w:cs="Arial"/>
          <w:color w:val="222222"/>
          <w:highlight w:val="yellow"/>
          <w:shd w:val="clear" w:color="auto" w:fill="FFFFFF"/>
        </w:rPr>
        <w:t>Rajoo</w:t>
      </w:r>
      <w:proofErr w:type="spellEnd"/>
      <w:r w:rsidRPr="00D3066D">
        <w:rPr>
          <w:rFonts w:ascii="Arial" w:hAnsi="Arial" w:cs="Arial"/>
          <w:color w:val="222222"/>
          <w:highlight w:val="yellow"/>
          <w:shd w:val="clear" w:color="auto" w:fill="FFFFFF"/>
        </w:rPr>
        <w:t>, H. H. (2020). The importance of creative and positive workplace culture: A case study on how creative initiatives foster better relationships, resilience and mindfulness at work for Special Education Teachers. </w:t>
      </w:r>
      <w:r w:rsidRPr="00D3066D">
        <w:rPr>
          <w:rFonts w:ascii="Arial" w:hAnsi="Arial" w:cs="Arial"/>
          <w:i/>
          <w:iCs/>
          <w:color w:val="222222"/>
          <w:highlight w:val="yellow"/>
          <w:shd w:val="clear" w:color="auto" w:fill="FFFFFF"/>
        </w:rPr>
        <w:t>Asia Pacific Journal of Developmental Differences</w:t>
      </w:r>
      <w:r w:rsidRPr="00D3066D">
        <w:rPr>
          <w:rFonts w:ascii="Arial" w:hAnsi="Arial" w:cs="Arial"/>
          <w:color w:val="222222"/>
          <w:highlight w:val="yellow"/>
          <w:shd w:val="clear" w:color="auto" w:fill="FFFFFF"/>
        </w:rPr>
        <w:t>, </w:t>
      </w:r>
      <w:r w:rsidRPr="00D3066D">
        <w:rPr>
          <w:rFonts w:ascii="Arial" w:hAnsi="Arial" w:cs="Arial"/>
          <w:i/>
          <w:iCs/>
          <w:color w:val="222222"/>
          <w:highlight w:val="yellow"/>
          <w:shd w:val="clear" w:color="auto" w:fill="FFFFFF"/>
        </w:rPr>
        <w:t>7</w:t>
      </w:r>
      <w:r w:rsidRPr="00D3066D">
        <w:rPr>
          <w:rFonts w:ascii="Arial" w:hAnsi="Arial" w:cs="Arial"/>
          <w:color w:val="222222"/>
          <w:highlight w:val="yellow"/>
          <w:shd w:val="clear" w:color="auto" w:fill="FFFFFF"/>
        </w:rPr>
        <w:t>(1), 127-152.</w:t>
      </w:r>
    </w:p>
    <w:p w14:paraId="7868A00C" w14:textId="77777777" w:rsidR="00FB50A0" w:rsidRPr="00D3066D" w:rsidRDefault="00FB50A0" w:rsidP="00FB50A0">
      <w:pPr>
        <w:ind w:left="720" w:hanging="720"/>
        <w:rPr>
          <w:rFonts w:ascii="Arial" w:hAnsi="Arial" w:cs="Arial"/>
          <w:color w:val="222222"/>
          <w:highlight w:val="yellow"/>
          <w:shd w:val="clear" w:color="auto" w:fill="FFFFFF"/>
        </w:rPr>
      </w:pPr>
      <w:r w:rsidRPr="00D3066D">
        <w:rPr>
          <w:rFonts w:ascii="Arial" w:hAnsi="Arial" w:cs="Arial"/>
          <w:color w:val="222222"/>
          <w:highlight w:val="yellow"/>
          <w:shd w:val="clear" w:color="auto" w:fill="FFFFFF"/>
        </w:rPr>
        <w:t xml:space="preserve">Srivastava, M. M., </w:t>
      </w:r>
      <w:proofErr w:type="spellStart"/>
      <w:r w:rsidRPr="00D3066D">
        <w:rPr>
          <w:rFonts w:ascii="Arial" w:hAnsi="Arial" w:cs="Arial"/>
          <w:color w:val="222222"/>
          <w:highlight w:val="yellow"/>
          <w:shd w:val="clear" w:color="auto" w:fill="FFFFFF"/>
        </w:rPr>
        <w:t>Bhadouria</w:t>
      </w:r>
      <w:proofErr w:type="spellEnd"/>
      <w:r w:rsidRPr="00D3066D">
        <w:rPr>
          <w:rFonts w:ascii="Arial" w:hAnsi="Arial" w:cs="Arial"/>
          <w:color w:val="222222"/>
          <w:highlight w:val="yellow"/>
          <w:shd w:val="clear" w:color="auto" w:fill="FFFFFF"/>
        </w:rPr>
        <w:t>, M. A. S., &amp; Gautam, M. S. (2023). </w:t>
      </w:r>
      <w:r w:rsidRPr="00D3066D">
        <w:rPr>
          <w:rFonts w:ascii="Arial" w:hAnsi="Arial" w:cs="Arial"/>
          <w:i/>
          <w:iCs/>
          <w:color w:val="222222"/>
          <w:highlight w:val="yellow"/>
          <w:shd w:val="clear" w:color="auto" w:fill="FFFFFF"/>
        </w:rPr>
        <w:t>PROFESSIONALISM</w:t>
      </w:r>
      <w:r w:rsidRPr="00D3066D">
        <w:rPr>
          <w:rFonts w:ascii="Arial" w:hAnsi="Arial" w:cs="Arial"/>
          <w:color w:val="222222"/>
          <w:highlight w:val="yellow"/>
          <w:shd w:val="clear" w:color="auto" w:fill="FFFFFF"/>
        </w:rPr>
        <w:t xml:space="preserve">. </w:t>
      </w:r>
      <w:proofErr w:type="spellStart"/>
      <w:r w:rsidRPr="00D3066D">
        <w:rPr>
          <w:rFonts w:ascii="Arial" w:hAnsi="Arial" w:cs="Arial"/>
          <w:color w:val="222222"/>
          <w:highlight w:val="yellow"/>
          <w:shd w:val="clear" w:color="auto" w:fill="FFFFFF"/>
        </w:rPr>
        <w:t>Xoffencer</w:t>
      </w:r>
      <w:proofErr w:type="spellEnd"/>
      <w:r w:rsidRPr="00D3066D">
        <w:rPr>
          <w:rFonts w:ascii="Arial" w:hAnsi="Arial" w:cs="Arial"/>
          <w:color w:val="222222"/>
          <w:highlight w:val="yellow"/>
          <w:shd w:val="clear" w:color="auto" w:fill="FFFFFF"/>
        </w:rPr>
        <w:t xml:space="preserve"> international book publication house.</w:t>
      </w:r>
    </w:p>
    <w:p w14:paraId="60D0DAE0" w14:textId="77777777" w:rsidR="00FB50A0" w:rsidRDefault="00FB50A0" w:rsidP="00FB50A0">
      <w:pPr>
        <w:ind w:left="720" w:hanging="720"/>
        <w:rPr>
          <w:rFonts w:ascii="Arial" w:hAnsi="Arial" w:cs="Arial"/>
          <w:color w:val="222222"/>
          <w:shd w:val="clear" w:color="auto" w:fill="FFFFFF"/>
        </w:rPr>
      </w:pPr>
      <w:r w:rsidRPr="00D3066D">
        <w:rPr>
          <w:rFonts w:ascii="Arial" w:hAnsi="Arial" w:cs="Arial"/>
          <w:color w:val="222222"/>
          <w:highlight w:val="yellow"/>
          <w:shd w:val="clear" w:color="auto" w:fill="FFFFFF"/>
        </w:rPr>
        <w:t>Vella, S. L. C., &amp; Pai, N. B. (2019). A theoretical review of psychological resilience: Defining resilience and resilience research over the decades. </w:t>
      </w:r>
      <w:r w:rsidRPr="00D3066D">
        <w:rPr>
          <w:rFonts w:ascii="Arial" w:hAnsi="Arial" w:cs="Arial"/>
          <w:i/>
          <w:iCs/>
          <w:color w:val="222222"/>
          <w:highlight w:val="yellow"/>
          <w:shd w:val="clear" w:color="auto" w:fill="FFFFFF"/>
        </w:rPr>
        <w:t>Archives of Medicine and Health Sciences</w:t>
      </w:r>
      <w:r w:rsidRPr="00D3066D">
        <w:rPr>
          <w:rFonts w:ascii="Arial" w:hAnsi="Arial" w:cs="Arial"/>
          <w:color w:val="222222"/>
          <w:highlight w:val="yellow"/>
          <w:shd w:val="clear" w:color="auto" w:fill="FFFFFF"/>
        </w:rPr>
        <w:t>, </w:t>
      </w:r>
      <w:r w:rsidRPr="00D3066D">
        <w:rPr>
          <w:rFonts w:ascii="Arial" w:hAnsi="Arial" w:cs="Arial"/>
          <w:i/>
          <w:iCs/>
          <w:color w:val="222222"/>
          <w:highlight w:val="yellow"/>
          <w:shd w:val="clear" w:color="auto" w:fill="FFFFFF"/>
        </w:rPr>
        <w:t>7</w:t>
      </w:r>
      <w:r w:rsidRPr="00D3066D">
        <w:rPr>
          <w:rFonts w:ascii="Arial" w:hAnsi="Arial" w:cs="Arial"/>
          <w:color w:val="222222"/>
          <w:highlight w:val="yellow"/>
          <w:shd w:val="clear" w:color="auto" w:fill="FFFFFF"/>
        </w:rPr>
        <w:t>(2), 233-239.</w:t>
      </w:r>
    </w:p>
    <w:p w14:paraId="06226349" w14:textId="77777777" w:rsidR="00717F2E" w:rsidRDefault="00717F2E" w:rsidP="00FB50A0">
      <w:pPr>
        <w:ind w:left="720" w:hanging="720"/>
        <w:rPr>
          <w:rFonts w:ascii="Arial" w:hAnsi="Arial" w:cs="Arial"/>
          <w:b/>
        </w:rPr>
      </w:pPr>
    </w:p>
    <w:sectPr w:rsidR="00717F2E" w:rsidSect="006F5415">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ACEA9" w14:textId="77777777" w:rsidR="008A7542" w:rsidRDefault="008A7542">
      <w:r>
        <w:separator/>
      </w:r>
    </w:p>
  </w:endnote>
  <w:endnote w:type="continuationSeparator" w:id="0">
    <w:p w14:paraId="7505F917" w14:textId="77777777" w:rsidR="008A7542" w:rsidRDefault="008A7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2AFBE" w14:textId="77777777" w:rsidR="003843A4" w:rsidRDefault="00384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E5186" w14:textId="77777777" w:rsidR="003843A4" w:rsidRDefault="00384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21817" w14:textId="77777777" w:rsidR="008A7542" w:rsidRDefault="008A7542">
      <w:r>
        <w:separator/>
      </w:r>
    </w:p>
  </w:footnote>
  <w:footnote w:type="continuationSeparator" w:id="0">
    <w:p w14:paraId="666B7815" w14:textId="77777777" w:rsidR="008A7542" w:rsidRDefault="008A7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545EB" w14:textId="3E5CC879" w:rsidR="003843A4" w:rsidRDefault="008A7542">
    <w:pPr>
      <w:pStyle w:val="Header"/>
    </w:pPr>
    <w:r>
      <w:rPr>
        <w:noProof/>
      </w:rPr>
      <w:pict w14:anchorId="59481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81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071E7" w14:textId="49BB7BB1" w:rsidR="003843A4" w:rsidRDefault="008A7542">
    <w:pPr>
      <w:pStyle w:val="Header"/>
    </w:pPr>
    <w:r>
      <w:rPr>
        <w:noProof/>
      </w:rPr>
      <w:pict w14:anchorId="3CD16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81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3C091" w14:textId="05DBD013" w:rsidR="003843A4" w:rsidRDefault="008A7542">
    <w:pPr>
      <w:pStyle w:val="Header"/>
    </w:pPr>
    <w:r>
      <w:rPr>
        <w:noProof/>
      </w:rPr>
      <w:pict w14:anchorId="00EC5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8167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4CD1"/>
    <w:rsid w:val="00005BE3"/>
    <w:rsid w:val="000077E4"/>
    <w:rsid w:val="00007978"/>
    <w:rsid w:val="000110B5"/>
    <w:rsid w:val="00014095"/>
    <w:rsid w:val="00015C44"/>
    <w:rsid w:val="000211F3"/>
    <w:rsid w:val="00021967"/>
    <w:rsid w:val="00021FDF"/>
    <w:rsid w:val="00024B4F"/>
    <w:rsid w:val="000254BB"/>
    <w:rsid w:val="00025BD1"/>
    <w:rsid w:val="000260E3"/>
    <w:rsid w:val="000262CC"/>
    <w:rsid w:val="00030174"/>
    <w:rsid w:val="00037406"/>
    <w:rsid w:val="00037475"/>
    <w:rsid w:val="00043453"/>
    <w:rsid w:val="0004445B"/>
    <w:rsid w:val="0004512C"/>
    <w:rsid w:val="0004579C"/>
    <w:rsid w:val="00045CD6"/>
    <w:rsid w:val="00046AE8"/>
    <w:rsid w:val="00052575"/>
    <w:rsid w:val="00052710"/>
    <w:rsid w:val="000531C9"/>
    <w:rsid w:val="00054B24"/>
    <w:rsid w:val="00054B91"/>
    <w:rsid w:val="0005727A"/>
    <w:rsid w:val="00057C65"/>
    <w:rsid w:val="000603D4"/>
    <w:rsid w:val="00061339"/>
    <w:rsid w:val="000647E2"/>
    <w:rsid w:val="00065B83"/>
    <w:rsid w:val="0006706E"/>
    <w:rsid w:val="00067A0F"/>
    <w:rsid w:val="00067B98"/>
    <w:rsid w:val="00073172"/>
    <w:rsid w:val="000763D2"/>
    <w:rsid w:val="00081ACB"/>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3042"/>
    <w:rsid w:val="000E3FD1"/>
    <w:rsid w:val="000E4A79"/>
    <w:rsid w:val="000E7B7B"/>
    <w:rsid w:val="000E7C38"/>
    <w:rsid w:val="000E7D62"/>
    <w:rsid w:val="000F64BC"/>
    <w:rsid w:val="000F668F"/>
    <w:rsid w:val="00103357"/>
    <w:rsid w:val="00107572"/>
    <w:rsid w:val="00113238"/>
    <w:rsid w:val="00115F49"/>
    <w:rsid w:val="00117553"/>
    <w:rsid w:val="00122285"/>
    <w:rsid w:val="00122E99"/>
    <w:rsid w:val="00123C9F"/>
    <w:rsid w:val="001242A5"/>
    <w:rsid w:val="00126190"/>
    <w:rsid w:val="00126507"/>
    <w:rsid w:val="00126BC5"/>
    <w:rsid w:val="00130F17"/>
    <w:rsid w:val="001320BF"/>
    <w:rsid w:val="00141329"/>
    <w:rsid w:val="00143F8B"/>
    <w:rsid w:val="00146358"/>
    <w:rsid w:val="00147E94"/>
    <w:rsid w:val="00147F5C"/>
    <w:rsid w:val="001542F7"/>
    <w:rsid w:val="001568A2"/>
    <w:rsid w:val="0016056F"/>
    <w:rsid w:val="00162528"/>
    <w:rsid w:val="001627B6"/>
    <w:rsid w:val="00163510"/>
    <w:rsid w:val="00163988"/>
    <w:rsid w:val="00163BC4"/>
    <w:rsid w:val="001746F8"/>
    <w:rsid w:val="00176FD0"/>
    <w:rsid w:val="00177A80"/>
    <w:rsid w:val="00180B05"/>
    <w:rsid w:val="00180F6F"/>
    <w:rsid w:val="00182742"/>
    <w:rsid w:val="001845BF"/>
    <w:rsid w:val="00185183"/>
    <w:rsid w:val="001858C3"/>
    <w:rsid w:val="00191062"/>
    <w:rsid w:val="00192B72"/>
    <w:rsid w:val="0019304D"/>
    <w:rsid w:val="001A18F4"/>
    <w:rsid w:val="001A23A3"/>
    <w:rsid w:val="001A29D8"/>
    <w:rsid w:val="001A5CAA"/>
    <w:rsid w:val="001B0427"/>
    <w:rsid w:val="001B1ACC"/>
    <w:rsid w:val="001B41D7"/>
    <w:rsid w:val="001B785F"/>
    <w:rsid w:val="001C12F6"/>
    <w:rsid w:val="001C2FC3"/>
    <w:rsid w:val="001C4AD5"/>
    <w:rsid w:val="001C572B"/>
    <w:rsid w:val="001C71EE"/>
    <w:rsid w:val="001D0BDE"/>
    <w:rsid w:val="001D10E2"/>
    <w:rsid w:val="001D3A51"/>
    <w:rsid w:val="001D4380"/>
    <w:rsid w:val="001E0787"/>
    <w:rsid w:val="001E10D2"/>
    <w:rsid w:val="001E25B4"/>
    <w:rsid w:val="001E44FE"/>
    <w:rsid w:val="001E6121"/>
    <w:rsid w:val="001E7EB7"/>
    <w:rsid w:val="001F7F3C"/>
    <w:rsid w:val="00200595"/>
    <w:rsid w:val="00200CF7"/>
    <w:rsid w:val="0020136A"/>
    <w:rsid w:val="00203AF9"/>
    <w:rsid w:val="00204835"/>
    <w:rsid w:val="002074B8"/>
    <w:rsid w:val="00210C28"/>
    <w:rsid w:val="002170C0"/>
    <w:rsid w:val="00224DE5"/>
    <w:rsid w:val="002274C1"/>
    <w:rsid w:val="00231920"/>
    <w:rsid w:val="0023195C"/>
    <w:rsid w:val="00237589"/>
    <w:rsid w:val="00240CE3"/>
    <w:rsid w:val="00241741"/>
    <w:rsid w:val="0024282C"/>
    <w:rsid w:val="00245CB7"/>
    <w:rsid w:val="002460DC"/>
    <w:rsid w:val="00246DC7"/>
    <w:rsid w:val="00250985"/>
    <w:rsid w:val="00251946"/>
    <w:rsid w:val="002556F6"/>
    <w:rsid w:val="00256882"/>
    <w:rsid w:val="002622D4"/>
    <w:rsid w:val="00264A59"/>
    <w:rsid w:val="00266E67"/>
    <w:rsid w:val="00270F3F"/>
    <w:rsid w:val="00271F07"/>
    <w:rsid w:val="002755D7"/>
    <w:rsid w:val="00276854"/>
    <w:rsid w:val="002814B3"/>
    <w:rsid w:val="00283105"/>
    <w:rsid w:val="00284C4C"/>
    <w:rsid w:val="00293C16"/>
    <w:rsid w:val="00293C4C"/>
    <w:rsid w:val="00296529"/>
    <w:rsid w:val="0029657B"/>
    <w:rsid w:val="00296ED2"/>
    <w:rsid w:val="002A22A5"/>
    <w:rsid w:val="002A238C"/>
    <w:rsid w:val="002A31CA"/>
    <w:rsid w:val="002A423F"/>
    <w:rsid w:val="002A58A7"/>
    <w:rsid w:val="002A64FD"/>
    <w:rsid w:val="002A71AC"/>
    <w:rsid w:val="002A77FD"/>
    <w:rsid w:val="002B27FB"/>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F2031"/>
    <w:rsid w:val="002F2D06"/>
    <w:rsid w:val="002F42E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3BB4"/>
    <w:rsid w:val="003248E3"/>
    <w:rsid w:val="00324CBC"/>
    <w:rsid w:val="00324DE7"/>
    <w:rsid w:val="00325EA8"/>
    <w:rsid w:val="00326909"/>
    <w:rsid w:val="0033343E"/>
    <w:rsid w:val="00337044"/>
    <w:rsid w:val="003377DA"/>
    <w:rsid w:val="0034085D"/>
    <w:rsid w:val="0034099F"/>
    <w:rsid w:val="00340BF5"/>
    <w:rsid w:val="0034224A"/>
    <w:rsid w:val="00344502"/>
    <w:rsid w:val="003455D7"/>
    <w:rsid w:val="00346014"/>
    <w:rsid w:val="003466A1"/>
    <w:rsid w:val="003512C2"/>
    <w:rsid w:val="00351B03"/>
    <w:rsid w:val="00351F41"/>
    <w:rsid w:val="003541EC"/>
    <w:rsid w:val="00360BB6"/>
    <w:rsid w:val="00362B79"/>
    <w:rsid w:val="00362D97"/>
    <w:rsid w:val="00363B3A"/>
    <w:rsid w:val="00363CA7"/>
    <w:rsid w:val="00371FB6"/>
    <w:rsid w:val="003763C1"/>
    <w:rsid w:val="00376A55"/>
    <w:rsid w:val="00376BBE"/>
    <w:rsid w:val="00377430"/>
    <w:rsid w:val="0038437D"/>
    <w:rsid w:val="003843A4"/>
    <w:rsid w:val="00384B44"/>
    <w:rsid w:val="003872C9"/>
    <w:rsid w:val="0039224F"/>
    <w:rsid w:val="00394EAF"/>
    <w:rsid w:val="00395884"/>
    <w:rsid w:val="003A1837"/>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3F7D"/>
    <w:rsid w:val="00434182"/>
    <w:rsid w:val="00437079"/>
    <w:rsid w:val="00440F43"/>
    <w:rsid w:val="0044134F"/>
    <w:rsid w:val="00441B6F"/>
    <w:rsid w:val="00446221"/>
    <w:rsid w:val="00450E62"/>
    <w:rsid w:val="004539DB"/>
    <w:rsid w:val="00454D68"/>
    <w:rsid w:val="004605A5"/>
    <w:rsid w:val="004608EE"/>
    <w:rsid w:val="00460BE9"/>
    <w:rsid w:val="004611A9"/>
    <w:rsid w:val="0046509F"/>
    <w:rsid w:val="004653D0"/>
    <w:rsid w:val="004658C8"/>
    <w:rsid w:val="00465C00"/>
    <w:rsid w:val="00465DA5"/>
    <w:rsid w:val="00466478"/>
    <w:rsid w:val="00466DA6"/>
    <w:rsid w:val="00470E83"/>
    <w:rsid w:val="00471A80"/>
    <w:rsid w:val="004735A4"/>
    <w:rsid w:val="00474519"/>
    <w:rsid w:val="00483372"/>
    <w:rsid w:val="0048547F"/>
    <w:rsid w:val="00487E07"/>
    <w:rsid w:val="00490B0B"/>
    <w:rsid w:val="00491EFD"/>
    <w:rsid w:val="00495915"/>
    <w:rsid w:val="004B1A50"/>
    <w:rsid w:val="004B1AFD"/>
    <w:rsid w:val="004C0CFF"/>
    <w:rsid w:val="004C0FB0"/>
    <w:rsid w:val="004C23DD"/>
    <w:rsid w:val="004C482A"/>
    <w:rsid w:val="004C6530"/>
    <w:rsid w:val="004D07E8"/>
    <w:rsid w:val="004D0C87"/>
    <w:rsid w:val="004D305E"/>
    <w:rsid w:val="004D4277"/>
    <w:rsid w:val="004D4936"/>
    <w:rsid w:val="004E1DA9"/>
    <w:rsid w:val="004E21A0"/>
    <w:rsid w:val="004E5345"/>
    <w:rsid w:val="004E5924"/>
    <w:rsid w:val="004E6386"/>
    <w:rsid w:val="004E75F7"/>
    <w:rsid w:val="004F45E4"/>
    <w:rsid w:val="004F7E11"/>
    <w:rsid w:val="00500D35"/>
    <w:rsid w:val="00502516"/>
    <w:rsid w:val="00502C0C"/>
    <w:rsid w:val="00502D46"/>
    <w:rsid w:val="00503ADC"/>
    <w:rsid w:val="00504CAB"/>
    <w:rsid w:val="00505F06"/>
    <w:rsid w:val="00506828"/>
    <w:rsid w:val="0050761B"/>
    <w:rsid w:val="00507A73"/>
    <w:rsid w:val="00510C98"/>
    <w:rsid w:val="00523F46"/>
    <w:rsid w:val="00524ED0"/>
    <w:rsid w:val="0053056E"/>
    <w:rsid w:val="0053144C"/>
    <w:rsid w:val="0053558A"/>
    <w:rsid w:val="00535C8B"/>
    <w:rsid w:val="00535CBD"/>
    <w:rsid w:val="005404AD"/>
    <w:rsid w:val="005428F9"/>
    <w:rsid w:val="005435C6"/>
    <w:rsid w:val="00550463"/>
    <w:rsid w:val="00553354"/>
    <w:rsid w:val="0055379E"/>
    <w:rsid w:val="00554C2B"/>
    <w:rsid w:val="00554EEE"/>
    <w:rsid w:val="00554FDA"/>
    <w:rsid w:val="00555852"/>
    <w:rsid w:val="00555A79"/>
    <w:rsid w:val="00557ED8"/>
    <w:rsid w:val="005602BC"/>
    <w:rsid w:val="00561FB2"/>
    <w:rsid w:val="00567306"/>
    <w:rsid w:val="00570131"/>
    <w:rsid w:val="0057110B"/>
    <w:rsid w:val="00572250"/>
    <w:rsid w:val="00573D3E"/>
    <w:rsid w:val="00574C91"/>
    <w:rsid w:val="00575E98"/>
    <w:rsid w:val="005811D6"/>
    <w:rsid w:val="00582069"/>
    <w:rsid w:val="00587F26"/>
    <w:rsid w:val="00590BF3"/>
    <w:rsid w:val="00591549"/>
    <w:rsid w:val="005A463E"/>
    <w:rsid w:val="005A4C3F"/>
    <w:rsid w:val="005A6625"/>
    <w:rsid w:val="005B222E"/>
    <w:rsid w:val="005B3F31"/>
    <w:rsid w:val="005B5EA4"/>
    <w:rsid w:val="005C2662"/>
    <w:rsid w:val="005C2AB0"/>
    <w:rsid w:val="005C3039"/>
    <w:rsid w:val="005C540B"/>
    <w:rsid w:val="005C6EB2"/>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312"/>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3C5"/>
    <w:rsid w:val="00621CBF"/>
    <w:rsid w:val="00622252"/>
    <w:rsid w:val="0062246A"/>
    <w:rsid w:val="00624014"/>
    <w:rsid w:val="006273A5"/>
    <w:rsid w:val="00633614"/>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510A"/>
    <w:rsid w:val="00665B52"/>
    <w:rsid w:val="00665BF0"/>
    <w:rsid w:val="00665D1C"/>
    <w:rsid w:val="00666D5E"/>
    <w:rsid w:val="006706E9"/>
    <w:rsid w:val="006709EA"/>
    <w:rsid w:val="00673F9F"/>
    <w:rsid w:val="00681775"/>
    <w:rsid w:val="00681E63"/>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6872"/>
    <w:rsid w:val="006A68BD"/>
    <w:rsid w:val="006B0BD5"/>
    <w:rsid w:val="006B21D3"/>
    <w:rsid w:val="006B57D0"/>
    <w:rsid w:val="006B7388"/>
    <w:rsid w:val="006B77F3"/>
    <w:rsid w:val="006C24B2"/>
    <w:rsid w:val="006C294F"/>
    <w:rsid w:val="006C3422"/>
    <w:rsid w:val="006D0988"/>
    <w:rsid w:val="006D30FF"/>
    <w:rsid w:val="006D6940"/>
    <w:rsid w:val="006E0AD9"/>
    <w:rsid w:val="006E38F4"/>
    <w:rsid w:val="006E67C9"/>
    <w:rsid w:val="006E6A7D"/>
    <w:rsid w:val="006F0C7A"/>
    <w:rsid w:val="006F11EC"/>
    <w:rsid w:val="006F3835"/>
    <w:rsid w:val="006F4747"/>
    <w:rsid w:val="006F5415"/>
    <w:rsid w:val="006F5599"/>
    <w:rsid w:val="006F6002"/>
    <w:rsid w:val="006F74CA"/>
    <w:rsid w:val="006F7EB7"/>
    <w:rsid w:val="006F7F32"/>
    <w:rsid w:val="0070082C"/>
    <w:rsid w:val="007033E6"/>
    <w:rsid w:val="00703AE3"/>
    <w:rsid w:val="007057ED"/>
    <w:rsid w:val="007101DE"/>
    <w:rsid w:val="00717F2E"/>
    <w:rsid w:val="00720093"/>
    <w:rsid w:val="00720256"/>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6E59"/>
    <w:rsid w:val="0074780A"/>
    <w:rsid w:val="00754C9A"/>
    <w:rsid w:val="0075599A"/>
    <w:rsid w:val="00756316"/>
    <w:rsid w:val="00756864"/>
    <w:rsid w:val="0075735E"/>
    <w:rsid w:val="00757F7F"/>
    <w:rsid w:val="00761D52"/>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4C8B"/>
    <w:rsid w:val="007C4E84"/>
    <w:rsid w:val="007C6F64"/>
    <w:rsid w:val="007D0606"/>
    <w:rsid w:val="007D2288"/>
    <w:rsid w:val="007D30D2"/>
    <w:rsid w:val="007D3FB5"/>
    <w:rsid w:val="007D7251"/>
    <w:rsid w:val="007D7C3E"/>
    <w:rsid w:val="007E088F"/>
    <w:rsid w:val="007E565A"/>
    <w:rsid w:val="007E7A7F"/>
    <w:rsid w:val="007F2720"/>
    <w:rsid w:val="007F43D3"/>
    <w:rsid w:val="007F6C64"/>
    <w:rsid w:val="007F6D8D"/>
    <w:rsid w:val="007F7B32"/>
    <w:rsid w:val="007F7FDC"/>
    <w:rsid w:val="00804067"/>
    <w:rsid w:val="00804BC2"/>
    <w:rsid w:val="00810B02"/>
    <w:rsid w:val="0081431A"/>
    <w:rsid w:val="00814943"/>
    <w:rsid w:val="008157DD"/>
    <w:rsid w:val="008204D0"/>
    <w:rsid w:val="008216D2"/>
    <w:rsid w:val="008244F8"/>
    <w:rsid w:val="00826162"/>
    <w:rsid w:val="00830F00"/>
    <w:rsid w:val="00831639"/>
    <w:rsid w:val="00831C82"/>
    <w:rsid w:val="0083216F"/>
    <w:rsid w:val="00834274"/>
    <w:rsid w:val="00836887"/>
    <w:rsid w:val="00844419"/>
    <w:rsid w:val="008453DD"/>
    <w:rsid w:val="00847952"/>
    <w:rsid w:val="00851CF6"/>
    <w:rsid w:val="0085546E"/>
    <w:rsid w:val="0085657A"/>
    <w:rsid w:val="00860000"/>
    <w:rsid w:val="00862163"/>
    <w:rsid w:val="00863BD3"/>
    <w:rsid w:val="00866D66"/>
    <w:rsid w:val="008671C6"/>
    <w:rsid w:val="00872099"/>
    <w:rsid w:val="00872C97"/>
    <w:rsid w:val="00875803"/>
    <w:rsid w:val="00877D36"/>
    <w:rsid w:val="00881869"/>
    <w:rsid w:val="00881D2A"/>
    <w:rsid w:val="008825C9"/>
    <w:rsid w:val="0088785F"/>
    <w:rsid w:val="008927A1"/>
    <w:rsid w:val="008945A3"/>
    <w:rsid w:val="00896524"/>
    <w:rsid w:val="00897FB9"/>
    <w:rsid w:val="008A09AF"/>
    <w:rsid w:val="008A7542"/>
    <w:rsid w:val="008A7E29"/>
    <w:rsid w:val="008B459E"/>
    <w:rsid w:val="008B6AE3"/>
    <w:rsid w:val="008C2330"/>
    <w:rsid w:val="008C65DE"/>
    <w:rsid w:val="008D1544"/>
    <w:rsid w:val="008D4CC6"/>
    <w:rsid w:val="008D5531"/>
    <w:rsid w:val="008D6E31"/>
    <w:rsid w:val="008E0353"/>
    <w:rsid w:val="008E13AE"/>
    <w:rsid w:val="008E1506"/>
    <w:rsid w:val="008E1D48"/>
    <w:rsid w:val="008E710C"/>
    <w:rsid w:val="008F0221"/>
    <w:rsid w:val="008F0E58"/>
    <w:rsid w:val="008F2E29"/>
    <w:rsid w:val="008F446C"/>
    <w:rsid w:val="008F5B17"/>
    <w:rsid w:val="008F69D6"/>
    <w:rsid w:val="00902823"/>
    <w:rsid w:val="00907A49"/>
    <w:rsid w:val="00912783"/>
    <w:rsid w:val="00914956"/>
    <w:rsid w:val="00915CA6"/>
    <w:rsid w:val="00915CD7"/>
    <w:rsid w:val="009205F6"/>
    <w:rsid w:val="00922FF1"/>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2B44"/>
    <w:rsid w:val="00962C41"/>
    <w:rsid w:val="009648BB"/>
    <w:rsid w:val="009659BA"/>
    <w:rsid w:val="0096663E"/>
    <w:rsid w:val="0096697A"/>
    <w:rsid w:val="00966B8A"/>
    <w:rsid w:val="00970217"/>
    <w:rsid w:val="00973D3A"/>
    <w:rsid w:val="0097678A"/>
    <w:rsid w:val="00976CB2"/>
    <w:rsid w:val="00982E47"/>
    <w:rsid w:val="00983040"/>
    <w:rsid w:val="0098668C"/>
    <w:rsid w:val="009913C6"/>
    <w:rsid w:val="00991ABC"/>
    <w:rsid w:val="009950D9"/>
    <w:rsid w:val="00995521"/>
    <w:rsid w:val="009A4B52"/>
    <w:rsid w:val="009A5463"/>
    <w:rsid w:val="009A5ABF"/>
    <w:rsid w:val="009B02B2"/>
    <w:rsid w:val="009B2A64"/>
    <w:rsid w:val="009B3FB9"/>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5B19"/>
    <w:rsid w:val="00A1134E"/>
    <w:rsid w:val="00A12A42"/>
    <w:rsid w:val="00A21D6E"/>
    <w:rsid w:val="00A24E7E"/>
    <w:rsid w:val="00A254E5"/>
    <w:rsid w:val="00A258C3"/>
    <w:rsid w:val="00A313D4"/>
    <w:rsid w:val="00A347C0"/>
    <w:rsid w:val="00A35F70"/>
    <w:rsid w:val="00A44B85"/>
    <w:rsid w:val="00A46357"/>
    <w:rsid w:val="00A47DC3"/>
    <w:rsid w:val="00A51431"/>
    <w:rsid w:val="00A52A80"/>
    <w:rsid w:val="00A539AD"/>
    <w:rsid w:val="00A54DF9"/>
    <w:rsid w:val="00A561C5"/>
    <w:rsid w:val="00A577B9"/>
    <w:rsid w:val="00A61C0B"/>
    <w:rsid w:val="00A705F7"/>
    <w:rsid w:val="00A73CD6"/>
    <w:rsid w:val="00A74632"/>
    <w:rsid w:val="00A9100D"/>
    <w:rsid w:val="00A919E7"/>
    <w:rsid w:val="00A94063"/>
    <w:rsid w:val="00A97CA7"/>
    <w:rsid w:val="00AA021D"/>
    <w:rsid w:val="00AA046F"/>
    <w:rsid w:val="00AA1319"/>
    <w:rsid w:val="00AA2464"/>
    <w:rsid w:val="00AA39D0"/>
    <w:rsid w:val="00AA619C"/>
    <w:rsid w:val="00AA6219"/>
    <w:rsid w:val="00AA74E0"/>
    <w:rsid w:val="00AB03A5"/>
    <w:rsid w:val="00AB0ED9"/>
    <w:rsid w:val="00AB2BC6"/>
    <w:rsid w:val="00AB4638"/>
    <w:rsid w:val="00AB703F"/>
    <w:rsid w:val="00AB71CE"/>
    <w:rsid w:val="00AB7BD9"/>
    <w:rsid w:val="00AC14F6"/>
    <w:rsid w:val="00AC2477"/>
    <w:rsid w:val="00AC5747"/>
    <w:rsid w:val="00AC6BB8"/>
    <w:rsid w:val="00AD3432"/>
    <w:rsid w:val="00AD41BD"/>
    <w:rsid w:val="00AD41CE"/>
    <w:rsid w:val="00AD47EC"/>
    <w:rsid w:val="00AD4FFA"/>
    <w:rsid w:val="00AD766B"/>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4933"/>
    <w:rsid w:val="00B527D2"/>
    <w:rsid w:val="00B52896"/>
    <w:rsid w:val="00B549CE"/>
    <w:rsid w:val="00B55B85"/>
    <w:rsid w:val="00B55D37"/>
    <w:rsid w:val="00B55FCC"/>
    <w:rsid w:val="00B60155"/>
    <w:rsid w:val="00B62947"/>
    <w:rsid w:val="00B6361C"/>
    <w:rsid w:val="00B64177"/>
    <w:rsid w:val="00B66AB4"/>
    <w:rsid w:val="00B72B39"/>
    <w:rsid w:val="00B76F94"/>
    <w:rsid w:val="00B771E5"/>
    <w:rsid w:val="00B83A45"/>
    <w:rsid w:val="00B859F0"/>
    <w:rsid w:val="00B95236"/>
    <w:rsid w:val="00B96BD9"/>
    <w:rsid w:val="00B978D8"/>
    <w:rsid w:val="00BA1B01"/>
    <w:rsid w:val="00BA2193"/>
    <w:rsid w:val="00BA2641"/>
    <w:rsid w:val="00BA35EB"/>
    <w:rsid w:val="00BA4CDF"/>
    <w:rsid w:val="00BA4D4E"/>
    <w:rsid w:val="00BA5BD8"/>
    <w:rsid w:val="00BA5C84"/>
    <w:rsid w:val="00BA7061"/>
    <w:rsid w:val="00BB37AA"/>
    <w:rsid w:val="00BB4C24"/>
    <w:rsid w:val="00BB698A"/>
    <w:rsid w:val="00BB6D95"/>
    <w:rsid w:val="00BB6DA6"/>
    <w:rsid w:val="00BC2A3C"/>
    <w:rsid w:val="00BC53A0"/>
    <w:rsid w:val="00BD07D8"/>
    <w:rsid w:val="00BD504C"/>
    <w:rsid w:val="00BD7404"/>
    <w:rsid w:val="00BD7576"/>
    <w:rsid w:val="00BD76E4"/>
    <w:rsid w:val="00BE0A38"/>
    <w:rsid w:val="00BE0E4E"/>
    <w:rsid w:val="00BE1295"/>
    <w:rsid w:val="00BE230B"/>
    <w:rsid w:val="00BE62AD"/>
    <w:rsid w:val="00BF121F"/>
    <w:rsid w:val="00BF1F80"/>
    <w:rsid w:val="00BF2939"/>
    <w:rsid w:val="00BF7728"/>
    <w:rsid w:val="00C01D17"/>
    <w:rsid w:val="00C05B06"/>
    <w:rsid w:val="00C05F9F"/>
    <w:rsid w:val="00C06F68"/>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2404"/>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8198B"/>
    <w:rsid w:val="00C81A14"/>
    <w:rsid w:val="00C838DC"/>
    <w:rsid w:val="00C85588"/>
    <w:rsid w:val="00C85987"/>
    <w:rsid w:val="00C868A2"/>
    <w:rsid w:val="00C90676"/>
    <w:rsid w:val="00C944B7"/>
    <w:rsid w:val="00C94706"/>
    <w:rsid w:val="00C95E74"/>
    <w:rsid w:val="00C972A1"/>
    <w:rsid w:val="00CA1A21"/>
    <w:rsid w:val="00CA7890"/>
    <w:rsid w:val="00CB059F"/>
    <w:rsid w:val="00CB11B3"/>
    <w:rsid w:val="00CB2155"/>
    <w:rsid w:val="00CB37FD"/>
    <w:rsid w:val="00CB60AE"/>
    <w:rsid w:val="00CB6F3A"/>
    <w:rsid w:val="00CB7AC1"/>
    <w:rsid w:val="00CC701F"/>
    <w:rsid w:val="00CC7073"/>
    <w:rsid w:val="00CD1124"/>
    <w:rsid w:val="00CD6339"/>
    <w:rsid w:val="00CD6755"/>
    <w:rsid w:val="00CD6856"/>
    <w:rsid w:val="00CD6F56"/>
    <w:rsid w:val="00CE0089"/>
    <w:rsid w:val="00CE3176"/>
    <w:rsid w:val="00CE5E13"/>
    <w:rsid w:val="00CE793C"/>
    <w:rsid w:val="00CF2E29"/>
    <w:rsid w:val="00D01782"/>
    <w:rsid w:val="00D0289A"/>
    <w:rsid w:val="00D03BEB"/>
    <w:rsid w:val="00D065CB"/>
    <w:rsid w:val="00D13BF4"/>
    <w:rsid w:val="00D16A04"/>
    <w:rsid w:val="00D17273"/>
    <w:rsid w:val="00D173F1"/>
    <w:rsid w:val="00D20E99"/>
    <w:rsid w:val="00D21E8D"/>
    <w:rsid w:val="00D227D5"/>
    <w:rsid w:val="00D23445"/>
    <w:rsid w:val="00D23B1F"/>
    <w:rsid w:val="00D24440"/>
    <w:rsid w:val="00D3066D"/>
    <w:rsid w:val="00D311B1"/>
    <w:rsid w:val="00D32F12"/>
    <w:rsid w:val="00D341E9"/>
    <w:rsid w:val="00D41A18"/>
    <w:rsid w:val="00D42848"/>
    <w:rsid w:val="00D429C7"/>
    <w:rsid w:val="00D42F2F"/>
    <w:rsid w:val="00D453B9"/>
    <w:rsid w:val="00D468AD"/>
    <w:rsid w:val="00D46AD9"/>
    <w:rsid w:val="00D5041B"/>
    <w:rsid w:val="00D53603"/>
    <w:rsid w:val="00D54014"/>
    <w:rsid w:val="00D5414B"/>
    <w:rsid w:val="00D542B6"/>
    <w:rsid w:val="00D545D7"/>
    <w:rsid w:val="00D54B4E"/>
    <w:rsid w:val="00D54EB8"/>
    <w:rsid w:val="00D550A7"/>
    <w:rsid w:val="00D56A11"/>
    <w:rsid w:val="00D57184"/>
    <w:rsid w:val="00D607E8"/>
    <w:rsid w:val="00D60E73"/>
    <w:rsid w:val="00D62A6B"/>
    <w:rsid w:val="00D64B9B"/>
    <w:rsid w:val="00D66561"/>
    <w:rsid w:val="00D668D6"/>
    <w:rsid w:val="00D67D5C"/>
    <w:rsid w:val="00D717BB"/>
    <w:rsid w:val="00D72CC0"/>
    <w:rsid w:val="00D772CA"/>
    <w:rsid w:val="00D77F8D"/>
    <w:rsid w:val="00D77FBA"/>
    <w:rsid w:val="00D8295D"/>
    <w:rsid w:val="00D83D9C"/>
    <w:rsid w:val="00D927CC"/>
    <w:rsid w:val="00D92CBE"/>
    <w:rsid w:val="00D95C45"/>
    <w:rsid w:val="00DA1286"/>
    <w:rsid w:val="00DA28B7"/>
    <w:rsid w:val="00DA3D24"/>
    <w:rsid w:val="00DB03BF"/>
    <w:rsid w:val="00DB0B12"/>
    <w:rsid w:val="00DB0B8E"/>
    <w:rsid w:val="00DB27EE"/>
    <w:rsid w:val="00DC09E0"/>
    <w:rsid w:val="00DC0BFC"/>
    <w:rsid w:val="00DC2A65"/>
    <w:rsid w:val="00DD0B2B"/>
    <w:rsid w:val="00DD1370"/>
    <w:rsid w:val="00DD1EA9"/>
    <w:rsid w:val="00DD5EA2"/>
    <w:rsid w:val="00DD6431"/>
    <w:rsid w:val="00DD68C1"/>
    <w:rsid w:val="00DD733B"/>
    <w:rsid w:val="00DE15F0"/>
    <w:rsid w:val="00DE32FA"/>
    <w:rsid w:val="00DE3EAB"/>
    <w:rsid w:val="00DE5663"/>
    <w:rsid w:val="00DE7644"/>
    <w:rsid w:val="00DE78AA"/>
    <w:rsid w:val="00DF2CC6"/>
    <w:rsid w:val="00DF4C95"/>
    <w:rsid w:val="00E009EA"/>
    <w:rsid w:val="00E053D0"/>
    <w:rsid w:val="00E05D72"/>
    <w:rsid w:val="00E100D0"/>
    <w:rsid w:val="00E103CF"/>
    <w:rsid w:val="00E112E6"/>
    <w:rsid w:val="00E12CED"/>
    <w:rsid w:val="00E146D8"/>
    <w:rsid w:val="00E15994"/>
    <w:rsid w:val="00E22B41"/>
    <w:rsid w:val="00E2395E"/>
    <w:rsid w:val="00E2437E"/>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69F6"/>
    <w:rsid w:val="00E80D52"/>
    <w:rsid w:val="00E8217A"/>
    <w:rsid w:val="00E82357"/>
    <w:rsid w:val="00E824CE"/>
    <w:rsid w:val="00E8407C"/>
    <w:rsid w:val="00E84F3C"/>
    <w:rsid w:val="00E855E0"/>
    <w:rsid w:val="00E9718F"/>
    <w:rsid w:val="00EA012C"/>
    <w:rsid w:val="00EA70C1"/>
    <w:rsid w:val="00EA7A2C"/>
    <w:rsid w:val="00EB1D47"/>
    <w:rsid w:val="00EB2E0E"/>
    <w:rsid w:val="00EB7104"/>
    <w:rsid w:val="00EC0D56"/>
    <w:rsid w:val="00EC3636"/>
    <w:rsid w:val="00EC3C5E"/>
    <w:rsid w:val="00EC7AAE"/>
    <w:rsid w:val="00ED0288"/>
    <w:rsid w:val="00ED2411"/>
    <w:rsid w:val="00ED54F5"/>
    <w:rsid w:val="00ED755D"/>
    <w:rsid w:val="00EE3755"/>
    <w:rsid w:val="00EE52CB"/>
    <w:rsid w:val="00EE66A5"/>
    <w:rsid w:val="00EF1EB5"/>
    <w:rsid w:val="00EF2383"/>
    <w:rsid w:val="00EF581D"/>
    <w:rsid w:val="00EF7DF2"/>
    <w:rsid w:val="00EF7FD8"/>
    <w:rsid w:val="00F04F13"/>
    <w:rsid w:val="00F05FAA"/>
    <w:rsid w:val="00F06F59"/>
    <w:rsid w:val="00F071D7"/>
    <w:rsid w:val="00F07371"/>
    <w:rsid w:val="00F11DDA"/>
    <w:rsid w:val="00F12135"/>
    <w:rsid w:val="00F159E4"/>
    <w:rsid w:val="00F174B8"/>
    <w:rsid w:val="00F17988"/>
    <w:rsid w:val="00F20BD8"/>
    <w:rsid w:val="00F2100D"/>
    <w:rsid w:val="00F21FC5"/>
    <w:rsid w:val="00F23A67"/>
    <w:rsid w:val="00F266FB"/>
    <w:rsid w:val="00F303EB"/>
    <w:rsid w:val="00F30D27"/>
    <w:rsid w:val="00F33681"/>
    <w:rsid w:val="00F36ABC"/>
    <w:rsid w:val="00F40FB0"/>
    <w:rsid w:val="00F41F1C"/>
    <w:rsid w:val="00F42FC6"/>
    <w:rsid w:val="00F469F0"/>
    <w:rsid w:val="00F51246"/>
    <w:rsid w:val="00F53273"/>
    <w:rsid w:val="00F53CF3"/>
    <w:rsid w:val="00F576D3"/>
    <w:rsid w:val="00F57E77"/>
    <w:rsid w:val="00F57FA7"/>
    <w:rsid w:val="00F606EA"/>
    <w:rsid w:val="00F63AD9"/>
    <w:rsid w:val="00F63EA4"/>
    <w:rsid w:val="00F70217"/>
    <w:rsid w:val="00F70245"/>
    <w:rsid w:val="00F7028B"/>
    <w:rsid w:val="00F70BCD"/>
    <w:rsid w:val="00F71EB8"/>
    <w:rsid w:val="00F74F93"/>
    <w:rsid w:val="00F755E4"/>
    <w:rsid w:val="00F759B7"/>
    <w:rsid w:val="00F77D02"/>
    <w:rsid w:val="00F80106"/>
    <w:rsid w:val="00F84C5F"/>
    <w:rsid w:val="00F947E3"/>
    <w:rsid w:val="00F96071"/>
    <w:rsid w:val="00FA0D6E"/>
    <w:rsid w:val="00FA0F04"/>
    <w:rsid w:val="00FA2543"/>
    <w:rsid w:val="00FA452F"/>
    <w:rsid w:val="00FB3A86"/>
    <w:rsid w:val="00FB469D"/>
    <w:rsid w:val="00FB50A0"/>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5C6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89</TotalTime>
  <Pages>12</Pages>
  <Words>5214</Words>
  <Characters>29720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363</cp:revision>
  <cp:lastPrinted>2024-10-20T02:52:00Z</cp:lastPrinted>
  <dcterms:created xsi:type="dcterms:W3CDTF">2025-04-23T14:26:00Z</dcterms:created>
  <dcterms:modified xsi:type="dcterms:W3CDTF">2025-04-29T10:23:00Z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