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BB89D" w14:textId="5B61A272" w:rsidR="00767CB1" w:rsidRDefault="00EF15D9">
      <w:pPr>
        <w:pStyle w:val="Author"/>
        <w:spacing w:line="240" w:lineRule="auto"/>
        <w:rPr>
          <w:rFonts w:ascii="Arial" w:hAnsi="Arial" w:cs="Arial"/>
          <w:bCs/>
          <w:iCs/>
          <w:kern w:val="28"/>
          <w:sz w:val="36"/>
        </w:rPr>
      </w:pPr>
      <w:r>
        <w:rPr>
          <w:rFonts w:ascii="Arial" w:hAnsi="Arial" w:cs="Arial"/>
          <w:bCs/>
          <w:iCs/>
          <w:kern w:val="28"/>
          <w:sz w:val="36"/>
          <w:lang w:val="en-PH"/>
        </w:rPr>
        <w:t>Teaching Anxiety, Teaching Self-Efficacy</w:t>
      </w:r>
      <w:r>
        <w:rPr>
          <w:rFonts w:ascii="Arial" w:hAnsi="Arial" w:cs="Arial"/>
          <w:bCs/>
          <w:iCs/>
          <w:kern w:val="28"/>
          <w:sz w:val="36"/>
          <w:lang w:val="en-PH"/>
        </w:rPr>
        <w:t xml:space="preserve"> and Teacher Support as Predictors of Classroom Performance of Pre-service Teachers</w:t>
      </w:r>
    </w:p>
    <w:p w14:paraId="0BDD2F66" w14:textId="77777777" w:rsidR="00767CB1" w:rsidRDefault="00767CB1">
      <w:pPr>
        <w:pStyle w:val="Author"/>
        <w:spacing w:line="240" w:lineRule="auto"/>
        <w:jc w:val="both"/>
        <w:rPr>
          <w:rFonts w:ascii="Arial" w:hAnsi="Arial" w:cs="Arial"/>
          <w:sz w:val="36"/>
        </w:rPr>
      </w:pPr>
    </w:p>
    <w:p w14:paraId="3A1BAEEF" w14:textId="77777777" w:rsidR="00767CB1" w:rsidRDefault="00767CB1">
      <w:pPr>
        <w:pStyle w:val="Affiliation"/>
        <w:spacing w:after="0" w:line="240" w:lineRule="auto"/>
        <w:jc w:val="both"/>
        <w:rPr>
          <w:rFonts w:ascii="Arial" w:hAnsi="Arial" w:cs="Arial"/>
        </w:rPr>
      </w:pPr>
    </w:p>
    <w:p w14:paraId="2FB21C5F" w14:textId="77777777" w:rsidR="00767CB1" w:rsidRDefault="00767CB1">
      <w:pPr>
        <w:pStyle w:val="Affiliation"/>
        <w:spacing w:after="0" w:line="240" w:lineRule="auto"/>
        <w:jc w:val="both"/>
        <w:rPr>
          <w:rFonts w:ascii="Arial" w:hAnsi="Arial" w:cs="Arial"/>
        </w:rPr>
      </w:pPr>
    </w:p>
    <w:p w14:paraId="7A7863C4" w14:textId="77777777" w:rsidR="00767CB1" w:rsidRDefault="00EF15D9">
      <w:pPr>
        <w:pStyle w:val="Copyright"/>
        <w:spacing w:after="0" w:line="240" w:lineRule="auto"/>
        <w:jc w:val="both"/>
        <w:rPr>
          <w:rFonts w:ascii="Arial" w:hAnsi="Arial" w:cs="Arial"/>
        </w:rPr>
        <w:sectPr w:rsidR="00767CB1">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rPr>
      </w:r>
      <w:r>
        <w:rPr>
          <w:rFonts w:ascii="Arial" w:hAnsi="Arial" w:cs="Arial"/>
        </w:rPr>
        <w:pict w14:anchorId="24980B84">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Pr>
          <w:rFonts w:ascii="Arial" w:hAnsi="Arial" w:cs="Arial"/>
        </w:rPr>
        <w:t>.</w:t>
      </w:r>
    </w:p>
    <w:p w14:paraId="6894E67A" w14:textId="77777777" w:rsidR="00767CB1" w:rsidRDefault="00EF15D9">
      <w:pPr>
        <w:pStyle w:val="AbstHead"/>
        <w:spacing w:after="0"/>
        <w:jc w:val="both"/>
        <w:rPr>
          <w:rFonts w:ascii="Arial" w:hAnsi="Arial" w:cs="Arial"/>
        </w:rPr>
      </w:pPr>
      <w:r>
        <w:rPr>
          <w:rFonts w:ascii="Arial" w:hAnsi="Arial" w:cs="Arial"/>
        </w:rPr>
        <w:t>ABSTRACT</w:t>
      </w:r>
    </w:p>
    <w:p w14:paraId="04CBB6DE" w14:textId="77777777" w:rsidR="00767CB1" w:rsidRDefault="00767CB1">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767CB1" w14:paraId="137F1FA4" w14:textId="77777777">
        <w:tc>
          <w:tcPr>
            <w:tcW w:w="9576" w:type="dxa"/>
            <w:shd w:val="clear" w:color="auto" w:fill="F2F2F2"/>
          </w:tcPr>
          <w:p w14:paraId="07B3F22B" w14:textId="77777777" w:rsidR="00767CB1" w:rsidRDefault="00EF15D9">
            <w:pPr>
              <w:pStyle w:val="Body"/>
              <w:spacing w:after="0"/>
              <w:rPr>
                <w:rFonts w:ascii="Arial" w:eastAsia="Calibri" w:hAnsi="Arial" w:cs="Arial"/>
                <w:szCs w:val="22"/>
              </w:rPr>
            </w:pPr>
            <w:r>
              <w:rPr>
                <w:rFonts w:ascii="Arial" w:hAnsi="Arial"/>
              </w:rPr>
              <w:t>This study aims to determine whether teaching anxiety,</w:t>
            </w:r>
            <w:r>
              <w:rPr>
                <w:rFonts w:ascii="Arial" w:hAnsi="Arial"/>
                <w:lang w:val="en-PH"/>
              </w:rPr>
              <w:t xml:space="preserve"> </w:t>
            </w:r>
            <w:r>
              <w:rPr>
                <w:rFonts w:ascii="Arial" w:hAnsi="Arial"/>
              </w:rPr>
              <w:t>teaching self-efficacy</w:t>
            </w:r>
            <w:r>
              <w:rPr>
                <w:rFonts w:ascii="Arial" w:hAnsi="Arial"/>
                <w:lang w:val="en-PH"/>
              </w:rPr>
              <w:t>, and</w:t>
            </w:r>
            <w:r>
              <w:rPr>
                <w:rFonts w:ascii="Arial" w:hAnsi="Arial"/>
              </w:rPr>
              <w:t xml:space="preserve"> teacher support</w:t>
            </w:r>
            <w:r>
              <w:rPr>
                <w:rFonts w:ascii="Arial" w:hAnsi="Arial"/>
                <w:lang w:val="en-PH"/>
              </w:rPr>
              <w:t xml:space="preserve"> </w:t>
            </w:r>
            <w:r>
              <w:rPr>
                <w:rFonts w:ascii="Arial" w:hAnsi="Arial"/>
              </w:rPr>
              <w:t>predict the classroom performance of pre-service teachers.</w:t>
            </w:r>
            <w:r>
              <w:rPr>
                <w:rFonts w:ascii="Arial" w:hAnsi="Arial"/>
                <w:lang w:val="en-PH"/>
              </w:rPr>
              <w:t xml:space="preserve"> It</w:t>
            </w:r>
            <w:r>
              <w:rPr>
                <w:rFonts w:ascii="Arial" w:hAnsi="Arial"/>
              </w:rPr>
              <w:t> utilized a non-experimental quantitative design,</w:t>
            </w:r>
            <w:r>
              <w:rPr>
                <w:rFonts w:ascii="Arial" w:hAnsi="Arial"/>
              </w:rPr>
              <w:t xml:space="preserve"> employing a descriptive-correlational approach</w:t>
            </w:r>
            <w:r>
              <w:rPr>
                <w:rFonts w:ascii="Arial" w:hAnsi="Arial"/>
                <w:lang w:val="en-PH"/>
              </w:rPr>
              <w:t>.</w:t>
            </w:r>
            <w:r>
              <w:rPr>
                <w:rFonts w:ascii="Arial" w:hAnsi="Arial" w:cs="Arial"/>
                <w:lang w:val="en-PH"/>
              </w:rPr>
              <w:t xml:space="preserve"> </w:t>
            </w:r>
            <w:r>
              <w:rPr>
                <w:rFonts w:ascii="Arial" w:eastAsia="SimSun" w:hAnsi="Arial" w:cs="Arial"/>
              </w:rPr>
              <w:t xml:space="preserve">The Complete Enumeration Sampling Method was used, </w:t>
            </w:r>
            <w:r>
              <w:rPr>
                <w:rFonts w:ascii="Arial" w:eastAsia="SimSun" w:hAnsi="Arial" w:cs="Arial"/>
                <w:lang w:val="en-PH"/>
              </w:rPr>
              <w:t>obtaining</w:t>
            </w:r>
            <w:r>
              <w:rPr>
                <w:rFonts w:ascii="Arial" w:eastAsia="SimSun" w:hAnsi="Arial" w:cs="Arial"/>
              </w:rPr>
              <w:t xml:space="preserve"> 325 pre-service teachers as respondents. Data were collected through questionnaires administered via survey and analyzed using mean, standard devi</w:t>
            </w:r>
            <w:r>
              <w:rPr>
                <w:rFonts w:ascii="Arial" w:eastAsia="SimSun" w:hAnsi="Arial" w:cs="Arial"/>
              </w:rPr>
              <w:t>ation, Pearson r, and multiple regression analysis to examine the relationships among variables.</w:t>
            </w:r>
            <w:r>
              <w:rPr>
                <w:rFonts w:ascii="Arial" w:eastAsia="Calibri" w:hAnsi="Arial" w:cs="Arial"/>
                <w:szCs w:val="22"/>
                <w:lang w:val="en-PH"/>
              </w:rPr>
              <w:t xml:space="preserve"> </w:t>
            </w:r>
            <w:r>
              <w:rPr>
                <w:rFonts w:ascii="Arial" w:eastAsia="SimSun" w:hAnsi="Arial" w:cs="Arial"/>
              </w:rPr>
              <w:t xml:space="preserve">The findings reveal that pre-service teachers experience </w:t>
            </w:r>
            <w:r>
              <w:rPr>
                <w:rStyle w:val="Strong"/>
                <w:rFonts w:ascii="Arial" w:eastAsia="SimSun" w:hAnsi="Arial" w:cs="Arial"/>
                <w:b w:val="0"/>
                <w:bCs w:val="0"/>
              </w:rPr>
              <w:t>moderate level of teaching anxiety</w:t>
            </w:r>
            <w:r>
              <w:rPr>
                <w:rStyle w:val="Strong"/>
                <w:rFonts w:ascii="Arial" w:eastAsia="SimSun" w:hAnsi="Arial" w:cs="Arial"/>
                <w:b w:val="0"/>
                <w:bCs w:val="0"/>
                <w:lang w:val="en-PH"/>
              </w:rPr>
              <w:t xml:space="preserve">, while </w:t>
            </w:r>
            <w:r>
              <w:rPr>
                <w:rStyle w:val="Strong"/>
                <w:rFonts w:ascii="Arial" w:eastAsia="SimSun" w:hAnsi="Arial" w:cs="Arial"/>
                <w:b w:val="0"/>
                <w:bCs w:val="0"/>
              </w:rPr>
              <w:t>Teaching Self-Efficacy</w:t>
            </w:r>
            <w:r>
              <w:rPr>
                <w:rFonts w:ascii="Arial" w:eastAsia="SimSun" w:hAnsi="Arial" w:cs="Arial"/>
              </w:rPr>
              <w:t xml:space="preserve"> shows a </w:t>
            </w:r>
            <w:r>
              <w:rPr>
                <w:rStyle w:val="Strong"/>
                <w:rFonts w:ascii="Arial" w:eastAsia="SimSun" w:hAnsi="Arial" w:cs="Arial"/>
                <w:b w:val="0"/>
                <w:bCs w:val="0"/>
              </w:rPr>
              <w:t>high descriptive level</w:t>
            </w:r>
            <w:r>
              <w:rPr>
                <w:rStyle w:val="Strong"/>
                <w:rFonts w:ascii="Arial" w:eastAsia="SimSun" w:hAnsi="Arial" w:cs="Arial"/>
                <w:b w:val="0"/>
                <w:bCs w:val="0"/>
                <w:lang w:val="en-PH"/>
              </w:rPr>
              <w:t>.</w:t>
            </w:r>
            <w:r>
              <w:rPr>
                <w:rStyle w:val="Strong"/>
                <w:rFonts w:ascii="Arial" w:eastAsia="SimSun" w:hAnsi="Arial" w:cs="Arial"/>
                <w:b w:val="0"/>
                <w:bCs w:val="0"/>
                <w:lang w:val="en-PH"/>
              </w:rPr>
              <w:t xml:space="preserve"> </w:t>
            </w:r>
            <w:r>
              <w:rPr>
                <w:rStyle w:val="Strong"/>
                <w:rFonts w:ascii="Arial" w:eastAsia="SimSun" w:hAnsi="Arial" w:cs="Arial"/>
                <w:b w:val="0"/>
                <w:bCs w:val="0"/>
              </w:rPr>
              <w:t>Teacher Support</w:t>
            </w:r>
            <w:r>
              <w:rPr>
                <w:rStyle w:val="Strong"/>
                <w:rFonts w:ascii="Arial" w:eastAsia="SimSun" w:hAnsi="Arial" w:cs="Arial"/>
                <w:b w:val="0"/>
                <w:bCs w:val="0"/>
                <w:lang w:val="en-PH"/>
              </w:rPr>
              <w:t xml:space="preserve"> and Teaching Demonstration Performance</w:t>
            </w:r>
            <w:r>
              <w:rPr>
                <w:rFonts w:ascii="Arial" w:eastAsia="SimSun" w:hAnsi="Arial" w:cs="Arial"/>
              </w:rPr>
              <w:t xml:space="preserve"> </w:t>
            </w:r>
            <w:r>
              <w:rPr>
                <w:rFonts w:ascii="Arial" w:eastAsia="SimSun" w:hAnsi="Arial" w:cs="Arial"/>
                <w:lang w:val="en-PH"/>
              </w:rPr>
              <w:t>were</w:t>
            </w:r>
            <w:r>
              <w:rPr>
                <w:rFonts w:ascii="Arial" w:eastAsia="SimSun" w:hAnsi="Arial" w:cs="Arial"/>
              </w:rPr>
              <w:t xml:space="preserve"> rated at a </w:t>
            </w:r>
            <w:r>
              <w:rPr>
                <w:rStyle w:val="Strong"/>
                <w:rFonts w:ascii="Arial" w:eastAsia="SimSun" w:hAnsi="Arial" w:cs="Arial"/>
                <w:b w:val="0"/>
                <w:bCs w:val="0"/>
              </w:rPr>
              <w:t xml:space="preserve">very high descriptive </w:t>
            </w:r>
            <w:proofErr w:type="spellStart"/>
            <w:r>
              <w:rPr>
                <w:rStyle w:val="Strong"/>
                <w:rFonts w:ascii="Arial" w:eastAsia="SimSun" w:hAnsi="Arial" w:cs="Arial"/>
                <w:b w:val="0"/>
                <w:bCs w:val="0"/>
              </w:rPr>
              <w:t>leve</w:t>
            </w:r>
            <w:proofErr w:type="spellEnd"/>
            <w:r>
              <w:rPr>
                <w:rStyle w:val="Strong"/>
                <w:rFonts w:ascii="Arial" w:eastAsia="SimSun" w:hAnsi="Arial" w:cs="Arial"/>
                <w:b w:val="0"/>
                <w:bCs w:val="0"/>
                <w:lang w:val="en-PH"/>
              </w:rPr>
              <w:t xml:space="preserve">l. </w:t>
            </w:r>
            <w:r>
              <w:rPr>
                <w:rFonts w:ascii="Arial" w:hAnsi="Arial"/>
                <w:lang w:val="en-PH"/>
              </w:rPr>
              <w:t xml:space="preserve">Furthermore, the Teaching Self-Efficacy and Teacher Support are significantly correlated but Teaching Anxiety is not. While, the Teaching Self-Efficacy and </w:t>
            </w:r>
            <w:r>
              <w:rPr>
                <w:rFonts w:ascii="Arial" w:hAnsi="Arial"/>
                <w:lang w:val="en-PH"/>
              </w:rPr>
              <w:t xml:space="preserve">Teacher Support significantly influence the Teaching Demonstration Performance but Teaching Anxiety does not. Nevertheless, the combined degree of </w:t>
            </w:r>
            <w:proofErr w:type="gramStart"/>
            <w:r>
              <w:rPr>
                <w:rFonts w:ascii="Arial" w:hAnsi="Arial"/>
                <w:lang w:val="en-PH"/>
              </w:rPr>
              <w:t>influence  of</w:t>
            </w:r>
            <w:proofErr w:type="gramEnd"/>
            <w:r>
              <w:rPr>
                <w:rFonts w:ascii="Arial" w:hAnsi="Arial"/>
                <w:lang w:val="en-PH"/>
              </w:rPr>
              <w:t xml:space="preserve"> the predictors (35%) significantly influence the criterion variables.</w:t>
            </w:r>
            <w:r>
              <w:rPr>
                <w:rFonts w:ascii="Arial" w:hAnsi="Arial"/>
                <w:lang w:val="en-PH"/>
              </w:rPr>
              <w:t xml:space="preserve"> </w:t>
            </w:r>
            <w:r>
              <w:rPr>
                <w:rFonts w:ascii="Arial" w:hAnsi="Arial"/>
                <w:lang w:val="en-PH"/>
              </w:rPr>
              <w:t xml:space="preserve">Based on the results, it </w:t>
            </w:r>
            <w:r>
              <w:rPr>
                <w:rFonts w:ascii="Arial" w:hAnsi="Arial"/>
                <w:lang w:val="en-PH"/>
              </w:rPr>
              <w:t>was concluded that Teaching Self-efficacy and Teacher Support are significant predictors of Teaching Demonstration Performance of pre-service teachers but Teaching Anxiety was not found as a significant predictor.</w:t>
            </w:r>
          </w:p>
        </w:tc>
      </w:tr>
    </w:tbl>
    <w:p w14:paraId="1322FA27" w14:textId="77777777" w:rsidR="00767CB1" w:rsidRDefault="00767CB1">
      <w:pPr>
        <w:pStyle w:val="Body"/>
        <w:spacing w:after="0"/>
        <w:rPr>
          <w:rFonts w:ascii="Arial" w:hAnsi="Arial" w:cs="Arial"/>
          <w:i/>
        </w:rPr>
      </w:pPr>
    </w:p>
    <w:p w14:paraId="08EA8220" w14:textId="77777777" w:rsidR="00767CB1" w:rsidRDefault="00EF15D9">
      <w:pPr>
        <w:pStyle w:val="Body"/>
        <w:spacing w:after="0"/>
        <w:ind w:left="1004" w:hangingChars="500" w:hanging="1004"/>
        <w:rPr>
          <w:rFonts w:ascii="Arial" w:hAnsi="Arial" w:cs="Arial"/>
          <w:i/>
          <w:sz w:val="18"/>
        </w:rPr>
      </w:pPr>
      <w:r w:rsidRPr="00426664">
        <w:rPr>
          <w:rFonts w:ascii="Arial" w:hAnsi="Arial" w:cs="Arial"/>
          <w:b/>
          <w:i/>
        </w:rPr>
        <w:t>Keywords:</w:t>
      </w:r>
      <w:r>
        <w:rPr>
          <w:rFonts w:ascii="Arial" w:hAnsi="Arial" w:cs="Arial"/>
          <w:i/>
        </w:rPr>
        <w:t xml:space="preserve"> </w:t>
      </w:r>
      <w:r>
        <w:rPr>
          <w:rFonts w:ascii="Arial" w:hAnsi="Arial" w:cs="Arial"/>
          <w:i/>
          <w:lang w:val="en-PH"/>
        </w:rPr>
        <w:t>Teaching anxiety, teaching sel</w:t>
      </w:r>
      <w:r>
        <w:rPr>
          <w:rFonts w:ascii="Arial" w:hAnsi="Arial" w:cs="Arial"/>
          <w:i/>
          <w:lang w:val="en-PH"/>
        </w:rPr>
        <w:t>f-efficacy, teacher support, classroom performance of pre-service teachers</w:t>
      </w:r>
    </w:p>
    <w:p w14:paraId="5CBAE24E" w14:textId="77777777" w:rsidR="00767CB1" w:rsidRDefault="00767CB1">
      <w:pPr>
        <w:pStyle w:val="Body"/>
        <w:spacing w:after="0"/>
        <w:rPr>
          <w:rFonts w:ascii="Arial" w:hAnsi="Arial" w:cs="Arial"/>
          <w:i/>
        </w:rPr>
      </w:pPr>
    </w:p>
    <w:p w14:paraId="03FF1B55" w14:textId="77777777" w:rsidR="00767CB1" w:rsidRDefault="00EF15D9">
      <w:pPr>
        <w:pStyle w:val="AbstHead"/>
        <w:spacing w:after="0"/>
        <w:jc w:val="both"/>
        <w:rPr>
          <w:rFonts w:ascii="Arial" w:hAnsi="Arial" w:cs="Arial"/>
        </w:rPr>
      </w:pPr>
      <w:r>
        <w:rPr>
          <w:rFonts w:ascii="Arial" w:hAnsi="Arial" w:cs="Arial"/>
        </w:rPr>
        <w:t>1. INTRODUCTION</w:t>
      </w:r>
    </w:p>
    <w:p w14:paraId="305447F5" w14:textId="77777777" w:rsidR="00767CB1" w:rsidRDefault="00767CB1">
      <w:pPr>
        <w:pStyle w:val="AbstHead"/>
        <w:spacing w:after="0"/>
        <w:jc w:val="both"/>
        <w:rPr>
          <w:rFonts w:ascii="Arial" w:hAnsi="Arial" w:cs="Arial"/>
        </w:rPr>
      </w:pPr>
    </w:p>
    <w:p w14:paraId="08A89AB4" w14:textId="77777777" w:rsidR="00767CB1" w:rsidRDefault="00EF15D9">
      <w:pPr>
        <w:ind w:firstLine="720"/>
        <w:jc w:val="both"/>
        <w:rPr>
          <w:rFonts w:ascii="Arial" w:hAnsi="Arial"/>
          <w:color w:val="000000" w:themeColor="text1"/>
          <w:lang w:val="en-PH"/>
        </w:rPr>
      </w:pPr>
      <w:r>
        <w:rPr>
          <w:rFonts w:ascii="Arial" w:hAnsi="Arial"/>
        </w:rPr>
        <w:t xml:space="preserve">Pre-service teachers frequently exhibit poor classroom performance owing to issues applying theoretical knowledge in classroom settings (Adjei et al., 2023). </w:t>
      </w:r>
      <w:proofErr w:type="spellStart"/>
      <w:r>
        <w:rPr>
          <w:rFonts w:ascii="Arial" w:hAnsi="Arial"/>
        </w:rPr>
        <w:t>Sathasivam</w:t>
      </w:r>
      <w:proofErr w:type="spellEnd"/>
      <w:r>
        <w:rPr>
          <w:rFonts w:ascii="Arial" w:hAnsi="Arial"/>
        </w:rPr>
        <w:t xml:space="preserve"> et al. (2024) discovered that pre-service teachers struggle to transfer and apply their</w:t>
      </w:r>
      <w:r>
        <w:rPr>
          <w:rFonts w:ascii="Arial" w:hAnsi="Arial"/>
        </w:rPr>
        <w:t xml:space="preserve"> pedagogical knowledge to practical classroom teaching during their practicum. </w:t>
      </w:r>
      <w:proofErr w:type="spellStart"/>
      <w:r>
        <w:rPr>
          <w:rFonts w:ascii="Arial" w:hAnsi="Arial"/>
          <w:color w:val="000000" w:themeColor="text1"/>
        </w:rPr>
        <w:t>Çubukçu</w:t>
      </w:r>
      <w:proofErr w:type="spellEnd"/>
      <w:r>
        <w:rPr>
          <w:rFonts w:ascii="Arial" w:hAnsi="Arial"/>
          <w:color w:val="000000" w:themeColor="text1"/>
        </w:rPr>
        <w:t xml:space="preserve"> and </w:t>
      </w:r>
      <w:proofErr w:type="spellStart"/>
      <w:r>
        <w:rPr>
          <w:rFonts w:ascii="Arial" w:hAnsi="Arial"/>
          <w:color w:val="000000" w:themeColor="text1"/>
        </w:rPr>
        <w:t>Tarhan</w:t>
      </w:r>
      <w:proofErr w:type="spellEnd"/>
      <w:r>
        <w:rPr>
          <w:rFonts w:ascii="Arial" w:hAnsi="Arial"/>
          <w:color w:val="000000" w:themeColor="text1"/>
        </w:rPr>
        <w:t xml:space="preserve"> (2021) </w:t>
      </w:r>
      <w:r>
        <w:rPr>
          <w:rFonts w:ascii="Arial" w:hAnsi="Arial"/>
          <w:color w:val="000000" w:themeColor="text1"/>
          <w:lang w:val="en-PH"/>
        </w:rPr>
        <w:t>reported that pre-service teachers also demonstrated poor classroom performance during their teaching internship.</w:t>
      </w:r>
    </w:p>
    <w:p w14:paraId="1A3ABA02" w14:textId="77777777" w:rsidR="00767CB1" w:rsidRDefault="00EF15D9">
      <w:pPr>
        <w:ind w:firstLine="720"/>
        <w:jc w:val="both"/>
        <w:rPr>
          <w:rFonts w:ascii="Arial" w:hAnsi="Arial"/>
          <w:color w:val="000000" w:themeColor="text1"/>
          <w:lang w:val="en-PH"/>
        </w:rPr>
      </w:pPr>
      <w:r>
        <w:rPr>
          <w:rFonts w:ascii="Arial" w:hAnsi="Arial"/>
          <w:color w:val="000000" w:themeColor="text1"/>
          <w:lang w:val="en-PH"/>
        </w:rPr>
        <w:t>Furthermore, a study conducted in Nigeria found that pre-service teachers experience poor classroom performance (</w:t>
      </w:r>
      <w:proofErr w:type="spellStart"/>
      <w:r>
        <w:rPr>
          <w:rFonts w:ascii="Arial" w:hAnsi="Arial"/>
          <w:color w:val="000000" w:themeColor="text1"/>
          <w:lang w:val="en-PH"/>
        </w:rPr>
        <w:t>Ene</w:t>
      </w:r>
      <w:proofErr w:type="spellEnd"/>
      <w:r>
        <w:rPr>
          <w:rFonts w:ascii="Arial" w:hAnsi="Arial"/>
          <w:color w:val="000000" w:themeColor="text1"/>
          <w:lang w:val="en-PH"/>
        </w:rPr>
        <w:t xml:space="preserve"> et al., 2021). </w:t>
      </w:r>
      <w:proofErr w:type="spellStart"/>
      <w:r>
        <w:rPr>
          <w:rFonts w:ascii="Arial" w:hAnsi="Arial"/>
          <w:color w:val="000000" w:themeColor="text1"/>
          <w:lang w:val="en-PH"/>
        </w:rPr>
        <w:t>Elraiss</w:t>
      </w:r>
      <w:proofErr w:type="spellEnd"/>
      <w:r>
        <w:rPr>
          <w:rFonts w:ascii="Arial" w:hAnsi="Arial"/>
          <w:color w:val="000000" w:themeColor="text1"/>
          <w:lang w:val="en-PH"/>
        </w:rPr>
        <w:t xml:space="preserve"> and </w:t>
      </w:r>
      <w:proofErr w:type="spellStart"/>
      <w:r>
        <w:rPr>
          <w:rFonts w:ascii="Arial" w:hAnsi="Arial"/>
          <w:color w:val="000000" w:themeColor="text1"/>
          <w:lang w:val="en-PH"/>
        </w:rPr>
        <w:t>Alsharidah</w:t>
      </w:r>
      <w:proofErr w:type="spellEnd"/>
      <w:r>
        <w:rPr>
          <w:rFonts w:ascii="Arial" w:hAnsi="Arial"/>
          <w:color w:val="000000" w:themeColor="text1"/>
          <w:lang w:val="en-PH"/>
        </w:rPr>
        <w:t xml:space="preserve"> (2019) also observed that pre-service teachers in Saudi Arabia experience poor classroom performance </w:t>
      </w:r>
      <w:r>
        <w:rPr>
          <w:rFonts w:ascii="Arial" w:hAnsi="Arial"/>
          <w:color w:val="000000" w:themeColor="text1"/>
          <w:lang w:val="en-PH"/>
        </w:rPr>
        <w:t>during their practice teaching. A study in Tanzania revealed that pre-service teachers demonstrate poor teaching performance in the classroom setting (</w:t>
      </w:r>
      <w:proofErr w:type="spellStart"/>
      <w:r>
        <w:rPr>
          <w:rFonts w:ascii="Arial" w:hAnsi="Arial"/>
          <w:color w:val="000000" w:themeColor="text1"/>
          <w:lang w:val="en-PH"/>
        </w:rPr>
        <w:t>Mpate</w:t>
      </w:r>
      <w:proofErr w:type="spellEnd"/>
      <w:r>
        <w:rPr>
          <w:rFonts w:ascii="Arial" w:hAnsi="Arial"/>
          <w:color w:val="000000" w:themeColor="text1"/>
          <w:lang w:val="en-PH"/>
        </w:rPr>
        <w:t xml:space="preserve"> et al., 2023). </w:t>
      </w:r>
    </w:p>
    <w:p w14:paraId="6648B79B" w14:textId="77777777" w:rsidR="00767CB1" w:rsidRDefault="00EF15D9">
      <w:pPr>
        <w:ind w:firstLine="720"/>
        <w:jc w:val="both"/>
        <w:rPr>
          <w:rFonts w:ascii="Arial" w:hAnsi="Arial"/>
          <w:lang w:val="en-PH"/>
        </w:rPr>
      </w:pPr>
      <w:r>
        <w:rPr>
          <w:rFonts w:ascii="Arial" w:hAnsi="Arial"/>
          <w:lang w:val="en-PH"/>
        </w:rPr>
        <w:t>A study conducted in the Philippines by Gorospe (2022) found that pre-service teach</w:t>
      </w:r>
      <w:r>
        <w:rPr>
          <w:rFonts w:ascii="Arial" w:hAnsi="Arial"/>
          <w:lang w:val="en-PH"/>
        </w:rPr>
        <w:t xml:space="preserve">ers demonstrated poor classroom performance. Similarly, </w:t>
      </w:r>
      <w:proofErr w:type="spellStart"/>
      <w:r>
        <w:rPr>
          <w:rFonts w:ascii="Arial" w:hAnsi="Arial"/>
          <w:lang w:val="en-PH"/>
        </w:rPr>
        <w:t>Afalla</w:t>
      </w:r>
      <w:proofErr w:type="spellEnd"/>
      <w:r>
        <w:rPr>
          <w:rFonts w:ascii="Arial" w:hAnsi="Arial"/>
          <w:lang w:val="en-PH"/>
        </w:rPr>
        <w:t xml:space="preserve"> and </w:t>
      </w:r>
      <w:proofErr w:type="spellStart"/>
      <w:r>
        <w:rPr>
          <w:rFonts w:ascii="Arial" w:hAnsi="Arial"/>
          <w:lang w:val="en-PH"/>
        </w:rPr>
        <w:t>Fabelico</w:t>
      </w:r>
      <w:proofErr w:type="spellEnd"/>
      <w:r>
        <w:rPr>
          <w:rFonts w:ascii="Arial" w:hAnsi="Arial"/>
          <w:lang w:val="en-PH"/>
        </w:rPr>
        <w:t xml:space="preserve"> (2020) reported that these teachers appeared to exhibit inadequate teaching performance during their classroom interactions.</w:t>
      </w:r>
    </w:p>
    <w:p w14:paraId="17A75CED" w14:textId="77777777" w:rsidR="00767CB1" w:rsidRDefault="00EF15D9">
      <w:pPr>
        <w:ind w:firstLine="720"/>
        <w:jc w:val="both"/>
        <w:rPr>
          <w:rFonts w:ascii="Arial" w:hAnsi="Arial"/>
          <w:color w:val="000000" w:themeColor="text1"/>
          <w:lang w:val="en-PH"/>
        </w:rPr>
      </w:pPr>
      <w:r>
        <w:rPr>
          <w:rFonts w:ascii="Arial" w:hAnsi="Arial"/>
        </w:rPr>
        <w:t>Furthermore, while pre-service teachers' essential peda</w:t>
      </w:r>
      <w:r>
        <w:rPr>
          <w:rFonts w:ascii="Arial" w:hAnsi="Arial"/>
        </w:rPr>
        <w:t>gogical skills and content knowledge are becoming increasingly important (</w:t>
      </w:r>
      <w:proofErr w:type="spellStart"/>
      <w:r>
        <w:rPr>
          <w:rFonts w:ascii="Arial" w:hAnsi="Arial"/>
        </w:rPr>
        <w:t>Afalla</w:t>
      </w:r>
      <w:proofErr w:type="spellEnd"/>
      <w:r>
        <w:rPr>
          <w:rFonts w:ascii="Arial" w:hAnsi="Arial"/>
        </w:rPr>
        <w:t xml:space="preserve"> </w:t>
      </w:r>
      <w:r>
        <w:rPr>
          <w:rFonts w:ascii="Arial" w:hAnsi="Arial"/>
          <w:lang w:val="en-PH"/>
        </w:rPr>
        <w:t>and</w:t>
      </w:r>
      <w:r>
        <w:rPr>
          <w:rFonts w:ascii="Arial" w:hAnsi="Arial"/>
        </w:rPr>
        <w:t xml:space="preserve"> </w:t>
      </w:r>
      <w:proofErr w:type="spellStart"/>
      <w:r>
        <w:rPr>
          <w:rFonts w:ascii="Arial" w:hAnsi="Arial"/>
        </w:rPr>
        <w:t>Fabelico</w:t>
      </w:r>
      <w:proofErr w:type="spellEnd"/>
      <w:r>
        <w:rPr>
          <w:rFonts w:ascii="Arial" w:hAnsi="Arial"/>
        </w:rPr>
        <w:t xml:space="preserve">, 2020), there are still </w:t>
      </w:r>
      <w:r>
        <w:rPr>
          <w:rFonts w:ascii="Arial" w:hAnsi="Arial"/>
        </w:rPr>
        <w:lastRenderedPageBreak/>
        <w:t xml:space="preserve">concerns about whether they are adequately prepared to face the challenges of twenty-first-century classrooms (Ismail </w:t>
      </w:r>
      <w:r>
        <w:rPr>
          <w:rFonts w:ascii="Arial" w:hAnsi="Arial"/>
          <w:lang w:val="en-PH"/>
        </w:rPr>
        <w:t>and</w:t>
      </w:r>
      <w:r>
        <w:rPr>
          <w:rFonts w:ascii="Arial" w:hAnsi="Arial"/>
        </w:rPr>
        <w:t xml:space="preserve"> Jarrah, 2019).</w:t>
      </w:r>
      <w:r>
        <w:rPr>
          <w:rFonts w:ascii="Arial" w:hAnsi="Arial"/>
          <w:lang w:val="en-PH"/>
        </w:rPr>
        <w:t xml:space="preserve"> P</w:t>
      </w:r>
      <w:r>
        <w:rPr>
          <w:rFonts w:ascii="Arial" w:hAnsi="Arial"/>
          <w:lang w:val="en-PH"/>
        </w:rPr>
        <w:t>oor classroom performance among pre-service teachers frequently results in their inability to engage students, which could successfully reduce student interest and involvement (Gorospe, 2022</w:t>
      </w:r>
      <w:r>
        <w:rPr>
          <w:rFonts w:ascii="Arial" w:hAnsi="Arial"/>
          <w:color w:val="000000" w:themeColor="text1"/>
          <w:lang w:val="en-PH"/>
        </w:rPr>
        <w:t>).  It was also found that more research must be conducted to asse</w:t>
      </w:r>
      <w:r>
        <w:rPr>
          <w:rFonts w:ascii="Arial" w:hAnsi="Arial"/>
          <w:color w:val="000000" w:themeColor="text1"/>
          <w:lang w:val="en-PH"/>
        </w:rPr>
        <w:t>ss pre-service teachers' classroom performance (</w:t>
      </w:r>
      <w:proofErr w:type="spellStart"/>
      <w:r>
        <w:rPr>
          <w:rFonts w:ascii="Arial" w:hAnsi="Arial"/>
          <w:color w:val="000000" w:themeColor="text1"/>
          <w:lang w:val="en-PH"/>
        </w:rPr>
        <w:t>Magno</w:t>
      </w:r>
      <w:proofErr w:type="spellEnd"/>
      <w:r>
        <w:rPr>
          <w:rFonts w:ascii="Arial" w:hAnsi="Arial"/>
          <w:color w:val="000000" w:themeColor="text1"/>
          <w:lang w:val="en-PH"/>
        </w:rPr>
        <w:t>, 2019). T</w:t>
      </w:r>
      <w:r>
        <w:rPr>
          <w:rFonts w:ascii="Arial" w:hAnsi="Arial" w:cs="Arial"/>
          <w:color w:val="000000" w:themeColor="text1"/>
          <w:lang w:val="en-PH"/>
        </w:rPr>
        <w:t>he researcher noticed an empirical gap regarding the influence of teaching anxiety, teaching self-efficacy, and teacher support on pre-service teacher’s classroom performance, indicating a lack</w:t>
      </w:r>
      <w:r>
        <w:rPr>
          <w:rFonts w:ascii="Arial" w:hAnsi="Arial" w:cs="Arial"/>
          <w:color w:val="000000" w:themeColor="text1"/>
          <w:lang w:val="en-PH"/>
        </w:rPr>
        <w:t xml:space="preserve"> of studies on these relationships. </w:t>
      </w:r>
      <w:r>
        <w:rPr>
          <w:rFonts w:ascii="Arial" w:hAnsi="Arial"/>
          <w:color w:val="000000" w:themeColor="text1"/>
          <w:lang w:val="en-PH"/>
        </w:rPr>
        <w:t>Therefore, the researcher is urged to conduct this study to fill in the gap.</w:t>
      </w:r>
    </w:p>
    <w:p w14:paraId="05095C99" w14:textId="77777777" w:rsidR="00767CB1" w:rsidRDefault="00767CB1">
      <w:pPr>
        <w:jc w:val="both"/>
        <w:rPr>
          <w:rFonts w:ascii="Arial" w:hAnsi="Arial"/>
          <w:color w:val="000000" w:themeColor="text1"/>
          <w:lang w:val="en-PH"/>
        </w:rPr>
      </w:pPr>
    </w:p>
    <w:p w14:paraId="7BF692F8" w14:textId="77777777" w:rsidR="00767CB1" w:rsidRDefault="00EF15D9">
      <w:pPr>
        <w:pStyle w:val="AbstHead"/>
        <w:numPr>
          <w:ilvl w:val="0"/>
          <w:numId w:val="2"/>
        </w:numPr>
        <w:spacing w:after="0"/>
        <w:jc w:val="both"/>
        <w:rPr>
          <w:rFonts w:ascii="Arial" w:hAnsi="Arial" w:cs="Arial"/>
        </w:rPr>
      </w:pPr>
      <w:r>
        <w:rPr>
          <w:rFonts w:ascii="Arial" w:hAnsi="Arial" w:cs="Arial"/>
          <w:lang w:val="en-PH"/>
        </w:rPr>
        <w:t xml:space="preserve">Research </w:t>
      </w:r>
      <w:r>
        <w:rPr>
          <w:rFonts w:ascii="Arial" w:hAnsi="Arial" w:cs="Arial"/>
        </w:rPr>
        <w:t>M</w:t>
      </w:r>
      <w:r>
        <w:rPr>
          <w:rFonts w:ascii="Arial" w:hAnsi="Arial" w:cs="Arial"/>
          <w:lang w:val="en-PH"/>
        </w:rPr>
        <w:t>ethods</w:t>
      </w:r>
    </w:p>
    <w:p w14:paraId="64C6FB10" w14:textId="77777777" w:rsidR="00767CB1" w:rsidRDefault="00767CB1">
      <w:pPr>
        <w:pStyle w:val="AbstHead"/>
        <w:spacing w:after="0"/>
        <w:jc w:val="both"/>
        <w:rPr>
          <w:rFonts w:ascii="Arial" w:hAnsi="Arial" w:cs="Arial"/>
          <w:lang w:val="en-PH"/>
        </w:rPr>
      </w:pPr>
    </w:p>
    <w:p w14:paraId="100386B4" w14:textId="77777777" w:rsidR="00767CB1" w:rsidRDefault="00EF15D9">
      <w:pPr>
        <w:pStyle w:val="Body"/>
        <w:spacing w:after="0"/>
        <w:ind w:firstLine="720"/>
        <w:rPr>
          <w:rFonts w:ascii="Arial" w:hAnsi="Arial"/>
          <w:lang w:val="en-PH"/>
        </w:rPr>
      </w:pPr>
      <w:r>
        <w:rPr>
          <w:rFonts w:ascii="Arial" w:hAnsi="Arial"/>
        </w:rPr>
        <w:t>The research utilized a non-experimental quantitative design, employing a descriptive-correlational approach.</w:t>
      </w:r>
      <w:r>
        <w:rPr>
          <w:rFonts w:ascii="Arial" w:hAnsi="Arial"/>
          <w:lang w:val="en-PH"/>
        </w:rPr>
        <w:t xml:space="preserve"> </w:t>
      </w:r>
      <w:r>
        <w:rPr>
          <w:rFonts w:ascii="Arial" w:hAnsi="Arial"/>
        </w:rPr>
        <w:t xml:space="preserve">Maison et al. </w:t>
      </w:r>
      <w:r>
        <w:rPr>
          <w:rFonts w:ascii="Arial" w:hAnsi="Arial"/>
        </w:rPr>
        <w:t>(2021) indicated that descriptive-correlational design evaluates the degree of relationship between two or more variables.</w:t>
      </w:r>
      <w:r>
        <w:rPr>
          <w:rFonts w:ascii="Arial" w:hAnsi="Arial"/>
          <w:lang w:val="en-PH"/>
        </w:rPr>
        <w:t xml:space="preserve">  Furthermore, t</w:t>
      </w:r>
      <w:r>
        <w:rPr>
          <w:rFonts w:ascii="Arial" w:hAnsi="Arial"/>
        </w:rPr>
        <w:t>his study employed a complete enumeration sample method, where </w:t>
      </w:r>
      <w:r>
        <w:rPr>
          <w:rFonts w:ascii="Arial" w:hAnsi="Arial"/>
          <w:lang w:val="en-PH"/>
        </w:rPr>
        <w:t>325 pre-service teachers</w:t>
      </w:r>
      <w:r>
        <w:rPr>
          <w:rFonts w:ascii="Arial" w:hAnsi="Arial"/>
        </w:rPr>
        <w:t xml:space="preserve"> were chosen as respondents.</w:t>
      </w:r>
      <w:r>
        <w:rPr>
          <w:rFonts w:ascii="Arial" w:hAnsi="Arial"/>
          <w:lang w:val="en-PH"/>
        </w:rPr>
        <w:t xml:space="preserve"> </w:t>
      </w:r>
    </w:p>
    <w:p w14:paraId="204B7210" w14:textId="77777777" w:rsidR="00767CB1" w:rsidRDefault="00EF15D9">
      <w:pPr>
        <w:pStyle w:val="Body"/>
        <w:spacing w:after="0"/>
        <w:ind w:firstLine="720"/>
        <w:rPr>
          <w:rFonts w:ascii="Arial" w:eastAsia="SimSun" w:hAnsi="Arial" w:cs="Arial"/>
        </w:rPr>
      </w:pPr>
      <w:r>
        <w:rPr>
          <w:rFonts w:ascii="Arial" w:eastAsia="SimSun" w:hAnsi="Arial" w:cs="Arial"/>
        </w:rPr>
        <w:t>T</w:t>
      </w:r>
      <w:r>
        <w:rPr>
          <w:rFonts w:ascii="Arial" w:eastAsia="SimSun" w:hAnsi="Arial" w:cs="Arial"/>
        </w:rPr>
        <w:t>he study utilized four instruments to assess pre-service teachers. The Student-Teacher Anxiety Scale (STAS), developed by Hart (1987) and modified by Morton et al. (1997), measured teaching anxiety using a 5-point Likert scale, with a Cronbach’s alpha of 0</w:t>
      </w:r>
      <w:r>
        <w:rPr>
          <w:rFonts w:ascii="Arial" w:eastAsia="SimSun" w:hAnsi="Arial" w:cs="Arial"/>
        </w:rPr>
        <w:t xml:space="preserve">.971. The Teacher Efficacy Scale (TES), originally by Gibson and </w:t>
      </w:r>
      <w:proofErr w:type="spellStart"/>
      <w:r>
        <w:rPr>
          <w:rFonts w:ascii="Arial" w:eastAsia="SimSun" w:hAnsi="Arial" w:cs="Arial"/>
        </w:rPr>
        <w:t>Dembo</w:t>
      </w:r>
      <w:proofErr w:type="spellEnd"/>
      <w:r>
        <w:rPr>
          <w:rFonts w:ascii="Arial" w:eastAsia="SimSun" w:hAnsi="Arial" w:cs="Arial"/>
        </w:rPr>
        <w:t xml:space="preserve"> (1984) and revised by Woolfolk and Hoy (1990), assessed general and personal teaching efficacy, showing strong reliability with a 0.912 alpha. The Mentoring Practices Scale (Andres, 201</w:t>
      </w:r>
      <w:r>
        <w:rPr>
          <w:rFonts w:ascii="Arial" w:eastAsia="SimSun" w:hAnsi="Arial" w:cs="Arial"/>
        </w:rPr>
        <w:t>9) evaluated the perceived mentoring support across five components, also using a 5-point scale, and demonstrated excellent consistency with a Cronbach’s alpha of 0.986. Lastly, classroom performance was gauged through the pre-service teachers' demonstrati</w:t>
      </w:r>
      <w:r>
        <w:rPr>
          <w:rFonts w:ascii="Arial" w:eastAsia="SimSun" w:hAnsi="Arial" w:cs="Arial"/>
        </w:rPr>
        <w:t>on teaching during their internship.</w:t>
      </w:r>
    </w:p>
    <w:p w14:paraId="27795289" w14:textId="77777777" w:rsidR="00767CB1" w:rsidRDefault="00EF15D9">
      <w:pPr>
        <w:pStyle w:val="Body"/>
        <w:spacing w:after="0"/>
        <w:ind w:firstLine="720"/>
        <w:rPr>
          <w:rFonts w:ascii="Arial" w:hAnsi="Arial" w:cs="Arial"/>
        </w:rPr>
      </w:pPr>
      <w:r>
        <w:rPr>
          <w:rFonts w:ascii="Arial" w:hAnsi="Arial" w:cs="Arial"/>
        </w:rPr>
        <w:t>The researcher</w:t>
      </w:r>
      <w:r>
        <w:rPr>
          <w:rFonts w:ascii="Arial" w:hAnsi="Arial" w:cs="Arial"/>
          <w:lang w:val="en-PH"/>
        </w:rPr>
        <w:t>s</w:t>
      </w:r>
      <w:r>
        <w:rPr>
          <w:rFonts w:ascii="Arial" w:hAnsi="Arial" w:cs="Arial"/>
        </w:rPr>
        <w:t xml:space="preserve"> collected data through a face-to-face survey. To analyze the results, </w:t>
      </w:r>
      <w:r>
        <w:rPr>
          <w:rFonts w:ascii="Arial" w:hAnsi="Arial" w:cs="Arial"/>
          <w:lang w:val="en-PH"/>
        </w:rPr>
        <w:t>they</w:t>
      </w:r>
      <w:r>
        <w:rPr>
          <w:rFonts w:ascii="Arial" w:hAnsi="Arial" w:cs="Arial"/>
        </w:rPr>
        <w:t xml:space="preserve"> used the mean, standard deviation, Pearson </w:t>
      </w:r>
      <w:r>
        <w:rPr>
          <w:rFonts w:ascii="Arial" w:hAnsi="Arial" w:cs="Arial"/>
          <w:lang w:val="en-PH"/>
        </w:rPr>
        <w:t>r</w:t>
      </w:r>
      <w:r>
        <w:rPr>
          <w:rFonts w:ascii="Arial" w:hAnsi="Arial" w:cs="Arial"/>
        </w:rPr>
        <w:t>, and multiple regression analysis.</w:t>
      </w:r>
    </w:p>
    <w:p w14:paraId="22B91AD2" w14:textId="77777777" w:rsidR="00767CB1" w:rsidRDefault="00767CB1">
      <w:pPr>
        <w:pStyle w:val="Body"/>
        <w:spacing w:after="0"/>
        <w:ind w:firstLine="720"/>
        <w:rPr>
          <w:rFonts w:ascii="Arial" w:hAnsi="Arial" w:cs="Arial"/>
        </w:rPr>
      </w:pPr>
    </w:p>
    <w:p w14:paraId="590CBC34" w14:textId="77777777" w:rsidR="00767CB1" w:rsidRDefault="00EF15D9">
      <w:pPr>
        <w:pStyle w:val="Head1"/>
        <w:spacing w:after="0"/>
        <w:jc w:val="both"/>
        <w:rPr>
          <w:rFonts w:ascii="Arial" w:hAnsi="Arial" w:cs="Arial"/>
        </w:rPr>
      </w:pPr>
      <w:r>
        <w:rPr>
          <w:rFonts w:ascii="Arial" w:hAnsi="Arial" w:cs="Arial"/>
        </w:rPr>
        <w:t>3. results and discussion</w:t>
      </w:r>
    </w:p>
    <w:p w14:paraId="44CA809C" w14:textId="77777777" w:rsidR="00767CB1" w:rsidRDefault="00767CB1">
      <w:pPr>
        <w:pStyle w:val="Head1"/>
        <w:spacing w:after="0"/>
        <w:jc w:val="both"/>
        <w:rPr>
          <w:rFonts w:ascii="Arial" w:hAnsi="Arial" w:cs="Arial"/>
        </w:rPr>
      </w:pPr>
    </w:p>
    <w:p w14:paraId="3CC5BF37" w14:textId="77777777" w:rsidR="00767CB1" w:rsidRDefault="00EF15D9">
      <w:pPr>
        <w:pStyle w:val="Body"/>
        <w:spacing w:after="0"/>
        <w:rPr>
          <w:rFonts w:ascii="Arial" w:hAnsi="Arial" w:cs="Arial"/>
          <w:b/>
          <w:bCs/>
          <w:sz w:val="22"/>
          <w:szCs w:val="22"/>
          <w:lang w:val="en-PH" w:bidi="ar"/>
        </w:rPr>
      </w:pPr>
      <w:r>
        <w:rPr>
          <w:rFonts w:ascii="Arial" w:hAnsi="Arial" w:cs="Arial"/>
          <w:b/>
          <w:bCs/>
          <w:sz w:val="22"/>
          <w:szCs w:val="22"/>
          <w:lang w:val="en-PH"/>
        </w:rPr>
        <w:t xml:space="preserve">3.1. </w:t>
      </w:r>
      <w:r>
        <w:rPr>
          <w:rFonts w:ascii="Arial" w:hAnsi="Arial" w:cs="Arial"/>
          <w:b/>
          <w:bCs/>
          <w:sz w:val="22"/>
          <w:szCs w:val="22"/>
          <w:lang w:val="en-PH" w:bidi="ar"/>
        </w:rPr>
        <w:t xml:space="preserve">Level of </w:t>
      </w:r>
      <w:r>
        <w:rPr>
          <w:rFonts w:ascii="Arial" w:hAnsi="Arial" w:cs="Arial"/>
          <w:b/>
          <w:bCs/>
          <w:sz w:val="22"/>
          <w:szCs w:val="22"/>
          <w:lang w:val="en-PH" w:bidi="ar"/>
        </w:rPr>
        <w:t>Teaching Anxiety, Teaching Self-Efficacy, Teacher Support, and Teaching Demonstration Performance of Pre-service Teachers</w:t>
      </w:r>
    </w:p>
    <w:p w14:paraId="0E6BA4CC" w14:textId="77777777" w:rsidR="00767CB1" w:rsidRDefault="00767CB1">
      <w:pPr>
        <w:pStyle w:val="Body"/>
        <w:spacing w:after="0"/>
        <w:rPr>
          <w:rFonts w:ascii="Arial" w:hAnsi="Arial" w:cs="Arial"/>
          <w:b/>
          <w:bCs/>
          <w:sz w:val="24"/>
          <w:szCs w:val="24"/>
          <w:lang w:val="en-PH" w:bidi="ar"/>
        </w:rPr>
      </w:pPr>
    </w:p>
    <w:p w14:paraId="549B77FB" w14:textId="77777777" w:rsidR="00767CB1" w:rsidRDefault="00EF15D9">
      <w:pPr>
        <w:ind w:firstLine="600"/>
        <w:jc w:val="both"/>
        <w:rPr>
          <w:rFonts w:ascii="Arial" w:hAnsi="Arial"/>
          <w:lang w:val="en-PH"/>
        </w:rPr>
      </w:pPr>
      <w:r>
        <w:rPr>
          <w:rFonts w:ascii="Arial" w:hAnsi="Arial"/>
          <w:lang w:val="en-PH"/>
        </w:rPr>
        <w:t>Table 1 highlights the level of Teaching Anxiety of Pre-service Teachers, Teacher Support, Teaching Self-Efficacy, and Teaching Demon</w:t>
      </w:r>
      <w:r>
        <w:rPr>
          <w:rFonts w:ascii="Arial" w:hAnsi="Arial"/>
          <w:lang w:val="en-PH"/>
        </w:rPr>
        <w:t>stration Performance. The Teaching Anxiety of Pre-service Teachers measures Evaluation Anxiety, Class Control Anxiety, Professional Anxiety, School Staff Anxiety, and Unsuccessful Lesson Anxiety.  Teaching self-efficacy is evaluated through General Teachin</w:t>
      </w:r>
      <w:r>
        <w:rPr>
          <w:rFonts w:ascii="Arial" w:hAnsi="Arial"/>
          <w:lang w:val="en-PH"/>
        </w:rPr>
        <w:t xml:space="preserve">g Efficacy and Personal Teaching Efficacy. Moreover, Teacher Support is measured through its indicators, such as personal support, career support, professional knowledge support, instructional process support, and role modeling support. On the other hand, </w:t>
      </w:r>
      <w:r>
        <w:rPr>
          <w:rFonts w:ascii="Arial" w:hAnsi="Arial"/>
          <w:lang w:val="en-PH"/>
        </w:rPr>
        <w:t xml:space="preserve">teaching demonstration performance is assessed through indicators such as lesson planning, teaching methods, classroom management, communication skills, and teacher personality. </w:t>
      </w:r>
    </w:p>
    <w:p w14:paraId="700D2BC2" w14:textId="77777777" w:rsidR="00767CB1" w:rsidRDefault="00EF15D9">
      <w:pPr>
        <w:ind w:firstLineChars="250" w:firstLine="500"/>
        <w:jc w:val="both"/>
        <w:rPr>
          <w:rFonts w:ascii="Arial" w:hAnsi="Arial"/>
          <w:lang w:val="en-PH"/>
        </w:rPr>
      </w:pPr>
      <w:r>
        <w:rPr>
          <w:rFonts w:ascii="Arial" w:hAnsi="Arial"/>
          <w:lang w:val="en-PH"/>
        </w:rPr>
        <w:t>As shown in the table 1, the Teaching Anxiety of Pre-service Teachers has a s</w:t>
      </w:r>
      <w:r>
        <w:rPr>
          <w:rFonts w:ascii="Arial" w:hAnsi="Arial"/>
          <w:lang w:val="en-PH"/>
        </w:rPr>
        <w:t xml:space="preserve">tandard deviation of 0.84, with a mean of 3.25, categorized at a moderate level. It indicates that the teaching anxiety of pre-service teachers is sometimes observed.  Among the five indicators, only the unsuccessful lesson anxiety was classified as high, </w:t>
      </w:r>
      <w:r>
        <w:rPr>
          <w:rFonts w:ascii="Arial" w:hAnsi="Arial"/>
          <w:lang w:val="en-PH"/>
        </w:rPr>
        <w:t xml:space="preserve">and the remaining indicators obtained respective means and were labeled as moderate. Furthermore, the standard deviation of teaching self-efficacy is 0.58, with </w:t>
      </w:r>
      <w:proofErr w:type="gramStart"/>
      <w:r>
        <w:rPr>
          <w:rFonts w:ascii="Arial" w:hAnsi="Arial"/>
          <w:lang w:val="en-PH"/>
        </w:rPr>
        <w:t>an</w:t>
      </w:r>
      <w:proofErr w:type="gramEnd"/>
      <w:r>
        <w:rPr>
          <w:rFonts w:ascii="Arial" w:hAnsi="Arial"/>
          <w:lang w:val="en-PH"/>
        </w:rPr>
        <w:t xml:space="preserve"> mean of 4.03, which is described as high. It indicates that the self-efficacy on teaching of</w:t>
      </w:r>
      <w:r>
        <w:rPr>
          <w:rFonts w:ascii="Arial" w:hAnsi="Arial"/>
          <w:lang w:val="en-PH"/>
        </w:rPr>
        <w:t xml:space="preserve"> pre-service teachers was good. Both personal and general efficacy on teaching as indicators showed a high descriptive level. </w:t>
      </w:r>
    </w:p>
    <w:p w14:paraId="036A1E37" w14:textId="77777777" w:rsidR="00767CB1" w:rsidRDefault="00EF15D9">
      <w:pPr>
        <w:ind w:firstLine="799"/>
        <w:jc w:val="both"/>
        <w:rPr>
          <w:rFonts w:ascii="Arial" w:hAnsi="Arial"/>
          <w:lang w:val="en-PH"/>
        </w:rPr>
      </w:pPr>
      <w:r>
        <w:rPr>
          <w:rFonts w:ascii="Arial" w:hAnsi="Arial"/>
          <w:lang w:val="en-PH"/>
        </w:rPr>
        <w:lastRenderedPageBreak/>
        <w:t>Teacher Support obtained a standard deviation of 0.57, with a mean of 4.21, labeled as very high. It indicates that the teacher s</w:t>
      </w:r>
      <w:r>
        <w:rPr>
          <w:rFonts w:ascii="Arial" w:hAnsi="Arial"/>
          <w:lang w:val="en-PH"/>
        </w:rPr>
        <w:t>upport of pre-service teachers is excellent. Among its indicators, personal, career, and role modeling support got a very high descriptive level, and the remaining indicators got a high descriptive level. Teaching demonstration performance has a standard d</w:t>
      </w:r>
      <w:r>
        <w:rPr>
          <w:rFonts w:ascii="Arial" w:hAnsi="Arial"/>
          <w:lang w:val="en-PH"/>
        </w:rPr>
        <w:t xml:space="preserve">eviation of 0.36, with a mean of 4.41, and a descriptive level of very high. It indicates that the teaching demonstration performance of pre-service teachers is excellent. All its indicators </w:t>
      </w:r>
      <w:proofErr w:type="gramStart"/>
      <w:r>
        <w:rPr>
          <w:rFonts w:ascii="Arial" w:hAnsi="Arial"/>
          <w:lang w:val="en-PH"/>
        </w:rPr>
        <w:t>has</w:t>
      </w:r>
      <w:proofErr w:type="gramEnd"/>
      <w:r>
        <w:rPr>
          <w:rFonts w:ascii="Arial" w:hAnsi="Arial"/>
          <w:lang w:val="en-PH"/>
        </w:rPr>
        <w:t xml:space="preserve"> its respective mean and described a very high descriptive lev</w:t>
      </w:r>
      <w:r>
        <w:rPr>
          <w:rFonts w:ascii="Arial" w:hAnsi="Arial"/>
          <w:lang w:val="en-PH"/>
        </w:rPr>
        <w:t>el.</w:t>
      </w:r>
    </w:p>
    <w:p w14:paraId="5C0BE83D" w14:textId="77777777" w:rsidR="00767CB1" w:rsidRDefault="00EF15D9">
      <w:pPr>
        <w:ind w:firstLine="799"/>
        <w:jc w:val="both"/>
        <w:rPr>
          <w:rFonts w:ascii="Arial" w:hAnsi="Arial"/>
          <w:lang w:val="en-PH"/>
        </w:rPr>
      </w:pPr>
      <w:r>
        <w:rPr>
          <w:rFonts w:ascii="Arial" w:hAnsi="Arial"/>
          <w:lang w:val="en-PH"/>
        </w:rPr>
        <w:t xml:space="preserve">The results of the study </w:t>
      </w:r>
      <w:proofErr w:type="gramStart"/>
      <w:r>
        <w:rPr>
          <w:rFonts w:ascii="Arial" w:hAnsi="Arial"/>
          <w:lang w:val="en-PH"/>
        </w:rPr>
        <w:t>was</w:t>
      </w:r>
      <w:proofErr w:type="gramEnd"/>
      <w:r>
        <w:rPr>
          <w:rFonts w:ascii="Arial" w:hAnsi="Arial"/>
          <w:lang w:val="en-PH"/>
        </w:rPr>
        <w:t xml:space="preserve"> supported by the study of </w:t>
      </w:r>
      <w:proofErr w:type="spellStart"/>
      <w:r>
        <w:rPr>
          <w:rFonts w:ascii="Arial" w:hAnsi="Arial"/>
          <w:lang w:val="en-PH"/>
        </w:rPr>
        <w:t>Ao</w:t>
      </w:r>
      <w:proofErr w:type="spellEnd"/>
      <w:r>
        <w:rPr>
          <w:rFonts w:ascii="Arial" w:hAnsi="Arial"/>
          <w:lang w:val="en-PH"/>
        </w:rPr>
        <w:t xml:space="preserve"> et al. (2024) revealing that pre-service teachers experience moderate teaching anxiety, requiring interventions to reduce anxiety. Similarly, </w:t>
      </w:r>
      <w:proofErr w:type="spellStart"/>
      <w:r>
        <w:rPr>
          <w:rFonts w:ascii="Arial" w:hAnsi="Arial"/>
          <w:lang w:val="en-PH"/>
        </w:rPr>
        <w:t>Mardhatillah</w:t>
      </w:r>
      <w:proofErr w:type="spellEnd"/>
      <w:r>
        <w:rPr>
          <w:rFonts w:ascii="Arial" w:hAnsi="Arial"/>
          <w:lang w:val="en-PH"/>
        </w:rPr>
        <w:t xml:space="preserve"> et al. (2024) also claimed that pre-ser</w:t>
      </w:r>
      <w:r>
        <w:rPr>
          <w:rFonts w:ascii="Arial" w:hAnsi="Arial"/>
          <w:lang w:val="en-PH"/>
        </w:rPr>
        <w:t>vice teacher also exhibited moderate anxiety during their teaching practicum, emphasizing the need for support in managing this anxiety, which required attention and support to enhance their confidence and effectiveness (Han, 2019).</w:t>
      </w:r>
    </w:p>
    <w:p w14:paraId="5254FC06" w14:textId="77777777" w:rsidR="00767CB1" w:rsidRDefault="00EF15D9">
      <w:pPr>
        <w:ind w:firstLine="800"/>
        <w:jc w:val="both"/>
        <w:rPr>
          <w:rFonts w:ascii="Arial" w:hAnsi="Arial"/>
          <w:shd w:val="clear" w:color="auto" w:fill="FFFFFF"/>
          <w:lang w:val="en-PH"/>
        </w:rPr>
      </w:pPr>
      <w:r>
        <w:rPr>
          <w:rFonts w:ascii="Arial" w:hAnsi="Arial"/>
          <w:shd w:val="clear" w:color="auto" w:fill="FFFFFF"/>
          <w:lang w:val="en-PH"/>
        </w:rPr>
        <w:t xml:space="preserve">The results of the </w:t>
      </w:r>
      <w:r>
        <w:rPr>
          <w:rFonts w:ascii="Arial" w:hAnsi="Arial"/>
          <w:shd w:val="clear" w:color="auto" w:fill="FFFFFF"/>
          <w:lang w:val="en-PH"/>
        </w:rPr>
        <w:t xml:space="preserve">study </w:t>
      </w:r>
      <w:proofErr w:type="gramStart"/>
      <w:r>
        <w:rPr>
          <w:rFonts w:ascii="Arial" w:hAnsi="Arial"/>
          <w:shd w:val="clear" w:color="auto" w:fill="FFFFFF"/>
          <w:lang w:val="en-PH"/>
        </w:rPr>
        <w:t>was</w:t>
      </w:r>
      <w:proofErr w:type="gramEnd"/>
      <w:r>
        <w:rPr>
          <w:rFonts w:ascii="Arial" w:hAnsi="Arial"/>
          <w:shd w:val="clear" w:color="auto" w:fill="FFFFFF"/>
          <w:lang w:val="en-PH"/>
        </w:rPr>
        <w:t xml:space="preserve"> also confirmed by the study Gorospe (2022). He reveals that pre-service teachers often experience teaching anxiety during teaching practice, particularly related to unsuccessful lessons. He added that this anxiety can negatively impact their teac</w:t>
      </w:r>
      <w:r>
        <w:rPr>
          <w:rFonts w:ascii="Arial" w:hAnsi="Arial"/>
          <w:shd w:val="clear" w:color="auto" w:fill="FFFFFF"/>
          <w:lang w:val="en-PH"/>
        </w:rPr>
        <w:t xml:space="preserve">hing efficacy and performance. Unsuccessful lesson delivery can sometimes cause a loss of confidence, reinforcing feelings of failure and perpetuating a cycle of anxiety (Li et al., 2023). Research by Bach and </w:t>
      </w:r>
      <w:proofErr w:type="spellStart"/>
      <w:r>
        <w:rPr>
          <w:rFonts w:ascii="Arial" w:hAnsi="Arial"/>
          <w:shd w:val="clear" w:color="auto" w:fill="FFFFFF"/>
          <w:lang w:val="en-PH"/>
        </w:rPr>
        <w:t>Hagenauer</w:t>
      </w:r>
      <w:proofErr w:type="spellEnd"/>
      <w:r>
        <w:rPr>
          <w:rFonts w:ascii="Arial" w:hAnsi="Arial"/>
          <w:shd w:val="clear" w:color="auto" w:fill="FFFFFF"/>
          <w:lang w:val="en-PH"/>
        </w:rPr>
        <w:t xml:space="preserve"> (2022) pointed out that pre-service </w:t>
      </w:r>
      <w:r>
        <w:rPr>
          <w:rFonts w:ascii="Arial" w:hAnsi="Arial"/>
          <w:shd w:val="clear" w:color="auto" w:fill="FFFFFF"/>
          <w:lang w:val="en-PH"/>
        </w:rPr>
        <w:t>teachers' anxiety is often linked to their perceived lack of control over classroom management and ability to differentiate instruction for diverse learners effectively.</w:t>
      </w:r>
      <w:r>
        <w:rPr>
          <w:rFonts w:ascii="Arial" w:hAnsi="Arial" w:cs="Arial"/>
          <w:color w:val="FF0000"/>
          <w:shd w:val="clear" w:color="auto" w:fill="FFFFFF"/>
          <w:lang w:val="en-PH"/>
        </w:rPr>
        <w:t xml:space="preserve"> </w:t>
      </w:r>
      <w:r>
        <w:rPr>
          <w:rFonts w:ascii="Arial" w:eastAsia="SimSun" w:hAnsi="Arial" w:cs="Arial"/>
        </w:rPr>
        <w:t>However, the study by Sanjaya et al. (2024) does not fully support the findings of the</w:t>
      </w:r>
      <w:r>
        <w:rPr>
          <w:rFonts w:ascii="Arial" w:eastAsia="SimSun" w:hAnsi="Arial" w:cs="Arial"/>
        </w:rPr>
        <w:t xml:space="preserve"> current research. They argue that anxiety may hinder performance, it can also enhance problem-solving skills and facilitate learning in the classroom, suggesting that anxiety should not be viewed solely as a negative factor but rather as a potential motiv</w:t>
      </w:r>
      <w:r>
        <w:rPr>
          <w:rFonts w:ascii="Arial" w:eastAsia="SimSun" w:hAnsi="Arial" w:cs="Arial"/>
        </w:rPr>
        <w:t>ator for growth and adaptability in pre-service teachers</w:t>
      </w:r>
      <w:r>
        <w:rPr>
          <w:rFonts w:ascii="Arial" w:hAnsi="Arial" w:cs="Arial"/>
          <w:color w:val="FF0000"/>
          <w:lang w:val="en-PH"/>
        </w:rPr>
        <w:t xml:space="preserve">. </w:t>
      </w:r>
      <w:r>
        <w:rPr>
          <w:rFonts w:ascii="Arial" w:hAnsi="Arial"/>
          <w:shd w:val="clear" w:color="auto" w:fill="FFFFFF"/>
          <w:lang w:val="en-PH"/>
        </w:rPr>
        <w:t xml:space="preserve">Therefore, it was recommended Boehme et al. (2021) </w:t>
      </w:r>
      <w:proofErr w:type="gramStart"/>
      <w:r>
        <w:rPr>
          <w:rFonts w:ascii="Arial" w:hAnsi="Arial"/>
          <w:shd w:val="clear" w:color="auto" w:fill="FFFFFF"/>
          <w:lang w:val="en-PH"/>
        </w:rPr>
        <w:t>that  adequate</w:t>
      </w:r>
      <w:proofErr w:type="gramEnd"/>
      <w:r>
        <w:rPr>
          <w:rFonts w:ascii="Arial" w:hAnsi="Arial"/>
          <w:shd w:val="clear" w:color="auto" w:fill="FFFFFF"/>
          <w:lang w:val="en-PH"/>
        </w:rPr>
        <w:t xml:space="preserve"> support, mentorship, and opportunities for practice are crucial for building pre-service teacher's confidence and performance to </w:t>
      </w:r>
      <w:r>
        <w:rPr>
          <w:rFonts w:ascii="Arial" w:hAnsi="Arial"/>
          <w:shd w:val="clear" w:color="auto" w:fill="FFFFFF"/>
          <w:lang w:val="en-PH"/>
        </w:rPr>
        <w:t>lessen the anxiety of the pre-service teachers.</w:t>
      </w:r>
    </w:p>
    <w:p w14:paraId="452F9915" w14:textId="77777777" w:rsidR="00767CB1" w:rsidRDefault="00EF15D9">
      <w:pPr>
        <w:pStyle w:val="NormalWeb"/>
        <w:spacing w:beforeAutospacing="0" w:afterAutospacing="0"/>
        <w:ind w:firstLine="601"/>
        <w:jc w:val="both"/>
        <w:rPr>
          <w:rFonts w:ascii="Arial" w:hAnsi="Arial"/>
          <w:sz w:val="20"/>
          <w:szCs w:val="20"/>
          <w:lang w:val="en-PH"/>
        </w:rPr>
      </w:pPr>
      <w:r>
        <w:rPr>
          <w:rFonts w:ascii="Arial" w:hAnsi="Arial"/>
          <w:sz w:val="20"/>
          <w:szCs w:val="20"/>
          <w:lang w:val="en-PH"/>
        </w:rPr>
        <w:t>Pre-service teachers usually demonstrate confidence in positively impacting student learning. Therefore, they are more likely to approach teaching tasks optimistically and persistently. </w:t>
      </w:r>
      <w:r>
        <w:rPr>
          <w:rFonts w:ascii="Arial" w:hAnsi="Arial" w:cs="Arial"/>
          <w:bCs/>
          <w:iCs/>
          <w:sz w:val="20"/>
          <w:szCs w:val="20"/>
        </w:rPr>
        <w:t>The result of this stu</w:t>
      </w:r>
      <w:r>
        <w:rPr>
          <w:rFonts w:ascii="Arial" w:hAnsi="Arial" w:cs="Arial"/>
          <w:bCs/>
          <w:iCs/>
          <w:sz w:val="20"/>
          <w:szCs w:val="20"/>
        </w:rPr>
        <w:t>dy aligns with the study</w:t>
      </w:r>
      <w:r>
        <w:rPr>
          <w:rFonts w:ascii="Arial" w:hAnsi="Arial" w:cs="Arial"/>
          <w:bCs/>
          <w:iCs/>
          <w:sz w:val="20"/>
          <w:szCs w:val="20"/>
          <w:lang w:val="en-PH"/>
        </w:rPr>
        <w:t xml:space="preserve"> of </w:t>
      </w:r>
      <w:r>
        <w:rPr>
          <w:rFonts w:ascii="Arial" w:hAnsi="Arial"/>
          <w:sz w:val="20"/>
          <w:szCs w:val="20"/>
          <w:lang w:val="en-PH"/>
        </w:rPr>
        <w:t>Gorospe (2022)</w:t>
      </w:r>
      <w:r>
        <w:rPr>
          <w:rFonts w:ascii="Arial" w:hAnsi="Arial" w:cs="Arial"/>
          <w:bCs/>
          <w:iCs/>
          <w:sz w:val="20"/>
          <w:szCs w:val="20"/>
          <w:lang w:val="en-PH"/>
        </w:rPr>
        <w:t xml:space="preserve"> emphasizes that p</w:t>
      </w:r>
      <w:r>
        <w:rPr>
          <w:rFonts w:ascii="Arial" w:hAnsi="Arial"/>
          <w:sz w:val="20"/>
          <w:szCs w:val="20"/>
          <w:lang w:val="en-PH"/>
        </w:rPr>
        <w:t xml:space="preserve">re-service teachers with a high level of teaching self-efficacy are more resilient and likely to try harder to help all students reach their potential. Hendricks et al. (2024) also supported that </w:t>
      </w:r>
      <w:r>
        <w:rPr>
          <w:rFonts w:ascii="Arial" w:hAnsi="Arial"/>
          <w:sz w:val="20"/>
          <w:szCs w:val="20"/>
          <w:lang w:val="en-PH"/>
        </w:rPr>
        <w:t xml:space="preserve">good personal teaching efficacy and positive expectations for student outcomes, showing notably higher averages in both areas.  It was also found by </w:t>
      </w:r>
      <w:proofErr w:type="spellStart"/>
      <w:r>
        <w:rPr>
          <w:rFonts w:ascii="Arial" w:hAnsi="Arial"/>
          <w:sz w:val="20"/>
          <w:szCs w:val="20"/>
          <w:lang w:val="en-PH"/>
        </w:rPr>
        <w:t>Pitkäniemi</w:t>
      </w:r>
      <w:proofErr w:type="spellEnd"/>
      <w:r>
        <w:rPr>
          <w:rFonts w:ascii="Arial" w:hAnsi="Arial"/>
          <w:sz w:val="20"/>
          <w:szCs w:val="20"/>
          <w:lang w:val="en-PH"/>
        </w:rPr>
        <w:t xml:space="preserve"> and </w:t>
      </w:r>
      <w:proofErr w:type="spellStart"/>
      <w:r>
        <w:rPr>
          <w:rFonts w:ascii="Arial" w:hAnsi="Arial"/>
          <w:sz w:val="20"/>
          <w:szCs w:val="20"/>
          <w:lang w:val="en-PH"/>
        </w:rPr>
        <w:t>Martikainen</w:t>
      </w:r>
      <w:proofErr w:type="spellEnd"/>
      <w:r>
        <w:rPr>
          <w:rFonts w:ascii="Arial" w:hAnsi="Arial"/>
          <w:sz w:val="20"/>
          <w:szCs w:val="20"/>
          <w:lang w:val="en-PH"/>
        </w:rPr>
        <w:t xml:space="preserve"> (2022) that pre-service teachers generally have high personal teaching efficacy.</w:t>
      </w:r>
      <w:r>
        <w:rPr>
          <w:rFonts w:ascii="Arial" w:hAnsi="Arial"/>
          <w:sz w:val="20"/>
          <w:szCs w:val="20"/>
          <w:lang w:val="en-PH"/>
        </w:rPr>
        <w:t xml:space="preserve"> Studies also show that pre-service teachers report high self-efficacy in classroom management, student engagement, and instructional strategies (</w:t>
      </w:r>
      <w:proofErr w:type="spellStart"/>
      <w:r>
        <w:rPr>
          <w:rFonts w:ascii="Arial" w:hAnsi="Arial"/>
          <w:sz w:val="20"/>
          <w:szCs w:val="20"/>
          <w:lang w:val="en-PH"/>
        </w:rPr>
        <w:t>Balci</w:t>
      </w:r>
      <w:proofErr w:type="spellEnd"/>
      <w:r>
        <w:rPr>
          <w:rFonts w:ascii="Arial" w:hAnsi="Arial"/>
          <w:sz w:val="20"/>
          <w:szCs w:val="20"/>
          <w:lang w:val="en-PH"/>
        </w:rPr>
        <w:t xml:space="preserve"> et al., 2019). Factors influencing self-efficacy include teaching experience, school environment feedbac</w:t>
      </w:r>
      <w:r>
        <w:rPr>
          <w:rFonts w:ascii="Arial" w:hAnsi="Arial"/>
          <w:sz w:val="20"/>
          <w:szCs w:val="20"/>
          <w:lang w:val="en-PH"/>
        </w:rPr>
        <w:t>k, and observing other teachers (</w:t>
      </w:r>
      <w:proofErr w:type="spellStart"/>
      <w:r>
        <w:rPr>
          <w:rFonts w:ascii="Arial" w:hAnsi="Arial"/>
          <w:sz w:val="20"/>
          <w:szCs w:val="20"/>
          <w:lang w:val="en-PH"/>
        </w:rPr>
        <w:t>Farhadiba</w:t>
      </w:r>
      <w:proofErr w:type="spellEnd"/>
      <w:r>
        <w:rPr>
          <w:rFonts w:ascii="Arial" w:hAnsi="Arial"/>
          <w:sz w:val="20"/>
          <w:szCs w:val="20"/>
          <w:lang w:val="en-PH"/>
        </w:rPr>
        <w:t xml:space="preserve"> </w:t>
      </w:r>
      <w:r>
        <w:rPr>
          <w:rFonts w:ascii="Arial" w:hAnsi="Arial"/>
          <w:sz w:val="20"/>
          <w:szCs w:val="20"/>
          <w:lang w:val="en-PH"/>
        </w:rPr>
        <w:t>and</w:t>
      </w:r>
      <w:r>
        <w:rPr>
          <w:rFonts w:ascii="Arial" w:hAnsi="Arial"/>
          <w:sz w:val="20"/>
          <w:szCs w:val="20"/>
          <w:lang w:val="en-PH"/>
        </w:rPr>
        <w:t xml:space="preserve"> </w:t>
      </w:r>
      <w:proofErr w:type="spellStart"/>
      <w:r>
        <w:rPr>
          <w:rFonts w:ascii="Arial" w:hAnsi="Arial"/>
          <w:sz w:val="20"/>
          <w:szCs w:val="20"/>
          <w:lang w:val="en-PH"/>
        </w:rPr>
        <w:t>Wulyani</w:t>
      </w:r>
      <w:proofErr w:type="spellEnd"/>
      <w:r>
        <w:rPr>
          <w:rFonts w:ascii="Arial" w:hAnsi="Arial"/>
          <w:sz w:val="20"/>
          <w:szCs w:val="20"/>
          <w:lang w:val="en-PH"/>
        </w:rPr>
        <w:t>, 2020). Self-efficacy and feelings of preparedness tend to increase during a teaching internship (Brown et al., 2019).</w:t>
      </w:r>
    </w:p>
    <w:p w14:paraId="12D1612A" w14:textId="77777777" w:rsidR="00767CB1" w:rsidRDefault="00EF15D9">
      <w:pPr>
        <w:pStyle w:val="NormalWeb"/>
        <w:spacing w:beforeAutospacing="0" w:afterAutospacing="0"/>
        <w:ind w:firstLine="601"/>
        <w:jc w:val="both"/>
        <w:rPr>
          <w:rFonts w:ascii="Arial" w:hAnsi="Arial"/>
          <w:sz w:val="20"/>
          <w:szCs w:val="20"/>
          <w:shd w:val="clear" w:color="auto" w:fill="FFFFFF"/>
          <w:lang w:val="en-PH"/>
        </w:rPr>
      </w:pPr>
      <w:r>
        <w:rPr>
          <w:rFonts w:ascii="Arial" w:hAnsi="Arial"/>
          <w:sz w:val="20"/>
          <w:szCs w:val="20"/>
          <w:shd w:val="clear" w:color="auto" w:fill="FFFFFF"/>
          <w:lang w:val="en-PH"/>
        </w:rPr>
        <w:t xml:space="preserve">However, </w:t>
      </w:r>
      <w:proofErr w:type="spellStart"/>
      <w:r>
        <w:rPr>
          <w:rFonts w:ascii="Arial" w:hAnsi="Arial"/>
          <w:sz w:val="20"/>
          <w:szCs w:val="20"/>
          <w:shd w:val="clear" w:color="auto" w:fill="FFFFFF"/>
          <w:lang w:val="en-PH"/>
        </w:rPr>
        <w:t>Aliazas</w:t>
      </w:r>
      <w:proofErr w:type="spellEnd"/>
      <w:r>
        <w:rPr>
          <w:rFonts w:ascii="Arial" w:hAnsi="Arial"/>
          <w:sz w:val="20"/>
          <w:szCs w:val="20"/>
          <w:shd w:val="clear" w:color="auto" w:fill="FFFFFF"/>
          <w:lang w:val="en-PH"/>
        </w:rPr>
        <w:t xml:space="preserve"> (2023) revealed that pre-service teachers have high general teach</w:t>
      </w:r>
      <w:r>
        <w:rPr>
          <w:rFonts w:ascii="Arial" w:hAnsi="Arial"/>
          <w:sz w:val="20"/>
          <w:szCs w:val="20"/>
          <w:shd w:val="clear" w:color="auto" w:fill="FFFFFF"/>
          <w:lang w:val="en-PH"/>
        </w:rPr>
        <w:t xml:space="preserve">ing efficacy but argued that they feel limited by external factors like home environment and student discipline. </w:t>
      </w:r>
      <w:proofErr w:type="spellStart"/>
      <w:r>
        <w:rPr>
          <w:rFonts w:ascii="Arial" w:hAnsi="Arial"/>
          <w:sz w:val="20"/>
          <w:szCs w:val="20"/>
          <w:shd w:val="clear" w:color="auto" w:fill="FFFFFF"/>
          <w:lang w:val="en-PH"/>
        </w:rPr>
        <w:t>Farhadiba</w:t>
      </w:r>
      <w:proofErr w:type="spellEnd"/>
      <w:r>
        <w:rPr>
          <w:rFonts w:ascii="Arial" w:hAnsi="Arial"/>
          <w:sz w:val="20"/>
          <w:szCs w:val="20"/>
          <w:shd w:val="clear" w:color="auto" w:fill="FFFFFF"/>
          <w:lang w:val="en-PH"/>
        </w:rPr>
        <w:t xml:space="preserve"> (2020) also supported the argument that even pre-service teachers have high efficacy in instructional strategies but lower student en</w:t>
      </w:r>
      <w:r>
        <w:rPr>
          <w:rFonts w:ascii="Arial" w:hAnsi="Arial"/>
          <w:sz w:val="20"/>
          <w:szCs w:val="20"/>
          <w:shd w:val="clear" w:color="auto" w:fill="FFFFFF"/>
          <w:lang w:val="en-PH"/>
        </w:rPr>
        <w:t xml:space="preserve">gagement, indicating they feel limited by external factors. Interestingly, Toe and </w:t>
      </w:r>
      <w:proofErr w:type="spellStart"/>
      <w:r>
        <w:rPr>
          <w:rFonts w:ascii="Arial" w:hAnsi="Arial"/>
          <w:sz w:val="20"/>
          <w:szCs w:val="20"/>
          <w:shd w:val="clear" w:color="auto" w:fill="FFFFFF"/>
          <w:lang w:val="en-PH"/>
        </w:rPr>
        <w:t>Longaretti</w:t>
      </w:r>
      <w:proofErr w:type="spellEnd"/>
      <w:r>
        <w:rPr>
          <w:rFonts w:ascii="Arial" w:hAnsi="Arial"/>
          <w:sz w:val="20"/>
          <w:szCs w:val="20"/>
          <w:shd w:val="clear" w:color="auto" w:fill="FFFFFF"/>
          <w:lang w:val="en-PH"/>
        </w:rPr>
        <w:t xml:space="preserve"> (2022) did not fully opposed the results of the study, he revealed that some performing pre-service teachers initially demonstrate lower self-efficacy in instruct</w:t>
      </w:r>
      <w:r>
        <w:rPr>
          <w:rFonts w:ascii="Arial" w:hAnsi="Arial"/>
          <w:sz w:val="20"/>
          <w:szCs w:val="20"/>
          <w:shd w:val="clear" w:color="auto" w:fill="FFFFFF"/>
          <w:lang w:val="en-PH"/>
        </w:rPr>
        <w:t>ional strategies but develop higher confidence, suggesting the positive impact of mentoring.</w:t>
      </w:r>
    </w:p>
    <w:p w14:paraId="276FFBE8" w14:textId="77777777" w:rsidR="00767CB1" w:rsidRDefault="00EF15D9">
      <w:pPr>
        <w:ind w:firstLine="600"/>
        <w:jc w:val="both"/>
        <w:rPr>
          <w:rFonts w:ascii="Arial" w:hAnsi="Arial"/>
          <w:shd w:val="clear" w:color="auto" w:fill="FFFFFF"/>
          <w:lang w:val="en-PH"/>
        </w:rPr>
      </w:pPr>
      <w:r>
        <w:rPr>
          <w:rFonts w:ascii="Arial" w:hAnsi="Arial"/>
          <w:lang w:val="en-PH"/>
        </w:rPr>
        <w:t>Pre-service teachers consistently demonstrated exceptional teaching skills during their teaching internship, showcasing their competence in delivering lessons effe</w:t>
      </w:r>
      <w:r>
        <w:rPr>
          <w:rFonts w:ascii="Arial" w:hAnsi="Arial"/>
          <w:lang w:val="en-PH"/>
        </w:rPr>
        <w:t xml:space="preserve">ctively. It </w:t>
      </w:r>
      <w:r>
        <w:rPr>
          <w:rFonts w:ascii="Arial" w:hAnsi="Arial" w:cs="Arial"/>
        </w:rPr>
        <w:t>aligns with the study</w:t>
      </w:r>
      <w:r>
        <w:rPr>
          <w:rFonts w:ascii="Arial" w:hAnsi="Arial"/>
          <w:lang w:val="en-PH"/>
        </w:rPr>
        <w:t xml:space="preserve"> of </w:t>
      </w:r>
      <w:proofErr w:type="spellStart"/>
      <w:r>
        <w:rPr>
          <w:rFonts w:ascii="Arial" w:hAnsi="Arial"/>
          <w:shd w:val="clear" w:color="auto" w:fill="FFFFFF"/>
          <w:lang w:val="en-PH"/>
        </w:rPr>
        <w:t>Matsko</w:t>
      </w:r>
      <w:proofErr w:type="spellEnd"/>
      <w:r>
        <w:rPr>
          <w:rFonts w:ascii="Arial" w:hAnsi="Arial"/>
          <w:shd w:val="clear" w:color="auto" w:fill="FFFFFF"/>
          <w:lang w:val="en-PH"/>
        </w:rPr>
        <w:t xml:space="preserve"> et al. (2020) supporting that pre-service teachers feel more </w:t>
      </w:r>
      <w:r>
        <w:rPr>
          <w:rFonts w:ascii="Arial" w:hAnsi="Arial"/>
          <w:shd w:val="clear" w:color="auto" w:fill="FFFFFF"/>
          <w:lang w:val="en-PH"/>
        </w:rPr>
        <w:lastRenderedPageBreak/>
        <w:t>equipped to teach when their cooperating teachers model successful teaching and mentor them by offering more instructional support, consistent and appr</w:t>
      </w:r>
      <w:r>
        <w:rPr>
          <w:rFonts w:ascii="Arial" w:hAnsi="Arial"/>
          <w:shd w:val="clear" w:color="auto" w:fill="FFFFFF"/>
          <w:lang w:val="en-PH"/>
        </w:rPr>
        <w:t xml:space="preserve">opriate input, and a blend of independence and motivation. Research also indicates that strong teacher support significantly enhances pre-service teachers' professional growth and confidence (Dunst et al., 2020). </w:t>
      </w:r>
      <w:proofErr w:type="spellStart"/>
      <w:r>
        <w:rPr>
          <w:rFonts w:ascii="Arial" w:hAnsi="Arial"/>
          <w:shd w:val="clear" w:color="auto" w:fill="FFFFFF"/>
          <w:lang w:val="en-PH"/>
        </w:rPr>
        <w:t>Robiños</w:t>
      </w:r>
      <w:proofErr w:type="spellEnd"/>
      <w:r>
        <w:rPr>
          <w:rFonts w:ascii="Arial" w:hAnsi="Arial"/>
          <w:shd w:val="clear" w:color="auto" w:fill="FFFFFF"/>
          <w:lang w:val="en-PH"/>
        </w:rPr>
        <w:t xml:space="preserve"> et al. (2024) found that field-base</w:t>
      </w:r>
      <w:r>
        <w:rPr>
          <w:rFonts w:ascii="Arial" w:hAnsi="Arial"/>
          <w:shd w:val="clear" w:color="auto" w:fill="FFFFFF"/>
          <w:lang w:val="en-PH"/>
        </w:rPr>
        <w:t xml:space="preserve">d experiences positively impacted the professional development of pre-service teachers. </w:t>
      </w:r>
      <w:proofErr w:type="spellStart"/>
      <w:r>
        <w:rPr>
          <w:rFonts w:ascii="Arial" w:hAnsi="Arial"/>
          <w:shd w:val="clear" w:color="auto" w:fill="FFFFFF"/>
          <w:lang w:val="en-PH"/>
        </w:rPr>
        <w:t>Keese</w:t>
      </w:r>
      <w:proofErr w:type="spellEnd"/>
      <w:r>
        <w:rPr>
          <w:rFonts w:ascii="Arial" w:hAnsi="Arial"/>
          <w:shd w:val="clear" w:color="auto" w:fill="FFFFFF"/>
          <w:lang w:val="en-PH"/>
        </w:rPr>
        <w:t xml:space="preserve"> et al. (2021) highlighted that while pre-service teachers felt confident, their confidence increased during their internships, emphasizing the importance of teach</w:t>
      </w:r>
      <w:r>
        <w:rPr>
          <w:rFonts w:ascii="Arial" w:hAnsi="Arial"/>
          <w:shd w:val="clear" w:color="auto" w:fill="FFFFFF"/>
          <w:lang w:val="en-PH"/>
        </w:rPr>
        <w:t xml:space="preserve">ers' support. </w:t>
      </w:r>
    </w:p>
    <w:p w14:paraId="1F33546F" w14:textId="77777777" w:rsidR="00767CB1" w:rsidRDefault="00EF15D9">
      <w:pPr>
        <w:ind w:firstLine="720"/>
        <w:jc w:val="both"/>
        <w:rPr>
          <w:rFonts w:ascii="Arial" w:eastAsia="Segoe UI" w:hAnsi="Arial" w:cs="Arial"/>
          <w:shd w:val="clear" w:color="auto" w:fill="FFFFFF"/>
          <w:lang w:val="en-PH"/>
        </w:rPr>
      </w:pPr>
      <w:r>
        <w:rPr>
          <w:rFonts w:ascii="Arial" w:hAnsi="Arial"/>
          <w:shd w:val="clear" w:color="auto" w:fill="FFFFFF"/>
          <w:lang w:val="en-PH"/>
        </w:rPr>
        <w:t xml:space="preserve">However, </w:t>
      </w:r>
      <w:proofErr w:type="spellStart"/>
      <w:r>
        <w:rPr>
          <w:rFonts w:ascii="Arial" w:hAnsi="Arial"/>
          <w:shd w:val="clear" w:color="auto" w:fill="FFFFFF"/>
          <w:lang w:val="en-PH"/>
        </w:rPr>
        <w:t>Frouda</w:t>
      </w:r>
      <w:proofErr w:type="spellEnd"/>
      <w:r>
        <w:rPr>
          <w:rFonts w:ascii="Arial" w:hAnsi="Arial"/>
          <w:shd w:val="clear" w:color="auto" w:fill="FFFFFF"/>
          <w:lang w:val="en-PH"/>
        </w:rPr>
        <w:t xml:space="preserve"> et al. (2022) argues that over-reliance on coope</w:t>
      </w:r>
      <w:r>
        <w:rPr>
          <w:rFonts w:ascii="Arial" w:hAnsi="Arial" w:cs="Arial"/>
          <w:shd w:val="clear" w:color="auto" w:fill="FFFFFF"/>
          <w:lang w:val="en-PH"/>
        </w:rPr>
        <w:t xml:space="preserve">rating teachers may hinder development of independence and </w:t>
      </w:r>
      <w:proofErr w:type="gramStart"/>
      <w:r>
        <w:rPr>
          <w:rFonts w:ascii="Arial" w:hAnsi="Arial" w:cs="Arial"/>
          <w:shd w:val="clear" w:color="auto" w:fill="FFFFFF"/>
          <w:lang w:val="en-PH"/>
        </w:rPr>
        <w:t>problem solving</w:t>
      </w:r>
      <w:proofErr w:type="gramEnd"/>
      <w:r>
        <w:rPr>
          <w:rFonts w:ascii="Arial" w:hAnsi="Arial" w:cs="Arial"/>
          <w:shd w:val="clear" w:color="auto" w:fill="FFFFFF"/>
          <w:lang w:val="en-PH"/>
        </w:rPr>
        <w:t xml:space="preserve"> skills of pre-service teachers during teaching internship. The argument was further supported by </w:t>
      </w:r>
      <w:proofErr w:type="spellStart"/>
      <w:r>
        <w:rPr>
          <w:rFonts w:ascii="Arial" w:eastAsia="Segoe UI" w:hAnsi="Arial" w:cs="Arial"/>
          <w:shd w:val="clear" w:color="auto" w:fill="FFFFFF"/>
        </w:rPr>
        <w:t>Karsli</w:t>
      </w:r>
      <w:proofErr w:type="spellEnd"/>
      <w:r>
        <w:rPr>
          <w:rFonts w:ascii="Arial" w:eastAsia="Segoe UI" w:hAnsi="Arial" w:cs="Arial"/>
          <w:shd w:val="clear" w:color="auto" w:fill="FFFFFF"/>
        </w:rPr>
        <w:t xml:space="preserve"> </w:t>
      </w:r>
      <w:r>
        <w:rPr>
          <w:rFonts w:ascii="Arial" w:eastAsia="Segoe UI" w:hAnsi="Arial" w:cs="Arial"/>
          <w:shd w:val="clear" w:color="auto" w:fill="FFFFFF"/>
          <w:lang w:val="en-PH"/>
        </w:rPr>
        <w:t>and</w:t>
      </w:r>
      <w:r>
        <w:rPr>
          <w:rFonts w:ascii="Arial" w:eastAsia="Segoe UI" w:hAnsi="Arial" w:cs="Arial"/>
          <w:shd w:val="clear" w:color="auto" w:fill="FFFFFF"/>
        </w:rPr>
        <w:t xml:space="preserve"> </w:t>
      </w:r>
      <w:proofErr w:type="spellStart"/>
      <w:r>
        <w:rPr>
          <w:rFonts w:ascii="Arial" w:eastAsia="Segoe UI" w:hAnsi="Arial" w:cs="Arial"/>
          <w:shd w:val="clear" w:color="auto" w:fill="FFFFFF"/>
        </w:rPr>
        <w:t>Yağız</w:t>
      </w:r>
      <w:proofErr w:type="spellEnd"/>
      <w:r>
        <w:rPr>
          <w:rFonts w:ascii="Arial" w:eastAsia="Segoe UI" w:hAnsi="Arial" w:cs="Arial"/>
          <w:shd w:val="clear" w:color="auto" w:fill="FFFFFF"/>
        </w:rPr>
        <w:t xml:space="preserve">, </w:t>
      </w:r>
      <w:r>
        <w:rPr>
          <w:rFonts w:ascii="Arial" w:eastAsia="Segoe UI" w:hAnsi="Arial" w:cs="Arial"/>
          <w:shd w:val="clear" w:color="auto" w:fill="FFFFFF"/>
          <w:lang w:val="en-PH"/>
        </w:rPr>
        <w:t>(</w:t>
      </w:r>
      <w:r>
        <w:rPr>
          <w:rFonts w:ascii="Arial" w:eastAsia="Segoe UI" w:hAnsi="Arial" w:cs="Arial"/>
          <w:shd w:val="clear" w:color="auto" w:fill="FFFFFF"/>
        </w:rPr>
        <w:t>2022)</w:t>
      </w:r>
      <w:r>
        <w:rPr>
          <w:rFonts w:ascii="Arial" w:eastAsia="Segoe UI" w:hAnsi="Arial" w:cs="Arial"/>
          <w:shd w:val="clear" w:color="auto" w:fill="FFFFFF"/>
          <w:lang w:val="en-PH"/>
        </w:rPr>
        <w:t xml:space="preserve"> that </w:t>
      </w:r>
      <w:r>
        <w:rPr>
          <w:rFonts w:ascii="Arial" w:eastAsia="Segoe UI" w:hAnsi="Arial" w:cs="Arial"/>
          <w:shd w:val="clear" w:color="auto" w:fill="FFFFFF"/>
        </w:rPr>
        <w:t>challenges exist, including inadequate mentorship, organizational issues, and limited teaching freedom</w:t>
      </w:r>
      <w:r>
        <w:rPr>
          <w:rFonts w:ascii="Arial" w:eastAsia="Segoe UI" w:hAnsi="Arial" w:cs="Arial"/>
          <w:shd w:val="clear" w:color="auto" w:fill="FFFFFF"/>
          <w:lang w:val="en-PH"/>
        </w:rPr>
        <w:t>. Therefore, t</w:t>
      </w:r>
      <w:r>
        <w:rPr>
          <w:rFonts w:ascii="Arial" w:eastAsia="Segoe UI" w:hAnsi="Arial" w:cs="Arial"/>
          <w:shd w:val="clear" w:color="auto" w:fill="FFFFFF"/>
        </w:rPr>
        <w:t>o maintain a balance in teacher support, internship programs should address these challenges while providing a</w:t>
      </w:r>
      <w:r>
        <w:rPr>
          <w:rFonts w:ascii="Arial" w:eastAsia="Segoe UI" w:hAnsi="Arial" w:cs="Arial"/>
          <w:shd w:val="clear" w:color="auto" w:fill="FFFFFF"/>
        </w:rPr>
        <w:t>dequate guidance, aligning coursework with practical experiences, and fostering collaboration between universities and schools</w:t>
      </w:r>
      <w:r>
        <w:rPr>
          <w:rFonts w:ascii="Arial" w:eastAsia="Segoe UI" w:hAnsi="Arial" w:cs="Arial"/>
          <w:shd w:val="clear" w:color="auto" w:fill="FFFFFF"/>
          <w:lang w:val="en-PH"/>
        </w:rPr>
        <w:t xml:space="preserve"> (</w:t>
      </w:r>
      <w:proofErr w:type="spellStart"/>
      <w:r>
        <w:rPr>
          <w:rFonts w:ascii="Arial" w:eastAsia="Segoe UI" w:hAnsi="Arial" w:cs="Arial"/>
          <w:shd w:val="clear" w:color="auto" w:fill="FFFFFF"/>
          <w:lang w:val="en-PH"/>
        </w:rPr>
        <w:t>Niyibizi</w:t>
      </w:r>
      <w:proofErr w:type="spellEnd"/>
      <w:r>
        <w:rPr>
          <w:rFonts w:ascii="Arial" w:eastAsia="Segoe UI" w:hAnsi="Arial" w:cs="Arial"/>
          <w:shd w:val="clear" w:color="auto" w:fill="FFFFFF"/>
          <w:lang w:val="en-PH"/>
        </w:rPr>
        <w:t xml:space="preserve"> et al., 2021).</w:t>
      </w:r>
    </w:p>
    <w:p w14:paraId="4B14E0EF" w14:textId="77777777" w:rsidR="00767CB1" w:rsidRDefault="00EF15D9">
      <w:pPr>
        <w:ind w:firstLine="720"/>
        <w:jc w:val="both"/>
        <w:rPr>
          <w:rFonts w:ascii="Arial" w:hAnsi="Arial"/>
          <w:shd w:val="clear" w:color="auto" w:fill="FFFFFF"/>
          <w:lang w:val="en-PH"/>
        </w:rPr>
      </w:pPr>
      <w:r>
        <w:rPr>
          <w:rFonts w:ascii="Arial" w:hAnsi="Arial"/>
          <w:shd w:val="clear" w:color="auto" w:fill="FFFFFF"/>
          <w:lang w:val="en-PH"/>
        </w:rPr>
        <w:t xml:space="preserve">Pre-service teachers </w:t>
      </w:r>
      <w:r>
        <w:rPr>
          <w:rFonts w:ascii="Arial" w:hAnsi="Arial"/>
          <w:lang w:val="en-PH"/>
        </w:rPr>
        <w:t>demonstrated exceptional teaching skills during their teaching internship, showcasi</w:t>
      </w:r>
      <w:r>
        <w:rPr>
          <w:rFonts w:ascii="Arial" w:hAnsi="Arial"/>
          <w:lang w:val="en-PH"/>
        </w:rPr>
        <w:t>ng their competence in delivering lessons effectively.</w:t>
      </w:r>
      <w:r>
        <w:rPr>
          <w:rFonts w:ascii="Arial" w:hAnsi="Arial"/>
          <w:shd w:val="clear" w:color="auto" w:fill="FFFFFF"/>
          <w:lang w:val="en-PH"/>
        </w:rPr>
        <w:t xml:space="preserve"> </w:t>
      </w:r>
      <w:r>
        <w:rPr>
          <w:rFonts w:ascii="Arial" w:hAnsi="Arial" w:cs="Arial"/>
        </w:rPr>
        <w:t xml:space="preserve">The result of this study aligns </w:t>
      </w:r>
      <w:proofErr w:type="gramStart"/>
      <w:r>
        <w:rPr>
          <w:rFonts w:ascii="Arial" w:hAnsi="Arial" w:cs="Arial"/>
        </w:rPr>
        <w:t xml:space="preserve">with </w:t>
      </w:r>
      <w:r>
        <w:rPr>
          <w:rFonts w:ascii="Arial" w:hAnsi="Arial" w:cs="Arial"/>
          <w:lang w:val="en-PH"/>
        </w:rPr>
        <w:t xml:space="preserve"> </w:t>
      </w:r>
      <w:proofErr w:type="spellStart"/>
      <w:r>
        <w:rPr>
          <w:rFonts w:ascii="Arial" w:hAnsi="Arial"/>
          <w:shd w:val="clear" w:color="auto" w:fill="FFFFFF"/>
          <w:lang w:val="en-PH"/>
        </w:rPr>
        <w:t>Batugal</w:t>
      </w:r>
      <w:proofErr w:type="spellEnd"/>
      <w:proofErr w:type="gramEnd"/>
      <w:r>
        <w:rPr>
          <w:rFonts w:ascii="Arial" w:hAnsi="Arial"/>
          <w:shd w:val="clear" w:color="auto" w:fill="FFFFFF"/>
          <w:lang w:val="en-PH"/>
        </w:rPr>
        <w:t xml:space="preserve"> (2020) and </w:t>
      </w:r>
      <w:proofErr w:type="spellStart"/>
      <w:r>
        <w:rPr>
          <w:rFonts w:ascii="Arial" w:hAnsi="Arial"/>
          <w:shd w:val="clear" w:color="auto" w:fill="FFFFFF"/>
          <w:lang w:val="en-PH"/>
        </w:rPr>
        <w:t>Magno</w:t>
      </w:r>
      <w:proofErr w:type="spellEnd"/>
      <w:r>
        <w:rPr>
          <w:rFonts w:ascii="Arial" w:hAnsi="Arial"/>
          <w:shd w:val="clear" w:color="auto" w:fill="FFFFFF"/>
          <w:lang w:val="en-PH"/>
        </w:rPr>
        <w:t xml:space="preserve"> (2019) revealing that ratings of pre-service teachers during teaching internship ranging from very good to excellent. </w:t>
      </w:r>
      <w:proofErr w:type="spellStart"/>
      <w:r>
        <w:rPr>
          <w:rFonts w:ascii="Arial" w:hAnsi="Arial"/>
          <w:shd w:val="clear" w:color="auto" w:fill="FFFFFF"/>
          <w:lang w:val="en-PH"/>
        </w:rPr>
        <w:t>Afalla</w:t>
      </w:r>
      <w:proofErr w:type="spellEnd"/>
      <w:r>
        <w:rPr>
          <w:rFonts w:ascii="Arial" w:hAnsi="Arial"/>
          <w:shd w:val="clear" w:color="auto" w:fill="FFFFFF"/>
          <w:lang w:val="en-PH"/>
        </w:rPr>
        <w:t xml:space="preserve"> and </w:t>
      </w:r>
      <w:proofErr w:type="spellStart"/>
      <w:r>
        <w:rPr>
          <w:rFonts w:ascii="Arial" w:hAnsi="Arial"/>
          <w:shd w:val="clear" w:color="auto" w:fill="FFFFFF"/>
          <w:lang w:val="en-PH"/>
        </w:rPr>
        <w:t>Fabelico</w:t>
      </w:r>
      <w:proofErr w:type="spellEnd"/>
      <w:r>
        <w:rPr>
          <w:rFonts w:ascii="Arial" w:hAnsi="Arial"/>
          <w:shd w:val="clear" w:color="auto" w:fill="FFFFFF"/>
          <w:lang w:val="en-PH"/>
        </w:rPr>
        <w:t xml:space="preserve"> </w:t>
      </w:r>
      <w:r>
        <w:rPr>
          <w:rFonts w:ascii="Arial" w:hAnsi="Arial"/>
          <w:shd w:val="clear" w:color="auto" w:fill="FFFFFF"/>
          <w:lang w:val="en-PH"/>
        </w:rPr>
        <w:t>(2020) found that pre-service teachers regularly exhibited a very high level of pedagogical competence, which correlated positively with teaching efficiency. Nevertheless, it was argued by Kim et al. (2023) that positive evaluations of pre-service teachers</w:t>
      </w:r>
      <w:r>
        <w:rPr>
          <w:rFonts w:ascii="Arial" w:hAnsi="Arial"/>
          <w:shd w:val="clear" w:color="auto" w:fill="FFFFFF"/>
          <w:lang w:val="en-PH"/>
        </w:rPr>
        <w:t xml:space="preserve"> may overlook areas needing improvement, as pre-service teachers show high </w:t>
      </w:r>
      <w:proofErr w:type="gramStart"/>
      <w:r>
        <w:rPr>
          <w:rFonts w:ascii="Arial" w:hAnsi="Arial"/>
          <w:shd w:val="clear" w:color="auto" w:fill="FFFFFF"/>
          <w:lang w:val="en-PH"/>
        </w:rPr>
        <w:t>knowledge  but</w:t>
      </w:r>
      <w:proofErr w:type="gramEnd"/>
      <w:r>
        <w:rPr>
          <w:rFonts w:ascii="Arial" w:hAnsi="Arial"/>
          <w:shd w:val="clear" w:color="auto" w:fill="FFFFFF"/>
          <w:lang w:val="en-PH"/>
        </w:rPr>
        <w:t xml:space="preserve"> low methodological knowledge, suggesting a need of harmonizing theory and practice in pre-service teacher education.</w:t>
      </w:r>
    </w:p>
    <w:p w14:paraId="3914C431" w14:textId="77777777" w:rsidR="00767CB1" w:rsidRDefault="00767CB1">
      <w:pPr>
        <w:jc w:val="both"/>
        <w:rPr>
          <w:rFonts w:ascii="Arial" w:hAnsi="Arial"/>
          <w:sz w:val="24"/>
          <w:szCs w:val="24"/>
          <w:lang w:val="en-PH"/>
        </w:rPr>
      </w:pPr>
    </w:p>
    <w:p w14:paraId="7825D957" w14:textId="1BD49035" w:rsidR="00767CB1" w:rsidRDefault="00EF15D9">
      <w:pPr>
        <w:jc w:val="center"/>
        <w:rPr>
          <w:rFonts w:ascii="Arial" w:hAnsi="Arial" w:cs="Arial"/>
          <w:b/>
          <w:bCs/>
          <w:lang w:val="en-PH" w:bidi="ar"/>
        </w:rPr>
      </w:pPr>
      <w:r>
        <w:rPr>
          <w:rFonts w:ascii="Arial" w:hAnsi="Arial"/>
          <w:b/>
          <w:bCs/>
          <w:lang w:val="en-PH"/>
        </w:rPr>
        <w:t>Table 1. L</w:t>
      </w:r>
      <w:r>
        <w:rPr>
          <w:rFonts w:ascii="Arial" w:hAnsi="Arial" w:cs="Arial"/>
          <w:b/>
          <w:bCs/>
          <w:lang w:val="en-PH" w:bidi="ar"/>
        </w:rPr>
        <w:t>evels of teaching anxiety, teaching se</w:t>
      </w:r>
      <w:r>
        <w:rPr>
          <w:rFonts w:ascii="Arial" w:hAnsi="Arial" w:cs="Arial"/>
          <w:b/>
          <w:bCs/>
          <w:lang w:val="en-PH" w:bidi="ar"/>
        </w:rPr>
        <w:t>lf-efficacy, teacher support</w:t>
      </w:r>
      <w:r>
        <w:rPr>
          <w:rFonts w:ascii="Arial" w:hAnsi="Arial" w:cs="Arial"/>
          <w:b/>
          <w:bCs/>
          <w:lang w:val="en-PH" w:bidi="ar"/>
        </w:rPr>
        <w:t xml:space="preserve"> and teaching demonstration performance of pre-service teachers</w:t>
      </w:r>
    </w:p>
    <w:p w14:paraId="6CF85648" w14:textId="77777777" w:rsidR="00767CB1" w:rsidRDefault="00767CB1">
      <w:pPr>
        <w:jc w:val="both"/>
        <w:rPr>
          <w:rFonts w:ascii="Arial" w:hAnsi="Arial" w:cs="Arial"/>
          <w:b/>
          <w:bCs/>
          <w:sz w:val="24"/>
          <w:szCs w:val="24"/>
          <w:lang w:val="en-PH" w:bidi="ar"/>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733"/>
        <w:gridCol w:w="1203"/>
        <w:gridCol w:w="1707"/>
      </w:tblGrid>
      <w:tr w:rsidR="00767CB1" w14:paraId="61E4CAF3" w14:textId="77777777">
        <w:tc>
          <w:tcPr>
            <w:tcW w:w="4182" w:type="dxa"/>
            <w:tcBorders>
              <w:bottom w:val="single" w:sz="4" w:space="0" w:color="auto"/>
            </w:tcBorders>
          </w:tcPr>
          <w:p w14:paraId="224A21A1" w14:textId="77777777" w:rsidR="00767CB1" w:rsidRDefault="00EF15D9">
            <w:pPr>
              <w:pStyle w:val="NoSpacing"/>
              <w:widowControl w:val="0"/>
              <w:jc w:val="center"/>
              <w:rPr>
                <w:rFonts w:ascii="Tahoma" w:hAnsi="Tahoma" w:cs="Tahoma"/>
                <w:b/>
                <w:bCs/>
                <w:sz w:val="20"/>
                <w:szCs w:val="20"/>
                <w:lang w:eastAsia="en-PH"/>
              </w:rPr>
            </w:pPr>
            <w:r>
              <w:rPr>
                <w:rFonts w:ascii="Tahoma" w:hAnsi="Tahoma" w:cs="Tahoma"/>
                <w:b/>
                <w:bCs/>
                <w:sz w:val="20"/>
                <w:szCs w:val="20"/>
                <w:lang w:eastAsia="en-PH"/>
              </w:rPr>
              <w:t>Variables</w:t>
            </w:r>
          </w:p>
        </w:tc>
        <w:tc>
          <w:tcPr>
            <w:tcW w:w="733" w:type="dxa"/>
            <w:tcBorders>
              <w:bottom w:val="single" w:sz="4" w:space="0" w:color="auto"/>
            </w:tcBorders>
          </w:tcPr>
          <w:p w14:paraId="45A5192D" w14:textId="77777777" w:rsidR="00767CB1" w:rsidRDefault="00EF15D9">
            <w:pPr>
              <w:pStyle w:val="NoSpacing"/>
              <w:widowControl w:val="0"/>
              <w:jc w:val="center"/>
              <w:rPr>
                <w:rFonts w:ascii="Tahoma" w:hAnsi="Tahoma" w:cs="Tahoma"/>
                <w:b/>
                <w:bCs/>
                <w:sz w:val="20"/>
                <w:szCs w:val="20"/>
                <w:lang w:eastAsia="en-PH"/>
              </w:rPr>
            </w:pPr>
            <w:r>
              <w:rPr>
                <w:rFonts w:ascii="Tahoma" w:hAnsi="Tahoma" w:cs="Tahoma"/>
                <w:b/>
                <w:bCs/>
                <w:sz w:val="20"/>
                <w:szCs w:val="20"/>
                <w:lang w:eastAsia="en-PH"/>
              </w:rPr>
              <w:t>SD</w:t>
            </w:r>
          </w:p>
        </w:tc>
        <w:tc>
          <w:tcPr>
            <w:tcW w:w="1203" w:type="dxa"/>
            <w:tcBorders>
              <w:bottom w:val="single" w:sz="4" w:space="0" w:color="auto"/>
            </w:tcBorders>
          </w:tcPr>
          <w:p w14:paraId="3D9C19EE" w14:textId="77777777" w:rsidR="00767CB1" w:rsidRDefault="00EF15D9">
            <w:pPr>
              <w:pStyle w:val="NoSpacing"/>
              <w:widowControl w:val="0"/>
              <w:jc w:val="center"/>
              <w:rPr>
                <w:rFonts w:ascii="Tahoma" w:hAnsi="Tahoma" w:cs="Tahoma"/>
                <w:b/>
                <w:bCs/>
                <w:sz w:val="20"/>
                <w:szCs w:val="20"/>
                <w:lang w:eastAsia="en-PH"/>
              </w:rPr>
            </w:pPr>
            <w:r>
              <w:rPr>
                <w:rFonts w:ascii="Tahoma" w:hAnsi="Tahoma" w:cs="Tahoma"/>
                <w:b/>
                <w:bCs/>
                <w:sz w:val="20"/>
                <w:szCs w:val="20"/>
                <w:lang w:eastAsia="en-PH"/>
              </w:rPr>
              <w:t>Mean</w:t>
            </w:r>
          </w:p>
        </w:tc>
        <w:tc>
          <w:tcPr>
            <w:tcW w:w="1707" w:type="dxa"/>
            <w:tcBorders>
              <w:bottom w:val="single" w:sz="4" w:space="0" w:color="auto"/>
            </w:tcBorders>
          </w:tcPr>
          <w:p w14:paraId="504E06D1" w14:textId="77777777" w:rsidR="00767CB1" w:rsidRDefault="00EF15D9">
            <w:pPr>
              <w:pStyle w:val="NoSpacing"/>
              <w:widowControl w:val="0"/>
              <w:jc w:val="both"/>
              <w:rPr>
                <w:rFonts w:ascii="Tahoma" w:hAnsi="Tahoma" w:cs="Tahoma"/>
                <w:b/>
                <w:bCs/>
                <w:sz w:val="20"/>
                <w:szCs w:val="20"/>
                <w:lang w:eastAsia="en-PH"/>
              </w:rPr>
            </w:pPr>
            <w:r>
              <w:rPr>
                <w:rFonts w:ascii="Tahoma" w:hAnsi="Tahoma" w:cs="Tahoma"/>
                <w:b/>
                <w:bCs/>
                <w:sz w:val="20"/>
                <w:szCs w:val="20"/>
                <w:lang w:eastAsia="en-PH"/>
              </w:rPr>
              <w:t>Description</w:t>
            </w:r>
          </w:p>
        </w:tc>
      </w:tr>
      <w:tr w:rsidR="00767CB1" w14:paraId="221024D4" w14:textId="77777777">
        <w:tc>
          <w:tcPr>
            <w:tcW w:w="4182" w:type="dxa"/>
            <w:tcBorders>
              <w:top w:val="single" w:sz="4" w:space="0" w:color="auto"/>
            </w:tcBorders>
          </w:tcPr>
          <w:p w14:paraId="3B6B1B8C" w14:textId="77777777" w:rsidR="00767CB1" w:rsidRDefault="00EF15D9">
            <w:pPr>
              <w:pStyle w:val="NoSpacing"/>
              <w:widowControl w:val="0"/>
              <w:rPr>
                <w:rFonts w:ascii="Tahoma" w:hAnsi="Tahoma" w:cs="Tahoma"/>
                <w:b/>
                <w:bCs/>
                <w:sz w:val="20"/>
                <w:szCs w:val="20"/>
                <w:lang w:eastAsia="en-PH"/>
              </w:rPr>
            </w:pPr>
            <w:r>
              <w:rPr>
                <w:rFonts w:ascii="Tahoma" w:hAnsi="Tahoma" w:cs="Tahoma"/>
                <w:b/>
                <w:bCs/>
                <w:sz w:val="20"/>
                <w:szCs w:val="20"/>
                <w:lang w:eastAsia="en-PH"/>
              </w:rPr>
              <w:t xml:space="preserve">Teaching Anxiety </w:t>
            </w:r>
            <w:r>
              <w:rPr>
                <w:rFonts w:ascii="Tahoma" w:hAnsi="Tahoma" w:cs="Tahoma"/>
                <w:b/>
                <w:bCs/>
                <w:sz w:val="20"/>
                <w:szCs w:val="20"/>
                <w:lang w:val="en-PH" w:eastAsia="en-PH"/>
              </w:rPr>
              <w:t>of Pre-Service Teachers</w:t>
            </w:r>
          </w:p>
        </w:tc>
        <w:tc>
          <w:tcPr>
            <w:tcW w:w="733" w:type="dxa"/>
            <w:tcBorders>
              <w:top w:val="single" w:sz="4" w:space="0" w:color="auto"/>
            </w:tcBorders>
          </w:tcPr>
          <w:p w14:paraId="3D900952" w14:textId="77777777" w:rsidR="00767CB1" w:rsidRDefault="00EF15D9">
            <w:pPr>
              <w:pStyle w:val="NoSpacing"/>
              <w:widowControl w:val="0"/>
              <w:jc w:val="center"/>
              <w:rPr>
                <w:rFonts w:ascii="Tahoma" w:hAnsi="Tahoma" w:cs="Tahoma"/>
                <w:b/>
                <w:bCs/>
                <w:sz w:val="20"/>
                <w:szCs w:val="20"/>
                <w:lang w:eastAsia="en-PH"/>
              </w:rPr>
            </w:pPr>
            <w:r>
              <w:rPr>
                <w:rFonts w:ascii="Tahoma" w:hAnsi="Tahoma" w:cs="Tahoma"/>
                <w:b/>
                <w:bCs/>
                <w:sz w:val="20"/>
                <w:szCs w:val="20"/>
                <w:lang w:eastAsia="en-PH"/>
              </w:rPr>
              <w:t>0.84</w:t>
            </w:r>
          </w:p>
        </w:tc>
        <w:tc>
          <w:tcPr>
            <w:tcW w:w="1203" w:type="dxa"/>
            <w:tcBorders>
              <w:top w:val="single" w:sz="4" w:space="0" w:color="auto"/>
            </w:tcBorders>
          </w:tcPr>
          <w:p w14:paraId="154B010E" w14:textId="77777777" w:rsidR="00767CB1" w:rsidRDefault="00EF15D9">
            <w:pPr>
              <w:pStyle w:val="NoSpacing"/>
              <w:widowControl w:val="0"/>
              <w:jc w:val="center"/>
              <w:rPr>
                <w:rFonts w:ascii="Tahoma" w:hAnsi="Tahoma" w:cs="Tahoma"/>
                <w:b/>
                <w:bCs/>
                <w:sz w:val="20"/>
                <w:szCs w:val="20"/>
                <w:lang w:eastAsia="en-PH"/>
              </w:rPr>
            </w:pPr>
            <w:r>
              <w:rPr>
                <w:rFonts w:ascii="Tahoma" w:hAnsi="Tahoma" w:cs="Tahoma"/>
                <w:b/>
                <w:bCs/>
                <w:sz w:val="20"/>
                <w:szCs w:val="20"/>
                <w:lang w:eastAsia="en-PH"/>
              </w:rPr>
              <w:t>3.25</w:t>
            </w:r>
          </w:p>
        </w:tc>
        <w:tc>
          <w:tcPr>
            <w:tcW w:w="1707" w:type="dxa"/>
            <w:tcBorders>
              <w:top w:val="single" w:sz="4" w:space="0" w:color="auto"/>
            </w:tcBorders>
          </w:tcPr>
          <w:p w14:paraId="521CAF2A" w14:textId="77777777" w:rsidR="00767CB1" w:rsidRDefault="00EF15D9">
            <w:pPr>
              <w:pStyle w:val="NoSpacing"/>
              <w:widowControl w:val="0"/>
              <w:rPr>
                <w:rFonts w:ascii="Tahoma" w:hAnsi="Tahoma" w:cs="Tahoma"/>
                <w:sz w:val="20"/>
                <w:szCs w:val="20"/>
                <w:lang w:eastAsia="en-PH"/>
              </w:rPr>
            </w:pPr>
            <w:r>
              <w:rPr>
                <w:rFonts w:ascii="Tahoma" w:hAnsi="Tahoma" w:cs="Tahoma"/>
                <w:b/>
                <w:bCs/>
                <w:sz w:val="20"/>
                <w:szCs w:val="20"/>
                <w:lang w:eastAsia="en-PH"/>
              </w:rPr>
              <w:t>Moderate</w:t>
            </w:r>
          </w:p>
        </w:tc>
      </w:tr>
      <w:tr w:rsidR="00767CB1" w14:paraId="727ABDF4" w14:textId="77777777">
        <w:tc>
          <w:tcPr>
            <w:tcW w:w="4182" w:type="dxa"/>
          </w:tcPr>
          <w:p w14:paraId="10975E6C" w14:textId="77777777" w:rsidR="00767CB1" w:rsidRDefault="00EF15D9">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Evaluation Anxiety</w:t>
            </w:r>
          </w:p>
        </w:tc>
        <w:tc>
          <w:tcPr>
            <w:tcW w:w="733" w:type="dxa"/>
          </w:tcPr>
          <w:p w14:paraId="2F6B9096" w14:textId="77777777" w:rsidR="00767CB1" w:rsidRDefault="00EF15D9">
            <w:pPr>
              <w:pStyle w:val="NoSpacing"/>
              <w:widowControl w:val="0"/>
              <w:jc w:val="center"/>
              <w:rPr>
                <w:rFonts w:ascii="Tahoma" w:hAnsi="Tahoma" w:cs="Tahoma"/>
                <w:sz w:val="20"/>
                <w:szCs w:val="20"/>
                <w:lang w:eastAsia="en-PH"/>
              </w:rPr>
            </w:pPr>
            <w:r>
              <w:rPr>
                <w:rFonts w:ascii="Tahoma" w:hAnsi="Tahoma" w:cs="Tahoma"/>
                <w:sz w:val="20"/>
                <w:szCs w:val="20"/>
                <w:lang w:eastAsia="en-PH"/>
              </w:rPr>
              <w:t>0.87</w:t>
            </w:r>
          </w:p>
        </w:tc>
        <w:tc>
          <w:tcPr>
            <w:tcW w:w="1203" w:type="dxa"/>
            <w:vAlign w:val="center"/>
          </w:tcPr>
          <w:p w14:paraId="5C0BBA81" w14:textId="77777777" w:rsidR="00767CB1" w:rsidRDefault="00EF15D9">
            <w:pPr>
              <w:pStyle w:val="NoSpacing"/>
              <w:widowControl w:val="0"/>
              <w:jc w:val="center"/>
              <w:rPr>
                <w:rFonts w:ascii="Tahoma" w:hAnsi="Tahoma" w:cs="Tahoma"/>
                <w:sz w:val="20"/>
                <w:szCs w:val="20"/>
                <w:lang w:eastAsia="en-PH"/>
              </w:rPr>
            </w:pPr>
            <w:r>
              <w:rPr>
                <w:rFonts w:ascii="Tahoma" w:hAnsi="Tahoma" w:cs="Tahoma"/>
                <w:sz w:val="20"/>
                <w:szCs w:val="20"/>
                <w:lang w:eastAsia="en-PH"/>
              </w:rPr>
              <w:t>3.27</w:t>
            </w:r>
          </w:p>
        </w:tc>
        <w:tc>
          <w:tcPr>
            <w:tcW w:w="1707" w:type="dxa"/>
          </w:tcPr>
          <w:p w14:paraId="2AA61082" w14:textId="77777777" w:rsidR="00767CB1" w:rsidRDefault="00EF15D9">
            <w:pPr>
              <w:jc w:val="both"/>
              <w:rPr>
                <w:rFonts w:ascii="Tahoma" w:hAnsi="Tahoma" w:cs="Tahoma"/>
                <w:sz w:val="20"/>
                <w:szCs w:val="20"/>
                <w:lang w:eastAsia="en-PH"/>
              </w:rPr>
            </w:pPr>
            <w:r>
              <w:rPr>
                <w:rFonts w:ascii="Arial" w:hAnsi="Arial" w:cs="Arial"/>
                <w:sz w:val="20"/>
                <w:szCs w:val="20"/>
                <w:lang w:val="en-PH"/>
              </w:rPr>
              <w:t>Moderate</w:t>
            </w:r>
          </w:p>
        </w:tc>
      </w:tr>
      <w:tr w:rsidR="00767CB1" w14:paraId="6B6DD3A3" w14:textId="77777777">
        <w:tc>
          <w:tcPr>
            <w:tcW w:w="4182" w:type="dxa"/>
          </w:tcPr>
          <w:p w14:paraId="7B7A600B" w14:textId="77777777" w:rsidR="00767CB1" w:rsidRDefault="00EF15D9">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Class Control Anxiety</w:t>
            </w:r>
          </w:p>
        </w:tc>
        <w:tc>
          <w:tcPr>
            <w:tcW w:w="733" w:type="dxa"/>
          </w:tcPr>
          <w:p w14:paraId="108C3357" w14:textId="77777777" w:rsidR="00767CB1" w:rsidRDefault="00EF15D9">
            <w:pPr>
              <w:pStyle w:val="NoSpacing"/>
              <w:widowControl w:val="0"/>
              <w:jc w:val="center"/>
              <w:rPr>
                <w:rFonts w:ascii="Tahoma" w:hAnsi="Tahoma" w:cs="Tahoma"/>
                <w:sz w:val="20"/>
                <w:szCs w:val="20"/>
                <w:lang w:eastAsia="en-PH"/>
              </w:rPr>
            </w:pPr>
            <w:r>
              <w:rPr>
                <w:rFonts w:ascii="Tahoma" w:hAnsi="Tahoma" w:cs="Tahoma"/>
                <w:sz w:val="20"/>
                <w:szCs w:val="20"/>
                <w:lang w:eastAsia="en-PH"/>
              </w:rPr>
              <w:t>0.96</w:t>
            </w:r>
          </w:p>
        </w:tc>
        <w:tc>
          <w:tcPr>
            <w:tcW w:w="1203" w:type="dxa"/>
            <w:vAlign w:val="center"/>
          </w:tcPr>
          <w:p w14:paraId="73AA184E" w14:textId="77777777" w:rsidR="00767CB1" w:rsidRDefault="00EF15D9">
            <w:pPr>
              <w:pStyle w:val="NoSpacing"/>
              <w:widowControl w:val="0"/>
              <w:jc w:val="center"/>
              <w:rPr>
                <w:rFonts w:ascii="Tahoma" w:hAnsi="Tahoma" w:cs="Tahoma"/>
                <w:sz w:val="20"/>
                <w:szCs w:val="20"/>
                <w:lang w:eastAsia="en-PH"/>
              </w:rPr>
            </w:pPr>
            <w:r>
              <w:rPr>
                <w:rFonts w:ascii="Tahoma" w:hAnsi="Tahoma" w:cs="Tahoma"/>
                <w:sz w:val="20"/>
                <w:szCs w:val="20"/>
                <w:lang w:eastAsia="en-PH"/>
              </w:rPr>
              <w:t>3.22</w:t>
            </w:r>
          </w:p>
        </w:tc>
        <w:tc>
          <w:tcPr>
            <w:tcW w:w="1707" w:type="dxa"/>
          </w:tcPr>
          <w:p w14:paraId="27275B7D" w14:textId="77777777" w:rsidR="00767CB1" w:rsidRDefault="00EF15D9">
            <w:pPr>
              <w:jc w:val="both"/>
              <w:rPr>
                <w:rFonts w:ascii="Tahoma" w:hAnsi="Tahoma" w:cs="Tahoma"/>
                <w:sz w:val="20"/>
                <w:szCs w:val="20"/>
                <w:lang w:eastAsia="en-PH"/>
              </w:rPr>
            </w:pPr>
            <w:r>
              <w:rPr>
                <w:rFonts w:ascii="Arial" w:hAnsi="Arial" w:cs="Arial"/>
                <w:sz w:val="20"/>
                <w:szCs w:val="20"/>
                <w:lang w:val="en-PH"/>
              </w:rPr>
              <w:t>Moderate</w:t>
            </w:r>
          </w:p>
        </w:tc>
      </w:tr>
      <w:tr w:rsidR="00767CB1" w14:paraId="075941B5" w14:textId="77777777">
        <w:tc>
          <w:tcPr>
            <w:tcW w:w="4182" w:type="dxa"/>
          </w:tcPr>
          <w:p w14:paraId="26BC0148" w14:textId="77777777" w:rsidR="00767CB1" w:rsidRDefault="00EF15D9">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Professional Preparation Anxiety</w:t>
            </w:r>
          </w:p>
        </w:tc>
        <w:tc>
          <w:tcPr>
            <w:tcW w:w="733" w:type="dxa"/>
          </w:tcPr>
          <w:p w14:paraId="20427E31" w14:textId="77777777" w:rsidR="00767CB1" w:rsidRDefault="00EF15D9">
            <w:pPr>
              <w:pStyle w:val="NoSpacing"/>
              <w:widowControl w:val="0"/>
              <w:jc w:val="center"/>
              <w:rPr>
                <w:rFonts w:ascii="Tahoma" w:hAnsi="Tahoma" w:cs="Tahoma"/>
                <w:sz w:val="20"/>
                <w:szCs w:val="20"/>
                <w:lang w:eastAsia="en-PH"/>
              </w:rPr>
            </w:pPr>
            <w:r>
              <w:rPr>
                <w:rFonts w:ascii="Tahoma" w:hAnsi="Tahoma" w:cs="Tahoma"/>
                <w:sz w:val="20"/>
                <w:szCs w:val="20"/>
                <w:lang w:eastAsia="en-PH"/>
              </w:rPr>
              <w:t>0.91</w:t>
            </w:r>
          </w:p>
        </w:tc>
        <w:tc>
          <w:tcPr>
            <w:tcW w:w="1203" w:type="dxa"/>
            <w:vAlign w:val="center"/>
          </w:tcPr>
          <w:p w14:paraId="02742F25" w14:textId="77777777" w:rsidR="00767CB1" w:rsidRDefault="00EF15D9">
            <w:pPr>
              <w:pStyle w:val="NoSpacing"/>
              <w:widowControl w:val="0"/>
              <w:jc w:val="center"/>
              <w:rPr>
                <w:rFonts w:ascii="Tahoma" w:hAnsi="Tahoma" w:cs="Tahoma"/>
                <w:sz w:val="20"/>
                <w:szCs w:val="20"/>
                <w:lang w:eastAsia="en-PH"/>
              </w:rPr>
            </w:pPr>
            <w:r>
              <w:rPr>
                <w:rFonts w:ascii="Tahoma" w:hAnsi="Tahoma" w:cs="Tahoma"/>
                <w:sz w:val="20"/>
                <w:szCs w:val="20"/>
                <w:lang w:eastAsia="en-PH"/>
              </w:rPr>
              <w:t>3.20</w:t>
            </w:r>
          </w:p>
        </w:tc>
        <w:tc>
          <w:tcPr>
            <w:tcW w:w="1707" w:type="dxa"/>
          </w:tcPr>
          <w:p w14:paraId="2F194C9E" w14:textId="77777777" w:rsidR="00767CB1" w:rsidRDefault="00EF15D9">
            <w:pPr>
              <w:jc w:val="both"/>
              <w:rPr>
                <w:rFonts w:ascii="Tahoma" w:hAnsi="Tahoma" w:cs="Tahoma"/>
                <w:sz w:val="20"/>
                <w:szCs w:val="20"/>
                <w:lang w:eastAsia="en-PH"/>
              </w:rPr>
            </w:pPr>
            <w:r>
              <w:rPr>
                <w:rFonts w:ascii="Arial" w:hAnsi="Arial" w:cs="Arial"/>
                <w:sz w:val="20"/>
                <w:szCs w:val="20"/>
                <w:lang w:val="en-PH"/>
              </w:rPr>
              <w:t>Moderate</w:t>
            </w:r>
          </w:p>
        </w:tc>
      </w:tr>
      <w:tr w:rsidR="00767CB1" w14:paraId="70C3DA17" w14:textId="77777777">
        <w:tc>
          <w:tcPr>
            <w:tcW w:w="4182" w:type="dxa"/>
          </w:tcPr>
          <w:p w14:paraId="35361982" w14:textId="77777777" w:rsidR="00767CB1" w:rsidRDefault="00EF15D9">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School Staff Anxiety</w:t>
            </w:r>
          </w:p>
        </w:tc>
        <w:tc>
          <w:tcPr>
            <w:tcW w:w="733" w:type="dxa"/>
          </w:tcPr>
          <w:p w14:paraId="3F2EB1F4" w14:textId="77777777" w:rsidR="00767CB1" w:rsidRDefault="00EF15D9">
            <w:pPr>
              <w:pStyle w:val="NoSpacing"/>
              <w:widowControl w:val="0"/>
              <w:jc w:val="center"/>
              <w:rPr>
                <w:rFonts w:ascii="Tahoma" w:hAnsi="Tahoma" w:cs="Tahoma"/>
                <w:sz w:val="20"/>
                <w:szCs w:val="20"/>
                <w:lang w:eastAsia="en-PH"/>
              </w:rPr>
            </w:pPr>
            <w:r>
              <w:rPr>
                <w:rFonts w:ascii="Tahoma" w:hAnsi="Tahoma" w:cs="Tahoma"/>
                <w:sz w:val="20"/>
                <w:szCs w:val="20"/>
                <w:lang w:eastAsia="en-PH"/>
              </w:rPr>
              <w:t>0.95</w:t>
            </w:r>
          </w:p>
        </w:tc>
        <w:tc>
          <w:tcPr>
            <w:tcW w:w="1203" w:type="dxa"/>
            <w:vAlign w:val="center"/>
          </w:tcPr>
          <w:p w14:paraId="2B92D3A3" w14:textId="77777777" w:rsidR="00767CB1" w:rsidRDefault="00EF15D9">
            <w:pPr>
              <w:pStyle w:val="NoSpacing"/>
              <w:widowControl w:val="0"/>
              <w:jc w:val="center"/>
              <w:rPr>
                <w:rFonts w:ascii="Tahoma" w:hAnsi="Tahoma" w:cs="Tahoma"/>
                <w:sz w:val="20"/>
                <w:szCs w:val="20"/>
                <w:lang w:eastAsia="en-PH"/>
              </w:rPr>
            </w:pPr>
            <w:r>
              <w:rPr>
                <w:rFonts w:ascii="Tahoma" w:eastAsia="SimSun" w:hAnsi="Tahoma" w:cs="Tahoma"/>
                <w:sz w:val="20"/>
                <w:szCs w:val="20"/>
                <w:lang w:eastAsia="zh-CN" w:bidi="ar"/>
              </w:rPr>
              <w:t>3.12</w:t>
            </w:r>
          </w:p>
        </w:tc>
        <w:tc>
          <w:tcPr>
            <w:tcW w:w="1707" w:type="dxa"/>
          </w:tcPr>
          <w:p w14:paraId="4E3B8540" w14:textId="77777777" w:rsidR="00767CB1" w:rsidRDefault="00EF15D9">
            <w:pPr>
              <w:jc w:val="both"/>
              <w:rPr>
                <w:rFonts w:ascii="Tahoma" w:hAnsi="Tahoma" w:cs="Tahoma"/>
                <w:sz w:val="20"/>
                <w:szCs w:val="20"/>
                <w:lang w:eastAsia="en-PH"/>
              </w:rPr>
            </w:pPr>
            <w:r>
              <w:rPr>
                <w:rFonts w:ascii="Arial" w:hAnsi="Arial" w:cs="Arial"/>
                <w:sz w:val="20"/>
                <w:szCs w:val="20"/>
                <w:lang w:val="en-PH"/>
              </w:rPr>
              <w:t>Moderate</w:t>
            </w:r>
          </w:p>
        </w:tc>
      </w:tr>
      <w:tr w:rsidR="00767CB1" w14:paraId="3D9402B8" w14:textId="77777777">
        <w:tc>
          <w:tcPr>
            <w:tcW w:w="4182" w:type="dxa"/>
          </w:tcPr>
          <w:p w14:paraId="7EAA1F29" w14:textId="77777777" w:rsidR="00767CB1" w:rsidRDefault="00EF15D9">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Unsuccessful Lesson Anxiety</w:t>
            </w:r>
          </w:p>
        </w:tc>
        <w:tc>
          <w:tcPr>
            <w:tcW w:w="733" w:type="dxa"/>
          </w:tcPr>
          <w:p w14:paraId="714C39B3" w14:textId="77777777" w:rsidR="00767CB1" w:rsidRDefault="00EF15D9">
            <w:pPr>
              <w:pStyle w:val="NoSpacing"/>
              <w:widowControl w:val="0"/>
              <w:jc w:val="center"/>
              <w:rPr>
                <w:rFonts w:ascii="Tahoma" w:hAnsi="Tahoma" w:cs="Tahoma"/>
                <w:sz w:val="20"/>
                <w:szCs w:val="20"/>
                <w:lang w:eastAsia="en-PH"/>
              </w:rPr>
            </w:pPr>
            <w:r>
              <w:rPr>
                <w:rFonts w:ascii="Tahoma" w:hAnsi="Tahoma" w:cs="Tahoma"/>
                <w:sz w:val="20"/>
                <w:szCs w:val="20"/>
                <w:lang w:eastAsia="en-PH"/>
              </w:rPr>
              <w:t>1.00</w:t>
            </w:r>
          </w:p>
        </w:tc>
        <w:tc>
          <w:tcPr>
            <w:tcW w:w="1203" w:type="dxa"/>
            <w:vAlign w:val="center"/>
          </w:tcPr>
          <w:p w14:paraId="49BB31F6" w14:textId="77777777" w:rsidR="00767CB1" w:rsidRDefault="00EF15D9">
            <w:pPr>
              <w:pStyle w:val="NoSpacing"/>
              <w:widowControl w:val="0"/>
              <w:jc w:val="center"/>
              <w:rPr>
                <w:rFonts w:ascii="Tahoma" w:hAnsi="Tahoma" w:cs="Tahoma"/>
                <w:sz w:val="20"/>
                <w:szCs w:val="20"/>
                <w:lang w:eastAsia="en-PH"/>
              </w:rPr>
            </w:pPr>
            <w:r>
              <w:rPr>
                <w:rFonts w:ascii="Tahoma" w:eastAsia="SimSun" w:hAnsi="Tahoma" w:cs="Tahoma"/>
                <w:sz w:val="20"/>
                <w:szCs w:val="20"/>
                <w:lang w:eastAsia="zh-CN" w:bidi="ar"/>
              </w:rPr>
              <w:t>3.45</w:t>
            </w:r>
          </w:p>
        </w:tc>
        <w:tc>
          <w:tcPr>
            <w:tcW w:w="1707" w:type="dxa"/>
          </w:tcPr>
          <w:p w14:paraId="7CE1E75C" w14:textId="77777777" w:rsidR="00767CB1" w:rsidRDefault="00EF15D9">
            <w:pPr>
              <w:jc w:val="both"/>
              <w:rPr>
                <w:rFonts w:ascii="Tahoma" w:hAnsi="Tahoma" w:cs="Tahoma"/>
                <w:sz w:val="20"/>
                <w:szCs w:val="20"/>
                <w:lang w:eastAsia="en-PH"/>
              </w:rPr>
            </w:pPr>
            <w:r>
              <w:rPr>
                <w:rFonts w:ascii="Arial" w:hAnsi="Arial" w:cs="Arial"/>
                <w:sz w:val="20"/>
                <w:szCs w:val="20"/>
                <w:lang w:val="en-PH"/>
              </w:rPr>
              <w:t>High</w:t>
            </w:r>
          </w:p>
        </w:tc>
      </w:tr>
      <w:tr w:rsidR="00767CB1" w14:paraId="092920B8" w14:textId="77777777">
        <w:tc>
          <w:tcPr>
            <w:tcW w:w="4182" w:type="dxa"/>
            <w:shd w:val="clear" w:color="auto" w:fill="auto"/>
          </w:tcPr>
          <w:p w14:paraId="0FC9B6FD" w14:textId="77777777" w:rsidR="00767CB1" w:rsidRDefault="00EF15D9">
            <w:pPr>
              <w:pStyle w:val="NoSpacing"/>
              <w:widowControl w:val="0"/>
              <w:jc w:val="both"/>
              <w:rPr>
                <w:rFonts w:ascii="Tahoma" w:eastAsiaTheme="minorHAnsi" w:hAnsi="Tahoma" w:cs="Tahoma"/>
                <w:b/>
                <w:bCs/>
                <w:sz w:val="20"/>
                <w:szCs w:val="20"/>
                <w:lang w:eastAsia="en-PH"/>
              </w:rPr>
            </w:pPr>
            <w:r>
              <w:rPr>
                <w:rFonts w:ascii="Tahoma" w:hAnsi="Tahoma" w:cs="Tahoma"/>
                <w:b/>
                <w:bCs/>
                <w:iCs/>
                <w:sz w:val="20"/>
                <w:szCs w:val="20"/>
                <w:lang w:eastAsia="en-PH"/>
              </w:rPr>
              <w:t xml:space="preserve">Teaching </w:t>
            </w:r>
            <w:r>
              <w:rPr>
                <w:rFonts w:ascii="Tahoma" w:hAnsi="Tahoma" w:cs="Tahoma"/>
                <w:b/>
                <w:bCs/>
                <w:iCs/>
                <w:sz w:val="20"/>
                <w:szCs w:val="20"/>
                <w:lang w:val="en-PH" w:eastAsia="en-PH"/>
              </w:rPr>
              <w:t>Self-</w:t>
            </w:r>
            <w:r>
              <w:rPr>
                <w:rFonts w:ascii="Tahoma" w:hAnsi="Tahoma" w:cs="Tahoma"/>
                <w:b/>
                <w:bCs/>
                <w:iCs/>
                <w:sz w:val="20"/>
                <w:szCs w:val="20"/>
                <w:lang w:eastAsia="en-PH"/>
              </w:rPr>
              <w:t>Efficacy</w:t>
            </w:r>
          </w:p>
        </w:tc>
        <w:tc>
          <w:tcPr>
            <w:tcW w:w="733" w:type="dxa"/>
            <w:shd w:val="clear" w:color="auto" w:fill="auto"/>
          </w:tcPr>
          <w:p w14:paraId="5E6AAC7A" w14:textId="77777777" w:rsidR="00767CB1" w:rsidRDefault="00EF15D9">
            <w:pPr>
              <w:pStyle w:val="NoSpacing"/>
              <w:widowControl w:val="0"/>
              <w:jc w:val="center"/>
              <w:rPr>
                <w:rFonts w:ascii="Tahoma" w:eastAsiaTheme="minorHAnsi" w:hAnsi="Tahoma" w:cs="Tahoma"/>
                <w:b/>
                <w:bCs/>
                <w:sz w:val="20"/>
                <w:szCs w:val="20"/>
                <w:lang w:eastAsia="en-PH"/>
              </w:rPr>
            </w:pPr>
            <w:r>
              <w:rPr>
                <w:rFonts w:ascii="Tahoma" w:hAnsi="Tahoma" w:cs="Tahoma"/>
                <w:b/>
                <w:bCs/>
                <w:sz w:val="20"/>
                <w:szCs w:val="20"/>
                <w:lang w:eastAsia="en-PH"/>
              </w:rPr>
              <w:t>0.58</w:t>
            </w:r>
          </w:p>
        </w:tc>
        <w:tc>
          <w:tcPr>
            <w:tcW w:w="1203" w:type="dxa"/>
            <w:shd w:val="clear" w:color="auto" w:fill="auto"/>
          </w:tcPr>
          <w:p w14:paraId="50546F28" w14:textId="77777777" w:rsidR="00767CB1" w:rsidRDefault="00EF15D9">
            <w:pPr>
              <w:pStyle w:val="NoSpacing"/>
              <w:widowControl w:val="0"/>
              <w:jc w:val="center"/>
              <w:rPr>
                <w:rFonts w:ascii="Tahoma" w:eastAsiaTheme="minorHAnsi" w:hAnsi="Tahoma" w:cs="Tahoma"/>
                <w:b/>
                <w:bCs/>
                <w:sz w:val="20"/>
                <w:szCs w:val="20"/>
                <w:lang w:eastAsia="zh-CN"/>
              </w:rPr>
            </w:pPr>
            <w:r>
              <w:rPr>
                <w:rFonts w:ascii="Tahoma" w:hAnsi="Tahoma" w:cs="Tahoma"/>
                <w:b/>
                <w:bCs/>
                <w:sz w:val="20"/>
                <w:szCs w:val="20"/>
                <w:lang w:eastAsia="en-PH"/>
              </w:rPr>
              <w:t>4.03</w:t>
            </w:r>
          </w:p>
        </w:tc>
        <w:tc>
          <w:tcPr>
            <w:tcW w:w="1707" w:type="dxa"/>
            <w:shd w:val="clear" w:color="auto" w:fill="auto"/>
          </w:tcPr>
          <w:p w14:paraId="5FC5E94B" w14:textId="77777777" w:rsidR="00767CB1" w:rsidRDefault="00EF15D9">
            <w:pPr>
              <w:pStyle w:val="NoSpacing"/>
              <w:widowControl w:val="0"/>
              <w:jc w:val="both"/>
              <w:rPr>
                <w:rFonts w:ascii="Tahoma" w:eastAsiaTheme="minorHAnsi" w:hAnsi="Tahoma" w:cs="Tahoma"/>
                <w:b/>
                <w:bCs/>
                <w:sz w:val="20"/>
                <w:szCs w:val="20"/>
                <w:lang w:eastAsia="en-PH"/>
              </w:rPr>
            </w:pPr>
            <w:r>
              <w:rPr>
                <w:rFonts w:ascii="Tahoma" w:eastAsiaTheme="minorHAnsi" w:hAnsi="Tahoma" w:cs="Tahoma"/>
                <w:b/>
                <w:bCs/>
                <w:sz w:val="20"/>
                <w:szCs w:val="20"/>
                <w:lang w:eastAsia="en-PH"/>
              </w:rPr>
              <w:t>High</w:t>
            </w:r>
          </w:p>
        </w:tc>
      </w:tr>
      <w:tr w:rsidR="00767CB1" w14:paraId="423F35EB" w14:textId="77777777">
        <w:tc>
          <w:tcPr>
            <w:tcW w:w="4182" w:type="dxa"/>
            <w:shd w:val="clear" w:color="auto" w:fill="auto"/>
          </w:tcPr>
          <w:p w14:paraId="570F09ED" w14:textId="77777777" w:rsidR="00767CB1" w:rsidRDefault="00EF15D9">
            <w:pPr>
              <w:pStyle w:val="NoSpacing"/>
              <w:widowControl w:val="0"/>
              <w:jc w:val="both"/>
              <w:rPr>
                <w:rFonts w:ascii="Tahoma" w:eastAsiaTheme="minorHAnsi" w:hAnsi="Tahoma" w:cs="Tahoma"/>
                <w:sz w:val="20"/>
                <w:szCs w:val="20"/>
                <w:lang w:eastAsia="en-PH"/>
              </w:rPr>
            </w:pPr>
            <w:r>
              <w:rPr>
                <w:rFonts w:ascii="Tahoma" w:hAnsi="Tahoma" w:cs="Tahoma"/>
                <w:sz w:val="20"/>
                <w:szCs w:val="20"/>
                <w:lang w:eastAsia="en-PH"/>
              </w:rPr>
              <w:t xml:space="preserve">     Personal Teaching Efficacy</w:t>
            </w:r>
          </w:p>
        </w:tc>
        <w:tc>
          <w:tcPr>
            <w:tcW w:w="733" w:type="dxa"/>
            <w:shd w:val="clear" w:color="auto" w:fill="auto"/>
          </w:tcPr>
          <w:p w14:paraId="74314985" w14:textId="77777777" w:rsidR="00767CB1" w:rsidRDefault="00EF15D9">
            <w:pPr>
              <w:pStyle w:val="NoSpacing"/>
              <w:widowControl w:val="0"/>
              <w:jc w:val="center"/>
              <w:rPr>
                <w:rFonts w:ascii="Tahoma" w:eastAsiaTheme="minorHAnsi" w:hAnsi="Tahoma" w:cs="Tahoma"/>
                <w:sz w:val="20"/>
                <w:szCs w:val="20"/>
                <w:lang w:eastAsia="en-PH"/>
              </w:rPr>
            </w:pPr>
            <w:r>
              <w:rPr>
                <w:rFonts w:ascii="Tahoma" w:hAnsi="Tahoma" w:cs="Tahoma"/>
                <w:sz w:val="20"/>
                <w:szCs w:val="20"/>
                <w:lang w:eastAsia="en-PH"/>
              </w:rPr>
              <w:t>0.59</w:t>
            </w:r>
          </w:p>
        </w:tc>
        <w:tc>
          <w:tcPr>
            <w:tcW w:w="1203" w:type="dxa"/>
            <w:shd w:val="clear" w:color="auto" w:fill="auto"/>
            <w:vAlign w:val="center"/>
          </w:tcPr>
          <w:p w14:paraId="1F0A26C3" w14:textId="77777777" w:rsidR="00767CB1" w:rsidRDefault="00EF15D9">
            <w:pPr>
              <w:pStyle w:val="NoSpacing"/>
              <w:widowControl w:val="0"/>
              <w:jc w:val="center"/>
              <w:rPr>
                <w:rFonts w:ascii="Tahoma" w:eastAsiaTheme="minorHAnsi" w:hAnsi="Tahoma" w:cs="Tahoma"/>
                <w:b/>
                <w:bCs/>
                <w:sz w:val="20"/>
                <w:szCs w:val="20"/>
                <w:lang w:eastAsia="zh-CN"/>
              </w:rPr>
            </w:pPr>
            <w:r>
              <w:rPr>
                <w:rFonts w:ascii="Tahoma" w:eastAsia="SimSun" w:hAnsi="Tahoma" w:cs="Tahoma"/>
                <w:sz w:val="20"/>
                <w:szCs w:val="20"/>
                <w:lang w:eastAsia="zh-CN" w:bidi="ar"/>
              </w:rPr>
              <w:t>4.06</w:t>
            </w:r>
          </w:p>
        </w:tc>
        <w:tc>
          <w:tcPr>
            <w:tcW w:w="1707" w:type="dxa"/>
            <w:shd w:val="clear" w:color="auto" w:fill="auto"/>
          </w:tcPr>
          <w:p w14:paraId="0DAFF269" w14:textId="77777777" w:rsidR="00767CB1" w:rsidRDefault="00EF15D9">
            <w:pPr>
              <w:pStyle w:val="NoSpacing"/>
              <w:widowControl w:val="0"/>
              <w:jc w:val="both"/>
              <w:rPr>
                <w:rFonts w:ascii="Tahoma" w:eastAsiaTheme="minorHAnsi" w:hAnsi="Tahoma" w:cs="Tahoma"/>
                <w:sz w:val="20"/>
                <w:szCs w:val="20"/>
                <w:lang w:eastAsia="en-PH"/>
              </w:rPr>
            </w:pPr>
            <w:r>
              <w:rPr>
                <w:rFonts w:ascii="Tahoma" w:eastAsiaTheme="minorHAnsi" w:hAnsi="Tahoma" w:cs="Tahoma"/>
                <w:sz w:val="20"/>
                <w:szCs w:val="20"/>
                <w:lang w:eastAsia="en-PH"/>
              </w:rPr>
              <w:t>High</w:t>
            </w:r>
          </w:p>
        </w:tc>
      </w:tr>
      <w:tr w:rsidR="00767CB1" w14:paraId="09A9742A" w14:textId="77777777">
        <w:tc>
          <w:tcPr>
            <w:tcW w:w="4182" w:type="dxa"/>
            <w:shd w:val="clear" w:color="auto" w:fill="auto"/>
          </w:tcPr>
          <w:p w14:paraId="58230591" w14:textId="77777777" w:rsidR="00767CB1" w:rsidRDefault="00EF15D9">
            <w:pPr>
              <w:pStyle w:val="NoSpacing"/>
              <w:widowControl w:val="0"/>
              <w:jc w:val="both"/>
              <w:rPr>
                <w:rFonts w:ascii="Tahoma" w:eastAsiaTheme="minorHAnsi"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General Teaching Efficacy</w:t>
            </w:r>
          </w:p>
        </w:tc>
        <w:tc>
          <w:tcPr>
            <w:tcW w:w="733" w:type="dxa"/>
            <w:shd w:val="clear" w:color="auto" w:fill="auto"/>
          </w:tcPr>
          <w:p w14:paraId="17FF6400" w14:textId="77777777" w:rsidR="00767CB1" w:rsidRDefault="00EF15D9">
            <w:pPr>
              <w:pStyle w:val="NoSpacing"/>
              <w:widowControl w:val="0"/>
              <w:jc w:val="center"/>
              <w:rPr>
                <w:rFonts w:ascii="Tahoma" w:eastAsiaTheme="minorHAnsi" w:hAnsi="Tahoma" w:cs="Tahoma"/>
                <w:sz w:val="20"/>
                <w:szCs w:val="20"/>
                <w:lang w:eastAsia="en-PH"/>
              </w:rPr>
            </w:pPr>
            <w:r>
              <w:rPr>
                <w:rFonts w:ascii="Tahoma" w:hAnsi="Tahoma" w:cs="Tahoma"/>
                <w:sz w:val="20"/>
                <w:szCs w:val="20"/>
                <w:lang w:eastAsia="en-PH"/>
              </w:rPr>
              <w:t>0.64</w:t>
            </w:r>
          </w:p>
        </w:tc>
        <w:tc>
          <w:tcPr>
            <w:tcW w:w="1203" w:type="dxa"/>
            <w:shd w:val="clear" w:color="auto" w:fill="auto"/>
            <w:vAlign w:val="center"/>
          </w:tcPr>
          <w:p w14:paraId="4FA1B2BB" w14:textId="77777777" w:rsidR="00767CB1" w:rsidRDefault="00EF15D9">
            <w:pPr>
              <w:pStyle w:val="NoSpacing"/>
              <w:widowControl w:val="0"/>
              <w:jc w:val="center"/>
              <w:rPr>
                <w:rFonts w:ascii="Tahoma" w:eastAsiaTheme="minorHAnsi" w:hAnsi="Tahoma" w:cs="Tahoma"/>
                <w:b/>
                <w:bCs/>
                <w:sz w:val="20"/>
                <w:szCs w:val="20"/>
                <w:lang w:eastAsia="zh-CN"/>
              </w:rPr>
            </w:pPr>
            <w:r>
              <w:rPr>
                <w:rFonts w:ascii="Tahoma" w:eastAsia="SimSun" w:hAnsi="Tahoma" w:cs="Tahoma"/>
                <w:sz w:val="20"/>
                <w:szCs w:val="20"/>
                <w:lang w:eastAsia="zh-CN" w:bidi="ar"/>
              </w:rPr>
              <w:t>4.00</w:t>
            </w:r>
          </w:p>
        </w:tc>
        <w:tc>
          <w:tcPr>
            <w:tcW w:w="1707" w:type="dxa"/>
            <w:shd w:val="clear" w:color="auto" w:fill="auto"/>
          </w:tcPr>
          <w:p w14:paraId="3276066A" w14:textId="77777777" w:rsidR="00767CB1" w:rsidRDefault="00EF15D9">
            <w:pPr>
              <w:pStyle w:val="NoSpacing"/>
              <w:widowControl w:val="0"/>
              <w:jc w:val="both"/>
              <w:rPr>
                <w:rFonts w:ascii="Tahoma" w:eastAsiaTheme="minorHAnsi" w:hAnsi="Tahoma" w:cs="Tahoma"/>
                <w:sz w:val="20"/>
                <w:szCs w:val="20"/>
                <w:lang w:eastAsia="en-PH"/>
              </w:rPr>
            </w:pPr>
            <w:r>
              <w:rPr>
                <w:rFonts w:ascii="Tahoma" w:eastAsiaTheme="minorHAnsi" w:hAnsi="Tahoma" w:cs="Tahoma"/>
                <w:sz w:val="20"/>
                <w:szCs w:val="20"/>
                <w:lang w:eastAsia="en-PH"/>
              </w:rPr>
              <w:t>High</w:t>
            </w:r>
          </w:p>
        </w:tc>
      </w:tr>
      <w:tr w:rsidR="00767CB1" w14:paraId="05A56865" w14:textId="77777777">
        <w:tc>
          <w:tcPr>
            <w:tcW w:w="4182" w:type="dxa"/>
          </w:tcPr>
          <w:p w14:paraId="4A620A21" w14:textId="77777777" w:rsidR="00767CB1" w:rsidRDefault="00EF15D9">
            <w:pPr>
              <w:pStyle w:val="NoSpacing"/>
              <w:widowControl w:val="0"/>
              <w:jc w:val="both"/>
              <w:rPr>
                <w:rFonts w:ascii="Tahoma" w:hAnsi="Tahoma" w:cs="Tahoma"/>
                <w:b/>
                <w:bCs/>
                <w:sz w:val="20"/>
                <w:szCs w:val="20"/>
                <w:lang w:eastAsia="en-PH"/>
              </w:rPr>
            </w:pPr>
            <w:r>
              <w:rPr>
                <w:rFonts w:ascii="Tahoma" w:hAnsi="Tahoma" w:cs="Tahoma"/>
                <w:b/>
                <w:bCs/>
                <w:sz w:val="20"/>
                <w:szCs w:val="20"/>
                <w:lang w:val="en-PH" w:eastAsia="en-PH"/>
              </w:rPr>
              <w:t>Teacher Support</w:t>
            </w:r>
          </w:p>
        </w:tc>
        <w:tc>
          <w:tcPr>
            <w:tcW w:w="733" w:type="dxa"/>
          </w:tcPr>
          <w:p w14:paraId="38C76573" w14:textId="77777777" w:rsidR="00767CB1" w:rsidRDefault="00EF15D9">
            <w:pPr>
              <w:pStyle w:val="NoSpacing"/>
              <w:widowControl w:val="0"/>
              <w:jc w:val="center"/>
              <w:rPr>
                <w:rFonts w:ascii="Tahoma" w:hAnsi="Tahoma" w:cs="Tahoma"/>
                <w:b/>
                <w:bCs/>
                <w:sz w:val="20"/>
                <w:szCs w:val="20"/>
                <w:lang w:eastAsia="en-PH"/>
              </w:rPr>
            </w:pPr>
            <w:r>
              <w:rPr>
                <w:rFonts w:ascii="Tahoma" w:hAnsi="Tahoma" w:cs="Tahoma"/>
                <w:b/>
                <w:bCs/>
                <w:sz w:val="20"/>
                <w:szCs w:val="20"/>
                <w:lang w:eastAsia="en-PH"/>
              </w:rPr>
              <w:t>0.57</w:t>
            </w:r>
          </w:p>
        </w:tc>
        <w:tc>
          <w:tcPr>
            <w:tcW w:w="1203" w:type="dxa"/>
          </w:tcPr>
          <w:p w14:paraId="3D49C712" w14:textId="77777777" w:rsidR="00767CB1" w:rsidRDefault="00EF15D9">
            <w:pPr>
              <w:pStyle w:val="NoSpacing"/>
              <w:widowControl w:val="0"/>
              <w:jc w:val="center"/>
              <w:rPr>
                <w:rFonts w:ascii="Tahoma" w:hAnsi="Tahoma" w:cs="Tahoma"/>
                <w:b/>
                <w:bCs/>
                <w:sz w:val="20"/>
                <w:szCs w:val="20"/>
                <w:lang w:eastAsia="en-PH"/>
              </w:rPr>
            </w:pPr>
            <w:r>
              <w:rPr>
                <w:rFonts w:ascii="Tahoma" w:hAnsi="Tahoma" w:cs="Tahoma"/>
                <w:b/>
                <w:bCs/>
                <w:sz w:val="20"/>
                <w:szCs w:val="20"/>
                <w:lang w:eastAsia="en-PH"/>
              </w:rPr>
              <w:t>4.21</w:t>
            </w:r>
          </w:p>
        </w:tc>
        <w:tc>
          <w:tcPr>
            <w:tcW w:w="1707" w:type="dxa"/>
          </w:tcPr>
          <w:p w14:paraId="0363E32B" w14:textId="77777777" w:rsidR="00767CB1" w:rsidRDefault="00EF15D9">
            <w:pPr>
              <w:pStyle w:val="NoSpacing"/>
              <w:widowControl w:val="0"/>
              <w:jc w:val="both"/>
              <w:rPr>
                <w:rFonts w:ascii="Tahoma" w:hAnsi="Tahoma" w:cs="Tahoma"/>
                <w:sz w:val="20"/>
                <w:szCs w:val="20"/>
                <w:lang w:eastAsia="en-PH"/>
              </w:rPr>
            </w:pPr>
            <w:r>
              <w:rPr>
                <w:rFonts w:ascii="Arial" w:hAnsi="Arial" w:cs="Arial"/>
                <w:b/>
                <w:bCs/>
                <w:sz w:val="20"/>
                <w:szCs w:val="20"/>
                <w:lang w:val="en-PH" w:bidi="ar"/>
              </w:rPr>
              <w:t>Very High</w:t>
            </w:r>
          </w:p>
        </w:tc>
      </w:tr>
      <w:tr w:rsidR="00767CB1" w14:paraId="5BFA95BB" w14:textId="77777777">
        <w:tc>
          <w:tcPr>
            <w:tcW w:w="4182" w:type="dxa"/>
          </w:tcPr>
          <w:p w14:paraId="4AD7CD4E" w14:textId="77777777" w:rsidR="00767CB1" w:rsidRDefault="00EF15D9">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Personal Support</w:t>
            </w:r>
          </w:p>
        </w:tc>
        <w:tc>
          <w:tcPr>
            <w:tcW w:w="733" w:type="dxa"/>
          </w:tcPr>
          <w:p w14:paraId="109F8B4D" w14:textId="77777777" w:rsidR="00767CB1" w:rsidRDefault="00EF15D9">
            <w:pPr>
              <w:pStyle w:val="NoSpacing"/>
              <w:widowControl w:val="0"/>
              <w:jc w:val="center"/>
              <w:rPr>
                <w:rFonts w:ascii="Tahoma" w:hAnsi="Tahoma" w:cs="Tahoma"/>
                <w:sz w:val="20"/>
                <w:szCs w:val="20"/>
                <w:lang w:eastAsia="en-PH"/>
              </w:rPr>
            </w:pPr>
            <w:r>
              <w:rPr>
                <w:rFonts w:ascii="Tahoma" w:hAnsi="Tahoma" w:cs="Tahoma"/>
                <w:sz w:val="20"/>
                <w:szCs w:val="20"/>
                <w:lang w:eastAsia="en-PH"/>
              </w:rPr>
              <w:t>0.64</w:t>
            </w:r>
          </w:p>
        </w:tc>
        <w:tc>
          <w:tcPr>
            <w:tcW w:w="1203" w:type="dxa"/>
            <w:vAlign w:val="center"/>
          </w:tcPr>
          <w:p w14:paraId="23DDDB87" w14:textId="77777777" w:rsidR="00767CB1" w:rsidRDefault="00EF15D9">
            <w:pPr>
              <w:pStyle w:val="NoSpacing"/>
              <w:widowControl w:val="0"/>
              <w:jc w:val="center"/>
              <w:rPr>
                <w:rFonts w:ascii="Tahoma" w:hAnsi="Tahoma" w:cs="Tahoma"/>
                <w:sz w:val="20"/>
                <w:szCs w:val="20"/>
                <w:lang w:eastAsia="en-PH"/>
              </w:rPr>
            </w:pPr>
            <w:r>
              <w:rPr>
                <w:rFonts w:ascii="Tahoma" w:eastAsia="SimSun" w:hAnsi="Tahoma" w:cs="Tahoma"/>
                <w:sz w:val="20"/>
                <w:szCs w:val="20"/>
                <w:lang w:eastAsia="zh-CN" w:bidi="ar"/>
              </w:rPr>
              <w:t>4.26</w:t>
            </w:r>
          </w:p>
        </w:tc>
        <w:tc>
          <w:tcPr>
            <w:tcW w:w="1707" w:type="dxa"/>
          </w:tcPr>
          <w:p w14:paraId="22CCBDA9" w14:textId="77777777" w:rsidR="00767CB1" w:rsidRDefault="00EF15D9">
            <w:pPr>
              <w:jc w:val="both"/>
              <w:rPr>
                <w:rFonts w:ascii="Tahoma" w:hAnsi="Tahoma" w:cs="Tahoma"/>
                <w:sz w:val="20"/>
                <w:szCs w:val="20"/>
                <w:lang w:eastAsia="en-PH"/>
              </w:rPr>
            </w:pPr>
            <w:r>
              <w:rPr>
                <w:rFonts w:ascii="Arial" w:hAnsi="Arial" w:cs="Arial"/>
                <w:sz w:val="20"/>
                <w:szCs w:val="20"/>
                <w:lang w:val="en-PH"/>
              </w:rPr>
              <w:t>Very High</w:t>
            </w:r>
          </w:p>
        </w:tc>
      </w:tr>
      <w:tr w:rsidR="00767CB1" w14:paraId="584C4F80" w14:textId="77777777">
        <w:tc>
          <w:tcPr>
            <w:tcW w:w="4182" w:type="dxa"/>
          </w:tcPr>
          <w:p w14:paraId="2CAB22D8" w14:textId="77777777" w:rsidR="00767CB1" w:rsidRDefault="00EF15D9">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Career Support</w:t>
            </w:r>
          </w:p>
        </w:tc>
        <w:tc>
          <w:tcPr>
            <w:tcW w:w="733" w:type="dxa"/>
          </w:tcPr>
          <w:p w14:paraId="3EB292C1" w14:textId="77777777" w:rsidR="00767CB1" w:rsidRDefault="00EF15D9">
            <w:pPr>
              <w:pStyle w:val="NoSpacing"/>
              <w:widowControl w:val="0"/>
              <w:jc w:val="center"/>
              <w:rPr>
                <w:rFonts w:ascii="Tahoma" w:hAnsi="Tahoma" w:cs="Tahoma"/>
                <w:sz w:val="20"/>
                <w:szCs w:val="20"/>
                <w:lang w:eastAsia="en-PH"/>
              </w:rPr>
            </w:pPr>
            <w:r>
              <w:rPr>
                <w:rFonts w:ascii="Tahoma" w:hAnsi="Tahoma" w:cs="Tahoma"/>
                <w:sz w:val="20"/>
                <w:szCs w:val="20"/>
                <w:lang w:eastAsia="en-PH"/>
              </w:rPr>
              <w:t>0.64</w:t>
            </w:r>
          </w:p>
        </w:tc>
        <w:tc>
          <w:tcPr>
            <w:tcW w:w="1203" w:type="dxa"/>
            <w:vAlign w:val="center"/>
          </w:tcPr>
          <w:p w14:paraId="4A793290" w14:textId="77777777" w:rsidR="00767CB1" w:rsidRDefault="00EF15D9">
            <w:pPr>
              <w:pStyle w:val="NoSpacing"/>
              <w:widowControl w:val="0"/>
              <w:jc w:val="center"/>
              <w:rPr>
                <w:rFonts w:ascii="Tahoma" w:hAnsi="Tahoma" w:cs="Tahoma"/>
                <w:sz w:val="20"/>
                <w:szCs w:val="20"/>
                <w:lang w:eastAsia="en-PH"/>
              </w:rPr>
            </w:pPr>
            <w:r>
              <w:rPr>
                <w:rFonts w:ascii="Tahoma" w:eastAsia="SimSun" w:hAnsi="Tahoma" w:cs="Tahoma"/>
                <w:sz w:val="20"/>
                <w:szCs w:val="20"/>
                <w:lang w:eastAsia="zh-CN" w:bidi="ar"/>
              </w:rPr>
              <w:t>4.25</w:t>
            </w:r>
          </w:p>
        </w:tc>
        <w:tc>
          <w:tcPr>
            <w:tcW w:w="1707" w:type="dxa"/>
          </w:tcPr>
          <w:p w14:paraId="3D555110" w14:textId="77777777" w:rsidR="00767CB1" w:rsidRDefault="00EF15D9">
            <w:pPr>
              <w:jc w:val="both"/>
              <w:rPr>
                <w:rFonts w:ascii="Tahoma" w:hAnsi="Tahoma" w:cs="Tahoma"/>
                <w:sz w:val="20"/>
                <w:szCs w:val="20"/>
                <w:lang w:eastAsia="en-PH"/>
              </w:rPr>
            </w:pPr>
            <w:r>
              <w:rPr>
                <w:rFonts w:ascii="Arial" w:hAnsi="Arial" w:cs="Arial"/>
                <w:sz w:val="20"/>
                <w:szCs w:val="20"/>
                <w:lang w:val="en-PH"/>
              </w:rPr>
              <w:t>Very High</w:t>
            </w:r>
          </w:p>
        </w:tc>
      </w:tr>
      <w:tr w:rsidR="00767CB1" w14:paraId="50CDCEDA" w14:textId="77777777">
        <w:tc>
          <w:tcPr>
            <w:tcW w:w="4182" w:type="dxa"/>
          </w:tcPr>
          <w:p w14:paraId="41DFD3AD" w14:textId="77777777" w:rsidR="00767CB1" w:rsidRDefault="00EF15D9">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Professional</w:t>
            </w:r>
            <w:r>
              <w:rPr>
                <w:rFonts w:ascii="Tahoma" w:hAnsi="Tahoma" w:cs="Tahoma"/>
                <w:sz w:val="20"/>
                <w:szCs w:val="20"/>
                <w:lang w:val="en-PH" w:eastAsia="en-PH"/>
              </w:rPr>
              <w:t xml:space="preserve"> Knowledge Support</w:t>
            </w:r>
          </w:p>
        </w:tc>
        <w:tc>
          <w:tcPr>
            <w:tcW w:w="733" w:type="dxa"/>
          </w:tcPr>
          <w:p w14:paraId="4DDEC0C7" w14:textId="77777777" w:rsidR="00767CB1" w:rsidRDefault="00EF15D9">
            <w:pPr>
              <w:pStyle w:val="NoSpacing"/>
              <w:widowControl w:val="0"/>
              <w:jc w:val="center"/>
              <w:rPr>
                <w:rFonts w:ascii="Tahoma" w:hAnsi="Tahoma" w:cs="Tahoma"/>
                <w:sz w:val="20"/>
                <w:szCs w:val="20"/>
                <w:lang w:eastAsia="en-PH"/>
              </w:rPr>
            </w:pPr>
            <w:r>
              <w:rPr>
                <w:rFonts w:ascii="Tahoma" w:hAnsi="Tahoma" w:cs="Tahoma"/>
                <w:sz w:val="20"/>
                <w:szCs w:val="20"/>
                <w:lang w:eastAsia="en-PH"/>
              </w:rPr>
              <w:t>0.63</w:t>
            </w:r>
          </w:p>
        </w:tc>
        <w:tc>
          <w:tcPr>
            <w:tcW w:w="1203" w:type="dxa"/>
            <w:vAlign w:val="center"/>
          </w:tcPr>
          <w:p w14:paraId="02E5A5AD" w14:textId="77777777" w:rsidR="00767CB1" w:rsidRDefault="00EF15D9">
            <w:pPr>
              <w:pStyle w:val="NoSpacing"/>
              <w:widowControl w:val="0"/>
              <w:jc w:val="center"/>
              <w:rPr>
                <w:rFonts w:ascii="Tahoma" w:hAnsi="Tahoma" w:cs="Tahoma"/>
                <w:sz w:val="20"/>
                <w:szCs w:val="20"/>
                <w:lang w:eastAsia="en-PH"/>
              </w:rPr>
            </w:pPr>
            <w:r>
              <w:rPr>
                <w:rFonts w:ascii="Tahoma" w:eastAsia="SimSun" w:hAnsi="Tahoma" w:cs="Tahoma"/>
                <w:sz w:val="20"/>
                <w:szCs w:val="20"/>
                <w:lang w:eastAsia="zh-CN" w:bidi="ar"/>
              </w:rPr>
              <w:t>4.17</w:t>
            </w:r>
          </w:p>
        </w:tc>
        <w:tc>
          <w:tcPr>
            <w:tcW w:w="1707" w:type="dxa"/>
          </w:tcPr>
          <w:p w14:paraId="3091D4D8" w14:textId="77777777" w:rsidR="00767CB1" w:rsidRDefault="00EF15D9">
            <w:pPr>
              <w:jc w:val="both"/>
              <w:rPr>
                <w:rFonts w:ascii="Tahoma" w:hAnsi="Tahoma" w:cs="Tahoma"/>
                <w:sz w:val="20"/>
                <w:szCs w:val="20"/>
                <w:lang w:eastAsia="en-PH"/>
              </w:rPr>
            </w:pPr>
            <w:r>
              <w:rPr>
                <w:rFonts w:ascii="Arial" w:hAnsi="Arial" w:cs="Arial"/>
                <w:sz w:val="20"/>
                <w:szCs w:val="20"/>
                <w:lang w:val="en-PH"/>
              </w:rPr>
              <w:t>High</w:t>
            </w:r>
          </w:p>
        </w:tc>
      </w:tr>
      <w:tr w:rsidR="00767CB1" w14:paraId="6065AC82" w14:textId="77777777">
        <w:tc>
          <w:tcPr>
            <w:tcW w:w="4182" w:type="dxa"/>
          </w:tcPr>
          <w:p w14:paraId="500118DA" w14:textId="77777777" w:rsidR="00767CB1" w:rsidRDefault="00EF15D9">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 xml:space="preserve">Instructional Process </w:t>
            </w:r>
            <w:r>
              <w:rPr>
                <w:rFonts w:ascii="Tahoma" w:hAnsi="Tahoma" w:cs="Tahoma"/>
                <w:sz w:val="20"/>
                <w:szCs w:val="20"/>
                <w:lang w:val="en-PH" w:eastAsia="en-PH"/>
              </w:rPr>
              <w:t>Support</w:t>
            </w:r>
          </w:p>
        </w:tc>
        <w:tc>
          <w:tcPr>
            <w:tcW w:w="733" w:type="dxa"/>
          </w:tcPr>
          <w:p w14:paraId="73FE6E95" w14:textId="77777777" w:rsidR="00767CB1" w:rsidRDefault="00EF15D9">
            <w:pPr>
              <w:pStyle w:val="NoSpacing"/>
              <w:widowControl w:val="0"/>
              <w:jc w:val="center"/>
              <w:rPr>
                <w:rFonts w:ascii="Tahoma" w:hAnsi="Tahoma" w:cs="Tahoma"/>
                <w:sz w:val="20"/>
                <w:szCs w:val="20"/>
                <w:lang w:eastAsia="en-PH"/>
              </w:rPr>
            </w:pPr>
            <w:r>
              <w:rPr>
                <w:rFonts w:ascii="Tahoma" w:hAnsi="Tahoma" w:cs="Tahoma"/>
                <w:sz w:val="20"/>
                <w:szCs w:val="20"/>
                <w:lang w:eastAsia="en-PH"/>
              </w:rPr>
              <w:t>0.67</w:t>
            </w:r>
          </w:p>
        </w:tc>
        <w:tc>
          <w:tcPr>
            <w:tcW w:w="1203" w:type="dxa"/>
            <w:vAlign w:val="center"/>
          </w:tcPr>
          <w:p w14:paraId="11E711CC" w14:textId="77777777" w:rsidR="00767CB1" w:rsidRDefault="00EF15D9">
            <w:pPr>
              <w:pStyle w:val="NoSpacing"/>
              <w:widowControl w:val="0"/>
              <w:jc w:val="center"/>
              <w:rPr>
                <w:rFonts w:ascii="Tahoma" w:hAnsi="Tahoma" w:cs="Tahoma"/>
                <w:sz w:val="20"/>
                <w:szCs w:val="20"/>
                <w:lang w:eastAsia="en-PH"/>
              </w:rPr>
            </w:pPr>
            <w:r>
              <w:rPr>
                <w:rFonts w:ascii="Tahoma" w:eastAsia="SimSun" w:hAnsi="Tahoma" w:cs="Tahoma"/>
                <w:sz w:val="20"/>
                <w:szCs w:val="20"/>
                <w:lang w:eastAsia="zh-CN" w:bidi="ar"/>
              </w:rPr>
              <w:t>4.19</w:t>
            </w:r>
          </w:p>
        </w:tc>
        <w:tc>
          <w:tcPr>
            <w:tcW w:w="1707" w:type="dxa"/>
          </w:tcPr>
          <w:p w14:paraId="39FB9769" w14:textId="77777777" w:rsidR="00767CB1" w:rsidRDefault="00EF15D9">
            <w:pPr>
              <w:jc w:val="both"/>
              <w:rPr>
                <w:rFonts w:ascii="Tahoma" w:hAnsi="Tahoma" w:cs="Tahoma"/>
                <w:sz w:val="20"/>
                <w:szCs w:val="20"/>
                <w:lang w:eastAsia="en-PH"/>
              </w:rPr>
            </w:pPr>
            <w:r>
              <w:rPr>
                <w:rFonts w:ascii="Arial" w:hAnsi="Arial" w:cs="Arial"/>
                <w:sz w:val="20"/>
                <w:szCs w:val="20"/>
                <w:lang w:val="en-PH"/>
              </w:rPr>
              <w:t>High</w:t>
            </w:r>
          </w:p>
        </w:tc>
      </w:tr>
      <w:tr w:rsidR="00767CB1" w14:paraId="6998A00B" w14:textId="77777777">
        <w:tc>
          <w:tcPr>
            <w:tcW w:w="4182" w:type="dxa"/>
          </w:tcPr>
          <w:p w14:paraId="2327D166" w14:textId="77777777" w:rsidR="00767CB1" w:rsidRDefault="00EF15D9">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Role Modeling Support</w:t>
            </w:r>
          </w:p>
        </w:tc>
        <w:tc>
          <w:tcPr>
            <w:tcW w:w="733" w:type="dxa"/>
          </w:tcPr>
          <w:p w14:paraId="729738D6" w14:textId="77777777" w:rsidR="00767CB1" w:rsidRDefault="00EF15D9">
            <w:pPr>
              <w:pStyle w:val="NoSpacing"/>
              <w:widowControl w:val="0"/>
              <w:jc w:val="center"/>
              <w:rPr>
                <w:rFonts w:ascii="Tahoma" w:hAnsi="Tahoma" w:cs="Tahoma"/>
                <w:sz w:val="20"/>
                <w:szCs w:val="20"/>
                <w:lang w:eastAsia="en-PH"/>
              </w:rPr>
            </w:pPr>
            <w:r>
              <w:rPr>
                <w:rFonts w:ascii="Tahoma" w:hAnsi="Tahoma" w:cs="Tahoma"/>
                <w:sz w:val="20"/>
                <w:szCs w:val="20"/>
                <w:lang w:eastAsia="en-PH"/>
              </w:rPr>
              <w:t>0.65</w:t>
            </w:r>
          </w:p>
        </w:tc>
        <w:tc>
          <w:tcPr>
            <w:tcW w:w="1203" w:type="dxa"/>
            <w:vAlign w:val="center"/>
          </w:tcPr>
          <w:p w14:paraId="42E34E59" w14:textId="77777777" w:rsidR="00767CB1" w:rsidRDefault="00EF15D9">
            <w:pPr>
              <w:pStyle w:val="NoSpacing"/>
              <w:widowControl w:val="0"/>
              <w:jc w:val="center"/>
              <w:rPr>
                <w:rFonts w:ascii="Tahoma" w:hAnsi="Tahoma" w:cs="Tahoma"/>
                <w:sz w:val="20"/>
                <w:szCs w:val="20"/>
                <w:lang w:eastAsia="en-PH"/>
              </w:rPr>
            </w:pPr>
            <w:r>
              <w:rPr>
                <w:rFonts w:ascii="Tahoma" w:eastAsia="SimSun" w:hAnsi="Tahoma" w:cs="Tahoma"/>
                <w:sz w:val="20"/>
                <w:szCs w:val="20"/>
                <w:lang w:eastAsia="zh-CN" w:bidi="ar"/>
              </w:rPr>
              <w:t>4.24</w:t>
            </w:r>
          </w:p>
        </w:tc>
        <w:tc>
          <w:tcPr>
            <w:tcW w:w="1707" w:type="dxa"/>
          </w:tcPr>
          <w:p w14:paraId="73ECAF31" w14:textId="77777777" w:rsidR="00767CB1" w:rsidRDefault="00EF15D9">
            <w:pPr>
              <w:jc w:val="both"/>
              <w:rPr>
                <w:rFonts w:ascii="Tahoma" w:hAnsi="Tahoma" w:cs="Tahoma"/>
                <w:sz w:val="20"/>
                <w:szCs w:val="20"/>
                <w:lang w:eastAsia="en-PH"/>
              </w:rPr>
            </w:pPr>
            <w:r>
              <w:rPr>
                <w:rFonts w:ascii="Arial" w:hAnsi="Arial" w:cs="Arial"/>
                <w:sz w:val="20"/>
                <w:szCs w:val="20"/>
                <w:lang w:val="en-PH" w:bidi="ar"/>
              </w:rPr>
              <w:t>Very High</w:t>
            </w:r>
          </w:p>
        </w:tc>
      </w:tr>
      <w:tr w:rsidR="00767CB1" w14:paraId="7AB65E8F" w14:textId="77777777">
        <w:tc>
          <w:tcPr>
            <w:tcW w:w="4182" w:type="dxa"/>
          </w:tcPr>
          <w:p w14:paraId="380C6A52" w14:textId="77777777" w:rsidR="00767CB1" w:rsidRDefault="00EF15D9">
            <w:pPr>
              <w:pStyle w:val="NoSpacing"/>
              <w:widowControl w:val="0"/>
              <w:rPr>
                <w:rFonts w:ascii="Tahoma" w:hAnsi="Tahoma" w:cs="Tahoma"/>
                <w:b/>
                <w:bCs/>
                <w:iCs/>
                <w:sz w:val="20"/>
                <w:szCs w:val="20"/>
                <w:lang w:val="en-PH" w:eastAsia="en-PH"/>
              </w:rPr>
            </w:pPr>
            <w:r>
              <w:rPr>
                <w:rFonts w:ascii="Tahoma" w:hAnsi="Tahoma" w:cs="Tahoma"/>
                <w:b/>
                <w:bCs/>
                <w:iCs/>
                <w:sz w:val="20"/>
                <w:szCs w:val="20"/>
                <w:lang w:val="en-PH" w:eastAsia="en-PH"/>
              </w:rPr>
              <w:t>Teaching Demonstration Performance</w:t>
            </w:r>
          </w:p>
        </w:tc>
        <w:tc>
          <w:tcPr>
            <w:tcW w:w="733" w:type="dxa"/>
          </w:tcPr>
          <w:p w14:paraId="1D1393E7" w14:textId="77777777" w:rsidR="00767CB1" w:rsidRDefault="00EF15D9">
            <w:pPr>
              <w:pStyle w:val="NoSpacing"/>
              <w:widowControl w:val="0"/>
              <w:jc w:val="center"/>
              <w:rPr>
                <w:rFonts w:ascii="Tahoma" w:hAnsi="Tahoma" w:cs="Tahoma"/>
                <w:b/>
                <w:bCs/>
                <w:sz w:val="20"/>
                <w:szCs w:val="20"/>
                <w:lang w:eastAsia="en-PH"/>
              </w:rPr>
            </w:pPr>
            <w:r>
              <w:rPr>
                <w:rFonts w:ascii="Tahoma" w:hAnsi="Tahoma" w:cs="Tahoma"/>
                <w:b/>
                <w:bCs/>
                <w:sz w:val="20"/>
                <w:szCs w:val="20"/>
                <w:lang w:eastAsia="en-PH"/>
              </w:rPr>
              <w:t>0.36</w:t>
            </w:r>
          </w:p>
        </w:tc>
        <w:tc>
          <w:tcPr>
            <w:tcW w:w="1203" w:type="dxa"/>
            <w:vAlign w:val="center"/>
          </w:tcPr>
          <w:p w14:paraId="698EA631" w14:textId="77777777" w:rsidR="00767CB1" w:rsidRDefault="00EF15D9">
            <w:pPr>
              <w:pStyle w:val="NoSpacing"/>
              <w:widowControl w:val="0"/>
              <w:jc w:val="center"/>
              <w:rPr>
                <w:rFonts w:ascii="Tahoma" w:hAnsi="Tahoma" w:cs="Tahoma"/>
                <w:b/>
                <w:bCs/>
                <w:sz w:val="20"/>
                <w:szCs w:val="20"/>
                <w:lang w:eastAsia="en-PH"/>
              </w:rPr>
            </w:pPr>
            <w:r>
              <w:rPr>
                <w:rFonts w:ascii="Tahoma" w:eastAsia="SimSun" w:hAnsi="Tahoma" w:cs="Tahoma"/>
                <w:b/>
                <w:bCs/>
                <w:sz w:val="20"/>
                <w:szCs w:val="20"/>
                <w:lang w:eastAsia="zh-CN" w:bidi="ar"/>
              </w:rPr>
              <w:t>4.41</w:t>
            </w:r>
          </w:p>
        </w:tc>
        <w:tc>
          <w:tcPr>
            <w:tcW w:w="1707" w:type="dxa"/>
          </w:tcPr>
          <w:p w14:paraId="0DF7F6BE" w14:textId="77777777" w:rsidR="00767CB1" w:rsidRDefault="00EF15D9">
            <w:pPr>
              <w:pStyle w:val="NoSpacing"/>
              <w:widowControl w:val="0"/>
              <w:jc w:val="both"/>
              <w:rPr>
                <w:rFonts w:ascii="Tahoma" w:hAnsi="Tahoma" w:cs="Tahoma"/>
                <w:sz w:val="20"/>
                <w:szCs w:val="20"/>
                <w:lang w:eastAsia="en-PH"/>
              </w:rPr>
            </w:pPr>
            <w:r>
              <w:rPr>
                <w:rFonts w:ascii="Arial" w:hAnsi="Arial" w:cs="Arial"/>
                <w:b/>
                <w:bCs/>
                <w:sz w:val="20"/>
                <w:szCs w:val="20"/>
                <w:lang w:val="en-PH"/>
              </w:rPr>
              <w:t>Very High</w:t>
            </w:r>
          </w:p>
        </w:tc>
      </w:tr>
      <w:tr w:rsidR="00767CB1" w14:paraId="3960F7FF" w14:textId="77777777">
        <w:tc>
          <w:tcPr>
            <w:tcW w:w="4182" w:type="dxa"/>
          </w:tcPr>
          <w:p w14:paraId="6E6F5DCE" w14:textId="77777777" w:rsidR="00767CB1" w:rsidRDefault="00EF15D9">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Lesson Planning</w:t>
            </w:r>
          </w:p>
        </w:tc>
        <w:tc>
          <w:tcPr>
            <w:tcW w:w="733" w:type="dxa"/>
          </w:tcPr>
          <w:p w14:paraId="2E0957AE" w14:textId="77777777" w:rsidR="00767CB1" w:rsidRDefault="00EF15D9">
            <w:pPr>
              <w:pStyle w:val="NoSpacing"/>
              <w:widowControl w:val="0"/>
              <w:jc w:val="center"/>
              <w:rPr>
                <w:rFonts w:ascii="Tahoma" w:hAnsi="Tahoma" w:cs="Tahoma"/>
                <w:sz w:val="20"/>
                <w:szCs w:val="20"/>
                <w:lang w:eastAsia="en-PH"/>
              </w:rPr>
            </w:pPr>
            <w:r>
              <w:rPr>
                <w:rFonts w:ascii="Tahoma" w:hAnsi="Tahoma" w:cs="Tahoma"/>
                <w:sz w:val="20"/>
                <w:szCs w:val="20"/>
                <w:lang w:eastAsia="en-PH"/>
              </w:rPr>
              <w:t>0.58</w:t>
            </w:r>
          </w:p>
        </w:tc>
        <w:tc>
          <w:tcPr>
            <w:tcW w:w="1203" w:type="dxa"/>
            <w:vAlign w:val="center"/>
          </w:tcPr>
          <w:p w14:paraId="037F9A5A" w14:textId="77777777" w:rsidR="00767CB1" w:rsidRDefault="00EF15D9">
            <w:pPr>
              <w:pStyle w:val="NoSpacing"/>
              <w:widowControl w:val="0"/>
              <w:jc w:val="center"/>
              <w:rPr>
                <w:rFonts w:ascii="Tahoma" w:hAnsi="Tahoma" w:cs="Tahoma"/>
                <w:sz w:val="20"/>
                <w:szCs w:val="20"/>
                <w:lang w:eastAsia="en-PH"/>
              </w:rPr>
            </w:pPr>
            <w:r>
              <w:rPr>
                <w:rFonts w:ascii="Tahoma" w:eastAsia="SimSun" w:hAnsi="Tahoma" w:cs="Tahoma"/>
                <w:sz w:val="20"/>
                <w:szCs w:val="20"/>
                <w:lang w:eastAsia="zh-CN" w:bidi="ar"/>
              </w:rPr>
              <w:t>4.51</w:t>
            </w:r>
          </w:p>
        </w:tc>
        <w:tc>
          <w:tcPr>
            <w:tcW w:w="1707" w:type="dxa"/>
          </w:tcPr>
          <w:p w14:paraId="7C2F7E68" w14:textId="77777777" w:rsidR="00767CB1" w:rsidRDefault="00EF15D9">
            <w:pPr>
              <w:jc w:val="both"/>
              <w:rPr>
                <w:rFonts w:ascii="Tahoma" w:hAnsi="Tahoma" w:cs="Tahoma"/>
                <w:sz w:val="20"/>
                <w:szCs w:val="20"/>
                <w:lang w:eastAsia="en-PH"/>
              </w:rPr>
            </w:pPr>
            <w:r>
              <w:rPr>
                <w:rFonts w:ascii="Arial" w:hAnsi="Arial" w:cs="Arial"/>
                <w:sz w:val="20"/>
                <w:szCs w:val="20"/>
                <w:lang w:val="en-PH" w:bidi="ar"/>
              </w:rPr>
              <w:t>Very High</w:t>
            </w:r>
          </w:p>
        </w:tc>
      </w:tr>
      <w:tr w:rsidR="00767CB1" w14:paraId="67F902B8" w14:textId="77777777">
        <w:tc>
          <w:tcPr>
            <w:tcW w:w="4182" w:type="dxa"/>
          </w:tcPr>
          <w:p w14:paraId="67803469" w14:textId="77777777" w:rsidR="00767CB1" w:rsidRDefault="00EF15D9">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Teaching Methods</w:t>
            </w:r>
          </w:p>
        </w:tc>
        <w:tc>
          <w:tcPr>
            <w:tcW w:w="733" w:type="dxa"/>
          </w:tcPr>
          <w:p w14:paraId="653A45DB" w14:textId="77777777" w:rsidR="00767CB1" w:rsidRDefault="00EF15D9">
            <w:pPr>
              <w:pStyle w:val="NoSpacing"/>
              <w:widowControl w:val="0"/>
              <w:jc w:val="center"/>
              <w:rPr>
                <w:rFonts w:ascii="Tahoma" w:hAnsi="Tahoma" w:cs="Tahoma"/>
                <w:sz w:val="20"/>
                <w:szCs w:val="20"/>
                <w:lang w:eastAsia="en-PH"/>
              </w:rPr>
            </w:pPr>
            <w:r>
              <w:rPr>
                <w:rFonts w:ascii="Tahoma" w:hAnsi="Tahoma" w:cs="Tahoma"/>
                <w:sz w:val="20"/>
                <w:szCs w:val="20"/>
                <w:lang w:eastAsia="en-PH"/>
              </w:rPr>
              <w:t>0.44</w:t>
            </w:r>
          </w:p>
        </w:tc>
        <w:tc>
          <w:tcPr>
            <w:tcW w:w="1203" w:type="dxa"/>
            <w:vAlign w:val="center"/>
          </w:tcPr>
          <w:p w14:paraId="31CB88F6" w14:textId="77777777" w:rsidR="00767CB1" w:rsidRDefault="00EF15D9">
            <w:pPr>
              <w:pStyle w:val="NoSpacing"/>
              <w:widowControl w:val="0"/>
              <w:jc w:val="center"/>
              <w:rPr>
                <w:rFonts w:ascii="Tahoma" w:hAnsi="Tahoma" w:cs="Tahoma"/>
                <w:sz w:val="20"/>
                <w:szCs w:val="20"/>
                <w:lang w:eastAsia="en-PH"/>
              </w:rPr>
            </w:pPr>
            <w:r>
              <w:rPr>
                <w:rFonts w:ascii="Tahoma" w:eastAsia="SimSun" w:hAnsi="Tahoma" w:cs="Tahoma"/>
                <w:sz w:val="20"/>
                <w:szCs w:val="20"/>
                <w:lang w:eastAsia="zh-CN" w:bidi="ar"/>
              </w:rPr>
              <w:t>4.34</w:t>
            </w:r>
          </w:p>
        </w:tc>
        <w:tc>
          <w:tcPr>
            <w:tcW w:w="1707" w:type="dxa"/>
          </w:tcPr>
          <w:p w14:paraId="2F90DDBF" w14:textId="77777777" w:rsidR="00767CB1" w:rsidRDefault="00EF15D9">
            <w:pPr>
              <w:jc w:val="both"/>
              <w:rPr>
                <w:rFonts w:ascii="Tahoma" w:hAnsi="Tahoma" w:cs="Tahoma"/>
                <w:sz w:val="20"/>
                <w:szCs w:val="20"/>
                <w:lang w:eastAsia="en-PH"/>
              </w:rPr>
            </w:pPr>
            <w:r>
              <w:rPr>
                <w:rFonts w:ascii="Arial" w:hAnsi="Arial" w:cs="Arial"/>
                <w:sz w:val="20"/>
                <w:szCs w:val="20"/>
                <w:lang w:val="en-PH"/>
              </w:rPr>
              <w:t>Very High</w:t>
            </w:r>
          </w:p>
        </w:tc>
      </w:tr>
      <w:tr w:rsidR="00767CB1" w14:paraId="72BB2E6A" w14:textId="77777777">
        <w:tc>
          <w:tcPr>
            <w:tcW w:w="4182" w:type="dxa"/>
          </w:tcPr>
          <w:p w14:paraId="3AB5301B" w14:textId="77777777" w:rsidR="00767CB1" w:rsidRDefault="00EF15D9">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Classroom Management</w:t>
            </w:r>
          </w:p>
        </w:tc>
        <w:tc>
          <w:tcPr>
            <w:tcW w:w="733" w:type="dxa"/>
          </w:tcPr>
          <w:p w14:paraId="05E677F1" w14:textId="77777777" w:rsidR="00767CB1" w:rsidRDefault="00EF15D9">
            <w:pPr>
              <w:pStyle w:val="NoSpacing"/>
              <w:widowControl w:val="0"/>
              <w:jc w:val="center"/>
              <w:rPr>
                <w:rFonts w:ascii="Tahoma" w:hAnsi="Tahoma" w:cs="Tahoma"/>
                <w:sz w:val="20"/>
                <w:szCs w:val="20"/>
                <w:lang w:eastAsia="en-PH"/>
              </w:rPr>
            </w:pPr>
            <w:r>
              <w:rPr>
                <w:rFonts w:ascii="Tahoma" w:hAnsi="Tahoma" w:cs="Tahoma"/>
                <w:sz w:val="20"/>
                <w:szCs w:val="20"/>
                <w:lang w:eastAsia="en-PH"/>
              </w:rPr>
              <w:t>0.43</w:t>
            </w:r>
          </w:p>
        </w:tc>
        <w:tc>
          <w:tcPr>
            <w:tcW w:w="1203" w:type="dxa"/>
            <w:vAlign w:val="center"/>
          </w:tcPr>
          <w:p w14:paraId="2764E814" w14:textId="77777777" w:rsidR="00767CB1" w:rsidRDefault="00EF15D9">
            <w:pPr>
              <w:pStyle w:val="NoSpacing"/>
              <w:widowControl w:val="0"/>
              <w:jc w:val="center"/>
              <w:rPr>
                <w:rFonts w:ascii="Tahoma" w:eastAsia="Aptos Narrow" w:hAnsi="Tahoma" w:cs="Tahoma"/>
                <w:sz w:val="20"/>
                <w:szCs w:val="20"/>
                <w:lang w:eastAsia="zh-CN" w:bidi="ar"/>
              </w:rPr>
            </w:pPr>
            <w:r>
              <w:rPr>
                <w:rFonts w:ascii="Tahoma" w:eastAsia="SimSun" w:hAnsi="Tahoma" w:cs="Tahoma"/>
                <w:sz w:val="20"/>
                <w:szCs w:val="20"/>
                <w:lang w:eastAsia="zh-CN" w:bidi="ar"/>
              </w:rPr>
              <w:t>4.33</w:t>
            </w:r>
          </w:p>
        </w:tc>
        <w:tc>
          <w:tcPr>
            <w:tcW w:w="1707" w:type="dxa"/>
          </w:tcPr>
          <w:p w14:paraId="62800E86" w14:textId="77777777" w:rsidR="00767CB1" w:rsidRDefault="00EF15D9">
            <w:pPr>
              <w:jc w:val="both"/>
              <w:rPr>
                <w:rFonts w:ascii="Tahoma" w:hAnsi="Tahoma" w:cs="Tahoma"/>
                <w:sz w:val="20"/>
                <w:szCs w:val="20"/>
                <w:lang w:eastAsia="en-PH"/>
              </w:rPr>
            </w:pPr>
            <w:r>
              <w:rPr>
                <w:rFonts w:ascii="Arial" w:hAnsi="Arial" w:cs="Arial"/>
                <w:sz w:val="20"/>
                <w:szCs w:val="20"/>
                <w:lang w:val="en-PH"/>
              </w:rPr>
              <w:t xml:space="preserve">Very </w:t>
            </w:r>
            <w:r>
              <w:rPr>
                <w:rFonts w:ascii="Arial" w:hAnsi="Arial" w:cs="Arial"/>
                <w:sz w:val="20"/>
                <w:szCs w:val="20"/>
                <w:lang w:val="en-PH"/>
              </w:rPr>
              <w:t>High</w:t>
            </w:r>
          </w:p>
        </w:tc>
      </w:tr>
      <w:tr w:rsidR="00767CB1" w14:paraId="2AE46BC9" w14:textId="77777777">
        <w:tc>
          <w:tcPr>
            <w:tcW w:w="4182" w:type="dxa"/>
          </w:tcPr>
          <w:p w14:paraId="146EA1A1" w14:textId="77777777" w:rsidR="00767CB1" w:rsidRDefault="00EF15D9">
            <w:pPr>
              <w:pStyle w:val="NoSpacing"/>
              <w:widowControl w:val="0"/>
              <w:jc w:val="both"/>
              <w:rPr>
                <w:rFonts w:ascii="Tahoma" w:hAnsi="Tahoma" w:cs="Tahoma"/>
                <w:sz w:val="20"/>
                <w:szCs w:val="20"/>
                <w:lang w:eastAsia="en-PH"/>
              </w:rPr>
            </w:pPr>
            <w:r>
              <w:rPr>
                <w:rFonts w:ascii="Tahoma" w:hAnsi="Tahoma" w:cs="Tahoma"/>
                <w:sz w:val="20"/>
                <w:szCs w:val="20"/>
                <w:lang w:eastAsia="en-PH"/>
              </w:rPr>
              <w:t xml:space="preserve">     </w:t>
            </w:r>
            <w:r>
              <w:rPr>
                <w:rFonts w:ascii="Tahoma" w:hAnsi="Tahoma" w:cs="Tahoma"/>
                <w:sz w:val="20"/>
                <w:szCs w:val="20"/>
                <w:lang w:val="en-PH" w:eastAsia="en-PH"/>
              </w:rPr>
              <w:t>Communication Skills</w:t>
            </w:r>
          </w:p>
        </w:tc>
        <w:tc>
          <w:tcPr>
            <w:tcW w:w="733" w:type="dxa"/>
          </w:tcPr>
          <w:p w14:paraId="01603BBE" w14:textId="77777777" w:rsidR="00767CB1" w:rsidRDefault="00EF15D9">
            <w:pPr>
              <w:pStyle w:val="NoSpacing"/>
              <w:widowControl w:val="0"/>
              <w:jc w:val="center"/>
              <w:rPr>
                <w:rFonts w:ascii="Tahoma" w:hAnsi="Tahoma" w:cs="Tahoma"/>
                <w:sz w:val="20"/>
                <w:szCs w:val="20"/>
                <w:lang w:eastAsia="en-PH"/>
              </w:rPr>
            </w:pPr>
            <w:r>
              <w:rPr>
                <w:rFonts w:ascii="Tahoma" w:hAnsi="Tahoma" w:cs="Tahoma"/>
                <w:sz w:val="20"/>
                <w:szCs w:val="20"/>
                <w:lang w:eastAsia="en-PH"/>
              </w:rPr>
              <w:t>0.44</w:t>
            </w:r>
          </w:p>
        </w:tc>
        <w:tc>
          <w:tcPr>
            <w:tcW w:w="1203" w:type="dxa"/>
            <w:vAlign w:val="center"/>
          </w:tcPr>
          <w:p w14:paraId="343EC893" w14:textId="77777777" w:rsidR="00767CB1" w:rsidRDefault="00EF15D9">
            <w:pPr>
              <w:pStyle w:val="NoSpacing"/>
              <w:widowControl w:val="0"/>
              <w:jc w:val="center"/>
              <w:rPr>
                <w:rFonts w:ascii="Tahoma" w:eastAsia="Aptos Narrow" w:hAnsi="Tahoma" w:cs="Tahoma"/>
                <w:sz w:val="20"/>
                <w:szCs w:val="20"/>
                <w:lang w:eastAsia="zh-CN" w:bidi="ar"/>
              </w:rPr>
            </w:pPr>
            <w:r>
              <w:rPr>
                <w:rFonts w:ascii="Tahoma" w:eastAsia="SimSun" w:hAnsi="Tahoma" w:cs="Tahoma"/>
                <w:sz w:val="20"/>
                <w:szCs w:val="20"/>
                <w:lang w:eastAsia="zh-CN" w:bidi="ar"/>
              </w:rPr>
              <w:t>4.39</w:t>
            </w:r>
          </w:p>
        </w:tc>
        <w:tc>
          <w:tcPr>
            <w:tcW w:w="1707" w:type="dxa"/>
          </w:tcPr>
          <w:p w14:paraId="1FFF675A" w14:textId="77777777" w:rsidR="00767CB1" w:rsidRDefault="00EF15D9">
            <w:pPr>
              <w:jc w:val="both"/>
              <w:rPr>
                <w:rFonts w:ascii="Tahoma" w:hAnsi="Tahoma" w:cs="Tahoma"/>
                <w:sz w:val="20"/>
                <w:szCs w:val="20"/>
                <w:lang w:eastAsia="en-PH"/>
              </w:rPr>
            </w:pPr>
            <w:r>
              <w:rPr>
                <w:rFonts w:ascii="Arial" w:hAnsi="Arial" w:cs="Arial"/>
                <w:sz w:val="20"/>
                <w:szCs w:val="20"/>
                <w:lang w:val="en-PH"/>
              </w:rPr>
              <w:t>Very High</w:t>
            </w:r>
          </w:p>
        </w:tc>
      </w:tr>
      <w:tr w:rsidR="00767CB1" w14:paraId="3228C72B" w14:textId="77777777">
        <w:tc>
          <w:tcPr>
            <w:tcW w:w="4182" w:type="dxa"/>
          </w:tcPr>
          <w:p w14:paraId="26CF453F" w14:textId="77777777" w:rsidR="00767CB1" w:rsidRDefault="00EF15D9">
            <w:pPr>
              <w:pStyle w:val="NoSpacing"/>
              <w:widowControl w:val="0"/>
              <w:jc w:val="both"/>
              <w:rPr>
                <w:rFonts w:ascii="Tahoma" w:hAnsi="Tahoma" w:cs="Tahoma"/>
                <w:sz w:val="20"/>
                <w:szCs w:val="20"/>
                <w:lang w:eastAsia="en-PH"/>
              </w:rPr>
            </w:pPr>
            <w:r>
              <w:rPr>
                <w:rFonts w:ascii="Tahoma" w:hAnsi="Tahoma" w:cs="Tahoma"/>
                <w:sz w:val="20"/>
                <w:szCs w:val="20"/>
                <w:lang w:eastAsia="en-PH"/>
              </w:rPr>
              <w:lastRenderedPageBreak/>
              <w:t xml:space="preserve">     </w:t>
            </w:r>
            <w:r>
              <w:rPr>
                <w:rFonts w:ascii="Tahoma" w:hAnsi="Tahoma" w:cs="Tahoma"/>
                <w:sz w:val="20"/>
                <w:szCs w:val="20"/>
                <w:lang w:val="en-PH" w:eastAsia="en-PH"/>
              </w:rPr>
              <w:t>Teacher’s Personality</w:t>
            </w:r>
          </w:p>
        </w:tc>
        <w:tc>
          <w:tcPr>
            <w:tcW w:w="733" w:type="dxa"/>
          </w:tcPr>
          <w:p w14:paraId="32EF6F91" w14:textId="77777777" w:rsidR="00767CB1" w:rsidRDefault="00EF15D9">
            <w:pPr>
              <w:pStyle w:val="NoSpacing"/>
              <w:widowControl w:val="0"/>
              <w:jc w:val="center"/>
              <w:rPr>
                <w:rFonts w:ascii="Tahoma" w:hAnsi="Tahoma" w:cs="Tahoma"/>
                <w:sz w:val="20"/>
                <w:szCs w:val="20"/>
                <w:lang w:eastAsia="en-PH"/>
              </w:rPr>
            </w:pPr>
            <w:r>
              <w:rPr>
                <w:rFonts w:ascii="Tahoma" w:hAnsi="Tahoma" w:cs="Tahoma"/>
                <w:sz w:val="20"/>
                <w:szCs w:val="20"/>
                <w:lang w:eastAsia="en-PH"/>
              </w:rPr>
              <w:t>0.36</w:t>
            </w:r>
          </w:p>
        </w:tc>
        <w:tc>
          <w:tcPr>
            <w:tcW w:w="1203" w:type="dxa"/>
            <w:vAlign w:val="center"/>
          </w:tcPr>
          <w:p w14:paraId="4CB9046A" w14:textId="77777777" w:rsidR="00767CB1" w:rsidRDefault="00EF15D9">
            <w:pPr>
              <w:pStyle w:val="NoSpacing"/>
              <w:widowControl w:val="0"/>
              <w:jc w:val="center"/>
              <w:rPr>
                <w:rFonts w:ascii="Tahoma" w:eastAsia="Aptos Narrow" w:hAnsi="Tahoma" w:cs="Tahoma"/>
                <w:sz w:val="20"/>
                <w:szCs w:val="20"/>
                <w:lang w:eastAsia="zh-CN" w:bidi="ar"/>
              </w:rPr>
            </w:pPr>
            <w:r>
              <w:rPr>
                <w:rFonts w:ascii="Tahoma" w:eastAsia="SimSun" w:hAnsi="Tahoma" w:cs="Tahoma"/>
                <w:sz w:val="20"/>
                <w:szCs w:val="20"/>
                <w:lang w:eastAsia="zh-CN" w:bidi="ar"/>
              </w:rPr>
              <w:t>4.48</w:t>
            </w:r>
          </w:p>
        </w:tc>
        <w:tc>
          <w:tcPr>
            <w:tcW w:w="1707" w:type="dxa"/>
          </w:tcPr>
          <w:p w14:paraId="6B45F837" w14:textId="77777777" w:rsidR="00767CB1" w:rsidRDefault="00EF15D9">
            <w:pPr>
              <w:jc w:val="both"/>
              <w:rPr>
                <w:rFonts w:ascii="Tahoma" w:hAnsi="Tahoma" w:cs="Tahoma"/>
                <w:sz w:val="20"/>
                <w:szCs w:val="20"/>
                <w:lang w:eastAsia="en-PH"/>
              </w:rPr>
            </w:pPr>
            <w:r>
              <w:rPr>
                <w:rFonts w:ascii="Arial" w:hAnsi="Arial" w:cs="Arial"/>
                <w:sz w:val="20"/>
                <w:szCs w:val="20"/>
                <w:lang w:val="en-PH"/>
              </w:rPr>
              <w:t>Very High</w:t>
            </w:r>
          </w:p>
        </w:tc>
      </w:tr>
    </w:tbl>
    <w:p w14:paraId="38795467" w14:textId="77777777" w:rsidR="00767CB1" w:rsidRDefault="00767CB1">
      <w:pPr>
        <w:pStyle w:val="Body"/>
        <w:spacing w:after="0"/>
        <w:rPr>
          <w:rFonts w:ascii="Arial" w:hAnsi="Arial" w:cs="Arial"/>
          <w:lang w:val="en-PH" w:bidi="ar"/>
        </w:rPr>
      </w:pPr>
    </w:p>
    <w:p w14:paraId="23AEF972" w14:textId="77777777" w:rsidR="00767CB1" w:rsidRDefault="00EF15D9">
      <w:pPr>
        <w:snapToGrid w:val="0"/>
        <w:jc w:val="both"/>
        <w:rPr>
          <w:rFonts w:ascii="Arial" w:hAnsi="Arial" w:cs="Arial"/>
          <w:b/>
          <w:bCs/>
          <w:sz w:val="22"/>
          <w:szCs w:val="22"/>
          <w:lang w:val="en-PH" w:bidi="ar"/>
        </w:rPr>
      </w:pPr>
      <w:r>
        <w:rPr>
          <w:rFonts w:ascii="Arial" w:hAnsi="Arial" w:cs="Arial"/>
          <w:b/>
          <w:bCs/>
          <w:sz w:val="22"/>
          <w:szCs w:val="22"/>
          <w:lang w:val="en-PH"/>
        </w:rPr>
        <w:t xml:space="preserve">3.2. </w:t>
      </w:r>
      <w:r>
        <w:rPr>
          <w:rFonts w:ascii="Arial" w:hAnsi="Arial" w:cs="Arial"/>
          <w:b/>
          <w:bCs/>
          <w:sz w:val="22"/>
          <w:szCs w:val="22"/>
          <w:lang w:val="en-PH" w:bidi="ar"/>
        </w:rPr>
        <w:t xml:space="preserve">Relationship between teaching anxiety, </w:t>
      </w:r>
      <w:r>
        <w:rPr>
          <w:rFonts w:ascii="Arial" w:hAnsi="Arial" w:cs="Arial"/>
          <w:b/>
          <w:bCs/>
          <w:sz w:val="22"/>
          <w:szCs w:val="22"/>
          <w:shd w:val="clear" w:color="auto" w:fill="FFFFFF"/>
          <w:lang w:val="en-PH"/>
        </w:rPr>
        <w:t xml:space="preserve">teaching self-efficacy, </w:t>
      </w:r>
      <w:r>
        <w:rPr>
          <w:rFonts w:ascii="Arial" w:hAnsi="Arial" w:cs="Arial"/>
          <w:b/>
          <w:bCs/>
          <w:sz w:val="22"/>
          <w:szCs w:val="22"/>
          <w:lang w:val="en-PH" w:bidi="ar"/>
        </w:rPr>
        <w:t>t</w:t>
      </w:r>
      <w:r>
        <w:rPr>
          <w:rFonts w:ascii="Arial" w:hAnsi="Arial" w:cs="Arial"/>
          <w:b/>
          <w:bCs/>
          <w:sz w:val="22"/>
          <w:szCs w:val="22"/>
          <w:shd w:val="clear" w:color="auto" w:fill="FFFFFF"/>
          <w:lang w:val="en-PH"/>
        </w:rPr>
        <w:t>eacher support, and teaching demonstration performance of pre-service teachers</w:t>
      </w:r>
    </w:p>
    <w:p w14:paraId="5BF59066" w14:textId="77777777" w:rsidR="00767CB1" w:rsidRDefault="00767CB1">
      <w:pPr>
        <w:pStyle w:val="Body"/>
        <w:spacing w:after="0"/>
        <w:rPr>
          <w:rFonts w:ascii="Arial" w:hAnsi="Arial" w:cs="Arial"/>
          <w:lang w:val="en-PH"/>
        </w:rPr>
      </w:pPr>
    </w:p>
    <w:p w14:paraId="4FC49EBC" w14:textId="77777777" w:rsidR="00767CB1" w:rsidRDefault="00EF15D9">
      <w:pPr>
        <w:ind w:firstLineChars="250" w:firstLine="500"/>
        <w:jc w:val="both"/>
        <w:rPr>
          <w:rFonts w:ascii="Arial" w:hAnsi="Arial"/>
          <w:lang w:val="en-PH"/>
        </w:rPr>
      </w:pPr>
      <w:r>
        <w:rPr>
          <w:rFonts w:ascii="Arial" w:hAnsi="Arial"/>
          <w:lang w:val="en-PH"/>
        </w:rPr>
        <w:t>Table</w:t>
      </w:r>
      <w:r>
        <w:rPr>
          <w:rFonts w:ascii="Arial" w:hAnsi="Arial"/>
          <w:lang w:val="en-PH"/>
        </w:rPr>
        <w:t xml:space="preserve"> 2 presents the significant relationship teaching anxiety, teaching self-efficacy, teacher support, and teaching demonstration performance of pre-service teachers. The table shows a correlation between teaching anxiety and teaching demonstration performanc</w:t>
      </w:r>
      <w:r>
        <w:rPr>
          <w:rFonts w:ascii="Arial" w:hAnsi="Arial"/>
          <w:lang w:val="en-PH"/>
        </w:rPr>
        <w:t>e with a p-value of 0.84, greater than 0.05 degree of confidence. Therefore, the null hypothesis was not rejected. It indicates that the correlation between the teaching anxiety of pre-service teachers and teaching demonstration performance is not signific</w:t>
      </w:r>
      <w:r>
        <w:rPr>
          <w:rFonts w:ascii="Arial" w:hAnsi="Arial"/>
          <w:lang w:val="en-PH"/>
        </w:rPr>
        <w:t xml:space="preserve">ant. Likewise, the correlation between the two variables obtained an </w:t>
      </w:r>
      <w:proofErr w:type="spellStart"/>
      <w:r>
        <w:rPr>
          <w:rFonts w:ascii="Arial" w:hAnsi="Arial"/>
          <w:lang w:val="en-PH"/>
        </w:rPr>
        <w:t>r-value</w:t>
      </w:r>
      <w:proofErr w:type="spellEnd"/>
      <w:r>
        <w:rPr>
          <w:rFonts w:ascii="Arial" w:hAnsi="Arial"/>
          <w:lang w:val="en-PH"/>
        </w:rPr>
        <w:t xml:space="preserve"> of 0.131, indicating a low correlation.</w:t>
      </w:r>
    </w:p>
    <w:p w14:paraId="2DF2EC79" w14:textId="77777777" w:rsidR="00767CB1" w:rsidRDefault="00EF15D9">
      <w:pPr>
        <w:ind w:firstLineChars="250" w:firstLine="500"/>
        <w:jc w:val="both"/>
        <w:rPr>
          <w:rFonts w:ascii="Arial" w:hAnsi="Arial"/>
          <w:lang w:val="en-PH"/>
        </w:rPr>
      </w:pPr>
      <w:proofErr w:type="gramStart"/>
      <w:r>
        <w:rPr>
          <w:rFonts w:ascii="Arial" w:hAnsi="Arial"/>
          <w:lang w:val="en-PH"/>
        </w:rPr>
        <w:t>Meanwhile,  the</w:t>
      </w:r>
      <w:proofErr w:type="gramEnd"/>
      <w:r>
        <w:rPr>
          <w:rFonts w:ascii="Arial" w:hAnsi="Arial"/>
          <w:lang w:val="en-PH"/>
        </w:rPr>
        <w:t xml:space="preserve"> correlation between teaching self-efficacy and teaching demonstration performance obtained a p-value of .000, which is less</w:t>
      </w:r>
      <w:r>
        <w:rPr>
          <w:rFonts w:ascii="Arial" w:hAnsi="Arial"/>
          <w:lang w:val="en-PH"/>
        </w:rPr>
        <w:t xml:space="preserve"> than 0.05 degree of confidence; therefore, the null hypothesis was rejected. It indicates that the correlation between teaching self-efficacy and teaching demonstration performance is significant. In like manner, the correlation between Teaching Self-Effi</w:t>
      </w:r>
      <w:r>
        <w:rPr>
          <w:rFonts w:ascii="Arial" w:hAnsi="Arial"/>
          <w:lang w:val="en-PH"/>
        </w:rPr>
        <w:t xml:space="preserve">cacy and Teaching Demonstration Performance has a </w:t>
      </w:r>
      <w:proofErr w:type="spellStart"/>
      <w:r>
        <w:rPr>
          <w:rFonts w:ascii="Arial" w:hAnsi="Arial"/>
          <w:lang w:val="en-PH"/>
        </w:rPr>
        <w:t>r-value</w:t>
      </w:r>
      <w:proofErr w:type="spellEnd"/>
      <w:r>
        <w:rPr>
          <w:rFonts w:ascii="Arial" w:hAnsi="Arial"/>
          <w:lang w:val="en-PH"/>
        </w:rPr>
        <w:t xml:space="preserve"> of 0.577, which indicates a moderately high correlation.</w:t>
      </w:r>
    </w:p>
    <w:p w14:paraId="571F3297" w14:textId="77777777" w:rsidR="00767CB1" w:rsidRDefault="00EF15D9">
      <w:pPr>
        <w:ind w:firstLineChars="250" w:firstLine="500"/>
        <w:jc w:val="both"/>
        <w:rPr>
          <w:rFonts w:ascii="Arial" w:hAnsi="Arial"/>
          <w:lang w:val="en-PH"/>
        </w:rPr>
      </w:pPr>
      <w:r>
        <w:rPr>
          <w:rFonts w:ascii="Arial" w:hAnsi="Arial"/>
          <w:lang w:val="en-PH"/>
        </w:rPr>
        <w:t>Nevertheless, the correlation between teacher support and teaching demonstration performance acquired a p-value of .001, which is less than 0</w:t>
      </w:r>
      <w:r>
        <w:rPr>
          <w:rFonts w:ascii="Arial" w:hAnsi="Arial"/>
          <w:lang w:val="en-PH"/>
        </w:rPr>
        <w:t xml:space="preserve">.05 degrees of confidence; therefore, the null hypothesis was rejected. It indicates a significant correlation between Teacher Support and Teaching Demonstration Performance. Also, the correlation between the two variables obtained an </w:t>
      </w:r>
      <w:proofErr w:type="spellStart"/>
      <w:r>
        <w:rPr>
          <w:rFonts w:ascii="Arial" w:hAnsi="Arial"/>
          <w:lang w:val="en-PH"/>
        </w:rPr>
        <w:t>r-value</w:t>
      </w:r>
      <w:proofErr w:type="spellEnd"/>
      <w:r>
        <w:rPr>
          <w:rFonts w:ascii="Arial" w:hAnsi="Arial"/>
          <w:lang w:val="en-PH"/>
        </w:rPr>
        <w:t xml:space="preserve"> of 0.234, ind</w:t>
      </w:r>
      <w:r>
        <w:rPr>
          <w:rFonts w:ascii="Arial" w:hAnsi="Arial"/>
          <w:lang w:val="en-PH"/>
        </w:rPr>
        <w:t>icating a low correlation.</w:t>
      </w:r>
    </w:p>
    <w:p w14:paraId="013E0356" w14:textId="77777777" w:rsidR="00767CB1" w:rsidRDefault="00EF15D9">
      <w:pPr>
        <w:ind w:firstLineChars="250" w:firstLine="500"/>
        <w:jc w:val="both"/>
        <w:rPr>
          <w:rFonts w:ascii="Arial" w:hAnsi="Arial"/>
          <w:lang w:val="en-PH"/>
        </w:rPr>
      </w:pPr>
      <w:r>
        <w:rPr>
          <w:rFonts w:ascii="Arial" w:hAnsi="Arial" w:cs="Arial"/>
        </w:rPr>
        <w:t>Th</w:t>
      </w:r>
      <w:r>
        <w:rPr>
          <w:rFonts w:ascii="Arial" w:hAnsi="Arial" w:cs="Arial"/>
          <w:lang w:val="en-PH"/>
        </w:rPr>
        <w:t>e result</w:t>
      </w:r>
      <w:r>
        <w:rPr>
          <w:rFonts w:ascii="Arial" w:hAnsi="Arial" w:cs="Arial"/>
        </w:rPr>
        <w:t xml:space="preserve"> aligns </w:t>
      </w:r>
      <w:r>
        <w:rPr>
          <w:rFonts w:ascii="Arial" w:hAnsi="Arial" w:cs="Arial"/>
          <w:lang w:val="en-PH"/>
        </w:rPr>
        <w:t xml:space="preserve">various with studies that support the findings. </w:t>
      </w:r>
      <w:r>
        <w:rPr>
          <w:rFonts w:ascii="Arial" w:hAnsi="Arial"/>
          <w:lang w:val="en-PH"/>
        </w:rPr>
        <w:t>Studies have found that teaching self-efficacy significantly influences pre-service teacher performance (</w:t>
      </w:r>
      <w:proofErr w:type="spellStart"/>
      <w:r>
        <w:rPr>
          <w:rFonts w:ascii="Arial" w:hAnsi="Arial"/>
          <w:lang w:val="en-PH"/>
        </w:rPr>
        <w:t>Octoria</w:t>
      </w:r>
      <w:proofErr w:type="spellEnd"/>
      <w:r>
        <w:rPr>
          <w:rFonts w:ascii="Arial" w:hAnsi="Arial"/>
          <w:lang w:val="en-PH"/>
        </w:rPr>
        <w:t xml:space="preserve"> et al., 2024) and increases during student teachin</w:t>
      </w:r>
      <w:r>
        <w:rPr>
          <w:rFonts w:ascii="Arial" w:hAnsi="Arial"/>
          <w:lang w:val="en-PH"/>
        </w:rPr>
        <w:t xml:space="preserve">g experiences (Brown et al., 2019). A study by </w:t>
      </w:r>
      <w:proofErr w:type="spellStart"/>
      <w:r>
        <w:rPr>
          <w:rFonts w:ascii="Arial" w:hAnsi="Arial"/>
          <w:lang w:val="en-PH"/>
        </w:rPr>
        <w:t>Octoria</w:t>
      </w:r>
      <w:proofErr w:type="spellEnd"/>
      <w:r>
        <w:rPr>
          <w:rFonts w:ascii="Arial" w:hAnsi="Arial"/>
          <w:lang w:val="en-PH"/>
        </w:rPr>
        <w:t xml:space="preserve"> et al. (2024) found that higher self-efficacy levels significantly improved pre-service teachers' teaching performance. Similarly, Arrington (2023) reported that high teaching self-efficacy led to pre-</w:t>
      </w:r>
      <w:r>
        <w:rPr>
          <w:rFonts w:ascii="Arial" w:hAnsi="Arial"/>
          <w:lang w:val="en-PH"/>
        </w:rPr>
        <w:t>service teachers demonstrating proactive classroom management and enhanced student engagement. However, Cheung et al. (2023) argue that pre-service teacher may demonstrate lower self-efficacy during teaching internship. Thus, research suggests that pre-ser</w:t>
      </w:r>
      <w:r>
        <w:rPr>
          <w:rFonts w:ascii="Arial" w:hAnsi="Arial"/>
          <w:lang w:val="en-PH"/>
        </w:rPr>
        <w:t>vice teachers' mindsets and motivations evolve during their practicum experiences, leading to increased resilience and a more pragmatic approach to teaching (</w:t>
      </w:r>
      <w:proofErr w:type="spellStart"/>
      <w:r>
        <w:rPr>
          <w:rFonts w:ascii="Arial" w:hAnsi="Arial"/>
          <w:lang w:val="en-PH"/>
        </w:rPr>
        <w:t>Soleas</w:t>
      </w:r>
      <w:proofErr w:type="spellEnd"/>
      <w:r>
        <w:rPr>
          <w:rFonts w:ascii="Arial" w:hAnsi="Arial"/>
          <w:lang w:val="en-PH"/>
        </w:rPr>
        <w:t xml:space="preserve"> </w:t>
      </w:r>
      <w:r>
        <w:rPr>
          <w:rFonts w:ascii="Arial" w:hAnsi="Arial"/>
          <w:lang w:val="en-PH"/>
        </w:rPr>
        <w:t>and</w:t>
      </w:r>
      <w:r>
        <w:rPr>
          <w:rFonts w:ascii="Arial" w:hAnsi="Arial"/>
          <w:lang w:val="en-PH"/>
        </w:rPr>
        <w:t xml:space="preserve"> Hong, 2020). </w:t>
      </w:r>
    </w:p>
    <w:p w14:paraId="2DA8227B" w14:textId="77777777" w:rsidR="00767CB1" w:rsidRDefault="00EF15D9">
      <w:pPr>
        <w:ind w:firstLineChars="250" w:firstLine="500"/>
        <w:jc w:val="both"/>
        <w:rPr>
          <w:rFonts w:ascii="Arial" w:hAnsi="Arial"/>
          <w:lang w:val="en-PH"/>
        </w:rPr>
      </w:pPr>
      <w:r>
        <w:rPr>
          <w:rFonts w:ascii="Arial" w:hAnsi="Arial"/>
          <w:lang w:val="en-PH"/>
        </w:rPr>
        <w:t>Pre-service teachers who receive support from cooperating teachers are mo</w:t>
      </w:r>
      <w:r>
        <w:rPr>
          <w:rFonts w:ascii="Arial" w:hAnsi="Arial"/>
          <w:lang w:val="en-PH"/>
        </w:rPr>
        <w:t xml:space="preserve">re likely to excel in their teaching demonstrations as they benefit from expert guidance and constructive feedback. The result was supported </w:t>
      </w:r>
      <w:proofErr w:type="gramStart"/>
      <w:r>
        <w:rPr>
          <w:rFonts w:ascii="Arial" w:hAnsi="Arial"/>
          <w:lang w:val="en-PH"/>
        </w:rPr>
        <w:t xml:space="preserve">by </w:t>
      </w:r>
      <w:r>
        <w:rPr>
          <w:rFonts w:ascii="Arial" w:eastAsia="Segoe UI" w:hAnsi="Arial" w:cs="Arial"/>
          <w:shd w:val="clear" w:color="auto" w:fill="FFFFFF"/>
        </w:rPr>
        <w:t xml:space="preserve"> Bautista</w:t>
      </w:r>
      <w:proofErr w:type="gramEnd"/>
      <w:r>
        <w:rPr>
          <w:rFonts w:ascii="Arial" w:eastAsia="Segoe UI" w:hAnsi="Arial" w:cs="Arial"/>
          <w:shd w:val="clear" w:color="auto" w:fill="FFFFFF"/>
        </w:rPr>
        <w:t>-</w:t>
      </w:r>
      <w:proofErr w:type="spellStart"/>
      <w:r>
        <w:rPr>
          <w:rFonts w:ascii="Arial" w:eastAsia="Segoe UI" w:hAnsi="Arial" w:cs="Arial"/>
          <w:shd w:val="clear" w:color="auto" w:fill="FFFFFF"/>
        </w:rPr>
        <w:t>Quispe</w:t>
      </w:r>
      <w:proofErr w:type="spellEnd"/>
      <w:r>
        <w:rPr>
          <w:rFonts w:ascii="Arial" w:eastAsia="Segoe UI" w:hAnsi="Arial" w:cs="Arial"/>
          <w:shd w:val="clear" w:color="auto" w:fill="FFFFFF"/>
        </w:rPr>
        <w:t xml:space="preserve"> et al.</w:t>
      </w:r>
      <w:r>
        <w:rPr>
          <w:rFonts w:ascii="Arial" w:eastAsia="Segoe UI" w:hAnsi="Arial" w:cs="Arial"/>
          <w:shd w:val="clear" w:color="auto" w:fill="FFFFFF"/>
          <w:lang w:val="en-PH"/>
        </w:rPr>
        <w:t xml:space="preserve"> (</w:t>
      </w:r>
      <w:r>
        <w:rPr>
          <w:rFonts w:ascii="Arial" w:eastAsia="Segoe UI" w:hAnsi="Arial" w:cs="Arial"/>
          <w:shd w:val="clear" w:color="auto" w:fill="FFFFFF"/>
        </w:rPr>
        <w:t>2023)</w:t>
      </w:r>
      <w:r>
        <w:rPr>
          <w:rFonts w:ascii="Arial" w:eastAsia="Segoe UI" w:hAnsi="Arial" w:cs="Arial"/>
          <w:shd w:val="clear" w:color="auto" w:fill="FFFFFF"/>
          <w:lang w:val="en-PH"/>
        </w:rPr>
        <w:t xml:space="preserve"> showing that teacher</w:t>
      </w:r>
      <w:r>
        <w:rPr>
          <w:rFonts w:ascii="Arial" w:eastAsia="Segoe UI" w:hAnsi="Arial" w:cs="Arial"/>
          <w:shd w:val="clear" w:color="auto" w:fill="FFFFFF"/>
        </w:rPr>
        <w:t xml:space="preserve"> support</w:t>
      </w:r>
      <w:r>
        <w:rPr>
          <w:rFonts w:ascii="Arial" w:eastAsia="Segoe UI" w:hAnsi="Arial" w:cs="Arial"/>
          <w:shd w:val="clear" w:color="auto" w:fill="FFFFFF"/>
          <w:lang w:val="en-PH"/>
        </w:rPr>
        <w:t xml:space="preserve"> </w:t>
      </w:r>
      <w:r>
        <w:rPr>
          <w:rFonts w:ascii="Arial" w:eastAsia="Segoe UI" w:hAnsi="Arial" w:cs="Arial"/>
          <w:shd w:val="clear" w:color="auto" w:fill="FFFFFF"/>
        </w:rPr>
        <w:t xml:space="preserve">have been shown to positively influence teaching </w:t>
      </w:r>
      <w:r>
        <w:rPr>
          <w:rFonts w:ascii="Arial" w:eastAsia="Segoe UI" w:hAnsi="Arial" w:cs="Arial"/>
          <w:shd w:val="clear" w:color="auto" w:fill="FFFFFF"/>
          <w:lang w:val="en-PH"/>
        </w:rPr>
        <w:t>dem</w:t>
      </w:r>
      <w:r>
        <w:rPr>
          <w:rFonts w:ascii="Arial" w:eastAsia="Segoe UI" w:hAnsi="Arial" w:cs="Arial"/>
          <w:shd w:val="clear" w:color="auto" w:fill="FFFFFF"/>
          <w:lang w:val="en-PH"/>
        </w:rPr>
        <w:t xml:space="preserve">onstration </w:t>
      </w:r>
      <w:r>
        <w:rPr>
          <w:rFonts w:ascii="Arial" w:eastAsia="Segoe UI" w:hAnsi="Arial" w:cs="Arial"/>
          <w:shd w:val="clear" w:color="auto" w:fill="FFFFFF"/>
        </w:rPr>
        <w:t xml:space="preserve">performance </w:t>
      </w:r>
      <w:r>
        <w:rPr>
          <w:rFonts w:ascii="Arial" w:eastAsia="Segoe UI" w:hAnsi="Arial" w:cs="Arial"/>
          <w:shd w:val="clear" w:color="auto" w:fill="FFFFFF"/>
          <w:lang w:val="en-PH"/>
        </w:rPr>
        <w:t>of pre-service teachers</w:t>
      </w:r>
      <w:r>
        <w:rPr>
          <w:rFonts w:ascii="Arial" w:eastAsia="Segoe UI" w:hAnsi="Arial" w:cs="Arial"/>
          <w:shd w:val="clear" w:color="auto" w:fill="FFFFFF"/>
        </w:rPr>
        <w:t>.  Teacher support is also vital in fostering willingness to communicate and developing communicative competence among students (</w:t>
      </w:r>
      <w:proofErr w:type="spellStart"/>
      <w:r>
        <w:rPr>
          <w:rFonts w:ascii="Arial" w:eastAsia="Segoe UI" w:hAnsi="Arial" w:cs="Arial"/>
          <w:shd w:val="clear" w:color="auto" w:fill="FFFFFF"/>
        </w:rPr>
        <w:t>Borasheva</w:t>
      </w:r>
      <w:proofErr w:type="spellEnd"/>
      <w:r>
        <w:rPr>
          <w:rFonts w:ascii="Arial" w:eastAsia="Segoe UI" w:hAnsi="Arial" w:cs="Arial"/>
          <w:shd w:val="clear" w:color="auto" w:fill="FFFFFF"/>
        </w:rPr>
        <w:t xml:space="preserve">, 2024). </w:t>
      </w:r>
      <w:r>
        <w:rPr>
          <w:rFonts w:ascii="Arial" w:hAnsi="Arial"/>
          <w:lang w:val="en-PH"/>
        </w:rPr>
        <w:t>According to Kim T and Kim Y (2024), teacher support also enhan</w:t>
      </w:r>
      <w:r>
        <w:rPr>
          <w:rFonts w:ascii="Arial" w:hAnsi="Arial"/>
          <w:lang w:val="en-PH"/>
        </w:rPr>
        <w:t xml:space="preserve">ces instructional competence and promotes professional growth and resilience in pre-service teachers. </w:t>
      </w:r>
    </w:p>
    <w:p w14:paraId="3E24EADD" w14:textId="77777777" w:rsidR="00767CB1" w:rsidRDefault="00EF15D9">
      <w:pPr>
        <w:ind w:firstLineChars="250" w:firstLine="500"/>
        <w:jc w:val="both"/>
        <w:rPr>
          <w:rFonts w:ascii="Arial" w:hAnsi="Arial"/>
          <w:lang w:val="en-PH"/>
        </w:rPr>
      </w:pPr>
      <w:r>
        <w:rPr>
          <w:rFonts w:ascii="Arial" w:hAnsi="Arial"/>
          <w:lang w:val="en-PH"/>
        </w:rPr>
        <w:t xml:space="preserve">Teaching anxiety does not have a meaningful impact on the teaching demonstrations of pre-service teachers. In the study of </w:t>
      </w:r>
      <w:proofErr w:type="spellStart"/>
      <w:r>
        <w:rPr>
          <w:rFonts w:ascii="Arial" w:hAnsi="Arial"/>
          <w:lang w:val="en-PH"/>
        </w:rPr>
        <w:t>Senler</w:t>
      </w:r>
      <w:proofErr w:type="spellEnd"/>
      <w:r>
        <w:rPr>
          <w:rFonts w:ascii="Arial" w:hAnsi="Arial"/>
          <w:lang w:val="en-PH"/>
        </w:rPr>
        <w:t xml:space="preserve"> (2016), it was revealed</w:t>
      </w:r>
      <w:r>
        <w:rPr>
          <w:rFonts w:ascii="Arial" w:hAnsi="Arial"/>
          <w:lang w:val="en-PH"/>
        </w:rPr>
        <w:t xml:space="preserve"> that there was a low correlation with teaching self-efficacy and classroom performance. However, it was argued that anxiety levels can vary based on grade level placement and expectations from cooperating teachers (Gorospe, 2022). Self-efficacy is positiv</w:t>
      </w:r>
      <w:r>
        <w:rPr>
          <w:rFonts w:ascii="Arial" w:hAnsi="Arial"/>
          <w:lang w:val="en-PH"/>
        </w:rPr>
        <w:t>ely associated with teaching performance and can help teachers manage anxieties (</w:t>
      </w:r>
      <w:proofErr w:type="spellStart"/>
      <w:r>
        <w:rPr>
          <w:rFonts w:ascii="Arial" w:hAnsi="Arial"/>
          <w:lang w:val="en-PH"/>
        </w:rPr>
        <w:t>Bantilan</w:t>
      </w:r>
      <w:proofErr w:type="spellEnd"/>
      <w:r>
        <w:rPr>
          <w:rFonts w:ascii="Arial" w:hAnsi="Arial"/>
          <w:lang w:val="en-PH"/>
        </w:rPr>
        <w:t xml:space="preserve"> et al., 2024; </w:t>
      </w:r>
      <w:proofErr w:type="spellStart"/>
      <w:r>
        <w:rPr>
          <w:rFonts w:ascii="Arial" w:hAnsi="Arial"/>
          <w:lang w:val="en-PH"/>
        </w:rPr>
        <w:t>Senler</w:t>
      </w:r>
      <w:proofErr w:type="spellEnd"/>
      <w:r>
        <w:rPr>
          <w:rFonts w:ascii="Arial" w:hAnsi="Arial"/>
          <w:lang w:val="en-PH"/>
        </w:rPr>
        <w:t>, 2016). Factors influencing anxiety include classroom management, limited resources, and professional development opportunities (</w:t>
      </w:r>
      <w:proofErr w:type="spellStart"/>
      <w:r>
        <w:rPr>
          <w:rFonts w:ascii="Arial" w:hAnsi="Arial"/>
          <w:lang w:val="en-PH"/>
        </w:rPr>
        <w:t>Bantilan</w:t>
      </w:r>
      <w:proofErr w:type="spellEnd"/>
      <w:r>
        <w:rPr>
          <w:rFonts w:ascii="Arial" w:hAnsi="Arial"/>
          <w:lang w:val="en-PH"/>
        </w:rPr>
        <w:t xml:space="preserve"> et al.,</w:t>
      </w:r>
      <w:r>
        <w:rPr>
          <w:rFonts w:ascii="Arial" w:hAnsi="Arial"/>
          <w:lang w:val="en-PH"/>
        </w:rPr>
        <w:t xml:space="preserve"> 2024; Gorospe, 2022). Attitude toward teaching is positively linked to self-efficacy and negatively to anxiety (</w:t>
      </w:r>
      <w:proofErr w:type="spellStart"/>
      <w:r>
        <w:rPr>
          <w:rFonts w:ascii="Arial" w:hAnsi="Arial"/>
          <w:lang w:val="en-PH"/>
        </w:rPr>
        <w:t>Senler</w:t>
      </w:r>
      <w:proofErr w:type="spellEnd"/>
      <w:r>
        <w:rPr>
          <w:rFonts w:ascii="Arial" w:hAnsi="Arial"/>
          <w:lang w:val="en-PH"/>
        </w:rPr>
        <w:t>, 2016). To address these issues, researchers recommend better preparation for internships, increased teaching practice, and professional</w:t>
      </w:r>
      <w:r>
        <w:rPr>
          <w:rFonts w:ascii="Arial" w:hAnsi="Arial"/>
          <w:lang w:val="en-PH"/>
        </w:rPr>
        <w:t xml:space="preserve"> development plans (Gorospe, 2022; </w:t>
      </w:r>
      <w:proofErr w:type="spellStart"/>
      <w:r>
        <w:rPr>
          <w:rFonts w:ascii="Arial" w:hAnsi="Arial"/>
          <w:lang w:val="en-PH"/>
        </w:rPr>
        <w:t>Bantilan</w:t>
      </w:r>
      <w:proofErr w:type="spellEnd"/>
      <w:r>
        <w:rPr>
          <w:rFonts w:ascii="Arial" w:hAnsi="Arial"/>
          <w:lang w:val="en-PH"/>
        </w:rPr>
        <w:t xml:space="preserve"> </w:t>
      </w:r>
      <w:r>
        <w:rPr>
          <w:rFonts w:ascii="Arial" w:hAnsi="Arial"/>
          <w:lang w:val="en-PH"/>
        </w:rPr>
        <w:lastRenderedPageBreak/>
        <w:t>et al., 2024). Fostering positive attitudes and providing support systems appear crucial for enhancing pre-service teachers' self-efficacy and performance while reducing anxiety.</w:t>
      </w:r>
    </w:p>
    <w:p w14:paraId="5B99B637" w14:textId="77777777" w:rsidR="00767CB1" w:rsidRDefault="00767CB1">
      <w:pPr>
        <w:ind w:firstLineChars="250" w:firstLine="500"/>
        <w:jc w:val="center"/>
        <w:rPr>
          <w:rFonts w:ascii="Arial" w:hAnsi="Arial"/>
          <w:lang w:val="en-PH"/>
        </w:rPr>
      </w:pPr>
    </w:p>
    <w:p w14:paraId="55962AC0" w14:textId="77777777" w:rsidR="00767CB1" w:rsidRDefault="00767CB1">
      <w:pPr>
        <w:ind w:firstLineChars="250" w:firstLine="500"/>
        <w:jc w:val="center"/>
        <w:rPr>
          <w:rFonts w:ascii="Arial" w:hAnsi="Arial"/>
          <w:lang w:val="en-PH"/>
        </w:rPr>
      </w:pPr>
    </w:p>
    <w:p w14:paraId="091ADA23" w14:textId="77777777" w:rsidR="00767CB1" w:rsidRDefault="00767CB1">
      <w:pPr>
        <w:ind w:firstLineChars="250" w:firstLine="500"/>
        <w:jc w:val="center"/>
        <w:rPr>
          <w:rFonts w:ascii="Arial" w:hAnsi="Arial"/>
          <w:lang w:val="en-PH"/>
        </w:rPr>
      </w:pPr>
    </w:p>
    <w:p w14:paraId="464D6D47" w14:textId="77777777" w:rsidR="00767CB1" w:rsidRDefault="00767CB1">
      <w:pPr>
        <w:ind w:firstLineChars="250" w:firstLine="500"/>
        <w:jc w:val="center"/>
        <w:rPr>
          <w:rFonts w:ascii="Arial" w:hAnsi="Arial"/>
          <w:lang w:val="en-PH"/>
        </w:rPr>
      </w:pPr>
    </w:p>
    <w:p w14:paraId="241451A6" w14:textId="77777777" w:rsidR="00767CB1" w:rsidRDefault="00EF15D9">
      <w:pPr>
        <w:snapToGrid w:val="0"/>
        <w:jc w:val="center"/>
        <w:rPr>
          <w:rFonts w:ascii="Arial" w:hAnsi="Arial" w:cs="Arial"/>
          <w:b/>
          <w:bCs/>
          <w:lang w:val="en-PH" w:bidi="ar"/>
        </w:rPr>
      </w:pPr>
      <w:r>
        <w:rPr>
          <w:rFonts w:ascii="Arial" w:hAnsi="Arial"/>
          <w:b/>
          <w:bCs/>
          <w:lang w:val="en-PH"/>
        </w:rPr>
        <w:t xml:space="preserve">Table 2. </w:t>
      </w:r>
      <w:r>
        <w:rPr>
          <w:rFonts w:ascii="Arial" w:hAnsi="Arial" w:cs="Arial"/>
          <w:b/>
          <w:bCs/>
          <w:lang w:val="en-PH" w:bidi="ar"/>
        </w:rPr>
        <w:t xml:space="preserve">Relationship between Teaching Anxiety, </w:t>
      </w:r>
      <w:r>
        <w:rPr>
          <w:rFonts w:ascii="Arial" w:hAnsi="Arial" w:cs="Arial"/>
          <w:b/>
          <w:bCs/>
          <w:shd w:val="clear" w:color="auto" w:fill="FFFFFF"/>
          <w:lang w:val="en-PH"/>
        </w:rPr>
        <w:t xml:space="preserve">Teaching Self-efficacy, </w:t>
      </w:r>
      <w:r>
        <w:rPr>
          <w:rFonts w:ascii="Arial" w:hAnsi="Arial" w:cs="Arial"/>
          <w:b/>
          <w:bCs/>
          <w:lang w:val="en-PH" w:bidi="ar"/>
        </w:rPr>
        <w:t>T</w:t>
      </w:r>
      <w:r>
        <w:rPr>
          <w:rFonts w:ascii="Arial" w:hAnsi="Arial" w:cs="Arial"/>
          <w:b/>
          <w:bCs/>
          <w:shd w:val="clear" w:color="auto" w:fill="FFFFFF"/>
          <w:lang w:val="en-PH"/>
        </w:rPr>
        <w:t>eacher Support, and Teaching Demonstration Performance of Pre-service Teachers</w:t>
      </w:r>
    </w:p>
    <w:p w14:paraId="692859CC" w14:textId="77777777" w:rsidR="00767CB1" w:rsidRDefault="00767CB1">
      <w:pPr>
        <w:ind w:firstLineChars="250" w:firstLine="500"/>
        <w:jc w:val="both"/>
        <w:rPr>
          <w:rFonts w:ascii="Arial" w:hAnsi="Arial"/>
          <w:lang w:val="en-PH"/>
        </w:rPr>
      </w:pPr>
    </w:p>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0"/>
        <w:gridCol w:w="1124"/>
        <w:gridCol w:w="140"/>
        <w:gridCol w:w="1048"/>
        <w:gridCol w:w="136"/>
        <w:gridCol w:w="1887"/>
        <w:gridCol w:w="1627"/>
      </w:tblGrid>
      <w:tr w:rsidR="00767CB1" w14:paraId="424BC4ED" w14:textId="77777777">
        <w:trPr>
          <w:trHeight w:val="284"/>
        </w:trPr>
        <w:tc>
          <w:tcPr>
            <w:tcW w:w="1460" w:type="pct"/>
            <w:vMerge w:val="restart"/>
            <w:tcBorders>
              <w:top w:val="single" w:sz="18" w:space="0" w:color="auto"/>
              <w:bottom w:val="single" w:sz="4" w:space="0" w:color="auto"/>
            </w:tcBorders>
          </w:tcPr>
          <w:p w14:paraId="493A6A36" w14:textId="77777777" w:rsidR="00767CB1" w:rsidRDefault="00767CB1">
            <w:pPr>
              <w:pStyle w:val="NoSpacing"/>
              <w:keepLines/>
              <w:jc w:val="both"/>
              <w:rPr>
                <w:rFonts w:ascii="Arial" w:hAnsi="Arial" w:cs="Arial"/>
                <w:sz w:val="20"/>
                <w:szCs w:val="20"/>
                <w:lang w:eastAsia="en-PH"/>
              </w:rPr>
            </w:pPr>
          </w:p>
        </w:tc>
        <w:tc>
          <w:tcPr>
            <w:tcW w:w="3539" w:type="pct"/>
            <w:gridSpan w:val="6"/>
            <w:tcBorders>
              <w:top w:val="single" w:sz="18" w:space="0" w:color="auto"/>
              <w:bottom w:val="single" w:sz="4" w:space="0" w:color="auto"/>
            </w:tcBorders>
          </w:tcPr>
          <w:p w14:paraId="61097148" w14:textId="77777777" w:rsidR="00767CB1" w:rsidRDefault="00EF15D9">
            <w:pPr>
              <w:pStyle w:val="NoSpacing"/>
              <w:keepLines/>
              <w:jc w:val="center"/>
              <w:rPr>
                <w:rFonts w:ascii="Arial" w:hAnsi="Arial" w:cs="Arial"/>
                <w:sz w:val="20"/>
                <w:szCs w:val="20"/>
                <w:lang w:eastAsia="en-PH"/>
              </w:rPr>
            </w:pPr>
            <w:r>
              <w:rPr>
                <w:rFonts w:ascii="Arial" w:hAnsi="Arial" w:cs="Arial"/>
                <w:sz w:val="20"/>
                <w:szCs w:val="20"/>
                <w:lang w:eastAsia="en-PH"/>
              </w:rPr>
              <w:t>Teaching Demonstration Performance</w:t>
            </w:r>
          </w:p>
        </w:tc>
      </w:tr>
      <w:tr w:rsidR="00767CB1" w14:paraId="345D7A70" w14:textId="77777777">
        <w:trPr>
          <w:trHeight w:val="148"/>
        </w:trPr>
        <w:tc>
          <w:tcPr>
            <w:tcW w:w="1460" w:type="pct"/>
            <w:vMerge/>
            <w:tcBorders>
              <w:top w:val="single" w:sz="4" w:space="0" w:color="auto"/>
            </w:tcBorders>
          </w:tcPr>
          <w:p w14:paraId="6FCE95E8" w14:textId="77777777" w:rsidR="00767CB1" w:rsidRDefault="00767CB1">
            <w:pPr>
              <w:pStyle w:val="NoSpacing"/>
              <w:keepLines/>
              <w:jc w:val="both"/>
              <w:rPr>
                <w:rFonts w:ascii="Arial" w:hAnsi="Arial" w:cs="Arial"/>
                <w:sz w:val="20"/>
                <w:szCs w:val="20"/>
                <w:lang w:eastAsia="en-PH"/>
              </w:rPr>
            </w:pPr>
          </w:p>
        </w:tc>
        <w:tc>
          <w:tcPr>
            <w:tcW w:w="750" w:type="pct"/>
            <w:gridSpan w:val="2"/>
            <w:tcBorders>
              <w:top w:val="single" w:sz="4" w:space="0" w:color="auto"/>
              <w:bottom w:val="single" w:sz="4" w:space="0" w:color="auto"/>
            </w:tcBorders>
          </w:tcPr>
          <w:p w14:paraId="6359CF01" w14:textId="77777777" w:rsidR="00767CB1" w:rsidRDefault="00EF15D9">
            <w:pPr>
              <w:pStyle w:val="NoSpacing"/>
              <w:keepLines/>
              <w:jc w:val="center"/>
              <w:rPr>
                <w:rFonts w:ascii="Arial" w:hAnsi="Arial" w:cs="Arial"/>
                <w:b/>
                <w:bCs/>
                <w:sz w:val="20"/>
                <w:szCs w:val="20"/>
                <w:lang w:eastAsia="en-PH"/>
              </w:rPr>
            </w:pPr>
            <m:oMathPara>
              <m:oMath>
                <m:r>
                  <m:rPr>
                    <m:sty m:val="bi"/>
                  </m:rPr>
                  <w:rPr>
                    <w:rFonts w:ascii="Cambria Math" w:hAnsi="Cambria Math" w:cs="Arial"/>
                    <w:sz w:val="20"/>
                    <w:szCs w:val="20"/>
                    <w:lang w:eastAsia="en-PH"/>
                  </w:rPr>
                  <m:t>r</m:t>
                </m:r>
                <m:r>
                  <m:rPr>
                    <m:sty m:val="bi"/>
                  </m:rPr>
                  <w:rPr>
                    <w:rFonts w:ascii="Cambria Math" w:hAnsi="Cambria Math" w:cs="Arial"/>
                    <w:sz w:val="20"/>
                    <w:szCs w:val="20"/>
                    <w:lang w:eastAsia="en-PH"/>
                  </w:rPr>
                  <m:t>-</m:t>
                </m:r>
                <m:r>
                  <m:rPr>
                    <m:sty m:val="bi"/>
                  </m:rPr>
                  <w:rPr>
                    <w:rFonts w:ascii="Cambria Math" w:hAnsi="Cambria Math" w:cs="Arial"/>
                    <w:sz w:val="20"/>
                    <w:szCs w:val="20"/>
                    <w:lang w:eastAsia="en-PH"/>
                  </w:rPr>
                  <m:t>Value</m:t>
                </m:r>
              </m:oMath>
            </m:oMathPara>
          </w:p>
        </w:tc>
        <w:tc>
          <w:tcPr>
            <w:tcW w:w="703" w:type="pct"/>
            <w:gridSpan w:val="2"/>
            <w:tcBorders>
              <w:top w:val="single" w:sz="4" w:space="0" w:color="auto"/>
              <w:bottom w:val="single" w:sz="4" w:space="0" w:color="auto"/>
            </w:tcBorders>
          </w:tcPr>
          <w:p w14:paraId="07673E98" w14:textId="77777777" w:rsidR="00767CB1" w:rsidRDefault="00EF15D9">
            <w:pPr>
              <w:pStyle w:val="NoSpacing"/>
              <w:keepLines/>
              <w:jc w:val="center"/>
              <w:rPr>
                <w:rFonts w:ascii="Arial" w:hAnsi="Arial" w:cs="Arial"/>
                <w:b/>
                <w:bCs/>
                <w:sz w:val="20"/>
                <w:szCs w:val="20"/>
                <w:lang w:eastAsia="en-PH"/>
              </w:rPr>
            </w:pPr>
            <m:oMathPara>
              <m:oMath>
                <m:r>
                  <m:rPr>
                    <m:sty m:val="bi"/>
                  </m:rPr>
                  <w:rPr>
                    <w:rFonts w:ascii="Cambria Math" w:hAnsi="Cambria Math" w:cs="Arial"/>
                    <w:sz w:val="20"/>
                    <w:szCs w:val="20"/>
                    <w:lang w:eastAsia="en-PH"/>
                  </w:rPr>
                  <m:t>p</m:t>
                </m:r>
                <m:r>
                  <m:rPr>
                    <m:sty m:val="bi"/>
                  </m:rPr>
                  <w:rPr>
                    <w:rFonts w:ascii="Cambria Math" w:hAnsi="Cambria Math" w:cs="Arial"/>
                    <w:sz w:val="20"/>
                    <w:szCs w:val="20"/>
                    <w:lang w:eastAsia="en-PH"/>
                  </w:rPr>
                  <m:t>-</m:t>
                </m:r>
                <m:r>
                  <m:rPr>
                    <m:sty m:val="bi"/>
                  </m:rPr>
                  <w:rPr>
                    <w:rFonts w:ascii="Cambria Math" w:hAnsi="Cambria Math" w:cs="Arial"/>
                    <w:sz w:val="20"/>
                    <w:szCs w:val="20"/>
                    <w:lang w:eastAsia="en-PH"/>
                  </w:rPr>
                  <m:t>Value</m:t>
                </m:r>
              </m:oMath>
            </m:oMathPara>
          </w:p>
        </w:tc>
        <w:tc>
          <w:tcPr>
            <w:tcW w:w="1120" w:type="pct"/>
            <w:tcBorders>
              <w:top w:val="single" w:sz="4" w:space="0" w:color="auto"/>
              <w:bottom w:val="single" w:sz="4" w:space="0" w:color="auto"/>
            </w:tcBorders>
          </w:tcPr>
          <w:p w14:paraId="1ED90FE8" w14:textId="77777777" w:rsidR="00767CB1" w:rsidRDefault="00EF15D9">
            <w:pPr>
              <w:pStyle w:val="NoSpacing"/>
              <w:keepLines/>
              <w:jc w:val="center"/>
              <w:rPr>
                <w:rFonts w:ascii="Arial" w:hAnsi="Arial" w:cs="Arial"/>
                <w:b/>
                <w:bCs/>
                <w:sz w:val="20"/>
                <w:szCs w:val="20"/>
                <w:lang w:eastAsia="en-PH"/>
              </w:rPr>
            </w:pPr>
            <w:r>
              <w:rPr>
                <w:rFonts w:ascii="Arial" w:hAnsi="Arial" w:cs="Arial"/>
                <w:b/>
                <w:bCs/>
                <w:sz w:val="20"/>
                <w:szCs w:val="20"/>
                <w:lang w:eastAsia="en-PH"/>
              </w:rPr>
              <w:t xml:space="preserve">Decision on </w:t>
            </w:r>
            <m:oMath>
              <m:r>
                <m:rPr>
                  <m:sty m:val="bi"/>
                </m:rPr>
                <w:rPr>
                  <w:rFonts w:ascii="Cambria Math" w:hAnsi="Cambria Math" w:cs="Arial"/>
                  <w:sz w:val="20"/>
                  <w:szCs w:val="20"/>
                  <w:lang w:eastAsia="en-PH"/>
                </w:rPr>
                <m:t>Ho</m:t>
              </m:r>
            </m:oMath>
          </w:p>
        </w:tc>
        <w:tc>
          <w:tcPr>
            <w:tcW w:w="965" w:type="pct"/>
            <w:tcBorders>
              <w:top w:val="single" w:sz="4" w:space="0" w:color="auto"/>
              <w:bottom w:val="single" w:sz="4" w:space="0" w:color="auto"/>
            </w:tcBorders>
          </w:tcPr>
          <w:p w14:paraId="08440416" w14:textId="77777777" w:rsidR="00767CB1" w:rsidRDefault="00EF15D9">
            <w:pPr>
              <w:pStyle w:val="NoSpacing"/>
              <w:keepLines/>
              <w:jc w:val="center"/>
              <w:rPr>
                <w:rFonts w:ascii="Arial" w:hAnsi="Arial" w:cs="Arial"/>
                <w:b/>
                <w:bCs/>
                <w:sz w:val="20"/>
                <w:szCs w:val="20"/>
                <w:lang w:eastAsia="en-PH"/>
              </w:rPr>
            </w:pPr>
            <w:r>
              <w:rPr>
                <w:rFonts w:ascii="Arial" w:hAnsi="Arial" w:cs="Arial"/>
                <w:b/>
                <w:bCs/>
                <w:sz w:val="20"/>
                <w:szCs w:val="20"/>
                <w:lang w:eastAsia="en-PH"/>
              </w:rPr>
              <w:t>Interpretation</w:t>
            </w:r>
          </w:p>
        </w:tc>
      </w:tr>
      <w:tr w:rsidR="00767CB1" w14:paraId="71C26947" w14:textId="77777777">
        <w:trPr>
          <w:trHeight w:val="804"/>
        </w:trPr>
        <w:tc>
          <w:tcPr>
            <w:tcW w:w="1460" w:type="pct"/>
          </w:tcPr>
          <w:p w14:paraId="012EE83E" w14:textId="77777777" w:rsidR="00767CB1" w:rsidRDefault="00767CB1">
            <w:pPr>
              <w:keepLines/>
              <w:jc w:val="both"/>
              <w:rPr>
                <w:rFonts w:ascii="Arial" w:hAnsi="Arial" w:cs="Arial"/>
                <w:sz w:val="20"/>
                <w:szCs w:val="20"/>
                <w:lang w:eastAsia="en-PH"/>
              </w:rPr>
            </w:pPr>
          </w:p>
          <w:p w14:paraId="7F9045EC" w14:textId="77777777" w:rsidR="00767CB1" w:rsidRDefault="00EF15D9">
            <w:pPr>
              <w:keepLines/>
              <w:jc w:val="both"/>
              <w:rPr>
                <w:rFonts w:ascii="Arial" w:hAnsi="Arial" w:cs="Arial"/>
                <w:sz w:val="20"/>
                <w:szCs w:val="20"/>
                <w:lang w:eastAsia="en-PH"/>
              </w:rPr>
            </w:pPr>
            <w:r>
              <w:rPr>
                <w:rFonts w:ascii="Arial" w:hAnsi="Arial" w:cs="Arial"/>
                <w:sz w:val="20"/>
                <w:szCs w:val="20"/>
                <w:lang w:eastAsia="en-PH"/>
              </w:rPr>
              <w:t xml:space="preserve">Teaching Anxiety </w:t>
            </w:r>
            <w:r>
              <w:rPr>
                <w:rFonts w:ascii="Arial" w:hAnsi="Arial" w:cs="Arial"/>
                <w:sz w:val="20"/>
                <w:szCs w:val="20"/>
                <w:lang w:val="en-PH" w:eastAsia="en-PH"/>
              </w:rPr>
              <w:t>of Pre-service Teachers</w:t>
            </w:r>
          </w:p>
        </w:tc>
        <w:tc>
          <w:tcPr>
            <w:tcW w:w="667" w:type="pct"/>
            <w:tcBorders>
              <w:top w:val="single" w:sz="4" w:space="0" w:color="auto"/>
            </w:tcBorders>
          </w:tcPr>
          <w:p w14:paraId="5CD75FCD" w14:textId="77777777" w:rsidR="00767CB1" w:rsidRDefault="00767CB1">
            <w:pPr>
              <w:keepLines/>
              <w:jc w:val="center"/>
              <w:rPr>
                <w:rFonts w:ascii="Cambria Math" w:eastAsiaTheme="minorEastAsia" w:hAnsi="Cambria Math" w:cs="Arial"/>
                <w:sz w:val="20"/>
                <w:szCs w:val="20"/>
                <w:lang w:eastAsia="en-PH"/>
                <w:oMath/>
              </w:rPr>
            </w:pPr>
          </w:p>
          <w:p w14:paraId="4D832499" w14:textId="77777777" w:rsidR="00767CB1" w:rsidRDefault="00EF15D9">
            <w:pPr>
              <w:keepLines/>
              <w:jc w:val="center"/>
              <w:rPr>
                <w:rFonts w:ascii="Cambria Math" w:hAnsi="Cambria Math" w:cs="Arial"/>
                <w:sz w:val="20"/>
                <w:szCs w:val="20"/>
                <w:lang w:eastAsia="en-PH"/>
                <w:oMath/>
              </w:rPr>
            </w:pPr>
            <m:oMathPara>
              <m:oMath>
                <m:r>
                  <w:rPr>
                    <w:rFonts w:ascii="Cambria Math" w:eastAsiaTheme="minorEastAsia" w:hAnsi="Cambria Math" w:cs="Arial"/>
                    <w:sz w:val="20"/>
                    <w:szCs w:val="20"/>
                    <w:lang w:eastAsia="en-PH"/>
                  </w:rPr>
                  <m:t>.131</m:t>
                </m:r>
              </m:oMath>
            </m:oMathPara>
          </w:p>
        </w:tc>
        <w:tc>
          <w:tcPr>
            <w:tcW w:w="705" w:type="pct"/>
            <w:gridSpan w:val="2"/>
            <w:tcBorders>
              <w:top w:val="single" w:sz="4" w:space="0" w:color="auto"/>
            </w:tcBorders>
          </w:tcPr>
          <w:p w14:paraId="3B1FD55A" w14:textId="77777777" w:rsidR="00767CB1" w:rsidRDefault="00767CB1">
            <w:pPr>
              <w:keepLines/>
              <w:jc w:val="center"/>
              <w:rPr>
                <w:rFonts w:ascii="Cambria Math" w:eastAsiaTheme="minorEastAsia" w:hAnsi="Cambria Math" w:cs="Arial"/>
                <w:sz w:val="20"/>
                <w:szCs w:val="20"/>
                <w:lang w:eastAsia="en-PH"/>
                <w:oMath/>
              </w:rPr>
            </w:pPr>
          </w:p>
          <w:p w14:paraId="4F48BA62" w14:textId="77777777" w:rsidR="00767CB1" w:rsidRDefault="00EF15D9">
            <w:pPr>
              <w:keepLines/>
              <w:jc w:val="center"/>
              <w:rPr>
                <w:rFonts w:ascii="Cambria Math" w:hAnsi="Cambria Math" w:cs="Arial"/>
                <w:sz w:val="20"/>
                <w:szCs w:val="20"/>
                <w:lang w:eastAsia="en-PH"/>
                <w:oMath/>
              </w:rPr>
            </w:pPr>
            <m:oMathPara>
              <m:oMath>
                <m:r>
                  <w:rPr>
                    <w:rFonts w:ascii="Cambria Math" w:eastAsiaTheme="minorEastAsia" w:hAnsi="Cambria Math" w:cs="Arial"/>
                    <w:sz w:val="20"/>
                    <w:szCs w:val="20"/>
                    <w:lang w:eastAsia="en-PH"/>
                  </w:rPr>
                  <m:t>.084</m:t>
                </m:r>
              </m:oMath>
            </m:oMathPara>
          </w:p>
        </w:tc>
        <w:tc>
          <w:tcPr>
            <w:tcW w:w="1200" w:type="pct"/>
            <w:gridSpan w:val="2"/>
            <w:tcBorders>
              <w:top w:val="single" w:sz="4" w:space="0" w:color="auto"/>
            </w:tcBorders>
          </w:tcPr>
          <w:p w14:paraId="34230F87" w14:textId="77777777" w:rsidR="00767CB1" w:rsidRDefault="00767CB1">
            <w:pPr>
              <w:keepLines/>
              <w:jc w:val="both"/>
              <w:rPr>
                <w:rFonts w:ascii="Arial" w:eastAsiaTheme="minorEastAsia" w:hAnsi="Arial" w:cs="Arial"/>
                <w:sz w:val="20"/>
                <w:szCs w:val="20"/>
                <w:lang w:eastAsia="en-PH"/>
              </w:rPr>
            </w:pPr>
          </w:p>
          <w:p w14:paraId="40178449" w14:textId="77777777" w:rsidR="00767CB1" w:rsidRDefault="00EF15D9">
            <w:pPr>
              <w:keepLines/>
              <w:jc w:val="center"/>
              <w:rPr>
                <w:rFonts w:ascii="Arial" w:eastAsiaTheme="minorEastAsia" w:hAnsi="Arial" w:cs="Arial"/>
                <w:sz w:val="20"/>
                <w:szCs w:val="20"/>
                <w:lang w:eastAsia="en-PH"/>
              </w:rPr>
            </w:pPr>
            <w:r>
              <w:rPr>
                <w:rFonts w:ascii="Arial" w:eastAsiaTheme="minorEastAsia" w:hAnsi="Arial" w:cs="Arial"/>
                <w:sz w:val="20"/>
                <w:szCs w:val="20"/>
                <w:lang w:eastAsia="en-PH"/>
              </w:rPr>
              <w:t>Failed to Reject</w:t>
            </w:r>
          </w:p>
        </w:tc>
        <w:tc>
          <w:tcPr>
            <w:tcW w:w="965" w:type="pct"/>
            <w:tcBorders>
              <w:top w:val="single" w:sz="4" w:space="0" w:color="auto"/>
            </w:tcBorders>
          </w:tcPr>
          <w:p w14:paraId="613AC0FB" w14:textId="77777777" w:rsidR="00767CB1" w:rsidRDefault="00767CB1">
            <w:pPr>
              <w:keepLines/>
              <w:jc w:val="both"/>
              <w:rPr>
                <w:rFonts w:ascii="Arial" w:eastAsiaTheme="minorEastAsia" w:hAnsi="Arial" w:cs="Arial"/>
                <w:sz w:val="20"/>
                <w:szCs w:val="20"/>
                <w:lang w:eastAsia="en-PH"/>
              </w:rPr>
            </w:pPr>
          </w:p>
          <w:p w14:paraId="260A3C92" w14:textId="77777777" w:rsidR="00767CB1" w:rsidRDefault="00EF15D9">
            <w:pPr>
              <w:keepLines/>
              <w:jc w:val="center"/>
              <w:rPr>
                <w:rFonts w:ascii="Arial" w:eastAsiaTheme="minorEastAsia" w:hAnsi="Arial" w:cs="Arial"/>
                <w:sz w:val="20"/>
                <w:szCs w:val="20"/>
                <w:lang w:eastAsia="en-PH"/>
              </w:rPr>
            </w:pPr>
            <w:r>
              <w:rPr>
                <w:rFonts w:ascii="Arial" w:eastAsiaTheme="minorEastAsia" w:hAnsi="Arial" w:cs="Arial"/>
                <w:sz w:val="20"/>
                <w:szCs w:val="20"/>
                <w:lang w:eastAsia="en-PH"/>
              </w:rPr>
              <w:t>Not Significant</w:t>
            </w:r>
          </w:p>
        </w:tc>
      </w:tr>
      <w:tr w:rsidR="00767CB1" w14:paraId="51EA5E93" w14:textId="77777777">
        <w:trPr>
          <w:trHeight w:val="397"/>
        </w:trPr>
        <w:tc>
          <w:tcPr>
            <w:tcW w:w="1460" w:type="pct"/>
            <w:shd w:val="clear" w:color="auto" w:fill="auto"/>
          </w:tcPr>
          <w:p w14:paraId="4A4DCA7E" w14:textId="77777777" w:rsidR="00767CB1" w:rsidRDefault="00EF15D9">
            <w:pPr>
              <w:keepLines/>
              <w:jc w:val="both"/>
              <w:rPr>
                <w:rFonts w:ascii="Arial" w:hAnsi="Arial" w:cs="Arial"/>
                <w:sz w:val="20"/>
                <w:szCs w:val="20"/>
                <w:lang w:val="en-PH" w:eastAsia="en-PH"/>
              </w:rPr>
            </w:pPr>
            <w:r>
              <w:rPr>
                <w:rFonts w:ascii="Arial" w:eastAsia="Calibri" w:hAnsi="Arial" w:cs="Arial"/>
                <w:iCs/>
                <w:sz w:val="20"/>
                <w:szCs w:val="20"/>
                <w:lang w:eastAsia="en-PH"/>
              </w:rPr>
              <w:t xml:space="preserve">Teaching </w:t>
            </w:r>
            <w:r>
              <w:rPr>
                <w:rFonts w:ascii="Arial" w:eastAsia="Calibri" w:hAnsi="Arial" w:cs="Arial"/>
                <w:iCs/>
                <w:sz w:val="20"/>
                <w:szCs w:val="20"/>
                <w:lang w:val="en-PH" w:eastAsia="en-PH"/>
              </w:rPr>
              <w:t>Self-</w:t>
            </w:r>
            <w:r>
              <w:rPr>
                <w:rFonts w:ascii="Arial" w:eastAsia="Calibri" w:hAnsi="Arial" w:cs="Arial"/>
                <w:iCs/>
                <w:sz w:val="20"/>
                <w:szCs w:val="20"/>
                <w:lang w:eastAsia="en-PH"/>
              </w:rPr>
              <w:t>Efficacy</w:t>
            </w:r>
          </w:p>
        </w:tc>
        <w:tc>
          <w:tcPr>
            <w:tcW w:w="667" w:type="pct"/>
            <w:shd w:val="clear" w:color="auto" w:fill="auto"/>
          </w:tcPr>
          <w:p w14:paraId="255E2DCD" w14:textId="77777777" w:rsidR="00767CB1" w:rsidRDefault="00EF15D9">
            <w:pPr>
              <w:keepLines/>
              <w:jc w:val="center"/>
              <w:rPr>
                <w:rFonts w:ascii="Cambria Math" w:eastAsia="Aptos" w:hAnsi="Cambria Math" w:cs="Arial"/>
                <w:sz w:val="20"/>
                <w:szCs w:val="20"/>
                <w:lang w:eastAsia="en-PH"/>
                <w:oMath/>
              </w:rPr>
            </w:pPr>
            <m:oMathPara>
              <m:oMath>
                <m:r>
                  <w:rPr>
                    <w:rFonts w:ascii="Cambria Math" w:eastAsia="Aptos" w:hAnsi="Cambria Math" w:cs="Arial"/>
                    <w:sz w:val="20"/>
                    <w:szCs w:val="20"/>
                    <w:lang w:eastAsia="en-PH"/>
                  </w:rPr>
                  <m:t>.577</m:t>
                </m:r>
              </m:oMath>
            </m:oMathPara>
          </w:p>
        </w:tc>
        <w:tc>
          <w:tcPr>
            <w:tcW w:w="705" w:type="pct"/>
            <w:gridSpan w:val="2"/>
            <w:shd w:val="clear" w:color="auto" w:fill="auto"/>
          </w:tcPr>
          <w:p w14:paraId="290FC5C6" w14:textId="77777777" w:rsidR="00767CB1" w:rsidRDefault="00EF15D9">
            <w:pPr>
              <w:keepLines/>
              <w:jc w:val="center"/>
              <w:rPr>
                <w:rFonts w:ascii="Cambria Math" w:eastAsia="Aptos" w:hAnsi="Cambria Math" w:cs="Arial"/>
                <w:sz w:val="20"/>
                <w:szCs w:val="20"/>
                <w:lang w:eastAsia="en-PH"/>
                <w:oMath/>
              </w:rPr>
            </w:pPr>
            <m:oMathPara>
              <m:oMath>
                <m:r>
                  <w:rPr>
                    <w:rFonts w:ascii="Cambria Math" w:eastAsiaTheme="minorEastAsia" w:hAnsi="Cambria Math" w:cs="Arial"/>
                    <w:sz w:val="20"/>
                    <w:szCs w:val="20"/>
                    <w:lang w:eastAsia="en-PH"/>
                  </w:rPr>
                  <m:t>.000</m:t>
                </m:r>
              </m:oMath>
            </m:oMathPara>
          </w:p>
        </w:tc>
        <w:tc>
          <w:tcPr>
            <w:tcW w:w="1200" w:type="pct"/>
            <w:gridSpan w:val="2"/>
            <w:shd w:val="clear" w:color="auto" w:fill="auto"/>
          </w:tcPr>
          <w:p w14:paraId="5D230E86" w14:textId="77777777" w:rsidR="00767CB1" w:rsidRDefault="00EF15D9">
            <w:pPr>
              <w:keepLines/>
              <w:jc w:val="center"/>
              <w:rPr>
                <w:rFonts w:ascii="Arial" w:eastAsiaTheme="minorEastAsia" w:hAnsi="Arial" w:cs="Arial"/>
                <w:sz w:val="20"/>
                <w:szCs w:val="20"/>
                <w:lang w:eastAsia="en-PH"/>
              </w:rPr>
            </w:pPr>
            <w:r>
              <w:rPr>
                <w:rFonts w:ascii="Arial" w:eastAsiaTheme="minorEastAsia" w:hAnsi="Arial" w:cs="Arial"/>
                <w:sz w:val="20"/>
                <w:szCs w:val="20"/>
                <w:lang w:eastAsia="en-PH"/>
              </w:rPr>
              <w:t>Reject</w:t>
            </w:r>
          </w:p>
        </w:tc>
        <w:tc>
          <w:tcPr>
            <w:tcW w:w="965" w:type="pct"/>
            <w:shd w:val="clear" w:color="auto" w:fill="auto"/>
          </w:tcPr>
          <w:p w14:paraId="24F12377" w14:textId="77777777" w:rsidR="00767CB1" w:rsidRDefault="00EF15D9">
            <w:pPr>
              <w:keepLines/>
              <w:jc w:val="center"/>
              <w:rPr>
                <w:rFonts w:ascii="Arial" w:eastAsiaTheme="minorEastAsia" w:hAnsi="Arial" w:cs="Arial"/>
                <w:sz w:val="20"/>
                <w:szCs w:val="20"/>
                <w:lang w:eastAsia="en-PH"/>
              </w:rPr>
            </w:pPr>
            <w:r>
              <w:rPr>
                <w:rFonts w:ascii="Arial" w:eastAsiaTheme="minorEastAsia" w:hAnsi="Arial" w:cs="Arial"/>
                <w:sz w:val="20"/>
                <w:szCs w:val="20"/>
                <w:lang w:eastAsia="en-PH"/>
              </w:rPr>
              <w:t>Significant</w:t>
            </w:r>
          </w:p>
        </w:tc>
      </w:tr>
      <w:tr w:rsidR="00767CB1" w14:paraId="69E4908E" w14:textId="77777777">
        <w:trPr>
          <w:trHeight w:val="397"/>
        </w:trPr>
        <w:tc>
          <w:tcPr>
            <w:tcW w:w="1460" w:type="pct"/>
            <w:tcBorders>
              <w:bottom w:val="single" w:sz="18" w:space="0" w:color="auto"/>
            </w:tcBorders>
          </w:tcPr>
          <w:p w14:paraId="273B1F25" w14:textId="77777777" w:rsidR="00767CB1" w:rsidRDefault="00EF15D9">
            <w:pPr>
              <w:keepLines/>
              <w:jc w:val="both"/>
              <w:rPr>
                <w:rFonts w:ascii="Arial" w:hAnsi="Arial" w:cs="Arial"/>
                <w:sz w:val="20"/>
                <w:szCs w:val="20"/>
                <w:lang w:eastAsia="en-PH"/>
              </w:rPr>
            </w:pPr>
            <w:r>
              <w:rPr>
                <w:rFonts w:ascii="Arial" w:hAnsi="Arial" w:cs="Arial"/>
                <w:sz w:val="20"/>
                <w:szCs w:val="20"/>
                <w:lang w:val="en-PH" w:eastAsia="en-PH"/>
              </w:rPr>
              <w:t>Teacher Support</w:t>
            </w:r>
          </w:p>
        </w:tc>
        <w:tc>
          <w:tcPr>
            <w:tcW w:w="667" w:type="pct"/>
            <w:tcBorders>
              <w:bottom w:val="single" w:sz="18" w:space="0" w:color="auto"/>
            </w:tcBorders>
          </w:tcPr>
          <w:p w14:paraId="22269DF1" w14:textId="77777777" w:rsidR="00767CB1" w:rsidRDefault="00EF15D9">
            <w:pPr>
              <w:keepLines/>
              <w:jc w:val="center"/>
              <w:rPr>
                <w:rFonts w:ascii="Cambria Math" w:hAnsi="Cambria Math" w:cs="Arial"/>
                <w:sz w:val="20"/>
                <w:szCs w:val="20"/>
                <w:lang w:eastAsia="en-PH"/>
                <w:oMath/>
              </w:rPr>
            </w:pPr>
            <m:oMathPara>
              <m:oMath>
                <m:r>
                  <w:rPr>
                    <w:rFonts w:ascii="Cambria Math" w:eastAsiaTheme="minorEastAsia" w:hAnsi="Cambria Math" w:cs="Arial"/>
                    <w:sz w:val="20"/>
                    <w:szCs w:val="20"/>
                    <w:lang w:eastAsia="en-PH"/>
                  </w:rPr>
                  <m:t>.234</m:t>
                </m:r>
              </m:oMath>
            </m:oMathPara>
          </w:p>
        </w:tc>
        <w:tc>
          <w:tcPr>
            <w:tcW w:w="705" w:type="pct"/>
            <w:gridSpan w:val="2"/>
            <w:tcBorders>
              <w:bottom w:val="single" w:sz="18" w:space="0" w:color="auto"/>
            </w:tcBorders>
          </w:tcPr>
          <w:p w14:paraId="3E85F5AD" w14:textId="77777777" w:rsidR="00767CB1" w:rsidRDefault="00EF15D9">
            <w:pPr>
              <w:keepLines/>
              <w:jc w:val="center"/>
              <w:rPr>
                <w:rFonts w:ascii="Cambria Math" w:hAnsi="Cambria Math" w:cs="Arial"/>
                <w:sz w:val="20"/>
                <w:szCs w:val="20"/>
                <w:lang w:eastAsia="en-PH"/>
                <w:oMath/>
              </w:rPr>
            </w:pPr>
            <m:oMathPara>
              <m:oMath>
                <m:r>
                  <w:rPr>
                    <w:rFonts w:ascii="Cambria Math" w:eastAsiaTheme="minorEastAsia" w:hAnsi="Cambria Math" w:cs="Arial"/>
                    <w:sz w:val="20"/>
                    <w:szCs w:val="20"/>
                    <w:lang w:eastAsia="en-PH"/>
                  </w:rPr>
                  <m:t>.001</m:t>
                </m:r>
              </m:oMath>
            </m:oMathPara>
          </w:p>
        </w:tc>
        <w:tc>
          <w:tcPr>
            <w:tcW w:w="1200" w:type="pct"/>
            <w:gridSpan w:val="2"/>
            <w:tcBorders>
              <w:bottom w:val="single" w:sz="18" w:space="0" w:color="auto"/>
            </w:tcBorders>
          </w:tcPr>
          <w:p w14:paraId="342EC07F" w14:textId="77777777" w:rsidR="00767CB1" w:rsidRDefault="00EF15D9">
            <w:pPr>
              <w:keepLines/>
              <w:jc w:val="center"/>
              <w:rPr>
                <w:rFonts w:ascii="Arial" w:eastAsiaTheme="minorEastAsia" w:hAnsi="Arial" w:cs="Arial"/>
                <w:sz w:val="20"/>
                <w:szCs w:val="20"/>
                <w:lang w:eastAsia="en-PH"/>
              </w:rPr>
            </w:pPr>
            <w:r>
              <w:rPr>
                <w:rFonts w:ascii="Arial" w:eastAsiaTheme="minorEastAsia" w:hAnsi="Arial" w:cs="Arial"/>
                <w:sz w:val="20"/>
                <w:szCs w:val="20"/>
                <w:lang w:eastAsia="en-PH"/>
              </w:rPr>
              <w:t>Reject</w:t>
            </w:r>
          </w:p>
        </w:tc>
        <w:tc>
          <w:tcPr>
            <w:tcW w:w="965" w:type="pct"/>
            <w:tcBorders>
              <w:bottom w:val="single" w:sz="18" w:space="0" w:color="auto"/>
            </w:tcBorders>
          </w:tcPr>
          <w:p w14:paraId="009B8907" w14:textId="77777777" w:rsidR="00767CB1" w:rsidRDefault="00EF15D9">
            <w:pPr>
              <w:keepLines/>
              <w:jc w:val="center"/>
              <w:rPr>
                <w:rFonts w:ascii="Arial" w:eastAsiaTheme="minorEastAsia" w:hAnsi="Arial" w:cs="Arial"/>
                <w:sz w:val="20"/>
                <w:szCs w:val="20"/>
                <w:lang w:eastAsia="en-PH"/>
              </w:rPr>
            </w:pPr>
            <w:r>
              <w:rPr>
                <w:rFonts w:ascii="Arial" w:eastAsiaTheme="minorEastAsia" w:hAnsi="Arial" w:cs="Arial"/>
                <w:sz w:val="20"/>
                <w:szCs w:val="20"/>
                <w:lang w:eastAsia="en-PH"/>
              </w:rPr>
              <w:t>Significant</w:t>
            </w:r>
          </w:p>
        </w:tc>
      </w:tr>
    </w:tbl>
    <w:p w14:paraId="1250D1F3" w14:textId="77777777" w:rsidR="00767CB1" w:rsidRDefault="00767CB1">
      <w:pPr>
        <w:snapToGrid w:val="0"/>
        <w:ind w:firstLineChars="300" w:firstLine="720"/>
        <w:jc w:val="both"/>
        <w:rPr>
          <w:rFonts w:ascii="Arial" w:hAnsi="Arial"/>
          <w:sz w:val="24"/>
          <w:szCs w:val="24"/>
          <w:lang w:val="en-PH"/>
        </w:rPr>
      </w:pPr>
    </w:p>
    <w:p w14:paraId="353EC539" w14:textId="77777777" w:rsidR="00767CB1" w:rsidRDefault="00EF15D9">
      <w:pPr>
        <w:pStyle w:val="Body"/>
        <w:spacing w:after="0"/>
        <w:rPr>
          <w:rFonts w:ascii="Arial" w:hAnsi="Arial" w:cs="Arial"/>
          <w:b/>
          <w:bCs/>
          <w:sz w:val="22"/>
          <w:szCs w:val="22"/>
          <w:lang w:val="en-PH"/>
        </w:rPr>
      </w:pPr>
      <w:r>
        <w:rPr>
          <w:rFonts w:ascii="Arial" w:hAnsi="Arial" w:cs="Arial"/>
          <w:b/>
          <w:bCs/>
          <w:sz w:val="22"/>
          <w:szCs w:val="22"/>
          <w:lang w:val="en-PH"/>
        </w:rPr>
        <w:t xml:space="preserve">3.3. </w:t>
      </w:r>
      <w:r>
        <w:rPr>
          <w:rFonts w:ascii="Arial" w:hAnsi="Arial" w:cs="Arial"/>
          <w:b/>
          <w:bCs/>
          <w:sz w:val="22"/>
          <w:szCs w:val="22"/>
          <w:lang w:val="en-PH" w:bidi="ar"/>
        </w:rPr>
        <w:t xml:space="preserve">Influence of teaching anxiety, teaching self-efficacy, and </w:t>
      </w:r>
      <w:r>
        <w:rPr>
          <w:rFonts w:ascii="Arial" w:hAnsi="Arial" w:cs="Arial"/>
          <w:b/>
          <w:bCs/>
          <w:sz w:val="22"/>
          <w:szCs w:val="22"/>
          <w:lang w:val="en-PH" w:bidi="ar"/>
        </w:rPr>
        <w:t>teacher support on the teaching demonstration performance of pre-service teachers</w:t>
      </w:r>
    </w:p>
    <w:p w14:paraId="57871F3A" w14:textId="77777777" w:rsidR="00767CB1" w:rsidRDefault="00767CB1">
      <w:pPr>
        <w:pStyle w:val="Body"/>
        <w:spacing w:after="0"/>
        <w:rPr>
          <w:rFonts w:ascii="Arial" w:hAnsi="Arial" w:cs="Arial"/>
          <w:lang w:val="en-PH"/>
        </w:rPr>
      </w:pPr>
    </w:p>
    <w:p w14:paraId="44C3C45E" w14:textId="77777777" w:rsidR="00767CB1" w:rsidRDefault="00EF15D9">
      <w:pPr>
        <w:pStyle w:val="NoSpacing"/>
        <w:ind w:firstLine="799"/>
        <w:jc w:val="both"/>
        <w:rPr>
          <w:rFonts w:ascii="Arial" w:hAnsi="Arial"/>
          <w:sz w:val="20"/>
          <w:szCs w:val="20"/>
          <w:lang w:val="en-PH"/>
        </w:rPr>
      </w:pPr>
      <w:r>
        <w:rPr>
          <w:rFonts w:ascii="Arial" w:hAnsi="Arial" w:cs="Arial"/>
          <w:sz w:val="20"/>
          <w:szCs w:val="20"/>
          <w:lang w:val="en-PH"/>
        </w:rPr>
        <w:t>Table 3 shows the significant influence of teaching anxiety, teaching self-efficacy, and teacher support on the teaching demonstration performance of pre-service teachers. B</w:t>
      </w:r>
      <w:r>
        <w:rPr>
          <w:rFonts w:ascii="Arial" w:hAnsi="Arial" w:cs="Arial"/>
          <w:sz w:val="20"/>
          <w:szCs w:val="20"/>
          <w:lang w:val="en-PH"/>
        </w:rPr>
        <w:t xml:space="preserve">ased on the results. </w:t>
      </w:r>
      <w:r>
        <w:rPr>
          <w:rFonts w:ascii="Arial" w:hAnsi="Arial"/>
          <w:sz w:val="20"/>
          <w:szCs w:val="20"/>
          <w:lang w:val="en-PH"/>
        </w:rPr>
        <w:t>teaching anxiety of pre-service teachers obtained a beta coefficient of .014. It indicates that the teaching anxiety of pre-service teachers has a 1.4 % degree of influence on teaching demonstration performance. The null hypothesis was</w:t>
      </w:r>
      <w:r>
        <w:rPr>
          <w:rFonts w:ascii="Arial" w:hAnsi="Arial"/>
          <w:sz w:val="20"/>
          <w:szCs w:val="20"/>
          <w:lang w:val="en-PH"/>
        </w:rPr>
        <w:t xml:space="preserve"> not rejected since it gained a p-value of .762, greater than 0.05 degree of confidence. It further indicates that the 1.4% degree of influence </w:t>
      </w:r>
      <w:proofErr w:type="gramStart"/>
      <w:r>
        <w:rPr>
          <w:rFonts w:ascii="Arial" w:hAnsi="Arial"/>
          <w:sz w:val="20"/>
          <w:szCs w:val="20"/>
          <w:lang w:val="en-PH"/>
        </w:rPr>
        <w:t>of  Teaching</w:t>
      </w:r>
      <w:proofErr w:type="gramEnd"/>
      <w:r>
        <w:rPr>
          <w:rFonts w:ascii="Arial" w:hAnsi="Arial"/>
          <w:sz w:val="20"/>
          <w:szCs w:val="20"/>
          <w:lang w:val="en-PH"/>
        </w:rPr>
        <w:t xml:space="preserve"> Anxiety on Teaching Demonstration Performance is  not significant.</w:t>
      </w:r>
    </w:p>
    <w:p w14:paraId="1FA17703" w14:textId="77777777" w:rsidR="00767CB1" w:rsidRDefault="00EF15D9">
      <w:pPr>
        <w:pStyle w:val="NoSpacing"/>
        <w:ind w:firstLine="799"/>
        <w:jc w:val="both"/>
        <w:rPr>
          <w:rFonts w:ascii="Arial" w:hAnsi="Arial"/>
          <w:sz w:val="20"/>
          <w:szCs w:val="20"/>
          <w:lang w:val="en-PH"/>
        </w:rPr>
      </w:pPr>
      <w:r>
        <w:rPr>
          <w:rFonts w:ascii="Arial" w:hAnsi="Arial"/>
          <w:sz w:val="20"/>
          <w:szCs w:val="20"/>
          <w:lang w:val="en-PH"/>
        </w:rPr>
        <w:t>Teaching Self-Efficacy, on the o</w:t>
      </w:r>
      <w:r>
        <w:rPr>
          <w:rFonts w:ascii="Arial" w:hAnsi="Arial"/>
          <w:sz w:val="20"/>
          <w:szCs w:val="20"/>
          <w:lang w:val="en-PH"/>
        </w:rPr>
        <w:t xml:space="preserve">ther hand, obtained a beta coefficient </w:t>
      </w:r>
      <w:proofErr w:type="gramStart"/>
      <w:r>
        <w:rPr>
          <w:rFonts w:ascii="Arial" w:hAnsi="Arial"/>
          <w:sz w:val="20"/>
          <w:szCs w:val="20"/>
          <w:lang w:val="en-PH"/>
        </w:rPr>
        <w:t>of  .</w:t>
      </w:r>
      <w:proofErr w:type="gramEnd"/>
      <w:r>
        <w:rPr>
          <w:rFonts w:ascii="Arial" w:hAnsi="Arial"/>
          <w:sz w:val="20"/>
          <w:szCs w:val="20"/>
          <w:lang w:val="en-PH"/>
        </w:rPr>
        <w:t>554. It indicates that teaching self-efficacy has a 55.4% degree of influence on teaching demonstration performance. It also received a p-value of .000, less than 0.05 degree of confidence. Therefore, the null hy</w:t>
      </w:r>
      <w:r>
        <w:rPr>
          <w:rFonts w:ascii="Arial" w:hAnsi="Arial"/>
          <w:sz w:val="20"/>
          <w:szCs w:val="20"/>
          <w:lang w:val="en-PH"/>
        </w:rPr>
        <w:t xml:space="preserve">pothesis was rejected. This signifies that the 55.4 % degree </w:t>
      </w:r>
      <w:proofErr w:type="gramStart"/>
      <w:r>
        <w:rPr>
          <w:rFonts w:ascii="Arial" w:hAnsi="Arial"/>
          <w:sz w:val="20"/>
          <w:szCs w:val="20"/>
          <w:lang w:val="en-PH"/>
        </w:rPr>
        <w:t>of  influence</w:t>
      </w:r>
      <w:proofErr w:type="gramEnd"/>
      <w:r>
        <w:rPr>
          <w:rFonts w:ascii="Arial" w:hAnsi="Arial"/>
          <w:sz w:val="20"/>
          <w:szCs w:val="20"/>
          <w:lang w:val="en-PH"/>
        </w:rPr>
        <w:t xml:space="preserve"> of teaching Self-efficacy on teaching demonstration performance is significant.</w:t>
      </w:r>
    </w:p>
    <w:p w14:paraId="3798EE93" w14:textId="77777777" w:rsidR="00767CB1" w:rsidRDefault="00EF15D9">
      <w:pPr>
        <w:pStyle w:val="NoSpacing"/>
        <w:ind w:firstLine="799"/>
        <w:jc w:val="both"/>
        <w:rPr>
          <w:rFonts w:ascii="Arial" w:hAnsi="Arial"/>
          <w:sz w:val="20"/>
          <w:szCs w:val="20"/>
          <w:lang w:val="en-PH"/>
        </w:rPr>
      </w:pPr>
      <w:r>
        <w:rPr>
          <w:rFonts w:ascii="Arial" w:hAnsi="Arial"/>
          <w:sz w:val="20"/>
          <w:szCs w:val="20"/>
          <w:lang w:val="en-PH"/>
        </w:rPr>
        <w:t>Teacher Support attained a beta coefficient of .131. It insinuates that Teacher Support has a 13.1% d</w:t>
      </w:r>
      <w:r>
        <w:rPr>
          <w:rFonts w:ascii="Arial" w:hAnsi="Arial"/>
          <w:sz w:val="20"/>
          <w:szCs w:val="20"/>
          <w:lang w:val="en-PH"/>
        </w:rPr>
        <w:t>egree of influence on the Teaching Demonstration Performance. Furthermore, the p-value is .005, which is less than 0.05 degree of confidence. Hence, the null hypothesis was rejected. Moreover, it purports that 13.1% of the degree of influence of Teacher Su</w:t>
      </w:r>
      <w:r>
        <w:rPr>
          <w:rFonts w:ascii="Arial" w:hAnsi="Arial"/>
          <w:sz w:val="20"/>
          <w:szCs w:val="20"/>
          <w:lang w:val="en-PH"/>
        </w:rPr>
        <w:t>pport on Teaching Demonstration Performance is significant.</w:t>
      </w:r>
    </w:p>
    <w:p w14:paraId="3B66ACAC" w14:textId="77777777" w:rsidR="00767CB1" w:rsidRDefault="00EF15D9">
      <w:pPr>
        <w:pStyle w:val="NoSpacing"/>
        <w:ind w:firstLine="799"/>
        <w:jc w:val="both"/>
        <w:rPr>
          <w:rFonts w:ascii="Arial" w:hAnsi="Arial"/>
          <w:sz w:val="20"/>
          <w:szCs w:val="20"/>
          <w:lang w:val="en-PH"/>
        </w:rPr>
      </w:pPr>
      <w:r>
        <w:rPr>
          <w:rFonts w:ascii="Arial" w:hAnsi="Arial"/>
          <w:sz w:val="20"/>
          <w:szCs w:val="20"/>
          <w:lang w:val="en-PH"/>
        </w:rPr>
        <w:t xml:space="preserve">Predictive variables obtained an r-squared value of .350, it means that there was </w:t>
      </w:r>
      <w:proofErr w:type="gramStart"/>
      <w:r>
        <w:rPr>
          <w:rFonts w:ascii="Arial" w:hAnsi="Arial"/>
          <w:sz w:val="20"/>
          <w:szCs w:val="20"/>
          <w:lang w:val="en-PH"/>
        </w:rPr>
        <w:t>a  35</w:t>
      </w:r>
      <w:proofErr w:type="gramEnd"/>
      <w:r>
        <w:rPr>
          <w:rFonts w:ascii="Arial" w:hAnsi="Arial"/>
          <w:sz w:val="20"/>
          <w:szCs w:val="20"/>
          <w:lang w:val="en-PH"/>
        </w:rPr>
        <w:t xml:space="preserve">% combined degree of influence on the Teaching Demonstration Performance. Since they obtained the p-value of </w:t>
      </w:r>
      <w:r>
        <w:rPr>
          <w:rFonts w:ascii="Arial" w:hAnsi="Arial"/>
          <w:sz w:val="20"/>
          <w:szCs w:val="20"/>
          <w:lang w:val="en-PH"/>
        </w:rPr>
        <w:t xml:space="preserve">.000 which is less than 0.05 degree of confidence, it </w:t>
      </w:r>
      <w:proofErr w:type="gramStart"/>
      <w:r>
        <w:rPr>
          <w:rFonts w:ascii="Arial" w:hAnsi="Arial"/>
          <w:sz w:val="20"/>
          <w:szCs w:val="20"/>
          <w:lang w:val="en-PH"/>
        </w:rPr>
        <w:t>indicates  that</w:t>
      </w:r>
      <w:proofErr w:type="gramEnd"/>
      <w:r>
        <w:rPr>
          <w:rFonts w:ascii="Arial" w:hAnsi="Arial"/>
          <w:sz w:val="20"/>
          <w:szCs w:val="20"/>
          <w:lang w:val="en-PH"/>
        </w:rPr>
        <w:t xml:space="preserve"> their combined influence is significant.</w:t>
      </w:r>
    </w:p>
    <w:p w14:paraId="1F9AE34D" w14:textId="77777777" w:rsidR="00767CB1" w:rsidRDefault="00EF15D9">
      <w:pPr>
        <w:ind w:firstLineChars="250" w:firstLine="500"/>
        <w:jc w:val="both"/>
        <w:rPr>
          <w:rFonts w:ascii="Arial" w:hAnsi="Arial"/>
          <w:lang w:val="en-PH"/>
        </w:rPr>
      </w:pPr>
      <w:r>
        <w:rPr>
          <w:rFonts w:ascii="Arial" w:hAnsi="Arial"/>
          <w:lang w:val="en-PH"/>
        </w:rPr>
        <w:t xml:space="preserve">It was supported in the study of Ma, </w:t>
      </w:r>
      <w:proofErr w:type="spellStart"/>
      <w:r>
        <w:rPr>
          <w:rFonts w:ascii="Arial" w:hAnsi="Arial"/>
          <w:lang w:val="en-PH"/>
        </w:rPr>
        <w:t>McMaugh</w:t>
      </w:r>
      <w:proofErr w:type="spellEnd"/>
      <w:r>
        <w:rPr>
          <w:rFonts w:ascii="Arial" w:hAnsi="Arial"/>
          <w:lang w:val="en-PH"/>
        </w:rPr>
        <w:t>, and Cavanagh (2022), cooperating teachers' mentorship, feedback, and encouragement significantly im</w:t>
      </w:r>
      <w:r>
        <w:rPr>
          <w:rFonts w:ascii="Arial" w:hAnsi="Arial"/>
          <w:lang w:val="en-PH"/>
        </w:rPr>
        <w:t xml:space="preserve">prove pre-service teachers' instructional skills and confidence. Concurrently, high teaching self-efficacy empowers pre-service teachers to manage classrooms and deliver engaging lessons effectively, leading to improved performance (Patterson </w:t>
      </w:r>
      <w:r>
        <w:rPr>
          <w:rFonts w:ascii="Arial" w:hAnsi="Arial"/>
          <w:lang w:val="en-PH"/>
        </w:rPr>
        <w:t>and</w:t>
      </w:r>
      <w:r>
        <w:rPr>
          <w:rFonts w:ascii="Arial" w:hAnsi="Arial"/>
          <w:lang w:val="en-PH"/>
        </w:rPr>
        <w:t xml:space="preserve"> Farmer, 2</w:t>
      </w:r>
      <w:r>
        <w:rPr>
          <w:rFonts w:ascii="Arial" w:hAnsi="Arial"/>
          <w:lang w:val="en-PH"/>
        </w:rPr>
        <w:t>018). Teacher support and teaching self-efficacy positively influence pre-service teachers' performance, with committed teachers creating more effective teaching plans (</w:t>
      </w:r>
      <w:proofErr w:type="spellStart"/>
      <w:r>
        <w:rPr>
          <w:rFonts w:ascii="Arial" w:hAnsi="Arial"/>
          <w:lang w:val="en-PH"/>
        </w:rPr>
        <w:t>Octoria</w:t>
      </w:r>
      <w:proofErr w:type="spellEnd"/>
      <w:r>
        <w:rPr>
          <w:rFonts w:ascii="Arial" w:hAnsi="Arial"/>
          <w:lang w:val="en-PH"/>
        </w:rPr>
        <w:t xml:space="preserve"> et al., 2024).</w:t>
      </w:r>
    </w:p>
    <w:p w14:paraId="41F4D303" w14:textId="77777777" w:rsidR="00767CB1" w:rsidRDefault="00EF15D9">
      <w:pPr>
        <w:pStyle w:val="NoSpacing"/>
        <w:ind w:firstLine="799"/>
        <w:jc w:val="both"/>
        <w:rPr>
          <w:rFonts w:ascii="Arial" w:hAnsi="Arial"/>
          <w:sz w:val="20"/>
          <w:szCs w:val="20"/>
          <w:lang w:val="en-PH"/>
        </w:rPr>
      </w:pPr>
      <w:r>
        <w:rPr>
          <w:rFonts w:ascii="Arial" w:hAnsi="Arial"/>
          <w:sz w:val="20"/>
          <w:szCs w:val="20"/>
          <w:lang w:val="en-PH"/>
        </w:rPr>
        <w:lastRenderedPageBreak/>
        <w:t>However, t</w:t>
      </w:r>
      <w:proofErr w:type="spellStart"/>
      <w:r>
        <w:rPr>
          <w:rFonts w:ascii="Arial" w:hAnsi="Arial"/>
          <w:sz w:val="20"/>
          <w:szCs w:val="20"/>
        </w:rPr>
        <w:t>eaching</w:t>
      </w:r>
      <w:proofErr w:type="spellEnd"/>
      <w:r>
        <w:rPr>
          <w:rFonts w:ascii="Arial" w:hAnsi="Arial"/>
          <w:sz w:val="20"/>
          <w:szCs w:val="20"/>
        </w:rPr>
        <w:t xml:space="preserve"> </w:t>
      </w:r>
      <w:r>
        <w:rPr>
          <w:rFonts w:ascii="Arial" w:hAnsi="Arial"/>
          <w:sz w:val="20"/>
          <w:szCs w:val="20"/>
          <w:lang w:val="en-PH"/>
        </w:rPr>
        <w:t>a</w:t>
      </w:r>
      <w:proofErr w:type="spellStart"/>
      <w:r>
        <w:rPr>
          <w:rFonts w:ascii="Arial" w:hAnsi="Arial"/>
          <w:sz w:val="20"/>
          <w:szCs w:val="20"/>
        </w:rPr>
        <w:t>nxiety</w:t>
      </w:r>
      <w:proofErr w:type="spellEnd"/>
      <w:r>
        <w:rPr>
          <w:rFonts w:ascii="Arial" w:hAnsi="Arial"/>
          <w:sz w:val="20"/>
          <w:szCs w:val="20"/>
        </w:rPr>
        <w:t xml:space="preserve"> alone may not necessarily hinder a pre</w:t>
      </w:r>
      <w:r>
        <w:rPr>
          <w:rFonts w:ascii="Arial" w:hAnsi="Arial"/>
          <w:sz w:val="20"/>
          <w:szCs w:val="20"/>
        </w:rPr>
        <w:t>-service teacher’s ability to deliver an effective lesson.</w:t>
      </w:r>
      <w:r>
        <w:rPr>
          <w:rFonts w:ascii="Arial" w:hAnsi="Arial"/>
          <w:sz w:val="20"/>
          <w:szCs w:val="20"/>
          <w:lang w:val="en-PH"/>
        </w:rPr>
        <w:t xml:space="preserve"> </w:t>
      </w:r>
      <w:r>
        <w:rPr>
          <w:rFonts w:ascii="Arial" w:hAnsi="Arial"/>
          <w:sz w:val="20"/>
          <w:szCs w:val="20"/>
        </w:rPr>
        <w:t xml:space="preserve">This could mean that other factors, such as coping mechanisms or prior teaching experience, may play a role in mitigating the effects of </w:t>
      </w:r>
      <w:r>
        <w:rPr>
          <w:rFonts w:ascii="Arial" w:hAnsi="Arial"/>
          <w:sz w:val="20"/>
          <w:szCs w:val="20"/>
          <w:lang w:val="en-PH"/>
        </w:rPr>
        <w:t>a</w:t>
      </w:r>
      <w:proofErr w:type="spellStart"/>
      <w:r>
        <w:rPr>
          <w:rFonts w:ascii="Arial" w:hAnsi="Arial"/>
          <w:sz w:val="20"/>
          <w:szCs w:val="20"/>
        </w:rPr>
        <w:t>nxiety</w:t>
      </w:r>
      <w:proofErr w:type="spellEnd"/>
      <w:r>
        <w:rPr>
          <w:rFonts w:ascii="Arial" w:hAnsi="Arial"/>
          <w:sz w:val="20"/>
          <w:szCs w:val="20"/>
        </w:rPr>
        <w:t xml:space="preserve"> on performance.</w:t>
      </w:r>
      <w:r>
        <w:rPr>
          <w:rFonts w:ascii="Arial" w:hAnsi="Arial"/>
          <w:sz w:val="20"/>
          <w:szCs w:val="20"/>
          <w:lang w:val="en-PH"/>
        </w:rPr>
        <w:t xml:space="preserve"> Teaching anxiety significantly relat</w:t>
      </w:r>
      <w:r>
        <w:rPr>
          <w:rFonts w:ascii="Arial" w:hAnsi="Arial"/>
          <w:sz w:val="20"/>
          <w:szCs w:val="20"/>
          <w:lang w:val="en-PH"/>
        </w:rPr>
        <w:t>es to teaching self-efficacy (Gorospe, 2022) but may not necessarily hinder classroom performance. Pre-service teachers generally experience normal anxiety during teaching demonstrations, particularly in lesson planning (</w:t>
      </w:r>
      <w:proofErr w:type="spellStart"/>
      <w:r>
        <w:rPr>
          <w:rFonts w:ascii="Arial" w:hAnsi="Arial"/>
          <w:sz w:val="20"/>
          <w:szCs w:val="20"/>
          <w:lang w:val="en-PH"/>
        </w:rPr>
        <w:t>Albasin-Lacaba</w:t>
      </w:r>
      <w:proofErr w:type="spellEnd"/>
      <w:r>
        <w:rPr>
          <w:rFonts w:ascii="Arial" w:hAnsi="Arial"/>
          <w:sz w:val="20"/>
          <w:szCs w:val="20"/>
          <w:lang w:val="en-PH"/>
        </w:rPr>
        <w:t xml:space="preserve"> et al., 2022). To ma</w:t>
      </w:r>
      <w:r>
        <w:rPr>
          <w:rFonts w:ascii="Arial" w:hAnsi="Arial"/>
          <w:sz w:val="20"/>
          <w:szCs w:val="20"/>
          <w:lang w:val="en-PH"/>
        </w:rPr>
        <w:t>nage anxiety, researchers recommend better planning and preparation for internships (Gorospe, 2022), more training workshops on lesson planning, and increased practice teaching demonstrations (</w:t>
      </w:r>
      <w:proofErr w:type="spellStart"/>
      <w:r>
        <w:rPr>
          <w:rFonts w:ascii="Arial" w:hAnsi="Arial"/>
          <w:sz w:val="20"/>
          <w:szCs w:val="20"/>
          <w:lang w:val="en-PH"/>
        </w:rPr>
        <w:t>Albasin-Lacaba</w:t>
      </w:r>
      <w:proofErr w:type="spellEnd"/>
      <w:r>
        <w:rPr>
          <w:rFonts w:ascii="Arial" w:hAnsi="Arial"/>
          <w:sz w:val="20"/>
          <w:szCs w:val="20"/>
          <w:lang w:val="en-PH"/>
        </w:rPr>
        <w:t xml:space="preserve"> et al., 2022).</w:t>
      </w:r>
    </w:p>
    <w:p w14:paraId="312FB345" w14:textId="77777777" w:rsidR="00767CB1" w:rsidRDefault="00767CB1">
      <w:pPr>
        <w:pStyle w:val="NoSpacing"/>
        <w:ind w:firstLine="799"/>
        <w:jc w:val="both"/>
        <w:rPr>
          <w:rFonts w:ascii="Arial" w:hAnsi="Arial"/>
          <w:sz w:val="20"/>
          <w:szCs w:val="20"/>
          <w:lang w:val="en-PH"/>
        </w:rPr>
      </w:pPr>
    </w:p>
    <w:p w14:paraId="103F1207" w14:textId="77777777" w:rsidR="00767CB1" w:rsidRDefault="00EF15D9">
      <w:pPr>
        <w:pStyle w:val="NoSpacing"/>
        <w:ind w:firstLine="799"/>
        <w:jc w:val="center"/>
        <w:rPr>
          <w:rFonts w:ascii="Arial" w:hAnsi="Arial" w:cs="Arial"/>
          <w:b/>
          <w:bCs/>
          <w:sz w:val="20"/>
          <w:szCs w:val="20"/>
          <w:lang w:val="en-PH" w:bidi="ar"/>
        </w:rPr>
      </w:pPr>
      <w:r>
        <w:rPr>
          <w:rFonts w:ascii="Arial" w:hAnsi="Arial"/>
          <w:b/>
          <w:bCs/>
          <w:sz w:val="20"/>
          <w:szCs w:val="20"/>
          <w:lang w:val="en-PH"/>
        </w:rPr>
        <w:t xml:space="preserve">Table 3. </w:t>
      </w:r>
      <w:r>
        <w:rPr>
          <w:rFonts w:ascii="Arial" w:hAnsi="Arial" w:cs="Arial"/>
          <w:b/>
          <w:bCs/>
          <w:sz w:val="20"/>
          <w:szCs w:val="20"/>
          <w:lang w:val="en-PH" w:bidi="ar"/>
        </w:rPr>
        <w:t>Influence of teaching a</w:t>
      </w:r>
      <w:r>
        <w:rPr>
          <w:rFonts w:ascii="Arial" w:hAnsi="Arial" w:cs="Arial"/>
          <w:b/>
          <w:bCs/>
          <w:sz w:val="20"/>
          <w:szCs w:val="20"/>
          <w:lang w:val="en-PH" w:bidi="ar"/>
        </w:rPr>
        <w:t>nxiety, teaching self-efficacy, and teacher support on the teaching demonstration performance of pre-service teachers</w:t>
      </w:r>
    </w:p>
    <w:p w14:paraId="6A57F735" w14:textId="77777777" w:rsidR="00767CB1" w:rsidRDefault="00767CB1">
      <w:pPr>
        <w:pStyle w:val="NoSpacing"/>
        <w:ind w:firstLine="799"/>
        <w:jc w:val="center"/>
        <w:rPr>
          <w:rFonts w:ascii="Arial" w:hAnsi="Arial" w:cs="Arial"/>
          <w:b/>
          <w:bCs/>
          <w:sz w:val="20"/>
          <w:szCs w:val="20"/>
          <w:lang w:val="en-PH" w:bidi="ar"/>
        </w:rPr>
      </w:pPr>
    </w:p>
    <w:tbl>
      <w:tblPr>
        <w:tblStyle w:val="TableGrid"/>
        <w:tblW w:w="4997"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288"/>
        <w:gridCol w:w="463"/>
        <w:gridCol w:w="1312"/>
        <w:gridCol w:w="657"/>
        <w:gridCol w:w="844"/>
        <w:gridCol w:w="652"/>
        <w:gridCol w:w="1116"/>
        <w:gridCol w:w="1527"/>
      </w:tblGrid>
      <w:tr w:rsidR="00767CB1" w14:paraId="7AB5A2BB" w14:textId="77777777">
        <w:trPr>
          <w:trHeight w:val="340"/>
        </w:trPr>
        <w:tc>
          <w:tcPr>
            <w:tcW w:w="926" w:type="pct"/>
            <w:tcBorders>
              <w:top w:val="single" w:sz="18" w:space="0" w:color="auto"/>
              <w:bottom w:val="single" w:sz="18" w:space="0" w:color="auto"/>
            </w:tcBorders>
            <w:vAlign w:val="center"/>
          </w:tcPr>
          <w:p w14:paraId="5E285064" w14:textId="77777777" w:rsidR="00767CB1" w:rsidRDefault="00767CB1">
            <w:pPr>
              <w:widowControl w:val="0"/>
              <w:jc w:val="center"/>
              <w:rPr>
                <w:rFonts w:ascii="Arial" w:hAnsi="Arial" w:cs="Arial"/>
                <w:b/>
                <w:kern w:val="2"/>
                <w:sz w:val="20"/>
                <w:szCs w:val="20"/>
                <w:lang w:eastAsia="en-PH"/>
              </w:rPr>
            </w:pPr>
          </w:p>
        </w:tc>
        <w:tc>
          <w:tcPr>
            <w:tcW w:w="4073" w:type="pct"/>
            <w:gridSpan w:val="8"/>
            <w:tcBorders>
              <w:top w:val="single" w:sz="18" w:space="0" w:color="auto"/>
              <w:bottom w:val="single" w:sz="4" w:space="0" w:color="auto"/>
            </w:tcBorders>
            <w:vAlign w:val="center"/>
          </w:tcPr>
          <w:p w14:paraId="4BA10124" w14:textId="77777777" w:rsidR="00767CB1" w:rsidRDefault="00EF15D9">
            <w:pPr>
              <w:widowControl w:val="0"/>
              <w:jc w:val="center"/>
              <w:rPr>
                <w:rFonts w:ascii="Arial" w:hAnsi="Arial" w:cs="Arial"/>
                <w:b/>
                <w:bCs/>
                <w:kern w:val="2"/>
                <w:sz w:val="20"/>
                <w:szCs w:val="20"/>
                <w:lang w:val="en-PH" w:bidi="ar"/>
              </w:rPr>
            </w:pPr>
            <w:r>
              <w:rPr>
                <w:rFonts w:ascii="Arial" w:hAnsi="Arial" w:cs="Arial"/>
                <w:b/>
                <w:bCs/>
                <w:sz w:val="20"/>
                <w:szCs w:val="20"/>
                <w:lang w:eastAsia="en-PH"/>
              </w:rPr>
              <w:t>Teaching Demonstration Performance</w:t>
            </w:r>
          </w:p>
        </w:tc>
      </w:tr>
      <w:tr w:rsidR="00767CB1" w14:paraId="239D8AFA" w14:textId="77777777">
        <w:trPr>
          <w:trHeight w:val="340"/>
        </w:trPr>
        <w:tc>
          <w:tcPr>
            <w:tcW w:w="926" w:type="pct"/>
            <w:tcBorders>
              <w:top w:val="single" w:sz="18" w:space="0" w:color="auto"/>
              <w:bottom w:val="nil"/>
            </w:tcBorders>
            <w:vAlign w:val="center"/>
          </w:tcPr>
          <w:p w14:paraId="2530EC47" w14:textId="77777777" w:rsidR="00767CB1" w:rsidRDefault="00767CB1">
            <w:pPr>
              <w:widowControl w:val="0"/>
              <w:jc w:val="center"/>
              <w:rPr>
                <w:rFonts w:ascii="Arial" w:hAnsi="Arial" w:cs="Arial"/>
                <w:b/>
                <w:kern w:val="2"/>
                <w:sz w:val="20"/>
                <w:szCs w:val="20"/>
                <w:lang w:eastAsia="en-PH"/>
              </w:rPr>
            </w:pPr>
          </w:p>
        </w:tc>
        <w:tc>
          <w:tcPr>
            <w:tcW w:w="171" w:type="pct"/>
            <w:tcBorders>
              <w:top w:val="single" w:sz="18" w:space="0" w:color="auto"/>
              <w:bottom w:val="nil"/>
            </w:tcBorders>
            <w:vAlign w:val="center"/>
          </w:tcPr>
          <w:p w14:paraId="60E51B82" w14:textId="77777777" w:rsidR="00767CB1" w:rsidRDefault="00767CB1">
            <w:pPr>
              <w:widowControl w:val="0"/>
              <w:jc w:val="center"/>
              <w:rPr>
                <w:rFonts w:ascii="Arial" w:hAnsi="Arial" w:cs="Arial"/>
                <w:b/>
                <w:kern w:val="2"/>
                <w:sz w:val="20"/>
                <w:szCs w:val="20"/>
                <w:lang w:bidi="ar"/>
              </w:rPr>
            </w:pPr>
          </w:p>
        </w:tc>
        <w:tc>
          <w:tcPr>
            <w:tcW w:w="1054" w:type="pct"/>
            <w:gridSpan w:val="2"/>
            <w:tcBorders>
              <w:top w:val="single" w:sz="18" w:space="0" w:color="auto"/>
              <w:bottom w:val="nil"/>
            </w:tcBorders>
            <w:vAlign w:val="center"/>
          </w:tcPr>
          <w:p w14:paraId="505D4183" w14:textId="77777777" w:rsidR="00767CB1" w:rsidRDefault="00EF15D9">
            <w:pPr>
              <w:widowControl w:val="0"/>
              <w:jc w:val="center"/>
              <w:rPr>
                <w:rFonts w:ascii="Arial" w:hAnsi="Arial" w:cs="Arial"/>
                <w:b/>
                <w:kern w:val="2"/>
                <w:sz w:val="20"/>
                <w:szCs w:val="20"/>
                <w:lang w:bidi="ar"/>
              </w:rPr>
            </w:pPr>
            <w:r>
              <w:rPr>
                <w:rFonts w:ascii="Arial" w:hAnsi="Arial" w:cs="Arial" w:hint="eastAsia"/>
                <w:b/>
                <w:kern w:val="2"/>
                <w:sz w:val="20"/>
                <w:szCs w:val="20"/>
                <w:lang w:bidi="ar"/>
              </w:rPr>
              <w:t>Unstandardized</w:t>
            </w:r>
          </w:p>
          <w:p w14:paraId="24A71F06" w14:textId="77777777" w:rsidR="00767CB1" w:rsidRDefault="00EF15D9">
            <w:pPr>
              <w:widowControl w:val="0"/>
              <w:jc w:val="center"/>
              <w:rPr>
                <w:rFonts w:ascii="Arial" w:hAnsi="Arial" w:cs="Arial"/>
                <w:b/>
                <w:kern w:val="2"/>
                <w:sz w:val="20"/>
                <w:szCs w:val="20"/>
                <w:lang w:bidi="ar"/>
              </w:rPr>
            </w:pPr>
            <w:r>
              <w:rPr>
                <w:rFonts w:ascii="Arial" w:hAnsi="Arial" w:cs="Arial" w:hint="eastAsia"/>
                <w:b/>
                <w:kern w:val="2"/>
                <w:sz w:val="20"/>
                <w:szCs w:val="20"/>
                <w:lang w:bidi="ar"/>
              </w:rPr>
              <w:t>Coefficients</w:t>
            </w:r>
          </w:p>
        </w:tc>
        <w:tc>
          <w:tcPr>
            <w:tcW w:w="1278" w:type="pct"/>
            <w:gridSpan w:val="3"/>
            <w:tcBorders>
              <w:top w:val="single" w:sz="18" w:space="0" w:color="auto"/>
              <w:bottom w:val="nil"/>
            </w:tcBorders>
            <w:vAlign w:val="center"/>
          </w:tcPr>
          <w:p w14:paraId="3A5DFA41" w14:textId="77777777" w:rsidR="00767CB1" w:rsidRDefault="00EF15D9">
            <w:pPr>
              <w:widowControl w:val="0"/>
              <w:jc w:val="center"/>
              <w:rPr>
                <w:rFonts w:ascii="Arial" w:hAnsi="Arial" w:cs="Arial"/>
                <w:b/>
                <w:kern w:val="2"/>
                <w:sz w:val="20"/>
                <w:szCs w:val="20"/>
                <w:lang w:eastAsia="en-PH"/>
              </w:rPr>
            </w:pPr>
            <w:r>
              <w:rPr>
                <w:rFonts w:ascii="Arial" w:hAnsi="Arial" w:cs="Arial" w:hint="eastAsia"/>
                <w:b/>
                <w:kern w:val="2"/>
                <w:sz w:val="20"/>
                <w:szCs w:val="20"/>
                <w:lang w:bidi="ar"/>
              </w:rPr>
              <w:t>Standardized Coefficients</w:t>
            </w:r>
          </w:p>
        </w:tc>
        <w:tc>
          <w:tcPr>
            <w:tcW w:w="663" w:type="pct"/>
            <w:tcBorders>
              <w:top w:val="single" w:sz="18" w:space="0" w:color="auto"/>
              <w:bottom w:val="nil"/>
            </w:tcBorders>
          </w:tcPr>
          <w:p w14:paraId="4256579F" w14:textId="77777777" w:rsidR="00767CB1" w:rsidRDefault="00767CB1">
            <w:pPr>
              <w:widowControl w:val="0"/>
              <w:jc w:val="center"/>
              <w:rPr>
                <w:rFonts w:ascii="Arial" w:hAnsi="Arial" w:cs="Arial"/>
                <w:b/>
                <w:kern w:val="2"/>
                <w:sz w:val="20"/>
                <w:szCs w:val="20"/>
                <w:lang w:bidi="ar"/>
              </w:rPr>
            </w:pPr>
          </w:p>
        </w:tc>
        <w:tc>
          <w:tcPr>
            <w:tcW w:w="906" w:type="pct"/>
            <w:tcBorders>
              <w:top w:val="single" w:sz="18" w:space="0" w:color="auto"/>
              <w:bottom w:val="nil"/>
            </w:tcBorders>
          </w:tcPr>
          <w:p w14:paraId="056C3799" w14:textId="77777777" w:rsidR="00767CB1" w:rsidRDefault="00767CB1">
            <w:pPr>
              <w:widowControl w:val="0"/>
              <w:jc w:val="center"/>
              <w:rPr>
                <w:rFonts w:ascii="Arial" w:hAnsi="Arial" w:cs="Arial"/>
                <w:b/>
                <w:kern w:val="2"/>
                <w:sz w:val="20"/>
                <w:szCs w:val="20"/>
                <w:lang w:bidi="ar"/>
              </w:rPr>
            </w:pPr>
          </w:p>
        </w:tc>
      </w:tr>
      <w:tr w:rsidR="00767CB1" w14:paraId="5D8EE7D9" w14:textId="77777777">
        <w:trPr>
          <w:trHeight w:val="170"/>
        </w:trPr>
        <w:tc>
          <w:tcPr>
            <w:tcW w:w="926" w:type="pct"/>
            <w:tcBorders>
              <w:top w:val="nil"/>
              <w:bottom w:val="nil"/>
            </w:tcBorders>
            <w:vAlign w:val="center"/>
          </w:tcPr>
          <w:p w14:paraId="6DE95A9B" w14:textId="77777777" w:rsidR="00767CB1" w:rsidRDefault="00EF15D9">
            <w:pPr>
              <w:widowControl w:val="0"/>
              <w:jc w:val="center"/>
              <w:rPr>
                <w:rFonts w:ascii="Arial" w:eastAsia="Calibri" w:hAnsi="Arial" w:cs="Arial"/>
                <w:kern w:val="2"/>
                <w:sz w:val="20"/>
                <w:szCs w:val="20"/>
                <w:lang w:val="en-PH" w:eastAsia="en-PH"/>
              </w:rPr>
            </w:pPr>
            <w:r>
              <w:rPr>
                <w:rFonts w:ascii="Arial" w:eastAsia="Calibri" w:hAnsi="Arial" w:cs="Arial"/>
                <w:b/>
                <w:bCs/>
                <w:kern w:val="2"/>
                <w:sz w:val="20"/>
                <w:szCs w:val="20"/>
                <w:lang w:val="en-PH" w:eastAsia="en-PH"/>
              </w:rPr>
              <w:t>Independent Variables</w:t>
            </w:r>
          </w:p>
        </w:tc>
        <w:tc>
          <w:tcPr>
            <w:tcW w:w="446" w:type="pct"/>
            <w:gridSpan w:val="2"/>
            <w:tcBorders>
              <w:top w:val="nil"/>
              <w:bottom w:val="nil"/>
            </w:tcBorders>
            <w:vAlign w:val="center"/>
          </w:tcPr>
          <w:p w14:paraId="2C45D895" w14:textId="77777777" w:rsidR="00767CB1" w:rsidRDefault="00EF15D9">
            <w:pPr>
              <w:widowControl w:val="0"/>
              <w:jc w:val="center"/>
              <w:rPr>
                <w:rFonts w:ascii="Arial" w:hAnsi="Arial" w:cs="Arial"/>
                <w:b/>
                <w:kern w:val="2"/>
                <w:sz w:val="20"/>
                <w:szCs w:val="20"/>
                <w:lang w:eastAsia="en-PH"/>
              </w:rPr>
            </w:pPr>
            <w:r>
              <w:rPr>
                <w:rFonts w:ascii="Arial" w:hAnsi="Arial" w:cs="Arial" w:hint="eastAsia"/>
                <w:b/>
                <w:kern w:val="2"/>
                <w:sz w:val="20"/>
                <w:szCs w:val="20"/>
                <w:lang w:eastAsia="en-PH"/>
              </w:rPr>
              <w:t>B</w:t>
            </w:r>
          </w:p>
        </w:tc>
        <w:tc>
          <w:tcPr>
            <w:tcW w:w="779" w:type="pct"/>
            <w:tcBorders>
              <w:top w:val="nil"/>
              <w:bottom w:val="nil"/>
            </w:tcBorders>
            <w:vAlign w:val="center"/>
          </w:tcPr>
          <w:p w14:paraId="0E9291BE" w14:textId="77777777" w:rsidR="00767CB1" w:rsidRDefault="00EF15D9">
            <w:pPr>
              <w:widowControl w:val="0"/>
              <w:jc w:val="center"/>
              <w:rPr>
                <w:rFonts w:ascii="Arial" w:hAnsi="Arial" w:cs="Arial"/>
                <w:b/>
                <w:kern w:val="2"/>
                <w:sz w:val="20"/>
                <w:szCs w:val="20"/>
                <w:lang w:eastAsia="en-PH"/>
              </w:rPr>
            </w:pPr>
            <w:r>
              <w:rPr>
                <w:rFonts w:ascii="Arial" w:hAnsi="Arial" w:cs="Arial" w:hint="eastAsia"/>
                <w:b/>
                <w:kern w:val="2"/>
                <w:sz w:val="20"/>
                <w:szCs w:val="20"/>
                <w:lang w:eastAsia="en-PH"/>
              </w:rPr>
              <w:t>Std. Error</w:t>
            </w:r>
          </w:p>
        </w:tc>
        <w:tc>
          <w:tcPr>
            <w:tcW w:w="390" w:type="pct"/>
            <w:tcBorders>
              <w:top w:val="nil"/>
              <w:bottom w:val="nil"/>
            </w:tcBorders>
            <w:vAlign w:val="center"/>
          </w:tcPr>
          <w:p w14:paraId="27EDCFAF" w14:textId="77777777" w:rsidR="00767CB1" w:rsidRDefault="00EF15D9">
            <w:pPr>
              <w:widowControl w:val="0"/>
              <w:jc w:val="center"/>
              <w:rPr>
                <w:rFonts w:ascii="Arial" w:hAnsi="Arial" w:cs="Arial"/>
                <w:b/>
                <w:kern w:val="2"/>
                <w:sz w:val="20"/>
                <w:szCs w:val="20"/>
                <w:lang w:eastAsia="en-PH"/>
              </w:rPr>
            </w:pPr>
            <w:r>
              <w:rPr>
                <w:rFonts w:ascii="Arial" w:hAnsi="Arial" w:cs="Arial" w:hint="eastAsia"/>
                <w:b/>
                <w:kern w:val="2"/>
                <w:sz w:val="20"/>
                <w:szCs w:val="20"/>
                <w:lang w:eastAsia="en-PH"/>
              </w:rPr>
              <w:t>Beta</w:t>
            </w:r>
          </w:p>
        </w:tc>
        <w:tc>
          <w:tcPr>
            <w:tcW w:w="501" w:type="pct"/>
            <w:tcBorders>
              <w:top w:val="nil"/>
              <w:bottom w:val="nil"/>
            </w:tcBorders>
            <w:vAlign w:val="center"/>
          </w:tcPr>
          <w:p w14:paraId="6945461D" w14:textId="77777777" w:rsidR="00767CB1" w:rsidRDefault="00EF15D9">
            <w:pPr>
              <w:widowControl w:val="0"/>
              <w:jc w:val="center"/>
              <w:rPr>
                <w:rFonts w:ascii="Arial" w:hAnsi="Arial" w:cs="Arial"/>
                <w:b/>
                <w:kern w:val="2"/>
                <w:sz w:val="20"/>
                <w:szCs w:val="20"/>
                <w:lang w:eastAsia="en-PH"/>
              </w:rPr>
            </w:pPr>
            <w:r>
              <w:rPr>
                <w:rFonts w:ascii="Arial" w:hAnsi="Arial" w:cs="Arial" w:hint="eastAsia"/>
                <w:b/>
                <w:kern w:val="2"/>
                <w:sz w:val="20"/>
                <w:szCs w:val="20"/>
                <w:lang w:eastAsia="en-PH"/>
              </w:rPr>
              <w:t>t</w:t>
            </w:r>
          </w:p>
        </w:tc>
        <w:tc>
          <w:tcPr>
            <w:tcW w:w="386" w:type="pct"/>
            <w:tcBorders>
              <w:top w:val="nil"/>
              <w:bottom w:val="nil"/>
            </w:tcBorders>
            <w:vAlign w:val="center"/>
          </w:tcPr>
          <w:p w14:paraId="219FA2B3" w14:textId="77777777" w:rsidR="00767CB1" w:rsidRDefault="00EF15D9">
            <w:pPr>
              <w:widowControl w:val="0"/>
              <w:jc w:val="center"/>
              <w:rPr>
                <w:rFonts w:ascii="Arial" w:hAnsi="Arial" w:cs="Arial"/>
                <w:b/>
                <w:kern w:val="2"/>
                <w:sz w:val="20"/>
                <w:szCs w:val="20"/>
                <w:lang w:eastAsia="en-PH"/>
              </w:rPr>
            </w:pPr>
            <w:r>
              <w:rPr>
                <w:rFonts w:ascii="Arial" w:hAnsi="Arial" w:cs="Arial" w:hint="eastAsia"/>
                <w:b/>
                <w:kern w:val="2"/>
                <w:sz w:val="20"/>
                <w:szCs w:val="20"/>
                <w:lang w:eastAsia="en-PH"/>
              </w:rPr>
              <w:t>Sig.</w:t>
            </w:r>
          </w:p>
        </w:tc>
        <w:tc>
          <w:tcPr>
            <w:tcW w:w="663" w:type="pct"/>
            <w:tcBorders>
              <w:top w:val="nil"/>
              <w:bottom w:val="nil"/>
            </w:tcBorders>
            <w:vAlign w:val="center"/>
          </w:tcPr>
          <w:p w14:paraId="0431708B" w14:textId="77777777" w:rsidR="00767CB1" w:rsidRDefault="00767CB1">
            <w:pPr>
              <w:widowControl w:val="0"/>
              <w:jc w:val="center"/>
              <w:rPr>
                <w:rFonts w:ascii="Arial" w:hAnsi="Arial" w:cs="Arial"/>
                <w:b/>
                <w:kern w:val="2"/>
                <w:sz w:val="20"/>
                <w:szCs w:val="20"/>
                <w:lang w:eastAsia="en-PH"/>
              </w:rPr>
            </w:pPr>
          </w:p>
          <w:p w14:paraId="77B72ADB" w14:textId="77777777" w:rsidR="00767CB1" w:rsidRDefault="00EF15D9">
            <w:pPr>
              <w:widowControl w:val="0"/>
              <w:jc w:val="center"/>
              <w:rPr>
                <w:rFonts w:ascii="Arial" w:hAnsi="Arial" w:cs="Arial"/>
                <w:b/>
                <w:kern w:val="2"/>
                <w:sz w:val="20"/>
                <w:szCs w:val="20"/>
                <w:vertAlign w:val="subscript"/>
                <w:lang w:eastAsia="en-PH"/>
              </w:rPr>
            </w:pPr>
            <w:r>
              <w:rPr>
                <w:rFonts w:ascii="Arial" w:hAnsi="Arial" w:cs="Arial" w:hint="eastAsia"/>
                <w:b/>
                <w:kern w:val="2"/>
                <w:sz w:val="20"/>
                <w:szCs w:val="20"/>
                <w:lang w:eastAsia="en-PH"/>
              </w:rPr>
              <w:t>Decision on H</w:t>
            </w:r>
            <w:r>
              <w:rPr>
                <w:rFonts w:ascii="Arial" w:hAnsi="Arial" w:cs="Arial" w:hint="eastAsia"/>
                <w:b/>
                <w:kern w:val="2"/>
                <w:sz w:val="20"/>
                <w:szCs w:val="20"/>
                <w:vertAlign w:val="subscript"/>
                <w:lang w:eastAsia="en-PH"/>
              </w:rPr>
              <w:t>0</w:t>
            </w:r>
          </w:p>
        </w:tc>
        <w:tc>
          <w:tcPr>
            <w:tcW w:w="906" w:type="pct"/>
            <w:tcBorders>
              <w:top w:val="nil"/>
              <w:bottom w:val="nil"/>
            </w:tcBorders>
            <w:vAlign w:val="center"/>
          </w:tcPr>
          <w:p w14:paraId="48F413C3" w14:textId="77777777" w:rsidR="00767CB1" w:rsidRDefault="00767CB1">
            <w:pPr>
              <w:widowControl w:val="0"/>
              <w:jc w:val="center"/>
              <w:rPr>
                <w:rFonts w:ascii="Arial" w:hAnsi="Arial" w:cs="Arial"/>
                <w:b/>
                <w:kern w:val="2"/>
                <w:sz w:val="20"/>
                <w:szCs w:val="20"/>
                <w:lang w:eastAsia="en-PH"/>
              </w:rPr>
            </w:pPr>
          </w:p>
          <w:p w14:paraId="56A6F196" w14:textId="77777777" w:rsidR="00767CB1" w:rsidRDefault="00EF15D9">
            <w:pPr>
              <w:widowControl w:val="0"/>
              <w:jc w:val="center"/>
              <w:rPr>
                <w:rFonts w:ascii="Arial" w:hAnsi="Arial" w:cs="Arial"/>
                <w:b/>
                <w:kern w:val="2"/>
                <w:sz w:val="20"/>
                <w:szCs w:val="20"/>
                <w:lang w:eastAsia="en-PH"/>
              </w:rPr>
            </w:pPr>
            <w:r>
              <w:rPr>
                <w:rFonts w:ascii="Arial" w:hAnsi="Arial" w:cs="Arial" w:hint="eastAsia"/>
                <w:b/>
                <w:kern w:val="2"/>
                <w:sz w:val="20"/>
                <w:szCs w:val="20"/>
                <w:lang w:eastAsia="en-PH"/>
              </w:rPr>
              <w:t>Interpretation</w:t>
            </w:r>
          </w:p>
        </w:tc>
      </w:tr>
      <w:tr w:rsidR="00767CB1" w14:paraId="7DC65089" w14:textId="77777777">
        <w:trPr>
          <w:trHeight w:val="170"/>
        </w:trPr>
        <w:tc>
          <w:tcPr>
            <w:tcW w:w="926" w:type="pct"/>
            <w:tcBorders>
              <w:bottom w:val="single" w:sz="8" w:space="0" w:color="auto"/>
            </w:tcBorders>
            <w:vAlign w:val="center"/>
          </w:tcPr>
          <w:p w14:paraId="4E61604D" w14:textId="77777777" w:rsidR="00767CB1" w:rsidRDefault="00EF15D9">
            <w:pPr>
              <w:widowControl w:val="0"/>
              <w:spacing w:line="256" w:lineRule="auto"/>
              <w:jc w:val="center"/>
              <w:rPr>
                <w:rFonts w:ascii="Arial" w:hAnsi="Arial" w:cs="Arial"/>
                <w:kern w:val="2"/>
                <w:sz w:val="20"/>
                <w:szCs w:val="20"/>
                <w:lang w:eastAsia="en-PH"/>
              </w:rPr>
            </w:pPr>
            <w:r>
              <w:rPr>
                <w:rFonts w:ascii="Arial" w:eastAsia="Calibri" w:hAnsi="Arial" w:cs="Arial"/>
                <w:kern w:val="2"/>
                <w:sz w:val="20"/>
                <w:szCs w:val="20"/>
                <w:lang w:bidi="ar"/>
              </w:rPr>
              <w:t>(Constant)</w:t>
            </w:r>
          </w:p>
        </w:tc>
        <w:tc>
          <w:tcPr>
            <w:tcW w:w="446" w:type="pct"/>
            <w:gridSpan w:val="2"/>
            <w:tcBorders>
              <w:bottom w:val="single" w:sz="8" w:space="0" w:color="auto"/>
            </w:tcBorders>
          </w:tcPr>
          <w:p w14:paraId="08B8361A" w14:textId="77777777" w:rsidR="00767CB1" w:rsidRDefault="00EF15D9">
            <w:pPr>
              <w:widowControl w:val="0"/>
              <w:spacing w:line="256" w:lineRule="auto"/>
              <w:jc w:val="center"/>
              <w:rPr>
                <w:rFonts w:ascii="Arial" w:hAnsi="Arial" w:cs="Arial"/>
                <w:kern w:val="2"/>
                <w:sz w:val="20"/>
                <w:szCs w:val="20"/>
                <w:lang w:eastAsia="en-PH"/>
              </w:rPr>
            </w:pPr>
            <w:r>
              <w:rPr>
                <w:rFonts w:ascii="Arial" w:hAnsi="Arial" w:cs="Arial"/>
                <w:kern w:val="2"/>
                <w:sz w:val="20"/>
                <w:szCs w:val="20"/>
                <w:lang w:eastAsia="en-PH"/>
              </w:rPr>
              <w:t>1.497</w:t>
            </w:r>
          </w:p>
        </w:tc>
        <w:tc>
          <w:tcPr>
            <w:tcW w:w="779" w:type="pct"/>
            <w:tcBorders>
              <w:bottom w:val="single" w:sz="8" w:space="0" w:color="auto"/>
            </w:tcBorders>
          </w:tcPr>
          <w:p w14:paraId="1E004BE7" w14:textId="77777777" w:rsidR="00767CB1" w:rsidRDefault="00EF15D9">
            <w:pPr>
              <w:widowControl w:val="0"/>
              <w:spacing w:line="256" w:lineRule="auto"/>
              <w:jc w:val="center"/>
              <w:rPr>
                <w:rFonts w:ascii="Arial" w:hAnsi="Arial" w:cs="Arial"/>
                <w:kern w:val="2"/>
                <w:sz w:val="20"/>
                <w:szCs w:val="20"/>
                <w:lang w:eastAsia="en-PH"/>
              </w:rPr>
            </w:pPr>
            <w:r>
              <w:rPr>
                <w:rFonts w:ascii="Arial" w:eastAsia="Calibri" w:hAnsi="Arial" w:cs="Arial"/>
                <w:kern w:val="2"/>
                <w:sz w:val="20"/>
                <w:szCs w:val="20"/>
                <w:lang w:bidi="ar"/>
              </w:rPr>
              <w:t>.379</w:t>
            </w:r>
          </w:p>
        </w:tc>
        <w:tc>
          <w:tcPr>
            <w:tcW w:w="390" w:type="pct"/>
            <w:tcBorders>
              <w:bottom w:val="single" w:sz="8" w:space="0" w:color="auto"/>
            </w:tcBorders>
          </w:tcPr>
          <w:p w14:paraId="0C6CA933" w14:textId="77777777" w:rsidR="00767CB1" w:rsidRDefault="00767CB1">
            <w:pPr>
              <w:widowControl w:val="0"/>
              <w:spacing w:line="256" w:lineRule="auto"/>
              <w:jc w:val="center"/>
              <w:rPr>
                <w:rFonts w:ascii="Arial" w:hAnsi="Arial" w:cs="Arial"/>
                <w:kern w:val="2"/>
                <w:sz w:val="20"/>
                <w:szCs w:val="20"/>
                <w:lang w:eastAsia="en-PH"/>
              </w:rPr>
            </w:pPr>
          </w:p>
        </w:tc>
        <w:tc>
          <w:tcPr>
            <w:tcW w:w="501" w:type="pct"/>
            <w:tcBorders>
              <w:bottom w:val="single" w:sz="8" w:space="0" w:color="auto"/>
            </w:tcBorders>
          </w:tcPr>
          <w:p w14:paraId="3FA3B98F" w14:textId="77777777" w:rsidR="00767CB1" w:rsidRDefault="00EF15D9">
            <w:pPr>
              <w:widowControl w:val="0"/>
              <w:spacing w:line="256" w:lineRule="auto"/>
              <w:jc w:val="center"/>
              <w:rPr>
                <w:rFonts w:ascii="Arial" w:hAnsi="Arial" w:cs="Arial"/>
                <w:kern w:val="2"/>
                <w:sz w:val="20"/>
                <w:szCs w:val="20"/>
                <w:lang w:eastAsia="en-PH"/>
              </w:rPr>
            </w:pPr>
            <w:r>
              <w:rPr>
                <w:rFonts w:ascii="Arial" w:hAnsi="Arial" w:cs="Arial"/>
                <w:kern w:val="2"/>
                <w:sz w:val="20"/>
                <w:szCs w:val="20"/>
                <w:lang w:eastAsia="en-PH"/>
              </w:rPr>
              <w:t>3.950</w:t>
            </w:r>
          </w:p>
        </w:tc>
        <w:tc>
          <w:tcPr>
            <w:tcW w:w="386" w:type="pct"/>
            <w:tcBorders>
              <w:bottom w:val="single" w:sz="8" w:space="0" w:color="auto"/>
            </w:tcBorders>
          </w:tcPr>
          <w:p w14:paraId="071266FD" w14:textId="77777777" w:rsidR="00767CB1" w:rsidRDefault="00EF15D9">
            <w:pPr>
              <w:widowControl w:val="0"/>
              <w:spacing w:line="256" w:lineRule="auto"/>
              <w:jc w:val="center"/>
              <w:rPr>
                <w:rFonts w:ascii="Arial" w:hAnsi="Arial" w:cs="Arial"/>
                <w:kern w:val="2"/>
                <w:sz w:val="20"/>
                <w:szCs w:val="20"/>
                <w:lang w:eastAsia="en-PH"/>
              </w:rPr>
            </w:pPr>
            <w:r>
              <w:rPr>
                <w:rFonts w:ascii="Arial" w:eastAsia="Calibri" w:hAnsi="Arial" w:cs="Arial"/>
                <w:kern w:val="2"/>
                <w:sz w:val="20"/>
                <w:szCs w:val="20"/>
                <w:lang w:bidi="ar"/>
              </w:rPr>
              <w:t>.000</w:t>
            </w:r>
          </w:p>
        </w:tc>
        <w:tc>
          <w:tcPr>
            <w:tcW w:w="663" w:type="pct"/>
            <w:tcBorders>
              <w:bottom w:val="single" w:sz="8" w:space="0" w:color="auto"/>
            </w:tcBorders>
            <w:vAlign w:val="center"/>
          </w:tcPr>
          <w:p w14:paraId="6805A8B0" w14:textId="77777777" w:rsidR="00767CB1" w:rsidRDefault="00767CB1">
            <w:pPr>
              <w:widowControl w:val="0"/>
              <w:autoSpaceDE w:val="0"/>
              <w:autoSpaceDN w:val="0"/>
              <w:adjustRightInd w:val="0"/>
              <w:spacing w:line="320" w:lineRule="atLeast"/>
              <w:ind w:left="60" w:right="60"/>
              <w:jc w:val="center"/>
              <w:rPr>
                <w:rFonts w:ascii="Arial" w:hAnsi="Arial" w:cs="Arial"/>
                <w:kern w:val="2"/>
                <w:sz w:val="20"/>
                <w:szCs w:val="20"/>
                <w:lang w:eastAsia="en-PH"/>
              </w:rPr>
            </w:pPr>
          </w:p>
        </w:tc>
        <w:tc>
          <w:tcPr>
            <w:tcW w:w="906" w:type="pct"/>
            <w:tcBorders>
              <w:bottom w:val="single" w:sz="8" w:space="0" w:color="auto"/>
            </w:tcBorders>
            <w:vAlign w:val="center"/>
          </w:tcPr>
          <w:p w14:paraId="3C254B4B" w14:textId="77777777" w:rsidR="00767CB1" w:rsidRDefault="00767CB1">
            <w:pPr>
              <w:widowControl w:val="0"/>
              <w:autoSpaceDE w:val="0"/>
              <w:autoSpaceDN w:val="0"/>
              <w:adjustRightInd w:val="0"/>
              <w:ind w:left="60" w:right="60"/>
              <w:jc w:val="center"/>
              <w:rPr>
                <w:rFonts w:ascii="Arial" w:hAnsi="Arial" w:cs="Arial"/>
                <w:kern w:val="2"/>
                <w:sz w:val="20"/>
                <w:szCs w:val="20"/>
                <w:lang w:eastAsia="en-PH"/>
              </w:rPr>
            </w:pPr>
          </w:p>
        </w:tc>
      </w:tr>
      <w:tr w:rsidR="00767CB1" w14:paraId="26FC523D" w14:textId="77777777">
        <w:trPr>
          <w:trHeight w:val="877"/>
        </w:trPr>
        <w:tc>
          <w:tcPr>
            <w:tcW w:w="926" w:type="pct"/>
            <w:tcBorders>
              <w:top w:val="single" w:sz="8" w:space="0" w:color="auto"/>
              <w:bottom w:val="single" w:sz="8" w:space="0" w:color="auto"/>
            </w:tcBorders>
            <w:vAlign w:val="center"/>
          </w:tcPr>
          <w:p w14:paraId="3C0CA53C" w14:textId="77777777" w:rsidR="00767CB1" w:rsidRDefault="00EF15D9">
            <w:pPr>
              <w:widowControl w:val="0"/>
              <w:spacing w:line="256" w:lineRule="auto"/>
              <w:rPr>
                <w:rFonts w:ascii="Arial" w:eastAsia="Calibri" w:hAnsi="Arial" w:cs="Arial"/>
                <w:kern w:val="2"/>
                <w:sz w:val="20"/>
                <w:szCs w:val="20"/>
                <w:lang w:val="en-PH" w:bidi="ar"/>
              </w:rPr>
            </w:pPr>
            <w:r>
              <w:rPr>
                <w:rFonts w:ascii="Arial" w:hAnsi="Arial" w:cs="Arial"/>
                <w:sz w:val="20"/>
                <w:szCs w:val="20"/>
                <w:lang w:eastAsia="en-PH"/>
              </w:rPr>
              <w:t>Teaching Anxiety of Pre-service Teachers</w:t>
            </w:r>
          </w:p>
        </w:tc>
        <w:tc>
          <w:tcPr>
            <w:tcW w:w="446" w:type="pct"/>
            <w:gridSpan w:val="2"/>
            <w:tcBorders>
              <w:top w:val="single" w:sz="8" w:space="0" w:color="auto"/>
              <w:bottom w:val="single" w:sz="8" w:space="0" w:color="auto"/>
            </w:tcBorders>
            <w:vAlign w:val="center"/>
          </w:tcPr>
          <w:p w14:paraId="4C2BC63D" w14:textId="77777777" w:rsidR="00767CB1" w:rsidRDefault="00EF15D9">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.022</w:t>
            </w:r>
          </w:p>
        </w:tc>
        <w:tc>
          <w:tcPr>
            <w:tcW w:w="779" w:type="pct"/>
            <w:tcBorders>
              <w:top w:val="single" w:sz="8" w:space="0" w:color="auto"/>
              <w:bottom w:val="single" w:sz="8" w:space="0" w:color="auto"/>
            </w:tcBorders>
            <w:vAlign w:val="center"/>
          </w:tcPr>
          <w:p w14:paraId="4660EB06" w14:textId="77777777" w:rsidR="00767CB1" w:rsidRDefault="00EF15D9">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.074</w:t>
            </w:r>
          </w:p>
        </w:tc>
        <w:tc>
          <w:tcPr>
            <w:tcW w:w="390" w:type="pct"/>
            <w:tcBorders>
              <w:top w:val="single" w:sz="8" w:space="0" w:color="auto"/>
              <w:bottom w:val="single" w:sz="8" w:space="0" w:color="auto"/>
            </w:tcBorders>
            <w:vAlign w:val="center"/>
          </w:tcPr>
          <w:p w14:paraId="0F252F5B" w14:textId="77777777" w:rsidR="00767CB1" w:rsidRDefault="00EF15D9">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.014</w:t>
            </w:r>
          </w:p>
        </w:tc>
        <w:tc>
          <w:tcPr>
            <w:tcW w:w="501" w:type="pct"/>
            <w:tcBorders>
              <w:top w:val="single" w:sz="8" w:space="0" w:color="auto"/>
              <w:bottom w:val="single" w:sz="8" w:space="0" w:color="auto"/>
            </w:tcBorders>
            <w:vAlign w:val="center"/>
          </w:tcPr>
          <w:p w14:paraId="2096784C" w14:textId="77777777" w:rsidR="00767CB1" w:rsidRDefault="00EF15D9">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.303</w:t>
            </w:r>
          </w:p>
        </w:tc>
        <w:tc>
          <w:tcPr>
            <w:tcW w:w="386" w:type="pct"/>
            <w:tcBorders>
              <w:top w:val="single" w:sz="8" w:space="0" w:color="auto"/>
              <w:bottom w:val="single" w:sz="8" w:space="0" w:color="auto"/>
            </w:tcBorders>
            <w:vAlign w:val="center"/>
          </w:tcPr>
          <w:p w14:paraId="4791C4F7" w14:textId="77777777" w:rsidR="00767CB1" w:rsidRDefault="00EF15D9">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.762</w:t>
            </w:r>
          </w:p>
        </w:tc>
        <w:tc>
          <w:tcPr>
            <w:tcW w:w="663" w:type="pct"/>
            <w:tcBorders>
              <w:top w:val="single" w:sz="8" w:space="0" w:color="auto"/>
              <w:bottom w:val="single" w:sz="8" w:space="0" w:color="auto"/>
            </w:tcBorders>
            <w:vAlign w:val="center"/>
          </w:tcPr>
          <w:p w14:paraId="3E3E0AE7" w14:textId="77777777" w:rsidR="00767CB1" w:rsidRDefault="00EF15D9">
            <w:pPr>
              <w:widowControl w:val="0"/>
              <w:autoSpaceDE w:val="0"/>
              <w:autoSpaceDN w:val="0"/>
              <w:adjustRightInd w:val="0"/>
              <w:spacing w:line="320" w:lineRule="atLeast"/>
              <w:ind w:left="60" w:right="60"/>
              <w:jc w:val="center"/>
              <w:rPr>
                <w:rFonts w:ascii="Arial" w:hAnsi="Arial" w:cs="Arial"/>
                <w:kern w:val="2"/>
                <w:sz w:val="20"/>
                <w:szCs w:val="20"/>
                <w:lang w:eastAsia="en-PH"/>
              </w:rPr>
            </w:pPr>
            <w:r>
              <w:rPr>
                <w:rFonts w:ascii="Arial" w:hAnsi="Arial" w:cs="Arial"/>
                <w:kern w:val="2"/>
                <w:sz w:val="20"/>
                <w:szCs w:val="20"/>
                <w:lang w:eastAsia="en-PH"/>
              </w:rPr>
              <w:t>Failed to Reject</w:t>
            </w:r>
          </w:p>
        </w:tc>
        <w:tc>
          <w:tcPr>
            <w:tcW w:w="906" w:type="pct"/>
            <w:tcBorders>
              <w:top w:val="single" w:sz="8" w:space="0" w:color="auto"/>
              <w:bottom w:val="single" w:sz="8" w:space="0" w:color="auto"/>
            </w:tcBorders>
            <w:vAlign w:val="center"/>
          </w:tcPr>
          <w:p w14:paraId="6D350B38" w14:textId="77777777" w:rsidR="00767CB1" w:rsidRDefault="00EF15D9">
            <w:pPr>
              <w:widowControl w:val="0"/>
              <w:autoSpaceDE w:val="0"/>
              <w:autoSpaceDN w:val="0"/>
              <w:adjustRightInd w:val="0"/>
              <w:ind w:left="60" w:right="60"/>
              <w:jc w:val="center"/>
              <w:rPr>
                <w:rFonts w:ascii="Arial" w:hAnsi="Arial" w:cs="Arial"/>
                <w:kern w:val="2"/>
                <w:sz w:val="20"/>
                <w:szCs w:val="20"/>
                <w:lang w:eastAsia="en-PH"/>
              </w:rPr>
            </w:pPr>
            <w:r>
              <w:rPr>
                <w:rFonts w:ascii="Arial" w:hAnsi="Arial" w:cs="Arial"/>
                <w:kern w:val="2"/>
                <w:sz w:val="20"/>
                <w:szCs w:val="20"/>
                <w:lang w:eastAsia="en-PH"/>
              </w:rPr>
              <w:t>Not Significant</w:t>
            </w:r>
          </w:p>
        </w:tc>
      </w:tr>
      <w:tr w:rsidR="00767CB1" w14:paraId="53248E37" w14:textId="77777777">
        <w:trPr>
          <w:trHeight w:val="540"/>
        </w:trPr>
        <w:tc>
          <w:tcPr>
            <w:tcW w:w="926" w:type="pct"/>
            <w:tcBorders>
              <w:top w:val="single" w:sz="8" w:space="0" w:color="auto"/>
              <w:bottom w:val="single" w:sz="8" w:space="0" w:color="auto"/>
            </w:tcBorders>
            <w:vAlign w:val="center"/>
          </w:tcPr>
          <w:p w14:paraId="38EBC168" w14:textId="77777777" w:rsidR="00767CB1" w:rsidRDefault="00EF15D9">
            <w:pPr>
              <w:widowControl w:val="0"/>
              <w:spacing w:line="256" w:lineRule="auto"/>
              <w:jc w:val="both"/>
              <w:rPr>
                <w:rFonts w:ascii="Arial" w:eastAsia="Calibri" w:hAnsi="Arial" w:cs="Arial"/>
                <w:kern w:val="2"/>
                <w:sz w:val="20"/>
                <w:szCs w:val="20"/>
                <w:lang w:val="en-PH" w:bidi="ar"/>
              </w:rPr>
            </w:pPr>
            <w:r>
              <w:rPr>
                <w:rFonts w:ascii="Arial" w:eastAsia="Calibri" w:hAnsi="Arial" w:cs="Arial"/>
                <w:iCs/>
                <w:sz w:val="20"/>
                <w:szCs w:val="20"/>
                <w:lang w:eastAsia="en-PH"/>
              </w:rPr>
              <w:t xml:space="preserve">Teaching </w:t>
            </w:r>
            <w:r>
              <w:rPr>
                <w:rFonts w:ascii="Arial" w:eastAsia="Calibri" w:hAnsi="Arial" w:cs="Arial"/>
                <w:iCs/>
                <w:sz w:val="20"/>
                <w:szCs w:val="20"/>
                <w:lang w:val="en-PH" w:eastAsia="en-PH"/>
              </w:rPr>
              <w:t>Self-</w:t>
            </w:r>
            <w:r>
              <w:rPr>
                <w:rFonts w:ascii="Arial" w:eastAsia="Calibri" w:hAnsi="Arial" w:cs="Arial"/>
                <w:iCs/>
                <w:sz w:val="20"/>
                <w:szCs w:val="20"/>
                <w:lang w:eastAsia="en-PH"/>
              </w:rPr>
              <w:t>Efficacy</w:t>
            </w:r>
          </w:p>
        </w:tc>
        <w:tc>
          <w:tcPr>
            <w:tcW w:w="446" w:type="pct"/>
            <w:gridSpan w:val="2"/>
            <w:tcBorders>
              <w:top w:val="single" w:sz="8" w:space="0" w:color="auto"/>
              <w:bottom w:val="single" w:sz="8" w:space="0" w:color="auto"/>
            </w:tcBorders>
            <w:vAlign w:val="center"/>
          </w:tcPr>
          <w:p w14:paraId="4767850D" w14:textId="77777777" w:rsidR="00767CB1" w:rsidRDefault="00EF15D9">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.556</w:t>
            </w:r>
          </w:p>
        </w:tc>
        <w:tc>
          <w:tcPr>
            <w:tcW w:w="779" w:type="pct"/>
            <w:tcBorders>
              <w:top w:val="single" w:sz="8" w:space="0" w:color="auto"/>
              <w:bottom w:val="single" w:sz="8" w:space="0" w:color="auto"/>
            </w:tcBorders>
            <w:vAlign w:val="center"/>
          </w:tcPr>
          <w:p w14:paraId="69682E7E" w14:textId="77777777" w:rsidR="00767CB1" w:rsidRDefault="00EF15D9">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.046</w:t>
            </w:r>
          </w:p>
        </w:tc>
        <w:tc>
          <w:tcPr>
            <w:tcW w:w="390" w:type="pct"/>
            <w:tcBorders>
              <w:top w:val="single" w:sz="8" w:space="0" w:color="auto"/>
              <w:bottom w:val="single" w:sz="8" w:space="0" w:color="auto"/>
            </w:tcBorders>
            <w:vAlign w:val="center"/>
          </w:tcPr>
          <w:p w14:paraId="5CCC91C1" w14:textId="77777777" w:rsidR="00767CB1" w:rsidRDefault="00EF15D9">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.554</w:t>
            </w:r>
          </w:p>
        </w:tc>
        <w:tc>
          <w:tcPr>
            <w:tcW w:w="501" w:type="pct"/>
            <w:tcBorders>
              <w:top w:val="single" w:sz="8" w:space="0" w:color="auto"/>
              <w:bottom w:val="single" w:sz="8" w:space="0" w:color="auto"/>
            </w:tcBorders>
            <w:vAlign w:val="center"/>
          </w:tcPr>
          <w:p w14:paraId="2F008E3A" w14:textId="77777777" w:rsidR="00767CB1" w:rsidRDefault="00EF15D9">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12.036</w:t>
            </w:r>
          </w:p>
        </w:tc>
        <w:tc>
          <w:tcPr>
            <w:tcW w:w="386" w:type="pct"/>
            <w:tcBorders>
              <w:top w:val="single" w:sz="8" w:space="0" w:color="auto"/>
              <w:bottom w:val="single" w:sz="8" w:space="0" w:color="auto"/>
            </w:tcBorders>
            <w:vAlign w:val="center"/>
          </w:tcPr>
          <w:p w14:paraId="435D1D3D" w14:textId="77777777" w:rsidR="00767CB1" w:rsidRDefault="00EF15D9">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.000</w:t>
            </w:r>
          </w:p>
        </w:tc>
        <w:tc>
          <w:tcPr>
            <w:tcW w:w="663" w:type="pct"/>
            <w:tcBorders>
              <w:top w:val="single" w:sz="8" w:space="0" w:color="auto"/>
              <w:bottom w:val="single" w:sz="8" w:space="0" w:color="auto"/>
            </w:tcBorders>
            <w:vAlign w:val="center"/>
          </w:tcPr>
          <w:p w14:paraId="663782A7" w14:textId="77777777" w:rsidR="00767CB1" w:rsidRDefault="00EF15D9">
            <w:pPr>
              <w:widowControl w:val="0"/>
              <w:autoSpaceDE w:val="0"/>
              <w:autoSpaceDN w:val="0"/>
              <w:adjustRightInd w:val="0"/>
              <w:spacing w:line="320" w:lineRule="atLeast"/>
              <w:ind w:left="60" w:right="60"/>
              <w:jc w:val="center"/>
              <w:rPr>
                <w:rFonts w:ascii="Arial" w:hAnsi="Arial" w:cs="Arial"/>
                <w:kern w:val="2"/>
                <w:sz w:val="20"/>
                <w:szCs w:val="20"/>
                <w:lang w:eastAsia="en-PH"/>
              </w:rPr>
            </w:pPr>
            <w:r>
              <w:rPr>
                <w:rFonts w:ascii="Arial" w:hAnsi="Arial" w:cs="Arial"/>
                <w:kern w:val="2"/>
                <w:sz w:val="20"/>
                <w:szCs w:val="20"/>
                <w:lang w:eastAsia="en-PH"/>
              </w:rPr>
              <w:t>Reject</w:t>
            </w:r>
          </w:p>
        </w:tc>
        <w:tc>
          <w:tcPr>
            <w:tcW w:w="906" w:type="pct"/>
            <w:tcBorders>
              <w:top w:val="single" w:sz="8" w:space="0" w:color="auto"/>
              <w:bottom w:val="single" w:sz="8" w:space="0" w:color="auto"/>
            </w:tcBorders>
            <w:vAlign w:val="center"/>
          </w:tcPr>
          <w:p w14:paraId="7A9C242B" w14:textId="77777777" w:rsidR="00767CB1" w:rsidRDefault="00EF15D9">
            <w:pPr>
              <w:widowControl w:val="0"/>
              <w:autoSpaceDE w:val="0"/>
              <w:autoSpaceDN w:val="0"/>
              <w:adjustRightInd w:val="0"/>
              <w:ind w:left="60" w:right="60"/>
              <w:jc w:val="center"/>
              <w:rPr>
                <w:rFonts w:ascii="Arial" w:hAnsi="Arial" w:cs="Arial"/>
                <w:kern w:val="2"/>
                <w:sz w:val="20"/>
                <w:szCs w:val="20"/>
                <w:lang w:eastAsia="en-PH"/>
              </w:rPr>
            </w:pPr>
            <w:r>
              <w:rPr>
                <w:rFonts w:ascii="Arial" w:hAnsi="Arial" w:cs="Arial"/>
                <w:kern w:val="2"/>
                <w:sz w:val="20"/>
                <w:szCs w:val="20"/>
                <w:lang w:eastAsia="en-PH"/>
              </w:rPr>
              <w:t>Significant</w:t>
            </w:r>
          </w:p>
        </w:tc>
      </w:tr>
      <w:tr w:rsidR="00767CB1" w14:paraId="58404FBF" w14:textId="77777777">
        <w:trPr>
          <w:trHeight w:val="540"/>
        </w:trPr>
        <w:tc>
          <w:tcPr>
            <w:tcW w:w="926" w:type="pct"/>
            <w:tcBorders>
              <w:top w:val="single" w:sz="8" w:space="0" w:color="auto"/>
              <w:bottom w:val="single" w:sz="18" w:space="0" w:color="auto"/>
            </w:tcBorders>
            <w:shd w:val="clear" w:color="auto" w:fill="auto"/>
            <w:vAlign w:val="center"/>
          </w:tcPr>
          <w:p w14:paraId="3C70B2EA" w14:textId="77777777" w:rsidR="00767CB1" w:rsidRDefault="00EF15D9">
            <w:pPr>
              <w:widowControl w:val="0"/>
              <w:spacing w:line="256" w:lineRule="auto"/>
              <w:jc w:val="both"/>
              <w:rPr>
                <w:rFonts w:ascii="Arial" w:eastAsia="Calibri" w:hAnsi="Arial" w:cs="Arial"/>
                <w:kern w:val="2"/>
                <w:sz w:val="20"/>
                <w:szCs w:val="20"/>
                <w:lang w:val="en-PH" w:eastAsia="en-PH" w:bidi="ar"/>
              </w:rPr>
            </w:pPr>
            <w:r>
              <w:rPr>
                <w:rFonts w:ascii="Arial" w:hAnsi="Arial" w:cs="Arial"/>
                <w:sz w:val="20"/>
                <w:szCs w:val="20"/>
                <w:lang w:val="en-PH" w:eastAsia="en-PH"/>
              </w:rPr>
              <w:t xml:space="preserve">Teacher </w:t>
            </w:r>
            <w:r>
              <w:rPr>
                <w:rFonts w:ascii="Arial" w:hAnsi="Arial" w:cs="Arial"/>
                <w:sz w:val="20"/>
                <w:szCs w:val="20"/>
                <w:lang w:val="en-PH" w:eastAsia="en-PH"/>
              </w:rPr>
              <w:t>Support</w:t>
            </w:r>
          </w:p>
        </w:tc>
        <w:tc>
          <w:tcPr>
            <w:tcW w:w="446" w:type="pct"/>
            <w:gridSpan w:val="2"/>
            <w:tcBorders>
              <w:top w:val="single" w:sz="8" w:space="0" w:color="auto"/>
              <w:bottom w:val="single" w:sz="18" w:space="0" w:color="auto"/>
            </w:tcBorders>
            <w:shd w:val="clear" w:color="auto" w:fill="auto"/>
            <w:vAlign w:val="center"/>
          </w:tcPr>
          <w:p w14:paraId="4A8C9A2B" w14:textId="77777777" w:rsidR="00767CB1" w:rsidRDefault="00EF15D9">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.090</w:t>
            </w:r>
          </w:p>
        </w:tc>
        <w:tc>
          <w:tcPr>
            <w:tcW w:w="779" w:type="pct"/>
            <w:tcBorders>
              <w:top w:val="single" w:sz="8" w:space="0" w:color="auto"/>
              <w:bottom w:val="single" w:sz="18" w:space="0" w:color="auto"/>
            </w:tcBorders>
            <w:shd w:val="clear" w:color="auto" w:fill="auto"/>
            <w:vAlign w:val="center"/>
          </w:tcPr>
          <w:p w14:paraId="0F033153" w14:textId="77777777" w:rsidR="00767CB1" w:rsidRDefault="00EF15D9">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.032</w:t>
            </w:r>
          </w:p>
        </w:tc>
        <w:tc>
          <w:tcPr>
            <w:tcW w:w="390" w:type="pct"/>
            <w:tcBorders>
              <w:top w:val="single" w:sz="8" w:space="0" w:color="auto"/>
              <w:bottom w:val="single" w:sz="18" w:space="0" w:color="auto"/>
            </w:tcBorders>
            <w:shd w:val="clear" w:color="auto" w:fill="auto"/>
            <w:vAlign w:val="center"/>
          </w:tcPr>
          <w:p w14:paraId="0887FE7E" w14:textId="77777777" w:rsidR="00767CB1" w:rsidRDefault="00EF15D9">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.131</w:t>
            </w:r>
          </w:p>
        </w:tc>
        <w:tc>
          <w:tcPr>
            <w:tcW w:w="501" w:type="pct"/>
            <w:tcBorders>
              <w:top w:val="single" w:sz="8" w:space="0" w:color="auto"/>
              <w:bottom w:val="single" w:sz="18" w:space="0" w:color="auto"/>
            </w:tcBorders>
            <w:shd w:val="clear" w:color="auto" w:fill="auto"/>
            <w:vAlign w:val="center"/>
          </w:tcPr>
          <w:p w14:paraId="643AEA3C" w14:textId="77777777" w:rsidR="00767CB1" w:rsidRDefault="00EF15D9">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2.845</w:t>
            </w:r>
          </w:p>
        </w:tc>
        <w:tc>
          <w:tcPr>
            <w:tcW w:w="386" w:type="pct"/>
            <w:tcBorders>
              <w:top w:val="single" w:sz="8" w:space="0" w:color="auto"/>
              <w:bottom w:val="single" w:sz="18" w:space="0" w:color="auto"/>
            </w:tcBorders>
            <w:shd w:val="clear" w:color="auto" w:fill="auto"/>
            <w:vAlign w:val="center"/>
          </w:tcPr>
          <w:p w14:paraId="4338DE0F" w14:textId="77777777" w:rsidR="00767CB1" w:rsidRDefault="00EF15D9">
            <w:pPr>
              <w:widowControl w:val="0"/>
              <w:spacing w:line="256" w:lineRule="auto"/>
              <w:jc w:val="center"/>
              <w:rPr>
                <w:rFonts w:ascii="Arial" w:eastAsia="Calibri" w:hAnsi="Arial" w:cs="Arial"/>
                <w:kern w:val="2"/>
                <w:sz w:val="20"/>
                <w:szCs w:val="20"/>
                <w:lang w:bidi="ar"/>
              </w:rPr>
            </w:pPr>
            <w:r>
              <w:rPr>
                <w:rFonts w:ascii="Arial" w:eastAsia="Calibri" w:hAnsi="Arial" w:cs="Arial"/>
                <w:kern w:val="2"/>
                <w:sz w:val="20"/>
                <w:szCs w:val="20"/>
                <w:lang w:bidi="ar"/>
              </w:rPr>
              <w:t>.005</w:t>
            </w:r>
          </w:p>
        </w:tc>
        <w:tc>
          <w:tcPr>
            <w:tcW w:w="663" w:type="pct"/>
            <w:tcBorders>
              <w:top w:val="single" w:sz="8" w:space="0" w:color="auto"/>
              <w:bottom w:val="single" w:sz="18" w:space="0" w:color="auto"/>
            </w:tcBorders>
            <w:shd w:val="clear" w:color="auto" w:fill="auto"/>
            <w:vAlign w:val="center"/>
          </w:tcPr>
          <w:p w14:paraId="77ABAC41" w14:textId="77777777" w:rsidR="00767CB1" w:rsidRDefault="00EF15D9">
            <w:pPr>
              <w:widowControl w:val="0"/>
              <w:autoSpaceDE w:val="0"/>
              <w:autoSpaceDN w:val="0"/>
              <w:adjustRightInd w:val="0"/>
              <w:spacing w:line="320" w:lineRule="atLeast"/>
              <w:ind w:left="60" w:right="60"/>
              <w:jc w:val="center"/>
              <w:rPr>
                <w:rFonts w:ascii="Arial" w:hAnsi="Arial" w:cs="Arial"/>
                <w:kern w:val="2"/>
                <w:sz w:val="20"/>
                <w:szCs w:val="20"/>
                <w:lang w:eastAsia="en-PH"/>
              </w:rPr>
            </w:pPr>
            <w:r>
              <w:rPr>
                <w:rFonts w:ascii="Arial" w:hAnsi="Arial" w:cs="Arial"/>
                <w:kern w:val="2"/>
                <w:sz w:val="20"/>
                <w:szCs w:val="20"/>
                <w:lang w:eastAsia="en-PH"/>
              </w:rPr>
              <w:t>Reject</w:t>
            </w:r>
          </w:p>
        </w:tc>
        <w:tc>
          <w:tcPr>
            <w:tcW w:w="906" w:type="pct"/>
            <w:tcBorders>
              <w:top w:val="single" w:sz="8" w:space="0" w:color="auto"/>
              <w:bottom w:val="single" w:sz="18" w:space="0" w:color="auto"/>
            </w:tcBorders>
            <w:shd w:val="clear" w:color="auto" w:fill="auto"/>
            <w:vAlign w:val="center"/>
          </w:tcPr>
          <w:p w14:paraId="0FFC2C68" w14:textId="77777777" w:rsidR="00767CB1" w:rsidRDefault="00EF15D9">
            <w:pPr>
              <w:widowControl w:val="0"/>
              <w:autoSpaceDE w:val="0"/>
              <w:autoSpaceDN w:val="0"/>
              <w:adjustRightInd w:val="0"/>
              <w:ind w:left="60" w:right="60"/>
              <w:jc w:val="center"/>
              <w:rPr>
                <w:rFonts w:ascii="Arial" w:hAnsi="Arial" w:cs="Arial"/>
                <w:kern w:val="2"/>
                <w:sz w:val="20"/>
                <w:szCs w:val="20"/>
                <w:lang w:eastAsia="en-PH"/>
              </w:rPr>
            </w:pPr>
            <w:r>
              <w:rPr>
                <w:rFonts w:ascii="Arial" w:hAnsi="Arial" w:cs="Arial"/>
                <w:kern w:val="2"/>
                <w:sz w:val="20"/>
                <w:szCs w:val="20"/>
                <w:lang w:eastAsia="en-PH"/>
              </w:rPr>
              <w:t>Significant</w:t>
            </w:r>
          </w:p>
        </w:tc>
      </w:tr>
    </w:tbl>
    <w:p w14:paraId="23E22CBC" w14:textId="77777777" w:rsidR="00767CB1" w:rsidRDefault="00EF15D9">
      <w:pPr>
        <w:pStyle w:val="NoSpacing"/>
        <w:spacing w:line="480" w:lineRule="auto"/>
        <w:rPr>
          <w:rFonts w:ascii="Arial" w:hAnsi="Arial" w:cs="Arial"/>
          <w:sz w:val="20"/>
          <w:szCs w:val="20"/>
          <w:lang w:val="en-PH"/>
        </w:rPr>
      </w:pPr>
      <m:oMath>
        <m:r>
          <w:rPr>
            <w:rFonts w:ascii="Cambria Math" w:eastAsiaTheme="minorEastAsia" w:hAnsi="Cambria Math" w:cs="Arial"/>
            <w:sz w:val="20"/>
            <w:szCs w:val="20"/>
          </w:rPr>
          <m:t>R</m:t>
        </m:r>
        <m:r>
          <w:rPr>
            <w:rFonts w:ascii="Cambria Math" w:eastAsia="Times New Roman" w:hAnsi="Cambria Math" w:cs="Arial"/>
            <w:sz w:val="20"/>
            <w:szCs w:val="20"/>
          </w:rPr>
          <m:t>=.591</m:t>
        </m:r>
      </m:oMath>
      <w:r>
        <w:rPr>
          <w:rFonts w:ascii="Arial" w:eastAsia="Times New Roman" w:hAnsi="Arial" w:cs="Arial"/>
          <w:sz w:val="20"/>
          <w:szCs w:val="20"/>
        </w:rPr>
        <w:t xml:space="preserve">;  </w:t>
      </w:r>
      <m:oMath>
        <m:sSup>
          <m:sSupPr>
            <m:ctrlPr>
              <w:rPr>
                <w:rFonts w:ascii="Cambria Math" w:eastAsia="Times New Roman" w:hAnsi="Cambria Math" w:cs="Arial"/>
                <w:i/>
                <w:sz w:val="20"/>
                <w:szCs w:val="20"/>
              </w:rPr>
            </m:ctrlPr>
          </m:sSupPr>
          <m:e>
            <m:r>
              <w:rPr>
                <w:rFonts w:ascii="Cambria Math" w:eastAsia="Times New Roman" w:hAnsi="Cambria Math" w:cs="Arial"/>
                <w:sz w:val="20"/>
                <w:szCs w:val="20"/>
              </w:rPr>
              <m:t>R</m:t>
            </m:r>
          </m:e>
          <m:sup>
            <m:r>
              <w:rPr>
                <w:rFonts w:ascii="Cambria Math" w:eastAsia="Times New Roman" w:hAnsi="Cambria Math" w:cs="Arial"/>
                <w:sz w:val="20"/>
                <w:szCs w:val="20"/>
              </w:rPr>
              <m:t>2</m:t>
            </m:r>
          </m:sup>
        </m:sSup>
        <m:r>
          <w:rPr>
            <w:rFonts w:ascii="Cambria Math" w:eastAsia="Times New Roman" w:hAnsi="Cambria Math" w:cs="Arial"/>
            <w:sz w:val="20"/>
            <w:szCs w:val="20"/>
          </w:rPr>
          <m:t xml:space="preserve">=.350;  </m:t>
        </m:r>
        <m:r>
          <w:rPr>
            <w:rFonts w:ascii="Cambria Math" w:eastAsia="Times New Roman" w:hAnsi="Cambria Math" w:cs="Arial"/>
            <w:sz w:val="20"/>
            <w:szCs w:val="20"/>
          </w:rPr>
          <m:t>F</m:t>
        </m:r>
        <m:r>
          <w:rPr>
            <w:rFonts w:ascii="Cambria Math" w:eastAsia="Times New Roman" w:hAnsi="Cambria Math" w:cs="Arial"/>
            <w:sz w:val="20"/>
            <w:szCs w:val="20"/>
          </w:rPr>
          <m:t>-</m:t>
        </m:r>
        <m:r>
          <w:rPr>
            <w:rFonts w:ascii="Cambria Math" w:eastAsia="Times New Roman" w:hAnsi="Cambria Math" w:cs="Arial"/>
            <w:sz w:val="20"/>
            <w:szCs w:val="20"/>
          </w:rPr>
          <m:t>value</m:t>
        </m:r>
        <m:r>
          <w:rPr>
            <w:rFonts w:ascii="Cambria Math" w:eastAsia="Times New Roman" w:hAnsi="Cambria Math" w:cs="Arial"/>
            <w:sz w:val="20"/>
            <w:szCs w:val="20"/>
          </w:rPr>
          <m:t xml:space="preserve"> = 57.543;</m:t>
        </m:r>
      </m:oMath>
      <w:r>
        <w:rPr>
          <w:rFonts w:ascii="Arial" w:eastAsia="Times New Roman" w:hAnsi="Arial" w:cs="Arial"/>
          <w:sz w:val="20"/>
          <w:szCs w:val="20"/>
        </w:rPr>
        <w:t xml:space="preserve">  </w:t>
      </w:r>
      <m:oMath>
        <m:r>
          <w:rPr>
            <w:rFonts w:ascii="Cambria Math" w:eastAsia="Times New Roman" w:hAnsi="Cambria Math" w:cs="Arial"/>
            <w:sz w:val="20"/>
            <w:szCs w:val="20"/>
          </w:rPr>
          <m:t>p</m:t>
        </m:r>
        <m:r>
          <w:rPr>
            <w:rFonts w:ascii="Cambria Math" w:eastAsia="Times New Roman" w:hAnsi="Cambria Math" w:cs="Arial"/>
            <w:sz w:val="20"/>
            <w:szCs w:val="20"/>
          </w:rPr>
          <m:t>-</m:t>
        </m:r>
        <m:r>
          <w:rPr>
            <w:rFonts w:ascii="Cambria Math" w:eastAsia="Times New Roman" w:hAnsi="Cambria Math" w:cs="Arial"/>
            <w:sz w:val="20"/>
            <w:szCs w:val="20"/>
          </w:rPr>
          <m:t>value</m:t>
        </m:r>
        <m:r>
          <w:rPr>
            <w:rFonts w:ascii="Cambria Math" w:eastAsia="Times New Roman" w:hAnsi="Cambria Math" w:cs="Arial"/>
            <w:sz w:val="20"/>
            <w:szCs w:val="20"/>
          </w:rPr>
          <m:t xml:space="preserve"> =.000</m:t>
        </m:r>
      </m:oMath>
    </w:p>
    <w:p w14:paraId="05307A2D" w14:textId="77777777" w:rsidR="00767CB1" w:rsidRDefault="00EF15D9">
      <w:pPr>
        <w:pStyle w:val="ConcHead"/>
        <w:spacing w:after="0"/>
        <w:jc w:val="both"/>
        <w:rPr>
          <w:rFonts w:ascii="Arial" w:hAnsi="Arial" w:cs="Arial"/>
        </w:rPr>
      </w:pPr>
      <w:r>
        <w:rPr>
          <w:rFonts w:ascii="Arial" w:hAnsi="Arial" w:cs="Arial"/>
        </w:rPr>
        <w:t>4. Conclusion</w:t>
      </w:r>
    </w:p>
    <w:p w14:paraId="02E2911C" w14:textId="77777777" w:rsidR="00767CB1" w:rsidRDefault="00767CB1">
      <w:pPr>
        <w:pStyle w:val="ConcHead"/>
        <w:spacing w:after="0"/>
        <w:jc w:val="both"/>
        <w:rPr>
          <w:rFonts w:ascii="Arial" w:hAnsi="Arial" w:cs="Arial"/>
        </w:rPr>
      </w:pPr>
    </w:p>
    <w:p w14:paraId="12D93B25" w14:textId="77777777" w:rsidR="00767CB1" w:rsidRDefault="00EF15D9">
      <w:pPr>
        <w:ind w:firstLine="600"/>
        <w:jc w:val="both"/>
        <w:rPr>
          <w:rFonts w:ascii="Arial" w:hAnsi="Arial"/>
          <w:lang w:val="en-PH"/>
        </w:rPr>
      </w:pPr>
      <w:r>
        <w:rPr>
          <w:rFonts w:ascii="Arial" w:hAnsi="Arial"/>
          <w:lang w:val="en-PH"/>
        </w:rPr>
        <w:t>Based on the results, it was concluded that Teaching Self-efficacy and Teacher Support are significant predictors of Teaching Demonstration Performance of pre-service teachers but Teaching Anxiety was not found as a significant predictor.  Therefore, the S</w:t>
      </w:r>
      <w:r>
        <w:rPr>
          <w:rFonts w:ascii="Arial" w:hAnsi="Arial"/>
          <w:lang w:val="en-PH"/>
        </w:rPr>
        <w:t xml:space="preserve">ocial Cognitive Theory stating that human behavior is influenced by the interaction of personal factors, environmental influences, and behavioral patterns was partially affirmed. </w:t>
      </w:r>
      <w:r>
        <w:rPr>
          <w:rFonts w:ascii="Arial" w:hAnsi="Arial" w:cs="Arial"/>
          <w:lang w:val="en-PH" w:bidi="ar"/>
        </w:rPr>
        <w:t xml:space="preserve">Based on the conclusion, </w:t>
      </w:r>
      <w:r>
        <w:rPr>
          <w:rFonts w:ascii="Arial" w:hAnsi="Arial" w:cs="Arial"/>
        </w:rPr>
        <w:t>it is recommended that further studies may be conduc</w:t>
      </w:r>
      <w:r>
        <w:rPr>
          <w:rFonts w:ascii="Arial" w:hAnsi="Arial" w:cs="Arial"/>
        </w:rPr>
        <w:t>ted using other variables</w:t>
      </w:r>
      <w:r>
        <w:rPr>
          <w:rFonts w:ascii="Arial" w:hAnsi="Arial" w:cs="Arial"/>
          <w:lang w:val="en-PH"/>
        </w:rPr>
        <w:t xml:space="preserve"> not covered in this study in order to trace the 35% variance in teaching demonstration performance of pre-service teachers. </w:t>
      </w:r>
      <w:r>
        <w:rPr>
          <w:rFonts w:ascii="Arial" w:hAnsi="Arial"/>
          <w:lang w:val="en-PH"/>
        </w:rPr>
        <w:t>It is also recommended that pre-service teachers' training programs prioritize the enhancement of the teac</w:t>
      </w:r>
      <w:r>
        <w:rPr>
          <w:rFonts w:ascii="Arial" w:hAnsi="Arial"/>
          <w:lang w:val="en-PH"/>
        </w:rPr>
        <w:t>her support system and the cultivation of teaching self-efficacy to strengthen teaching demonstration performance.</w:t>
      </w:r>
    </w:p>
    <w:p w14:paraId="704EEAC0" w14:textId="77777777" w:rsidR="00767CB1" w:rsidRDefault="00767CB1">
      <w:pPr>
        <w:ind w:firstLine="600"/>
        <w:jc w:val="both"/>
        <w:rPr>
          <w:rFonts w:ascii="Arial" w:hAnsi="Arial"/>
          <w:sz w:val="24"/>
          <w:szCs w:val="24"/>
          <w:lang w:val="en-PH"/>
        </w:rPr>
      </w:pPr>
    </w:p>
    <w:p w14:paraId="016A4373" w14:textId="77777777" w:rsidR="00767CB1" w:rsidRPr="00916C56" w:rsidRDefault="00EF15D9">
      <w:pPr>
        <w:ind w:firstLine="600"/>
        <w:jc w:val="both"/>
        <w:rPr>
          <w:rFonts w:ascii="Arial" w:hAnsi="Arial"/>
          <w:b/>
          <w:sz w:val="24"/>
          <w:szCs w:val="24"/>
          <w:highlight w:val="yellow"/>
          <w:lang w:val="en-PH"/>
        </w:rPr>
      </w:pPr>
      <w:bookmarkStart w:id="0" w:name="_GoBack"/>
      <w:r w:rsidRPr="00916C56">
        <w:rPr>
          <w:rFonts w:ascii="Arial" w:hAnsi="Arial"/>
          <w:b/>
          <w:sz w:val="24"/>
          <w:szCs w:val="24"/>
          <w:highlight w:val="yellow"/>
          <w:lang w:val="en-PH"/>
        </w:rPr>
        <w:t>Disclaimer (Artificial intelligence)</w:t>
      </w:r>
    </w:p>
    <w:bookmarkEnd w:id="0"/>
    <w:p w14:paraId="2CA05BAA" w14:textId="77777777" w:rsidR="00767CB1" w:rsidRDefault="00767CB1">
      <w:pPr>
        <w:jc w:val="both"/>
        <w:rPr>
          <w:rFonts w:ascii="Arial" w:hAnsi="Arial"/>
          <w:sz w:val="24"/>
          <w:szCs w:val="24"/>
          <w:highlight w:val="yellow"/>
          <w:lang w:val="en-PH"/>
        </w:rPr>
      </w:pPr>
    </w:p>
    <w:p w14:paraId="773C7E7F" w14:textId="77777777" w:rsidR="00767CB1" w:rsidRDefault="00EF15D9">
      <w:pPr>
        <w:ind w:firstLine="600"/>
        <w:jc w:val="both"/>
        <w:rPr>
          <w:rFonts w:ascii="Arial" w:hAnsi="Arial"/>
          <w:sz w:val="24"/>
          <w:szCs w:val="24"/>
          <w:highlight w:val="yellow"/>
          <w:lang w:val="en-PH"/>
        </w:rPr>
      </w:pPr>
      <w:r>
        <w:rPr>
          <w:rFonts w:ascii="Arial" w:hAnsi="Arial"/>
          <w:sz w:val="24"/>
          <w:szCs w:val="24"/>
          <w:highlight w:val="yellow"/>
          <w:lang w:val="en-PH"/>
        </w:rPr>
        <w:t>Author(s) hereby declare that generative AI technologies such as</w:t>
      </w:r>
      <w:r>
        <w:rPr>
          <w:rFonts w:ascii="Arial" w:hAnsi="Arial"/>
          <w:sz w:val="24"/>
          <w:szCs w:val="24"/>
          <w:highlight w:val="yellow"/>
          <w:lang w:val="en-PH"/>
        </w:rPr>
        <w:t xml:space="preserve"> Grammarly and </w:t>
      </w:r>
      <w:proofErr w:type="spellStart"/>
      <w:r>
        <w:rPr>
          <w:rFonts w:ascii="Arial" w:hAnsi="Arial"/>
          <w:sz w:val="24"/>
          <w:szCs w:val="24"/>
          <w:highlight w:val="yellow"/>
          <w:lang w:val="en-PH"/>
        </w:rPr>
        <w:t>Quillbot</w:t>
      </w:r>
      <w:proofErr w:type="spellEnd"/>
      <w:r>
        <w:rPr>
          <w:rFonts w:ascii="Arial" w:hAnsi="Arial"/>
          <w:sz w:val="24"/>
          <w:szCs w:val="24"/>
          <w:highlight w:val="yellow"/>
          <w:lang w:val="en-PH"/>
        </w:rPr>
        <w:t xml:space="preserve"> </w:t>
      </w:r>
      <w:r>
        <w:rPr>
          <w:rFonts w:ascii="Arial" w:hAnsi="Arial"/>
          <w:sz w:val="24"/>
          <w:szCs w:val="24"/>
          <w:highlight w:val="yellow"/>
          <w:lang w:val="en-PH"/>
        </w:rPr>
        <w:t>have been used</w:t>
      </w:r>
      <w:r>
        <w:rPr>
          <w:rFonts w:ascii="Arial" w:hAnsi="Arial"/>
          <w:sz w:val="24"/>
          <w:szCs w:val="24"/>
          <w:highlight w:val="yellow"/>
          <w:lang w:val="en-PH"/>
        </w:rPr>
        <w:t xml:space="preserve"> during the writing or editing of manuscripts. </w:t>
      </w:r>
    </w:p>
    <w:p w14:paraId="0729051F" w14:textId="77777777" w:rsidR="00767CB1" w:rsidRDefault="00767CB1">
      <w:pPr>
        <w:ind w:firstLine="600"/>
        <w:jc w:val="both"/>
        <w:rPr>
          <w:rFonts w:ascii="Arial" w:hAnsi="Arial"/>
          <w:sz w:val="24"/>
          <w:szCs w:val="24"/>
          <w:highlight w:val="yellow"/>
          <w:lang w:val="en-PH"/>
        </w:rPr>
      </w:pPr>
    </w:p>
    <w:p w14:paraId="66CDCB7D" w14:textId="77777777" w:rsidR="00767CB1" w:rsidRDefault="00EF15D9">
      <w:pPr>
        <w:ind w:firstLine="600"/>
        <w:jc w:val="both"/>
        <w:rPr>
          <w:rFonts w:ascii="Arial" w:hAnsi="Arial"/>
          <w:sz w:val="24"/>
          <w:szCs w:val="24"/>
          <w:highlight w:val="yellow"/>
          <w:lang w:val="en-PH"/>
        </w:rPr>
      </w:pPr>
      <w:r>
        <w:rPr>
          <w:rFonts w:ascii="Arial" w:hAnsi="Arial"/>
          <w:sz w:val="24"/>
          <w:szCs w:val="24"/>
          <w:highlight w:val="yellow"/>
          <w:lang w:val="en-PH"/>
        </w:rPr>
        <w:t>Details of the AI usage are given below:</w:t>
      </w:r>
    </w:p>
    <w:p w14:paraId="31B2E037" w14:textId="77777777" w:rsidR="00767CB1" w:rsidRDefault="00EF15D9">
      <w:pPr>
        <w:numPr>
          <w:ilvl w:val="0"/>
          <w:numId w:val="3"/>
        </w:numPr>
        <w:ind w:firstLine="600"/>
        <w:jc w:val="both"/>
        <w:rPr>
          <w:rFonts w:ascii="Arial" w:hAnsi="Arial" w:cs="Arial"/>
          <w:sz w:val="24"/>
          <w:szCs w:val="24"/>
          <w:highlight w:val="yellow"/>
          <w:lang w:val="en-PH"/>
        </w:rPr>
      </w:pPr>
      <w:r>
        <w:rPr>
          <w:rFonts w:ascii="Arial" w:eastAsia="SimSun" w:hAnsi="Arial" w:cs="Arial"/>
          <w:sz w:val="24"/>
          <w:szCs w:val="24"/>
          <w:highlight w:val="yellow"/>
        </w:rPr>
        <w:t>The following AI tools were used to check and improve grammar.</w:t>
      </w:r>
    </w:p>
    <w:p w14:paraId="36078877" w14:textId="77777777" w:rsidR="00767CB1" w:rsidRDefault="00767CB1">
      <w:pPr>
        <w:pStyle w:val="Body"/>
        <w:spacing w:after="0"/>
        <w:rPr>
          <w:rFonts w:ascii="Arial" w:hAnsi="Arial" w:cs="Arial"/>
        </w:rPr>
      </w:pPr>
    </w:p>
    <w:p w14:paraId="3D95A50C" w14:textId="77777777" w:rsidR="00767CB1" w:rsidRDefault="00767CB1">
      <w:pPr>
        <w:rPr>
          <w:rFonts w:ascii="Arial" w:hAnsi="Arial" w:cs="Arial"/>
        </w:rPr>
      </w:pPr>
    </w:p>
    <w:p w14:paraId="16CCABA4" w14:textId="77777777" w:rsidR="00767CB1" w:rsidRDefault="00767CB1">
      <w:pPr>
        <w:pStyle w:val="ReferHead"/>
        <w:spacing w:after="0"/>
        <w:jc w:val="both"/>
        <w:rPr>
          <w:rFonts w:ascii="Arial" w:hAnsi="Arial" w:cs="Arial"/>
          <w:b w:val="0"/>
          <w:caps w:val="0"/>
          <w:sz w:val="20"/>
        </w:rPr>
      </w:pPr>
    </w:p>
    <w:p w14:paraId="54C7F8B1" w14:textId="77777777" w:rsidR="00767CB1" w:rsidRDefault="00767CB1">
      <w:pPr>
        <w:rPr>
          <w:lang w:val="en-PH"/>
        </w:rPr>
      </w:pPr>
    </w:p>
    <w:p w14:paraId="0F2AA06C" w14:textId="77777777" w:rsidR="00767CB1" w:rsidRDefault="00EF15D9">
      <w:pPr>
        <w:pStyle w:val="ReferHead"/>
        <w:spacing w:after="0"/>
        <w:jc w:val="both"/>
        <w:rPr>
          <w:rFonts w:ascii="Arial" w:hAnsi="Arial" w:cs="Arial"/>
        </w:rPr>
      </w:pPr>
      <w:r>
        <w:rPr>
          <w:rFonts w:ascii="Arial" w:hAnsi="Arial" w:cs="Arial"/>
        </w:rPr>
        <w:t>References</w:t>
      </w:r>
    </w:p>
    <w:p w14:paraId="7FFAAB14" w14:textId="77777777" w:rsidR="00767CB1" w:rsidRDefault="00767CB1">
      <w:pPr>
        <w:pStyle w:val="ReferHead"/>
        <w:spacing w:after="0"/>
        <w:jc w:val="both"/>
        <w:rPr>
          <w:rFonts w:ascii="Arial" w:hAnsi="Arial" w:cs="Arial"/>
        </w:rPr>
      </w:pPr>
    </w:p>
    <w:p w14:paraId="00F37AD7" w14:textId="77777777" w:rsidR="00767CB1" w:rsidRDefault="00EF15D9">
      <w:pPr>
        <w:ind w:left="400" w:hangingChars="200" w:hanging="400"/>
        <w:jc w:val="both"/>
        <w:rPr>
          <w:rFonts w:ascii="Arial" w:hAnsi="Arial" w:cs="Arial"/>
        </w:rPr>
      </w:pPr>
      <w:r>
        <w:rPr>
          <w:rFonts w:ascii="Arial" w:hAnsi="Arial" w:cs="Arial"/>
        </w:rPr>
        <w:t xml:space="preserve">Adjei, R. B., </w:t>
      </w:r>
      <w:proofErr w:type="spellStart"/>
      <w:r>
        <w:rPr>
          <w:rFonts w:ascii="Arial" w:hAnsi="Arial" w:cs="Arial"/>
        </w:rPr>
        <w:t>Ceasar</w:t>
      </w:r>
      <w:proofErr w:type="spellEnd"/>
      <w:r>
        <w:rPr>
          <w:rFonts w:ascii="Arial" w:hAnsi="Arial" w:cs="Arial"/>
        </w:rPr>
        <w:t xml:space="preserve">, B. A., &amp; Amoako-Attah, C. (2023). </w:t>
      </w:r>
      <w:r>
        <w:rPr>
          <w:rStyle w:val="Emphasis"/>
          <w:rFonts w:ascii="Arial" w:hAnsi="Arial" w:cs="Arial"/>
          <w:i w:val="0"/>
          <w:iCs w:val="0"/>
        </w:rPr>
        <w:t xml:space="preserve">Impact of Performance-Based </w:t>
      </w:r>
      <w:r>
        <w:rPr>
          <w:rStyle w:val="Emphasis"/>
          <w:rFonts w:ascii="Arial" w:hAnsi="Arial" w:cs="Arial"/>
          <w:i w:val="0"/>
          <w:iCs w:val="0"/>
        </w:rPr>
        <w:t>Assessments on Pre-service Teachers’ Academic Performance and Self-efficacy</w:t>
      </w:r>
      <w:r>
        <w:rPr>
          <w:rFonts w:ascii="Arial" w:hAnsi="Arial" w:cs="Arial"/>
        </w:rPr>
        <w:t xml:space="preserve">. </w:t>
      </w:r>
      <w:r>
        <w:rPr>
          <w:rFonts w:ascii="Arial" w:hAnsi="Arial" w:cs="Arial"/>
          <w:i/>
          <w:iCs/>
        </w:rPr>
        <w:t>Pedagogical Research, 8(4)</w:t>
      </w:r>
      <w:r>
        <w:rPr>
          <w:rFonts w:ascii="Arial" w:hAnsi="Arial" w:cs="Arial"/>
        </w:rPr>
        <w:t>, em0168.</w:t>
      </w:r>
    </w:p>
    <w:p w14:paraId="2DF5F6D9" w14:textId="77777777" w:rsidR="00767CB1" w:rsidRDefault="00767CB1">
      <w:pPr>
        <w:ind w:left="400" w:hangingChars="200" w:hanging="400"/>
        <w:jc w:val="both"/>
        <w:rPr>
          <w:rFonts w:ascii="Arial" w:hAnsi="Arial" w:cs="Arial"/>
        </w:rPr>
      </w:pPr>
    </w:p>
    <w:p w14:paraId="728256CA" w14:textId="77777777" w:rsidR="00767CB1" w:rsidRDefault="00EF15D9">
      <w:pPr>
        <w:ind w:left="400" w:hangingChars="200" w:hanging="400"/>
        <w:jc w:val="both"/>
        <w:rPr>
          <w:rFonts w:ascii="Arial" w:eastAsia="Segoe UI" w:hAnsi="Arial" w:cs="Arial"/>
          <w:shd w:val="clear" w:color="auto" w:fill="FFFFFF"/>
        </w:rPr>
      </w:pPr>
      <w:proofErr w:type="spellStart"/>
      <w:r>
        <w:rPr>
          <w:rFonts w:ascii="Arial" w:hAnsi="Arial" w:cs="Arial"/>
          <w:color w:val="222222"/>
          <w:shd w:val="clear" w:color="auto" w:fill="FFFFFF"/>
        </w:rPr>
        <w:t>Afalla</w:t>
      </w:r>
      <w:proofErr w:type="spellEnd"/>
      <w:r>
        <w:rPr>
          <w:rFonts w:ascii="Arial" w:hAnsi="Arial" w:cs="Arial"/>
          <w:color w:val="222222"/>
          <w:shd w:val="clear" w:color="auto" w:fill="FFFFFF"/>
        </w:rPr>
        <w:t xml:space="preserve">, B., &amp; </w:t>
      </w:r>
      <w:proofErr w:type="spellStart"/>
      <w:r>
        <w:rPr>
          <w:rFonts w:ascii="Arial" w:hAnsi="Arial" w:cs="Arial"/>
          <w:color w:val="222222"/>
          <w:shd w:val="clear" w:color="auto" w:fill="FFFFFF"/>
        </w:rPr>
        <w:t>Fabelico</w:t>
      </w:r>
      <w:proofErr w:type="spellEnd"/>
      <w:r>
        <w:rPr>
          <w:rFonts w:ascii="Arial" w:hAnsi="Arial" w:cs="Arial"/>
          <w:color w:val="222222"/>
          <w:shd w:val="clear" w:color="auto" w:fill="FFFFFF"/>
        </w:rPr>
        <w:t>, F. (2</w:t>
      </w:r>
      <w:r>
        <w:rPr>
          <w:rFonts w:ascii="Arial" w:hAnsi="Arial" w:cs="Arial"/>
          <w:shd w:val="clear" w:color="auto" w:fill="FFFFFF"/>
        </w:rPr>
        <w:t>020). Pre-service teachers' pedagogical competence and teaching efficiency. </w:t>
      </w:r>
      <w:r>
        <w:rPr>
          <w:rFonts w:ascii="Arial" w:hAnsi="Arial" w:cs="Arial"/>
          <w:i/>
          <w:iCs/>
          <w:shd w:val="clear" w:color="auto" w:fill="FFFFFF"/>
        </w:rPr>
        <w:t>Journal of Critical Reviews</w:t>
      </w:r>
      <w:r>
        <w:rPr>
          <w:rFonts w:ascii="Arial" w:hAnsi="Arial" w:cs="Arial"/>
          <w:shd w:val="clear" w:color="auto" w:fill="FFFFFF"/>
        </w:rPr>
        <w:t>.</w:t>
      </w:r>
      <w:r>
        <w:rPr>
          <w:rFonts w:ascii="Arial" w:eastAsia="Segoe UI" w:hAnsi="Arial" w:cs="Arial"/>
          <w:shd w:val="clear" w:color="auto" w:fill="FFFFFF"/>
        </w:rPr>
        <w:t>10.31838/</w:t>
      </w:r>
      <w:r>
        <w:rPr>
          <w:rFonts w:ascii="Arial" w:eastAsia="Segoe UI" w:hAnsi="Arial" w:cs="Arial"/>
          <w:shd w:val="clear" w:color="auto" w:fill="FFFFFF"/>
        </w:rPr>
        <w:t>jcr.07.11.36</w:t>
      </w:r>
    </w:p>
    <w:p w14:paraId="0D12E5A9" w14:textId="77777777" w:rsidR="00767CB1" w:rsidRDefault="00767CB1">
      <w:pPr>
        <w:ind w:left="400" w:hangingChars="200" w:hanging="400"/>
        <w:jc w:val="both"/>
        <w:rPr>
          <w:rFonts w:ascii="Arial" w:eastAsia="Segoe UI" w:hAnsi="Arial" w:cs="Arial"/>
          <w:shd w:val="clear" w:color="auto" w:fill="FFFFFF"/>
        </w:rPr>
      </w:pPr>
    </w:p>
    <w:p w14:paraId="0D44A301" w14:textId="77777777" w:rsidR="00767CB1" w:rsidRDefault="00EF15D9">
      <w:pPr>
        <w:ind w:left="400" w:hangingChars="200" w:hanging="400"/>
        <w:jc w:val="both"/>
        <w:rPr>
          <w:rFonts w:ascii="Arial" w:eastAsia="Segoe UI" w:hAnsi="Arial" w:cs="Arial"/>
          <w:shd w:val="clear" w:color="auto" w:fill="FFFFFF"/>
        </w:rPr>
      </w:pPr>
      <w:proofErr w:type="spellStart"/>
      <w:r>
        <w:rPr>
          <w:rFonts w:ascii="Arial" w:eastAsia="Arial" w:hAnsi="Arial" w:cs="Arial"/>
          <w:shd w:val="clear" w:color="auto" w:fill="FFFFFF"/>
        </w:rPr>
        <w:t>Albasin-Lacaba</w:t>
      </w:r>
      <w:proofErr w:type="spellEnd"/>
      <w:r>
        <w:rPr>
          <w:rFonts w:ascii="Arial" w:eastAsia="Arial" w:hAnsi="Arial" w:cs="Arial"/>
          <w:shd w:val="clear" w:color="auto" w:fill="FFFFFF"/>
        </w:rPr>
        <w:t xml:space="preserve">, I.G., </w:t>
      </w:r>
      <w:proofErr w:type="spellStart"/>
      <w:r>
        <w:rPr>
          <w:rFonts w:ascii="Arial" w:eastAsia="Arial" w:hAnsi="Arial" w:cs="Arial"/>
          <w:shd w:val="clear" w:color="auto" w:fill="FFFFFF"/>
        </w:rPr>
        <w:t>Avenir</w:t>
      </w:r>
      <w:proofErr w:type="spellEnd"/>
      <w:r>
        <w:rPr>
          <w:rFonts w:ascii="Arial" w:eastAsia="Arial" w:hAnsi="Arial" w:cs="Arial"/>
          <w:shd w:val="clear" w:color="auto" w:fill="FFFFFF"/>
        </w:rPr>
        <w:t xml:space="preserve">, M., </w:t>
      </w:r>
      <w:proofErr w:type="spellStart"/>
      <w:r>
        <w:rPr>
          <w:rFonts w:ascii="Arial" w:eastAsia="Arial" w:hAnsi="Arial" w:cs="Arial"/>
          <w:shd w:val="clear" w:color="auto" w:fill="FFFFFF"/>
        </w:rPr>
        <w:t>Permejo</w:t>
      </w:r>
      <w:proofErr w:type="spellEnd"/>
      <w:r>
        <w:rPr>
          <w:rFonts w:ascii="Arial" w:eastAsia="Arial" w:hAnsi="Arial" w:cs="Arial"/>
          <w:shd w:val="clear" w:color="auto" w:fill="FFFFFF"/>
        </w:rPr>
        <w:t xml:space="preserve">, J., &amp; </w:t>
      </w:r>
      <w:proofErr w:type="spellStart"/>
      <w:r>
        <w:rPr>
          <w:rFonts w:ascii="Arial" w:eastAsia="Arial" w:hAnsi="Arial" w:cs="Arial"/>
          <w:shd w:val="clear" w:color="auto" w:fill="FFFFFF"/>
        </w:rPr>
        <w:t>Cornillez</w:t>
      </w:r>
      <w:proofErr w:type="spellEnd"/>
      <w:r>
        <w:rPr>
          <w:rFonts w:ascii="Arial" w:eastAsia="Arial" w:hAnsi="Arial" w:cs="Arial"/>
          <w:shd w:val="clear" w:color="auto" w:fill="FFFFFF"/>
        </w:rPr>
        <w:t>, E.E. (2022). Anxiety of Practice Teachers on Final Teaching Demonstration. </w:t>
      </w:r>
      <w:r>
        <w:rPr>
          <w:rStyle w:val="Emphasis"/>
          <w:rFonts w:ascii="Arial" w:eastAsia="Arial" w:hAnsi="Arial" w:cs="Arial"/>
        </w:rPr>
        <w:t xml:space="preserve">Journal of Education, Management and Development </w:t>
      </w:r>
      <w:proofErr w:type="spellStart"/>
      <w:r>
        <w:rPr>
          <w:rStyle w:val="Emphasis"/>
          <w:rFonts w:ascii="Arial" w:eastAsia="Arial" w:hAnsi="Arial" w:cs="Arial"/>
        </w:rPr>
        <w:t>Studies</w:t>
      </w:r>
      <w:r>
        <w:rPr>
          <w:rFonts w:ascii="Arial" w:eastAsia="Arial" w:hAnsi="Arial" w:cs="Arial"/>
          <w:shd w:val="clear" w:color="auto" w:fill="FFFFFF"/>
        </w:rPr>
        <w:t>.</w:t>
      </w:r>
      <w:r>
        <w:rPr>
          <w:rFonts w:ascii="Arial" w:eastAsia="Segoe UI" w:hAnsi="Arial" w:cs="Arial"/>
          <w:shd w:val="clear" w:color="auto" w:fill="FFFFFF"/>
        </w:rPr>
        <w:t>https</w:t>
      </w:r>
      <w:proofErr w:type="spellEnd"/>
      <w:r>
        <w:rPr>
          <w:rFonts w:ascii="Arial" w:eastAsia="Segoe UI" w:hAnsi="Arial" w:cs="Arial"/>
          <w:shd w:val="clear" w:color="auto" w:fill="FFFFFF"/>
        </w:rPr>
        <w:t>://doi.org/10.52631/jemds.v2i1.76</w:t>
      </w:r>
    </w:p>
    <w:p w14:paraId="240FBF6A" w14:textId="77777777" w:rsidR="00767CB1" w:rsidRDefault="00767CB1">
      <w:pPr>
        <w:ind w:left="400" w:hangingChars="200" w:hanging="400"/>
        <w:jc w:val="both"/>
        <w:rPr>
          <w:rFonts w:ascii="Arial" w:eastAsia="Segoe UI" w:hAnsi="Arial" w:cs="Arial"/>
          <w:shd w:val="clear" w:color="auto" w:fill="FFFFFF"/>
        </w:rPr>
      </w:pPr>
    </w:p>
    <w:p w14:paraId="00AFC4F3" w14:textId="77777777" w:rsidR="00767CB1" w:rsidRDefault="00EF15D9">
      <w:pPr>
        <w:pStyle w:val="NormalWeb"/>
        <w:spacing w:beforeAutospacing="0" w:afterAutospacing="0"/>
        <w:ind w:left="400" w:hangingChars="200" w:hanging="400"/>
        <w:jc w:val="both"/>
        <w:rPr>
          <w:rStyle w:val="Hyperlink"/>
          <w:rFonts w:ascii="Arial" w:eastAsia="Segoe UI" w:hAnsi="Arial" w:cs="Arial"/>
          <w:color w:val="auto"/>
          <w:sz w:val="20"/>
          <w:szCs w:val="20"/>
          <w:shd w:val="clear" w:color="auto" w:fill="FFFFFF"/>
        </w:rPr>
      </w:pPr>
      <w:proofErr w:type="spellStart"/>
      <w:r>
        <w:rPr>
          <w:rFonts w:ascii="Arial" w:eastAsia="Arial" w:hAnsi="Arial" w:cs="Arial"/>
          <w:sz w:val="20"/>
          <w:szCs w:val="20"/>
          <w:shd w:val="clear" w:color="auto" w:fill="FFFFFF"/>
        </w:rPr>
        <w:t>Aliazas</w:t>
      </w:r>
      <w:proofErr w:type="spellEnd"/>
      <w:r>
        <w:rPr>
          <w:rFonts w:ascii="Arial" w:eastAsia="Arial" w:hAnsi="Arial" w:cs="Arial"/>
          <w:sz w:val="20"/>
          <w:szCs w:val="20"/>
          <w:shd w:val="clear" w:color="auto" w:fill="FFFFFF"/>
        </w:rPr>
        <w:t xml:space="preserve">, </w:t>
      </w:r>
      <w:r>
        <w:rPr>
          <w:rFonts w:ascii="Arial" w:eastAsia="Arial" w:hAnsi="Arial" w:cs="Arial"/>
          <w:sz w:val="20"/>
          <w:szCs w:val="20"/>
          <w:shd w:val="clear" w:color="auto" w:fill="FFFFFF"/>
        </w:rPr>
        <w:t>J., Del Rosario, A.L., &amp; Andrade, R. (2023). Teaching Efficacy Structures and Influencing Factors in Promoting Success and Retention Among Pre-Service Teachers. </w:t>
      </w:r>
      <w:r>
        <w:rPr>
          <w:rStyle w:val="Emphasis"/>
          <w:rFonts w:ascii="Arial" w:eastAsia="Arial" w:hAnsi="Arial" w:cs="Arial"/>
          <w:sz w:val="20"/>
          <w:szCs w:val="20"/>
        </w:rPr>
        <w:t>International Journal of Educational Management and Development Studies</w:t>
      </w:r>
      <w:r>
        <w:rPr>
          <w:rFonts w:ascii="Arial" w:eastAsia="Arial" w:hAnsi="Arial" w:cs="Arial"/>
          <w:sz w:val="20"/>
          <w:szCs w:val="20"/>
          <w:shd w:val="clear" w:color="auto" w:fill="FFFFFF"/>
        </w:rPr>
        <w:t>.</w:t>
      </w:r>
      <w:r>
        <w:rPr>
          <w:rFonts w:ascii="Arial" w:eastAsia="Arial" w:hAnsi="Arial" w:cs="Arial"/>
          <w:sz w:val="20"/>
          <w:szCs w:val="20"/>
          <w:shd w:val="clear" w:color="auto" w:fill="FFFFFF"/>
          <w:lang w:val="en-PH"/>
        </w:rPr>
        <w:t xml:space="preserve"> </w:t>
      </w:r>
      <w:hyperlink r:id="rId15" w:history="1">
        <w:r>
          <w:rPr>
            <w:rStyle w:val="Hyperlink"/>
            <w:rFonts w:ascii="Arial" w:eastAsia="Segoe UI" w:hAnsi="Arial" w:cs="Arial"/>
            <w:color w:val="auto"/>
            <w:sz w:val="20"/>
            <w:szCs w:val="20"/>
            <w:shd w:val="clear" w:color="auto" w:fill="FFFFFF"/>
          </w:rPr>
          <w:t>https://doi.org/10.53378/353011</w:t>
        </w:r>
      </w:hyperlink>
    </w:p>
    <w:p w14:paraId="7FD86975" w14:textId="77777777" w:rsidR="00767CB1" w:rsidRDefault="00767CB1">
      <w:pPr>
        <w:jc w:val="both"/>
        <w:rPr>
          <w:rFonts w:ascii="Arial" w:hAnsi="Arial" w:cs="Arial"/>
          <w:i/>
          <w:iCs/>
          <w:shd w:val="clear" w:color="auto" w:fill="FFFFFF"/>
        </w:rPr>
      </w:pPr>
    </w:p>
    <w:p w14:paraId="67965FCD" w14:textId="77777777" w:rsidR="00767CB1" w:rsidRDefault="00EF15D9">
      <w:pPr>
        <w:ind w:left="400" w:hangingChars="200" w:hanging="400"/>
        <w:jc w:val="both"/>
        <w:rPr>
          <w:rFonts w:ascii="Arial" w:hAnsi="Arial" w:cs="Arial"/>
        </w:rPr>
      </w:pPr>
      <w:r>
        <w:rPr>
          <w:rFonts w:ascii="Arial" w:hAnsi="Arial" w:cs="Arial"/>
        </w:rPr>
        <w:t xml:space="preserve">Andres A 2019. Development of mentoring practices scale for pre-service teachers. </w:t>
      </w:r>
      <w:r>
        <w:rPr>
          <w:rFonts w:ascii="Arial" w:hAnsi="Arial" w:cs="Arial"/>
          <w:i/>
          <w:iCs/>
        </w:rPr>
        <w:t>Asian Academic Research Journal of Social Science and Humanities, 6(6):</w:t>
      </w:r>
      <w:r>
        <w:rPr>
          <w:rFonts w:ascii="Arial" w:hAnsi="Arial" w:cs="Arial"/>
        </w:rPr>
        <w:t xml:space="preserve"> 8-15.</w:t>
      </w:r>
    </w:p>
    <w:p w14:paraId="59260922" w14:textId="77777777" w:rsidR="00767CB1" w:rsidRDefault="00767CB1">
      <w:pPr>
        <w:ind w:left="400" w:hangingChars="200" w:hanging="400"/>
        <w:jc w:val="both"/>
        <w:rPr>
          <w:rFonts w:ascii="Arial" w:hAnsi="Arial" w:cs="Arial"/>
        </w:rPr>
      </w:pPr>
    </w:p>
    <w:p w14:paraId="1F6944BE" w14:textId="77777777" w:rsidR="00767CB1" w:rsidRDefault="00EF15D9">
      <w:pPr>
        <w:ind w:left="400" w:hangingChars="200" w:hanging="400"/>
        <w:jc w:val="both"/>
        <w:rPr>
          <w:rFonts w:ascii="Arial" w:eastAsia="Arial" w:hAnsi="Arial" w:cs="Arial"/>
          <w:shd w:val="clear" w:color="auto" w:fill="FFFFFF"/>
        </w:rPr>
      </w:pPr>
      <w:proofErr w:type="spellStart"/>
      <w:r>
        <w:rPr>
          <w:rFonts w:ascii="Arial" w:eastAsia="Arial" w:hAnsi="Arial" w:cs="Arial"/>
          <w:shd w:val="clear" w:color="auto" w:fill="FFFFFF"/>
        </w:rPr>
        <w:t>Ao</w:t>
      </w:r>
      <w:proofErr w:type="spellEnd"/>
      <w:r>
        <w:rPr>
          <w:rFonts w:ascii="Arial" w:eastAsia="Arial" w:hAnsi="Arial" w:cs="Arial"/>
          <w:shd w:val="clear" w:color="auto" w:fill="FFFFFF"/>
        </w:rPr>
        <w:t xml:space="preserve">, N., Zhang, M., &amp; Tian, G. </w:t>
      </w:r>
      <w:r>
        <w:rPr>
          <w:rFonts w:ascii="Arial" w:eastAsia="Arial" w:hAnsi="Arial" w:cs="Arial"/>
          <w:shd w:val="clear" w:color="auto" w:fill="FFFFFF"/>
        </w:rPr>
        <w:t>(2024). Examining pre‐service teachers' teaching anxiety during student teaching: A Chinese perspective. </w:t>
      </w:r>
      <w:r>
        <w:rPr>
          <w:rStyle w:val="Emphasis"/>
          <w:rFonts w:ascii="Arial" w:eastAsia="Arial" w:hAnsi="Arial" w:cs="Arial"/>
        </w:rPr>
        <w:t>European Journal of Education</w:t>
      </w:r>
      <w:r>
        <w:rPr>
          <w:rFonts w:ascii="Arial" w:eastAsia="Arial" w:hAnsi="Arial" w:cs="Arial"/>
          <w:shd w:val="clear" w:color="auto" w:fill="FFFFFF"/>
        </w:rPr>
        <w:t>.</w:t>
      </w:r>
    </w:p>
    <w:p w14:paraId="1019DB32" w14:textId="77777777" w:rsidR="00767CB1" w:rsidRDefault="00767CB1">
      <w:pPr>
        <w:ind w:left="400" w:hangingChars="200" w:hanging="400"/>
        <w:jc w:val="both"/>
        <w:rPr>
          <w:rFonts w:ascii="Arial" w:eastAsia="Arial" w:hAnsi="Arial" w:cs="Arial"/>
          <w:shd w:val="clear" w:color="auto" w:fill="FFFFFF"/>
        </w:rPr>
      </w:pPr>
    </w:p>
    <w:p w14:paraId="3DC9AE12" w14:textId="77777777" w:rsidR="00767CB1" w:rsidRDefault="00EF15D9">
      <w:pPr>
        <w:ind w:left="400" w:hangingChars="200" w:hanging="400"/>
        <w:jc w:val="both"/>
        <w:rPr>
          <w:rFonts w:ascii="Arial" w:eastAsia="Arial" w:hAnsi="Arial" w:cs="Arial"/>
          <w:shd w:val="clear" w:color="auto" w:fill="FFFFFF"/>
        </w:rPr>
      </w:pPr>
      <w:r>
        <w:rPr>
          <w:rFonts w:ascii="Arial" w:eastAsia="Arial" w:hAnsi="Arial" w:cs="Arial"/>
          <w:shd w:val="clear" w:color="auto" w:fill="FFFFFF"/>
        </w:rPr>
        <w:t>Arrington, N.M. (2023). Enhancing Preservice Teachers' Self-Efficacy for Teaching Diverse Learners: Capturing Young Stu</w:t>
      </w:r>
      <w:r>
        <w:rPr>
          <w:rFonts w:ascii="Arial" w:eastAsia="Arial" w:hAnsi="Arial" w:cs="Arial"/>
          <w:shd w:val="clear" w:color="auto" w:fill="FFFFFF"/>
        </w:rPr>
        <w:t>dents' Attention through a Read-a-loud and Music. </w:t>
      </w:r>
      <w:r>
        <w:rPr>
          <w:rStyle w:val="Emphasis"/>
          <w:rFonts w:ascii="Arial" w:eastAsia="Arial" w:hAnsi="Arial" w:cs="Arial"/>
        </w:rPr>
        <w:t>Journal of the Scholarship of Teaching and Learning</w:t>
      </w:r>
      <w:r>
        <w:rPr>
          <w:rFonts w:ascii="Arial" w:eastAsia="Arial" w:hAnsi="Arial" w:cs="Arial"/>
          <w:shd w:val="clear" w:color="auto" w:fill="FFFFFF"/>
        </w:rPr>
        <w:t>.</w:t>
      </w:r>
    </w:p>
    <w:p w14:paraId="4184D234" w14:textId="77777777" w:rsidR="00767CB1" w:rsidRDefault="00767CB1">
      <w:pPr>
        <w:ind w:left="400" w:hangingChars="200" w:hanging="400"/>
        <w:jc w:val="both"/>
        <w:rPr>
          <w:rFonts w:ascii="Arial" w:eastAsia="Arial" w:hAnsi="Arial" w:cs="Arial"/>
          <w:shd w:val="clear" w:color="auto" w:fill="FFFFFF"/>
        </w:rPr>
      </w:pPr>
    </w:p>
    <w:p w14:paraId="5225CBE8" w14:textId="77777777" w:rsidR="00767CB1" w:rsidRDefault="00EF15D9">
      <w:pPr>
        <w:ind w:left="400" w:hangingChars="200" w:hanging="400"/>
        <w:jc w:val="both"/>
        <w:rPr>
          <w:rStyle w:val="Hyperlink"/>
          <w:rFonts w:ascii="Arial" w:eastAsia="Helvetica" w:hAnsi="Arial" w:cs="Arial"/>
          <w:color w:val="auto"/>
          <w:shd w:val="clear" w:color="auto" w:fill="FFFFFF"/>
        </w:rPr>
      </w:pPr>
      <w:r>
        <w:rPr>
          <w:rFonts w:ascii="Arial" w:eastAsia="Helvetica" w:hAnsi="Arial" w:cs="Arial"/>
          <w:shd w:val="clear" w:color="auto" w:fill="FFFFFF"/>
        </w:rPr>
        <w:t xml:space="preserve">Bach, A., </w:t>
      </w:r>
      <w:proofErr w:type="spellStart"/>
      <w:r>
        <w:rPr>
          <w:rFonts w:ascii="Arial" w:eastAsia="Helvetica" w:hAnsi="Arial" w:cs="Arial"/>
          <w:shd w:val="clear" w:color="auto" w:fill="FFFFFF"/>
        </w:rPr>
        <w:t>Hagenauer</w:t>
      </w:r>
      <w:proofErr w:type="spellEnd"/>
      <w:r>
        <w:rPr>
          <w:rFonts w:ascii="Arial" w:eastAsia="Helvetica" w:hAnsi="Arial" w:cs="Arial"/>
          <w:shd w:val="clear" w:color="auto" w:fill="FFFFFF"/>
        </w:rPr>
        <w:t>, G. Joy, anger, and anxiety during the teaching practicum: how are these emotions related to dimensions of pre-service teachers’ sel</w:t>
      </w:r>
      <w:r>
        <w:rPr>
          <w:rFonts w:ascii="Arial" w:eastAsia="Helvetica" w:hAnsi="Arial" w:cs="Arial"/>
          <w:shd w:val="clear" w:color="auto" w:fill="FFFFFF"/>
        </w:rPr>
        <w:t>f-</w:t>
      </w:r>
      <w:proofErr w:type="gramStart"/>
      <w:r>
        <w:rPr>
          <w:rFonts w:ascii="Arial" w:eastAsia="Helvetica" w:hAnsi="Arial" w:cs="Arial"/>
          <w:shd w:val="clear" w:color="auto" w:fill="FFFFFF"/>
        </w:rPr>
        <w:t>efficacy?.</w:t>
      </w:r>
      <w:proofErr w:type="gramEnd"/>
      <w:r>
        <w:rPr>
          <w:rFonts w:ascii="Arial" w:eastAsia="Helvetica" w:hAnsi="Arial" w:cs="Arial"/>
          <w:shd w:val="clear" w:color="auto" w:fill="FFFFFF"/>
        </w:rPr>
        <w:t> </w:t>
      </w:r>
      <w:r>
        <w:rPr>
          <w:rFonts w:ascii="Arial" w:eastAsia="Helvetica" w:hAnsi="Arial" w:cs="Arial"/>
          <w:i/>
          <w:iCs/>
          <w:shd w:val="clear" w:color="auto" w:fill="FFFFFF"/>
        </w:rPr>
        <w:t xml:space="preserve">Z f </w:t>
      </w:r>
      <w:proofErr w:type="spellStart"/>
      <w:r>
        <w:rPr>
          <w:rFonts w:ascii="Arial" w:eastAsia="Helvetica" w:hAnsi="Arial" w:cs="Arial"/>
          <w:i/>
          <w:iCs/>
          <w:shd w:val="clear" w:color="auto" w:fill="FFFFFF"/>
        </w:rPr>
        <w:t>Bildungsforsch</w:t>
      </w:r>
      <w:proofErr w:type="spellEnd"/>
      <w:r>
        <w:rPr>
          <w:rFonts w:ascii="Arial" w:eastAsia="Helvetica" w:hAnsi="Arial" w:cs="Arial"/>
          <w:shd w:val="clear" w:color="auto" w:fill="FFFFFF"/>
        </w:rPr>
        <w:t xml:space="preserve"> 12, 295–311 (2022). </w:t>
      </w:r>
      <w:hyperlink r:id="rId16" w:history="1">
        <w:r>
          <w:rPr>
            <w:rStyle w:val="Hyperlink"/>
            <w:rFonts w:ascii="Arial" w:eastAsia="Helvetica" w:hAnsi="Arial" w:cs="Arial"/>
            <w:color w:val="auto"/>
            <w:shd w:val="clear" w:color="auto" w:fill="FFFFFF"/>
          </w:rPr>
          <w:t>https://doi.org/10.1007/s35834-022-00343-9</w:t>
        </w:r>
      </w:hyperlink>
    </w:p>
    <w:p w14:paraId="1723118B" w14:textId="77777777" w:rsidR="00767CB1" w:rsidRDefault="00767CB1">
      <w:pPr>
        <w:ind w:left="400" w:hangingChars="200" w:hanging="400"/>
        <w:jc w:val="both"/>
        <w:rPr>
          <w:rStyle w:val="Hyperlink"/>
          <w:rFonts w:ascii="Arial" w:eastAsia="Helvetica" w:hAnsi="Arial" w:cs="Arial"/>
          <w:color w:val="auto"/>
          <w:shd w:val="clear" w:color="auto" w:fill="FFFFFF"/>
        </w:rPr>
      </w:pPr>
    </w:p>
    <w:p w14:paraId="6CCFC7AE" w14:textId="77777777" w:rsidR="00767CB1" w:rsidRDefault="00EF15D9">
      <w:pPr>
        <w:pStyle w:val="NormalWeb"/>
        <w:spacing w:beforeAutospacing="0" w:afterAutospacing="0"/>
        <w:ind w:left="400" w:hangingChars="200" w:hanging="400"/>
        <w:jc w:val="both"/>
        <w:rPr>
          <w:rFonts w:ascii="Arial" w:eastAsia="Segoe UI" w:hAnsi="Arial" w:cs="Arial"/>
          <w:sz w:val="20"/>
          <w:szCs w:val="20"/>
          <w:shd w:val="clear" w:color="auto" w:fill="FFFFFF"/>
        </w:rPr>
      </w:pPr>
      <w:proofErr w:type="spellStart"/>
      <w:r>
        <w:rPr>
          <w:rFonts w:ascii="Arial" w:eastAsia="Arial" w:hAnsi="Arial" w:cs="Arial"/>
          <w:sz w:val="20"/>
          <w:szCs w:val="20"/>
          <w:shd w:val="clear" w:color="auto" w:fill="FFFFFF"/>
        </w:rPr>
        <w:t>Balcı</w:t>
      </w:r>
      <w:proofErr w:type="spellEnd"/>
      <w:r>
        <w:rPr>
          <w:rFonts w:ascii="Arial" w:eastAsia="Arial" w:hAnsi="Arial" w:cs="Arial"/>
          <w:sz w:val="20"/>
          <w:szCs w:val="20"/>
          <w:shd w:val="clear" w:color="auto" w:fill="FFFFFF"/>
        </w:rPr>
        <w:t xml:space="preserve">, Ö., </w:t>
      </w:r>
      <w:proofErr w:type="spellStart"/>
      <w:r>
        <w:rPr>
          <w:rFonts w:ascii="Arial" w:eastAsia="Arial" w:hAnsi="Arial" w:cs="Arial"/>
          <w:sz w:val="20"/>
          <w:szCs w:val="20"/>
          <w:shd w:val="clear" w:color="auto" w:fill="FFFFFF"/>
        </w:rPr>
        <w:t>Şanal</w:t>
      </w:r>
      <w:proofErr w:type="spellEnd"/>
      <w:r>
        <w:rPr>
          <w:rFonts w:ascii="Arial" w:eastAsia="Arial" w:hAnsi="Arial" w:cs="Arial"/>
          <w:sz w:val="20"/>
          <w:szCs w:val="20"/>
          <w:shd w:val="clear" w:color="auto" w:fill="FFFFFF"/>
        </w:rPr>
        <w:t xml:space="preserve">, F., &amp; </w:t>
      </w:r>
      <w:proofErr w:type="spellStart"/>
      <w:r>
        <w:rPr>
          <w:rFonts w:ascii="Arial" w:eastAsia="Arial" w:hAnsi="Arial" w:cs="Arial"/>
          <w:sz w:val="20"/>
          <w:szCs w:val="20"/>
          <w:shd w:val="clear" w:color="auto" w:fill="FFFFFF"/>
        </w:rPr>
        <w:t>Üğüten</w:t>
      </w:r>
      <w:proofErr w:type="spellEnd"/>
      <w:r>
        <w:rPr>
          <w:rFonts w:ascii="Arial" w:eastAsia="Arial" w:hAnsi="Arial" w:cs="Arial"/>
          <w:sz w:val="20"/>
          <w:szCs w:val="20"/>
          <w:shd w:val="clear" w:color="auto" w:fill="FFFFFF"/>
        </w:rPr>
        <w:t xml:space="preserve">, S.D. (2019). An Investigation of Pre-Service English Language </w:t>
      </w:r>
      <w:r>
        <w:rPr>
          <w:rFonts w:ascii="Arial" w:eastAsia="Arial" w:hAnsi="Arial" w:cs="Arial"/>
          <w:sz w:val="20"/>
          <w:szCs w:val="20"/>
          <w:shd w:val="clear" w:color="auto" w:fill="FFFFFF"/>
        </w:rPr>
        <w:t xml:space="preserve">Teachers’ Self-Efficacy </w:t>
      </w:r>
      <w:proofErr w:type="spellStart"/>
      <w:r>
        <w:rPr>
          <w:rFonts w:ascii="Arial" w:eastAsia="Arial" w:hAnsi="Arial" w:cs="Arial"/>
          <w:sz w:val="20"/>
          <w:szCs w:val="20"/>
          <w:shd w:val="clear" w:color="auto" w:fill="FFFFFF"/>
        </w:rPr>
        <w:t>Beliefs.</w:t>
      </w:r>
      <w:r>
        <w:rPr>
          <w:rFonts w:ascii="Arial" w:eastAsia="Segoe UI" w:hAnsi="Arial" w:cs="Arial"/>
          <w:sz w:val="20"/>
          <w:szCs w:val="20"/>
          <w:shd w:val="clear" w:color="auto" w:fill="FFFFFF"/>
        </w:rPr>
        <w:t>https</w:t>
      </w:r>
      <w:proofErr w:type="spellEnd"/>
      <w:r>
        <w:rPr>
          <w:rFonts w:ascii="Arial" w:eastAsia="Segoe UI" w:hAnsi="Arial" w:cs="Arial"/>
          <w:sz w:val="20"/>
          <w:szCs w:val="20"/>
          <w:shd w:val="clear" w:color="auto" w:fill="FFFFFF"/>
        </w:rPr>
        <w:t>://doi.org/10.51383/ijonmes.2019.35</w:t>
      </w:r>
    </w:p>
    <w:p w14:paraId="6D079036" w14:textId="77777777" w:rsidR="00767CB1" w:rsidRDefault="00EF15D9">
      <w:pPr>
        <w:pStyle w:val="NormalWeb"/>
        <w:spacing w:beforeAutospacing="0" w:afterAutospacing="0"/>
        <w:ind w:left="400" w:hangingChars="200" w:hanging="400"/>
        <w:jc w:val="both"/>
        <w:rPr>
          <w:rStyle w:val="Hyperlink"/>
          <w:rFonts w:ascii="Arial" w:hAnsi="Arial" w:cs="Arial"/>
          <w:color w:val="auto"/>
          <w:sz w:val="20"/>
          <w:szCs w:val="20"/>
          <w:u w:val="none"/>
        </w:rPr>
      </w:pPr>
      <w:r>
        <w:rPr>
          <w:rFonts w:ascii="Arial" w:hAnsi="Arial" w:cs="Arial"/>
          <w:sz w:val="20"/>
          <w:szCs w:val="20"/>
        </w:rPr>
        <w:t xml:space="preserve">Bandura, A. (1986). </w:t>
      </w:r>
      <w:r>
        <w:rPr>
          <w:rFonts w:ascii="Arial" w:hAnsi="Arial" w:cs="Arial"/>
          <w:i/>
          <w:iCs/>
          <w:sz w:val="20"/>
          <w:szCs w:val="20"/>
        </w:rPr>
        <w:t>Social Foundations of Thought and Action: A Social Cognitive Theory.</w:t>
      </w:r>
      <w:r>
        <w:rPr>
          <w:rFonts w:ascii="Arial" w:hAnsi="Arial" w:cs="Arial"/>
          <w:sz w:val="20"/>
          <w:szCs w:val="20"/>
        </w:rPr>
        <w:t xml:space="preserve"> Englewood Cliffs, NJ: Prentice Hall. Retrieved from </w:t>
      </w:r>
      <w:hyperlink r:id="rId17" w:history="1">
        <w:r>
          <w:rPr>
            <w:rStyle w:val="Hyperlink"/>
            <w:rFonts w:ascii="Arial" w:hAnsi="Arial" w:cs="Arial"/>
            <w:color w:val="auto"/>
            <w:sz w:val="20"/>
            <w:szCs w:val="20"/>
            <w:u w:val="none"/>
          </w:rPr>
          <w:t>https://psycnet.apa.org/record/1985-98423-000</w:t>
        </w:r>
      </w:hyperlink>
    </w:p>
    <w:p w14:paraId="1F95D3E6" w14:textId="77777777" w:rsidR="00767CB1" w:rsidRDefault="00767CB1">
      <w:pPr>
        <w:pStyle w:val="NormalWeb"/>
        <w:spacing w:beforeAutospacing="0" w:afterAutospacing="0"/>
        <w:ind w:left="400" w:hangingChars="200" w:hanging="400"/>
        <w:jc w:val="both"/>
        <w:rPr>
          <w:rStyle w:val="Hyperlink"/>
          <w:rFonts w:ascii="Arial" w:hAnsi="Arial" w:cs="Arial"/>
          <w:color w:val="auto"/>
          <w:sz w:val="20"/>
          <w:szCs w:val="20"/>
          <w:u w:val="none"/>
        </w:rPr>
      </w:pPr>
    </w:p>
    <w:p w14:paraId="61042AF2" w14:textId="77777777" w:rsidR="00767CB1" w:rsidRDefault="00EF15D9">
      <w:pPr>
        <w:ind w:left="400" w:hangingChars="200" w:hanging="400"/>
        <w:jc w:val="both"/>
        <w:rPr>
          <w:rFonts w:ascii="Arial" w:hAnsi="Arial" w:cs="Arial"/>
        </w:rPr>
      </w:pPr>
      <w:r>
        <w:rPr>
          <w:rFonts w:ascii="Arial" w:hAnsi="Arial" w:cs="Arial"/>
        </w:rPr>
        <w:t xml:space="preserve">Bandura, A. (1988). </w:t>
      </w:r>
      <w:proofErr w:type="spellStart"/>
      <w:r>
        <w:rPr>
          <w:rFonts w:ascii="Arial" w:hAnsi="Arial" w:cs="Arial"/>
        </w:rPr>
        <w:t>Organisational</w:t>
      </w:r>
      <w:proofErr w:type="spellEnd"/>
      <w:r>
        <w:rPr>
          <w:rFonts w:ascii="Arial" w:hAnsi="Arial" w:cs="Arial"/>
        </w:rPr>
        <w:t xml:space="preserve"> applications of social cognitive theory. Australian Journal of Management, 13(2), 275–302. </w:t>
      </w:r>
      <w:hyperlink r:id="rId18" w:history="1">
        <w:r>
          <w:rPr>
            <w:rStyle w:val="Hyperlink"/>
            <w:rFonts w:ascii="Arial" w:hAnsi="Arial" w:cs="Arial"/>
            <w:color w:val="auto"/>
          </w:rPr>
          <w:t>https://doi.org/10.1177/031289628801300</w:t>
        </w:r>
      </w:hyperlink>
    </w:p>
    <w:p w14:paraId="2CA57DD9" w14:textId="77777777" w:rsidR="00767CB1" w:rsidRDefault="00767CB1">
      <w:pPr>
        <w:ind w:left="400" w:hangingChars="200" w:hanging="400"/>
        <w:jc w:val="both"/>
        <w:rPr>
          <w:rFonts w:ascii="Arial" w:hAnsi="Arial" w:cs="Arial"/>
        </w:rPr>
      </w:pPr>
    </w:p>
    <w:p w14:paraId="6627DC6D" w14:textId="77777777" w:rsidR="00767CB1" w:rsidRDefault="00EF15D9">
      <w:pPr>
        <w:ind w:left="400" w:hangingChars="200" w:hanging="400"/>
        <w:jc w:val="both"/>
        <w:rPr>
          <w:rFonts w:ascii="Arial" w:eastAsia="Segoe UI" w:hAnsi="Arial" w:cs="Arial"/>
          <w:shd w:val="clear" w:color="auto" w:fill="FFFFFF"/>
        </w:rPr>
      </w:pPr>
      <w:proofErr w:type="spellStart"/>
      <w:r>
        <w:rPr>
          <w:rFonts w:ascii="Arial" w:eastAsia="Arial" w:hAnsi="Arial" w:cs="Arial"/>
          <w:shd w:val="clear" w:color="auto" w:fill="FFFFFF"/>
        </w:rPr>
        <w:t>Batugal</w:t>
      </w:r>
      <w:proofErr w:type="spellEnd"/>
      <w:r>
        <w:rPr>
          <w:rFonts w:ascii="Arial" w:eastAsia="Arial" w:hAnsi="Arial" w:cs="Arial"/>
          <w:shd w:val="clear" w:color="auto" w:fill="FFFFFF"/>
        </w:rPr>
        <w:t>, M.L. (2020). Triumphs and Trials: Probing the Pre-service Teachers' Practice Teaching Experiences. </w:t>
      </w:r>
      <w:r>
        <w:rPr>
          <w:rStyle w:val="Emphasis"/>
          <w:rFonts w:ascii="Arial" w:eastAsia="Arial" w:hAnsi="Arial" w:cs="Arial"/>
        </w:rPr>
        <w:t>Universal Journal of Educational Research, 8</w:t>
      </w:r>
      <w:r>
        <w:rPr>
          <w:rFonts w:ascii="Arial" w:eastAsia="Arial" w:hAnsi="Arial" w:cs="Arial"/>
          <w:shd w:val="clear" w:color="auto" w:fill="FFFFFF"/>
        </w:rPr>
        <w:t>, 2864-2870.</w:t>
      </w:r>
      <w:r>
        <w:rPr>
          <w:rFonts w:ascii="Arial" w:eastAsia="Segoe UI" w:hAnsi="Arial" w:cs="Arial"/>
          <w:shd w:val="clear" w:color="auto" w:fill="FFFFFF"/>
        </w:rPr>
        <w:t>https://doi.org/10.13189/ujer.2020.080713</w:t>
      </w:r>
    </w:p>
    <w:p w14:paraId="7A7FF5F4" w14:textId="77777777" w:rsidR="00767CB1" w:rsidRDefault="00767CB1">
      <w:pPr>
        <w:ind w:left="400" w:hangingChars="200" w:hanging="400"/>
        <w:jc w:val="both"/>
        <w:rPr>
          <w:rFonts w:ascii="Arial" w:eastAsia="Segoe UI" w:hAnsi="Arial" w:cs="Arial"/>
          <w:shd w:val="clear" w:color="auto" w:fill="FFFFFF"/>
        </w:rPr>
      </w:pPr>
    </w:p>
    <w:p w14:paraId="01689C97" w14:textId="77777777" w:rsidR="00767CB1" w:rsidRDefault="00EF15D9">
      <w:pPr>
        <w:ind w:left="400" w:hangingChars="200" w:hanging="400"/>
        <w:jc w:val="both"/>
        <w:rPr>
          <w:rFonts w:ascii="Arial" w:eastAsia="Segoe UI" w:hAnsi="Arial" w:cs="Arial"/>
          <w:shd w:val="clear" w:color="auto" w:fill="FFFFFF"/>
        </w:rPr>
      </w:pPr>
      <w:r>
        <w:rPr>
          <w:rFonts w:ascii="Arial" w:eastAsia="SimSun" w:hAnsi="Arial" w:cs="Arial"/>
          <w:shd w:val="clear" w:color="auto" w:fill="FFFFFF"/>
        </w:rPr>
        <w:lastRenderedPageBreak/>
        <w:t>Bauti</w:t>
      </w:r>
      <w:r>
        <w:rPr>
          <w:rFonts w:ascii="Arial" w:eastAsia="SimSun" w:hAnsi="Arial" w:cs="Arial"/>
          <w:shd w:val="clear" w:color="auto" w:fill="FFFFFF"/>
        </w:rPr>
        <w:t>sta-</w:t>
      </w:r>
      <w:proofErr w:type="spellStart"/>
      <w:r>
        <w:rPr>
          <w:rFonts w:ascii="Arial" w:eastAsia="SimSun" w:hAnsi="Arial" w:cs="Arial"/>
          <w:shd w:val="clear" w:color="auto" w:fill="FFFFFF"/>
        </w:rPr>
        <w:t>Quispe</w:t>
      </w:r>
      <w:proofErr w:type="spellEnd"/>
      <w:r>
        <w:rPr>
          <w:rFonts w:ascii="Arial" w:eastAsia="SimSun" w:hAnsi="Arial" w:cs="Arial"/>
          <w:shd w:val="clear" w:color="auto" w:fill="FFFFFF"/>
        </w:rPr>
        <w:t>, J. A., Estrada-</w:t>
      </w:r>
      <w:proofErr w:type="spellStart"/>
      <w:r>
        <w:rPr>
          <w:rFonts w:ascii="Arial" w:eastAsia="SimSun" w:hAnsi="Arial" w:cs="Arial"/>
          <w:shd w:val="clear" w:color="auto" w:fill="FFFFFF"/>
        </w:rPr>
        <w:t>Araoz</w:t>
      </w:r>
      <w:proofErr w:type="spellEnd"/>
      <w:r>
        <w:rPr>
          <w:rFonts w:ascii="Arial" w:eastAsia="SimSun" w:hAnsi="Arial" w:cs="Arial"/>
          <w:shd w:val="clear" w:color="auto" w:fill="FFFFFF"/>
        </w:rPr>
        <w:t>, E. G., Yana-</w:t>
      </w:r>
      <w:proofErr w:type="spellStart"/>
      <w:r>
        <w:rPr>
          <w:rFonts w:ascii="Arial" w:eastAsia="SimSun" w:hAnsi="Arial" w:cs="Arial"/>
          <w:shd w:val="clear" w:color="auto" w:fill="FFFFFF"/>
        </w:rPr>
        <w:t>Salluca</w:t>
      </w:r>
      <w:proofErr w:type="spellEnd"/>
      <w:r>
        <w:rPr>
          <w:rFonts w:ascii="Arial" w:eastAsia="SimSun" w:hAnsi="Arial" w:cs="Arial"/>
          <w:shd w:val="clear" w:color="auto" w:fill="FFFFFF"/>
        </w:rPr>
        <w:t xml:space="preserve">, M., Gallegos, Z. E. C., </w:t>
      </w:r>
      <w:proofErr w:type="spellStart"/>
      <w:r>
        <w:rPr>
          <w:rFonts w:ascii="Arial" w:eastAsia="SimSun" w:hAnsi="Arial" w:cs="Arial"/>
          <w:shd w:val="clear" w:color="auto" w:fill="FFFFFF"/>
        </w:rPr>
        <w:t>Coaquira</w:t>
      </w:r>
      <w:proofErr w:type="spellEnd"/>
      <w:r>
        <w:rPr>
          <w:rFonts w:ascii="Arial" w:eastAsia="SimSun" w:hAnsi="Arial" w:cs="Arial"/>
          <w:shd w:val="clear" w:color="auto" w:fill="FFFFFF"/>
        </w:rPr>
        <w:t xml:space="preserve">, R. R. A., Reyes, B. V., ... &amp; </w:t>
      </w:r>
      <w:proofErr w:type="spellStart"/>
      <w:r>
        <w:rPr>
          <w:rFonts w:ascii="Arial" w:eastAsia="SimSun" w:hAnsi="Arial" w:cs="Arial"/>
          <w:shd w:val="clear" w:color="auto" w:fill="FFFFFF"/>
        </w:rPr>
        <w:t>Alanoca</w:t>
      </w:r>
      <w:proofErr w:type="spellEnd"/>
      <w:r>
        <w:rPr>
          <w:rFonts w:ascii="Arial" w:eastAsia="SimSun" w:hAnsi="Arial" w:cs="Arial"/>
          <w:shd w:val="clear" w:color="auto" w:fill="FFFFFF"/>
        </w:rPr>
        <w:t>, V. R. M. (2023). Monitoring, support and inter-learning in teaching performance in basic education of the area of Mathematics. A</w:t>
      </w:r>
      <w:r>
        <w:rPr>
          <w:rFonts w:ascii="Arial" w:eastAsia="SimSun" w:hAnsi="Arial" w:cs="Arial"/>
          <w:shd w:val="clear" w:color="auto" w:fill="FFFFFF"/>
        </w:rPr>
        <w:t xml:space="preserve"> case study in Puno (Perú). </w:t>
      </w:r>
      <w:r>
        <w:rPr>
          <w:rFonts w:ascii="Arial" w:eastAsia="SimSun" w:hAnsi="Arial" w:cs="Arial"/>
          <w:i/>
          <w:iCs/>
          <w:shd w:val="clear" w:color="auto" w:fill="FFFFFF"/>
        </w:rPr>
        <w:t>International Journal of Learning, Teaching and Educational Research</w:t>
      </w:r>
      <w:r>
        <w:rPr>
          <w:rFonts w:ascii="Arial" w:eastAsia="SimSun" w:hAnsi="Arial" w:cs="Arial"/>
          <w:shd w:val="clear" w:color="auto" w:fill="FFFFFF"/>
        </w:rPr>
        <w:t>, </w:t>
      </w:r>
      <w:r>
        <w:rPr>
          <w:rFonts w:ascii="Arial" w:eastAsia="SimSun" w:hAnsi="Arial" w:cs="Arial"/>
          <w:i/>
          <w:iCs/>
          <w:shd w:val="clear" w:color="auto" w:fill="FFFFFF"/>
        </w:rPr>
        <w:t>22</w:t>
      </w:r>
      <w:r>
        <w:rPr>
          <w:rFonts w:ascii="Arial" w:eastAsia="SimSun" w:hAnsi="Arial" w:cs="Arial"/>
          <w:shd w:val="clear" w:color="auto" w:fill="FFFFFF"/>
        </w:rPr>
        <w:t>(5), 479-492.</w:t>
      </w:r>
      <w:r>
        <w:rPr>
          <w:rFonts w:ascii="Arial" w:eastAsia="Segoe UI" w:hAnsi="Arial" w:cs="Arial"/>
          <w:shd w:val="clear" w:color="auto" w:fill="FFFFFF"/>
        </w:rPr>
        <w:t>https://doi.org/10.26803/ijlter.22.5.24</w:t>
      </w:r>
    </w:p>
    <w:p w14:paraId="2BB43C45" w14:textId="77777777" w:rsidR="00767CB1" w:rsidRDefault="00767CB1">
      <w:pPr>
        <w:ind w:left="400" w:hangingChars="200" w:hanging="400"/>
        <w:jc w:val="both"/>
        <w:rPr>
          <w:rFonts w:ascii="Arial" w:eastAsia="Segoe UI" w:hAnsi="Arial" w:cs="Arial"/>
          <w:shd w:val="clear" w:color="auto" w:fill="FFFFFF"/>
        </w:rPr>
      </w:pPr>
    </w:p>
    <w:p w14:paraId="2854EF2E" w14:textId="77777777" w:rsidR="00767CB1" w:rsidRDefault="00EF15D9">
      <w:pPr>
        <w:ind w:left="400" w:hangingChars="200" w:hanging="400"/>
        <w:jc w:val="both"/>
        <w:rPr>
          <w:rFonts w:ascii="Arial" w:eastAsia="Arial" w:hAnsi="Arial" w:cs="Arial"/>
          <w:shd w:val="clear" w:color="auto" w:fill="FFFFFF"/>
        </w:rPr>
      </w:pPr>
      <w:r>
        <w:rPr>
          <w:rFonts w:ascii="Arial" w:eastAsia="Arial" w:hAnsi="Arial" w:cs="Arial"/>
          <w:shd w:val="clear" w:color="auto" w:fill="FFFFFF"/>
        </w:rPr>
        <w:t xml:space="preserve">Boehme, J., </w:t>
      </w:r>
      <w:proofErr w:type="spellStart"/>
      <w:r>
        <w:rPr>
          <w:rFonts w:ascii="Arial" w:eastAsia="Arial" w:hAnsi="Arial" w:cs="Arial"/>
          <w:shd w:val="clear" w:color="auto" w:fill="FFFFFF"/>
        </w:rPr>
        <w:t>Donnan</w:t>
      </w:r>
      <w:proofErr w:type="spellEnd"/>
      <w:r>
        <w:rPr>
          <w:rFonts w:ascii="Arial" w:eastAsia="Arial" w:hAnsi="Arial" w:cs="Arial"/>
          <w:shd w:val="clear" w:color="auto" w:fill="FFFFFF"/>
        </w:rPr>
        <w:t xml:space="preserve">, M., &amp; </w:t>
      </w:r>
      <w:proofErr w:type="spellStart"/>
      <w:r>
        <w:rPr>
          <w:rFonts w:ascii="Arial" w:eastAsia="Arial" w:hAnsi="Arial" w:cs="Arial"/>
          <w:shd w:val="clear" w:color="auto" w:fill="FFFFFF"/>
        </w:rPr>
        <w:t>Uleanya</w:t>
      </w:r>
      <w:proofErr w:type="spellEnd"/>
      <w:r>
        <w:rPr>
          <w:rFonts w:ascii="Arial" w:eastAsia="Arial" w:hAnsi="Arial" w:cs="Arial"/>
          <w:shd w:val="clear" w:color="auto" w:fill="FFFFFF"/>
        </w:rPr>
        <w:t>, C. (2021). Interdisciplinary Educational Studies.</w:t>
      </w:r>
    </w:p>
    <w:p w14:paraId="692BBFB9" w14:textId="77777777" w:rsidR="00767CB1" w:rsidRDefault="00767CB1">
      <w:pPr>
        <w:ind w:left="400" w:hangingChars="200" w:hanging="400"/>
        <w:jc w:val="both"/>
        <w:rPr>
          <w:rFonts w:ascii="Arial" w:eastAsia="Arial" w:hAnsi="Arial" w:cs="Arial"/>
          <w:shd w:val="clear" w:color="auto" w:fill="FFFFFF"/>
        </w:rPr>
      </w:pPr>
    </w:p>
    <w:p w14:paraId="505C367E" w14:textId="77777777" w:rsidR="00767CB1" w:rsidRDefault="00EF15D9">
      <w:pPr>
        <w:ind w:left="400" w:hangingChars="200" w:hanging="400"/>
        <w:jc w:val="both"/>
        <w:rPr>
          <w:rFonts w:ascii="Arial" w:eastAsia="Segoe UI" w:hAnsi="Arial" w:cs="Arial"/>
          <w:shd w:val="clear" w:color="auto" w:fill="FFFFFF"/>
        </w:rPr>
      </w:pPr>
      <w:r>
        <w:rPr>
          <w:rFonts w:ascii="Arial" w:eastAsia="Arial" w:hAnsi="Arial" w:cs="Arial"/>
          <w:shd w:val="clear" w:color="auto" w:fill="FFFFFF"/>
        </w:rPr>
        <w:t>Brown, A., Myers</w:t>
      </w:r>
      <w:r>
        <w:rPr>
          <w:rFonts w:ascii="Arial" w:eastAsia="Arial" w:hAnsi="Arial" w:cs="Arial"/>
          <w:shd w:val="clear" w:color="auto" w:fill="FFFFFF"/>
        </w:rPr>
        <w:t>, J., &amp; Collins, D. (2019). How pre-service teachers’ sense of teaching efficacy and preparedness to teach impact performance during student teaching. </w:t>
      </w:r>
      <w:r>
        <w:rPr>
          <w:rStyle w:val="Emphasis"/>
          <w:rFonts w:ascii="Arial" w:eastAsia="Arial" w:hAnsi="Arial" w:cs="Arial"/>
        </w:rPr>
        <w:t>Educational Studies, 47</w:t>
      </w:r>
      <w:r>
        <w:rPr>
          <w:rFonts w:ascii="Arial" w:eastAsia="Arial" w:hAnsi="Arial" w:cs="Arial"/>
          <w:shd w:val="clear" w:color="auto" w:fill="FFFFFF"/>
        </w:rPr>
        <w:t>, 38 - 58.</w:t>
      </w:r>
      <w:r>
        <w:rPr>
          <w:rFonts w:ascii="Arial" w:eastAsia="Segoe UI" w:hAnsi="Arial" w:cs="Arial"/>
          <w:shd w:val="clear" w:color="auto" w:fill="FFFFFF"/>
        </w:rPr>
        <w:t>https://doi.org/10.1080/03055698.2019.1651696</w:t>
      </w:r>
    </w:p>
    <w:p w14:paraId="6116DC33" w14:textId="77777777" w:rsidR="00767CB1" w:rsidRDefault="00767CB1">
      <w:pPr>
        <w:jc w:val="both"/>
        <w:rPr>
          <w:rFonts w:ascii="Arial" w:hAnsi="Arial" w:cs="Arial"/>
          <w:shd w:val="clear" w:color="auto" w:fill="FFFFFF"/>
        </w:rPr>
      </w:pPr>
    </w:p>
    <w:p w14:paraId="6F1614AC" w14:textId="77777777" w:rsidR="00767CB1" w:rsidRDefault="00EF15D9">
      <w:pPr>
        <w:ind w:left="400" w:hangingChars="200" w:hanging="400"/>
        <w:jc w:val="both"/>
        <w:rPr>
          <w:rFonts w:ascii="Arial" w:eastAsia="Segoe UI" w:hAnsi="Arial" w:cs="Arial"/>
          <w:shd w:val="clear" w:color="auto" w:fill="FFFFFF"/>
        </w:rPr>
      </w:pPr>
      <w:r>
        <w:rPr>
          <w:rFonts w:ascii="Arial" w:eastAsia="SimSun" w:hAnsi="Arial" w:cs="Arial"/>
          <w:shd w:val="clear" w:color="auto" w:fill="FFFFFF"/>
        </w:rPr>
        <w:t>Cheung, A. C. K., Wong, K</w:t>
      </w:r>
      <w:r>
        <w:rPr>
          <w:rFonts w:ascii="Arial" w:eastAsia="SimSun" w:hAnsi="Arial" w:cs="Arial"/>
          <w:shd w:val="clear" w:color="auto" w:fill="FFFFFF"/>
        </w:rPr>
        <w:t>. L., Wang, H. F., &amp; Dai, J. B. (2023). Effect of a student teaching internship program on the self-efficacy of pre-service teachers in rural China. </w:t>
      </w:r>
      <w:r>
        <w:rPr>
          <w:rFonts w:ascii="Arial" w:eastAsia="SimSun" w:hAnsi="Arial" w:cs="Arial"/>
          <w:i/>
          <w:iCs/>
          <w:shd w:val="clear" w:color="auto" w:fill="FFFFFF"/>
        </w:rPr>
        <w:t>International Journal of Educational Management</w:t>
      </w:r>
      <w:r>
        <w:rPr>
          <w:rFonts w:ascii="Arial" w:eastAsia="SimSun" w:hAnsi="Arial" w:cs="Arial"/>
          <w:shd w:val="clear" w:color="auto" w:fill="FFFFFF"/>
        </w:rPr>
        <w:t>, </w:t>
      </w:r>
      <w:r>
        <w:rPr>
          <w:rFonts w:ascii="Arial" w:eastAsia="SimSun" w:hAnsi="Arial" w:cs="Arial"/>
          <w:i/>
          <w:iCs/>
          <w:shd w:val="clear" w:color="auto" w:fill="FFFFFF"/>
        </w:rPr>
        <w:t>37</w:t>
      </w:r>
      <w:r>
        <w:rPr>
          <w:rFonts w:ascii="Arial" w:eastAsia="SimSun" w:hAnsi="Arial" w:cs="Arial"/>
          <w:shd w:val="clear" w:color="auto" w:fill="FFFFFF"/>
        </w:rPr>
        <w:t>(2), 373-392.</w:t>
      </w:r>
      <w:r>
        <w:rPr>
          <w:rFonts w:ascii="Arial" w:eastAsia="Segoe UI" w:hAnsi="Arial" w:cs="Arial"/>
          <w:shd w:val="clear" w:color="auto" w:fill="FFFFFF"/>
        </w:rPr>
        <w:t>https://doi.org/10.1108/ijem-03-2021-0081</w:t>
      </w:r>
    </w:p>
    <w:p w14:paraId="5A7911D3" w14:textId="77777777" w:rsidR="00767CB1" w:rsidRDefault="00767CB1">
      <w:pPr>
        <w:ind w:left="400" w:hangingChars="200" w:hanging="400"/>
        <w:jc w:val="both"/>
        <w:rPr>
          <w:rFonts w:ascii="Arial" w:eastAsia="Segoe UI" w:hAnsi="Arial" w:cs="Arial"/>
          <w:shd w:val="clear" w:color="auto" w:fill="FFFFFF"/>
        </w:rPr>
      </w:pPr>
    </w:p>
    <w:p w14:paraId="619D16DA" w14:textId="77777777" w:rsidR="00767CB1" w:rsidRDefault="00EF15D9">
      <w:pPr>
        <w:ind w:left="400" w:hangingChars="200" w:hanging="400"/>
        <w:jc w:val="both"/>
        <w:rPr>
          <w:rFonts w:ascii="Arial" w:hAnsi="Arial" w:cs="Arial"/>
        </w:rPr>
      </w:pPr>
      <w:proofErr w:type="spellStart"/>
      <w:r>
        <w:rPr>
          <w:rStyle w:val="Strong"/>
          <w:rFonts w:ascii="Arial" w:hAnsi="Arial" w:cs="Arial"/>
          <w:b w:val="0"/>
          <w:bCs w:val="0"/>
        </w:rPr>
        <w:t>Çubukçu</w:t>
      </w:r>
      <w:proofErr w:type="spellEnd"/>
      <w:r>
        <w:rPr>
          <w:rStyle w:val="Strong"/>
          <w:rFonts w:ascii="Arial" w:hAnsi="Arial" w:cs="Arial"/>
          <w:b w:val="0"/>
          <w:bCs w:val="0"/>
        </w:rPr>
        <w:t xml:space="preserve">, Z., &amp; </w:t>
      </w:r>
      <w:proofErr w:type="spellStart"/>
      <w:r>
        <w:rPr>
          <w:rStyle w:val="Strong"/>
          <w:rFonts w:ascii="Arial" w:hAnsi="Arial" w:cs="Arial"/>
          <w:b w:val="0"/>
          <w:bCs w:val="0"/>
        </w:rPr>
        <w:t>Tarhan</w:t>
      </w:r>
      <w:proofErr w:type="spellEnd"/>
      <w:r>
        <w:rPr>
          <w:rStyle w:val="Strong"/>
          <w:rFonts w:ascii="Arial" w:hAnsi="Arial" w:cs="Arial"/>
          <w:b w:val="0"/>
          <w:bCs w:val="0"/>
        </w:rPr>
        <w:t>, Ö. (2021).</w:t>
      </w:r>
      <w:r>
        <w:rPr>
          <w:rFonts w:ascii="Arial" w:hAnsi="Arial" w:cs="Arial"/>
        </w:rPr>
        <w:t xml:space="preserve"> The impact of self-efficacy beliefs on pre-service teachers' teaching anxiety. </w:t>
      </w:r>
      <w:r>
        <w:rPr>
          <w:rStyle w:val="Emphasis"/>
          <w:rFonts w:ascii="Arial" w:hAnsi="Arial" w:cs="Arial"/>
        </w:rPr>
        <w:t>Journal of Education and Training Studies</w:t>
      </w:r>
      <w:r>
        <w:rPr>
          <w:rFonts w:ascii="Arial" w:hAnsi="Arial" w:cs="Arial"/>
        </w:rPr>
        <w:t>.</w:t>
      </w:r>
    </w:p>
    <w:p w14:paraId="62910B9B" w14:textId="77777777" w:rsidR="00767CB1" w:rsidRDefault="00767CB1">
      <w:pPr>
        <w:ind w:left="400" w:hangingChars="200" w:hanging="400"/>
        <w:jc w:val="both"/>
        <w:rPr>
          <w:rFonts w:ascii="Arial" w:hAnsi="Arial" w:cs="Arial"/>
        </w:rPr>
      </w:pPr>
    </w:p>
    <w:p w14:paraId="18E39B18" w14:textId="77777777" w:rsidR="00767CB1" w:rsidRDefault="00EF15D9">
      <w:pPr>
        <w:ind w:left="400" w:hangingChars="200" w:hanging="400"/>
        <w:jc w:val="both"/>
        <w:rPr>
          <w:rFonts w:ascii="Arial" w:hAnsi="Arial" w:cs="Arial"/>
          <w:shd w:val="clear" w:color="auto" w:fill="FFFFFF"/>
        </w:rPr>
      </w:pPr>
      <w:r>
        <w:rPr>
          <w:rFonts w:ascii="Arial" w:hAnsi="Arial" w:cs="Arial"/>
          <w:shd w:val="clear" w:color="auto" w:fill="FFFFFF"/>
        </w:rPr>
        <w:t xml:space="preserve">Dunst, C. J., Hamby, D. W., </w:t>
      </w:r>
      <w:proofErr w:type="spellStart"/>
      <w:r>
        <w:rPr>
          <w:rFonts w:ascii="Arial" w:hAnsi="Arial" w:cs="Arial"/>
          <w:shd w:val="clear" w:color="auto" w:fill="FFFFFF"/>
        </w:rPr>
        <w:t>Howse</w:t>
      </w:r>
      <w:proofErr w:type="spellEnd"/>
      <w:r>
        <w:rPr>
          <w:rFonts w:ascii="Arial" w:hAnsi="Arial" w:cs="Arial"/>
          <w:shd w:val="clear" w:color="auto" w:fill="FFFFFF"/>
        </w:rPr>
        <w:t xml:space="preserve">, R. B., </w:t>
      </w:r>
      <w:proofErr w:type="spellStart"/>
      <w:r>
        <w:rPr>
          <w:rFonts w:ascii="Arial" w:hAnsi="Arial" w:cs="Arial"/>
          <w:shd w:val="clear" w:color="auto" w:fill="FFFFFF"/>
        </w:rPr>
        <w:t>Wilkie</w:t>
      </w:r>
      <w:proofErr w:type="spellEnd"/>
      <w:r>
        <w:rPr>
          <w:rFonts w:ascii="Arial" w:hAnsi="Arial" w:cs="Arial"/>
          <w:shd w:val="clear" w:color="auto" w:fill="FFFFFF"/>
        </w:rPr>
        <w:t xml:space="preserve">, H., &amp; Annas, K. (2020). Research synthesis of </w:t>
      </w:r>
      <w:r>
        <w:rPr>
          <w:rFonts w:ascii="Arial" w:hAnsi="Arial" w:cs="Arial"/>
          <w:shd w:val="clear" w:color="auto" w:fill="FFFFFF"/>
        </w:rPr>
        <w:t>meta-Analyses of preservice teacher preparation practices in higher education. </w:t>
      </w:r>
      <w:r>
        <w:rPr>
          <w:rFonts w:ascii="Arial" w:hAnsi="Arial" w:cs="Arial"/>
          <w:i/>
          <w:iCs/>
          <w:shd w:val="clear" w:color="auto" w:fill="FFFFFF"/>
        </w:rPr>
        <w:t>Higher Education Studies</w:t>
      </w:r>
      <w:r>
        <w:rPr>
          <w:rFonts w:ascii="Arial" w:hAnsi="Arial" w:cs="Arial"/>
          <w:shd w:val="clear" w:color="auto" w:fill="FFFFFF"/>
        </w:rPr>
        <w:t>, </w:t>
      </w:r>
      <w:r>
        <w:rPr>
          <w:rFonts w:ascii="Arial" w:hAnsi="Arial" w:cs="Arial"/>
          <w:i/>
          <w:iCs/>
          <w:shd w:val="clear" w:color="auto" w:fill="FFFFFF"/>
        </w:rPr>
        <w:t>10</w:t>
      </w:r>
      <w:r>
        <w:rPr>
          <w:rFonts w:ascii="Arial" w:hAnsi="Arial" w:cs="Arial"/>
          <w:shd w:val="clear" w:color="auto" w:fill="FFFFFF"/>
        </w:rPr>
        <w:t>(1), 29-47.</w:t>
      </w:r>
    </w:p>
    <w:p w14:paraId="5EAB3F30" w14:textId="77777777" w:rsidR="00767CB1" w:rsidRDefault="00EF15D9">
      <w:pPr>
        <w:ind w:left="400" w:hangingChars="200" w:hanging="400"/>
        <w:jc w:val="both"/>
        <w:rPr>
          <w:rFonts w:ascii="Arial" w:eastAsia="Segoe UI" w:hAnsi="Arial" w:cs="Arial"/>
          <w:shd w:val="clear" w:color="auto" w:fill="FFFFFF"/>
        </w:rPr>
      </w:pPr>
      <w:r>
        <w:rPr>
          <w:rFonts w:ascii="Arial" w:hAnsi="Arial" w:cs="Arial"/>
          <w:shd w:val="clear" w:color="auto" w:fill="FFFFFF"/>
        </w:rPr>
        <w:t>El-</w:t>
      </w:r>
      <w:proofErr w:type="spellStart"/>
      <w:r>
        <w:rPr>
          <w:rFonts w:ascii="Arial" w:hAnsi="Arial" w:cs="Arial"/>
          <w:shd w:val="clear" w:color="auto" w:fill="FFFFFF"/>
        </w:rPr>
        <w:t>Asri</w:t>
      </w:r>
      <w:proofErr w:type="spellEnd"/>
      <w:r>
        <w:rPr>
          <w:rFonts w:ascii="Arial" w:hAnsi="Arial" w:cs="Arial"/>
          <w:shd w:val="clear" w:color="auto" w:fill="FFFFFF"/>
        </w:rPr>
        <w:t xml:space="preserve">, S. (2024). The role of pre-service teacher training in developing </w:t>
      </w:r>
      <w:proofErr w:type="spellStart"/>
      <w:r>
        <w:rPr>
          <w:rFonts w:ascii="Arial" w:hAnsi="Arial" w:cs="Arial"/>
          <w:shd w:val="clear" w:color="auto" w:fill="FFFFFF"/>
        </w:rPr>
        <w:t>efl</w:t>
      </w:r>
      <w:proofErr w:type="spellEnd"/>
      <w:r>
        <w:rPr>
          <w:rFonts w:ascii="Arial" w:hAnsi="Arial" w:cs="Arial"/>
          <w:shd w:val="clear" w:color="auto" w:fill="FFFFFF"/>
        </w:rPr>
        <w:t xml:space="preserve"> </w:t>
      </w:r>
      <w:proofErr w:type="spellStart"/>
      <w:r>
        <w:rPr>
          <w:rFonts w:ascii="Arial" w:hAnsi="Arial" w:cs="Arial"/>
          <w:shd w:val="clear" w:color="auto" w:fill="FFFFFF"/>
        </w:rPr>
        <w:t>teachers'classroom</w:t>
      </w:r>
      <w:proofErr w:type="spellEnd"/>
      <w:r>
        <w:rPr>
          <w:rFonts w:ascii="Arial" w:hAnsi="Arial" w:cs="Arial"/>
          <w:shd w:val="clear" w:color="auto" w:fill="FFFFFF"/>
        </w:rPr>
        <w:t xml:space="preserve"> management competency for better teachi</w:t>
      </w:r>
      <w:r>
        <w:rPr>
          <w:rFonts w:ascii="Arial" w:hAnsi="Arial" w:cs="Arial"/>
          <w:shd w:val="clear" w:color="auto" w:fill="FFFFFF"/>
        </w:rPr>
        <w:t>ng performance. </w:t>
      </w:r>
      <w:r>
        <w:rPr>
          <w:rFonts w:ascii="Arial" w:hAnsi="Arial" w:cs="Arial"/>
          <w:i/>
          <w:iCs/>
          <w:shd w:val="clear" w:color="auto" w:fill="FFFFFF"/>
        </w:rPr>
        <w:t>European Journal of Foreign Language Teaching</w:t>
      </w:r>
      <w:r>
        <w:rPr>
          <w:rFonts w:ascii="Arial" w:hAnsi="Arial" w:cs="Arial"/>
          <w:shd w:val="clear" w:color="auto" w:fill="FFFFFF"/>
        </w:rPr>
        <w:t>, </w:t>
      </w:r>
      <w:r>
        <w:rPr>
          <w:rFonts w:ascii="Arial" w:hAnsi="Arial" w:cs="Arial"/>
          <w:i/>
          <w:iCs/>
          <w:shd w:val="clear" w:color="auto" w:fill="FFFFFF"/>
        </w:rPr>
        <w:t>8</w:t>
      </w:r>
      <w:r>
        <w:rPr>
          <w:rFonts w:ascii="Arial" w:hAnsi="Arial" w:cs="Arial"/>
          <w:shd w:val="clear" w:color="auto" w:fill="FFFFFF"/>
        </w:rPr>
        <w:t>(1</w:t>
      </w:r>
      <w:proofErr w:type="gramStart"/>
      <w:r>
        <w:rPr>
          <w:rFonts w:ascii="Arial" w:hAnsi="Arial" w:cs="Arial"/>
          <w:shd w:val="clear" w:color="auto" w:fill="FFFFFF"/>
        </w:rPr>
        <w:t>).</w:t>
      </w:r>
      <w:r>
        <w:rPr>
          <w:rFonts w:ascii="Arial" w:eastAsia="Segoe UI" w:hAnsi="Arial" w:cs="Arial"/>
          <w:shd w:val="clear" w:color="auto" w:fill="FFFFFF"/>
        </w:rPr>
        <w:t>https://doi.org/10.46827/ejfl.v8i1.5183</w:t>
      </w:r>
      <w:proofErr w:type="gramEnd"/>
    </w:p>
    <w:p w14:paraId="1D3DDCF2" w14:textId="77777777" w:rsidR="00767CB1" w:rsidRDefault="00767CB1">
      <w:pPr>
        <w:ind w:left="400" w:hangingChars="200" w:hanging="400"/>
        <w:jc w:val="both"/>
        <w:rPr>
          <w:rFonts w:ascii="Arial" w:eastAsia="Segoe UI" w:hAnsi="Arial" w:cs="Arial"/>
          <w:shd w:val="clear" w:color="auto" w:fill="FFFFFF"/>
        </w:rPr>
      </w:pPr>
    </w:p>
    <w:p w14:paraId="627E138A" w14:textId="77777777" w:rsidR="00767CB1" w:rsidRDefault="00EF15D9">
      <w:pPr>
        <w:ind w:left="400" w:hangingChars="200" w:hanging="400"/>
        <w:jc w:val="both"/>
        <w:rPr>
          <w:rFonts w:ascii="Arial" w:hAnsi="Arial" w:cs="Arial"/>
          <w:shd w:val="clear" w:color="auto" w:fill="FFFFFF"/>
        </w:rPr>
      </w:pPr>
      <w:proofErr w:type="spellStart"/>
      <w:r>
        <w:rPr>
          <w:rFonts w:ascii="Arial" w:hAnsi="Arial" w:cs="Arial"/>
          <w:shd w:val="clear" w:color="auto" w:fill="FFFFFF"/>
        </w:rPr>
        <w:t>Elraiss</w:t>
      </w:r>
      <w:proofErr w:type="spellEnd"/>
      <w:r>
        <w:rPr>
          <w:rFonts w:ascii="Arial" w:hAnsi="Arial" w:cs="Arial"/>
          <w:shd w:val="clear" w:color="auto" w:fill="FFFFFF"/>
        </w:rPr>
        <w:t xml:space="preserve">, Y. A., &amp; </w:t>
      </w:r>
      <w:proofErr w:type="spellStart"/>
      <w:r>
        <w:rPr>
          <w:rFonts w:ascii="Arial" w:hAnsi="Arial" w:cs="Arial"/>
          <w:shd w:val="clear" w:color="auto" w:fill="FFFFFF"/>
        </w:rPr>
        <w:t>Alsharidah</w:t>
      </w:r>
      <w:proofErr w:type="spellEnd"/>
      <w:r>
        <w:rPr>
          <w:rFonts w:ascii="Arial" w:hAnsi="Arial" w:cs="Arial"/>
          <w:shd w:val="clear" w:color="auto" w:fill="FFFFFF"/>
        </w:rPr>
        <w:t>, M. A. (2019). The Compliance of Islamic Pre-service Teachers with the Objectives of the Education College Program. </w:t>
      </w:r>
      <w:r>
        <w:rPr>
          <w:rFonts w:ascii="Arial" w:hAnsi="Arial" w:cs="Arial"/>
          <w:i/>
          <w:iCs/>
          <w:shd w:val="clear" w:color="auto" w:fill="FFFFFF"/>
        </w:rPr>
        <w:t>Jo</w:t>
      </w:r>
      <w:r>
        <w:rPr>
          <w:rFonts w:ascii="Arial" w:hAnsi="Arial" w:cs="Arial"/>
          <w:i/>
          <w:iCs/>
          <w:shd w:val="clear" w:color="auto" w:fill="FFFFFF"/>
        </w:rPr>
        <w:t>urnal of Educational &amp; Psychological Sciences</w:t>
      </w:r>
      <w:r>
        <w:rPr>
          <w:rFonts w:ascii="Arial" w:hAnsi="Arial" w:cs="Arial"/>
          <w:shd w:val="clear" w:color="auto" w:fill="FFFFFF"/>
        </w:rPr>
        <w:t>, </w:t>
      </w:r>
      <w:r>
        <w:rPr>
          <w:rFonts w:ascii="Arial" w:hAnsi="Arial" w:cs="Arial"/>
          <w:i/>
          <w:iCs/>
          <w:shd w:val="clear" w:color="auto" w:fill="FFFFFF"/>
        </w:rPr>
        <w:t>20</w:t>
      </w:r>
      <w:r>
        <w:rPr>
          <w:rFonts w:ascii="Arial" w:hAnsi="Arial" w:cs="Arial"/>
          <w:shd w:val="clear" w:color="auto" w:fill="FFFFFF"/>
        </w:rPr>
        <w:t>(2).</w:t>
      </w:r>
    </w:p>
    <w:p w14:paraId="56CA9CC1" w14:textId="77777777" w:rsidR="00767CB1" w:rsidRDefault="00767CB1">
      <w:pPr>
        <w:ind w:left="400" w:hangingChars="200" w:hanging="400"/>
        <w:jc w:val="both"/>
        <w:rPr>
          <w:rFonts w:ascii="Arial" w:hAnsi="Arial" w:cs="Arial"/>
          <w:shd w:val="clear" w:color="auto" w:fill="FFFFFF"/>
        </w:rPr>
      </w:pPr>
    </w:p>
    <w:p w14:paraId="068843A3" w14:textId="77777777" w:rsidR="00767CB1" w:rsidRDefault="00EF15D9">
      <w:pPr>
        <w:ind w:left="400" w:hangingChars="200" w:hanging="400"/>
        <w:jc w:val="both"/>
        <w:rPr>
          <w:rFonts w:ascii="Arial" w:hAnsi="Arial" w:cs="Arial"/>
          <w:shd w:val="clear" w:color="auto" w:fill="FFFFFF"/>
        </w:rPr>
      </w:pPr>
      <w:proofErr w:type="spellStart"/>
      <w:r>
        <w:rPr>
          <w:rFonts w:ascii="Arial" w:hAnsi="Arial" w:cs="Arial"/>
          <w:shd w:val="clear" w:color="auto" w:fill="FFFFFF"/>
        </w:rPr>
        <w:t>Ene</w:t>
      </w:r>
      <w:proofErr w:type="spellEnd"/>
      <w:r>
        <w:rPr>
          <w:rFonts w:ascii="Arial" w:hAnsi="Arial" w:cs="Arial"/>
          <w:shd w:val="clear" w:color="auto" w:fill="FFFFFF"/>
        </w:rPr>
        <w:t xml:space="preserve">, C. U., </w:t>
      </w:r>
      <w:proofErr w:type="spellStart"/>
      <w:r>
        <w:rPr>
          <w:rFonts w:ascii="Arial" w:hAnsi="Arial" w:cs="Arial"/>
          <w:shd w:val="clear" w:color="auto" w:fill="FFFFFF"/>
        </w:rPr>
        <w:t>Ugwuanyi</w:t>
      </w:r>
      <w:proofErr w:type="spellEnd"/>
      <w:r>
        <w:rPr>
          <w:rFonts w:ascii="Arial" w:hAnsi="Arial" w:cs="Arial"/>
          <w:shd w:val="clear" w:color="auto" w:fill="FFFFFF"/>
        </w:rPr>
        <w:t xml:space="preserve">, C. S., Okeke, C. I., </w:t>
      </w:r>
      <w:proofErr w:type="spellStart"/>
      <w:r>
        <w:rPr>
          <w:rFonts w:ascii="Arial" w:hAnsi="Arial" w:cs="Arial"/>
          <w:shd w:val="clear" w:color="auto" w:fill="FFFFFF"/>
        </w:rPr>
        <w:t>Nworgu</w:t>
      </w:r>
      <w:proofErr w:type="spellEnd"/>
      <w:r>
        <w:rPr>
          <w:rFonts w:ascii="Arial" w:hAnsi="Arial" w:cs="Arial"/>
          <w:shd w:val="clear" w:color="auto" w:fill="FFFFFF"/>
        </w:rPr>
        <w:t xml:space="preserve">, B. G., Okeke, A. O., </w:t>
      </w:r>
      <w:proofErr w:type="spellStart"/>
      <w:r>
        <w:rPr>
          <w:rFonts w:ascii="Arial" w:hAnsi="Arial" w:cs="Arial"/>
          <w:shd w:val="clear" w:color="auto" w:fill="FFFFFF"/>
        </w:rPr>
        <w:t>Agah</w:t>
      </w:r>
      <w:proofErr w:type="spellEnd"/>
      <w:r>
        <w:rPr>
          <w:rFonts w:ascii="Arial" w:hAnsi="Arial" w:cs="Arial"/>
          <w:shd w:val="clear" w:color="auto" w:fill="FFFFFF"/>
        </w:rPr>
        <w:t xml:space="preserve">, J. </w:t>
      </w:r>
      <w:proofErr w:type="gramStart"/>
      <w:r>
        <w:rPr>
          <w:rFonts w:ascii="Arial" w:hAnsi="Arial" w:cs="Arial"/>
          <w:shd w:val="clear" w:color="auto" w:fill="FFFFFF"/>
        </w:rPr>
        <w:t>J.,&amp;</w:t>
      </w:r>
      <w:proofErr w:type="gramEnd"/>
      <w:r>
        <w:rPr>
          <w:rFonts w:ascii="Arial" w:hAnsi="Arial" w:cs="Arial"/>
          <w:shd w:val="clear" w:color="auto" w:fill="FFFFFF"/>
        </w:rPr>
        <w:t xml:space="preserve"> Ekwueme, U. H. (2021). Factorial Validation of Teachers' Self-Efficacy Scale Using Pre-Service Teachers: Implicatio</w:t>
      </w:r>
      <w:r>
        <w:rPr>
          <w:rFonts w:ascii="Arial" w:hAnsi="Arial" w:cs="Arial"/>
          <w:shd w:val="clear" w:color="auto" w:fill="FFFFFF"/>
        </w:rPr>
        <w:t>ns for Teacher Education Curriculum. </w:t>
      </w:r>
      <w:r>
        <w:rPr>
          <w:rFonts w:ascii="Arial" w:hAnsi="Arial" w:cs="Arial"/>
          <w:i/>
          <w:iCs/>
          <w:shd w:val="clear" w:color="auto" w:fill="FFFFFF"/>
        </w:rPr>
        <w:t>International Journal of Higher Education</w:t>
      </w:r>
      <w:r>
        <w:rPr>
          <w:rFonts w:ascii="Arial" w:hAnsi="Arial" w:cs="Arial"/>
          <w:shd w:val="clear" w:color="auto" w:fill="FFFFFF"/>
        </w:rPr>
        <w:t>, </w:t>
      </w:r>
      <w:r>
        <w:rPr>
          <w:rFonts w:ascii="Arial" w:hAnsi="Arial" w:cs="Arial"/>
          <w:i/>
          <w:iCs/>
          <w:shd w:val="clear" w:color="auto" w:fill="FFFFFF"/>
        </w:rPr>
        <w:t>10</w:t>
      </w:r>
      <w:r>
        <w:rPr>
          <w:rFonts w:ascii="Arial" w:hAnsi="Arial" w:cs="Arial"/>
          <w:shd w:val="clear" w:color="auto" w:fill="FFFFFF"/>
        </w:rPr>
        <w:t>(1), 113-121.</w:t>
      </w:r>
    </w:p>
    <w:p w14:paraId="440948FE" w14:textId="77777777" w:rsidR="00767CB1" w:rsidRDefault="00767CB1">
      <w:pPr>
        <w:ind w:left="400" w:hangingChars="200" w:hanging="400"/>
        <w:jc w:val="both"/>
        <w:rPr>
          <w:rFonts w:ascii="Arial" w:hAnsi="Arial" w:cs="Arial"/>
          <w:shd w:val="clear" w:color="auto" w:fill="FFFFFF"/>
        </w:rPr>
      </w:pPr>
    </w:p>
    <w:p w14:paraId="68ABFAC6" w14:textId="77777777" w:rsidR="00767CB1" w:rsidRDefault="00EF15D9">
      <w:pPr>
        <w:pStyle w:val="NormalWeb"/>
        <w:spacing w:beforeAutospacing="0" w:afterAutospacing="0"/>
        <w:ind w:left="400" w:hangingChars="200" w:hanging="400"/>
        <w:jc w:val="both"/>
        <w:rPr>
          <w:rStyle w:val="Hyperlink"/>
          <w:rFonts w:ascii="Arial" w:eastAsia="Segoe UI" w:hAnsi="Arial" w:cs="Arial"/>
          <w:color w:val="auto"/>
          <w:sz w:val="20"/>
          <w:szCs w:val="20"/>
          <w:shd w:val="clear" w:color="auto" w:fill="FFFFFF"/>
        </w:rPr>
      </w:pPr>
      <w:proofErr w:type="spellStart"/>
      <w:r>
        <w:rPr>
          <w:rFonts w:ascii="Arial" w:eastAsia="Arial" w:hAnsi="Arial" w:cs="Arial"/>
          <w:sz w:val="20"/>
          <w:szCs w:val="20"/>
          <w:shd w:val="clear" w:color="auto" w:fill="FFFFFF"/>
        </w:rPr>
        <w:t>Farhadiba</w:t>
      </w:r>
      <w:proofErr w:type="spellEnd"/>
      <w:r>
        <w:rPr>
          <w:rFonts w:ascii="Arial" w:eastAsia="Arial" w:hAnsi="Arial" w:cs="Arial"/>
          <w:sz w:val="20"/>
          <w:szCs w:val="20"/>
          <w:shd w:val="clear" w:color="auto" w:fill="FFFFFF"/>
        </w:rPr>
        <w:t xml:space="preserve">, D., &amp; </w:t>
      </w:r>
      <w:proofErr w:type="spellStart"/>
      <w:r>
        <w:rPr>
          <w:rFonts w:ascii="Arial" w:eastAsia="Arial" w:hAnsi="Arial" w:cs="Arial"/>
          <w:sz w:val="20"/>
          <w:szCs w:val="20"/>
          <w:shd w:val="clear" w:color="auto" w:fill="FFFFFF"/>
        </w:rPr>
        <w:t>Wulyani</w:t>
      </w:r>
      <w:proofErr w:type="spellEnd"/>
      <w:r>
        <w:rPr>
          <w:rFonts w:ascii="Arial" w:eastAsia="Arial" w:hAnsi="Arial" w:cs="Arial"/>
          <w:sz w:val="20"/>
          <w:szCs w:val="20"/>
          <w:shd w:val="clear" w:color="auto" w:fill="FFFFFF"/>
        </w:rPr>
        <w:t>, A.N. (2020). Investigating Preservice Teachers’ Efficacy Level and Factors Influencing It. </w:t>
      </w:r>
      <w:proofErr w:type="spellStart"/>
      <w:r>
        <w:rPr>
          <w:rStyle w:val="Emphasis"/>
          <w:rFonts w:ascii="Arial" w:eastAsia="Arial" w:hAnsi="Arial" w:cs="Arial"/>
          <w:sz w:val="20"/>
          <w:szCs w:val="20"/>
        </w:rPr>
        <w:t>KnE</w:t>
      </w:r>
      <w:proofErr w:type="spellEnd"/>
      <w:r>
        <w:rPr>
          <w:rStyle w:val="Emphasis"/>
          <w:rFonts w:ascii="Arial" w:eastAsia="Arial" w:hAnsi="Arial" w:cs="Arial"/>
          <w:sz w:val="20"/>
          <w:szCs w:val="20"/>
        </w:rPr>
        <w:t xml:space="preserve"> Social Sciences</w:t>
      </w:r>
      <w:r>
        <w:rPr>
          <w:rFonts w:ascii="Arial" w:eastAsia="Arial" w:hAnsi="Arial" w:cs="Arial"/>
          <w:sz w:val="20"/>
          <w:szCs w:val="20"/>
          <w:shd w:val="clear" w:color="auto" w:fill="FFFFFF"/>
        </w:rPr>
        <w:t>.</w:t>
      </w:r>
      <w:r>
        <w:rPr>
          <w:rFonts w:ascii="Arial" w:eastAsia="Arial" w:hAnsi="Arial" w:cs="Arial"/>
          <w:sz w:val="20"/>
          <w:szCs w:val="20"/>
          <w:shd w:val="clear" w:color="auto" w:fill="FFFFFF"/>
          <w:lang w:val="en-PH"/>
        </w:rPr>
        <w:t xml:space="preserve"> </w:t>
      </w:r>
      <w:hyperlink r:id="rId19" w:history="1">
        <w:r>
          <w:rPr>
            <w:rStyle w:val="Hyperlink"/>
            <w:rFonts w:ascii="Arial" w:eastAsia="Segoe UI" w:hAnsi="Arial" w:cs="Arial"/>
            <w:color w:val="auto"/>
            <w:sz w:val="20"/>
            <w:szCs w:val="20"/>
            <w:shd w:val="clear" w:color="auto" w:fill="FFFFFF"/>
          </w:rPr>
          <w:t>https://doi.org/10.18502/kss.v4i4.6464</w:t>
        </w:r>
      </w:hyperlink>
    </w:p>
    <w:p w14:paraId="2F79DCF8" w14:textId="77777777" w:rsidR="00767CB1" w:rsidRDefault="00767CB1">
      <w:pPr>
        <w:pStyle w:val="NormalWeb"/>
        <w:spacing w:beforeAutospacing="0" w:afterAutospacing="0"/>
        <w:ind w:left="400" w:hangingChars="200" w:hanging="400"/>
        <w:jc w:val="both"/>
        <w:rPr>
          <w:rStyle w:val="Hyperlink"/>
          <w:rFonts w:ascii="Arial" w:eastAsia="Segoe UI" w:hAnsi="Arial" w:cs="Arial"/>
          <w:color w:val="auto"/>
          <w:sz w:val="20"/>
          <w:szCs w:val="20"/>
          <w:shd w:val="clear" w:color="auto" w:fill="FFFFFF"/>
        </w:rPr>
      </w:pPr>
    </w:p>
    <w:p w14:paraId="1B3E0C91" w14:textId="77777777" w:rsidR="00767CB1" w:rsidRDefault="00EF15D9">
      <w:pPr>
        <w:ind w:left="400" w:hangingChars="200" w:hanging="400"/>
        <w:jc w:val="both"/>
        <w:rPr>
          <w:rFonts w:ascii="Arial" w:eastAsia="Segoe UI" w:hAnsi="Arial" w:cs="Arial"/>
          <w:shd w:val="clear" w:color="auto" w:fill="FFFFFF"/>
        </w:rPr>
      </w:pPr>
      <w:proofErr w:type="spellStart"/>
      <w:r>
        <w:rPr>
          <w:rFonts w:ascii="Arial" w:eastAsia="SimSun" w:hAnsi="Arial" w:cs="Arial"/>
          <w:shd w:val="clear" w:color="auto" w:fill="FFFFFF"/>
        </w:rPr>
        <w:t>Frouda</w:t>
      </w:r>
      <w:proofErr w:type="spellEnd"/>
      <w:r>
        <w:rPr>
          <w:rFonts w:ascii="Arial" w:eastAsia="SimSun" w:hAnsi="Arial" w:cs="Arial"/>
          <w:shd w:val="clear" w:color="auto" w:fill="FFFFFF"/>
        </w:rPr>
        <w:t xml:space="preserve">, M., Riga, A., </w:t>
      </w:r>
      <w:proofErr w:type="spellStart"/>
      <w:r>
        <w:rPr>
          <w:rFonts w:ascii="Arial" w:eastAsia="SimSun" w:hAnsi="Arial" w:cs="Arial"/>
          <w:shd w:val="clear" w:color="auto" w:fill="FFFFFF"/>
        </w:rPr>
        <w:t>Dotsikas</w:t>
      </w:r>
      <w:proofErr w:type="spellEnd"/>
      <w:r>
        <w:rPr>
          <w:rFonts w:ascii="Arial" w:eastAsia="SimSun" w:hAnsi="Arial" w:cs="Arial"/>
          <w:shd w:val="clear" w:color="auto" w:fill="FFFFFF"/>
        </w:rPr>
        <w:t xml:space="preserve">, N., &amp; </w:t>
      </w:r>
      <w:proofErr w:type="spellStart"/>
      <w:r>
        <w:rPr>
          <w:rFonts w:ascii="Arial" w:eastAsia="SimSun" w:hAnsi="Arial" w:cs="Arial"/>
          <w:shd w:val="clear" w:color="auto" w:fill="FFFFFF"/>
        </w:rPr>
        <w:t>Papagianni</w:t>
      </w:r>
      <w:proofErr w:type="spellEnd"/>
      <w:r>
        <w:rPr>
          <w:rFonts w:ascii="Arial" w:eastAsia="SimSun" w:hAnsi="Arial" w:cs="Arial"/>
          <w:shd w:val="clear" w:color="auto" w:fill="FFFFFF"/>
        </w:rPr>
        <w:t>, C. (2022). INVESTIGATING STUDENTS'-FUTURE TEACHERS'VIEWS ON THEIR INTERNSHIP: BENEFITS AND CHALLENGES. </w:t>
      </w:r>
      <w:r>
        <w:rPr>
          <w:rFonts w:ascii="Arial" w:eastAsia="SimSun" w:hAnsi="Arial" w:cs="Arial"/>
          <w:i/>
          <w:iCs/>
          <w:shd w:val="clear" w:color="auto" w:fill="FFFFFF"/>
        </w:rPr>
        <w:t>European</w:t>
      </w:r>
      <w:r>
        <w:rPr>
          <w:rFonts w:ascii="Arial" w:eastAsia="SimSun" w:hAnsi="Arial" w:cs="Arial"/>
          <w:i/>
          <w:iCs/>
          <w:shd w:val="clear" w:color="auto" w:fill="FFFFFF"/>
        </w:rPr>
        <w:t xml:space="preserve"> Journal of Special Education Research</w:t>
      </w:r>
      <w:r>
        <w:rPr>
          <w:rFonts w:ascii="Arial" w:eastAsia="SimSun" w:hAnsi="Arial" w:cs="Arial"/>
          <w:shd w:val="clear" w:color="auto" w:fill="FFFFFF"/>
        </w:rPr>
        <w:t>, </w:t>
      </w:r>
      <w:r>
        <w:rPr>
          <w:rFonts w:ascii="Arial" w:eastAsia="SimSun" w:hAnsi="Arial" w:cs="Arial"/>
          <w:i/>
          <w:iCs/>
          <w:shd w:val="clear" w:color="auto" w:fill="FFFFFF"/>
        </w:rPr>
        <w:t>8</w:t>
      </w:r>
      <w:r>
        <w:rPr>
          <w:rFonts w:ascii="Arial" w:eastAsia="SimSun" w:hAnsi="Arial" w:cs="Arial"/>
          <w:shd w:val="clear" w:color="auto" w:fill="FFFFFF"/>
        </w:rPr>
        <w:t>(4</w:t>
      </w:r>
      <w:proofErr w:type="gramStart"/>
      <w:r>
        <w:rPr>
          <w:rFonts w:ascii="Arial" w:eastAsia="SimSun" w:hAnsi="Arial" w:cs="Arial"/>
          <w:shd w:val="clear" w:color="auto" w:fill="FFFFFF"/>
        </w:rPr>
        <w:t>).</w:t>
      </w:r>
      <w:r>
        <w:rPr>
          <w:rFonts w:ascii="Arial" w:eastAsia="Segoe UI" w:hAnsi="Arial" w:cs="Arial"/>
          <w:shd w:val="clear" w:color="auto" w:fill="FFFFFF"/>
        </w:rPr>
        <w:t>https://doi.org/10.46827/ejse.v8i4.4377</w:t>
      </w:r>
      <w:proofErr w:type="gramEnd"/>
    </w:p>
    <w:p w14:paraId="349890C5" w14:textId="77777777" w:rsidR="00767CB1" w:rsidRDefault="00767CB1">
      <w:pPr>
        <w:ind w:left="400" w:hangingChars="200" w:hanging="400"/>
        <w:jc w:val="both"/>
        <w:rPr>
          <w:rFonts w:ascii="Arial" w:eastAsia="Segoe UI" w:hAnsi="Arial" w:cs="Arial"/>
          <w:shd w:val="clear" w:color="auto" w:fill="FFFFFF"/>
        </w:rPr>
      </w:pPr>
    </w:p>
    <w:p w14:paraId="748BF5F1" w14:textId="77777777" w:rsidR="00767CB1" w:rsidRDefault="00EF15D9">
      <w:pPr>
        <w:ind w:left="400" w:hangingChars="200" w:hanging="400"/>
        <w:jc w:val="both"/>
        <w:rPr>
          <w:rStyle w:val="Hyperlink"/>
          <w:rFonts w:ascii="Arial" w:hAnsi="Arial" w:cs="Arial"/>
          <w:color w:val="auto"/>
          <w:u w:val="none"/>
        </w:rPr>
      </w:pPr>
      <w:r>
        <w:rPr>
          <w:rFonts w:ascii="Arial" w:hAnsi="Arial" w:cs="Arial"/>
        </w:rPr>
        <w:t xml:space="preserve">Gibson, S., &amp; </w:t>
      </w:r>
      <w:proofErr w:type="spellStart"/>
      <w:r>
        <w:rPr>
          <w:rFonts w:ascii="Arial" w:hAnsi="Arial" w:cs="Arial"/>
        </w:rPr>
        <w:t>Dembo</w:t>
      </w:r>
      <w:proofErr w:type="spellEnd"/>
      <w:r>
        <w:rPr>
          <w:rFonts w:ascii="Arial" w:hAnsi="Arial" w:cs="Arial"/>
        </w:rPr>
        <w:t xml:space="preserve">, M. (1984). Teacher efficacy: A construct validation. </w:t>
      </w:r>
      <w:r>
        <w:rPr>
          <w:rFonts w:ascii="Arial" w:hAnsi="Arial" w:cs="Arial"/>
          <w:i/>
          <w:iCs/>
        </w:rPr>
        <w:t>Journal of Educational Psychology, 76(4)</w:t>
      </w:r>
      <w:r>
        <w:rPr>
          <w:rFonts w:ascii="Arial" w:hAnsi="Arial" w:cs="Arial"/>
        </w:rPr>
        <w:t xml:space="preserve">, 569−582. </w:t>
      </w:r>
      <w:hyperlink r:id="rId20" w:history="1">
        <w:r>
          <w:rPr>
            <w:rStyle w:val="Hyperlink"/>
            <w:rFonts w:ascii="Arial" w:hAnsi="Arial" w:cs="Arial"/>
            <w:color w:val="auto"/>
            <w:u w:val="none"/>
          </w:rPr>
          <w:t>https://doi.org/10.1037/0022-0663.76.4.569</w:t>
        </w:r>
      </w:hyperlink>
    </w:p>
    <w:p w14:paraId="7022432A" w14:textId="77777777" w:rsidR="00767CB1" w:rsidRDefault="00767CB1">
      <w:pPr>
        <w:ind w:left="400" w:hangingChars="200" w:hanging="400"/>
        <w:jc w:val="both"/>
        <w:rPr>
          <w:rStyle w:val="Hyperlink"/>
          <w:rFonts w:ascii="Arial" w:hAnsi="Arial" w:cs="Arial"/>
          <w:color w:val="auto"/>
          <w:u w:val="none"/>
        </w:rPr>
      </w:pPr>
    </w:p>
    <w:p w14:paraId="04E6B4C8" w14:textId="77777777" w:rsidR="00767CB1" w:rsidRDefault="00EF15D9">
      <w:pPr>
        <w:ind w:left="400" w:hangingChars="200" w:hanging="400"/>
        <w:jc w:val="both"/>
        <w:rPr>
          <w:rFonts w:ascii="Arial" w:hAnsi="Arial" w:cs="Arial"/>
          <w:shd w:val="clear" w:color="auto" w:fill="FFFFFF"/>
        </w:rPr>
      </w:pPr>
      <w:r>
        <w:rPr>
          <w:rFonts w:ascii="Arial" w:hAnsi="Arial" w:cs="Arial"/>
          <w:shd w:val="clear" w:color="auto" w:fill="FFFFFF"/>
        </w:rPr>
        <w:t>Gorospe, J. D. (2022). Pre-Service Teachers' Teaching Anxiety, Teaching Self-Efficacy, and Problems Encountered during the Practice Teaching Course. </w:t>
      </w:r>
      <w:r>
        <w:rPr>
          <w:rFonts w:ascii="Arial" w:hAnsi="Arial" w:cs="Arial"/>
          <w:i/>
          <w:iCs/>
          <w:shd w:val="clear" w:color="auto" w:fill="FFFFFF"/>
        </w:rPr>
        <w:t>Jour</w:t>
      </w:r>
      <w:r>
        <w:rPr>
          <w:rFonts w:ascii="Arial" w:hAnsi="Arial" w:cs="Arial"/>
          <w:i/>
          <w:iCs/>
          <w:shd w:val="clear" w:color="auto" w:fill="FFFFFF"/>
        </w:rPr>
        <w:t>nal of Education and Learning</w:t>
      </w:r>
      <w:r>
        <w:rPr>
          <w:rFonts w:ascii="Arial" w:hAnsi="Arial" w:cs="Arial"/>
          <w:shd w:val="clear" w:color="auto" w:fill="FFFFFF"/>
        </w:rPr>
        <w:t>, </w:t>
      </w:r>
      <w:r>
        <w:rPr>
          <w:rFonts w:ascii="Arial" w:hAnsi="Arial" w:cs="Arial"/>
          <w:i/>
          <w:iCs/>
          <w:shd w:val="clear" w:color="auto" w:fill="FFFFFF"/>
        </w:rPr>
        <w:t>11</w:t>
      </w:r>
      <w:r>
        <w:rPr>
          <w:rFonts w:ascii="Arial" w:hAnsi="Arial" w:cs="Arial"/>
          <w:shd w:val="clear" w:color="auto" w:fill="FFFFFF"/>
        </w:rPr>
        <w:t>(4), 84-91.</w:t>
      </w:r>
    </w:p>
    <w:p w14:paraId="5F17F1F8" w14:textId="77777777" w:rsidR="00767CB1" w:rsidRDefault="00767CB1">
      <w:pPr>
        <w:ind w:left="400" w:hangingChars="200" w:hanging="400"/>
        <w:jc w:val="both"/>
        <w:rPr>
          <w:rFonts w:ascii="Arial" w:hAnsi="Arial" w:cs="Arial"/>
          <w:shd w:val="clear" w:color="auto" w:fill="FFFFFF"/>
        </w:rPr>
      </w:pPr>
    </w:p>
    <w:p w14:paraId="0903BF35" w14:textId="77777777" w:rsidR="00767CB1" w:rsidRDefault="00EF15D9">
      <w:pPr>
        <w:ind w:left="400" w:hangingChars="200" w:hanging="400"/>
        <w:jc w:val="both"/>
        <w:rPr>
          <w:rFonts w:ascii="Arial" w:hAnsi="Arial" w:cs="Arial"/>
          <w:shd w:val="clear" w:color="auto" w:fill="FFFFFF"/>
        </w:rPr>
      </w:pPr>
      <w:r>
        <w:rPr>
          <w:rFonts w:ascii="Arial" w:hAnsi="Arial" w:cs="Arial"/>
          <w:shd w:val="clear" w:color="auto" w:fill="FFFFFF"/>
        </w:rPr>
        <w:lastRenderedPageBreak/>
        <w:t xml:space="preserve">Han, T., &amp; </w:t>
      </w:r>
      <w:proofErr w:type="spellStart"/>
      <w:r>
        <w:rPr>
          <w:rFonts w:ascii="Arial" w:hAnsi="Arial" w:cs="Arial"/>
          <w:shd w:val="clear" w:color="auto" w:fill="FFFFFF"/>
        </w:rPr>
        <w:t>Tulgar</w:t>
      </w:r>
      <w:proofErr w:type="spellEnd"/>
      <w:r>
        <w:rPr>
          <w:rFonts w:ascii="Arial" w:hAnsi="Arial" w:cs="Arial"/>
          <w:shd w:val="clear" w:color="auto" w:fill="FFFFFF"/>
        </w:rPr>
        <w:t>, A. T. (2019). Analysis of the pre-service teachers’ teaching anxiety and coping strategies: A Turkish Elementary School Context. </w:t>
      </w:r>
      <w:r>
        <w:rPr>
          <w:rFonts w:ascii="Arial" w:hAnsi="Arial" w:cs="Arial"/>
          <w:i/>
          <w:iCs/>
          <w:shd w:val="clear" w:color="auto" w:fill="FFFFFF"/>
        </w:rPr>
        <w:t>Gist: Education and Learning Research Journal</w:t>
      </w:r>
      <w:r>
        <w:rPr>
          <w:rFonts w:ascii="Arial" w:hAnsi="Arial" w:cs="Arial"/>
          <w:shd w:val="clear" w:color="auto" w:fill="FFFFFF"/>
        </w:rPr>
        <w:t>, (19), 49-83.</w:t>
      </w:r>
    </w:p>
    <w:p w14:paraId="27E524DE" w14:textId="77777777" w:rsidR="00767CB1" w:rsidRDefault="00767CB1">
      <w:pPr>
        <w:ind w:left="400" w:hangingChars="200" w:hanging="400"/>
        <w:jc w:val="both"/>
        <w:rPr>
          <w:rFonts w:ascii="Arial" w:hAnsi="Arial" w:cs="Arial"/>
          <w:shd w:val="clear" w:color="auto" w:fill="FFFFFF"/>
        </w:rPr>
      </w:pPr>
    </w:p>
    <w:p w14:paraId="1D655E54" w14:textId="77777777" w:rsidR="00767CB1" w:rsidRDefault="00EF15D9">
      <w:pPr>
        <w:ind w:left="400" w:hangingChars="200" w:hanging="400"/>
        <w:jc w:val="both"/>
        <w:rPr>
          <w:rFonts w:ascii="Arial" w:hAnsi="Arial" w:cs="Arial"/>
          <w:shd w:val="clear" w:color="auto" w:fill="FFFFFF"/>
        </w:rPr>
      </w:pPr>
      <w:proofErr w:type="spellStart"/>
      <w:r>
        <w:rPr>
          <w:rFonts w:ascii="Arial" w:hAnsi="Arial" w:cs="Arial"/>
          <w:shd w:val="clear" w:color="auto" w:fill="FFFFFF"/>
        </w:rPr>
        <w:t>H</w:t>
      </w:r>
      <w:r>
        <w:rPr>
          <w:rFonts w:ascii="Arial" w:hAnsi="Arial" w:cs="Arial"/>
          <w:shd w:val="clear" w:color="auto" w:fill="FFFFFF"/>
        </w:rPr>
        <w:t>aresco</w:t>
      </w:r>
      <w:proofErr w:type="spellEnd"/>
      <w:r>
        <w:rPr>
          <w:rFonts w:ascii="Arial" w:hAnsi="Arial" w:cs="Arial"/>
          <w:shd w:val="clear" w:color="auto" w:fill="FFFFFF"/>
        </w:rPr>
        <w:t>, A. A., &amp; Jose, A. E. S. (2021). Communication skills and disaster preparedness of junior high school students. </w:t>
      </w:r>
      <w:r>
        <w:rPr>
          <w:rFonts w:ascii="Arial" w:hAnsi="Arial" w:cs="Arial"/>
          <w:i/>
          <w:iCs/>
          <w:shd w:val="clear" w:color="auto" w:fill="FFFFFF"/>
        </w:rPr>
        <w:t>Asian Journal of Education and Social Studies</w:t>
      </w:r>
      <w:r>
        <w:rPr>
          <w:rFonts w:ascii="Arial" w:hAnsi="Arial" w:cs="Arial"/>
          <w:shd w:val="clear" w:color="auto" w:fill="FFFFFF"/>
        </w:rPr>
        <w:t>, </w:t>
      </w:r>
      <w:r>
        <w:rPr>
          <w:rFonts w:ascii="Arial" w:hAnsi="Arial" w:cs="Arial"/>
          <w:i/>
          <w:iCs/>
          <w:shd w:val="clear" w:color="auto" w:fill="FFFFFF"/>
        </w:rPr>
        <w:t>20</w:t>
      </w:r>
      <w:r>
        <w:rPr>
          <w:rFonts w:ascii="Arial" w:hAnsi="Arial" w:cs="Arial"/>
          <w:shd w:val="clear" w:color="auto" w:fill="FFFFFF"/>
        </w:rPr>
        <w:t>(1), 21-31.</w:t>
      </w:r>
    </w:p>
    <w:p w14:paraId="546C0B01" w14:textId="77777777" w:rsidR="00767CB1" w:rsidRDefault="00767CB1">
      <w:pPr>
        <w:ind w:left="400" w:hangingChars="200" w:hanging="400"/>
        <w:jc w:val="both"/>
        <w:rPr>
          <w:rFonts w:ascii="Arial" w:hAnsi="Arial" w:cs="Arial"/>
          <w:shd w:val="clear" w:color="auto" w:fill="FFFFFF"/>
        </w:rPr>
      </w:pPr>
    </w:p>
    <w:p w14:paraId="2581FCF3" w14:textId="77777777" w:rsidR="00767CB1" w:rsidRDefault="00EF15D9">
      <w:pPr>
        <w:ind w:left="400" w:hangingChars="200" w:hanging="400"/>
        <w:jc w:val="both"/>
        <w:rPr>
          <w:rStyle w:val="Hyperlink"/>
          <w:rFonts w:ascii="Arial" w:hAnsi="Arial" w:cs="Arial"/>
          <w:color w:val="auto"/>
          <w:u w:val="none"/>
        </w:rPr>
      </w:pPr>
      <w:r>
        <w:rPr>
          <w:rFonts w:ascii="Arial" w:hAnsi="Arial" w:cs="Arial"/>
        </w:rPr>
        <w:t>Hart, N. (1987). Student-teacher anxieties: Four measured factors and their</w:t>
      </w:r>
      <w:r>
        <w:rPr>
          <w:rFonts w:ascii="Arial" w:hAnsi="Arial" w:cs="Arial"/>
        </w:rPr>
        <w:t xml:space="preserve"> relationships to pupil disruption in class. </w:t>
      </w:r>
      <w:r>
        <w:rPr>
          <w:rFonts w:ascii="Arial" w:hAnsi="Arial" w:cs="Arial"/>
          <w:i/>
          <w:iCs/>
        </w:rPr>
        <w:t>Educational Research, 29</w:t>
      </w:r>
      <w:r>
        <w:rPr>
          <w:rFonts w:ascii="Arial" w:hAnsi="Arial" w:cs="Arial"/>
        </w:rPr>
        <w:t xml:space="preserve">, 12−18. </w:t>
      </w:r>
      <w:hyperlink r:id="rId21" w:history="1">
        <w:r>
          <w:rPr>
            <w:rStyle w:val="Hyperlink"/>
            <w:rFonts w:ascii="Arial" w:hAnsi="Arial" w:cs="Arial"/>
            <w:color w:val="auto"/>
            <w:u w:val="none"/>
          </w:rPr>
          <w:t>https://doi.org/10.1080/0013188870290102</w:t>
        </w:r>
      </w:hyperlink>
    </w:p>
    <w:p w14:paraId="73ED4D29" w14:textId="77777777" w:rsidR="00767CB1" w:rsidRDefault="00767CB1">
      <w:pPr>
        <w:ind w:left="400" w:hangingChars="200" w:hanging="400"/>
        <w:jc w:val="both"/>
        <w:rPr>
          <w:rStyle w:val="Hyperlink"/>
          <w:rFonts w:ascii="Arial" w:hAnsi="Arial" w:cs="Arial"/>
          <w:color w:val="auto"/>
          <w:u w:val="none"/>
        </w:rPr>
      </w:pPr>
    </w:p>
    <w:p w14:paraId="50C9F66E" w14:textId="77777777" w:rsidR="00767CB1" w:rsidRDefault="00EF15D9">
      <w:pPr>
        <w:pStyle w:val="NormalWeb"/>
        <w:spacing w:beforeAutospacing="0" w:afterAutospacing="0"/>
        <w:ind w:left="400" w:hangingChars="200" w:hanging="400"/>
        <w:jc w:val="both"/>
        <w:rPr>
          <w:rFonts w:ascii="Arial" w:eastAsia="Segoe UI" w:hAnsi="Arial" w:cs="Arial"/>
          <w:sz w:val="20"/>
          <w:szCs w:val="20"/>
          <w:shd w:val="clear" w:color="auto" w:fill="FFFFFF"/>
        </w:rPr>
      </w:pPr>
      <w:r>
        <w:rPr>
          <w:rFonts w:ascii="Arial" w:eastAsia="Arial" w:hAnsi="Arial" w:cs="Arial"/>
          <w:sz w:val="20"/>
          <w:szCs w:val="20"/>
          <w:shd w:val="clear" w:color="auto" w:fill="FFFFFF"/>
        </w:rPr>
        <w:t xml:space="preserve">Hoy, W.K., &amp; Woolfolk, A.E. (1990). Socialization of Student </w:t>
      </w:r>
      <w:proofErr w:type="spellStart"/>
      <w:r>
        <w:rPr>
          <w:rFonts w:ascii="Arial" w:eastAsia="Arial" w:hAnsi="Arial" w:cs="Arial"/>
          <w:sz w:val="20"/>
          <w:szCs w:val="20"/>
          <w:shd w:val="clear" w:color="auto" w:fill="FFFFFF"/>
        </w:rPr>
        <w:t>Teachers.</w:t>
      </w:r>
      <w:r>
        <w:rPr>
          <w:rFonts w:ascii="Arial" w:eastAsia="Segoe UI" w:hAnsi="Arial" w:cs="Arial"/>
          <w:sz w:val="20"/>
          <w:szCs w:val="20"/>
          <w:shd w:val="clear" w:color="auto" w:fill="FFFFFF"/>
        </w:rPr>
        <w:t>https</w:t>
      </w:r>
      <w:proofErr w:type="spellEnd"/>
      <w:r>
        <w:rPr>
          <w:rFonts w:ascii="Arial" w:eastAsia="Segoe UI" w:hAnsi="Arial" w:cs="Arial"/>
          <w:sz w:val="20"/>
          <w:szCs w:val="20"/>
          <w:shd w:val="clear" w:color="auto" w:fill="FFFFFF"/>
        </w:rPr>
        <w:t>://doi.org/10.3102/00028312027002279</w:t>
      </w:r>
    </w:p>
    <w:p w14:paraId="61CF2578" w14:textId="77777777" w:rsidR="00767CB1" w:rsidRDefault="00EF15D9">
      <w:pPr>
        <w:ind w:left="400" w:hangingChars="200" w:hanging="400"/>
        <w:jc w:val="both"/>
        <w:rPr>
          <w:rFonts w:ascii="Arial" w:eastAsia="Cambria" w:hAnsi="Arial" w:cs="Arial"/>
          <w:lang w:bidi="ar"/>
        </w:rPr>
      </w:pPr>
      <w:r>
        <w:rPr>
          <w:rFonts w:ascii="Arial" w:eastAsia="Cambria" w:hAnsi="Arial" w:cs="Arial"/>
          <w:lang w:bidi="ar"/>
        </w:rPr>
        <w:t>Ismail, S. A. A., &amp; Jarrah, A. M. (2019). Exploring Pre-Service Teachers'</w:t>
      </w:r>
      <w:r>
        <w:rPr>
          <w:rFonts w:ascii="Arial" w:eastAsia="Cambria" w:hAnsi="Arial" w:cs="Arial"/>
          <w:lang w:val="en-PH" w:bidi="ar"/>
        </w:rPr>
        <w:t xml:space="preserve"> </w:t>
      </w:r>
      <w:r>
        <w:rPr>
          <w:rFonts w:ascii="Arial" w:eastAsia="Cambria" w:hAnsi="Arial" w:cs="Arial"/>
          <w:lang w:bidi="ar"/>
        </w:rPr>
        <w:t>Perceptions of Their Pedagogical Preferences, Teaching</w:t>
      </w:r>
      <w:r>
        <w:rPr>
          <w:rFonts w:ascii="Arial" w:eastAsia="Cambria" w:hAnsi="Arial" w:cs="Arial"/>
          <w:lang w:val="en-PH" w:bidi="ar"/>
        </w:rPr>
        <w:t xml:space="preserve"> </w:t>
      </w:r>
      <w:r>
        <w:rPr>
          <w:rFonts w:ascii="Arial" w:eastAsia="Cambria" w:hAnsi="Arial" w:cs="Arial"/>
          <w:lang w:bidi="ar"/>
        </w:rPr>
        <w:t>Competence and</w:t>
      </w:r>
      <w:r>
        <w:rPr>
          <w:rFonts w:ascii="Arial" w:eastAsia="Cambria" w:hAnsi="Arial" w:cs="Arial"/>
          <w:lang w:val="en-PH" w:bidi="ar"/>
        </w:rPr>
        <w:t xml:space="preserve"> </w:t>
      </w:r>
      <w:r>
        <w:rPr>
          <w:rFonts w:ascii="Arial" w:eastAsia="Cambria" w:hAnsi="Arial" w:cs="Arial"/>
          <w:lang w:bidi="ar"/>
        </w:rPr>
        <w:t xml:space="preserve">Motivation. </w:t>
      </w:r>
      <w:r>
        <w:rPr>
          <w:rFonts w:ascii="Arial" w:eastAsia="Cambria" w:hAnsi="Arial" w:cs="Arial"/>
          <w:i/>
          <w:iCs/>
          <w:lang w:bidi="ar"/>
        </w:rPr>
        <w:t>International Journal of Instruction,</w:t>
      </w:r>
      <w:r>
        <w:rPr>
          <w:rFonts w:ascii="Arial" w:eastAsia="Cambria" w:hAnsi="Arial" w:cs="Arial"/>
          <w:lang w:bidi="ar"/>
        </w:rPr>
        <w:t xml:space="preserve"> 12(1), 493-510 </w:t>
      </w:r>
    </w:p>
    <w:p w14:paraId="7948BD5A" w14:textId="77777777" w:rsidR="00767CB1" w:rsidRDefault="00767CB1">
      <w:pPr>
        <w:jc w:val="both"/>
        <w:rPr>
          <w:rFonts w:ascii="Arial" w:hAnsi="Arial" w:cs="Arial"/>
        </w:rPr>
      </w:pPr>
    </w:p>
    <w:p w14:paraId="490733C9" w14:textId="77777777" w:rsidR="00767CB1" w:rsidRDefault="00EF15D9">
      <w:pPr>
        <w:ind w:left="400" w:hangingChars="200" w:hanging="400"/>
        <w:jc w:val="both"/>
        <w:rPr>
          <w:rFonts w:ascii="Arial" w:eastAsia="Segoe UI" w:hAnsi="Arial" w:cs="Arial"/>
          <w:shd w:val="clear" w:color="auto" w:fill="FFFFFF"/>
        </w:rPr>
      </w:pPr>
      <w:proofErr w:type="spellStart"/>
      <w:r>
        <w:rPr>
          <w:rFonts w:ascii="Arial" w:eastAsia="SimSun" w:hAnsi="Arial" w:cs="Arial"/>
          <w:shd w:val="clear" w:color="auto" w:fill="FFFFFF"/>
        </w:rPr>
        <w:t>Karsli</w:t>
      </w:r>
      <w:proofErr w:type="spellEnd"/>
      <w:r>
        <w:rPr>
          <w:rFonts w:ascii="Arial" w:eastAsia="SimSun" w:hAnsi="Arial" w:cs="Arial"/>
          <w:shd w:val="clear" w:color="auto" w:fill="FFFFFF"/>
        </w:rPr>
        <w:t>, V., &amp; YAĞIZ, O. (2022). Examination of the pre-service teachers' experiences and perceptions on teaching practices: English language teaching case. </w:t>
      </w:r>
      <w:r>
        <w:rPr>
          <w:rFonts w:ascii="Arial" w:eastAsia="SimSun" w:hAnsi="Arial" w:cs="Arial"/>
          <w:i/>
          <w:iCs/>
          <w:shd w:val="clear" w:color="auto" w:fill="FFFFFF"/>
        </w:rPr>
        <w:t>Arab World English Journal</w:t>
      </w:r>
      <w:r>
        <w:rPr>
          <w:rFonts w:ascii="Arial" w:eastAsia="SimSun" w:hAnsi="Arial" w:cs="Arial"/>
          <w:shd w:val="clear" w:color="auto" w:fill="FFFFFF"/>
        </w:rPr>
        <w:t>, </w:t>
      </w:r>
      <w:r>
        <w:rPr>
          <w:rFonts w:ascii="Arial" w:eastAsia="SimSun" w:hAnsi="Arial" w:cs="Arial"/>
          <w:i/>
          <w:iCs/>
          <w:shd w:val="clear" w:color="auto" w:fill="FFFFFF"/>
        </w:rPr>
        <w:t>13</w:t>
      </w:r>
      <w:r>
        <w:rPr>
          <w:rFonts w:ascii="Arial" w:eastAsia="SimSun" w:hAnsi="Arial" w:cs="Arial"/>
          <w:shd w:val="clear" w:color="auto" w:fill="FFFFFF"/>
        </w:rPr>
        <w:t>(2</w:t>
      </w:r>
      <w:proofErr w:type="gramStart"/>
      <w:r>
        <w:rPr>
          <w:rFonts w:ascii="Arial" w:eastAsia="SimSun" w:hAnsi="Arial" w:cs="Arial"/>
          <w:shd w:val="clear" w:color="auto" w:fill="FFFFFF"/>
        </w:rPr>
        <w:t>).</w:t>
      </w:r>
      <w:r>
        <w:rPr>
          <w:rFonts w:ascii="Arial" w:eastAsia="Segoe UI" w:hAnsi="Arial" w:cs="Arial"/>
          <w:shd w:val="clear" w:color="auto" w:fill="FFFFFF"/>
        </w:rPr>
        <w:t>https://doi.org/10.24093/</w:t>
      </w:r>
      <w:proofErr w:type="spellStart"/>
      <w:r>
        <w:rPr>
          <w:rFonts w:ascii="Arial" w:eastAsia="Segoe UI" w:hAnsi="Arial" w:cs="Arial"/>
          <w:shd w:val="clear" w:color="auto" w:fill="FFFFFF"/>
        </w:rPr>
        <w:t>awej</w:t>
      </w:r>
      <w:proofErr w:type="spellEnd"/>
      <w:r>
        <w:rPr>
          <w:rFonts w:ascii="Arial" w:eastAsia="Segoe UI" w:hAnsi="Arial" w:cs="Arial"/>
          <w:shd w:val="clear" w:color="auto" w:fill="FFFFFF"/>
        </w:rPr>
        <w:t>/vol13no2.6</w:t>
      </w:r>
      <w:proofErr w:type="gramEnd"/>
    </w:p>
    <w:p w14:paraId="2FCAB862" w14:textId="77777777" w:rsidR="00767CB1" w:rsidRDefault="00767CB1">
      <w:pPr>
        <w:ind w:left="400" w:hangingChars="200" w:hanging="400"/>
        <w:jc w:val="both"/>
        <w:rPr>
          <w:rFonts w:ascii="Arial" w:eastAsia="Segoe UI" w:hAnsi="Arial" w:cs="Arial"/>
          <w:shd w:val="clear" w:color="auto" w:fill="FFFFFF"/>
        </w:rPr>
      </w:pPr>
    </w:p>
    <w:p w14:paraId="54632F11" w14:textId="77777777" w:rsidR="00767CB1" w:rsidRDefault="00EF15D9">
      <w:pPr>
        <w:ind w:left="400" w:hangingChars="200" w:hanging="400"/>
        <w:jc w:val="both"/>
        <w:rPr>
          <w:rStyle w:val="Hyperlink"/>
          <w:rFonts w:ascii="Arial" w:eastAsia="Segoe UI" w:hAnsi="Arial" w:cs="Arial"/>
          <w:color w:val="auto"/>
          <w:shd w:val="clear" w:color="auto" w:fill="FFFFFF"/>
        </w:rPr>
      </w:pPr>
      <w:proofErr w:type="spellStart"/>
      <w:r>
        <w:rPr>
          <w:rFonts w:ascii="Arial" w:eastAsia="Arial" w:hAnsi="Arial" w:cs="Arial"/>
          <w:shd w:val="clear" w:color="auto" w:fill="FFFFFF"/>
        </w:rPr>
        <w:t>Keese</w:t>
      </w:r>
      <w:proofErr w:type="spellEnd"/>
      <w:r>
        <w:rPr>
          <w:rFonts w:ascii="Arial" w:eastAsia="Arial" w:hAnsi="Arial" w:cs="Arial"/>
          <w:shd w:val="clear" w:color="auto" w:fill="FFFFFF"/>
        </w:rPr>
        <w:t>, J., Waxman, H.C.,</w:t>
      </w:r>
      <w:r>
        <w:rPr>
          <w:rFonts w:ascii="Arial" w:eastAsia="Arial" w:hAnsi="Arial" w:cs="Arial"/>
          <w:shd w:val="clear" w:color="auto" w:fill="FFFFFF"/>
        </w:rPr>
        <w:t xml:space="preserve"> &amp; Kelly, L.J. (2021). Ready and Able? Perceptions of Confidence and Teaching Support for First-Year Alternatively Certified Teachers. </w:t>
      </w:r>
      <w:r>
        <w:rPr>
          <w:rStyle w:val="Emphasis"/>
          <w:rFonts w:ascii="Arial" w:eastAsia="Arial" w:hAnsi="Arial" w:cs="Arial"/>
        </w:rPr>
        <w:t>The Teacher Educator, 57</w:t>
      </w:r>
      <w:r>
        <w:rPr>
          <w:rFonts w:ascii="Arial" w:eastAsia="Arial" w:hAnsi="Arial" w:cs="Arial"/>
          <w:shd w:val="clear" w:color="auto" w:fill="FFFFFF"/>
        </w:rPr>
        <w:t>, 280 - 303.</w:t>
      </w:r>
      <w:r>
        <w:rPr>
          <w:rFonts w:ascii="Arial" w:eastAsia="Arial" w:hAnsi="Arial" w:cs="Arial"/>
          <w:shd w:val="clear" w:color="auto" w:fill="FFFFFF"/>
          <w:lang w:val="en-PH"/>
        </w:rPr>
        <w:t xml:space="preserve"> </w:t>
      </w:r>
      <w:hyperlink r:id="rId22" w:history="1">
        <w:r>
          <w:rPr>
            <w:rStyle w:val="Hyperlink"/>
            <w:rFonts w:ascii="Arial" w:eastAsia="Segoe UI" w:hAnsi="Arial" w:cs="Arial"/>
            <w:color w:val="auto"/>
            <w:shd w:val="clear" w:color="auto" w:fill="FFFFFF"/>
          </w:rPr>
          <w:t>https://doi.org/10.1080/08878730.2021.2003496</w:t>
        </w:r>
      </w:hyperlink>
    </w:p>
    <w:p w14:paraId="3BB99452" w14:textId="77777777" w:rsidR="00767CB1" w:rsidRDefault="00767CB1">
      <w:pPr>
        <w:ind w:left="400" w:hangingChars="200" w:hanging="400"/>
        <w:jc w:val="both"/>
        <w:rPr>
          <w:rStyle w:val="Hyperlink"/>
          <w:rFonts w:ascii="Arial" w:eastAsia="Segoe UI" w:hAnsi="Arial" w:cs="Arial"/>
          <w:color w:val="auto"/>
          <w:shd w:val="clear" w:color="auto" w:fill="FFFFFF"/>
        </w:rPr>
      </w:pPr>
    </w:p>
    <w:p w14:paraId="7F314576" w14:textId="77777777" w:rsidR="00767CB1" w:rsidRDefault="00EF15D9">
      <w:pPr>
        <w:ind w:left="400" w:hangingChars="200" w:hanging="400"/>
        <w:jc w:val="both"/>
        <w:rPr>
          <w:rFonts w:ascii="Arial" w:eastAsia="Segoe UI" w:hAnsi="Arial" w:cs="Arial"/>
          <w:shd w:val="clear" w:color="auto" w:fill="FFFFFF"/>
        </w:rPr>
      </w:pPr>
      <w:r>
        <w:rPr>
          <w:rFonts w:ascii="Arial" w:eastAsia="SimSun" w:hAnsi="Arial" w:cs="Arial"/>
          <w:shd w:val="clear" w:color="auto" w:fill="FFFFFF"/>
        </w:rPr>
        <w:t xml:space="preserve">Kim, C. M., Kim, M. J., </w:t>
      </w:r>
      <w:proofErr w:type="spellStart"/>
      <w:r>
        <w:rPr>
          <w:rFonts w:ascii="Arial" w:eastAsia="SimSun" w:hAnsi="Arial" w:cs="Arial"/>
          <w:shd w:val="clear" w:color="auto" w:fill="FFFFFF"/>
        </w:rPr>
        <w:t>Youn</w:t>
      </w:r>
      <w:proofErr w:type="spellEnd"/>
      <w:r>
        <w:rPr>
          <w:rFonts w:ascii="Arial" w:eastAsia="SimSun" w:hAnsi="Arial" w:cs="Arial"/>
          <w:shd w:val="clear" w:color="auto" w:fill="FFFFFF"/>
        </w:rPr>
        <w:t>, H. S., &amp; Jung, J. H. (2023). Exploring skills in observing teaching competency through video evaluation of class demonstrations by pre-service physical education teachers. </w:t>
      </w:r>
      <w:r>
        <w:rPr>
          <w:rFonts w:ascii="Arial" w:eastAsia="SimSun" w:hAnsi="Arial" w:cs="Arial"/>
          <w:i/>
          <w:iCs/>
          <w:shd w:val="clear" w:color="auto" w:fill="FFFFFF"/>
        </w:rPr>
        <w:t>Sust</w:t>
      </w:r>
      <w:r>
        <w:rPr>
          <w:rFonts w:ascii="Arial" w:eastAsia="SimSun" w:hAnsi="Arial" w:cs="Arial"/>
          <w:i/>
          <w:iCs/>
          <w:shd w:val="clear" w:color="auto" w:fill="FFFFFF"/>
        </w:rPr>
        <w:t>ainability</w:t>
      </w:r>
      <w:r>
        <w:rPr>
          <w:rFonts w:ascii="Arial" w:eastAsia="SimSun" w:hAnsi="Arial" w:cs="Arial"/>
          <w:shd w:val="clear" w:color="auto" w:fill="FFFFFF"/>
        </w:rPr>
        <w:t>, </w:t>
      </w:r>
      <w:r>
        <w:rPr>
          <w:rFonts w:ascii="Arial" w:eastAsia="SimSun" w:hAnsi="Arial" w:cs="Arial"/>
          <w:i/>
          <w:iCs/>
          <w:shd w:val="clear" w:color="auto" w:fill="FFFFFF"/>
        </w:rPr>
        <w:t>15</w:t>
      </w:r>
      <w:r>
        <w:rPr>
          <w:rFonts w:ascii="Arial" w:eastAsia="SimSun" w:hAnsi="Arial" w:cs="Arial"/>
          <w:shd w:val="clear" w:color="auto" w:fill="FFFFFF"/>
        </w:rPr>
        <w:t>(3), 2183.</w:t>
      </w:r>
      <w:r>
        <w:rPr>
          <w:rFonts w:ascii="Arial" w:eastAsia="Segoe UI" w:hAnsi="Arial" w:cs="Arial"/>
          <w:shd w:val="clear" w:color="auto" w:fill="FFFFFF"/>
        </w:rPr>
        <w:t>https://doi.org/10.3390/su15032183</w:t>
      </w:r>
    </w:p>
    <w:p w14:paraId="51ADA09B" w14:textId="77777777" w:rsidR="00767CB1" w:rsidRDefault="00767CB1">
      <w:pPr>
        <w:ind w:left="400" w:hangingChars="200" w:hanging="400"/>
        <w:jc w:val="both"/>
        <w:rPr>
          <w:rFonts w:ascii="Arial" w:eastAsia="Segoe UI" w:hAnsi="Arial" w:cs="Arial"/>
          <w:shd w:val="clear" w:color="auto" w:fill="FFFFFF"/>
        </w:rPr>
      </w:pPr>
    </w:p>
    <w:p w14:paraId="35D0B722" w14:textId="77777777" w:rsidR="00767CB1" w:rsidRDefault="00EF15D9">
      <w:pPr>
        <w:ind w:left="400" w:hangingChars="200" w:hanging="400"/>
        <w:jc w:val="both"/>
        <w:rPr>
          <w:rFonts w:ascii="Arial" w:hAnsi="Arial" w:cs="Arial"/>
        </w:rPr>
      </w:pPr>
      <w:r>
        <w:rPr>
          <w:rFonts w:ascii="Arial" w:eastAsia="Arial" w:hAnsi="Arial" w:cs="Arial"/>
          <w:shd w:val="clear" w:color="auto" w:fill="FFFFFF"/>
        </w:rPr>
        <w:t>Kim, T., &amp; Kim, Y. (2024). The interplay of teacher resilience and professional development: The case of two beginning EFL teachers in South Korea. </w:t>
      </w:r>
      <w:r>
        <w:rPr>
          <w:rStyle w:val="Emphasis"/>
          <w:rFonts w:ascii="Arial" w:eastAsia="Arial" w:hAnsi="Arial" w:cs="Arial"/>
        </w:rPr>
        <w:t xml:space="preserve">Porta </w:t>
      </w:r>
      <w:proofErr w:type="spellStart"/>
      <w:r>
        <w:rPr>
          <w:rStyle w:val="Emphasis"/>
          <w:rFonts w:ascii="Arial" w:eastAsia="Arial" w:hAnsi="Arial" w:cs="Arial"/>
        </w:rPr>
        <w:t>Linguarum</w:t>
      </w:r>
      <w:proofErr w:type="spellEnd"/>
      <w:r>
        <w:rPr>
          <w:rStyle w:val="Emphasis"/>
          <w:rFonts w:ascii="Arial" w:eastAsia="Arial" w:hAnsi="Arial" w:cs="Arial"/>
        </w:rPr>
        <w:t xml:space="preserve"> </w:t>
      </w:r>
      <w:proofErr w:type="spellStart"/>
      <w:r>
        <w:rPr>
          <w:rStyle w:val="Emphasis"/>
          <w:rFonts w:ascii="Arial" w:eastAsia="Arial" w:hAnsi="Arial" w:cs="Arial"/>
        </w:rPr>
        <w:t>Revista</w:t>
      </w:r>
      <w:proofErr w:type="spellEnd"/>
      <w:r>
        <w:rPr>
          <w:rStyle w:val="Emphasis"/>
          <w:rFonts w:ascii="Arial" w:eastAsia="Arial" w:hAnsi="Arial" w:cs="Arial"/>
        </w:rPr>
        <w:t xml:space="preserve"> </w:t>
      </w:r>
      <w:proofErr w:type="spellStart"/>
      <w:r>
        <w:rPr>
          <w:rStyle w:val="Emphasis"/>
          <w:rFonts w:ascii="Arial" w:eastAsia="Arial" w:hAnsi="Arial" w:cs="Arial"/>
        </w:rPr>
        <w:t>Interuniversitaria</w:t>
      </w:r>
      <w:proofErr w:type="spellEnd"/>
      <w:r>
        <w:rPr>
          <w:rStyle w:val="Emphasis"/>
          <w:rFonts w:ascii="Arial" w:eastAsia="Arial" w:hAnsi="Arial" w:cs="Arial"/>
        </w:rPr>
        <w:t xml:space="preserve"> de </w:t>
      </w:r>
      <w:proofErr w:type="spellStart"/>
      <w:r>
        <w:rPr>
          <w:rStyle w:val="Emphasis"/>
          <w:rFonts w:ascii="Arial" w:eastAsia="Arial" w:hAnsi="Arial" w:cs="Arial"/>
        </w:rPr>
        <w:t>Di</w:t>
      </w:r>
      <w:r>
        <w:rPr>
          <w:rStyle w:val="Emphasis"/>
          <w:rFonts w:ascii="Arial" w:eastAsia="Arial" w:hAnsi="Arial" w:cs="Arial"/>
        </w:rPr>
        <w:t>dáctica</w:t>
      </w:r>
      <w:proofErr w:type="spellEnd"/>
      <w:r>
        <w:rPr>
          <w:rStyle w:val="Emphasis"/>
          <w:rFonts w:ascii="Arial" w:eastAsia="Arial" w:hAnsi="Arial" w:cs="Arial"/>
        </w:rPr>
        <w:t xml:space="preserve"> de las </w:t>
      </w:r>
      <w:proofErr w:type="spellStart"/>
      <w:r>
        <w:rPr>
          <w:rStyle w:val="Emphasis"/>
          <w:rFonts w:ascii="Arial" w:eastAsia="Arial" w:hAnsi="Arial" w:cs="Arial"/>
        </w:rPr>
        <w:t>Lenguas</w:t>
      </w:r>
      <w:proofErr w:type="spellEnd"/>
      <w:r>
        <w:rPr>
          <w:rStyle w:val="Emphasis"/>
          <w:rFonts w:ascii="Arial" w:eastAsia="Arial" w:hAnsi="Arial" w:cs="Arial"/>
        </w:rPr>
        <w:t xml:space="preserve"> Extranjeras</w:t>
      </w:r>
      <w:r>
        <w:rPr>
          <w:rFonts w:ascii="Arial" w:eastAsia="Arial" w:hAnsi="Arial" w:cs="Arial"/>
          <w:shd w:val="clear" w:color="auto" w:fill="FFFFFF"/>
        </w:rPr>
        <w:t>.</w:t>
      </w:r>
      <w:r>
        <w:rPr>
          <w:rFonts w:ascii="Arial" w:eastAsia="Segoe UI" w:hAnsi="Arial" w:cs="Arial"/>
          <w:shd w:val="clear" w:color="auto" w:fill="FFFFFF"/>
        </w:rPr>
        <w:t>10.30827/portalin.viix.29889</w:t>
      </w:r>
      <w:r>
        <w:rPr>
          <w:rFonts w:ascii="Arial" w:hAnsi="Arial" w:cs="Arial"/>
          <w:lang w:val="en-PH"/>
        </w:rPr>
        <w:t>.</w:t>
      </w:r>
      <w:r>
        <w:rPr>
          <w:rFonts w:ascii="Arial" w:hAnsi="Arial" w:cs="Arial"/>
        </w:rPr>
        <w:t xml:space="preserve"> </w:t>
      </w:r>
    </w:p>
    <w:p w14:paraId="61F537D3" w14:textId="77777777" w:rsidR="00767CB1" w:rsidRDefault="00767CB1">
      <w:pPr>
        <w:ind w:left="400" w:hangingChars="200" w:hanging="400"/>
        <w:jc w:val="both"/>
        <w:rPr>
          <w:rFonts w:ascii="Arial" w:hAnsi="Arial" w:cs="Arial"/>
        </w:rPr>
      </w:pPr>
    </w:p>
    <w:p w14:paraId="2A274109" w14:textId="77777777" w:rsidR="00767CB1" w:rsidRDefault="00EF15D9">
      <w:pPr>
        <w:ind w:left="400" w:hangingChars="200" w:hanging="400"/>
        <w:jc w:val="both"/>
        <w:rPr>
          <w:rFonts w:ascii="Arial" w:eastAsia="Segoe UI" w:hAnsi="Arial" w:cs="Arial"/>
          <w:shd w:val="clear" w:color="auto" w:fill="FFFFFF"/>
        </w:rPr>
      </w:pPr>
      <w:proofErr w:type="spellStart"/>
      <w:r>
        <w:rPr>
          <w:rFonts w:ascii="Arial" w:hAnsi="Arial" w:cs="Arial"/>
          <w:shd w:val="clear" w:color="auto" w:fill="FFFFFF"/>
        </w:rPr>
        <w:t>Krepf</w:t>
      </w:r>
      <w:proofErr w:type="spellEnd"/>
      <w:r>
        <w:rPr>
          <w:rFonts w:ascii="Arial" w:hAnsi="Arial" w:cs="Arial"/>
          <w:shd w:val="clear" w:color="auto" w:fill="FFFFFF"/>
        </w:rPr>
        <w:t>, M., &amp; König, J. (2022). Structuring lessons as an aspect of pre-service teachers’ planning competence: A scaling-up analysis. </w:t>
      </w:r>
      <w:proofErr w:type="spellStart"/>
      <w:r>
        <w:rPr>
          <w:rFonts w:ascii="Arial" w:hAnsi="Arial" w:cs="Arial"/>
          <w:i/>
          <w:iCs/>
          <w:shd w:val="clear" w:color="auto" w:fill="FFFFFF"/>
        </w:rPr>
        <w:t>Zeitschrift</w:t>
      </w:r>
      <w:proofErr w:type="spellEnd"/>
      <w:r>
        <w:rPr>
          <w:rFonts w:ascii="Arial" w:hAnsi="Arial" w:cs="Arial"/>
          <w:i/>
          <w:iCs/>
          <w:shd w:val="clear" w:color="auto" w:fill="FFFFFF"/>
        </w:rPr>
        <w:t xml:space="preserve"> </w:t>
      </w:r>
      <w:proofErr w:type="spellStart"/>
      <w:r>
        <w:rPr>
          <w:rFonts w:ascii="Arial" w:hAnsi="Arial" w:cs="Arial"/>
          <w:i/>
          <w:iCs/>
          <w:shd w:val="clear" w:color="auto" w:fill="FFFFFF"/>
        </w:rPr>
        <w:t>für</w:t>
      </w:r>
      <w:proofErr w:type="spellEnd"/>
      <w:r>
        <w:rPr>
          <w:rFonts w:ascii="Arial" w:hAnsi="Arial" w:cs="Arial"/>
          <w:i/>
          <w:iCs/>
          <w:shd w:val="clear" w:color="auto" w:fill="FFFFFF"/>
        </w:rPr>
        <w:t xml:space="preserve"> </w:t>
      </w:r>
      <w:proofErr w:type="spellStart"/>
      <w:r>
        <w:rPr>
          <w:rFonts w:ascii="Arial" w:hAnsi="Arial" w:cs="Arial"/>
          <w:i/>
          <w:iCs/>
          <w:shd w:val="clear" w:color="auto" w:fill="FFFFFF"/>
        </w:rPr>
        <w:t>Erziehungswissenschaft</w:t>
      </w:r>
      <w:proofErr w:type="spellEnd"/>
      <w:r>
        <w:rPr>
          <w:rFonts w:ascii="Arial" w:hAnsi="Arial" w:cs="Arial"/>
          <w:shd w:val="clear" w:color="auto" w:fill="FFFFFF"/>
        </w:rPr>
        <w:t>, </w:t>
      </w:r>
      <w:r>
        <w:rPr>
          <w:rFonts w:ascii="Arial" w:hAnsi="Arial" w:cs="Arial"/>
          <w:i/>
          <w:iCs/>
          <w:shd w:val="clear" w:color="auto" w:fill="FFFFFF"/>
        </w:rPr>
        <w:t>25</w:t>
      </w:r>
      <w:r>
        <w:rPr>
          <w:rFonts w:ascii="Arial" w:hAnsi="Arial" w:cs="Arial"/>
          <w:shd w:val="clear" w:color="auto" w:fill="FFFFFF"/>
        </w:rPr>
        <w:t>(4), 917-946.</w:t>
      </w:r>
      <w:r>
        <w:rPr>
          <w:rFonts w:ascii="Arial" w:eastAsia="Segoe UI" w:hAnsi="Arial" w:cs="Arial"/>
          <w:shd w:val="clear" w:color="auto" w:fill="FFFFFF"/>
        </w:rPr>
        <w:t>https://doi.org/10.1007/s11618-022-01125-9</w:t>
      </w:r>
    </w:p>
    <w:p w14:paraId="7B776D68" w14:textId="77777777" w:rsidR="00767CB1" w:rsidRDefault="00767CB1">
      <w:pPr>
        <w:ind w:left="400" w:hangingChars="200" w:hanging="400"/>
        <w:jc w:val="both"/>
        <w:rPr>
          <w:rFonts w:ascii="Arial" w:eastAsia="Segoe UI" w:hAnsi="Arial" w:cs="Arial"/>
          <w:shd w:val="clear" w:color="auto" w:fill="FFFFFF"/>
        </w:rPr>
      </w:pPr>
    </w:p>
    <w:p w14:paraId="1DF6E05B" w14:textId="77777777" w:rsidR="00767CB1" w:rsidRDefault="00EF15D9">
      <w:pPr>
        <w:ind w:left="400" w:hangingChars="200" w:hanging="400"/>
        <w:jc w:val="both"/>
        <w:rPr>
          <w:rFonts w:ascii="Arial" w:eastAsia="Segoe UI" w:hAnsi="Arial" w:cs="Arial"/>
          <w:shd w:val="clear" w:color="auto" w:fill="FFFFFF"/>
        </w:rPr>
      </w:pPr>
      <w:r>
        <w:rPr>
          <w:rFonts w:ascii="Arial" w:hAnsi="Arial" w:cs="Arial"/>
          <w:shd w:val="clear" w:color="auto" w:fill="FFFFFF"/>
        </w:rPr>
        <w:t xml:space="preserve">Legaspi, J. A., &amp; </w:t>
      </w:r>
      <w:proofErr w:type="spellStart"/>
      <w:r>
        <w:rPr>
          <w:rFonts w:ascii="Arial" w:hAnsi="Arial" w:cs="Arial"/>
          <w:shd w:val="clear" w:color="auto" w:fill="FFFFFF"/>
        </w:rPr>
        <w:t>Brobo</w:t>
      </w:r>
      <w:proofErr w:type="spellEnd"/>
      <w:r>
        <w:rPr>
          <w:rFonts w:ascii="Arial" w:hAnsi="Arial" w:cs="Arial"/>
          <w:shd w:val="clear" w:color="auto" w:fill="FFFFFF"/>
        </w:rPr>
        <w:t>, M. A. (2023). Classroom Management Practices and Teachers’ Performances. </w:t>
      </w:r>
      <w:r>
        <w:rPr>
          <w:rFonts w:ascii="Arial" w:hAnsi="Arial" w:cs="Arial"/>
          <w:i/>
          <w:iCs/>
          <w:shd w:val="clear" w:color="auto" w:fill="FFFFFF"/>
        </w:rPr>
        <w:t>Classroom Management Practices and Teachers’ Performances</w:t>
      </w:r>
      <w:r>
        <w:rPr>
          <w:rFonts w:ascii="Arial" w:hAnsi="Arial" w:cs="Arial"/>
          <w:shd w:val="clear" w:color="auto" w:fill="FFFFFF"/>
        </w:rPr>
        <w:t>, </w:t>
      </w:r>
      <w:r>
        <w:rPr>
          <w:rFonts w:ascii="Arial" w:hAnsi="Arial" w:cs="Arial"/>
          <w:i/>
          <w:iCs/>
          <w:shd w:val="clear" w:color="auto" w:fill="FFFFFF"/>
        </w:rPr>
        <w:t>128</w:t>
      </w:r>
      <w:r>
        <w:rPr>
          <w:rFonts w:ascii="Arial" w:hAnsi="Arial" w:cs="Arial"/>
          <w:shd w:val="clear" w:color="auto" w:fill="FFFFFF"/>
        </w:rPr>
        <w:t>(1), 14-</w:t>
      </w:r>
      <w:proofErr w:type="gramStart"/>
      <w:r>
        <w:rPr>
          <w:rFonts w:ascii="Arial" w:hAnsi="Arial" w:cs="Arial"/>
          <w:shd w:val="clear" w:color="auto" w:fill="FFFFFF"/>
        </w:rPr>
        <w:t>14.</w:t>
      </w:r>
      <w:r>
        <w:rPr>
          <w:rFonts w:ascii="Arial" w:eastAsia="Segoe UI" w:hAnsi="Arial" w:cs="Arial"/>
          <w:shd w:val="clear" w:color="auto" w:fill="FFFFFF"/>
        </w:rPr>
        <w:t>https://doi.org/10.47119/ijrp100128172023</w:t>
      </w:r>
      <w:r>
        <w:rPr>
          <w:rFonts w:ascii="Arial" w:eastAsia="Segoe UI" w:hAnsi="Arial" w:cs="Arial"/>
          <w:shd w:val="clear" w:color="auto" w:fill="FFFFFF"/>
        </w:rPr>
        <w:t>5224</w:t>
      </w:r>
      <w:proofErr w:type="gramEnd"/>
    </w:p>
    <w:p w14:paraId="2A9B2D0E" w14:textId="77777777" w:rsidR="00767CB1" w:rsidRDefault="00767CB1">
      <w:pPr>
        <w:ind w:left="400" w:hangingChars="200" w:hanging="400"/>
        <w:jc w:val="both"/>
        <w:rPr>
          <w:rFonts w:ascii="Arial" w:eastAsia="Segoe UI" w:hAnsi="Arial" w:cs="Arial"/>
          <w:shd w:val="clear" w:color="auto" w:fill="FFFFFF"/>
        </w:rPr>
      </w:pPr>
    </w:p>
    <w:p w14:paraId="0EDDF097" w14:textId="77777777" w:rsidR="00767CB1" w:rsidRDefault="00EF15D9">
      <w:pPr>
        <w:ind w:left="400" w:hangingChars="200" w:hanging="400"/>
        <w:jc w:val="both"/>
        <w:rPr>
          <w:rStyle w:val="Hyperlink"/>
          <w:rFonts w:ascii="Arial" w:eastAsia="Segoe UI" w:hAnsi="Arial" w:cs="Arial"/>
          <w:color w:val="auto"/>
          <w:shd w:val="clear" w:color="auto" w:fill="FFFFFF"/>
        </w:rPr>
      </w:pPr>
      <w:r>
        <w:rPr>
          <w:rFonts w:ascii="Arial" w:hAnsi="Arial" w:cs="Arial"/>
          <w:shd w:val="clear" w:color="auto" w:fill="FFFFFF"/>
        </w:rPr>
        <w:t xml:space="preserve">Li, Q., </w:t>
      </w:r>
      <w:proofErr w:type="spellStart"/>
      <w:r>
        <w:rPr>
          <w:rFonts w:ascii="Arial" w:hAnsi="Arial" w:cs="Arial"/>
          <w:shd w:val="clear" w:color="auto" w:fill="FFFFFF"/>
        </w:rPr>
        <w:t>Xie</w:t>
      </w:r>
      <w:proofErr w:type="spellEnd"/>
      <w:r>
        <w:rPr>
          <w:rFonts w:ascii="Arial" w:hAnsi="Arial" w:cs="Arial"/>
          <w:shd w:val="clear" w:color="auto" w:fill="FFFFFF"/>
        </w:rPr>
        <w:t>, Z., &amp; Zeng, G. (2023). The influence of teaching practicum on foreign language teaching anxiety among pre-service EFL teachers. </w:t>
      </w:r>
      <w:r>
        <w:rPr>
          <w:rFonts w:ascii="Arial" w:hAnsi="Arial" w:cs="Arial"/>
          <w:i/>
          <w:iCs/>
          <w:shd w:val="clear" w:color="auto" w:fill="FFFFFF"/>
        </w:rPr>
        <w:t>Sage Open</w:t>
      </w:r>
      <w:r>
        <w:rPr>
          <w:rFonts w:ascii="Arial" w:hAnsi="Arial" w:cs="Arial"/>
          <w:shd w:val="clear" w:color="auto" w:fill="FFFFFF"/>
        </w:rPr>
        <w:t>, </w:t>
      </w:r>
      <w:r>
        <w:rPr>
          <w:rFonts w:ascii="Arial" w:hAnsi="Arial" w:cs="Arial"/>
          <w:i/>
          <w:iCs/>
          <w:shd w:val="clear" w:color="auto" w:fill="FFFFFF"/>
        </w:rPr>
        <w:t>13</w:t>
      </w:r>
      <w:r>
        <w:rPr>
          <w:rFonts w:ascii="Arial" w:hAnsi="Arial" w:cs="Arial"/>
          <w:shd w:val="clear" w:color="auto" w:fill="FFFFFF"/>
        </w:rPr>
        <w:t>(1),</w:t>
      </w:r>
      <w:r>
        <w:rPr>
          <w:rFonts w:ascii="Arial" w:hAnsi="Arial" w:cs="Arial"/>
          <w:shd w:val="clear" w:color="auto" w:fill="FFFFFF"/>
          <w:lang w:val="en-PH"/>
        </w:rPr>
        <w:t xml:space="preserve"> </w:t>
      </w:r>
      <w:hyperlink r:id="rId23" w:history="1">
        <w:r>
          <w:rPr>
            <w:rStyle w:val="Hyperlink"/>
            <w:rFonts w:ascii="Arial" w:eastAsia="Segoe UI" w:hAnsi="Arial" w:cs="Arial"/>
            <w:color w:val="auto"/>
            <w:shd w:val="clear" w:color="auto" w:fill="FFFFFF"/>
          </w:rPr>
          <w:t>https://doi.org/10.1177/215824402211</w:t>
        </w:r>
        <w:r>
          <w:rPr>
            <w:rStyle w:val="Hyperlink"/>
            <w:rFonts w:ascii="Arial" w:eastAsia="Segoe UI" w:hAnsi="Arial" w:cs="Arial"/>
            <w:color w:val="auto"/>
            <w:shd w:val="clear" w:color="auto" w:fill="FFFFFF"/>
          </w:rPr>
          <w:t>49005</w:t>
        </w:r>
      </w:hyperlink>
    </w:p>
    <w:p w14:paraId="622DD2BE" w14:textId="77777777" w:rsidR="00767CB1" w:rsidRDefault="00767CB1">
      <w:pPr>
        <w:ind w:left="400" w:hangingChars="200" w:hanging="400"/>
        <w:jc w:val="both"/>
        <w:rPr>
          <w:rStyle w:val="Hyperlink"/>
          <w:rFonts w:ascii="Arial" w:eastAsia="Segoe UI" w:hAnsi="Arial" w:cs="Arial"/>
          <w:color w:val="auto"/>
          <w:shd w:val="clear" w:color="auto" w:fill="FFFFFF"/>
        </w:rPr>
      </w:pPr>
    </w:p>
    <w:p w14:paraId="0152CE7B" w14:textId="77777777" w:rsidR="00767CB1" w:rsidRDefault="00EF15D9">
      <w:pPr>
        <w:ind w:left="400" w:hangingChars="200" w:hanging="400"/>
        <w:jc w:val="both"/>
        <w:rPr>
          <w:rFonts w:ascii="Arial" w:hAnsi="Arial" w:cs="Arial"/>
          <w:shd w:val="clear" w:color="auto" w:fill="FFFFFF"/>
        </w:rPr>
      </w:pPr>
      <w:r>
        <w:rPr>
          <w:rFonts w:ascii="Arial" w:eastAsia="Segoe UI" w:hAnsi="Arial" w:cs="Arial"/>
          <w:shd w:val="clear" w:color="auto" w:fill="FFFFFF"/>
          <w:lang w:val="en-PH"/>
        </w:rPr>
        <w:t xml:space="preserve">Ma, K., </w:t>
      </w:r>
      <w:proofErr w:type="spellStart"/>
      <w:r>
        <w:rPr>
          <w:rFonts w:ascii="Arial" w:eastAsia="Segoe UI" w:hAnsi="Arial" w:cs="Arial"/>
          <w:shd w:val="clear" w:color="auto" w:fill="FFFFFF"/>
          <w:lang w:val="en-PH"/>
        </w:rPr>
        <w:t>McMaugh</w:t>
      </w:r>
      <w:proofErr w:type="spellEnd"/>
      <w:r>
        <w:rPr>
          <w:rFonts w:ascii="Arial" w:eastAsia="Segoe UI" w:hAnsi="Arial" w:cs="Arial"/>
          <w:shd w:val="clear" w:color="auto" w:fill="FFFFFF"/>
          <w:lang w:val="en-PH"/>
        </w:rPr>
        <w:t xml:space="preserve">, A., &amp; Cavanagh, M. (2022). Changes in pre-service teacher self-efficacy for teaching in relation to professional experience placements. Australian Journal of Education, 66(1), 57-72. </w:t>
      </w:r>
      <w:hyperlink r:id="rId24" w:history="1">
        <w:r>
          <w:rPr>
            <w:rStyle w:val="Hyperlink"/>
            <w:rFonts w:ascii="Arial" w:eastAsia="Segoe UI" w:hAnsi="Arial" w:cs="Arial"/>
            <w:color w:val="auto"/>
            <w:shd w:val="clear" w:color="auto" w:fill="FFFFFF"/>
            <w:lang w:val="en-PH"/>
          </w:rPr>
          <w:t>https://doi.org/10.1177/00049441211060474</w:t>
        </w:r>
      </w:hyperlink>
    </w:p>
    <w:p w14:paraId="4C3D90B3" w14:textId="77777777" w:rsidR="00767CB1" w:rsidRDefault="00EF15D9">
      <w:pPr>
        <w:ind w:left="400" w:hangingChars="200" w:hanging="400"/>
        <w:jc w:val="both"/>
        <w:rPr>
          <w:rFonts w:ascii="Arial" w:eastAsia="Segoe UI" w:hAnsi="Arial" w:cs="Arial"/>
          <w:shd w:val="clear" w:color="auto" w:fill="FFFFFF"/>
        </w:rPr>
      </w:pPr>
      <w:proofErr w:type="spellStart"/>
      <w:r>
        <w:rPr>
          <w:rFonts w:ascii="Arial" w:eastAsia="Arial" w:hAnsi="Arial" w:cs="Arial"/>
          <w:shd w:val="clear" w:color="auto" w:fill="FFFFFF"/>
        </w:rPr>
        <w:t>Magno</w:t>
      </w:r>
      <w:proofErr w:type="spellEnd"/>
      <w:r>
        <w:rPr>
          <w:rFonts w:ascii="Arial" w:eastAsia="Arial" w:hAnsi="Arial" w:cs="Arial"/>
          <w:shd w:val="clear" w:color="auto" w:fill="FFFFFF"/>
        </w:rPr>
        <w:t>, G. (2019). Teaching Proficiency and Performance of Pre-Service Elementary Teachers: Implications to Teacher Education Training Program. </w:t>
      </w:r>
      <w:r>
        <w:rPr>
          <w:rStyle w:val="Emphasis"/>
          <w:rFonts w:ascii="Arial" w:eastAsia="Arial" w:hAnsi="Arial" w:cs="Arial"/>
        </w:rPr>
        <w:t>International</w:t>
      </w:r>
      <w:r>
        <w:rPr>
          <w:rStyle w:val="Emphasis"/>
          <w:rFonts w:ascii="Arial" w:eastAsia="Arial" w:hAnsi="Arial" w:cs="Arial"/>
        </w:rPr>
        <w:t xml:space="preserve"> Multidisciplinary Research </w:t>
      </w:r>
      <w:proofErr w:type="spellStart"/>
      <w:r>
        <w:rPr>
          <w:rStyle w:val="Emphasis"/>
          <w:rFonts w:ascii="Arial" w:eastAsia="Arial" w:hAnsi="Arial" w:cs="Arial"/>
        </w:rPr>
        <w:t>Journal</w:t>
      </w:r>
      <w:r>
        <w:rPr>
          <w:rFonts w:ascii="Arial" w:eastAsia="Arial" w:hAnsi="Arial" w:cs="Arial"/>
          <w:shd w:val="clear" w:color="auto" w:fill="FFFFFF"/>
        </w:rPr>
        <w:t>.</w:t>
      </w:r>
      <w:r>
        <w:rPr>
          <w:rFonts w:ascii="Arial" w:eastAsia="Segoe UI" w:hAnsi="Arial" w:cs="Arial"/>
          <w:shd w:val="clear" w:color="auto" w:fill="FFFFFF"/>
        </w:rPr>
        <w:t>https</w:t>
      </w:r>
      <w:proofErr w:type="spellEnd"/>
      <w:r>
        <w:rPr>
          <w:rFonts w:ascii="Arial" w:eastAsia="Segoe UI" w:hAnsi="Arial" w:cs="Arial"/>
          <w:shd w:val="clear" w:color="auto" w:fill="FFFFFF"/>
        </w:rPr>
        <w:t>://doi.org/10.54476/iimrj391</w:t>
      </w:r>
    </w:p>
    <w:p w14:paraId="4A14ECE7" w14:textId="77777777" w:rsidR="00767CB1" w:rsidRDefault="00767CB1">
      <w:pPr>
        <w:ind w:left="400" w:hangingChars="200" w:hanging="400"/>
        <w:jc w:val="both"/>
        <w:rPr>
          <w:rFonts w:ascii="Arial" w:eastAsia="Segoe UI" w:hAnsi="Arial" w:cs="Arial"/>
          <w:shd w:val="clear" w:color="auto" w:fill="FFFFFF"/>
        </w:rPr>
      </w:pPr>
    </w:p>
    <w:p w14:paraId="45711DD3" w14:textId="77777777" w:rsidR="00767CB1" w:rsidRDefault="00EF15D9">
      <w:pPr>
        <w:pStyle w:val="ListParagraph"/>
        <w:ind w:left="400" w:hangingChars="200" w:hanging="400"/>
        <w:jc w:val="both"/>
        <w:rPr>
          <w:rFonts w:ascii="Arial" w:hAnsi="Arial" w:cs="Arial"/>
          <w:shd w:val="clear" w:color="auto" w:fill="FFFFFF"/>
        </w:rPr>
      </w:pPr>
      <w:r>
        <w:rPr>
          <w:rFonts w:ascii="Arial" w:hAnsi="Arial" w:cs="Arial"/>
          <w:shd w:val="clear" w:color="auto" w:fill="FFFFFF"/>
        </w:rPr>
        <w:t xml:space="preserve">Maison, M., </w:t>
      </w:r>
      <w:proofErr w:type="spellStart"/>
      <w:r>
        <w:rPr>
          <w:rFonts w:ascii="Arial" w:hAnsi="Arial" w:cs="Arial"/>
          <w:shd w:val="clear" w:color="auto" w:fill="FFFFFF"/>
        </w:rPr>
        <w:t>Darmaji</w:t>
      </w:r>
      <w:proofErr w:type="spellEnd"/>
      <w:r>
        <w:rPr>
          <w:rFonts w:ascii="Arial" w:hAnsi="Arial" w:cs="Arial"/>
          <w:shd w:val="clear" w:color="auto" w:fill="FFFFFF"/>
        </w:rPr>
        <w:t xml:space="preserve">, D., Kurniawan, D. A., </w:t>
      </w:r>
      <w:proofErr w:type="spellStart"/>
      <w:r>
        <w:rPr>
          <w:rFonts w:ascii="Arial" w:hAnsi="Arial" w:cs="Arial"/>
          <w:shd w:val="clear" w:color="auto" w:fill="FFFFFF"/>
        </w:rPr>
        <w:t>Astalini</w:t>
      </w:r>
      <w:proofErr w:type="spellEnd"/>
      <w:r>
        <w:rPr>
          <w:rFonts w:ascii="Arial" w:hAnsi="Arial" w:cs="Arial"/>
          <w:shd w:val="clear" w:color="auto" w:fill="FFFFFF"/>
        </w:rPr>
        <w:t xml:space="preserve">, A., </w:t>
      </w:r>
      <w:proofErr w:type="spellStart"/>
      <w:r>
        <w:rPr>
          <w:rFonts w:ascii="Arial" w:hAnsi="Arial" w:cs="Arial"/>
          <w:shd w:val="clear" w:color="auto" w:fill="FFFFFF"/>
        </w:rPr>
        <w:t>Kuswanto</w:t>
      </w:r>
      <w:proofErr w:type="spellEnd"/>
      <w:r>
        <w:rPr>
          <w:rFonts w:ascii="Arial" w:hAnsi="Arial" w:cs="Arial"/>
          <w:shd w:val="clear" w:color="auto" w:fill="FFFFFF"/>
        </w:rPr>
        <w:t xml:space="preserve">, K., &amp; </w:t>
      </w:r>
      <w:proofErr w:type="spellStart"/>
      <w:r>
        <w:rPr>
          <w:rFonts w:ascii="Arial" w:hAnsi="Arial" w:cs="Arial"/>
          <w:shd w:val="clear" w:color="auto" w:fill="FFFFFF"/>
        </w:rPr>
        <w:t>Ningsi</w:t>
      </w:r>
      <w:proofErr w:type="spellEnd"/>
      <w:r>
        <w:rPr>
          <w:rFonts w:ascii="Arial" w:hAnsi="Arial" w:cs="Arial"/>
          <w:shd w:val="clear" w:color="auto" w:fill="FFFFFF"/>
        </w:rPr>
        <w:t>, A. P. (2021). Correlation of science process skills on critical thinking skills in junior high school in</w:t>
      </w:r>
      <w:r>
        <w:rPr>
          <w:rFonts w:ascii="Arial" w:hAnsi="Arial" w:cs="Arial"/>
          <w:shd w:val="clear" w:color="auto" w:fill="FFFFFF"/>
        </w:rPr>
        <w:t xml:space="preserve"> Jambi City. </w:t>
      </w:r>
      <w:proofErr w:type="spellStart"/>
      <w:r>
        <w:rPr>
          <w:rFonts w:ascii="Arial" w:hAnsi="Arial" w:cs="Arial"/>
          <w:i/>
          <w:iCs/>
          <w:shd w:val="clear" w:color="auto" w:fill="FFFFFF"/>
        </w:rPr>
        <w:t>Jurnal</w:t>
      </w:r>
      <w:proofErr w:type="spellEnd"/>
      <w:r>
        <w:rPr>
          <w:rFonts w:ascii="Arial" w:hAnsi="Arial" w:cs="Arial"/>
          <w:i/>
          <w:iCs/>
          <w:shd w:val="clear" w:color="auto" w:fill="FFFFFF"/>
        </w:rPr>
        <w:t xml:space="preserve"> </w:t>
      </w:r>
      <w:proofErr w:type="spellStart"/>
      <w:r>
        <w:rPr>
          <w:rFonts w:ascii="Arial" w:hAnsi="Arial" w:cs="Arial"/>
          <w:i/>
          <w:iCs/>
          <w:shd w:val="clear" w:color="auto" w:fill="FFFFFF"/>
        </w:rPr>
        <w:t>Penelitian</w:t>
      </w:r>
      <w:proofErr w:type="spellEnd"/>
      <w:r>
        <w:rPr>
          <w:rFonts w:ascii="Arial" w:hAnsi="Arial" w:cs="Arial"/>
          <w:i/>
          <w:iCs/>
          <w:shd w:val="clear" w:color="auto" w:fill="FFFFFF"/>
        </w:rPr>
        <w:t xml:space="preserve"> </w:t>
      </w:r>
      <w:proofErr w:type="spellStart"/>
      <w:r>
        <w:rPr>
          <w:rFonts w:ascii="Arial" w:hAnsi="Arial" w:cs="Arial"/>
          <w:i/>
          <w:iCs/>
          <w:shd w:val="clear" w:color="auto" w:fill="FFFFFF"/>
        </w:rPr>
        <w:t>Fisika</w:t>
      </w:r>
      <w:proofErr w:type="spellEnd"/>
      <w:r>
        <w:rPr>
          <w:rFonts w:ascii="Arial" w:hAnsi="Arial" w:cs="Arial"/>
          <w:i/>
          <w:iCs/>
          <w:shd w:val="clear" w:color="auto" w:fill="FFFFFF"/>
        </w:rPr>
        <w:t xml:space="preserve"> dan </w:t>
      </w:r>
      <w:proofErr w:type="spellStart"/>
      <w:r>
        <w:rPr>
          <w:rFonts w:ascii="Arial" w:hAnsi="Arial" w:cs="Arial"/>
          <w:i/>
          <w:iCs/>
          <w:shd w:val="clear" w:color="auto" w:fill="FFFFFF"/>
        </w:rPr>
        <w:t>Aplikasinya</w:t>
      </w:r>
      <w:proofErr w:type="spellEnd"/>
      <w:r>
        <w:rPr>
          <w:rFonts w:ascii="Arial" w:hAnsi="Arial" w:cs="Arial"/>
          <w:i/>
          <w:iCs/>
          <w:shd w:val="clear" w:color="auto" w:fill="FFFFFF"/>
        </w:rPr>
        <w:t xml:space="preserve"> (JPFA)</w:t>
      </w:r>
      <w:r>
        <w:rPr>
          <w:rFonts w:ascii="Arial" w:hAnsi="Arial" w:cs="Arial"/>
          <w:shd w:val="clear" w:color="auto" w:fill="FFFFFF"/>
        </w:rPr>
        <w:t>, </w:t>
      </w:r>
      <w:r>
        <w:rPr>
          <w:rFonts w:ascii="Arial" w:hAnsi="Arial" w:cs="Arial"/>
          <w:i/>
          <w:iCs/>
          <w:shd w:val="clear" w:color="auto" w:fill="FFFFFF"/>
        </w:rPr>
        <w:t>11</w:t>
      </w:r>
      <w:r>
        <w:rPr>
          <w:rFonts w:ascii="Arial" w:hAnsi="Arial" w:cs="Arial"/>
          <w:shd w:val="clear" w:color="auto" w:fill="FFFFFF"/>
        </w:rPr>
        <w:t>(1), 29-38.</w:t>
      </w:r>
    </w:p>
    <w:p w14:paraId="0924B6DB" w14:textId="77777777" w:rsidR="00767CB1" w:rsidRDefault="00767CB1">
      <w:pPr>
        <w:pStyle w:val="ListParagraph"/>
        <w:ind w:left="400" w:hangingChars="200" w:hanging="400"/>
        <w:jc w:val="both"/>
        <w:rPr>
          <w:rFonts w:ascii="Arial" w:hAnsi="Arial" w:cs="Arial"/>
          <w:shd w:val="clear" w:color="auto" w:fill="FFFFFF"/>
        </w:rPr>
      </w:pPr>
    </w:p>
    <w:p w14:paraId="448F0868" w14:textId="77777777" w:rsidR="00767CB1" w:rsidRDefault="00EF15D9">
      <w:pPr>
        <w:ind w:left="400" w:hangingChars="200" w:hanging="400"/>
        <w:jc w:val="both"/>
        <w:rPr>
          <w:rFonts w:ascii="Arial" w:hAnsi="Arial" w:cs="Arial"/>
          <w:shd w:val="clear" w:color="auto" w:fill="FFFFFF"/>
        </w:rPr>
      </w:pPr>
      <w:proofErr w:type="spellStart"/>
      <w:r>
        <w:rPr>
          <w:rFonts w:ascii="Arial" w:hAnsi="Arial" w:cs="Arial"/>
          <w:shd w:val="clear" w:color="auto" w:fill="FFFFFF"/>
        </w:rPr>
        <w:t>Mardhatillah</w:t>
      </w:r>
      <w:proofErr w:type="spellEnd"/>
      <w:r>
        <w:rPr>
          <w:rFonts w:ascii="Arial" w:hAnsi="Arial" w:cs="Arial"/>
          <w:shd w:val="clear" w:color="auto" w:fill="FFFFFF"/>
        </w:rPr>
        <w:t xml:space="preserve">, M., </w:t>
      </w:r>
      <w:proofErr w:type="spellStart"/>
      <w:r>
        <w:rPr>
          <w:rFonts w:ascii="Arial" w:hAnsi="Arial" w:cs="Arial"/>
          <w:shd w:val="clear" w:color="auto" w:fill="FFFFFF"/>
        </w:rPr>
        <w:t>Widiati</w:t>
      </w:r>
      <w:proofErr w:type="spellEnd"/>
      <w:r>
        <w:rPr>
          <w:rFonts w:ascii="Arial" w:hAnsi="Arial" w:cs="Arial"/>
          <w:shd w:val="clear" w:color="auto" w:fill="FFFFFF"/>
        </w:rPr>
        <w:t xml:space="preserve">, U., &amp; </w:t>
      </w:r>
      <w:proofErr w:type="spellStart"/>
      <w:r>
        <w:rPr>
          <w:rFonts w:ascii="Arial" w:hAnsi="Arial" w:cs="Arial"/>
          <w:shd w:val="clear" w:color="auto" w:fill="FFFFFF"/>
        </w:rPr>
        <w:t>Sujiatmoko</w:t>
      </w:r>
      <w:proofErr w:type="spellEnd"/>
      <w:r>
        <w:rPr>
          <w:rFonts w:ascii="Arial" w:hAnsi="Arial" w:cs="Arial"/>
          <w:shd w:val="clear" w:color="auto" w:fill="FFFFFF"/>
        </w:rPr>
        <w:t>, A. H. (2024). Transitioning into a professional teacher: EFL preservice teachers' anxiety in teaching practicum. </w:t>
      </w:r>
      <w:r>
        <w:rPr>
          <w:rFonts w:ascii="Arial" w:hAnsi="Arial" w:cs="Arial"/>
          <w:i/>
          <w:iCs/>
          <w:shd w:val="clear" w:color="auto" w:fill="FFFFFF"/>
        </w:rPr>
        <w:t xml:space="preserve">ETERNAL (English </w:t>
      </w:r>
      <w:r>
        <w:rPr>
          <w:rFonts w:ascii="Arial" w:hAnsi="Arial" w:cs="Arial"/>
          <w:i/>
          <w:iCs/>
          <w:shd w:val="clear" w:color="auto" w:fill="FFFFFF"/>
        </w:rPr>
        <w:t>Teaching Journal)</w:t>
      </w:r>
      <w:r>
        <w:rPr>
          <w:rFonts w:ascii="Arial" w:hAnsi="Arial" w:cs="Arial"/>
          <w:shd w:val="clear" w:color="auto" w:fill="FFFFFF"/>
        </w:rPr>
        <w:t>, </w:t>
      </w:r>
      <w:r>
        <w:rPr>
          <w:rFonts w:ascii="Arial" w:hAnsi="Arial" w:cs="Arial"/>
          <w:i/>
          <w:iCs/>
          <w:shd w:val="clear" w:color="auto" w:fill="FFFFFF"/>
        </w:rPr>
        <w:t>15</w:t>
      </w:r>
      <w:r>
        <w:rPr>
          <w:rFonts w:ascii="Arial" w:hAnsi="Arial" w:cs="Arial"/>
          <w:shd w:val="clear" w:color="auto" w:fill="FFFFFF"/>
        </w:rPr>
        <w:t>(1), 11-23.</w:t>
      </w:r>
    </w:p>
    <w:p w14:paraId="3661F8F4" w14:textId="77777777" w:rsidR="00767CB1" w:rsidRDefault="00767CB1">
      <w:pPr>
        <w:ind w:left="400" w:hangingChars="200" w:hanging="400"/>
        <w:jc w:val="both"/>
        <w:rPr>
          <w:rFonts w:ascii="Arial" w:hAnsi="Arial" w:cs="Arial"/>
          <w:shd w:val="clear" w:color="auto" w:fill="FFFFFF"/>
        </w:rPr>
      </w:pPr>
    </w:p>
    <w:p w14:paraId="42EA87E4" w14:textId="77777777" w:rsidR="00767CB1" w:rsidRDefault="00EF15D9">
      <w:pPr>
        <w:ind w:left="400" w:hangingChars="200" w:hanging="400"/>
        <w:jc w:val="both"/>
        <w:rPr>
          <w:rStyle w:val="Hyperlink"/>
          <w:rFonts w:ascii="Arial" w:eastAsia="Segoe UI" w:hAnsi="Arial" w:cs="Arial"/>
          <w:color w:val="auto"/>
          <w:u w:val="none"/>
          <w:shd w:val="clear" w:color="auto" w:fill="FFFFFF"/>
        </w:rPr>
      </w:pPr>
      <w:proofErr w:type="spellStart"/>
      <w:r>
        <w:rPr>
          <w:rFonts w:ascii="Arial" w:eastAsia="Segoe UI" w:hAnsi="Arial" w:cs="Arial"/>
          <w:shd w:val="clear" w:color="auto" w:fill="FFFFFF"/>
        </w:rPr>
        <w:t>Matsko</w:t>
      </w:r>
      <w:proofErr w:type="spellEnd"/>
      <w:r>
        <w:rPr>
          <w:rFonts w:ascii="Arial" w:eastAsia="Segoe UI" w:hAnsi="Arial" w:cs="Arial"/>
          <w:shd w:val="clear" w:color="auto" w:fill="FFFFFF"/>
        </w:rPr>
        <w:t xml:space="preserve">, K. K., </w:t>
      </w:r>
      <w:proofErr w:type="spellStart"/>
      <w:r>
        <w:rPr>
          <w:rFonts w:ascii="Arial" w:eastAsia="Segoe UI" w:hAnsi="Arial" w:cs="Arial"/>
          <w:shd w:val="clear" w:color="auto" w:fill="FFFFFF"/>
        </w:rPr>
        <w:t>Ronfeldt</w:t>
      </w:r>
      <w:proofErr w:type="spellEnd"/>
      <w:r>
        <w:rPr>
          <w:rFonts w:ascii="Arial" w:eastAsia="Segoe UI" w:hAnsi="Arial" w:cs="Arial"/>
          <w:shd w:val="clear" w:color="auto" w:fill="FFFFFF"/>
        </w:rPr>
        <w:t xml:space="preserve">, M., Nolan, H. G., Klugman, J., </w:t>
      </w:r>
      <w:proofErr w:type="spellStart"/>
      <w:r>
        <w:rPr>
          <w:rFonts w:ascii="Arial" w:eastAsia="Segoe UI" w:hAnsi="Arial" w:cs="Arial"/>
          <w:shd w:val="clear" w:color="auto" w:fill="FFFFFF"/>
        </w:rPr>
        <w:t>Reininger</w:t>
      </w:r>
      <w:proofErr w:type="spellEnd"/>
      <w:r>
        <w:rPr>
          <w:rFonts w:ascii="Arial" w:eastAsia="Segoe UI" w:hAnsi="Arial" w:cs="Arial"/>
          <w:shd w:val="clear" w:color="auto" w:fill="FFFFFF"/>
        </w:rPr>
        <w:t>, M., &amp; Brockman, S. L. (2020). Cooperating Teacher as Model and Coach: What Leads to Student Teachers’ Perceptions of Preparedness? Journal of Teacher Educa</w:t>
      </w:r>
      <w:r>
        <w:rPr>
          <w:rFonts w:ascii="Arial" w:eastAsia="Segoe UI" w:hAnsi="Arial" w:cs="Arial"/>
          <w:shd w:val="clear" w:color="auto" w:fill="FFFFFF"/>
        </w:rPr>
        <w:t xml:space="preserve">tion, 71(1), 41-62. </w:t>
      </w:r>
      <w:hyperlink r:id="rId25" w:history="1">
        <w:r>
          <w:rPr>
            <w:rStyle w:val="Hyperlink"/>
            <w:rFonts w:ascii="Arial" w:eastAsia="Segoe UI" w:hAnsi="Arial" w:cs="Arial"/>
            <w:color w:val="auto"/>
            <w:u w:val="none"/>
            <w:shd w:val="clear" w:color="auto" w:fill="FFFFFF"/>
          </w:rPr>
          <w:t>https://doi.org/10.1177/0022487118791992https://doi.org/10.1177/0022487118791992</w:t>
        </w:r>
      </w:hyperlink>
    </w:p>
    <w:p w14:paraId="5035697D" w14:textId="77777777" w:rsidR="00767CB1" w:rsidRDefault="00767CB1">
      <w:pPr>
        <w:ind w:left="400" w:hangingChars="200" w:hanging="400"/>
        <w:jc w:val="both"/>
        <w:rPr>
          <w:rStyle w:val="Hyperlink"/>
          <w:rFonts w:ascii="Arial" w:eastAsia="Segoe UI" w:hAnsi="Arial" w:cs="Arial"/>
          <w:color w:val="auto"/>
          <w:u w:val="none"/>
          <w:shd w:val="clear" w:color="auto" w:fill="FFFFFF"/>
        </w:rPr>
      </w:pPr>
    </w:p>
    <w:p w14:paraId="60C35F05" w14:textId="77777777" w:rsidR="00767CB1" w:rsidRDefault="00EF15D9">
      <w:pPr>
        <w:ind w:left="400" w:hangingChars="200" w:hanging="400"/>
        <w:jc w:val="both"/>
        <w:rPr>
          <w:rFonts w:ascii="Arial" w:hAnsi="Arial" w:cs="Arial"/>
        </w:rPr>
      </w:pPr>
      <w:r>
        <w:rPr>
          <w:rFonts w:ascii="Arial" w:hAnsi="Arial" w:cs="Arial"/>
        </w:rPr>
        <w:t xml:space="preserve">Morton, L. L., </w:t>
      </w:r>
      <w:proofErr w:type="spellStart"/>
      <w:r>
        <w:rPr>
          <w:rFonts w:ascii="Arial" w:hAnsi="Arial" w:cs="Arial"/>
        </w:rPr>
        <w:t>Vesco</w:t>
      </w:r>
      <w:proofErr w:type="spellEnd"/>
      <w:r>
        <w:rPr>
          <w:rFonts w:ascii="Arial" w:hAnsi="Arial" w:cs="Arial"/>
        </w:rPr>
        <w:t xml:space="preserve">, R., Williams, N. H., &amp; </w:t>
      </w:r>
      <w:proofErr w:type="spellStart"/>
      <w:r>
        <w:rPr>
          <w:rFonts w:ascii="Arial" w:hAnsi="Arial" w:cs="Arial"/>
        </w:rPr>
        <w:t>Awender</w:t>
      </w:r>
      <w:proofErr w:type="spellEnd"/>
      <w:r>
        <w:rPr>
          <w:rFonts w:ascii="Arial" w:hAnsi="Arial" w:cs="Arial"/>
        </w:rPr>
        <w:t>, M. A</w:t>
      </w:r>
      <w:r>
        <w:rPr>
          <w:rFonts w:ascii="Arial" w:hAnsi="Arial" w:cs="Arial"/>
        </w:rPr>
        <w:t xml:space="preserve">. (1997). Student teacher anxieties related to class management, pedagogy, evaluation, and staff relations, </w:t>
      </w:r>
      <w:r>
        <w:rPr>
          <w:rFonts w:ascii="Arial" w:hAnsi="Arial" w:cs="Arial"/>
          <w:i/>
          <w:iCs/>
        </w:rPr>
        <w:t>British Journal of Educational Psychology, 67,</w:t>
      </w:r>
      <w:r>
        <w:rPr>
          <w:rFonts w:ascii="Arial" w:hAnsi="Arial" w:cs="Arial"/>
        </w:rPr>
        <w:t xml:space="preserve"> 69-89</w:t>
      </w:r>
    </w:p>
    <w:p w14:paraId="5DF2C24F" w14:textId="77777777" w:rsidR="00767CB1" w:rsidRDefault="00767CB1">
      <w:pPr>
        <w:ind w:left="400" w:hangingChars="200" w:hanging="400"/>
        <w:jc w:val="both"/>
        <w:rPr>
          <w:rFonts w:ascii="Arial" w:hAnsi="Arial" w:cs="Arial"/>
        </w:rPr>
      </w:pPr>
    </w:p>
    <w:p w14:paraId="32E81C52" w14:textId="77777777" w:rsidR="00767CB1" w:rsidRDefault="00EF15D9">
      <w:pPr>
        <w:ind w:left="400" w:hangingChars="200" w:hanging="400"/>
        <w:jc w:val="both"/>
        <w:rPr>
          <w:rFonts w:ascii="Arial" w:hAnsi="Arial" w:cs="Arial"/>
          <w:shd w:val="clear" w:color="auto" w:fill="FFFFFF"/>
        </w:rPr>
      </w:pPr>
      <w:proofErr w:type="spellStart"/>
      <w:r>
        <w:rPr>
          <w:rFonts w:ascii="Arial" w:hAnsi="Arial" w:cs="Arial"/>
          <w:shd w:val="clear" w:color="auto" w:fill="FFFFFF"/>
        </w:rPr>
        <w:t>Mpate</w:t>
      </w:r>
      <w:proofErr w:type="spellEnd"/>
      <w:r>
        <w:rPr>
          <w:rFonts w:ascii="Arial" w:hAnsi="Arial" w:cs="Arial"/>
          <w:shd w:val="clear" w:color="auto" w:fill="FFFFFF"/>
        </w:rPr>
        <w:t xml:space="preserve">, H., Campbell-Evans, G., &amp; Gray, J. (2023). Pre-service Teachers’ Preparedness to Teach </w:t>
      </w:r>
      <w:r>
        <w:rPr>
          <w:rFonts w:ascii="Arial" w:hAnsi="Arial" w:cs="Arial"/>
          <w:shd w:val="clear" w:color="auto" w:fill="FFFFFF"/>
        </w:rPr>
        <w:t>during Teaching Practice in Tanzania. </w:t>
      </w:r>
      <w:r>
        <w:rPr>
          <w:rFonts w:ascii="Arial" w:hAnsi="Arial" w:cs="Arial"/>
          <w:i/>
          <w:iCs/>
          <w:shd w:val="clear" w:color="auto" w:fill="FFFFFF"/>
        </w:rPr>
        <w:t>African Journal of Teacher Education</w:t>
      </w:r>
      <w:r>
        <w:rPr>
          <w:rFonts w:ascii="Arial" w:hAnsi="Arial" w:cs="Arial"/>
          <w:shd w:val="clear" w:color="auto" w:fill="FFFFFF"/>
        </w:rPr>
        <w:t>, </w:t>
      </w:r>
      <w:r>
        <w:rPr>
          <w:rFonts w:ascii="Arial" w:hAnsi="Arial" w:cs="Arial"/>
          <w:i/>
          <w:iCs/>
          <w:shd w:val="clear" w:color="auto" w:fill="FFFFFF"/>
        </w:rPr>
        <w:t>12</w:t>
      </w:r>
      <w:r>
        <w:rPr>
          <w:rFonts w:ascii="Arial" w:hAnsi="Arial" w:cs="Arial"/>
          <w:shd w:val="clear" w:color="auto" w:fill="FFFFFF"/>
        </w:rPr>
        <w:t>(1), 95-120.</w:t>
      </w:r>
    </w:p>
    <w:p w14:paraId="34929AAE" w14:textId="77777777" w:rsidR="00767CB1" w:rsidRDefault="00767CB1">
      <w:pPr>
        <w:ind w:left="400" w:hangingChars="200" w:hanging="400"/>
        <w:jc w:val="both"/>
        <w:rPr>
          <w:rFonts w:ascii="Arial" w:hAnsi="Arial" w:cs="Arial"/>
          <w:shd w:val="clear" w:color="auto" w:fill="FFFFFF"/>
        </w:rPr>
      </w:pPr>
    </w:p>
    <w:p w14:paraId="5D061B5A" w14:textId="77777777" w:rsidR="00767CB1" w:rsidRDefault="00EF15D9">
      <w:pPr>
        <w:ind w:left="400" w:hangingChars="200" w:hanging="400"/>
        <w:jc w:val="both"/>
        <w:rPr>
          <w:rFonts w:ascii="Arial" w:eastAsia="Segoe UI" w:hAnsi="Arial" w:cs="Arial"/>
          <w:shd w:val="clear" w:color="auto" w:fill="FFFFFF"/>
        </w:rPr>
      </w:pPr>
      <w:r>
        <w:rPr>
          <w:rFonts w:ascii="Arial" w:hAnsi="Arial" w:cs="Arial"/>
          <w:shd w:val="clear" w:color="auto" w:fill="FFFFFF"/>
        </w:rPr>
        <w:t xml:space="preserve">Mustafa, M. N., &amp; </w:t>
      </w:r>
      <w:proofErr w:type="spellStart"/>
      <w:r>
        <w:rPr>
          <w:rFonts w:ascii="Arial" w:hAnsi="Arial" w:cs="Arial"/>
          <w:shd w:val="clear" w:color="auto" w:fill="FFFFFF"/>
        </w:rPr>
        <w:t>Hidayat</w:t>
      </w:r>
      <w:proofErr w:type="spellEnd"/>
      <w:r>
        <w:rPr>
          <w:rFonts w:ascii="Arial" w:hAnsi="Arial" w:cs="Arial"/>
          <w:shd w:val="clear" w:color="auto" w:fill="FFFFFF"/>
        </w:rPr>
        <w:t>, R. (2024). Classroom management in improving the quality of learning in the education units. </w:t>
      </w:r>
      <w:r>
        <w:rPr>
          <w:rFonts w:ascii="Arial" w:hAnsi="Arial" w:cs="Arial"/>
          <w:i/>
          <w:iCs/>
          <w:shd w:val="clear" w:color="auto" w:fill="FFFFFF"/>
        </w:rPr>
        <w:t xml:space="preserve">Journal of Higher Education Theory and </w:t>
      </w:r>
      <w:r>
        <w:rPr>
          <w:rFonts w:ascii="Arial" w:hAnsi="Arial" w:cs="Arial"/>
          <w:i/>
          <w:iCs/>
          <w:shd w:val="clear" w:color="auto" w:fill="FFFFFF"/>
        </w:rPr>
        <w:t>Practice</w:t>
      </w:r>
      <w:r>
        <w:rPr>
          <w:rFonts w:ascii="Arial" w:hAnsi="Arial" w:cs="Arial"/>
          <w:shd w:val="clear" w:color="auto" w:fill="FFFFFF"/>
        </w:rPr>
        <w:t>, </w:t>
      </w:r>
      <w:r>
        <w:rPr>
          <w:rFonts w:ascii="Arial" w:hAnsi="Arial" w:cs="Arial"/>
          <w:i/>
          <w:iCs/>
          <w:shd w:val="clear" w:color="auto" w:fill="FFFFFF"/>
        </w:rPr>
        <w:t>24</w:t>
      </w:r>
      <w:r>
        <w:rPr>
          <w:rFonts w:ascii="Arial" w:hAnsi="Arial" w:cs="Arial"/>
          <w:shd w:val="clear" w:color="auto" w:fill="FFFFFF"/>
        </w:rPr>
        <w:t>(5), 56-</w:t>
      </w:r>
      <w:proofErr w:type="gramStart"/>
      <w:r>
        <w:rPr>
          <w:rFonts w:ascii="Arial" w:hAnsi="Arial" w:cs="Arial"/>
          <w:shd w:val="clear" w:color="auto" w:fill="FFFFFF"/>
        </w:rPr>
        <w:t>69.</w:t>
      </w:r>
      <w:r>
        <w:rPr>
          <w:rFonts w:ascii="Arial" w:eastAsia="Segoe UI" w:hAnsi="Arial" w:cs="Arial"/>
          <w:shd w:val="clear" w:color="auto" w:fill="FFFFFF"/>
        </w:rPr>
        <w:t>https://doi.org/10.33423/jhetp.v24i5.7003</w:t>
      </w:r>
      <w:proofErr w:type="gramEnd"/>
    </w:p>
    <w:p w14:paraId="0ED8F363" w14:textId="77777777" w:rsidR="00767CB1" w:rsidRDefault="00767CB1">
      <w:pPr>
        <w:ind w:left="400" w:hangingChars="200" w:hanging="400"/>
        <w:jc w:val="both"/>
        <w:rPr>
          <w:rFonts w:ascii="Arial" w:eastAsia="Segoe UI" w:hAnsi="Arial" w:cs="Arial"/>
          <w:shd w:val="clear" w:color="auto" w:fill="FFFFFF"/>
        </w:rPr>
      </w:pPr>
    </w:p>
    <w:p w14:paraId="426DD14F" w14:textId="77777777" w:rsidR="00767CB1" w:rsidRDefault="00EF15D9">
      <w:pPr>
        <w:ind w:left="400" w:hangingChars="200" w:hanging="400"/>
        <w:jc w:val="both"/>
        <w:rPr>
          <w:rFonts w:ascii="Arial" w:eastAsia="Segoe UI" w:hAnsi="Arial" w:cs="Arial"/>
          <w:shd w:val="clear" w:color="auto" w:fill="FFFFFF"/>
        </w:rPr>
      </w:pPr>
      <w:proofErr w:type="spellStart"/>
      <w:r>
        <w:rPr>
          <w:rFonts w:ascii="Arial" w:eastAsia="SimSun" w:hAnsi="Arial" w:cs="Arial"/>
          <w:shd w:val="clear" w:color="auto" w:fill="FFFFFF"/>
        </w:rPr>
        <w:t>Niyibizi</w:t>
      </w:r>
      <w:proofErr w:type="spellEnd"/>
      <w:r>
        <w:rPr>
          <w:rFonts w:ascii="Arial" w:eastAsia="SimSun" w:hAnsi="Arial" w:cs="Arial"/>
          <w:shd w:val="clear" w:color="auto" w:fill="FFFFFF"/>
        </w:rPr>
        <w:t xml:space="preserve">, E., </w:t>
      </w:r>
      <w:proofErr w:type="spellStart"/>
      <w:r>
        <w:rPr>
          <w:rFonts w:ascii="Arial" w:eastAsia="SimSun" w:hAnsi="Arial" w:cs="Arial"/>
          <w:shd w:val="clear" w:color="auto" w:fill="FFFFFF"/>
        </w:rPr>
        <w:t>Sibomana</w:t>
      </w:r>
      <w:proofErr w:type="spellEnd"/>
      <w:r>
        <w:rPr>
          <w:rFonts w:ascii="Arial" w:eastAsia="SimSun" w:hAnsi="Arial" w:cs="Arial"/>
          <w:shd w:val="clear" w:color="auto" w:fill="FFFFFF"/>
        </w:rPr>
        <w:t xml:space="preserve">, E., </w:t>
      </w:r>
      <w:proofErr w:type="spellStart"/>
      <w:r>
        <w:rPr>
          <w:rFonts w:ascii="Arial" w:eastAsia="SimSun" w:hAnsi="Arial" w:cs="Arial"/>
          <w:shd w:val="clear" w:color="auto" w:fill="FFFFFF"/>
        </w:rPr>
        <w:t>Manirakiza</w:t>
      </w:r>
      <w:proofErr w:type="spellEnd"/>
      <w:r>
        <w:rPr>
          <w:rFonts w:ascii="Arial" w:eastAsia="SimSun" w:hAnsi="Arial" w:cs="Arial"/>
          <w:shd w:val="clear" w:color="auto" w:fill="FFFFFF"/>
        </w:rPr>
        <w:t xml:space="preserve">, V., </w:t>
      </w:r>
      <w:proofErr w:type="spellStart"/>
      <w:r>
        <w:rPr>
          <w:rFonts w:ascii="Arial" w:eastAsia="SimSun" w:hAnsi="Arial" w:cs="Arial"/>
          <w:shd w:val="clear" w:color="auto" w:fill="FFFFFF"/>
        </w:rPr>
        <w:t>Ndayambaje</w:t>
      </w:r>
      <w:proofErr w:type="spellEnd"/>
      <w:r>
        <w:rPr>
          <w:rFonts w:ascii="Arial" w:eastAsia="SimSun" w:hAnsi="Arial" w:cs="Arial"/>
          <w:shd w:val="clear" w:color="auto" w:fill="FFFFFF"/>
        </w:rPr>
        <w:t xml:space="preserve">, I., </w:t>
      </w:r>
      <w:proofErr w:type="spellStart"/>
      <w:r>
        <w:rPr>
          <w:rFonts w:ascii="Arial" w:eastAsia="SimSun" w:hAnsi="Arial" w:cs="Arial"/>
          <w:shd w:val="clear" w:color="auto" w:fill="FFFFFF"/>
        </w:rPr>
        <w:t>Twahirwa</w:t>
      </w:r>
      <w:proofErr w:type="spellEnd"/>
      <w:r>
        <w:rPr>
          <w:rFonts w:ascii="Arial" w:eastAsia="SimSun" w:hAnsi="Arial" w:cs="Arial"/>
          <w:shd w:val="clear" w:color="auto" w:fill="FFFFFF"/>
        </w:rPr>
        <w:t xml:space="preserve">, J. B., &amp; </w:t>
      </w:r>
      <w:proofErr w:type="spellStart"/>
      <w:r>
        <w:rPr>
          <w:rFonts w:ascii="Arial" w:eastAsia="SimSun" w:hAnsi="Arial" w:cs="Arial"/>
          <w:shd w:val="clear" w:color="auto" w:fill="FFFFFF"/>
        </w:rPr>
        <w:t>Ntabajyana</w:t>
      </w:r>
      <w:proofErr w:type="spellEnd"/>
      <w:r>
        <w:rPr>
          <w:rFonts w:ascii="Arial" w:eastAsia="SimSun" w:hAnsi="Arial" w:cs="Arial"/>
          <w:shd w:val="clear" w:color="auto" w:fill="FFFFFF"/>
        </w:rPr>
        <w:t>, S. (2021). Quality internship for pre-service teachers: A quest for subject-curricular-pedagogic kn</w:t>
      </w:r>
      <w:r>
        <w:rPr>
          <w:rFonts w:ascii="Arial" w:eastAsia="SimSun" w:hAnsi="Arial" w:cs="Arial"/>
          <w:shd w:val="clear" w:color="auto" w:fill="FFFFFF"/>
        </w:rPr>
        <w:t>owledge among education student-teachers at the University of Rwanda. In </w:t>
      </w:r>
      <w:r>
        <w:rPr>
          <w:rFonts w:ascii="Arial" w:eastAsia="SimSun" w:hAnsi="Arial" w:cs="Arial"/>
          <w:i/>
          <w:iCs/>
          <w:shd w:val="clear" w:color="auto" w:fill="FFFFFF"/>
        </w:rPr>
        <w:t>Quality Assurance in Higher Education in Eastern and Southern Africa</w:t>
      </w:r>
      <w:r>
        <w:rPr>
          <w:rFonts w:ascii="Arial" w:eastAsia="SimSun" w:hAnsi="Arial" w:cs="Arial"/>
          <w:shd w:val="clear" w:color="auto" w:fill="FFFFFF"/>
        </w:rPr>
        <w:t xml:space="preserve"> (pp. 89-101). </w:t>
      </w:r>
      <w:proofErr w:type="spellStart"/>
      <w:r>
        <w:rPr>
          <w:rFonts w:ascii="Arial" w:eastAsia="SimSun" w:hAnsi="Arial" w:cs="Arial"/>
          <w:shd w:val="clear" w:color="auto" w:fill="FFFFFF"/>
        </w:rPr>
        <w:t>Routledge.</w:t>
      </w:r>
      <w:r>
        <w:rPr>
          <w:rFonts w:ascii="Arial" w:eastAsia="Segoe UI" w:hAnsi="Arial" w:cs="Arial"/>
          <w:shd w:val="clear" w:color="auto" w:fill="FFFFFF"/>
        </w:rPr>
        <w:t>https</w:t>
      </w:r>
      <w:proofErr w:type="spellEnd"/>
      <w:r>
        <w:rPr>
          <w:rFonts w:ascii="Arial" w:eastAsia="Segoe UI" w:hAnsi="Arial" w:cs="Arial"/>
          <w:shd w:val="clear" w:color="auto" w:fill="FFFFFF"/>
        </w:rPr>
        <w:t>://doi.org/10.4324/9781003141235-11</w:t>
      </w:r>
    </w:p>
    <w:p w14:paraId="13CC6135" w14:textId="77777777" w:rsidR="00767CB1" w:rsidRDefault="00767CB1">
      <w:pPr>
        <w:ind w:left="400" w:hangingChars="200" w:hanging="400"/>
        <w:jc w:val="both"/>
        <w:rPr>
          <w:rFonts w:ascii="Arial" w:eastAsia="Segoe UI" w:hAnsi="Arial" w:cs="Arial"/>
          <w:shd w:val="clear" w:color="auto" w:fill="FFFFFF"/>
        </w:rPr>
      </w:pPr>
    </w:p>
    <w:p w14:paraId="243FD983" w14:textId="77777777" w:rsidR="00767CB1" w:rsidRDefault="00EF15D9">
      <w:pPr>
        <w:ind w:left="400" w:hangingChars="200" w:hanging="400"/>
        <w:jc w:val="both"/>
        <w:rPr>
          <w:rFonts w:ascii="Arial" w:eastAsia="Segoe UI" w:hAnsi="Arial" w:cs="Arial"/>
          <w:shd w:val="clear" w:color="auto" w:fill="FFFFFF"/>
        </w:rPr>
      </w:pPr>
      <w:proofErr w:type="spellStart"/>
      <w:r>
        <w:rPr>
          <w:rFonts w:ascii="Arial" w:eastAsia="Arial" w:hAnsi="Arial" w:cs="Arial"/>
          <w:shd w:val="clear" w:color="auto" w:fill="FFFFFF"/>
        </w:rPr>
        <w:t>Octoria</w:t>
      </w:r>
      <w:proofErr w:type="spellEnd"/>
      <w:r>
        <w:rPr>
          <w:rFonts w:ascii="Arial" w:eastAsia="Arial" w:hAnsi="Arial" w:cs="Arial"/>
          <w:shd w:val="clear" w:color="auto" w:fill="FFFFFF"/>
        </w:rPr>
        <w:t xml:space="preserve">, D., </w:t>
      </w:r>
      <w:proofErr w:type="spellStart"/>
      <w:r>
        <w:rPr>
          <w:rFonts w:ascii="Arial" w:eastAsia="Arial" w:hAnsi="Arial" w:cs="Arial"/>
          <w:shd w:val="clear" w:color="auto" w:fill="FFFFFF"/>
        </w:rPr>
        <w:t>Harahap</w:t>
      </w:r>
      <w:proofErr w:type="spellEnd"/>
      <w:r>
        <w:rPr>
          <w:rFonts w:ascii="Arial" w:eastAsia="Arial" w:hAnsi="Arial" w:cs="Arial"/>
          <w:shd w:val="clear" w:color="auto" w:fill="FFFFFF"/>
        </w:rPr>
        <w:t>, D.H., &amp; Sari, P.R. (2024).</w:t>
      </w:r>
      <w:r>
        <w:rPr>
          <w:rFonts w:ascii="Arial" w:eastAsia="Arial" w:hAnsi="Arial" w:cs="Arial"/>
          <w:shd w:val="clear" w:color="auto" w:fill="FFFFFF"/>
        </w:rPr>
        <w:t xml:space="preserve"> The effect of teachers' self-efficacy and teaching commitment on pre-service teachers' performance. </w:t>
      </w:r>
      <w:r>
        <w:rPr>
          <w:rStyle w:val="Emphasis"/>
          <w:rFonts w:ascii="Arial" w:eastAsia="Arial" w:hAnsi="Arial" w:cs="Arial"/>
        </w:rPr>
        <w:t xml:space="preserve">Multidisciplinary Science </w:t>
      </w:r>
      <w:proofErr w:type="spellStart"/>
      <w:r>
        <w:rPr>
          <w:rStyle w:val="Emphasis"/>
          <w:rFonts w:ascii="Arial" w:eastAsia="Arial" w:hAnsi="Arial" w:cs="Arial"/>
        </w:rPr>
        <w:t>Journal</w:t>
      </w:r>
      <w:r>
        <w:rPr>
          <w:rFonts w:ascii="Arial" w:eastAsia="Arial" w:hAnsi="Arial" w:cs="Arial"/>
          <w:shd w:val="clear" w:color="auto" w:fill="FFFFFF"/>
        </w:rPr>
        <w:t>.</w:t>
      </w:r>
      <w:r>
        <w:rPr>
          <w:rFonts w:ascii="Arial" w:eastAsia="Segoe UI" w:hAnsi="Arial" w:cs="Arial"/>
          <w:shd w:val="clear" w:color="auto" w:fill="FFFFFF"/>
        </w:rPr>
        <w:t>https</w:t>
      </w:r>
      <w:proofErr w:type="spellEnd"/>
      <w:r>
        <w:rPr>
          <w:rFonts w:ascii="Arial" w:eastAsia="Segoe UI" w:hAnsi="Arial" w:cs="Arial"/>
          <w:shd w:val="clear" w:color="auto" w:fill="FFFFFF"/>
        </w:rPr>
        <w:t>://doi.org/10.31893/multiscience.2025181</w:t>
      </w:r>
    </w:p>
    <w:p w14:paraId="61182812" w14:textId="77777777" w:rsidR="00767CB1" w:rsidRDefault="00EF15D9">
      <w:pPr>
        <w:ind w:left="400" w:hangingChars="200" w:hanging="400"/>
        <w:jc w:val="both"/>
        <w:rPr>
          <w:rStyle w:val="Hyperlink"/>
          <w:rFonts w:ascii="Arial" w:eastAsia="Segoe UI" w:hAnsi="Arial" w:cs="Arial"/>
          <w:color w:val="auto"/>
          <w:shd w:val="clear" w:color="auto" w:fill="FFFFFF"/>
        </w:rPr>
      </w:pPr>
      <w:r>
        <w:rPr>
          <w:rFonts w:ascii="Arial" w:hAnsi="Arial" w:cs="Arial"/>
          <w:shd w:val="clear" w:color="auto" w:fill="FFFFFF"/>
        </w:rPr>
        <w:t>Patterson, T. T., &amp; Farmer, A. (2018). Classroom management self-efficacy o</w:t>
      </w:r>
      <w:r>
        <w:rPr>
          <w:rFonts w:ascii="Arial" w:hAnsi="Arial" w:cs="Arial"/>
          <w:shd w:val="clear" w:color="auto" w:fill="FFFFFF"/>
        </w:rPr>
        <w:t>f pre-service teachers. </w:t>
      </w:r>
      <w:r>
        <w:rPr>
          <w:rFonts w:ascii="Arial" w:hAnsi="Arial" w:cs="Arial"/>
          <w:i/>
          <w:iCs/>
          <w:shd w:val="clear" w:color="auto" w:fill="FFFFFF"/>
        </w:rPr>
        <w:t>World Journal of Educational Research</w:t>
      </w:r>
      <w:r>
        <w:rPr>
          <w:rFonts w:ascii="Arial" w:hAnsi="Arial" w:cs="Arial"/>
          <w:shd w:val="clear" w:color="auto" w:fill="FFFFFF"/>
        </w:rPr>
        <w:t>, </w:t>
      </w:r>
      <w:r>
        <w:rPr>
          <w:rFonts w:ascii="Arial" w:hAnsi="Arial" w:cs="Arial"/>
          <w:i/>
          <w:iCs/>
          <w:shd w:val="clear" w:color="auto" w:fill="FFFFFF"/>
        </w:rPr>
        <w:t>5</w:t>
      </w:r>
      <w:r>
        <w:rPr>
          <w:rFonts w:ascii="Arial" w:hAnsi="Arial" w:cs="Arial"/>
          <w:shd w:val="clear" w:color="auto" w:fill="FFFFFF"/>
        </w:rPr>
        <w:t>(2), 134-143.</w:t>
      </w:r>
      <w:hyperlink r:id="rId26" w:history="1">
        <w:r>
          <w:rPr>
            <w:rStyle w:val="Hyperlink"/>
            <w:rFonts w:ascii="Arial" w:eastAsia="Segoe UI" w:hAnsi="Arial" w:cs="Arial"/>
            <w:color w:val="auto"/>
            <w:shd w:val="clear" w:color="auto" w:fill="FFFFFF"/>
          </w:rPr>
          <w:t>https://doi.org/10.22158/wjer.v5n2p134</w:t>
        </w:r>
      </w:hyperlink>
    </w:p>
    <w:p w14:paraId="4FC82150" w14:textId="77777777" w:rsidR="00767CB1" w:rsidRDefault="00767CB1">
      <w:pPr>
        <w:ind w:left="400" w:hangingChars="200" w:hanging="400"/>
        <w:jc w:val="both"/>
        <w:rPr>
          <w:rStyle w:val="Hyperlink"/>
          <w:rFonts w:ascii="Arial" w:eastAsia="Segoe UI" w:hAnsi="Arial" w:cs="Arial"/>
          <w:color w:val="auto"/>
          <w:shd w:val="clear" w:color="auto" w:fill="FFFFFF"/>
        </w:rPr>
      </w:pPr>
    </w:p>
    <w:p w14:paraId="27141F46" w14:textId="77777777" w:rsidR="00767CB1" w:rsidRDefault="00EF15D9">
      <w:pPr>
        <w:ind w:left="400" w:hangingChars="200" w:hanging="400"/>
        <w:jc w:val="both"/>
        <w:rPr>
          <w:rStyle w:val="Hyperlink"/>
          <w:rFonts w:ascii="Arial" w:eastAsia="Segoe UI" w:hAnsi="Arial" w:cs="Arial"/>
          <w:color w:val="auto"/>
          <w:shd w:val="clear" w:color="auto" w:fill="FFFFFF"/>
        </w:rPr>
      </w:pPr>
      <w:proofErr w:type="spellStart"/>
      <w:r>
        <w:rPr>
          <w:rFonts w:ascii="Arial" w:hAnsi="Arial" w:cs="Arial"/>
          <w:shd w:val="clear" w:color="auto" w:fill="FFFFFF"/>
        </w:rPr>
        <w:t>Pitkäniemi</w:t>
      </w:r>
      <w:proofErr w:type="spellEnd"/>
      <w:r>
        <w:rPr>
          <w:rFonts w:ascii="Arial" w:hAnsi="Arial" w:cs="Arial"/>
          <w:shd w:val="clear" w:color="auto" w:fill="FFFFFF"/>
        </w:rPr>
        <w:t xml:space="preserve">, H., &amp; </w:t>
      </w:r>
      <w:proofErr w:type="spellStart"/>
      <w:r>
        <w:rPr>
          <w:rFonts w:ascii="Arial" w:hAnsi="Arial" w:cs="Arial"/>
          <w:shd w:val="clear" w:color="auto" w:fill="FFFFFF"/>
        </w:rPr>
        <w:t>Martikainen</w:t>
      </w:r>
      <w:proofErr w:type="spellEnd"/>
      <w:r>
        <w:rPr>
          <w:rFonts w:ascii="Arial" w:hAnsi="Arial" w:cs="Arial"/>
          <w:shd w:val="clear" w:color="auto" w:fill="FFFFFF"/>
        </w:rPr>
        <w:t xml:space="preserve">, T. (2022). Sources and variation of self-efficacy in </w:t>
      </w:r>
      <w:r>
        <w:rPr>
          <w:rFonts w:ascii="Arial" w:hAnsi="Arial" w:cs="Arial"/>
          <w:shd w:val="clear" w:color="auto" w:fill="FFFFFF"/>
        </w:rPr>
        <w:t>cases of student teaching practicum. </w:t>
      </w:r>
      <w:r>
        <w:rPr>
          <w:rFonts w:ascii="Arial" w:hAnsi="Arial" w:cs="Arial"/>
          <w:i/>
          <w:iCs/>
          <w:shd w:val="clear" w:color="auto" w:fill="FFFFFF"/>
        </w:rPr>
        <w:t xml:space="preserve">Nordisk </w:t>
      </w:r>
      <w:proofErr w:type="spellStart"/>
      <w:r>
        <w:rPr>
          <w:rFonts w:ascii="Arial" w:hAnsi="Arial" w:cs="Arial"/>
          <w:i/>
          <w:iCs/>
          <w:shd w:val="clear" w:color="auto" w:fill="FFFFFF"/>
        </w:rPr>
        <w:t>Tidskrift</w:t>
      </w:r>
      <w:proofErr w:type="spellEnd"/>
      <w:r>
        <w:rPr>
          <w:rFonts w:ascii="Arial" w:hAnsi="Arial" w:cs="Arial"/>
          <w:i/>
          <w:iCs/>
          <w:shd w:val="clear" w:color="auto" w:fill="FFFFFF"/>
        </w:rPr>
        <w:t xml:space="preserve"> </w:t>
      </w:r>
      <w:proofErr w:type="spellStart"/>
      <w:r>
        <w:rPr>
          <w:rFonts w:ascii="Arial" w:hAnsi="Arial" w:cs="Arial"/>
          <w:i/>
          <w:iCs/>
          <w:shd w:val="clear" w:color="auto" w:fill="FFFFFF"/>
        </w:rPr>
        <w:t>för</w:t>
      </w:r>
      <w:proofErr w:type="spellEnd"/>
      <w:r>
        <w:rPr>
          <w:rFonts w:ascii="Arial" w:hAnsi="Arial" w:cs="Arial"/>
          <w:i/>
          <w:iCs/>
          <w:shd w:val="clear" w:color="auto" w:fill="FFFFFF"/>
        </w:rPr>
        <w:t xml:space="preserve"> </w:t>
      </w:r>
      <w:proofErr w:type="spellStart"/>
      <w:r>
        <w:rPr>
          <w:rFonts w:ascii="Arial" w:hAnsi="Arial" w:cs="Arial"/>
          <w:i/>
          <w:iCs/>
          <w:shd w:val="clear" w:color="auto" w:fill="FFFFFF"/>
        </w:rPr>
        <w:t>Allmän</w:t>
      </w:r>
      <w:proofErr w:type="spellEnd"/>
      <w:r>
        <w:rPr>
          <w:rFonts w:ascii="Arial" w:hAnsi="Arial" w:cs="Arial"/>
          <w:i/>
          <w:iCs/>
          <w:shd w:val="clear" w:color="auto" w:fill="FFFFFF"/>
        </w:rPr>
        <w:t xml:space="preserve"> </w:t>
      </w:r>
      <w:proofErr w:type="spellStart"/>
      <w:r>
        <w:rPr>
          <w:rFonts w:ascii="Arial" w:hAnsi="Arial" w:cs="Arial"/>
          <w:i/>
          <w:iCs/>
          <w:shd w:val="clear" w:color="auto" w:fill="FFFFFF"/>
        </w:rPr>
        <w:t>Didaktik</w:t>
      </w:r>
      <w:proofErr w:type="spellEnd"/>
      <w:r>
        <w:rPr>
          <w:rFonts w:ascii="Arial" w:hAnsi="Arial" w:cs="Arial"/>
          <w:shd w:val="clear" w:color="auto" w:fill="FFFFFF"/>
        </w:rPr>
        <w:t>, </w:t>
      </w:r>
      <w:r>
        <w:rPr>
          <w:rFonts w:ascii="Arial" w:hAnsi="Arial" w:cs="Arial"/>
          <w:i/>
          <w:iCs/>
          <w:shd w:val="clear" w:color="auto" w:fill="FFFFFF"/>
        </w:rPr>
        <w:t>8</w:t>
      </w:r>
      <w:r>
        <w:rPr>
          <w:rFonts w:ascii="Arial" w:hAnsi="Arial" w:cs="Arial"/>
          <w:shd w:val="clear" w:color="auto" w:fill="FFFFFF"/>
        </w:rPr>
        <w:t>(1), 35-52.</w:t>
      </w:r>
      <w:r>
        <w:rPr>
          <w:rFonts w:ascii="Arial" w:hAnsi="Arial" w:cs="Arial"/>
          <w:shd w:val="clear" w:color="auto" w:fill="FFFFFF"/>
          <w:lang w:val="en-PH"/>
        </w:rPr>
        <w:t xml:space="preserve"> </w:t>
      </w:r>
      <w:hyperlink r:id="rId27" w:history="1">
        <w:r>
          <w:rPr>
            <w:rStyle w:val="Hyperlink"/>
            <w:rFonts w:ascii="Arial" w:eastAsia="Segoe UI" w:hAnsi="Arial" w:cs="Arial"/>
            <w:color w:val="auto"/>
            <w:shd w:val="clear" w:color="auto" w:fill="FFFFFF"/>
          </w:rPr>
          <w:t>https://doi.org/10.57126/noad.v8i1.8683</w:t>
        </w:r>
      </w:hyperlink>
    </w:p>
    <w:p w14:paraId="09AECCF4" w14:textId="77777777" w:rsidR="00767CB1" w:rsidRDefault="00767CB1">
      <w:pPr>
        <w:ind w:left="400" w:hangingChars="200" w:hanging="400"/>
        <w:jc w:val="both"/>
        <w:rPr>
          <w:rStyle w:val="Hyperlink"/>
          <w:rFonts w:ascii="Arial" w:eastAsia="Segoe UI" w:hAnsi="Arial" w:cs="Arial"/>
          <w:color w:val="auto"/>
          <w:shd w:val="clear" w:color="auto" w:fill="FFFFFF"/>
        </w:rPr>
      </w:pPr>
    </w:p>
    <w:p w14:paraId="6EC3B9F1" w14:textId="77777777" w:rsidR="00767CB1" w:rsidRDefault="00EF15D9">
      <w:pPr>
        <w:ind w:left="400" w:hangingChars="200" w:hanging="400"/>
        <w:jc w:val="both"/>
        <w:rPr>
          <w:rFonts w:ascii="Arial" w:eastAsia="Segoe UI" w:hAnsi="Arial" w:cs="Arial"/>
          <w:shd w:val="clear" w:color="auto" w:fill="FFFFFF"/>
        </w:rPr>
      </w:pPr>
      <w:proofErr w:type="spellStart"/>
      <w:r>
        <w:rPr>
          <w:rFonts w:ascii="Arial" w:hAnsi="Arial" w:cs="Arial"/>
          <w:shd w:val="clear" w:color="auto" w:fill="FFFFFF"/>
        </w:rPr>
        <w:t>Purwanti</w:t>
      </w:r>
      <w:proofErr w:type="spellEnd"/>
      <w:r>
        <w:rPr>
          <w:rFonts w:ascii="Arial" w:hAnsi="Arial" w:cs="Arial"/>
          <w:shd w:val="clear" w:color="auto" w:fill="FFFFFF"/>
        </w:rPr>
        <w:t>, E., &amp; Vania, G. (2021). Classroom management: Applying appro</w:t>
      </w:r>
      <w:r>
        <w:rPr>
          <w:rFonts w:ascii="Arial" w:hAnsi="Arial" w:cs="Arial"/>
          <w:shd w:val="clear" w:color="auto" w:fill="FFFFFF"/>
        </w:rPr>
        <w:t>priate strategies to enhance effective teaching. </w:t>
      </w:r>
      <w:r>
        <w:rPr>
          <w:rFonts w:ascii="Arial" w:hAnsi="Arial" w:cs="Arial"/>
          <w:i/>
          <w:iCs/>
          <w:shd w:val="clear" w:color="auto" w:fill="FFFFFF"/>
        </w:rPr>
        <w:t>Journal of Foreign Language Teaching and Learning</w:t>
      </w:r>
      <w:r>
        <w:rPr>
          <w:rFonts w:ascii="Arial" w:hAnsi="Arial" w:cs="Arial"/>
          <w:shd w:val="clear" w:color="auto" w:fill="FFFFFF"/>
        </w:rPr>
        <w:t>, </w:t>
      </w:r>
      <w:r>
        <w:rPr>
          <w:rFonts w:ascii="Arial" w:hAnsi="Arial" w:cs="Arial"/>
          <w:i/>
          <w:iCs/>
          <w:shd w:val="clear" w:color="auto" w:fill="FFFFFF"/>
        </w:rPr>
        <w:t>6</w:t>
      </w:r>
      <w:r>
        <w:rPr>
          <w:rFonts w:ascii="Arial" w:hAnsi="Arial" w:cs="Arial"/>
          <w:shd w:val="clear" w:color="auto" w:fill="FFFFFF"/>
        </w:rPr>
        <w:t>(1), 78-</w:t>
      </w:r>
      <w:proofErr w:type="gramStart"/>
      <w:r>
        <w:rPr>
          <w:rFonts w:ascii="Arial" w:hAnsi="Arial" w:cs="Arial"/>
          <w:shd w:val="clear" w:color="auto" w:fill="FFFFFF"/>
        </w:rPr>
        <w:t>93.</w:t>
      </w:r>
      <w:r>
        <w:rPr>
          <w:rFonts w:ascii="Arial" w:eastAsia="Segoe UI" w:hAnsi="Arial" w:cs="Arial"/>
          <w:shd w:val="clear" w:color="auto" w:fill="FFFFFF"/>
        </w:rPr>
        <w:t>https://doi.org/10.18196/FTL.V6I1.10638</w:t>
      </w:r>
      <w:proofErr w:type="gramEnd"/>
    </w:p>
    <w:p w14:paraId="7DE97D65" w14:textId="77777777" w:rsidR="00767CB1" w:rsidRDefault="00767CB1">
      <w:pPr>
        <w:ind w:left="400" w:hangingChars="200" w:hanging="400"/>
        <w:jc w:val="both"/>
        <w:rPr>
          <w:rFonts w:ascii="Arial" w:eastAsia="Segoe UI" w:hAnsi="Arial" w:cs="Arial"/>
          <w:shd w:val="clear" w:color="auto" w:fill="FFFFFF"/>
        </w:rPr>
      </w:pPr>
    </w:p>
    <w:p w14:paraId="6742F9A7" w14:textId="77777777" w:rsidR="00767CB1" w:rsidRDefault="00EF15D9">
      <w:pPr>
        <w:ind w:left="400" w:hangingChars="200" w:hanging="400"/>
        <w:jc w:val="both"/>
        <w:rPr>
          <w:rFonts w:ascii="Arial" w:eastAsia="Segoe UI" w:hAnsi="Arial" w:cs="Arial"/>
          <w:shd w:val="clear" w:color="auto" w:fill="FFFFFF"/>
        </w:rPr>
      </w:pPr>
      <w:proofErr w:type="spellStart"/>
      <w:r>
        <w:rPr>
          <w:rFonts w:ascii="Arial" w:eastAsia="Arial" w:hAnsi="Arial" w:cs="Arial"/>
          <w:shd w:val="clear" w:color="auto" w:fill="FFFFFF"/>
        </w:rPr>
        <w:t>Robiños</w:t>
      </w:r>
      <w:proofErr w:type="spellEnd"/>
      <w:r>
        <w:rPr>
          <w:rFonts w:ascii="Arial" w:eastAsia="Arial" w:hAnsi="Arial" w:cs="Arial"/>
          <w:shd w:val="clear" w:color="auto" w:fill="FFFFFF"/>
        </w:rPr>
        <w:t xml:space="preserve">, J.R., </w:t>
      </w:r>
      <w:proofErr w:type="spellStart"/>
      <w:r>
        <w:rPr>
          <w:rFonts w:ascii="Arial" w:eastAsia="Arial" w:hAnsi="Arial" w:cs="Arial"/>
          <w:shd w:val="clear" w:color="auto" w:fill="FFFFFF"/>
        </w:rPr>
        <w:t>Daque</w:t>
      </w:r>
      <w:proofErr w:type="spellEnd"/>
      <w:r>
        <w:rPr>
          <w:rFonts w:ascii="Arial" w:eastAsia="Arial" w:hAnsi="Arial" w:cs="Arial"/>
          <w:shd w:val="clear" w:color="auto" w:fill="FFFFFF"/>
        </w:rPr>
        <w:t xml:space="preserve">, C., </w:t>
      </w:r>
      <w:proofErr w:type="spellStart"/>
      <w:r>
        <w:rPr>
          <w:rFonts w:ascii="Arial" w:eastAsia="Arial" w:hAnsi="Arial" w:cs="Arial"/>
          <w:shd w:val="clear" w:color="auto" w:fill="FFFFFF"/>
        </w:rPr>
        <w:t>Dipad</w:t>
      </w:r>
      <w:proofErr w:type="spellEnd"/>
      <w:r>
        <w:rPr>
          <w:rFonts w:ascii="Arial" w:eastAsia="Arial" w:hAnsi="Arial" w:cs="Arial"/>
          <w:shd w:val="clear" w:color="auto" w:fill="FFFFFF"/>
        </w:rPr>
        <w:t xml:space="preserve">, V.C., </w:t>
      </w:r>
      <w:proofErr w:type="spellStart"/>
      <w:r>
        <w:rPr>
          <w:rFonts w:ascii="Arial" w:eastAsia="Arial" w:hAnsi="Arial" w:cs="Arial"/>
          <w:shd w:val="clear" w:color="auto" w:fill="FFFFFF"/>
        </w:rPr>
        <w:t>Gunda</w:t>
      </w:r>
      <w:proofErr w:type="spellEnd"/>
      <w:r>
        <w:rPr>
          <w:rFonts w:ascii="Arial" w:eastAsia="Arial" w:hAnsi="Arial" w:cs="Arial"/>
          <w:shd w:val="clear" w:color="auto" w:fill="FFFFFF"/>
        </w:rPr>
        <w:t xml:space="preserve">, K.J., </w:t>
      </w:r>
      <w:proofErr w:type="spellStart"/>
      <w:r>
        <w:rPr>
          <w:rFonts w:ascii="Arial" w:eastAsia="Arial" w:hAnsi="Arial" w:cs="Arial"/>
          <w:shd w:val="clear" w:color="auto" w:fill="FFFFFF"/>
        </w:rPr>
        <w:t>Salaysay</w:t>
      </w:r>
      <w:proofErr w:type="spellEnd"/>
      <w:r>
        <w:rPr>
          <w:rFonts w:ascii="Arial" w:eastAsia="Arial" w:hAnsi="Arial" w:cs="Arial"/>
          <w:shd w:val="clear" w:color="auto" w:fill="FFFFFF"/>
        </w:rPr>
        <w:t>, J., &amp; Sevilla, M. (2024). Exploring the I</w:t>
      </w:r>
      <w:r>
        <w:rPr>
          <w:rFonts w:ascii="Arial" w:eastAsia="Arial" w:hAnsi="Arial" w:cs="Arial"/>
          <w:shd w:val="clear" w:color="auto" w:fill="FFFFFF"/>
        </w:rPr>
        <w:t>nfluence of Field-Based Learning Experiences on the Professional Development of Pre-Service Teachers. </w:t>
      </w:r>
      <w:r>
        <w:rPr>
          <w:rStyle w:val="Emphasis"/>
          <w:rFonts w:ascii="Arial" w:eastAsia="Arial" w:hAnsi="Arial" w:cs="Arial"/>
        </w:rPr>
        <w:t xml:space="preserve">Journal of Interdisciplinary </w:t>
      </w:r>
      <w:proofErr w:type="spellStart"/>
      <w:r>
        <w:rPr>
          <w:rStyle w:val="Emphasis"/>
          <w:rFonts w:ascii="Arial" w:eastAsia="Arial" w:hAnsi="Arial" w:cs="Arial"/>
        </w:rPr>
        <w:t>Perspectives</w:t>
      </w:r>
      <w:r>
        <w:rPr>
          <w:rFonts w:ascii="Arial" w:eastAsia="Arial" w:hAnsi="Arial" w:cs="Arial"/>
          <w:shd w:val="clear" w:color="auto" w:fill="FFFFFF"/>
        </w:rPr>
        <w:t>.</w:t>
      </w:r>
      <w:r>
        <w:rPr>
          <w:rFonts w:ascii="Arial" w:eastAsia="Segoe UI" w:hAnsi="Arial" w:cs="Arial"/>
          <w:shd w:val="clear" w:color="auto" w:fill="FFFFFF"/>
        </w:rPr>
        <w:t>https</w:t>
      </w:r>
      <w:proofErr w:type="spellEnd"/>
      <w:r>
        <w:rPr>
          <w:rFonts w:ascii="Arial" w:eastAsia="Segoe UI" w:hAnsi="Arial" w:cs="Arial"/>
          <w:shd w:val="clear" w:color="auto" w:fill="FFFFFF"/>
        </w:rPr>
        <w:t>://doi.org/10.69569/jip.2024.0592</w:t>
      </w:r>
    </w:p>
    <w:p w14:paraId="642CBA68" w14:textId="77777777" w:rsidR="00767CB1" w:rsidRDefault="00767CB1">
      <w:pPr>
        <w:ind w:left="400" w:hangingChars="200" w:hanging="400"/>
        <w:jc w:val="both"/>
        <w:rPr>
          <w:rFonts w:ascii="Arial" w:eastAsia="Segoe UI" w:hAnsi="Arial" w:cs="Arial"/>
          <w:shd w:val="clear" w:color="auto" w:fill="FFFFFF"/>
        </w:rPr>
      </w:pPr>
    </w:p>
    <w:p w14:paraId="0C12CD6D" w14:textId="77777777" w:rsidR="00767CB1" w:rsidRDefault="00EF15D9">
      <w:pPr>
        <w:ind w:left="400" w:hangingChars="200" w:hanging="400"/>
        <w:jc w:val="both"/>
        <w:rPr>
          <w:rFonts w:ascii="Arial" w:eastAsia="Segoe UI" w:hAnsi="Arial" w:cs="Arial"/>
          <w:shd w:val="clear" w:color="auto" w:fill="FFFFFF"/>
        </w:rPr>
      </w:pPr>
      <w:r>
        <w:rPr>
          <w:rFonts w:ascii="Arial" w:eastAsia="SimSun" w:hAnsi="Arial" w:cs="Arial"/>
          <w:shd w:val="clear" w:color="auto" w:fill="FFFFFF"/>
        </w:rPr>
        <w:lastRenderedPageBreak/>
        <w:t xml:space="preserve">Sanjaya, M. M., </w:t>
      </w:r>
      <w:proofErr w:type="spellStart"/>
      <w:r>
        <w:rPr>
          <w:rFonts w:ascii="Arial" w:eastAsia="SimSun" w:hAnsi="Arial" w:cs="Arial"/>
          <w:shd w:val="clear" w:color="auto" w:fill="FFFFFF"/>
        </w:rPr>
        <w:t>Nurkamto</w:t>
      </w:r>
      <w:proofErr w:type="spellEnd"/>
      <w:r>
        <w:rPr>
          <w:rFonts w:ascii="Arial" w:eastAsia="SimSun" w:hAnsi="Arial" w:cs="Arial"/>
          <w:shd w:val="clear" w:color="auto" w:fill="FFFFFF"/>
        </w:rPr>
        <w:t xml:space="preserve">, J., &amp; </w:t>
      </w:r>
      <w:proofErr w:type="spellStart"/>
      <w:r>
        <w:rPr>
          <w:rFonts w:ascii="Arial" w:eastAsia="SimSun" w:hAnsi="Arial" w:cs="Arial"/>
          <w:shd w:val="clear" w:color="auto" w:fill="FFFFFF"/>
        </w:rPr>
        <w:t>Sumardi</w:t>
      </w:r>
      <w:proofErr w:type="spellEnd"/>
      <w:r>
        <w:rPr>
          <w:rFonts w:ascii="Arial" w:eastAsia="SimSun" w:hAnsi="Arial" w:cs="Arial"/>
          <w:shd w:val="clear" w:color="auto" w:fill="FFFFFF"/>
        </w:rPr>
        <w:t>, S. (2024). Navigating Foreign L</w:t>
      </w:r>
      <w:r>
        <w:rPr>
          <w:rFonts w:ascii="Arial" w:eastAsia="SimSun" w:hAnsi="Arial" w:cs="Arial"/>
          <w:shd w:val="clear" w:color="auto" w:fill="FFFFFF"/>
        </w:rPr>
        <w:t>anguage Teaching Anxiety: Insights from Pre-Service Teachers during Teacher Professional Education Practicum. </w:t>
      </w:r>
      <w:r>
        <w:rPr>
          <w:rFonts w:ascii="Arial" w:eastAsia="SimSun" w:hAnsi="Arial" w:cs="Arial"/>
          <w:i/>
          <w:iCs/>
          <w:shd w:val="clear" w:color="auto" w:fill="FFFFFF"/>
        </w:rPr>
        <w:t>Indonesian Journal of EFL and Linguistics</w:t>
      </w:r>
      <w:r>
        <w:rPr>
          <w:rFonts w:ascii="Arial" w:eastAsia="SimSun" w:hAnsi="Arial" w:cs="Arial"/>
          <w:shd w:val="clear" w:color="auto" w:fill="FFFFFF"/>
        </w:rPr>
        <w:t>, 115-131.</w:t>
      </w:r>
      <w:r>
        <w:rPr>
          <w:rFonts w:ascii="Arial" w:eastAsia="Segoe UI" w:hAnsi="Arial" w:cs="Arial"/>
          <w:shd w:val="clear" w:color="auto" w:fill="FFFFFF"/>
        </w:rPr>
        <w:t>https://doi.org/10.21462/ijefl.v9i1.761</w:t>
      </w:r>
    </w:p>
    <w:p w14:paraId="06F68E11" w14:textId="77777777" w:rsidR="00767CB1" w:rsidRDefault="00767CB1">
      <w:pPr>
        <w:ind w:left="400" w:hangingChars="200" w:hanging="400"/>
        <w:jc w:val="both"/>
        <w:rPr>
          <w:rFonts w:ascii="Arial" w:eastAsia="Segoe UI" w:hAnsi="Arial" w:cs="Arial"/>
          <w:shd w:val="clear" w:color="auto" w:fill="FFFFFF"/>
        </w:rPr>
      </w:pPr>
    </w:p>
    <w:p w14:paraId="475B4664" w14:textId="77777777" w:rsidR="00767CB1" w:rsidRDefault="00EF15D9">
      <w:pPr>
        <w:ind w:left="400" w:hangingChars="200" w:hanging="400"/>
        <w:jc w:val="both"/>
        <w:rPr>
          <w:rFonts w:ascii="Arial" w:hAnsi="Arial" w:cs="Arial"/>
          <w:shd w:val="clear" w:color="auto" w:fill="FFFFFF"/>
        </w:rPr>
      </w:pPr>
      <w:proofErr w:type="spellStart"/>
      <w:r>
        <w:rPr>
          <w:rFonts w:ascii="Arial" w:hAnsi="Arial" w:cs="Arial"/>
          <w:shd w:val="clear" w:color="auto" w:fill="FFFFFF"/>
        </w:rPr>
        <w:t>Sathasivam</w:t>
      </w:r>
      <w:proofErr w:type="spellEnd"/>
      <w:r>
        <w:rPr>
          <w:rFonts w:ascii="Arial" w:hAnsi="Arial" w:cs="Arial"/>
          <w:shd w:val="clear" w:color="auto" w:fill="FFFFFF"/>
        </w:rPr>
        <w:t xml:space="preserve">, R. V., Abdullah, M. N. S., &amp; Abd Rauf, R. </w:t>
      </w:r>
      <w:r>
        <w:rPr>
          <w:rFonts w:ascii="Arial" w:hAnsi="Arial" w:cs="Arial"/>
          <w:shd w:val="clear" w:color="auto" w:fill="FFFFFF"/>
        </w:rPr>
        <w:t>A. (2024). Theory-Practice Divide: Pre-service Teachers' Application of Pedagogical Knowledge During Teaching Practicum. </w:t>
      </w:r>
      <w:proofErr w:type="spellStart"/>
      <w:r>
        <w:rPr>
          <w:rFonts w:ascii="Arial" w:hAnsi="Arial" w:cs="Arial"/>
          <w:i/>
          <w:iCs/>
          <w:shd w:val="clear" w:color="auto" w:fill="FFFFFF"/>
        </w:rPr>
        <w:t>Pertanika</w:t>
      </w:r>
      <w:proofErr w:type="spellEnd"/>
      <w:r>
        <w:rPr>
          <w:rFonts w:ascii="Arial" w:hAnsi="Arial" w:cs="Arial"/>
          <w:i/>
          <w:iCs/>
          <w:shd w:val="clear" w:color="auto" w:fill="FFFFFF"/>
        </w:rPr>
        <w:t xml:space="preserve"> Journal of Social Sciences &amp; Humanities</w:t>
      </w:r>
      <w:r>
        <w:rPr>
          <w:rFonts w:ascii="Arial" w:hAnsi="Arial" w:cs="Arial"/>
          <w:shd w:val="clear" w:color="auto" w:fill="FFFFFF"/>
        </w:rPr>
        <w:t>, </w:t>
      </w:r>
      <w:r>
        <w:rPr>
          <w:rFonts w:ascii="Arial" w:hAnsi="Arial" w:cs="Arial"/>
          <w:i/>
          <w:iCs/>
          <w:shd w:val="clear" w:color="auto" w:fill="FFFFFF"/>
        </w:rPr>
        <w:t>32</w:t>
      </w:r>
      <w:r>
        <w:rPr>
          <w:rFonts w:ascii="Arial" w:hAnsi="Arial" w:cs="Arial"/>
          <w:shd w:val="clear" w:color="auto" w:fill="FFFFFF"/>
        </w:rPr>
        <w:t>(1).</w:t>
      </w:r>
    </w:p>
    <w:p w14:paraId="78AD4099" w14:textId="77777777" w:rsidR="00767CB1" w:rsidRDefault="00767CB1">
      <w:pPr>
        <w:ind w:left="400" w:hangingChars="200" w:hanging="400"/>
        <w:jc w:val="both"/>
        <w:rPr>
          <w:rFonts w:ascii="Arial" w:hAnsi="Arial" w:cs="Arial"/>
          <w:shd w:val="clear" w:color="auto" w:fill="FFFFFF"/>
        </w:rPr>
      </w:pPr>
    </w:p>
    <w:p w14:paraId="7AB71F58" w14:textId="77777777" w:rsidR="00767CB1" w:rsidRDefault="00EF15D9">
      <w:pPr>
        <w:ind w:left="400" w:hangingChars="200" w:hanging="400"/>
        <w:jc w:val="both"/>
        <w:rPr>
          <w:rFonts w:ascii="Arial" w:eastAsia="Segoe UI" w:hAnsi="Arial" w:cs="Arial"/>
          <w:shd w:val="clear" w:color="auto" w:fill="FFFFFF"/>
        </w:rPr>
      </w:pPr>
      <w:proofErr w:type="spellStart"/>
      <w:r>
        <w:rPr>
          <w:rFonts w:ascii="Arial" w:eastAsia="Arial" w:hAnsi="Arial" w:cs="Arial"/>
          <w:shd w:val="clear" w:color="auto" w:fill="FFFFFF"/>
        </w:rPr>
        <w:t>Senler</w:t>
      </w:r>
      <w:proofErr w:type="spellEnd"/>
      <w:r>
        <w:rPr>
          <w:rFonts w:ascii="Arial" w:eastAsia="Arial" w:hAnsi="Arial" w:cs="Arial"/>
          <w:shd w:val="clear" w:color="auto" w:fill="FFFFFF"/>
        </w:rPr>
        <w:t xml:space="preserve">, B. (2016). Pre-service science teachers’ self-efficacy: The role of </w:t>
      </w:r>
      <w:r>
        <w:rPr>
          <w:rFonts w:ascii="Arial" w:eastAsia="Arial" w:hAnsi="Arial" w:cs="Arial"/>
          <w:shd w:val="clear" w:color="auto" w:fill="FFFFFF"/>
        </w:rPr>
        <w:t>attitude, anxiety and locus of control. </w:t>
      </w:r>
      <w:r>
        <w:rPr>
          <w:rStyle w:val="Emphasis"/>
          <w:rFonts w:ascii="Arial" w:eastAsia="Arial" w:hAnsi="Arial" w:cs="Arial"/>
        </w:rPr>
        <w:t>Australian Journal of Education, 60</w:t>
      </w:r>
      <w:r>
        <w:rPr>
          <w:rFonts w:ascii="Arial" w:eastAsia="Arial" w:hAnsi="Arial" w:cs="Arial"/>
          <w:shd w:val="clear" w:color="auto" w:fill="FFFFFF"/>
        </w:rPr>
        <w:t>, 26 - 41.</w:t>
      </w:r>
      <w:r>
        <w:rPr>
          <w:rFonts w:ascii="Arial" w:eastAsia="Segoe UI" w:hAnsi="Arial" w:cs="Arial"/>
          <w:shd w:val="clear" w:color="auto" w:fill="FFFFFF"/>
        </w:rPr>
        <w:t>https://doi.org/10.1177/0004944116629807</w:t>
      </w:r>
    </w:p>
    <w:p w14:paraId="6D50F887" w14:textId="77777777" w:rsidR="00767CB1" w:rsidRDefault="00767CB1">
      <w:pPr>
        <w:ind w:left="400" w:hangingChars="200" w:hanging="400"/>
        <w:jc w:val="both"/>
        <w:rPr>
          <w:rFonts w:ascii="Arial" w:eastAsia="Segoe UI" w:hAnsi="Arial" w:cs="Arial"/>
          <w:shd w:val="clear" w:color="auto" w:fill="FFFFFF"/>
        </w:rPr>
      </w:pPr>
    </w:p>
    <w:p w14:paraId="3F77754D" w14:textId="77777777" w:rsidR="00767CB1" w:rsidRDefault="00EF15D9">
      <w:pPr>
        <w:ind w:left="400" w:hangingChars="200" w:hanging="400"/>
        <w:jc w:val="both"/>
        <w:rPr>
          <w:rFonts w:ascii="Arial" w:eastAsia="Segoe UI" w:hAnsi="Arial" w:cs="Arial"/>
          <w:shd w:val="clear" w:color="auto" w:fill="FFFFFF"/>
        </w:rPr>
      </w:pPr>
      <w:proofErr w:type="spellStart"/>
      <w:r>
        <w:rPr>
          <w:rFonts w:ascii="Arial" w:eastAsia="Arial" w:hAnsi="Arial" w:cs="Arial"/>
          <w:shd w:val="clear" w:color="auto" w:fill="FFFFFF"/>
        </w:rPr>
        <w:t>Soleas</w:t>
      </w:r>
      <w:proofErr w:type="spellEnd"/>
      <w:r>
        <w:rPr>
          <w:rFonts w:ascii="Arial" w:eastAsia="Arial" w:hAnsi="Arial" w:cs="Arial"/>
          <w:shd w:val="clear" w:color="auto" w:fill="FFFFFF"/>
        </w:rPr>
        <w:t>, E.K., &amp; Hong, J.Y. (2020). The school of hard knocks: Pre-service teachers’ mindset and motivational changes during their</w:t>
      </w:r>
      <w:r>
        <w:rPr>
          <w:rFonts w:ascii="Arial" w:eastAsia="Arial" w:hAnsi="Arial" w:cs="Arial"/>
          <w:shd w:val="clear" w:color="auto" w:fill="FFFFFF"/>
        </w:rPr>
        <w:t xml:space="preserve"> practicum. </w:t>
      </w:r>
      <w:proofErr w:type="spellStart"/>
      <w:r>
        <w:rPr>
          <w:rStyle w:val="Emphasis"/>
          <w:rFonts w:ascii="Arial" w:eastAsia="Arial" w:hAnsi="Arial" w:cs="Arial"/>
        </w:rPr>
        <w:t>Foro</w:t>
      </w:r>
      <w:proofErr w:type="spellEnd"/>
      <w:r>
        <w:rPr>
          <w:rStyle w:val="Emphasis"/>
          <w:rFonts w:ascii="Arial" w:eastAsia="Arial" w:hAnsi="Arial" w:cs="Arial"/>
        </w:rPr>
        <w:t xml:space="preserve"> de </w:t>
      </w:r>
      <w:proofErr w:type="spellStart"/>
      <w:r>
        <w:rPr>
          <w:rStyle w:val="Emphasis"/>
          <w:rFonts w:ascii="Arial" w:eastAsia="Arial" w:hAnsi="Arial" w:cs="Arial"/>
        </w:rPr>
        <w:t>Educación</w:t>
      </w:r>
      <w:proofErr w:type="spellEnd"/>
      <w:r>
        <w:rPr>
          <w:rStyle w:val="Emphasis"/>
          <w:rFonts w:ascii="Arial" w:eastAsia="Arial" w:hAnsi="Arial" w:cs="Arial"/>
        </w:rPr>
        <w:t>, 18</w:t>
      </w:r>
      <w:r>
        <w:rPr>
          <w:rFonts w:ascii="Arial" w:eastAsia="Arial" w:hAnsi="Arial" w:cs="Arial"/>
          <w:shd w:val="clear" w:color="auto" w:fill="FFFFFF"/>
        </w:rPr>
        <w:t>, 237-257.</w:t>
      </w:r>
      <w:r>
        <w:rPr>
          <w:rFonts w:ascii="Arial" w:eastAsia="Segoe UI" w:hAnsi="Arial" w:cs="Arial"/>
          <w:shd w:val="clear" w:color="auto" w:fill="FFFFFF"/>
        </w:rPr>
        <w:t>https://doi.org/10.14516/fde.726</w:t>
      </w:r>
    </w:p>
    <w:p w14:paraId="4929108D" w14:textId="77777777" w:rsidR="00767CB1" w:rsidRDefault="00767CB1">
      <w:pPr>
        <w:ind w:left="400" w:hangingChars="200" w:hanging="400"/>
        <w:jc w:val="both"/>
        <w:rPr>
          <w:rFonts w:ascii="Arial" w:eastAsia="Segoe UI" w:hAnsi="Arial" w:cs="Arial"/>
          <w:shd w:val="clear" w:color="auto" w:fill="FFFFFF"/>
        </w:rPr>
      </w:pPr>
    </w:p>
    <w:p w14:paraId="467DAB83" w14:textId="77777777" w:rsidR="00767CB1" w:rsidRDefault="00EF15D9">
      <w:pPr>
        <w:ind w:left="400" w:hangingChars="200" w:hanging="400"/>
        <w:jc w:val="both"/>
        <w:rPr>
          <w:rFonts w:ascii="Arial" w:hAnsi="Arial" w:cs="Arial"/>
        </w:rPr>
      </w:pPr>
      <w:r>
        <w:rPr>
          <w:rFonts w:ascii="Arial" w:eastAsia="SimSun" w:hAnsi="Arial" w:cs="Arial"/>
          <w:shd w:val="clear" w:color="auto" w:fill="FFFFFF"/>
        </w:rPr>
        <w:t xml:space="preserve">Toe, D. M., &amp; </w:t>
      </w:r>
      <w:proofErr w:type="spellStart"/>
      <w:r>
        <w:rPr>
          <w:rFonts w:ascii="Arial" w:eastAsia="SimSun" w:hAnsi="Arial" w:cs="Arial"/>
          <w:shd w:val="clear" w:color="auto" w:fill="FFFFFF"/>
        </w:rPr>
        <w:t>Longaretti</w:t>
      </w:r>
      <w:proofErr w:type="spellEnd"/>
      <w:r>
        <w:rPr>
          <w:rFonts w:ascii="Arial" w:eastAsia="SimSun" w:hAnsi="Arial" w:cs="Arial"/>
          <w:shd w:val="clear" w:color="auto" w:fill="FFFFFF"/>
        </w:rPr>
        <w:t>, L. (2022). Teacher efficacy in high performing teachers: Barriers and enablers for new graduates. </w:t>
      </w:r>
      <w:r>
        <w:rPr>
          <w:rFonts w:ascii="Arial" w:eastAsia="SimSun" w:hAnsi="Arial" w:cs="Arial"/>
          <w:i/>
          <w:iCs/>
          <w:shd w:val="clear" w:color="auto" w:fill="FFFFFF"/>
        </w:rPr>
        <w:t>Australian Journal of Teacher Education (Online)</w:t>
      </w:r>
      <w:r>
        <w:rPr>
          <w:rFonts w:ascii="Arial" w:eastAsia="SimSun" w:hAnsi="Arial" w:cs="Arial"/>
          <w:shd w:val="clear" w:color="auto" w:fill="FFFFFF"/>
        </w:rPr>
        <w:t>, </w:t>
      </w:r>
      <w:r>
        <w:rPr>
          <w:rFonts w:ascii="Arial" w:eastAsia="SimSun" w:hAnsi="Arial" w:cs="Arial"/>
          <w:i/>
          <w:iCs/>
          <w:shd w:val="clear" w:color="auto" w:fill="FFFFFF"/>
        </w:rPr>
        <w:t>47</w:t>
      </w:r>
      <w:r>
        <w:rPr>
          <w:rFonts w:ascii="Arial" w:eastAsia="SimSun" w:hAnsi="Arial" w:cs="Arial"/>
          <w:shd w:val="clear" w:color="auto" w:fill="FFFFFF"/>
        </w:rPr>
        <w:t>(4)</w:t>
      </w:r>
      <w:r>
        <w:rPr>
          <w:rFonts w:ascii="Arial" w:eastAsia="SimSun" w:hAnsi="Arial" w:cs="Arial"/>
          <w:shd w:val="clear" w:color="auto" w:fill="FFFFFF"/>
        </w:rPr>
        <w:t>, 1-</w:t>
      </w:r>
      <w:proofErr w:type="gramStart"/>
      <w:r>
        <w:rPr>
          <w:rFonts w:ascii="Arial" w:eastAsia="SimSun" w:hAnsi="Arial" w:cs="Arial"/>
          <w:shd w:val="clear" w:color="auto" w:fill="FFFFFF"/>
        </w:rPr>
        <w:t>20.</w:t>
      </w:r>
      <w:r>
        <w:rPr>
          <w:rFonts w:ascii="Arial" w:eastAsia="Segoe UI" w:hAnsi="Arial" w:cs="Arial"/>
          <w:shd w:val="clear" w:color="auto" w:fill="FFFFFF"/>
        </w:rPr>
        <w:t>https://doi.org/10.14221/ajte.2022v47n4.1</w:t>
      </w:r>
      <w:proofErr w:type="gramEnd"/>
    </w:p>
    <w:p w14:paraId="45002055" w14:textId="77777777" w:rsidR="00767CB1" w:rsidRDefault="00767CB1">
      <w:pPr>
        <w:pStyle w:val="Appendix"/>
        <w:spacing w:after="0"/>
        <w:jc w:val="both"/>
        <w:rPr>
          <w:rFonts w:ascii="Arial" w:hAnsi="Arial" w:cs="Arial"/>
          <w:b w:val="0"/>
          <w:sz w:val="20"/>
        </w:rPr>
        <w:sectPr w:rsidR="00767CB1">
          <w:headerReference w:type="even" r:id="rId28"/>
          <w:headerReference w:type="default" r:id="rId29"/>
          <w:footerReference w:type="default" r:id="rId30"/>
          <w:headerReference w:type="first" r:id="rId31"/>
          <w:type w:val="continuous"/>
          <w:pgSz w:w="12240" w:h="15840"/>
          <w:pgMar w:top="1440" w:right="2016" w:bottom="2016" w:left="2016" w:header="720" w:footer="1123" w:gutter="0"/>
          <w:cols w:space="720"/>
          <w:docGrid w:linePitch="272"/>
        </w:sectPr>
      </w:pPr>
    </w:p>
    <w:p w14:paraId="346B7D75" w14:textId="77777777" w:rsidR="00767CB1" w:rsidRDefault="00767CB1">
      <w:pPr>
        <w:pStyle w:val="Appendix"/>
        <w:spacing w:after="0"/>
        <w:jc w:val="both"/>
        <w:rPr>
          <w:rFonts w:ascii="Arial" w:hAnsi="Arial" w:cs="Arial"/>
          <w:b w:val="0"/>
          <w:sz w:val="20"/>
        </w:rPr>
      </w:pPr>
    </w:p>
    <w:sectPr w:rsidR="00767CB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E9FC2" w14:textId="77777777" w:rsidR="00EF15D9" w:rsidRDefault="00EF15D9">
      <w:r>
        <w:separator/>
      </w:r>
    </w:p>
  </w:endnote>
  <w:endnote w:type="continuationSeparator" w:id="0">
    <w:p w14:paraId="78C8BAD9" w14:textId="77777777" w:rsidR="00EF15D9" w:rsidRDefault="00EF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Narrow">
    <w:altName w:val="Segoe Print"/>
    <w:charset w:val="00"/>
    <w:family w:val="swiss"/>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w:altName w:val="Segoe Print"/>
    <w:charset w:val="00"/>
    <w:family w:val="swiss"/>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58A97" w14:textId="77777777" w:rsidR="00767CB1" w:rsidRDefault="00767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68" w14:textId="77777777" w:rsidR="00767CB1" w:rsidRDefault="00767C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31D6C" w14:textId="77777777" w:rsidR="00767CB1" w:rsidRDefault="00767CB1">
    <w:pPr>
      <w:pStyle w:val="Footer"/>
      <w:rPr>
        <w:rFonts w:ascii="Arial" w:hAnsi="Arial" w:cs="Arial"/>
        <w:sz w:val="16"/>
      </w:rPr>
    </w:pPr>
  </w:p>
  <w:p w14:paraId="17347AFE" w14:textId="77777777" w:rsidR="00767CB1" w:rsidRDefault="00EF15D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39E1023B" w14:textId="77777777" w:rsidR="00767CB1" w:rsidRDefault="00767CB1">
    <w:pPr>
      <w:pStyle w:val="Footer"/>
      <w:rPr>
        <w:rFonts w:ascii="Arial" w:hAnsi="Arial" w:cs="Arial"/>
        <w:sz w:val="16"/>
      </w:rPr>
    </w:pPr>
  </w:p>
  <w:p w14:paraId="2581AA7D" w14:textId="77777777" w:rsidR="00767CB1" w:rsidRDefault="00EF15D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4B2AB" w14:textId="77777777" w:rsidR="00767CB1" w:rsidRDefault="00767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26454" w14:textId="77777777" w:rsidR="00EF15D9" w:rsidRDefault="00EF15D9">
      <w:r>
        <w:separator/>
      </w:r>
    </w:p>
  </w:footnote>
  <w:footnote w:type="continuationSeparator" w:id="0">
    <w:p w14:paraId="71B8DA80" w14:textId="77777777" w:rsidR="00EF15D9" w:rsidRDefault="00EF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42238" w14:textId="77777777" w:rsidR="00767CB1" w:rsidRDefault="00EF15D9">
    <w:pPr>
      <w:pStyle w:val="Header"/>
    </w:pPr>
    <w:r>
      <w:pict w14:anchorId="5C9F3A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80938" o:spid="_x0000_s2050" type="#_x0000_t136" style="position:absolute;margin-left:0;margin-top:0;width:520.65pt;height:57.85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214B0" w14:textId="77777777" w:rsidR="00767CB1" w:rsidRDefault="00EF15D9">
    <w:pPr>
      <w:pStyle w:val="Header"/>
    </w:pPr>
    <w:r>
      <w:pict w14:anchorId="715E2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80939" o:spid="_x0000_s2051" type="#_x0000_t136" style="position:absolute;margin-left:0;margin-top:0;width:520.65pt;height:57.8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C1E75" w14:textId="77777777" w:rsidR="00767CB1" w:rsidRDefault="00EF15D9">
    <w:pPr>
      <w:ind w:left="2160"/>
      <w:jc w:val="center"/>
      <w:rPr>
        <w:rFonts w:ascii="Times New Roman" w:eastAsia="Calibri" w:hAnsi="Times New Roman"/>
        <w:i/>
        <w:sz w:val="18"/>
        <w:szCs w:val="22"/>
      </w:rPr>
    </w:pPr>
    <w:r>
      <w:pict w14:anchorId="4AA26A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80937" o:spid="_x0000_s2049" type="#_x0000_t136" style="position:absolute;left:0;text-align:left;margin-left:0;margin-top:0;width:520.65pt;height:57.8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14:paraId="3B09CD04" w14:textId="77777777" w:rsidR="00767CB1" w:rsidRDefault="00EF15D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ACB0196" w14:textId="77777777" w:rsidR="00767CB1" w:rsidRDefault="00EF15D9">
    <w:pPr>
      <w:jc w:val="center"/>
      <w:rPr>
        <w:rFonts w:ascii="Times New Roman" w:eastAsia="Calibri" w:hAnsi="Times New Roman"/>
        <w:i/>
        <w:sz w:val="18"/>
        <w:szCs w:val="22"/>
      </w:rPr>
    </w:pPr>
    <w:r>
      <w:rPr>
        <w:rFonts w:ascii="Times New Roman" w:eastAsia="Calibri" w:hAnsi="Times New Roman"/>
        <w:i/>
        <w:sz w:val="18"/>
        <w:szCs w:val="22"/>
      </w:rPr>
      <w:t>.</w:t>
    </w:r>
  </w:p>
  <w:p w14:paraId="3622A3C7" w14:textId="77777777" w:rsidR="00767CB1" w:rsidRDefault="00EF15D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62AB42D1" w14:textId="77777777" w:rsidR="00767CB1" w:rsidRDefault="00EF15D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6FC9A7F7" w14:textId="77777777" w:rsidR="00767CB1" w:rsidRDefault="00EF15D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1C273C5" w14:textId="77777777" w:rsidR="00767CB1" w:rsidRDefault="00EF15D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6897A" w14:textId="77777777" w:rsidR="00767CB1" w:rsidRDefault="00EF15D9">
    <w:pPr>
      <w:pStyle w:val="Header"/>
    </w:pPr>
    <w:r>
      <w:pict w14:anchorId="2DB646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80941" o:spid="_x0000_s2053" type="#_x0000_t136" style="position:absolute;margin-left:0;margin-top:0;width:520.65pt;height:57.85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66315" w14:textId="77777777" w:rsidR="00767CB1" w:rsidRDefault="00EF15D9">
    <w:pPr>
      <w:pStyle w:val="Header"/>
    </w:pPr>
    <w:r>
      <w:pict w14:anchorId="30A67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80942" o:spid="_x0000_s2054" type="#_x0000_t136" style="position:absolute;margin-left:0;margin-top:0;width:520.65pt;height:57.85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7BF5A" w14:textId="77777777" w:rsidR="00767CB1" w:rsidRDefault="00EF15D9">
    <w:pPr>
      <w:pStyle w:val="Header"/>
    </w:pPr>
    <w:r>
      <w:pict w14:anchorId="6115A2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80940" o:spid="_x0000_s2052" type="#_x0000_t136" style="position:absolute;margin-left:0;margin-top:0;width:520.65pt;height:57.85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D05980"/>
    <w:multiLevelType w:val="multilevel"/>
    <w:tmpl w:val="EBD05980"/>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73E25B7"/>
    <w:multiLevelType w:val="singleLevel"/>
    <w:tmpl w:val="F73E25B7"/>
    <w:lvl w:ilvl="0">
      <w:start w:val="1"/>
      <w:numFmt w:val="decimal"/>
      <w:suff w:val="space"/>
      <w:lvlText w:val="%1."/>
      <w:lvlJc w:val="left"/>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C350D"/>
    <w:rsid w:val="001C62AC"/>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D3661"/>
    <w:rsid w:val="003E2904"/>
    <w:rsid w:val="00401927"/>
    <w:rsid w:val="0041027F"/>
    <w:rsid w:val="00412475"/>
    <w:rsid w:val="00423789"/>
    <w:rsid w:val="00426664"/>
    <w:rsid w:val="00440F43"/>
    <w:rsid w:val="00441B6F"/>
    <w:rsid w:val="00446221"/>
    <w:rsid w:val="00450E62"/>
    <w:rsid w:val="004539DB"/>
    <w:rsid w:val="00471A80"/>
    <w:rsid w:val="004A39DF"/>
    <w:rsid w:val="004C178B"/>
    <w:rsid w:val="004D305E"/>
    <w:rsid w:val="004D4277"/>
    <w:rsid w:val="004E565F"/>
    <w:rsid w:val="00502516"/>
    <w:rsid w:val="00505F06"/>
    <w:rsid w:val="00506828"/>
    <w:rsid w:val="0053056E"/>
    <w:rsid w:val="00554FDA"/>
    <w:rsid w:val="005A0F47"/>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3BAE"/>
    <w:rsid w:val="007369E6"/>
    <w:rsid w:val="00746E59"/>
    <w:rsid w:val="00754C9A"/>
    <w:rsid w:val="0075599A"/>
    <w:rsid w:val="00761D52"/>
    <w:rsid w:val="00767CB1"/>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16C56"/>
    <w:rsid w:val="00927834"/>
    <w:rsid w:val="009500A6"/>
    <w:rsid w:val="00957C18"/>
    <w:rsid w:val="009659BA"/>
    <w:rsid w:val="00983040"/>
    <w:rsid w:val="009B3FB9"/>
    <w:rsid w:val="009C2465"/>
    <w:rsid w:val="009C7BB4"/>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70E3B"/>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672F"/>
    <w:rsid w:val="00C70F1B"/>
    <w:rsid w:val="00C71A47"/>
    <w:rsid w:val="00C7464C"/>
    <w:rsid w:val="00C85588"/>
    <w:rsid w:val="00CD6755"/>
    <w:rsid w:val="00CD6856"/>
    <w:rsid w:val="00CE0089"/>
    <w:rsid w:val="00CE793C"/>
    <w:rsid w:val="00CF193C"/>
    <w:rsid w:val="00D173F1"/>
    <w:rsid w:val="00D74CB0"/>
    <w:rsid w:val="00D8295D"/>
    <w:rsid w:val="00D9470C"/>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15D9"/>
    <w:rsid w:val="00EF581D"/>
    <w:rsid w:val="00EF7FD8"/>
    <w:rsid w:val="00F06F59"/>
    <w:rsid w:val="00F17988"/>
    <w:rsid w:val="00F469F0"/>
    <w:rsid w:val="00F53273"/>
    <w:rsid w:val="00F70A30"/>
    <w:rsid w:val="00F755E4"/>
    <w:rsid w:val="00F77D02"/>
    <w:rsid w:val="00FB3A86"/>
    <w:rsid w:val="00FD36C8"/>
    <w:rsid w:val="013A1150"/>
    <w:rsid w:val="028D2FBF"/>
    <w:rsid w:val="02C55317"/>
    <w:rsid w:val="02DA572A"/>
    <w:rsid w:val="031B2F72"/>
    <w:rsid w:val="03B6069E"/>
    <w:rsid w:val="0498535F"/>
    <w:rsid w:val="050126C3"/>
    <w:rsid w:val="051416E4"/>
    <w:rsid w:val="057F0D93"/>
    <w:rsid w:val="05A92A4C"/>
    <w:rsid w:val="05F2584F"/>
    <w:rsid w:val="06C605F1"/>
    <w:rsid w:val="081D74C9"/>
    <w:rsid w:val="082D0EE7"/>
    <w:rsid w:val="085B4706"/>
    <w:rsid w:val="086B4197"/>
    <w:rsid w:val="0890741D"/>
    <w:rsid w:val="09477B81"/>
    <w:rsid w:val="095E2CD0"/>
    <w:rsid w:val="09EC0632"/>
    <w:rsid w:val="0BA13F4A"/>
    <w:rsid w:val="0BAE3AB7"/>
    <w:rsid w:val="0C572C4B"/>
    <w:rsid w:val="0CF12DCE"/>
    <w:rsid w:val="0F1616A9"/>
    <w:rsid w:val="0F493E89"/>
    <w:rsid w:val="0F61774B"/>
    <w:rsid w:val="1122192A"/>
    <w:rsid w:val="12EB221A"/>
    <w:rsid w:val="14DE3B0C"/>
    <w:rsid w:val="15AA0A99"/>
    <w:rsid w:val="168B140C"/>
    <w:rsid w:val="169961A3"/>
    <w:rsid w:val="16A909BC"/>
    <w:rsid w:val="16AB3EBF"/>
    <w:rsid w:val="16AB60BD"/>
    <w:rsid w:val="171E7C59"/>
    <w:rsid w:val="174165D4"/>
    <w:rsid w:val="176973D8"/>
    <w:rsid w:val="19224548"/>
    <w:rsid w:val="195E21AF"/>
    <w:rsid w:val="19737D97"/>
    <w:rsid w:val="1B1B235E"/>
    <w:rsid w:val="1BF60B6E"/>
    <w:rsid w:val="1C037E84"/>
    <w:rsid w:val="1C9D47FF"/>
    <w:rsid w:val="1CA4563B"/>
    <w:rsid w:val="1D1979CC"/>
    <w:rsid w:val="1DB5000E"/>
    <w:rsid w:val="1EB5581B"/>
    <w:rsid w:val="1F3A674C"/>
    <w:rsid w:val="1F753FA8"/>
    <w:rsid w:val="208C2876"/>
    <w:rsid w:val="20A70EA1"/>
    <w:rsid w:val="21380790"/>
    <w:rsid w:val="21FF1375"/>
    <w:rsid w:val="220E16ED"/>
    <w:rsid w:val="227F2CA6"/>
    <w:rsid w:val="22985DCE"/>
    <w:rsid w:val="22A52EE6"/>
    <w:rsid w:val="22F66168"/>
    <w:rsid w:val="23DA77E2"/>
    <w:rsid w:val="25FF6294"/>
    <w:rsid w:val="263A3D46"/>
    <w:rsid w:val="2651396B"/>
    <w:rsid w:val="26D12FC0"/>
    <w:rsid w:val="277427C9"/>
    <w:rsid w:val="28DB09E4"/>
    <w:rsid w:val="29DE37A8"/>
    <w:rsid w:val="2A421663"/>
    <w:rsid w:val="2B3808F6"/>
    <w:rsid w:val="2B69382C"/>
    <w:rsid w:val="2BEC5050"/>
    <w:rsid w:val="2CA3348B"/>
    <w:rsid w:val="2CB646DF"/>
    <w:rsid w:val="2CD16667"/>
    <w:rsid w:val="2EE56DFD"/>
    <w:rsid w:val="2F6B035B"/>
    <w:rsid w:val="301D017F"/>
    <w:rsid w:val="30661878"/>
    <w:rsid w:val="31961F6A"/>
    <w:rsid w:val="31D23601"/>
    <w:rsid w:val="320633C0"/>
    <w:rsid w:val="3262376A"/>
    <w:rsid w:val="336A5368"/>
    <w:rsid w:val="34643001"/>
    <w:rsid w:val="348F0527"/>
    <w:rsid w:val="34E27153"/>
    <w:rsid w:val="34F82673"/>
    <w:rsid w:val="34FC447A"/>
    <w:rsid w:val="350B6C92"/>
    <w:rsid w:val="362B296D"/>
    <w:rsid w:val="371A77CF"/>
    <w:rsid w:val="372E6D18"/>
    <w:rsid w:val="386A0C9E"/>
    <w:rsid w:val="38D25839"/>
    <w:rsid w:val="38E63ECB"/>
    <w:rsid w:val="39DB7E02"/>
    <w:rsid w:val="3A312F92"/>
    <w:rsid w:val="3B0E02F8"/>
    <w:rsid w:val="3C8A298A"/>
    <w:rsid w:val="3DC34C62"/>
    <w:rsid w:val="3EA93C5B"/>
    <w:rsid w:val="3EB562F9"/>
    <w:rsid w:val="3F2A54AE"/>
    <w:rsid w:val="3F2F3A36"/>
    <w:rsid w:val="4012019D"/>
    <w:rsid w:val="40250BC9"/>
    <w:rsid w:val="40633793"/>
    <w:rsid w:val="424B1289"/>
    <w:rsid w:val="43507DFC"/>
    <w:rsid w:val="43557B07"/>
    <w:rsid w:val="44F77233"/>
    <w:rsid w:val="45282CB4"/>
    <w:rsid w:val="48C72BD1"/>
    <w:rsid w:val="495770CD"/>
    <w:rsid w:val="49734B0E"/>
    <w:rsid w:val="4A0F1A73"/>
    <w:rsid w:val="4A287AB5"/>
    <w:rsid w:val="4FBD16E0"/>
    <w:rsid w:val="50A05F11"/>
    <w:rsid w:val="52892AF8"/>
    <w:rsid w:val="539A4C6D"/>
    <w:rsid w:val="5438153A"/>
    <w:rsid w:val="55BF217F"/>
    <w:rsid w:val="56C36665"/>
    <w:rsid w:val="57096DD9"/>
    <w:rsid w:val="580D3184"/>
    <w:rsid w:val="588440C7"/>
    <w:rsid w:val="59F861A7"/>
    <w:rsid w:val="5A203AE8"/>
    <w:rsid w:val="5ACE4F06"/>
    <w:rsid w:val="5AFC3CC2"/>
    <w:rsid w:val="5B661F87"/>
    <w:rsid w:val="5C60569C"/>
    <w:rsid w:val="5C88775A"/>
    <w:rsid w:val="5DC54217"/>
    <w:rsid w:val="5E17116A"/>
    <w:rsid w:val="5F0D6ABF"/>
    <w:rsid w:val="6038246A"/>
    <w:rsid w:val="6040446F"/>
    <w:rsid w:val="61061D24"/>
    <w:rsid w:val="62C76849"/>
    <w:rsid w:val="63035AB9"/>
    <w:rsid w:val="630A5BB9"/>
    <w:rsid w:val="630F60CD"/>
    <w:rsid w:val="64680F4A"/>
    <w:rsid w:val="6472185A"/>
    <w:rsid w:val="658B078D"/>
    <w:rsid w:val="65ED0D46"/>
    <w:rsid w:val="66090676"/>
    <w:rsid w:val="66333A39"/>
    <w:rsid w:val="67C10A7D"/>
    <w:rsid w:val="67EA4979"/>
    <w:rsid w:val="68765AC9"/>
    <w:rsid w:val="69231B8D"/>
    <w:rsid w:val="694C62D0"/>
    <w:rsid w:val="69C804B5"/>
    <w:rsid w:val="6A111E64"/>
    <w:rsid w:val="6A9C3978"/>
    <w:rsid w:val="6ACE004E"/>
    <w:rsid w:val="6B3A3476"/>
    <w:rsid w:val="6B5B2582"/>
    <w:rsid w:val="6B861377"/>
    <w:rsid w:val="6BFB1A23"/>
    <w:rsid w:val="6C353CDA"/>
    <w:rsid w:val="6CCE2713"/>
    <w:rsid w:val="6DA203ED"/>
    <w:rsid w:val="6E1F57B8"/>
    <w:rsid w:val="6E6510F1"/>
    <w:rsid w:val="6EB32A1B"/>
    <w:rsid w:val="6F6C1F03"/>
    <w:rsid w:val="6FEE7863"/>
    <w:rsid w:val="70041375"/>
    <w:rsid w:val="71071DC8"/>
    <w:rsid w:val="71715E5E"/>
    <w:rsid w:val="72C806E0"/>
    <w:rsid w:val="750A4112"/>
    <w:rsid w:val="756103A4"/>
    <w:rsid w:val="77FF1DDB"/>
    <w:rsid w:val="78B64C80"/>
    <w:rsid w:val="7A2A55D6"/>
    <w:rsid w:val="7A40469E"/>
    <w:rsid w:val="7AD21826"/>
    <w:rsid w:val="7B2A209D"/>
    <w:rsid w:val="7B77219D"/>
    <w:rsid w:val="7BD36D61"/>
    <w:rsid w:val="7C607F1C"/>
    <w:rsid w:val="7CE61294"/>
    <w:rsid w:val="7CE64CD8"/>
    <w:rsid w:val="7DF734B5"/>
    <w:rsid w:val="7E6F4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rules v:ext="edit">
        <o:r id="V:Rule1" type="connector" idref="#_x0000_s1026"/>
      </o:rules>
    </o:shapelayout>
  </w:shapeDefaults>
  <w:decimalSymbol w:val="."/>
  <w:listSeparator w:val=","/>
  <w14:docId w14:val="0F2A9D0D"/>
  <w15:docId w15:val="{8574369B-E754-49D1-A3AD-65C0E39A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qFormat/>
    <w:pPr>
      <w:spacing w:beforeAutospacing="1" w:afterAutospacing="1"/>
    </w:pPr>
    <w:rPr>
      <w:sz w:val="24"/>
      <w:szCs w:val="24"/>
      <w:lang w:eastAsia="zh-CN"/>
    </w:rPr>
  </w:style>
  <w:style w:type="paragraph" w:styleId="Signature">
    <w:name w:val="Signature"/>
    <w:basedOn w:val="Normal"/>
    <w:qFormat/>
    <w:pPr>
      <w:ind w:left="4320"/>
    </w:pPr>
  </w:style>
  <w:style w:type="character" w:styleId="Strong">
    <w:name w:val="Strong"/>
    <w:basedOn w:val="DefaultParagraphFont"/>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uiPriority w:val="1"/>
    <w:qFormat/>
    <w:rPr>
      <w:rFonts w:ascii="Calibri" w:eastAsia="Calibri" w:hAnsi="Calibri"/>
      <w:sz w:val="22"/>
      <w:szCs w:val="22"/>
    </w:rPr>
  </w:style>
  <w:style w:type="paragraph" w:styleId="ListParagraph">
    <w:name w:val="List Paragraph"/>
    <w:basedOn w:val="Normal"/>
    <w:uiPriority w:val="99"/>
    <w:unhideWhenUsed/>
    <w:qFormat/>
    <w:pPr>
      <w:ind w:left="720"/>
      <w:contextualSpacing/>
    </w:p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1177/031289628801300" TargetMode="External"/><Relationship Id="rId26" Type="http://schemas.openxmlformats.org/officeDocument/2006/relationships/hyperlink" Target="https://doi.org/10.22158/wjer.v5n2p134" TargetMode="External"/><Relationship Id="rId3" Type="http://schemas.openxmlformats.org/officeDocument/2006/relationships/numbering" Target="numbering.xml"/><Relationship Id="rId21" Type="http://schemas.openxmlformats.org/officeDocument/2006/relationships/hyperlink" Target="https://doi.org/10.1080/0013188870290102"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psycnet.apa.org/record/1985-98423-000" TargetMode="External"/><Relationship Id="rId25" Type="http://schemas.openxmlformats.org/officeDocument/2006/relationships/hyperlink" Target="https://doi.org/10.1177/0022487118791992https:/doi.org/10.1177/002248711879199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007/s35834-022-00343-9" TargetMode="External"/><Relationship Id="rId20" Type="http://schemas.openxmlformats.org/officeDocument/2006/relationships/hyperlink" Target="https://doi.org/10.1037/0022-0663.76.4.569"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177/00049441211060474"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53378/353011" TargetMode="External"/><Relationship Id="rId23" Type="http://schemas.openxmlformats.org/officeDocument/2006/relationships/hyperlink" Target="https://doi.org/10.1177/21582440221149005"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doi.org/10.18502/kss.v4i4.6464" TargetMode="External"/><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080/08878730.2021.2003496" TargetMode="External"/><Relationship Id="rId27" Type="http://schemas.openxmlformats.org/officeDocument/2006/relationships/hyperlink" Target="https://doi.org/10.57126/noad.v8i1.8683" TargetMode="External"/><Relationship Id="rId30" Type="http://schemas.openxmlformats.org/officeDocument/2006/relationships/footer" Target="footer4.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018B7A-C960-490E-88F9-F4809FACB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12</Pages>
  <Words>5709</Words>
  <Characters>32544</Characters>
  <Application>Microsoft Office Word</Application>
  <DocSecurity>0</DocSecurity>
  <Lines>271</Lines>
  <Paragraphs>76</Paragraphs>
  <ScaleCrop>false</ScaleCrop>
  <Company>aaaa</Company>
  <LinksUpToDate>false</LinksUpToDate>
  <CharactersWithSpaces>38177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12</cp:revision>
  <cp:lastPrinted>1999-07-06T11:00:00Z</cp:lastPrinted>
  <dcterms:created xsi:type="dcterms:W3CDTF">2014-10-25T14:34:00Z</dcterms:created>
  <dcterms:modified xsi:type="dcterms:W3CDTF">2025-04-28T07:46:00Z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07BCA11FCC65406AB399C1CF95CBB757_12</vt:lpwstr>
  </property>
</Properties>
</file>