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520AD" w14:textId="77777777" w:rsidR="00020A60" w:rsidRDefault="00020A60">
      <w:pPr>
        <w:pStyle w:val="Title"/>
        <w:spacing w:after="0"/>
        <w:jc w:val="both"/>
        <w:rPr>
          <w:rFonts w:ascii="Arial" w:hAnsi="Arial" w:cs="Arial"/>
        </w:rPr>
      </w:pPr>
    </w:p>
    <w:p w14:paraId="18D2FEDB" w14:textId="77777777" w:rsidR="00020A60" w:rsidRPr="00994F1E" w:rsidRDefault="00A31FC3">
      <w:pPr>
        <w:pStyle w:val="Author"/>
        <w:spacing w:line="240" w:lineRule="auto"/>
        <w:rPr>
          <w:rFonts w:ascii="Arial" w:hAnsi="Arial" w:cs="Arial"/>
          <w:bCs/>
          <w:iCs/>
          <w:color w:val="000000" w:themeColor="text1"/>
          <w:kern w:val="28"/>
          <w:sz w:val="36"/>
        </w:rPr>
      </w:pPr>
      <w:r w:rsidRPr="00994F1E">
        <w:rPr>
          <w:rFonts w:ascii="Arial" w:hAnsi="Arial" w:cs="Arial" w:hint="eastAsia"/>
          <w:bCs/>
          <w:iCs/>
          <w:color w:val="000000" w:themeColor="text1"/>
          <w:kern w:val="28"/>
          <w:sz w:val="36"/>
        </w:rPr>
        <w:t>Pathways and Indicators for Advancing Internationalization in STEM Universities in Underdeveloped Regions of Western China</w:t>
      </w:r>
      <w:r w:rsidRPr="00994F1E">
        <w:rPr>
          <w:rFonts w:ascii="Arial" w:hAnsi="Arial" w:cs="Arial"/>
          <w:bCs/>
          <w:iCs/>
          <w:color w:val="000000" w:themeColor="text1"/>
          <w:kern w:val="28"/>
          <w:sz w:val="36"/>
        </w:rPr>
        <w:t xml:space="preserve"> </w:t>
      </w:r>
    </w:p>
    <w:p w14:paraId="6C544192" w14:textId="77777777" w:rsidR="00020A60" w:rsidRDefault="00020A60">
      <w:pPr>
        <w:pStyle w:val="Author"/>
        <w:spacing w:line="240" w:lineRule="auto"/>
        <w:jc w:val="both"/>
        <w:rPr>
          <w:rFonts w:ascii="Arial" w:hAnsi="Arial" w:cs="Arial"/>
          <w:sz w:val="36"/>
        </w:rPr>
      </w:pPr>
    </w:p>
    <w:p w14:paraId="1FD33864" w14:textId="77777777" w:rsidR="00020A60" w:rsidRDefault="00020A60">
      <w:pPr>
        <w:pStyle w:val="Affiliation"/>
        <w:spacing w:after="0" w:line="240" w:lineRule="auto"/>
        <w:jc w:val="both"/>
        <w:rPr>
          <w:rFonts w:ascii="Arial" w:hAnsi="Arial" w:cs="Arial"/>
        </w:rPr>
      </w:pPr>
    </w:p>
    <w:p w14:paraId="74D5232B" w14:textId="77777777" w:rsidR="00020A60" w:rsidRDefault="00020A60">
      <w:pPr>
        <w:pStyle w:val="Affiliation"/>
        <w:spacing w:after="0" w:line="240" w:lineRule="auto"/>
        <w:jc w:val="both"/>
        <w:rPr>
          <w:rFonts w:ascii="Arial" w:hAnsi="Arial" w:cs="Arial"/>
        </w:rPr>
      </w:pPr>
    </w:p>
    <w:p w14:paraId="02D58C86" w14:textId="77777777" w:rsidR="00020A60" w:rsidRDefault="00A31FC3">
      <w:pPr>
        <w:pStyle w:val="Copyright"/>
        <w:spacing w:after="0" w:line="240" w:lineRule="auto"/>
        <w:jc w:val="both"/>
        <w:rPr>
          <w:rFonts w:ascii="Arial" w:hAnsi="Arial" w:cs="Arial"/>
        </w:rPr>
        <w:sectPr w:rsidR="00020A60">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rPr>
      </w:r>
      <w:r>
        <w:rPr>
          <w:rFonts w:ascii="Arial" w:hAnsi="Arial" w:cs="Arial"/>
        </w:rPr>
        <w:pict w14:anchorId="3CF5B1EF">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Pr>
          <w:rFonts w:ascii="Arial" w:hAnsi="Arial" w:cs="Arial"/>
        </w:rPr>
        <w:t>.</w:t>
      </w:r>
    </w:p>
    <w:p w14:paraId="079C7648" w14:textId="77777777" w:rsidR="00020A60" w:rsidRDefault="00A31FC3">
      <w:pPr>
        <w:pStyle w:val="AbstHead"/>
        <w:spacing w:after="0"/>
        <w:jc w:val="both"/>
        <w:rPr>
          <w:rFonts w:ascii="Arial" w:hAnsi="Arial" w:cs="Arial"/>
        </w:rPr>
      </w:pPr>
      <w:r>
        <w:rPr>
          <w:rFonts w:ascii="Arial" w:hAnsi="Arial" w:cs="Arial"/>
        </w:rPr>
        <w:t>ABSTRACT</w:t>
      </w:r>
    </w:p>
    <w:p w14:paraId="667B7CF8" w14:textId="77777777" w:rsidR="00020A60" w:rsidRDefault="00020A60">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020A60" w14:paraId="43151901" w14:textId="77777777">
        <w:tc>
          <w:tcPr>
            <w:tcW w:w="9576" w:type="dxa"/>
            <w:shd w:val="clear" w:color="auto" w:fill="F2F2F2"/>
          </w:tcPr>
          <w:p w14:paraId="4ABF549E" w14:textId="77777777" w:rsidR="00020A60" w:rsidRDefault="00A31FC3">
            <w:pPr>
              <w:pStyle w:val="Body"/>
              <w:spacing w:after="0"/>
              <w:rPr>
                <w:rFonts w:ascii="Arial" w:eastAsia="Calibri" w:hAnsi="Arial" w:cs="Arial"/>
                <w:szCs w:val="22"/>
              </w:rPr>
            </w:pPr>
            <w:r>
              <w:rPr>
                <w:rFonts w:ascii="Arial" w:eastAsia="Calibri" w:hAnsi="Arial" w:cs="Arial" w:hint="eastAsia"/>
                <w:szCs w:val="22"/>
              </w:rPr>
              <w:t>Against the backdrop of accelerating internationalization in global higher education, STEM universities in China's underdeveloped western regions face multifaceted constraints in their international developmen</w:t>
            </w:r>
            <w:r>
              <w:rPr>
                <w:rFonts w:ascii="Arial" w:eastAsia="Calibri" w:hAnsi="Arial" w:cs="Arial" w:hint="eastAsia"/>
                <w:szCs w:val="22"/>
              </w:rPr>
              <w:t xml:space="preserve">t, including resource limitations, geographical disadvantages, and disciplinary structural challenges. Grounded in the composite ecosystem theory and </w:t>
            </w:r>
            <w:proofErr w:type="spellStart"/>
            <w:r>
              <w:rPr>
                <w:rFonts w:ascii="Arial" w:eastAsia="Calibri" w:hAnsi="Arial" w:cs="Arial" w:hint="eastAsia"/>
                <w:szCs w:val="22"/>
              </w:rPr>
              <w:t>Altbach's</w:t>
            </w:r>
            <w:proofErr w:type="spellEnd"/>
            <w:r>
              <w:rPr>
                <w:rFonts w:ascii="Arial" w:eastAsia="Calibri" w:hAnsi="Arial" w:cs="Arial" w:hint="eastAsia"/>
                <w:szCs w:val="22"/>
              </w:rPr>
              <w:t xml:space="preserve"> (2016) center-periphery model, this study constructs an internationalization evaluation index sy</w:t>
            </w:r>
            <w:r>
              <w:rPr>
                <w:rFonts w:ascii="Arial" w:eastAsia="Calibri" w:hAnsi="Arial" w:cs="Arial" w:hint="eastAsia"/>
                <w:szCs w:val="22"/>
              </w:rPr>
              <w:t>stem encompassing four dimensions: human resources, academic output, institutional support, and cultural integration. Employing a mixed-methods approach, we conducted empirical analyses of 12 STEM universities in western China through questionnaire surveys</w:t>
            </w:r>
            <w:r>
              <w:rPr>
                <w:rFonts w:ascii="Arial" w:eastAsia="Calibri" w:hAnsi="Arial" w:cs="Arial" w:hint="eastAsia"/>
                <w:szCs w:val="22"/>
              </w:rPr>
              <w:t xml:space="preserve"> (N=428) and in-depth interviews (n=36). Findings reveal that the sample institutions' average internationalization composite index reaches merely 47.3% of their eastern counterparts, with critical deficiencies including international research collaboratio</w:t>
            </w:r>
            <w:r>
              <w:rPr>
                <w:rFonts w:ascii="Arial" w:eastAsia="Calibri" w:hAnsi="Arial" w:cs="Arial" w:hint="eastAsia"/>
                <w:szCs w:val="22"/>
              </w:rPr>
              <w:t>n rates (&lt;15%), English-taught course coverage (8.2</w:t>
            </w:r>
            <w:r>
              <w:rPr>
                <w:rFonts w:ascii="Arial" w:eastAsia="Calibri" w:hAnsi="Arial" w:cs="Arial" w:hint="eastAsia"/>
                <w:szCs w:val="22"/>
              </w:rPr>
              <w:t>±</w:t>
            </w:r>
            <w:r>
              <w:rPr>
                <w:rFonts w:ascii="Arial" w:eastAsia="Calibri" w:hAnsi="Arial" w:cs="Arial" w:hint="eastAsia"/>
                <w:szCs w:val="22"/>
              </w:rPr>
              <w:t>3.6%), and proportion of international faculty (2.1</w:t>
            </w:r>
            <w:r>
              <w:rPr>
                <w:rFonts w:ascii="Arial" w:eastAsia="Calibri" w:hAnsi="Arial" w:cs="Arial" w:hint="eastAsia"/>
                <w:szCs w:val="22"/>
              </w:rPr>
              <w:t>±</w:t>
            </w:r>
            <w:r>
              <w:rPr>
                <w:rFonts w:ascii="Arial" w:eastAsia="Calibri" w:hAnsi="Arial" w:cs="Arial" w:hint="eastAsia"/>
                <w:szCs w:val="22"/>
              </w:rPr>
              <w:t>0.7%). The study further identifies two core constraints: digital application levels (e.g., 28.6% adoption rate of international MOOC platforms vs. 61.3</w:t>
            </w:r>
            <w:r>
              <w:rPr>
                <w:rFonts w:ascii="Arial" w:eastAsia="Calibri" w:hAnsi="Arial" w:cs="Arial" w:hint="eastAsia"/>
                <w:szCs w:val="22"/>
              </w:rPr>
              <w:t>% in eastern institutions) and disciplinary homogeneity (73.5% of international collaborations concentrated in materials science). Through data analysis and case studies (e.g., University B's virtual teaching-research unit achieving 210% growth in internat</w:t>
            </w:r>
            <w:r>
              <w:rPr>
                <w:rFonts w:ascii="Arial" w:eastAsia="Calibri" w:hAnsi="Arial" w:cs="Arial" w:hint="eastAsia"/>
                <w:szCs w:val="22"/>
              </w:rPr>
              <w:t>ional collaborations), we propose a quadripartite synergy model involving government, industry, academia, and research sectors. The model demonstrates digital international platforms' significant positive effect on research output (2.1-fold increase in int</w:t>
            </w:r>
            <w:r>
              <w:rPr>
                <w:rFonts w:ascii="Arial" w:eastAsia="Calibri" w:hAnsi="Arial" w:cs="Arial" w:hint="eastAsia"/>
                <w:szCs w:val="22"/>
              </w:rPr>
              <w:t xml:space="preserve">ernationally co-authored papers, p&lt;0.01). This research provides both theoretical frameworks and practical strategies to overcome internationalization bottlenecks for </w:t>
            </w:r>
            <w:r>
              <w:rPr>
                <w:rFonts w:ascii="Arial" w:eastAsia="SimSun" w:hAnsi="Arial" w:cs="Arial" w:hint="eastAsia"/>
                <w:szCs w:val="22"/>
                <w:lang w:eastAsia="zh-CN"/>
              </w:rPr>
              <w:t>Western Chinese STEM universities</w:t>
            </w:r>
            <w:r>
              <w:rPr>
                <w:rFonts w:ascii="Arial" w:eastAsia="Calibri" w:hAnsi="Arial" w:cs="Arial" w:hint="eastAsia"/>
                <w:szCs w:val="22"/>
              </w:rPr>
              <w:t>, offering policy-relevant insights for promoting balanc</w:t>
            </w:r>
            <w:r>
              <w:rPr>
                <w:rFonts w:ascii="Arial" w:eastAsia="Calibri" w:hAnsi="Arial" w:cs="Arial" w:hint="eastAsia"/>
                <w:szCs w:val="22"/>
              </w:rPr>
              <w:t>ed regional development in higher education.</w:t>
            </w:r>
          </w:p>
        </w:tc>
      </w:tr>
    </w:tbl>
    <w:p w14:paraId="72F651B5" w14:textId="77777777" w:rsidR="00020A60" w:rsidRDefault="00020A60">
      <w:pPr>
        <w:pStyle w:val="Body"/>
        <w:spacing w:after="0"/>
        <w:rPr>
          <w:rFonts w:ascii="Arial" w:hAnsi="Arial" w:cs="Arial"/>
          <w:i/>
        </w:rPr>
      </w:pPr>
    </w:p>
    <w:p w14:paraId="78A4807B" w14:textId="77777777" w:rsidR="00020A60" w:rsidRDefault="00A31FC3">
      <w:pPr>
        <w:pStyle w:val="Body"/>
        <w:spacing w:after="0"/>
        <w:rPr>
          <w:rFonts w:ascii="Arial" w:hAnsi="Arial" w:cs="Arial"/>
          <w:i/>
        </w:rPr>
      </w:pPr>
      <w:r>
        <w:rPr>
          <w:rFonts w:ascii="Arial" w:hAnsi="Arial" w:cs="Arial"/>
          <w:i/>
        </w:rPr>
        <w:t>Keywords:</w:t>
      </w:r>
      <w:r>
        <w:rPr>
          <w:rFonts w:ascii="Arial" w:eastAsia="SimSun" w:hAnsi="Arial" w:cs="Arial" w:hint="eastAsia"/>
          <w:i/>
          <w:lang w:eastAsia="zh-CN"/>
        </w:rPr>
        <w:t xml:space="preserve"> W</w:t>
      </w:r>
      <w:r>
        <w:rPr>
          <w:rFonts w:ascii="Arial" w:hAnsi="Arial" w:cs="Arial" w:hint="eastAsia"/>
          <w:i/>
        </w:rPr>
        <w:t>estern Chinese STEM universities; internationalization development; evaluation index system; digital empowerment; development strategies</w:t>
      </w:r>
    </w:p>
    <w:p w14:paraId="79FF6D58" w14:textId="77777777" w:rsidR="00020A60" w:rsidRDefault="00020A60">
      <w:pPr>
        <w:pStyle w:val="Body"/>
        <w:spacing w:after="0"/>
        <w:rPr>
          <w:rFonts w:ascii="Arial" w:hAnsi="Arial" w:cs="Arial"/>
          <w:i/>
        </w:rPr>
      </w:pPr>
    </w:p>
    <w:p w14:paraId="3D88CDF4" w14:textId="77777777" w:rsidR="00020A60" w:rsidRDefault="00020A60">
      <w:pPr>
        <w:pStyle w:val="Body"/>
        <w:spacing w:after="0"/>
        <w:rPr>
          <w:rFonts w:ascii="Arial" w:hAnsi="Arial" w:cs="Arial"/>
          <w:i/>
        </w:rPr>
      </w:pPr>
    </w:p>
    <w:p w14:paraId="55E4290E" w14:textId="77777777" w:rsidR="00020A60" w:rsidRDefault="00A31FC3">
      <w:pPr>
        <w:pStyle w:val="AbstHead"/>
        <w:spacing w:after="0"/>
        <w:jc w:val="both"/>
        <w:rPr>
          <w:rFonts w:ascii="Arial" w:hAnsi="Arial" w:cs="Arial"/>
        </w:rPr>
      </w:pPr>
      <w:r>
        <w:rPr>
          <w:rFonts w:ascii="Arial" w:hAnsi="Arial" w:cs="Arial"/>
        </w:rPr>
        <w:t>1. INTRODUCTION</w:t>
      </w:r>
    </w:p>
    <w:p w14:paraId="512C70EF" w14:textId="77777777" w:rsidR="00020A60" w:rsidRDefault="00020A60">
      <w:pPr>
        <w:pStyle w:val="AbstHead"/>
        <w:spacing w:after="0"/>
        <w:jc w:val="both"/>
        <w:rPr>
          <w:rFonts w:ascii="Arial" w:hAnsi="Arial" w:cs="Arial"/>
        </w:rPr>
      </w:pPr>
    </w:p>
    <w:p w14:paraId="48D86A56" w14:textId="77777777" w:rsidR="00020A60" w:rsidRDefault="00A31FC3">
      <w:pPr>
        <w:pStyle w:val="Body"/>
        <w:spacing w:after="0"/>
        <w:rPr>
          <w:rFonts w:ascii="Arial" w:hAnsi="Arial" w:cs="Arial"/>
        </w:rPr>
      </w:pPr>
      <w:r>
        <w:rPr>
          <w:rFonts w:ascii="Arial" w:hAnsi="Arial" w:cs="Arial" w:hint="eastAsia"/>
        </w:rPr>
        <w:t>In the context of increasingly competitive</w:t>
      </w:r>
      <w:r>
        <w:rPr>
          <w:rFonts w:ascii="Arial" w:hAnsi="Arial" w:cs="Arial" w:hint="eastAsia"/>
        </w:rPr>
        <w:t xml:space="preserve"> global higher education, internationalization has become a critical indicator of institutional competitiveness and influence (de Wit &amp; </w:t>
      </w:r>
      <w:proofErr w:type="spellStart"/>
      <w:r>
        <w:rPr>
          <w:rFonts w:ascii="Arial" w:hAnsi="Arial" w:cs="Arial" w:hint="eastAsia"/>
        </w:rPr>
        <w:t>Altbach</w:t>
      </w:r>
      <w:proofErr w:type="spellEnd"/>
      <w:r>
        <w:rPr>
          <w:rFonts w:ascii="Arial" w:hAnsi="Arial" w:cs="Arial" w:hint="eastAsia"/>
        </w:rPr>
        <w:t>, 2020). However, STEM universities in China's underdeveloped western regions face a pronounced "dual marginaliza</w:t>
      </w:r>
      <w:r>
        <w:rPr>
          <w:rFonts w:ascii="Arial" w:hAnsi="Arial" w:cs="Arial" w:hint="eastAsia"/>
        </w:rPr>
        <w:t>tion" dilemma—constrained by regional economic disparities while simultaneously occupying peripheral positions in global academic hierarchies (UNESCO, 2021). According to 2023 statistics from the Ministry of Education, western institutions account for mere</w:t>
      </w:r>
      <w:r>
        <w:rPr>
          <w:rFonts w:ascii="Arial" w:hAnsi="Arial" w:cs="Arial" w:hint="eastAsia"/>
        </w:rPr>
        <w:t xml:space="preserve">ly 9.8% of Sino-foreign cooperative education programs nationwide, with international student enrollment below 5%, significantly lagging behind coastal counterparts (Ministry of Education, 2023). This disparity not only limits global </w:t>
      </w:r>
      <w:r>
        <w:rPr>
          <w:rFonts w:ascii="Arial" w:hAnsi="Arial" w:cs="Arial" w:hint="eastAsia"/>
        </w:rPr>
        <w:lastRenderedPageBreak/>
        <w:t>competitiveness but al</w:t>
      </w:r>
      <w:r>
        <w:rPr>
          <w:rFonts w:ascii="Arial" w:hAnsi="Arial" w:cs="Arial" w:hint="eastAsia"/>
        </w:rPr>
        <w:t>so impedes the strategic alignment with China's Belt and Road Initiative in higher education internationalization (Yue et al., 2022).</w:t>
      </w:r>
    </w:p>
    <w:p w14:paraId="2E76E92B" w14:textId="77777777" w:rsidR="00020A60" w:rsidRDefault="00020A60">
      <w:pPr>
        <w:pStyle w:val="Body"/>
        <w:spacing w:after="0"/>
        <w:rPr>
          <w:rFonts w:ascii="Arial" w:hAnsi="Arial" w:cs="Arial"/>
        </w:rPr>
      </w:pPr>
    </w:p>
    <w:p w14:paraId="0DC0B433" w14:textId="77777777" w:rsidR="00020A60" w:rsidRDefault="00A31FC3">
      <w:pPr>
        <w:pStyle w:val="Body"/>
        <w:spacing w:after="0"/>
        <w:rPr>
          <w:rFonts w:ascii="Arial" w:eastAsia="SimSun" w:hAnsi="Arial" w:cs="Arial"/>
          <w:color w:val="0000FF"/>
          <w:lang w:eastAsia="zh-CN"/>
        </w:rPr>
      </w:pPr>
      <w:r>
        <w:rPr>
          <w:rFonts w:ascii="Arial" w:hAnsi="Arial" w:cs="Arial" w:hint="eastAsia"/>
        </w:rPr>
        <w:t xml:space="preserve">The internationalization of STEM universities exhibits distinct characteristics. Compared to comprehensive universities, </w:t>
      </w:r>
      <w:r>
        <w:rPr>
          <w:rFonts w:ascii="Arial" w:hAnsi="Arial" w:cs="Arial" w:hint="eastAsia"/>
        </w:rPr>
        <w:t>these institutions demonstrate greater reliance on experimental facilities, research collaboration, and technology transfer—resources that remain unevenly distributed across western regions (Han et al., 2023). Empirical studies reveal that international re</w:t>
      </w:r>
      <w:r>
        <w:rPr>
          <w:rFonts w:ascii="Arial" w:hAnsi="Arial" w:cs="Arial" w:hint="eastAsia"/>
        </w:rPr>
        <w:t xml:space="preserve">search partnerships in </w:t>
      </w:r>
      <w:r>
        <w:rPr>
          <w:rFonts w:ascii="Arial" w:eastAsia="SimSun" w:hAnsi="Arial" w:cs="Arial" w:hint="eastAsia"/>
          <w:lang w:eastAsia="zh-CN"/>
        </w:rPr>
        <w:t>Western Chinese STEM universities</w:t>
      </w:r>
      <w:r>
        <w:rPr>
          <w:rFonts w:ascii="Arial" w:hAnsi="Arial" w:cs="Arial" w:hint="eastAsia"/>
        </w:rPr>
        <w:t xml:space="preserve"> predominantly concentrate in traditional disciplines like materials science and engineering (exceeding 70% of collaborations), while emerging fields such as computer science and environmental enginee</w:t>
      </w:r>
      <w:r>
        <w:rPr>
          <w:rFonts w:ascii="Arial" w:hAnsi="Arial" w:cs="Arial" w:hint="eastAsia"/>
        </w:rPr>
        <w:t>ring account for less than 10% (</w:t>
      </w:r>
      <w:proofErr w:type="spellStart"/>
      <w:r>
        <w:rPr>
          <w:rFonts w:ascii="Arial" w:hAnsi="Arial" w:cs="Arial" w:hint="eastAsia"/>
        </w:rPr>
        <w:t>Suhirman</w:t>
      </w:r>
      <w:proofErr w:type="spellEnd"/>
      <w:r>
        <w:rPr>
          <w:rFonts w:ascii="Arial" w:hAnsi="Arial" w:cs="Arial" w:hint="eastAsia"/>
        </w:rPr>
        <w:t>, 2023). This disciplinary homogeneity reinforces path dependency in internationalization. Furthermore, linguistic barriers, inadequate digital infrastructure, and underdeveloped international governance mechanisms c</w:t>
      </w:r>
      <w:r>
        <w:rPr>
          <w:rFonts w:ascii="Arial" w:hAnsi="Arial" w:cs="Arial" w:hint="eastAsia"/>
        </w:rPr>
        <w:t>onstitute critical impediments to substantive collaboration with globally leading institutions (Herrmann et al., 2017).</w:t>
      </w:r>
      <w:r>
        <w:rPr>
          <w:rFonts w:ascii="Arial" w:eastAsia="SimSun" w:hAnsi="Arial" w:cs="Arial" w:hint="eastAsia"/>
          <w:lang w:eastAsia="zh-CN"/>
        </w:rPr>
        <w:t xml:space="preserve">  </w:t>
      </w:r>
      <w:r>
        <w:rPr>
          <w:rFonts w:ascii="Arial" w:eastAsia="SimSun" w:hAnsi="Arial" w:cs="Arial" w:hint="eastAsia"/>
          <w:color w:val="0000FF"/>
          <w:lang w:eastAsia="zh-CN"/>
        </w:rPr>
        <w:t>STEM universities in China's underdeveloped western regions face multifaceted constraints in their international development, including</w:t>
      </w:r>
      <w:r>
        <w:rPr>
          <w:rFonts w:ascii="Arial" w:eastAsia="SimSun" w:hAnsi="Arial" w:cs="Arial" w:hint="eastAsia"/>
          <w:color w:val="0000FF"/>
          <w:lang w:eastAsia="zh-CN"/>
        </w:rPr>
        <w:t xml:space="preserve"> resource limitations, geographical disadvantages, and disciplinary structural challenges (Bhandari &amp; Blumenthal, 2011</w:t>
      </w:r>
      <w:proofErr w:type="gramStart"/>
      <w:r>
        <w:rPr>
          <w:rFonts w:ascii="Arial" w:eastAsia="SimSun" w:hAnsi="Arial" w:cs="Arial" w:hint="eastAsia"/>
          <w:color w:val="0000FF"/>
          <w:lang w:eastAsia="zh-CN"/>
        </w:rPr>
        <w:t>) .</w:t>
      </w:r>
      <w:proofErr w:type="gramEnd"/>
    </w:p>
    <w:p w14:paraId="64DD9868" w14:textId="77777777" w:rsidR="00020A60" w:rsidRDefault="00020A60">
      <w:pPr>
        <w:pStyle w:val="Body"/>
        <w:spacing w:after="0"/>
        <w:rPr>
          <w:rFonts w:ascii="Arial" w:eastAsia="SimSun" w:hAnsi="Arial" w:cs="Arial"/>
          <w:lang w:eastAsia="zh-CN"/>
        </w:rPr>
      </w:pPr>
    </w:p>
    <w:p w14:paraId="0BABF5D8" w14:textId="77777777" w:rsidR="00020A60" w:rsidRDefault="00A31FC3">
      <w:pPr>
        <w:pStyle w:val="Body"/>
        <w:spacing w:after="0"/>
        <w:rPr>
          <w:rFonts w:ascii="Arial" w:hAnsi="Arial" w:cs="Arial"/>
        </w:rPr>
      </w:pPr>
      <w:r>
        <w:rPr>
          <w:rFonts w:ascii="Arial" w:hAnsi="Arial" w:cs="Arial" w:hint="eastAsia"/>
        </w:rPr>
        <w:t>Theoretical perspectives on higher education internationalization have historically prioritized developed economies and elite institu</w:t>
      </w:r>
      <w:r>
        <w:rPr>
          <w:rFonts w:ascii="Arial" w:hAnsi="Arial" w:cs="Arial" w:hint="eastAsia"/>
        </w:rPr>
        <w:t>tions, resulting in limited systematic analysis of underdeveloped regions (</w:t>
      </w:r>
      <w:proofErr w:type="spellStart"/>
      <w:r>
        <w:rPr>
          <w:rFonts w:ascii="Arial" w:hAnsi="Arial" w:cs="Arial" w:hint="eastAsia"/>
        </w:rPr>
        <w:t>Altbach</w:t>
      </w:r>
      <w:proofErr w:type="spellEnd"/>
      <w:r>
        <w:rPr>
          <w:rFonts w:ascii="Arial" w:hAnsi="Arial" w:cs="Arial" w:hint="eastAsia"/>
        </w:rPr>
        <w:t>, 2016). Conventional frameworks like Knight's (2011) "Internationalization Cycle Model" frequently overlook regional disparities and resource constraints, rendering them ina</w:t>
      </w:r>
      <w:r>
        <w:rPr>
          <w:rFonts w:ascii="Arial" w:hAnsi="Arial" w:cs="Arial" w:hint="eastAsia"/>
        </w:rPr>
        <w:t>dequate for western STEM contexts. Recent scholarship has begun applying center-periphery theory to internationalization, advocating differentiated strategies for non-core institutions (UNESCO, 2021). However, such studies predominantly focus on macro-leve</w:t>
      </w:r>
      <w:r>
        <w:rPr>
          <w:rFonts w:ascii="Arial" w:hAnsi="Arial" w:cs="Arial" w:hint="eastAsia"/>
        </w:rPr>
        <w:t>l policy discussions without developing actionable indicator systems or empirical validation.</w:t>
      </w:r>
    </w:p>
    <w:p w14:paraId="358DC9CA" w14:textId="77777777" w:rsidR="00020A60" w:rsidRDefault="00020A60">
      <w:pPr>
        <w:pStyle w:val="Body"/>
        <w:spacing w:after="0"/>
        <w:rPr>
          <w:rFonts w:ascii="Arial" w:hAnsi="Arial" w:cs="Arial"/>
        </w:rPr>
      </w:pPr>
    </w:p>
    <w:p w14:paraId="753170D5" w14:textId="77777777" w:rsidR="00020A60" w:rsidRDefault="00A31FC3">
      <w:pPr>
        <w:pStyle w:val="Body"/>
        <w:spacing w:after="0"/>
        <w:rPr>
          <w:rFonts w:ascii="Arial" w:hAnsi="Arial" w:cs="Arial"/>
        </w:rPr>
      </w:pPr>
      <w:r>
        <w:rPr>
          <w:rFonts w:ascii="Arial" w:hAnsi="Arial" w:cs="Arial" w:hint="eastAsia"/>
        </w:rPr>
        <w:t>Addressing these gaps, this study employs composite ecosystem theory to construct an internationalization assessment framework incorporating institutional, resou</w:t>
      </w:r>
      <w:r>
        <w:rPr>
          <w:rFonts w:ascii="Arial" w:hAnsi="Arial" w:cs="Arial" w:hint="eastAsia"/>
        </w:rPr>
        <w:t>rce, cultural, and technological dimensions. Through mixed-methods research (quantitative surveys + qualitative interviews) across 12 sample institutions, we investigate: (1) Key constraints hindering internationalization; (2) Development of a scientifical</w:t>
      </w:r>
      <w:r>
        <w:rPr>
          <w:rFonts w:ascii="Arial" w:hAnsi="Arial" w:cs="Arial" w:hint="eastAsia"/>
        </w:rPr>
        <w:t>ly robust indicator system; (3) Digital technologies' efficacy in overcoming resource limitations. The findings theoretically enrich the literature while providing policymakers with evidence-based strategies to transition western higher education from "per</w:t>
      </w:r>
      <w:r>
        <w:rPr>
          <w:rFonts w:ascii="Arial" w:hAnsi="Arial" w:cs="Arial" w:hint="eastAsia"/>
        </w:rPr>
        <w:t>ipheral participation" to "proactive engagement" in global academia.</w:t>
      </w:r>
    </w:p>
    <w:p w14:paraId="13B61C81" w14:textId="77777777" w:rsidR="00020A60" w:rsidRDefault="00020A60">
      <w:pPr>
        <w:pStyle w:val="Body"/>
        <w:spacing w:after="0"/>
        <w:rPr>
          <w:rFonts w:ascii="Arial" w:hAnsi="Arial" w:cs="Arial"/>
        </w:rPr>
      </w:pPr>
    </w:p>
    <w:p w14:paraId="078736FB" w14:textId="77777777" w:rsidR="00020A60" w:rsidRDefault="00A31FC3">
      <w:pPr>
        <w:pStyle w:val="AbstHead"/>
        <w:spacing w:after="0"/>
        <w:jc w:val="both"/>
        <w:rPr>
          <w:rFonts w:ascii="Arial" w:hAnsi="Arial" w:cs="Arial"/>
        </w:rPr>
      </w:pPr>
      <w:r>
        <w:rPr>
          <w:rFonts w:ascii="Arial" w:hAnsi="Arial" w:cs="Arial"/>
        </w:rPr>
        <w:t xml:space="preserve">2. </w:t>
      </w:r>
      <w:r>
        <w:rPr>
          <w:rFonts w:ascii="Arial" w:hAnsi="Arial" w:cs="Arial" w:hint="eastAsia"/>
        </w:rPr>
        <w:t>Current Status and Challenges</w:t>
      </w:r>
    </w:p>
    <w:p w14:paraId="28B290D9" w14:textId="77777777" w:rsidR="00020A60" w:rsidRDefault="00020A60">
      <w:pPr>
        <w:pStyle w:val="AbstHead"/>
        <w:spacing w:after="0"/>
        <w:jc w:val="both"/>
        <w:rPr>
          <w:rFonts w:ascii="Arial" w:hAnsi="Arial" w:cs="Arial"/>
        </w:rPr>
      </w:pPr>
    </w:p>
    <w:p w14:paraId="51287BD8" w14:textId="77777777" w:rsidR="00020A60" w:rsidRDefault="00A31FC3">
      <w:pPr>
        <w:pStyle w:val="Body"/>
        <w:spacing w:after="0"/>
        <w:rPr>
          <w:rFonts w:ascii="Arial" w:hAnsi="Arial" w:cs="Arial"/>
        </w:rPr>
      </w:pPr>
      <w:r>
        <w:rPr>
          <w:rFonts w:ascii="Arial" w:hAnsi="Arial" w:cs="Arial"/>
          <w:b/>
          <w:caps/>
          <w:sz w:val="22"/>
        </w:rPr>
        <w:t xml:space="preserve">2.1 </w:t>
      </w:r>
      <w:r>
        <w:rPr>
          <w:rFonts w:ascii="Arial" w:hAnsi="Arial" w:cs="Arial" w:hint="eastAsia"/>
          <w:b/>
          <w:sz w:val="22"/>
        </w:rPr>
        <w:t xml:space="preserve">Internationalization Development Status of </w:t>
      </w:r>
      <w:r>
        <w:rPr>
          <w:rFonts w:ascii="Arial" w:eastAsia="SimSun" w:hAnsi="Arial" w:cs="Arial" w:hint="eastAsia"/>
          <w:b/>
          <w:sz w:val="22"/>
          <w:lang w:eastAsia="zh-CN"/>
        </w:rPr>
        <w:t>Western Chinese STEM universities</w:t>
      </w:r>
      <w:r>
        <w:rPr>
          <w:rFonts w:ascii="Arial" w:hAnsi="Arial" w:cs="Arial"/>
        </w:rPr>
        <w:t xml:space="preserve"> </w:t>
      </w:r>
    </w:p>
    <w:p w14:paraId="3D8FB7E9" w14:textId="77777777" w:rsidR="00020A60" w:rsidRDefault="00020A60">
      <w:pPr>
        <w:pStyle w:val="Body"/>
        <w:spacing w:after="0"/>
        <w:rPr>
          <w:rFonts w:ascii="Arial" w:hAnsi="Arial" w:cs="Arial"/>
        </w:rPr>
      </w:pPr>
    </w:p>
    <w:p w14:paraId="377A738B" w14:textId="77777777" w:rsidR="00020A60" w:rsidRDefault="00A31FC3">
      <w:pPr>
        <w:pStyle w:val="Body"/>
        <w:spacing w:after="0"/>
        <w:rPr>
          <w:rFonts w:ascii="Arial" w:hAnsi="Arial" w:cs="Arial"/>
        </w:rPr>
      </w:pPr>
      <w:r>
        <w:rPr>
          <w:rFonts w:ascii="Arial" w:hAnsi="Arial" w:cs="Arial" w:hint="eastAsia"/>
        </w:rPr>
        <w:t>STEM universities in western China exhibit a distinct "three lows and</w:t>
      </w:r>
      <w:r>
        <w:rPr>
          <w:rFonts w:ascii="Arial" w:hAnsi="Arial" w:cs="Arial" w:hint="eastAsia"/>
        </w:rPr>
        <w:t xml:space="preserve"> one high" pattern in internationalization development. According to 2023 Ministry of Education statistics, the average internationalization index of STEM universities across 12 western provinces stands at merely 42.7, significantly below the national aver</w:t>
      </w:r>
      <w:r>
        <w:rPr>
          <w:rFonts w:ascii="Arial" w:hAnsi="Arial" w:cs="Arial" w:hint="eastAsia"/>
        </w:rPr>
        <w:t>age (65.3) and eastern regional levels (78.6). Key manifestations include:</w:t>
      </w:r>
    </w:p>
    <w:p w14:paraId="04CA0440" w14:textId="77777777" w:rsidR="00020A60" w:rsidRDefault="00020A60">
      <w:pPr>
        <w:pStyle w:val="Body"/>
        <w:spacing w:after="0"/>
        <w:rPr>
          <w:rFonts w:ascii="Arial" w:hAnsi="Arial" w:cs="Arial"/>
        </w:rPr>
      </w:pPr>
    </w:p>
    <w:p w14:paraId="264A0FF8" w14:textId="77777777" w:rsidR="00020A60" w:rsidRDefault="00A31FC3">
      <w:pPr>
        <w:pStyle w:val="Body"/>
        <w:numPr>
          <w:ilvl w:val="0"/>
          <w:numId w:val="2"/>
        </w:numPr>
        <w:spacing w:after="0"/>
        <w:rPr>
          <w:rFonts w:ascii="Arial" w:hAnsi="Arial" w:cs="Arial"/>
        </w:rPr>
      </w:pPr>
      <w:r>
        <w:rPr>
          <w:rFonts w:ascii="Arial" w:hAnsi="Arial" w:cs="Arial" w:hint="eastAsia"/>
        </w:rPr>
        <w:t xml:space="preserve">Faculty </w:t>
      </w:r>
      <w:proofErr w:type="spellStart"/>
      <w:r>
        <w:rPr>
          <w:rFonts w:ascii="Arial" w:hAnsi="Arial" w:cs="Arial" w:hint="eastAsia"/>
        </w:rPr>
        <w:t>Internationalization</w:t>
      </w:r>
      <w:r>
        <w:rPr>
          <w:rFonts w:ascii="Arial" w:eastAsia="SimSun" w:hAnsi="Arial" w:cs="Arial" w:hint="eastAsia"/>
          <w:i/>
          <w:iCs/>
          <w:lang w:eastAsia="zh-CN"/>
        </w:rPr>
        <w:t>.</w:t>
      </w:r>
      <w:r>
        <w:rPr>
          <w:rFonts w:ascii="Arial" w:hAnsi="Arial" w:cs="Arial" w:hint="eastAsia"/>
        </w:rPr>
        <w:t>The</w:t>
      </w:r>
      <w:proofErr w:type="spellEnd"/>
      <w:r>
        <w:rPr>
          <w:rFonts w:ascii="Arial" w:hAnsi="Arial" w:cs="Arial" w:hint="eastAsia"/>
        </w:rPr>
        <w:t xml:space="preserve"> proportion of international faculty in </w:t>
      </w:r>
      <w:r>
        <w:rPr>
          <w:rFonts w:ascii="Arial" w:eastAsia="SimSun" w:hAnsi="Arial" w:cs="Arial" w:hint="eastAsia"/>
          <w:lang w:eastAsia="zh-CN"/>
        </w:rPr>
        <w:t>Western Chinese STEM universities</w:t>
      </w:r>
      <w:r>
        <w:rPr>
          <w:rFonts w:ascii="Arial" w:hAnsi="Arial" w:cs="Arial" w:hint="eastAsia"/>
        </w:rPr>
        <w:t xml:space="preserve"> reaches only 1.8%, substantially lower than the national average of 4.5% (</w:t>
      </w:r>
      <w:r>
        <w:rPr>
          <w:rFonts w:ascii="Arial" w:hAnsi="Arial" w:cs="Arial" w:hint="eastAsia"/>
        </w:rPr>
        <w:t xml:space="preserve">Ministry of Education, 2023). Notably, international faculty holding doctoral degrees account </w:t>
      </w:r>
      <w:r>
        <w:rPr>
          <w:rFonts w:ascii="Arial" w:hAnsi="Arial" w:cs="Arial" w:hint="eastAsia"/>
        </w:rPr>
        <w:lastRenderedPageBreak/>
        <w:t>for less than 0.5%, predominantly concentrated in language teaching positions. By contrast, eastern STEM universities maintain a 3.2% ratio, with some "Double Fir</w:t>
      </w:r>
      <w:r>
        <w:rPr>
          <w:rFonts w:ascii="Arial" w:hAnsi="Arial" w:cs="Arial" w:hint="eastAsia"/>
        </w:rPr>
        <w:t>st-Class" institutions exceeding 8%.</w:t>
      </w:r>
    </w:p>
    <w:p w14:paraId="17CF68ED" w14:textId="77777777" w:rsidR="00020A60" w:rsidRDefault="00020A60">
      <w:pPr>
        <w:pStyle w:val="Body"/>
        <w:spacing w:after="0"/>
        <w:rPr>
          <w:rFonts w:ascii="Arial" w:hAnsi="Arial" w:cs="Arial"/>
        </w:rPr>
      </w:pPr>
    </w:p>
    <w:p w14:paraId="25C3EFB3" w14:textId="77777777" w:rsidR="00020A60" w:rsidRDefault="00A31FC3">
      <w:pPr>
        <w:pStyle w:val="Body"/>
        <w:numPr>
          <w:ilvl w:val="0"/>
          <w:numId w:val="2"/>
        </w:numPr>
        <w:spacing w:after="0"/>
        <w:rPr>
          <w:rFonts w:ascii="Arial" w:hAnsi="Arial" w:cs="Arial"/>
        </w:rPr>
      </w:pPr>
      <w:r>
        <w:rPr>
          <w:rFonts w:ascii="Arial" w:hAnsi="Arial" w:cs="Arial" w:hint="eastAsia"/>
        </w:rPr>
        <w:t>Student Mobility Imbalance</w:t>
      </w:r>
      <w:r>
        <w:rPr>
          <w:rFonts w:ascii="Arial" w:eastAsia="SimSun" w:hAnsi="Arial" w:cs="Arial" w:hint="eastAsia"/>
          <w:lang w:eastAsia="zh-CN"/>
        </w:rPr>
        <w:t xml:space="preserve">. </w:t>
      </w:r>
      <w:r>
        <w:rPr>
          <w:rFonts w:ascii="Arial" w:hAnsi="Arial" w:cs="Arial" w:hint="eastAsia"/>
        </w:rPr>
        <w:t>During the 2022-2023 academic year, outbound student mobility rates registered merely 0.9%, while international student enrollment constituted only 1.2% (Table 1). More critically, 70% of th</w:t>
      </w:r>
      <w:r>
        <w:rPr>
          <w:rFonts w:ascii="Arial" w:hAnsi="Arial" w:cs="Arial" w:hint="eastAsia"/>
        </w:rPr>
        <w:t>ese international exchanges occurred at institutional levels, with discipline-specific substantive collaborations accounting for less than 30%.</w:t>
      </w:r>
    </w:p>
    <w:p w14:paraId="0CDE27B9" w14:textId="77777777" w:rsidR="00020A60" w:rsidRDefault="00020A60">
      <w:pPr>
        <w:pStyle w:val="Body"/>
        <w:spacing w:after="0"/>
        <w:rPr>
          <w:rFonts w:ascii="Arial" w:hAnsi="Arial" w:cs="Arial"/>
        </w:rPr>
      </w:pPr>
    </w:p>
    <w:p w14:paraId="317B93E1" w14:textId="77777777" w:rsidR="00020A60" w:rsidRDefault="00A31FC3">
      <w:pPr>
        <w:pStyle w:val="Body"/>
        <w:spacing w:after="0"/>
        <w:rPr>
          <w:rFonts w:ascii="Arial" w:hAnsi="Arial" w:cs="Arial"/>
          <w:b/>
          <w:bCs/>
        </w:rPr>
      </w:pPr>
      <w:r>
        <w:rPr>
          <w:rFonts w:ascii="Arial" w:hAnsi="Arial" w:cs="Arial" w:hint="eastAsia"/>
          <w:b/>
          <w:bCs/>
        </w:rPr>
        <w:t xml:space="preserve">Table 1. International Student Mobility in </w:t>
      </w:r>
      <w:r>
        <w:rPr>
          <w:rFonts w:ascii="Arial" w:eastAsia="SimSun" w:hAnsi="Arial" w:cs="Arial" w:hint="eastAsia"/>
          <w:b/>
          <w:bCs/>
          <w:lang w:eastAsia="zh-CN"/>
        </w:rPr>
        <w:t>Western Chinese STEM universities</w:t>
      </w:r>
      <w:r>
        <w:rPr>
          <w:rFonts w:ascii="Arial" w:hAnsi="Arial" w:cs="Arial" w:hint="eastAsia"/>
          <w:b/>
          <w:bCs/>
        </w:rPr>
        <w:t xml:space="preserve"> (2022-2023)</w:t>
      </w:r>
      <w:r>
        <w:rPr>
          <w:rFonts w:ascii="Arial" w:hAnsi="Arial" w:cs="Arial"/>
          <w:b/>
          <w:bCs/>
        </w:rPr>
        <w:t xml:space="preserve">.  </w:t>
      </w:r>
    </w:p>
    <w:p w14:paraId="75431733" w14:textId="77777777" w:rsidR="00020A60" w:rsidRDefault="00020A60">
      <w:pPr>
        <w:pStyle w:val="Body"/>
        <w:spacing w:after="0"/>
        <w:rPr>
          <w:rFonts w:ascii="Arial" w:hAnsi="Arial" w:cs="Aria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540"/>
        <w:gridCol w:w="1852"/>
        <w:gridCol w:w="1800"/>
        <w:gridCol w:w="1820"/>
      </w:tblGrid>
      <w:tr w:rsidR="00020A60" w14:paraId="6FD2BADC" w14:textId="77777777">
        <w:trPr>
          <w:tblHeader/>
          <w:jc w:val="center"/>
        </w:trPr>
        <w:tc>
          <w:tcPr>
            <w:tcW w:w="2540" w:type="dxa"/>
            <w:tcBorders>
              <w:top w:val="single" w:sz="4" w:space="0" w:color="000000"/>
              <w:left w:val="nil"/>
              <w:bottom w:val="single" w:sz="4" w:space="0" w:color="000000"/>
              <w:right w:val="nil"/>
            </w:tcBorders>
            <w:shd w:val="clear" w:color="auto" w:fill="FFFFFF"/>
            <w:tcMar>
              <w:left w:w="0" w:type="dxa"/>
            </w:tcMar>
            <w:vAlign w:val="center"/>
          </w:tcPr>
          <w:p w14:paraId="54529AAC" w14:textId="77777777" w:rsidR="00020A60" w:rsidRDefault="00A31FC3">
            <w:pPr>
              <w:jc w:val="center"/>
              <w:rPr>
                <w:rFonts w:ascii="Arial" w:hAnsi="Arial" w:cs="Arial"/>
                <w:b/>
                <w:bCs/>
                <w:color w:val="000000"/>
              </w:rPr>
            </w:pPr>
            <w:r>
              <w:rPr>
                <w:rFonts w:ascii="Arial" w:hAnsi="Arial" w:cs="Arial"/>
                <w:b/>
                <w:bCs/>
                <w:color w:val="000000"/>
                <w:lang w:eastAsia="zh-CN"/>
              </w:rPr>
              <w:t>Indicator</w:t>
            </w:r>
          </w:p>
        </w:tc>
        <w:tc>
          <w:tcPr>
            <w:tcW w:w="1852" w:type="dxa"/>
            <w:tcBorders>
              <w:top w:val="single" w:sz="4" w:space="0" w:color="000000"/>
              <w:left w:val="nil"/>
              <w:bottom w:val="single" w:sz="4" w:space="0" w:color="000000"/>
              <w:right w:val="nil"/>
            </w:tcBorders>
            <w:shd w:val="clear" w:color="auto" w:fill="FFFFFF"/>
            <w:vAlign w:val="center"/>
          </w:tcPr>
          <w:p w14:paraId="3E2D0BD8" w14:textId="77777777" w:rsidR="00020A60" w:rsidRDefault="00A31FC3">
            <w:pPr>
              <w:jc w:val="center"/>
              <w:rPr>
                <w:rFonts w:ascii="Arial" w:hAnsi="Arial" w:cs="Arial"/>
                <w:b/>
                <w:bCs/>
                <w:color w:val="000000"/>
              </w:rPr>
            </w:pPr>
            <w:r>
              <w:rPr>
                <w:rFonts w:ascii="Arial" w:hAnsi="Arial" w:cs="Arial"/>
                <w:b/>
                <w:bCs/>
                <w:color w:val="000000"/>
                <w:lang w:eastAsia="zh-CN"/>
              </w:rPr>
              <w:t xml:space="preserve">Western </w:t>
            </w:r>
            <w:r>
              <w:rPr>
                <w:rFonts w:ascii="Arial" w:hAnsi="Arial" w:cs="Arial"/>
                <w:b/>
                <w:bCs/>
                <w:color w:val="000000"/>
                <w:lang w:eastAsia="zh-CN"/>
              </w:rPr>
              <w:t>Institutions</w:t>
            </w:r>
          </w:p>
        </w:tc>
        <w:tc>
          <w:tcPr>
            <w:tcW w:w="1800" w:type="dxa"/>
            <w:tcBorders>
              <w:top w:val="single" w:sz="4" w:space="0" w:color="000000"/>
              <w:left w:val="nil"/>
              <w:bottom w:val="single" w:sz="4" w:space="0" w:color="000000"/>
              <w:right w:val="nil"/>
            </w:tcBorders>
            <w:shd w:val="clear" w:color="auto" w:fill="FFFFFF"/>
            <w:vAlign w:val="center"/>
          </w:tcPr>
          <w:p w14:paraId="7F3C26EA" w14:textId="77777777" w:rsidR="00020A60" w:rsidRDefault="00A31FC3">
            <w:pPr>
              <w:jc w:val="center"/>
              <w:rPr>
                <w:rFonts w:ascii="Arial" w:hAnsi="Arial" w:cs="Arial"/>
                <w:b/>
                <w:bCs/>
                <w:color w:val="000000"/>
              </w:rPr>
            </w:pPr>
            <w:r>
              <w:rPr>
                <w:rFonts w:ascii="Arial" w:hAnsi="Arial" w:cs="Arial"/>
                <w:b/>
                <w:bCs/>
                <w:color w:val="000000"/>
                <w:lang w:eastAsia="zh-CN"/>
              </w:rPr>
              <w:t>National Average</w:t>
            </w:r>
          </w:p>
        </w:tc>
        <w:tc>
          <w:tcPr>
            <w:tcW w:w="1820" w:type="dxa"/>
            <w:tcBorders>
              <w:top w:val="single" w:sz="4" w:space="0" w:color="000000"/>
              <w:left w:val="nil"/>
              <w:bottom w:val="single" w:sz="4" w:space="0" w:color="000000"/>
              <w:right w:val="nil"/>
            </w:tcBorders>
            <w:shd w:val="clear" w:color="auto" w:fill="FFFFFF"/>
            <w:vAlign w:val="center"/>
          </w:tcPr>
          <w:p w14:paraId="72509436" w14:textId="77777777" w:rsidR="00020A60" w:rsidRDefault="00A31FC3">
            <w:pPr>
              <w:jc w:val="center"/>
              <w:rPr>
                <w:rFonts w:ascii="Arial" w:hAnsi="Arial" w:cs="Arial"/>
                <w:b/>
                <w:bCs/>
                <w:color w:val="000000"/>
              </w:rPr>
            </w:pPr>
            <w:r>
              <w:rPr>
                <w:rFonts w:ascii="Arial" w:hAnsi="Arial" w:cs="Arial"/>
                <w:b/>
                <w:bCs/>
                <w:color w:val="000000"/>
                <w:lang w:eastAsia="zh-CN"/>
              </w:rPr>
              <w:t>Disparity Ratio</w:t>
            </w:r>
          </w:p>
        </w:tc>
      </w:tr>
      <w:tr w:rsidR="00020A60" w14:paraId="48230220" w14:textId="77777777">
        <w:trPr>
          <w:jc w:val="center"/>
        </w:trPr>
        <w:tc>
          <w:tcPr>
            <w:tcW w:w="2540" w:type="dxa"/>
            <w:tcBorders>
              <w:top w:val="single" w:sz="4" w:space="0" w:color="000000"/>
              <w:left w:val="nil"/>
              <w:bottom w:val="nil"/>
              <w:right w:val="nil"/>
            </w:tcBorders>
            <w:shd w:val="clear" w:color="auto" w:fill="FFFFFF"/>
            <w:tcMar>
              <w:left w:w="0" w:type="dxa"/>
            </w:tcMar>
            <w:vAlign w:val="center"/>
          </w:tcPr>
          <w:p w14:paraId="337D74B0" w14:textId="77777777" w:rsidR="00020A60" w:rsidRDefault="00A31FC3">
            <w:pPr>
              <w:jc w:val="center"/>
              <w:rPr>
                <w:rFonts w:ascii="Arial" w:hAnsi="Arial" w:cs="Arial"/>
                <w:color w:val="000000"/>
              </w:rPr>
            </w:pPr>
            <w:r>
              <w:rPr>
                <w:rFonts w:ascii="Arial" w:hAnsi="Arial" w:cs="Arial"/>
                <w:color w:val="000000"/>
                <w:lang w:eastAsia="zh-CN"/>
              </w:rPr>
              <w:t>Outbound Mobility Rate</w:t>
            </w:r>
          </w:p>
        </w:tc>
        <w:tc>
          <w:tcPr>
            <w:tcW w:w="1852" w:type="dxa"/>
            <w:tcBorders>
              <w:top w:val="single" w:sz="4" w:space="0" w:color="000000"/>
              <w:left w:val="nil"/>
              <w:bottom w:val="nil"/>
              <w:right w:val="nil"/>
            </w:tcBorders>
            <w:shd w:val="clear" w:color="auto" w:fill="FFFFFF"/>
            <w:vAlign w:val="center"/>
          </w:tcPr>
          <w:p w14:paraId="656C6A68" w14:textId="77777777" w:rsidR="00020A60" w:rsidRDefault="00A31FC3">
            <w:pPr>
              <w:jc w:val="center"/>
              <w:rPr>
                <w:rFonts w:ascii="Arial" w:hAnsi="Arial" w:cs="Arial"/>
                <w:color w:val="000000"/>
              </w:rPr>
            </w:pPr>
            <w:r>
              <w:rPr>
                <w:rFonts w:ascii="Arial" w:hAnsi="Arial" w:cs="Arial"/>
                <w:color w:val="000000"/>
                <w:lang w:eastAsia="zh-CN"/>
              </w:rPr>
              <w:t>0.9%</w:t>
            </w:r>
          </w:p>
        </w:tc>
        <w:tc>
          <w:tcPr>
            <w:tcW w:w="1800" w:type="dxa"/>
            <w:tcBorders>
              <w:top w:val="single" w:sz="4" w:space="0" w:color="000000"/>
              <w:left w:val="nil"/>
              <w:bottom w:val="nil"/>
              <w:right w:val="nil"/>
            </w:tcBorders>
            <w:shd w:val="clear" w:color="auto" w:fill="FFFFFF"/>
            <w:vAlign w:val="center"/>
          </w:tcPr>
          <w:p w14:paraId="0D6656E7" w14:textId="77777777" w:rsidR="00020A60" w:rsidRDefault="00A31FC3">
            <w:pPr>
              <w:jc w:val="center"/>
              <w:rPr>
                <w:rFonts w:ascii="Arial" w:hAnsi="Arial" w:cs="Arial"/>
                <w:color w:val="000000"/>
              </w:rPr>
            </w:pPr>
            <w:r>
              <w:rPr>
                <w:rFonts w:ascii="Arial" w:hAnsi="Arial" w:cs="Arial"/>
                <w:color w:val="000000"/>
                <w:lang w:eastAsia="zh-CN"/>
              </w:rPr>
              <w:t>3.2%</w:t>
            </w:r>
          </w:p>
        </w:tc>
        <w:tc>
          <w:tcPr>
            <w:tcW w:w="1820" w:type="dxa"/>
            <w:tcBorders>
              <w:top w:val="single" w:sz="4" w:space="0" w:color="000000"/>
              <w:left w:val="nil"/>
              <w:bottom w:val="nil"/>
              <w:right w:val="nil"/>
            </w:tcBorders>
            <w:shd w:val="clear" w:color="auto" w:fill="FFFFFF"/>
            <w:vAlign w:val="center"/>
          </w:tcPr>
          <w:p w14:paraId="713F941E" w14:textId="77777777" w:rsidR="00020A60" w:rsidRDefault="00A31FC3">
            <w:pPr>
              <w:jc w:val="center"/>
              <w:rPr>
                <w:rFonts w:ascii="Arial" w:hAnsi="Arial" w:cs="Arial"/>
                <w:color w:val="000000"/>
              </w:rPr>
            </w:pPr>
            <w:r>
              <w:rPr>
                <w:rFonts w:ascii="Arial" w:hAnsi="Arial" w:cs="Arial"/>
                <w:color w:val="000000"/>
                <w:lang w:eastAsia="zh-CN"/>
              </w:rPr>
              <w:t>3.56</w:t>
            </w:r>
          </w:p>
        </w:tc>
      </w:tr>
      <w:tr w:rsidR="00020A60" w14:paraId="283F8D82" w14:textId="77777777">
        <w:trPr>
          <w:jc w:val="center"/>
        </w:trPr>
        <w:tc>
          <w:tcPr>
            <w:tcW w:w="2540" w:type="dxa"/>
            <w:tcBorders>
              <w:top w:val="nil"/>
              <w:left w:val="nil"/>
              <w:bottom w:val="nil"/>
              <w:right w:val="nil"/>
            </w:tcBorders>
            <w:shd w:val="clear" w:color="auto" w:fill="FFFFFF"/>
            <w:tcMar>
              <w:left w:w="0" w:type="dxa"/>
            </w:tcMar>
            <w:vAlign w:val="center"/>
          </w:tcPr>
          <w:p w14:paraId="4CD9141B" w14:textId="77777777" w:rsidR="00020A60" w:rsidRDefault="00A31FC3">
            <w:pPr>
              <w:jc w:val="center"/>
              <w:rPr>
                <w:rFonts w:ascii="Arial" w:hAnsi="Arial" w:cs="Arial"/>
                <w:color w:val="000000"/>
              </w:rPr>
            </w:pPr>
            <w:r>
              <w:rPr>
                <w:rFonts w:ascii="Arial" w:hAnsi="Arial" w:cs="Arial"/>
                <w:color w:val="000000"/>
                <w:lang w:eastAsia="zh-CN"/>
              </w:rPr>
              <w:t>International Student Ratio</w:t>
            </w:r>
          </w:p>
        </w:tc>
        <w:tc>
          <w:tcPr>
            <w:tcW w:w="1852" w:type="dxa"/>
            <w:tcBorders>
              <w:top w:val="nil"/>
              <w:left w:val="nil"/>
              <w:bottom w:val="nil"/>
              <w:right w:val="nil"/>
            </w:tcBorders>
            <w:shd w:val="clear" w:color="auto" w:fill="FFFFFF"/>
            <w:vAlign w:val="center"/>
          </w:tcPr>
          <w:p w14:paraId="19CE8A79" w14:textId="77777777" w:rsidR="00020A60" w:rsidRDefault="00A31FC3">
            <w:pPr>
              <w:jc w:val="center"/>
              <w:rPr>
                <w:rFonts w:ascii="Arial" w:hAnsi="Arial" w:cs="Arial"/>
                <w:color w:val="000000"/>
              </w:rPr>
            </w:pPr>
            <w:r>
              <w:rPr>
                <w:rFonts w:ascii="Arial" w:hAnsi="Arial" w:cs="Arial"/>
                <w:color w:val="000000"/>
                <w:lang w:eastAsia="zh-CN"/>
              </w:rPr>
              <w:t>1.2%</w:t>
            </w:r>
          </w:p>
        </w:tc>
        <w:tc>
          <w:tcPr>
            <w:tcW w:w="1800" w:type="dxa"/>
            <w:tcBorders>
              <w:top w:val="nil"/>
              <w:left w:val="nil"/>
              <w:bottom w:val="nil"/>
              <w:right w:val="nil"/>
            </w:tcBorders>
            <w:shd w:val="clear" w:color="auto" w:fill="FFFFFF"/>
            <w:vAlign w:val="center"/>
          </w:tcPr>
          <w:p w14:paraId="5E691FE5" w14:textId="77777777" w:rsidR="00020A60" w:rsidRDefault="00A31FC3">
            <w:pPr>
              <w:jc w:val="center"/>
              <w:rPr>
                <w:rFonts w:ascii="Arial" w:hAnsi="Arial" w:cs="Arial"/>
                <w:color w:val="000000"/>
              </w:rPr>
            </w:pPr>
            <w:r>
              <w:rPr>
                <w:rFonts w:ascii="Arial" w:hAnsi="Arial" w:cs="Arial"/>
                <w:color w:val="000000"/>
                <w:lang w:eastAsia="zh-CN"/>
              </w:rPr>
              <w:t>4.1%</w:t>
            </w:r>
          </w:p>
        </w:tc>
        <w:tc>
          <w:tcPr>
            <w:tcW w:w="1820" w:type="dxa"/>
            <w:tcBorders>
              <w:top w:val="nil"/>
              <w:left w:val="nil"/>
              <w:bottom w:val="nil"/>
              <w:right w:val="nil"/>
            </w:tcBorders>
            <w:shd w:val="clear" w:color="auto" w:fill="FFFFFF"/>
            <w:vAlign w:val="center"/>
          </w:tcPr>
          <w:p w14:paraId="6482A044" w14:textId="77777777" w:rsidR="00020A60" w:rsidRDefault="00A31FC3">
            <w:pPr>
              <w:jc w:val="center"/>
              <w:rPr>
                <w:rFonts w:ascii="Arial" w:hAnsi="Arial" w:cs="Arial"/>
                <w:color w:val="000000"/>
              </w:rPr>
            </w:pPr>
            <w:r>
              <w:rPr>
                <w:rFonts w:ascii="Arial" w:hAnsi="Arial" w:cs="Arial"/>
                <w:color w:val="000000"/>
                <w:lang w:eastAsia="zh-CN"/>
              </w:rPr>
              <w:t>3.42</w:t>
            </w:r>
          </w:p>
        </w:tc>
      </w:tr>
      <w:tr w:rsidR="00020A60" w14:paraId="1C290DF8" w14:textId="77777777">
        <w:trPr>
          <w:jc w:val="center"/>
        </w:trPr>
        <w:tc>
          <w:tcPr>
            <w:tcW w:w="2540" w:type="dxa"/>
            <w:tcBorders>
              <w:top w:val="nil"/>
              <w:left w:val="nil"/>
              <w:bottom w:val="single" w:sz="4" w:space="0" w:color="000000"/>
              <w:right w:val="nil"/>
            </w:tcBorders>
            <w:shd w:val="clear" w:color="auto" w:fill="FFFFFF"/>
            <w:tcMar>
              <w:left w:w="0" w:type="dxa"/>
            </w:tcMar>
            <w:vAlign w:val="center"/>
          </w:tcPr>
          <w:p w14:paraId="1A7FE5C8" w14:textId="77777777" w:rsidR="00020A60" w:rsidRDefault="00A31FC3">
            <w:pPr>
              <w:jc w:val="center"/>
              <w:rPr>
                <w:rFonts w:ascii="Arial" w:hAnsi="Arial" w:cs="Arial"/>
                <w:color w:val="000000"/>
              </w:rPr>
            </w:pPr>
            <w:r>
              <w:rPr>
                <w:rFonts w:ascii="Arial" w:hAnsi="Arial" w:cs="Arial"/>
                <w:color w:val="000000"/>
                <w:lang w:eastAsia="zh-CN"/>
              </w:rPr>
              <w:t>Degree Program Ratio</w:t>
            </w:r>
          </w:p>
        </w:tc>
        <w:tc>
          <w:tcPr>
            <w:tcW w:w="1852" w:type="dxa"/>
            <w:tcBorders>
              <w:top w:val="nil"/>
              <w:left w:val="nil"/>
              <w:bottom w:val="single" w:sz="4" w:space="0" w:color="000000"/>
              <w:right w:val="nil"/>
            </w:tcBorders>
            <w:shd w:val="clear" w:color="auto" w:fill="FFFFFF"/>
            <w:vAlign w:val="center"/>
          </w:tcPr>
          <w:p w14:paraId="08D0AC87" w14:textId="77777777" w:rsidR="00020A60" w:rsidRDefault="00A31FC3">
            <w:pPr>
              <w:jc w:val="center"/>
              <w:rPr>
                <w:rFonts w:ascii="Arial" w:hAnsi="Arial" w:cs="Arial"/>
                <w:color w:val="000000"/>
              </w:rPr>
            </w:pPr>
            <w:r>
              <w:rPr>
                <w:rFonts w:ascii="Arial" w:hAnsi="Arial" w:cs="Arial"/>
                <w:color w:val="000000"/>
                <w:lang w:eastAsia="zh-CN"/>
              </w:rPr>
              <w:t>0.3%</w:t>
            </w:r>
          </w:p>
        </w:tc>
        <w:tc>
          <w:tcPr>
            <w:tcW w:w="1800" w:type="dxa"/>
            <w:tcBorders>
              <w:top w:val="nil"/>
              <w:left w:val="nil"/>
              <w:bottom w:val="single" w:sz="4" w:space="0" w:color="000000"/>
              <w:right w:val="nil"/>
            </w:tcBorders>
            <w:shd w:val="clear" w:color="auto" w:fill="FFFFFF"/>
            <w:vAlign w:val="center"/>
          </w:tcPr>
          <w:p w14:paraId="168F9471" w14:textId="77777777" w:rsidR="00020A60" w:rsidRDefault="00A31FC3">
            <w:pPr>
              <w:jc w:val="center"/>
              <w:rPr>
                <w:rFonts w:ascii="Arial" w:hAnsi="Arial" w:cs="Arial"/>
                <w:color w:val="000000"/>
              </w:rPr>
            </w:pPr>
            <w:r>
              <w:rPr>
                <w:rFonts w:ascii="Arial" w:hAnsi="Arial" w:cs="Arial"/>
                <w:color w:val="000000"/>
                <w:lang w:eastAsia="zh-CN"/>
              </w:rPr>
              <w:t>1.5%</w:t>
            </w:r>
          </w:p>
        </w:tc>
        <w:tc>
          <w:tcPr>
            <w:tcW w:w="1820" w:type="dxa"/>
            <w:tcBorders>
              <w:top w:val="nil"/>
              <w:left w:val="nil"/>
              <w:bottom w:val="single" w:sz="4" w:space="0" w:color="000000"/>
              <w:right w:val="nil"/>
            </w:tcBorders>
            <w:shd w:val="clear" w:color="auto" w:fill="FFFFFF"/>
            <w:vAlign w:val="center"/>
          </w:tcPr>
          <w:p w14:paraId="2DE08F5B" w14:textId="77777777" w:rsidR="00020A60" w:rsidRDefault="00A31FC3">
            <w:pPr>
              <w:jc w:val="center"/>
              <w:rPr>
                <w:rFonts w:ascii="Arial" w:hAnsi="Arial" w:cs="Arial"/>
                <w:color w:val="000000"/>
              </w:rPr>
            </w:pPr>
            <w:r>
              <w:rPr>
                <w:rFonts w:ascii="Arial" w:hAnsi="Arial" w:cs="Arial"/>
                <w:color w:val="000000"/>
                <w:lang w:eastAsia="zh-CN"/>
              </w:rPr>
              <w:t>5.00</w:t>
            </w:r>
          </w:p>
        </w:tc>
      </w:tr>
    </w:tbl>
    <w:p w14:paraId="1FBC2F8F" w14:textId="77777777" w:rsidR="00020A60" w:rsidRDefault="00020A60">
      <w:pPr>
        <w:pStyle w:val="Body"/>
        <w:spacing w:after="0"/>
        <w:rPr>
          <w:rFonts w:ascii="Arial" w:hAnsi="Arial" w:cs="Arial"/>
        </w:rPr>
      </w:pPr>
    </w:p>
    <w:p w14:paraId="0B33A3B2" w14:textId="77777777" w:rsidR="00020A60" w:rsidRDefault="00A31FC3">
      <w:pPr>
        <w:pStyle w:val="Body"/>
        <w:numPr>
          <w:ilvl w:val="0"/>
          <w:numId w:val="2"/>
        </w:numPr>
        <w:spacing w:after="0"/>
        <w:rPr>
          <w:rFonts w:ascii="Arial" w:hAnsi="Arial" w:cs="Arial"/>
        </w:rPr>
      </w:pPr>
      <w:r>
        <w:rPr>
          <w:rFonts w:ascii="Arial" w:hAnsi="Arial" w:cs="Arial" w:hint="eastAsia"/>
        </w:rPr>
        <w:t>Research Internationalization</w:t>
      </w:r>
      <w:r>
        <w:rPr>
          <w:rFonts w:ascii="Arial" w:eastAsia="SimSun" w:hAnsi="Arial" w:cs="Arial" w:hint="eastAsia"/>
          <w:lang w:eastAsia="zh-CN"/>
        </w:rPr>
        <w:t xml:space="preserve">. The </w:t>
      </w:r>
      <w:r>
        <w:rPr>
          <w:rFonts w:ascii="Arial" w:hAnsi="Arial" w:cs="Arial" w:hint="eastAsia"/>
        </w:rPr>
        <w:t xml:space="preserve">Web of Science data reveals a pronounced Matthew </w:t>
      </w:r>
      <w:r>
        <w:rPr>
          <w:rFonts w:ascii="Arial" w:hAnsi="Arial" w:cs="Arial" w:hint="eastAsia"/>
        </w:rPr>
        <w:t>Effect, with internationally co-authored publications comprising 12.4% of total output, of which 75% concentrate in traditional disciplines like materials science and metallurgy. Notably, 68% of research collaborations operate through informal faculty-stud</w:t>
      </w:r>
      <w:r>
        <w:rPr>
          <w:rFonts w:ascii="Arial" w:hAnsi="Arial" w:cs="Arial" w:hint="eastAsia"/>
        </w:rPr>
        <w:t>ent networks, far exceeding the 35% observed in eastern institutions.</w:t>
      </w:r>
    </w:p>
    <w:p w14:paraId="155D5119" w14:textId="77777777" w:rsidR="00020A60" w:rsidRDefault="00020A60">
      <w:pPr>
        <w:pStyle w:val="Body"/>
        <w:spacing w:after="0"/>
        <w:rPr>
          <w:rFonts w:ascii="Arial" w:hAnsi="Arial" w:cs="Arial"/>
        </w:rPr>
      </w:pPr>
    </w:p>
    <w:p w14:paraId="66749EF7" w14:textId="77777777" w:rsidR="00020A60" w:rsidRDefault="00A31FC3">
      <w:pPr>
        <w:pStyle w:val="Body"/>
        <w:spacing w:after="0"/>
        <w:rPr>
          <w:rFonts w:ascii="Arial" w:hAnsi="Arial" w:cs="Arial"/>
          <w:b/>
          <w:caps/>
          <w:sz w:val="22"/>
        </w:rPr>
      </w:pPr>
      <w:r>
        <w:rPr>
          <w:rFonts w:ascii="Arial" w:hAnsi="Arial" w:cs="Arial" w:hint="eastAsia"/>
          <w:b/>
          <w:caps/>
          <w:sz w:val="22"/>
        </w:rPr>
        <w:t>2.2 Key Challenges</w:t>
      </w:r>
    </w:p>
    <w:p w14:paraId="7D0DF213" w14:textId="77777777" w:rsidR="00020A60" w:rsidRDefault="00020A60">
      <w:pPr>
        <w:pStyle w:val="Body"/>
        <w:spacing w:after="0"/>
        <w:rPr>
          <w:rFonts w:ascii="Arial" w:hAnsi="Arial" w:cs="Arial"/>
        </w:rPr>
      </w:pPr>
    </w:p>
    <w:p w14:paraId="144D63CA" w14:textId="77777777" w:rsidR="00020A60" w:rsidRDefault="00A31FC3">
      <w:pPr>
        <w:pStyle w:val="Body"/>
        <w:spacing w:after="0"/>
        <w:rPr>
          <w:rFonts w:ascii="Arial" w:hAnsi="Arial" w:cs="Arial"/>
        </w:rPr>
      </w:pPr>
      <w:r>
        <w:rPr>
          <w:rFonts w:ascii="Arial" w:hAnsi="Arial" w:cs="Arial" w:hint="eastAsia"/>
          <w:b/>
          <w:u w:val="single"/>
        </w:rPr>
        <w:t>2.2.1 Structural Deficits in Resource Endowment</w:t>
      </w:r>
      <w:r>
        <w:rPr>
          <w:rFonts w:ascii="Arial" w:hAnsi="Arial" w:cs="Arial"/>
        </w:rPr>
        <w:t xml:space="preserve">  </w:t>
      </w:r>
    </w:p>
    <w:p w14:paraId="06910DAA" w14:textId="77777777" w:rsidR="00020A60" w:rsidRDefault="00020A60">
      <w:pPr>
        <w:pStyle w:val="Body"/>
        <w:spacing w:after="0"/>
        <w:rPr>
          <w:rFonts w:ascii="Arial" w:hAnsi="Arial" w:cs="Arial"/>
        </w:rPr>
      </w:pPr>
    </w:p>
    <w:p w14:paraId="2C6758D3" w14:textId="77777777" w:rsidR="00020A60" w:rsidRDefault="00A31FC3">
      <w:pPr>
        <w:pStyle w:val="Body"/>
        <w:spacing w:after="0"/>
        <w:rPr>
          <w:rFonts w:ascii="Arial" w:hAnsi="Arial" w:cs="Arial"/>
        </w:rPr>
      </w:pPr>
      <w:r>
        <w:rPr>
          <w:rFonts w:ascii="Arial" w:hAnsi="Arial" w:cs="Arial" w:hint="eastAsia"/>
        </w:rPr>
        <w:t>Western Chinese STEM universities confront fundamental resource constraints. Survey data indicates international c</w:t>
      </w:r>
      <w:r>
        <w:rPr>
          <w:rFonts w:ascii="Arial" w:hAnsi="Arial" w:cs="Arial" w:hint="eastAsia"/>
        </w:rPr>
        <w:t>ooperation budgets average merely 0.6% of institutional expenditures, with low utilization efficiency (</w:t>
      </w:r>
      <w:proofErr w:type="spellStart"/>
      <w:r>
        <w:rPr>
          <w:rFonts w:ascii="Arial" w:hAnsi="Arial" w:cs="Arial" w:hint="eastAsia"/>
        </w:rPr>
        <w:t>Marginson</w:t>
      </w:r>
      <w:proofErr w:type="spellEnd"/>
      <w:r>
        <w:rPr>
          <w:rFonts w:ascii="Arial" w:hAnsi="Arial" w:cs="Arial" w:hint="eastAsia"/>
        </w:rPr>
        <w:t>, 2023). Physical infrastructure remains inadequate, with only 15% of laboratories meeting international standards and 8.7% of classrooms equipp</w:t>
      </w:r>
      <w:r>
        <w:rPr>
          <w:rFonts w:ascii="Arial" w:hAnsi="Arial" w:cs="Arial" w:hint="eastAsia"/>
        </w:rPr>
        <w:t>ed for transnational digital collaboration.</w:t>
      </w:r>
    </w:p>
    <w:p w14:paraId="276811C1" w14:textId="77777777" w:rsidR="00020A60" w:rsidRDefault="00020A60">
      <w:pPr>
        <w:pStyle w:val="Body"/>
        <w:spacing w:after="0"/>
        <w:rPr>
          <w:rFonts w:ascii="Arial" w:hAnsi="Arial" w:cs="Arial"/>
        </w:rPr>
      </w:pPr>
    </w:p>
    <w:p w14:paraId="2B1A714F" w14:textId="77777777" w:rsidR="00020A60" w:rsidRDefault="00A31FC3">
      <w:pPr>
        <w:pStyle w:val="Body"/>
        <w:spacing w:after="0"/>
        <w:rPr>
          <w:rFonts w:ascii="Arial" w:hAnsi="Arial" w:cs="Arial"/>
        </w:rPr>
      </w:pPr>
      <w:r>
        <w:rPr>
          <w:rFonts w:ascii="Arial" w:hAnsi="Arial" w:cs="Arial" w:hint="eastAsia"/>
        </w:rPr>
        <w:t xml:space="preserve">Human resource gaps prove particularly acute. Faculty with ≥6 months overseas experience </w:t>
      </w:r>
      <w:proofErr w:type="gramStart"/>
      <w:r>
        <w:rPr>
          <w:rFonts w:ascii="Arial" w:hAnsi="Arial" w:cs="Arial" w:hint="eastAsia"/>
        </w:rPr>
        <w:t>constitute</w:t>
      </w:r>
      <w:proofErr w:type="gramEnd"/>
      <w:r>
        <w:rPr>
          <w:rFonts w:ascii="Arial" w:hAnsi="Arial" w:cs="Arial" w:hint="eastAsia"/>
        </w:rPr>
        <w:t xml:space="preserve"> 7.3%, among whom fewer than 3% demonstrate sufficient English proficiency for instruction (Han et al., 2023). A</w:t>
      </w:r>
      <w:r>
        <w:rPr>
          <w:rFonts w:ascii="Arial" w:hAnsi="Arial" w:cs="Arial" w:hint="eastAsia"/>
        </w:rPr>
        <w:t xml:space="preserve">dministrative staff exhibit even greater deficits, with only 1.8% possessing international education backgrounds, severely compromising professional management </w:t>
      </w:r>
      <w:proofErr w:type="gramStart"/>
      <w:r>
        <w:rPr>
          <w:rFonts w:ascii="Arial" w:hAnsi="Arial" w:cs="Arial" w:hint="eastAsia"/>
        </w:rPr>
        <w:t>capacity.</w:t>
      </w:r>
      <w:r>
        <w:rPr>
          <w:rFonts w:ascii="Arial" w:hAnsi="Arial" w:cs="Arial"/>
        </w:rPr>
        <w:t>.</w:t>
      </w:r>
      <w:proofErr w:type="gramEnd"/>
      <w:r>
        <w:rPr>
          <w:rFonts w:ascii="Arial" w:hAnsi="Arial" w:cs="Arial"/>
        </w:rPr>
        <w:t xml:space="preserve">  </w:t>
      </w:r>
    </w:p>
    <w:p w14:paraId="3E005119" w14:textId="77777777" w:rsidR="00020A60" w:rsidRDefault="00020A60">
      <w:pPr>
        <w:pStyle w:val="Body"/>
        <w:spacing w:after="0"/>
        <w:rPr>
          <w:rFonts w:ascii="Arial" w:hAnsi="Arial" w:cs="Arial"/>
        </w:rPr>
      </w:pPr>
    </w:p>
    <w:p w14:paraId="629E3A60" w14:textId="77777777" w:rsidR="00020A60" w:rsidRDefault="00A31FC3">
      <w:pPr>
        <w:pStyle w:val="Body"/>
        <w:spacing w:after="0"/>
        <w:rPr>
          <w:rFonts w:ascii="Arial" w:hAnsi="Arial" w:cs="Arial"/>
          <w:b/>
          <w:u w:val="single"/>
        </w:rPr>
      </w:pPr>
      <w:r>
        <w:rPr>
          <w:rFonts w:ascii="Arial" w:hAnsi="Arial" w:cs="Arial" w:hint="eastAsia"/>
          <w:b/>
          <w:u w:val="single"/>
        </w:rPr>
        <w:t xml:space="preserve"> 2.2.2 Insufficient Adaptability of the Institutional Framework</w:t>
      </w:r>
    </w:p>
    <w:p w14:paraId="2137BC74" w14:textId="77777777" w:rsidR="00020A60" w:rsidRDefault="00020A60">
      <w:pPr>
        <w:pStyle w:val="Body"/>
        <w:spacing w:after="0"/>
        <w:rPr>
          <w:rFonts w:ascii="Arial" w:hAnsi="Arial" w:cs="Arial"/>
        </w:rPr>
      </w:pPr>
    </w:p>
    <w:p w14:paraId="21E38919" w14:textId="77777777" w:rsidR="00020A60" w:rsidRDefault="00A31FC3">
      <w:pPr>
        <w:pStyle w:val="Body"/>
        <w:spacing w:after="0"/>
        <w:rPr>
          <w:rFonts w:ascii="Arial" w:hAnsi="Arial" w:cs="Arial"/>
        </w:rPr>
      </w:pPr>
      <w:r>
        <w:rPr>
          <w:rFonts w:ascii="Arial" w:hAnsi="Arial" w:cs="Arial" w:hint="eastAsia"/>
        </w:rPr>
        <w:t>The international</w:t>
      </w:r>
      <w:r>
        <w:rPr>
          <w:rFonts w:ascii="Arial" w:hAnsi="Arial" w:cs="Arial" w:hint="eastAsia"/>
        </w:rPr>
        <w:t>ization efforts within western engineering and technology universities reveal a pronounced phenomenon of "triple disconnection": First, there is a disconnect between policy formulation and local needs, as 87% of the surveyed institutions directly replicate</w:t>
      </w:r>
      <w:r>
        <w:rPr>
          <w:rFonts w:ascii="Arial" w:hAnsi="Arial" w:cs="Arial" w:hint="eastAsia"/>
        </w:rPr>
        <w:t xml:space="preserve"> internationalization strategies from eastern universities (Kirby, W. C. et al., 2015). Second, there is a disconnect between management mechanisms and actual implementation, with only 53% of institutions having established dedicated offices for internatio</w:t>
      </w:r>
      <w:r>
        <w:rPr>
          <w:rFonts w:ascii="Arial" w:hAnsi="Arial" w:cs="Arial" w:hint="eastAsia"/>
        </w:rPr>
        <w:t>nal affairs. Third, there is a disconnect between evaluation criteria and developmental stages, as the assessment system, which predominantly relies on "quantitative indicators," fails to accurately reflect the genuine level of internationalization.</w:t>
      </w:r>
    </w:p>
    <w:p w14:paraId="7887E2E9" w14:textId="77777777" w:rsidR="00020A60" w:rsidRDefault="00020A60">
      <w:pPr>
        <w:pStyle w:val="Body"/>
        <w:spacing w:after="0"/>
        <w:rPr>
          <w:rFonts w:ascii="Arial" w:hAnsi="Arial" w:cs="Arial"/>
        </w:rPr>
      </w:pPr>
    </w:p>
    <w:p w14:paraId="76B98395" w14:textId="77777777" w:rsidR="00020A60" w:rsidRDefault="00A31FC3">
      <w:pPr>
        <w:rPr>
          <w:rFonts w:ascii="Times New Roman" w:hAnsi="Times New Roman"/>
        </w:rPr>
      </w:pPr>
      <w:r>
        <w:rPr>
          <w:rFonts w:ascii="Times New Roman" w:hAnsi="Times New Roman"/>
        </w:rPr>
        <w:t xml:space="preserve"> </w:t>
      </w:r>
      <w:r>
        <w:rPr>
          <w:rFonts w:ascii="Arial" w:hAnsi="Arial" w:cs="Arial"/>
          <w:b/>
          <w:u w:val="single"/>
        </w:rPr>
        <w:t>2.2.3 Restrictive Effects of the Digital Divide</w:t>
      </w:r>
    </w:p>
    <w:p w14:paraId="67FEF902" w14:textId="77777777" w:rsidR="00020A60" w:rsidRDefault="00020A60">
      <w:pPr>
        <w:rPr>
          <w:rFonts w:ascii="Arial" w:hAnsi="Arial" w:cs="Arial"/>
        </w:rPr>
      </w:pPr>
    </w:p>
    <w:p w14:paraId="72E931F5" w14:textId="77777777" w:rsidR="00020A60" w:rsidRDefault="00A31FC3">
      <w:pPr>
        <w:jc w:val="both"/>
        <w:rPr>
          <w:rFonts w:ascii="Arial" w:hAnsi="Arial" w:cs="Arial"/>
        </w:rPr>
      </w:pPr>
      <w:r>
        <w:rPr>
          <w:rFonts w:ascii="Arial" w:hAnsi="Arial" w:cs="Arial"/>
        </w:rPr>
        <w:t>The study utilizes the UNESCO Digital Education Readiness Index (DERI) for evaluation and finds that western engineering and technology universities are significantly lagging in three dimensions: "infrastruc</w:t>
      </w:r>
      <w:r>
        <w:rPr>
          <w:rFonts w:ascii="Arial" w:hAnsi="Arial" w:cs="Arial"/>
        </w:rPr>
        <w:t>ture" (2.5/5), "application capabilities" (2.8/5), and "international alignment" (2.3/5) (</w:t>
      </w:r>
      <w:proofErr w:type="spellStart"/>
      <w:r>
        <w:rPr>
          <w:rFonts w:ascii="Arial" w:hAnsi="Arial" w:cs="Arial"/>
        </w:rPr>
        <w:t>Normén</w:t>
      </w:r>
      <w:proofErr w:type="spellEnd"/>
      <w:r>
        <w:rPr>
          <w:rFonts w:ascii="Arial" w:hAnsi="Arial" w:cs="Arial"/>
        </w:rPr>
        <w:t>-Smith et al., 2024). Specifically, the usage rate of international online education platforms is only 21.4%, the proportion of virtual international cooperatio</w:t>
      </w:r>
      <w:r>
        <w:rPr>
          <w:rFonts w:ascii="Arial" w:hAnsi="Arial" w:cs="Arial"/>
        </w:rPr>
        <w:t>n projects is less than 5%, and only 35.6% of faculty meet the established standards for digital literacy.</w:t>
      </w:r>
    </w:p>
    <w:p w14:paraId="5ABADFBB" w14:textId="77777777" w:rsidR="00020A60" w:rsidRDefault="00020A60">
      <w:pPr>
        <w:jc w:val="both"/>
        <w:rPr>
          <w:rFonts w:ascii="Times New Roman" w:hAnsi="Times New Roman"/>
        </w:rPr>
      </w:pPr>
    </w:p>
    <w:p w14:paraId="2126CD08" w14:textId="77777777" w:rsidR="00020A60" w:rsidRDefault="00A31FC3">
      <w:pPr>
        <w:jc w:val="both"/>
        <w:rPr>
          <w:rFonts w:ascii="Arial" w:hAnsi="Arial" w:cs="Arial"/>
          <w:b/>
          <w:u w:val="single"/>
        </w:rPr>
      </w:pPr>
      <w:r>
        <w:rPr>
          <w:rFonts w:ascii="Arial" w:hAnsi="Arial" w:cs="Arial"/>
          <w:b/>
          <w:u w:val="single"/>
        </w:rPr>
        <w:t xml:space="preserve"> 2.2.4 Deep-rooted Barriers to Cultural Awareness</w:t>
      </w:r>
    </w:p>
    <w:p w14:paraId="64279781" w14:textId="77777777" w:rsidR="00020A60" w:rsidRDefault="00020A60">
      <w:pPr>
        <w:jc w:val="both"/>
        <w:rPr>
          <w:rFonts w:ascii="Times New Roman" w:hAnsi="Times New Roman"/>
        </w:rPr>
      </w:pPr>
    </w:p>
    <w:p w14:paraId="70A12ED6" w14:textId="77777777" w:rsidR="00020A60" w:rsidRDefault="00A31FC3">
      <w:pPr>
        <w:jc w:val="both"/>
        <w:rPr>
          <w:rFonts w:ascii="Arial" w:eastAsia="SimSun" w:hAnsi="Arial" w:cs="Arial"/>
          <w:lang w:eastAsia="zh-CN"/>
        </w:rPr>
      </w:pPr>
      <w:r>
        <w:rPr>
          <w:rFonts w:ascii="Arial" w:hAnsi="Arial" w:cs="Arial"/>
        </w:rPr>
        <w:t xml:space="preserve">Assessment through the Intercultural Adaptation Scale (ICAS) indicates that faculty and students </w:t>
      </w:r>
      <w:r>
        <w:rPr>
          <w:rFonts w:ascii="Arial" w:hAnsi="Arial" w:cs="Arial"/>
        </w:rPr>
        <w:t>at western engineering and technology universities score low in dimensions such as "cultural inclusivity" (3.2/5) and "language confidence" (2.7/5) (</w:t>
      </w:r>
      <w:proofErr w:type="spellStart"/>
      <w:r>
        <w:rPr>
          <w:rFonts w:ascii="Arial" w:hAnsi="Arial" w:cs="Arial"/>
        </w:rPr>
        <w:t>Arasaratnam</w:t>
      </w:r>
      <w:proofErr w:type="spellEnd"/>
      <w:r>
        <w:rPr>
          <w:rFonts w:ascii="Arial" w:hAnsi="Arial" w:cs="Arial"/>
        </w:rPr>
        <w:t xml:space="preserve">-Smith, L.A., &amp; Deardorff, D.K., 2022). In-depth </w:t>
      </w:r>
      <w:bookmarkStart w:id="0" w:name="_GoBack"/>
      <w:r>
        <w:rPr>
          <w:rFonts w:ascii="Arial" w:hAnsi="Arial" w:cs="Arial"/>
        </w:rPr>
        <w:t>interview</w:t>
      </w:r>
      <w:bookmarkEnd w:id="0"/>
      <w:r>
        <w:rPr>
          <w:rFonts w:ascii="Arial" w:hAnsi="Arial" w:cs="Arial"/>
        </w:rPr>
        <w:t>s reveal that 62% of faculty members e</w:t>
      </w:r>
      <w:r>
        <w:rPr>
          <w:rFonts w:ascii="Arial" w:hAnsi="Arial" w:cs="Arial"/>
        </w:rPr>
        <w:t>xhibit a cognitive bias regarding internationalization, perceiving it as overly focused on "hardware" rather than "software," and simplistically interpreting internationalization as merely "bringing in foreign faculty" or "sending students abroad"</w:t>
      </w:r>
      <w:r>
        <w:rPr>
          <w:rFonts w:ascii="Arial" w:eastAsia="SimSun" w:hAnsi="Arial" w:cs="Arial" w:hint="eastAsia"/>
          <w:lang w:eastAsia="zh-CN"/>
        </w:rPr>
        <w:t>(</w:t>
      </w:r>
      <w:proofErr w:type="spellStart"/>
      <w:r>
        <w:rPr>
          <w:rFonts w:ascii="Arial" w:hAnsi="Arial" w:cs="Arial" w:hint="eastAsia"/>
          <w:color w:val="0000FF"/>
        </w:rPr>
        <w:t>Syomwene</w:t>
      </w:r>
      <w:proofErr w:type="spellEnd"/>
      <w:r>
        <w:rPr>
          <w:rFonts w:ascii="Arial" w:hAnsi="Arial" w:cs="Arial" w:hint="eastAsia"/>
          <w:color w:val="0000FF"/>
        </w:rPr>
        <w:t>,</w:t>
      </w:r>
      <w:r>
        <w:rPr>
          <w:rFonts w:ascii="Arial" w:eastAsia="SimSun" w:hAnsi="Arial" w:cs="Arial" w:hint="eastAsia"/>
          <w:color w:val="0000FF"/>
          <w:lang w:eastAsia="zh-CN"/>
        </w:rPr>
        <w:t xml:space="preserve"> </w:t>
      </w:r>
      <w:r>
        <w:rPr>
          <w:rFonts w:ascii="Arial" w:hAnsi="Arial" w:cs="Arial" w:hint="eastAsia"/>
          <w:color w:val="0000FF"/>
        </w:rPr>
        <w:t>2021)</w:t>
      </w:r>
      <w:r>
        <w:rPr>
          <w:rFonts w:ascii="Arial" w:eastAsia="SimSun" w:hAnsi="Arial" w:cs="Arial" w:hint="eastAsia"/>
          <w:color w:val="0000FF"/>
          <w:lang w:eastAsia="zh-CN"/>
        </w:rPr>
        <w:t>.</w:t>
      </w:r>
    </w:p>
    <w:p w14:paraId="042311C2" w14:textId="77777777" w:rsidR="00020A60" w:rsidRDefault="00020A60">
      <w:pPr>
        <w:jc w:val="both"/>
        <w:rPr>
          <w:rFonts w:ascii="Times New Roman" w:hAnsi="Times New Roman"/>
        </w:rPr>
      </w:pPr>
    </w:p>
    <w:p w14:paraId="7DAE54F1" w14:textId="77777777" w:rsidR="00020A60" w:rsidRDefault="00A31FC3">
      <w:pPr>
        <w:jc w:val="both"/>
        <w:rPr>
          <w:rFonts w:ascii="Times New Roman" w:hAnsi="Times New Roman"/>
        </w:rPr>
      </w:pPr>
      <w:r>
        <w:rPr>
          <w:rFonts w:ascii="Times New Roman" w:hAnsi="Times New Roman"/>
        </w:rPr>
        <w:t xml:space="preserve"> </w:t>
      </w:r>
      <w:r>
        <w:rPr>
          <w:rFonts w:ascii="Arial" w:hAnsi="Arial" w:cs="Arial"/>
          <w:b/>
          <w:u w:val="single"/>
        </w:rPr>
        <w:t>2.2.5 Path Dependence in Discipline Development</w:t>
      </w:r>
    </w:p>
    <w:p w14:paraId="4F6991A6" w14:textId="77777777" w:rsidR="00020A60" w:rsidRDefault="00020A60">
      <w:pPr>
        <w:jc w:val="both"/>
        <w:rPr>
          <w:rFonts w:ascii="Times New Roman" w:hAnsi="Times New Roman"/>
        </w:rPr>
      </w:pPr>
    </w:p>
    <w:p w14:paraId="5B579043" w14:textId="77777777" w:rsidR="00020A60" w:rsidRDefault="00A31FC3">
      <w:pPr>
        <w:jc w:val="both"/>
        <w:rPr>
          <w:rFonts w:ascii="Arial" w:hAnsi="Arial" w:cs="Arial"/>
        </w:rPr>
      </w:pPr>
      <w:r>
        <w:rPr>
          <w:rFonts w:ascii="Arial" w:hAnsi="Arial" w:cs="Arial"/>
        </w:rPr>
        <w:t xml:space="preserve">The internationalization trajectory of western engineering and technology universities demonstrates a strong characteristic of path dependence. Data indicates that traditional disciplines account </w:t>
      </w:r>
      <w:r>
        <w:rPr>
          <w:rFonts w:ascii="Arial" w:hAnsi="Arial" w:cs="Arial"/>
        </w:rPr>
        <w:t>for an overwhelming 83% of internationalization resources, while emerging and interdisciplinary fields represent only 17% (</w:t>
      </w:r>
      <w:proofErr w:type="spellStart"/>
      <w:r>
        <w:rPr>
          <w:rFonts w:ascii="Arial" w:hAnsi="Arial" w:cs="Arial"/>
        </w:rPr>
        <w:t>DeCoito</w:t>
      </w:r>
      <w:proofErr w:type="spellEnd"/>
      <w:r>
        <w:rPr>
          <w:rFonts w:ascii="Arial" w:hAnsi="Arial" w:cs="Arial"/>
        </w:rPr>
        <w:t>, I., et al., 2023). This uneven allocation of resources hampers the ability of institutions to cultivate new competitive adva</w:t>
      </w:r>
      <w:r>
        <w:rPr>
          <w:rFonts w:ascii="Arial" w:hAnsi="Arial" w:cs="Arial"/>
        </w:rPr>
        <w:t>ntages on the international stage, resulting in a development dilemma where "the strong become stronger and the weak become weaker."</w:t>
      </w:r>
    </w:p>
    <w:p w14:paraId="0777023E" w14:textId="77777777" w:rsidR="00020A60" w:rsidRDefault="00020A60">
      <w:pPr>
        <w:pStyle w:val="Body"/>
        <w:spacing w:after="0"/>
        <w:rPr>
          <w:rFonts w:ascii="Arial" w:hAnsi="Arial" w:cs="Arial"/>
        </w:rPr>
      </w:pPr>
    </w:p>
    <w:p w14:paraId="3FE58F9D" w14:textId="77777777" w:rsidR="00020A60" w:rsidRDefault="00020A60">
      <w:pPr>
        <w:pStyle w:val="Body"/>
        <w:spacing w:after="0"/>
        <w:rPr>
          <w:rFonts w:ascii="Arial" w:hAnsi="Arial" w:cs="Arial"/>
        </w:rPr>
      </w:pPr>
    </w:p>
    <w:p w14:paraId="3FABA3F0" w14:textId="77777777" w:rsidR="00020A60" w:rsidRDefault="00A31FC3">
      <w:pPr>
        <w:pStyle w:val="Head1"/>
        <w:spacing w:after="0"/>
        <w:jc w:val="both"/>
        <w:rPr>
          <w:rFonts w:ascii="Arial" w:hAnsi="Arial" w:cs="Arial"/>
        </w:rPr>
      </w:pPr>
      <w:r>
        <w:rPr>
          <w:rFonts w:ascii="Arial" w:hAnsi="Arial" w:cs="Arial"/>
        </w:rPr>
        <w:t xml:space="preserve">3. </w:t>
      </w:r>
      <w:r>
        <w:rPr>
          <w:rFonts w:ascii="Arial" w:hAnsi="Arial" w:cs="Arial" w:hint="eastAsia"/>
        </w:rPr>
        <w:t>Internationalization Indicators for Higher Education Institutions</w:t>
      </w:r>
    </w:p>
    <w:p w14:paraId="5EB339D4" w14:textId="77777777" w:rsidR="00020A60" w:rsidRDefault="00020A60">
      <w:pPr>
        <w:pStyle w:val="Head1"/>
        <w:spacing w:after="0"/>
        <w:jc w:val="both"/>
        <w:rPr>
          <w:rFonts w:ascii="Arial" w:hAnsi="Arial" w:cs="Arial"/>
        </w:rPr>
      </w:pPr>
    </w:p>
    <w:p w14:paraId="16ACDBAF" w14:textId="77777777" w:rsidR="00020A60" w:rsidRDefault="00A31FC3">
      <w:pPr>
        <w:jc w:val="both"/>
        <w:rPr>
          <w:rFonts w:ascii="Arial" w:hAnsi="Arial" w:cs="Arial"/>
          <w:b/>
          <w:caps/>
          <w:sz w:val="22"/>
        </w:rPr>
      </w:pPr>
      <w:r>
        <w:rPr>
          <w:rFonts w:ascii="Arial" w:hAnsi="Arial" w:cs="Arial"/>
          <w:b/>
          <w:caps/>
          <w:sz w:val="22"/>
        </w:rPr>
        <w:t xml:space="preserve"> 3.1 Principles for Constructing the Internationali</w:t>
      </w:r>
      <w:r>
        <w:rPr>
          <w:rFonts w:ascii="Arial" w:hAnsi="Arial" w:cs="Arial"/>
          <w:b/>
          <w:caps/>
          <w:sz w:val="22"/>
        </w:rPr>
        <w:t>zation Indicator System</w:t>
      </w:r>
    </w:p>
    <w:p w14:paraId="494285D5" w14:textId="77777777" w:rsidR="00020A60" w:rsidRDefault="00020A60">
      <w:pPr>
        <w:pStyle w:val="Body"/>
        <w:spacing w:after="0"/>
        <w:rPr>
          <w:rFonts w:ascii="Arial" w:hAnsi="Arial" w:cs="Arial"/>
        </w:rPr>
      </w:pPr>
    </w:p>
    <w:p w14:paraId="7626C36D" w14:textId="77777777" w:rsidR="00020A60" w:rsidRDefault="00A31FC3">
      <w:pPr>
        <w:pStyle w:val="Body"/>
        <w:spacing w:after="0"/>
        <w:rPr>
          <w:rFonts w:ascii="Arial" w:hAnsi="Arial" w:cs="Arial"/>
        </w:rPr>
      </w:pPr>
      <w:r>
        <w:rPr>
          <w:rFonts w:ascii="Arial" w:hAnsi="Arial" w:cs="Arial" w:hint="eastAsia"/>
        </w:rPr>
        <w:t>The development of an internationalization indicator system tailored for western engineering and technology universities must balance multiple principles, including scientific rigor and feasibility, universality and specificity, as</w:t>
      </w:r>
      <w:r>
        <w:rPr>
          <w:rFonts w:ascii="Arial" w:hAnsi="Arial" w:cs="Arial" w:hint="eastAsia"/>
        </w:rPr>
        <w:t xml:space="preserve"> well as a combination of quantitative and qualitative measures (Knight, 2011). This study employs the Delphi method and Analytic Hierarchy Process (AHP) to establish the following guiding principles:</w:t>
      </w:r>
    </w:p>
    <w:p w14:paraId="3C95023B" w14:textId="77777777" w:rsidR="00020A60" w:rsidRDefault="00020A60">
      <w:pPr>
        <w:pStyle w:val="Body"/>
        <w:spacing w:after="0"/>
        <w:rPr>
          <w:rFonts w:ascii="Arial" w:hAnsi="Arial" w:cs="Arial"/>
        </w:rPr>
      </w:pPr>
    </w:p>
    <w:p w14:paraId="72CCAD64" w14:textId="77777777" w:rsidR="00020A60" w:rsidRDefault="00A31FC3">
      <w:pPr>
        <w:pStyle w:val="Body"/>
        <w:spacing w:after="0"/>
        <w:rPr>
          <w:rFonts w:ascii="Arial" w:hAnsi="Arial" w:cs="Arial"/>
        </w:rPr>
      </w:pPr>
      <w:r>
        <w:rPr>
          <w:rFonts w:ascii="Arial" w:hAnsi="Arial" w:cs="Arial" w:hint="eastAsia"/>
        </w:rPr>
        <w:t>First, the principle of differentiation. Given the uni</w:t>
      </w:r>
      <w:r>
        <w:rPr>
          <w:rFonts w:ascii="Arial" w:hAnsi="Arial" w:cs="Arial" w:hint="eastAsia"/>
        </w:rPr>
        <w:t>que circumstances of western engineering and technology universities, the indicator system must transcend traditional "one-size-fits-all" evaluation models. For instance, when assessing international research collaboration, it is essential not only to cons</w:t>
      </w:r>
      <w:r>
        <w:rPr>
          <w:rFonts w:ascii="Arial" w:hAnsi="Arial" w:cs="Arial" w:hint="eastAsia"/>
        </w:rPr>
        <w:t xml:space="preserve">ider the quantity of international co-authored publications but also to evaluate the enhancement of collaboration quality (Evers, N., &amp; van </w:t>
      </w:r>
      <w:proofErr w:type="spellStart"/>
      <w:r>
        <w:rPr>
          <w:rFonts w:ascii="Arial" w:hAnsi="Arial" w:cs="Arial" w:hint="eastAsia"/>
        </w:rPr>
        <w:t>Gaalen</w:t>
      </w:r>
      <w:proofErr w:type="spellEnd"/>
      <w:r>
        <w:rPr>
          <w:rFonts w:ascii="Arial" w:hAnsi="Arial" w:cs="Arial" w:hint="eastAsia"/>
        </w:rPr>
        <w:t>, A. et al., 2010). Data indicates that while the total number of international collaborative publications fro</w:t>
      </w:r>
      <w:r>
        <w:rPr>
          <w:rFonts w:ascii="Arial" w:hAnsi="Arial" w:cs="Arial" w:hint="eastAsia"/>
        </w:rPr>
        <w:t>m western universities is relatively low, their international impact index in specific fields (such as plateau ecology and rare earth materials) surpasses the national average (see Table 2).</w:t>
      </w:r>
    </w:p>
    <w:p w14:paraId="40781A46" w14:textId="77777777" w:rsidR="00020A60" w:rsidRDefault="00020A60">
      <w:pPr>
        <w:pStyle w:val="Body"/>
        <w:spacing w:after="0"/>
        <w:rPr>
          <w:rFonts w:ascii="Arial" w:hAnsi="Arial" w:cs="Arial"/>
        </w:rPr>
      </w:pPr>
    </w:p>
    <w:p w14:paraId="0B4812C7" w14:textId="77777777" w:rsidR="00020A60" w:rsidRDefault="00A31FC3">
      <w:pPr>
        <w:tabs>
          <w:tab w:val="left" w:pos="1080"/>
        </w:tabs>
        <w:jc w:val="both"/>
        <w:rPr>
          <w:rFonts w:ascii="Arial" w:hAnsi="Arial"/>
          <w:b/>
        </w:rPr>
      </w:pPr>
      <w:r>
        <w:rPr>
          <w:rFonts w:ascii="Arial" w:hAnsi="Arial"/>
          <w:b/>
        </w:rPr>
        <w:lastRenderedPageBreak/>
        <w:t xml:space="preserve">Table </w:t>
      </w:r>
      <w:r>
        <w:rPr>
          <w:rFonts w:ascii="Arial" w:eastAsia="SimSun" w:hAnsi="Arial" w:hint="eastAsia"/>
          <w:b/>
          <w:lang w:eastAsia="zh-CN"/>
        </w:rPr>
        <w:t>2</w:t>
      </w:r>
      <w:r>
        <w:rPr>
          <w:rFonts w:ascii="Arial" w:hAnsi="Arial"/>
          <w:b/>
        </w:rPr>
        <w:t>.</w:t>
      </w:r>
      <w:r>
        <w:rPr>
          <w:rFonts w:ascii="Arial" w:eastAsia="SimSun" w:hAnsi="Arial" w:hint="eastAsia"/>
          <w:b/>
          <w:lang w:eastAsia="zh-CN"/>
        </w:rPr>
        <w:t xml:space="preserve"> </w:t>
      </w:r>
      <w:r>
        <w:rPr>
          <w:rFonts w:ascii="Arial" w:hAnsi="Arial" w:hint="eastAsia"/>
          <w:b/>
        </w:rPr>
        <w:t>Comparative International Impact Index of Specialized D</w:t>
      </w:r>
      <w:r>
        <w:rPr>
          <w:rFonts w:ascii="Arial" w:hAnsi="Arial" w:hint="eastAsia"/>
          <w:b/>
        </w:rPr>
        <w:t>isciplines in Western Engineering and Technology Universities (2022)</w:t>
      </w:r>
    </w:p>
    <w:p w14:paraId="4D7D9167" w14:textId="77777777" w:rsidR="00020A60" w:rsidRDefault="00020A60">
      <w:pPr>
        <w:tabs>
          <w:tab w:val="left" w:pos="1080"/>
        </w:tabs>
        <w:jc w:val="both"/>
        <w:rPr>
          <w:rFonts w:ascii="Arial" w:hAnsi="Arial"/>
          <w:b/>
        </w:rPr>
      </w:pPr>
    </w:p>
    <w:tbl>
      <w:tblPr>
        <w:tblW w:w="7774" w:type="dxa"/>
        <w:jc w:val="center"/>
        <w:shd w:val="clear" w:color="auto" w:fill="FFFFFF"/>
        <w:tblCellMar>
          <w:left w:w="0" w:type="dxa"/>
          <w:right w:w="0" w:type="dxa"/>
        </w:tblCellMar>
        <w:tblLook w:val="04A0" w:firstRow="1" w:lastRow="0" w:firstColumn="1" w:lastColumn="0" w:noHBand="0" w:noVBand="1"/>
      </w:tblPr>
      <w:tblGrid>
        <w:gridCol w:w="2383"/>
        <w:gridCol w:w="2903"/>
        <w:gridCol w:w="2488"/>
      </w:tblGrid>
      <w:tr w:rsidR="00020A60" w14:paraId="017E67FB" w14:textId="77777777">
        <w:trPr>
          <w:tblHeader/>
          <w:jc w:val="center"/>
        </w:trPr>
        <w:tc>
          <w:tcPr>
            <w:tcW w:w="2383" w:type="dxa"/>
            <w:tcBorders>
              <w:top w:val="single" w:sz="4" w:space="0" w:color="000000"/>
              <w:left w:val="nil"/>
              <w:bottom w:val="single" w:sz="4" w:space="0" w:color="000000"/>
              <w:right w:val="nil"/>
            </w:tcBorders>
            <w:shd w:val="clear" w:color="auto" w:fill="FFFFFF"/>
            <w:tcMar>
              <w:left w:w="75" w:type="dxa"/>
              <w:right w:w="75" w:type="dxa"/>
            </w:tcMar>
            <w:vAlign w:val="center"/>
          </w:tcPr>
          <w:p w14:paraId="065D2F4B" w14:textId="77777777" w:rsidR="00020A60" w:rsidRDefault="00A31FC3">
            <w:pPr>
              <w:jc w:val="center"/>
              <w:rPr>
                <w:rFonts w:ascii="Arial" w:hAnsi="Arial"/>
                <w:b/>
              </w:rPr>
            </w:pPr>
            <w:r>
              <w:rPr>
                <w:rFonts w:ascii="Arial" w:hAnsi="Arial"/>
                <w:b/>
                <w:lang w:eastAsia="zh-CN"/>
              </w:rPr>
              <w:t>Discipline Area</w:t>
            </w:r>
          </w:p>
        </w:tc>
        <w:tc>
          <w:tcPr>
            <w:tcW w:w="2903" w:type="dxa"/>
            <w:tcBorders>
              <w:top w:val="single" w:sz="4" w:space="0" w:color="000000"/>
              <w:left w:val="nil"/>
              <w:bottom w:val="single" w:sz="4" w:space="0" w:color="000000"/>
              <w:right w:val="nil"/>
            </w:tcBorders>
            <w:shd w:val="clear" w:color="auto" w:fill="FFFFFF"/>
            <w:tcMar>
              <w:left w:w="75" w:type="dxa"/>
              <w:right w:w="75" w:type="dxa"/>
            </w:tcMar>
            <w:vAlign w:val="center"/>
          </w:tcPr>
          <w:p w14:paraId="64E42F33" w14:textId="77777777" w:rsidR="00020A60" w:rsidRDefault="00A31FC3">
            <w:pPr>
              <w:jc w:val="center"/>
              <w:rPr>
                <w:rFonts w:ascii="Arial" w:hAnsi="Arial"/>
                <w:b/>
              </w:rPr>
            </w:pPr>
            <w:r>
              <w:rPr>
                <w:rFonts w:ascii="Arial" w:hAnsi="Arial"/>
                <w:b/>
                <w:lang w:eastAsia="zh-CN"/>
              </w:rPr>
              <w:t>International Impact Index</w:t>
            </w:r>
          </w:p>
        </w:tc>
        <w:tc>
          <w:tcPr>
            <w:tcW w:w="2488" w:type="dxa"/>
            <w:tcBorders>
              <w:top w:val="single" w:sz="4" w:space="0" w:color="000000"/>
              <w:left w:val="nil"/>
              <w:bottom w:val="single" w:sz="4" w:space="0" w:color="000000"/>
              <w:right w:val="nil"/>
            </w:tcBorders>
            <w:shd w:val="clear" w:color="auto" w:fill="FFFFFF"/>
            <w:tcMar>
              <w:left w:w="75" w:type="dxa"/>
              <w:right w:w="75" w:type="dxa"/>
            </w:tcMar>
            <w:vAlign w:val="center"/>
          </w:tcPr>
          <w:p w14:paraId="7EC2B80B" w14:textId="77777777" w:rsidR="00020A60" w:rsidRDefault="00A31FC3">
            <w:pPr>
              <w:jc w:val="center"/>
              <w:rPr>
                <w:rFonts w:ascii="Arial" w:hAnsi="Arial"/>
                <w:b/>
              </w:rPr>
            </w:pPr>
            <w:r>
              <w:rPr>
                <w:rFonts w:ascii="Arial" w:hAnsi="Arial"/>
                <w:b/>
                <w:lang w:eastAsia="zh-CN"/>
              </w:rPr>
              <w:t>National Ranking</w:t>
            </w:r>
          </w:p>
        </w:tc>
      </w:tr>
      <w:tr w:rsidR="00020A60" w14:paraId="109FEA8C" w14:textId="77777777">
        <w:trPr>
          <w:jc w:val="center"/>
        </w:trPr>
        <w:tc>
          <w:tcPr>
            <w:tcW w:w="2383" w:type="dxa"/>
            <w:tcBorders>
              <w:top w:val="single" w:sz="4" w:space="0" w:color="000000"/>
              <w:left w:val="nil"/>
              <w:bottom w:val="nil"/>
              <w:right w:val="nil"/>
            </w:tcBorders>
            <w:shd w:val="clear" w:color="auto" w:fill="FFFFFF"/>
            <w:tcMar>
              <w:left w:w="75" w:type="dxa"/>
              <w:right w:w="75" w:type="dxa"/>
            </w:tcMar>
            <w:vAlign w:val="center"/>
          </w:tcPr>
          <w:p w14:paraId="405425B9" w14:textId="77777777" w:rsidR="00020A60" w:rsidRDefault="00A31FC3">
            <w:pPr>
              <w:jc w:val="center"/>
              <w:rPr>
                <w:rFonts w:ascii="Arial" w:hAnsi="Arial"/>
              </w:rPr>
            </w:pPr>
            <w:r>
              <w:rPr>
                <w:rFonts w:ascii="Arial" w:hAnsi="Arial"/>
                <w:lang w:eastAsia="zh-CN"/>
              </w:rPr>
              <w:t>Plateau Ecology</w:t>
            </w:r>
          </w:p>
        </w:tc>
        <w:tc>
          <w:tcPr>
            <w:tcW w:w="2903" w:type="dxa"/>
            <w:tcBorders>
              <w:top w:val="single" w:sz="4" w:space="0" w:color="000000"/>
              <w:left w:val="nil"/>
              <w:bottom w:val="nil"/>
              <w:right w:val="nil"/>
            </w:tcBorders>
            <w:shd w:val="clear" w:color="auto" w:fill="FFFFFF"/>
            <w:tcMar>
              <w:left w:w="75" w:type="dxa"/>
              <w:right w:w="75" w:type="dxa"/>
            </w:tcMar>
            <w:vAlign w:val="center"/>
          </w:tcPr>
          <w:p w14:paraId="3208D667" w14:textId="77777777" w:rsidR="00020A60" w:rsidRDefault="00A31FC3">
            <w:pPr>
              <w:jc w:val="center"/>
              <w:rPr>
                <w:rFonts w:ascii="Arial" w:hAnsi="Arial"/>
              </w:rPr>
            </w:pPr>
            <w:r>
              <w:rPr>
                <w:rFonts w:ascii="Arial" w:hAnsi="Arial"/>
                <w:lang w:eastAsia="zh-CN"/>
              </w:rPr>
              <w:t>6.8</w:t>
            </w:r>
          </w:p>
        </w:tc>
        <w:tc>
          <w:tcPr>
            <w:tcW w:w="2488" w:type="dxa"/>
            <w:tcBorders>
              <w:top w:val="single" w:sz="4" w:space="0" w:color="000000"/>
              <w:left w:val="nil"/>
              <w:bottom w:val="nil"/>
              <w:right w:val="nil"/>
            </w:tcBorders>
            <w:shd w:val="clear" w:color="auto" w:fill="FFFFFF"/>
            <w:tcMar>
              <w:left w:w="75" w:type="dxa"/>
              <w:right w:w="75" w:type="dxa"/>
            </w:tcMar>
            <w:vAlign w:val="center"/>
          </w:tcPr>
          <w:p w14:paraId="1F8376D2" w14:textId="77777777" w:rsidR="00020A60" w:rsidRDefault="00A31FC3">
            <w:pPr>
              <w:jc w:val="center"/>
              <w:rPr>
                <w:rFonts w:ascii="Arial" w:hAnsi="Arial"/>
              </w:rPr>
            </w:pPr>
            <w:r>
              <w:rPr>
                <w:rFonts w:ascii="Arial" w:hAnsi="Arial"/>
                <w:lang w:eastAsia="zh-CN"/>
              </w:rPr>
              <w:t>Top 5%</w:t>
            </w:r>
          </w:p>
        </w:tc>
      </w:tr>
      <w:tr w:rsidR="00020A60" w14:paraId="0C871692" w14:textId="77777777">
        <w:trPr>
          <w:jc w:val="center"/>
        </w:trPr>
        <w:tc>
          <w:tcPr>
            <w:tcW w:w="2383" w:type="dxa"/>
            <w:tcBorders>
              <w:top w:val="nil"/>
              <w:left w:val="nil"/>
              <w:bottom w:val="nil"/>
              <w:right w:val="nil"/>
            </w:tcBorders>
            <w:shd w:val="clear" w:color="auto" w:fill="FFFFFF"/>
            <w:tcMar>
              <w:left w:w="75" w:type="dxa"/>
              <w:right w:w="75" w:type="dxa"/>
            </w:tcMar>
            <w:vAlign w:val="center"/>
          </w:tcPr>
          <w:p w14:paraId="44022FCD" w14:textId="77777777" w:rsidR="00020A60" w:rsidRDefault="00A31FC3">
            <w:pPr>
              <w:jc w:val="center"/>
              <w:rPr>
                <w:rFonts w:ascii="Arial" w:hAnsi="Arial"/>
              </w:rPr>
            </w:pPr>
            <w:r>
              <w:rPr>
                <w:rFonts w:ascii="Arial" w:hAnsi="Arial"/>
                <w:lang w:eastAsia="zh-CN"/>
              </w:rPr>
              <w:t>Rare Earth Materials</w:t>
            </w:r>
          </w:p>
        </w:tc>
        <w:tc>
          <w:tcPr>
            <w:tcW w:w="2903" w:type="dxa"/>
            <w:tcBorders>
              <w:top w:val="nil"/>
              <w:left w:val="nil"/>
              <w:bottom w:val="nil"/>
              <w:right w:val="nil"/>
            </w:tcBorders>
            <w:shd w:val="clear" w:color="auto" w:fill="FFFFFF"/>
            <w:tcMar>
              <w:left w:w="75" w:type="dxa"/>
              <w:right w:w="75" w:type="dxa"/>
            </w:tcMar>
            <w:vAlign w:val="center"/>
          </w:tcPr>
          <w:p w14:paraId="299FE5A2" w14:textId="77777777" w:rsidR="00020A60" w:rsidRDefault="00A31FC3">
            <w:pPr>
              <w:jc w:val="center"/>
              <w:rPr>
                <w:rFonts w:ascii="Arial" w:hAnsi="Arial"/>
              </w:rPr>
            </w:pPr>
            <w:r>
              <w:rPr>
                <w:rFonts w:ascii="Arial" w:hAnsi="Arial"/>
                <w:lang w:eastAsia="zh-CN"/>
              </w:rPr>
              <w:t>7.2</w:t>
            </w:r>
          </w:p>
        </w:tc>
        <w:tc>
          <w:tcPr>
            <w:tcW w:w="2488" w:type="dxa"/>
            <w:tcBorders>
              <w:top w:val="nil"/>
              <w:left w:val="nil"/>
              <w:bottom w:val="nil"/>
              <w:right w:val="nil"/>
            </w:tcBorders>
            <w:shd w:val="clear" w:color="auto" w:fill="FFFFFF"/>
            <w:tcMar>
              <w:left w:w="75" w:type="dxa"/>
              <w:right w:w="75" w:type="dxa"/>
            </w:tcMar>
            <w:vAlign w:val="center"/>
          </w:tcPr>
          <w:p w14:paraId="5BDE87F9" w14:textId="77777777" w:rsidR="00020A60" w:rsidRDefault="00A31FC3">
            <w:pPr>
              <w:jc w:val="center"/>
              <w:rPr>
                <w:rFonts w:ascii="Arial" w:hAnsi="Arial"/>
              </w:rPr>
            </w:pPr>
            <w:r>
              <w:rPr>
                <w:rFonts w:ascii="Arial" w:hAnsi="Arial"/>
                <w:lang w:eastAsia="zh-CN"/>
              </w:rPr>
              <w:t>Top 3%</w:t>
            </w:r>
          </w:p>
        </w:tc>
      </w:tr>
      <w:tr w:rsidR="00020A60" w14:paraId="406F19AB" w14:textId="77777777">
        <w:trPr>
          <w:jc w:val="center"/>
        </w:trPr>
        <w:tc>
          <w:tcPr>
            <w:tcW w:w="2383" w:type="dxa"/>
            <w:tcBorders>
              <w:top w:val="nil"/>
              <w:left w:val="nil"/>
              <w:bottom w:val="single" w:sz="4" w:space="0" w:color="000000"/>
              <w:right w:val="nil"/>
            </w:tcBorders>
            <w:shd w:val="clear" w:color="auto" w:fill="FFFFFF"/>
            <w:tcMar>
              <w:left w:w="75" w:type="dxa"/>
              <w:right w:w="75" w:type="dxa"/>
            </w:tcMar>
            <w:vAlign w:val="center"/>
          </w:tcPr>
          <w:p w14:paraId="0EFFE7E4" w14:textId="77777777" w:rsidR="00020A60" w:rsidRDefault="00A31FC3">
            <w:pPr>
              <w:jc w:val="center"/>
              <w:rPr>
                <w:rFonts w:ascii="Arial" w:hAnsi="Arial"/>
              </w:rPr>
            </w:pPr>
            <w:r>
              <w:rPr>
                <w:rFonts w:ascii="Arial" w:hAnsi="Arial"/>
                <w:lang w:eastAsia="zh-CN"/>
              </w:rPr>
              <w:t>Arid Zone Agriculture</w:t>
            </w:r>
          </w:p>
        </w:tc>
        <w:tc>
          <w:tcPr>
            <w:tcW w:w="2903" w:type="dxa"/>
            <w:tcBorders>
              <w:top w:val="nil"/>
              <w:left w:val="nil"/>
              <w:bottom w:val="single" w:sz="4" w:space="0" w:color="000000"/>
              <w:right w:val="nil"/>
            </w:tcBorders>
            <w:shd w:val="clear" w:color="auto" w:fill="FFFFFF"/>
            <w:tcMar>
              <w:left w:w="75" w:type="dxa"/>
              <w:right w:w="75" w:type="dxa"/>
            </w:tcMar>
            <w:vAlign w:val="center"/>
          </w:tcPr>
          <w:p w14:paraId="55211089" w14:textId="77777777" w:rsidR="00020A60" w:rsidRDefault="00A31FC3">
            <w:pPr>
              <w:jc w:val="center"/>
              <w:rPr>
                <w:rFonts w:ascii="Arial" w:hAnsi="Arial"/>
              </w:rPr>
            </w:pPr>
            <w:r>
              <w:rPr>
                <w:rFonts w:ascii="Arial" w:hAnsi="Arial"/>
                <w:lang w:eastAsia="zh-CN"/>
              </w:rPr>
              <w:t>5.9</w:t>
            </w:r>
          </w:p>
        </w:tc>
        <w:tc>
          <w:tcPr>
            <w:tcW w:w="2488" w:type="dxa"/>
            <w:tcBorders>
              <w:top w:val="nil"/>
              <w:left w:val="nil"/>
              <w:bottom w:val="single" w:sz="4" w:space="0" w:color="000000"/>
              <w:right w:val="nil"/>
            </w:tcBorders>
            <w:shd w:val="clear" w:color="auto" w:fill="FFFFFF"/>
            <w:tcMar>
              <w:left w:w="75" w:type="dxa"/>
              <w:right w:w="75" w:type="dxa"/>
            </w:tcMar>
            <w:vAlign w:val="center"/>
          </w:tcPr>
          <w:p w14:paraId="62400C2B" w14:textId="77777777" w:rsidR="00020A60" w:rsidRDefault="00A31FC3">
            <w:pPr>
              <w:jc w:val="center"/>
              <w:rPr>
                <w:rFonts w:ascii="Arial" w:hAnsi="Arial"/>
              </w:rPr>
            </w:pPr>
            <w:r>
              <w:rPr>
                <w:rFonts w:ascii="Arial" w:hAnsi="Arial"/>
                <w:lang w:eastAsia="zh-CN"/>
              </w:rPr>
              <w:t>Top 10%</w:t>
            </w:r>
          </w:p>
        </w:tc>
      </w:tr>
    </w:tbl>
    <w:p w14:paraId="5F377C3D" w14:textId="77777777" w:rsidR="00020A60" w:rsidRDefault="00020A60">
      <w:pPr>
        <w:tabs>
          <w:tab w:val="left" w:pos="1080"/>
        </w:tabs>
        <w:jc w:val="both"/>
        <w:rPr>
          <w:rFonts w:ascii="Arial" w:hAnsi="Arial"/>
          <w:b/>
        </w:rPr>
      </w:pPr>
    </w:p>
    <w:p w14:paraId="67BBF1B1" w14:textId="77777777" w:rsidR="00020A60" w:rsidRDefault="00A31FC3">
      <w:pPr>
        <w:pStyle w:val="Body"/>
        <w:spacing w:after="0"/>
        <w:rPr>
          <w:rFonts w:ascii="Arial" w:hAnsi="Arial" w:cs="Arial"/>
        </w:rPr>
      </w:pPr>
      <w:r>
        <w:rPr>
          <w:rFonts w:ascii="Arial" w:hAnsi="Arial" w:cs="Arial" w:hint="eastAsia"/>
        </w:rPr>
        <w:t xml:space="preserve">Second, the principle of </w:t>
      </w:r>
      <w:r>
        <w:rPr>
          <w:rFonts w:ascii="Arial" w:hAnsi="Arial" w:cs="Arial" w:hint="eastAsia"/>
        </w:rPr>
        <w:t xml:space="preserve">developmental focus. The indicator system should capture the dynamic process of internationalization rather than merely focusing on static outcomes (de Wit &amp; </w:t>
      </w:r>
      <w:proofErr w:type="spellStart"/>
      <w:r>
        <w:rPr>
          <w:rFonts w:ascii="Arial" w:hAnsi="Arial" w:cs="Arial" w:hint="eastAsia"/>
        </w:rPr>
        <w:t>Altbach</w:t>
      </w:r>
      <w:proofErr w:type="spellEnd"/>
      <w:r>
        <w:rPr>
          <w:rFonts w:ascii="Arial" w:hAnsi="Arial" w:cs="Arial" w:hint="eastAsia"/>
        </w:rPr>
        <w:t xml:space="preserve">, 2020). For example, in the area of faculty internationalization, it is crucial to assess </w:t>
      </w:r>
      <w:r>
        <w:rPr>
          <w:rFonts w:ascii="Arial" w:hAnsi="Arial" w:cs="Arial" w:hint="eastAsia"/>
        </w:rPr>
        <w:t>not only the current proportion of foreign faculty but also the rate at which the international competencies of local faculty are improving. Data shows that the annual growth rate of local faculty participating in international academic conferences at west</w:t>
      </w:r>
      <w:r>
        <w:rPr>
          <w:rFonts w:ascii="Arial" w:hAnsi="Arial" w:cs="Arial" w:hint="eastAsia"/>
        </w:rPr>
        <w:t>ern engineering and technology universities is 12.3%, significantly higher than the 8.7% observed in eastern regions (p&lt;0.05).</w:t>
      </w:r>
    </w:p>
    <w:p w14:paraId="73CF1F61" w14:textId="77777777" w:rsidR="00020A60" w:rsidRDefault="00020A60">
      <w:pPr>
        <w:pStyle w:val="Body"/>
        <w:spacing w:after="0"/>
        <w:rPr>
          <w:rFonts w:ascii="Arial" w:hAnsi="Arial" w:cs="Arial"/>
        </w:rPr>
      </w:pPr>
    </w:p>
    <w:p w14:paraId="113BE3CC" w14:textId="77777777" w:rsidR="00020A60" w:rsidRDefault="00A31FC3">
      <w:pPr>
        <w:pStyle w:val="Body"/>
        <w:spacing w:after="0"/>
        <w:rPr>
          <w:rFonts w:ascii="Arial" w:hAnsi="Arial" w:cs="Arial"/>
        </w:rPr>
      </w:pPr>
      <w:r>
        <w:rPr>
          <w:rFonts w:ascii="Arial" w:hAnsi="Arial" w:cs="Arial" w:hint="eastAsia"/>
        </w:rPr>
        <w:t>Third, the principle of effectiveness. The design of indicators must prioritize practical outcomes, avoiding the pitfall of "int</w:t>
      </w:r>
      <w:r>
        <w:rPr>
          <w:rFonts w:ascii="Arial" w:hAnsi="Arial" w:cs="Arial" w:hint="eastAsia"/>
        </w:rPr>
        <w:t>ernationalization for the sake of internationalization" (</w:t>
      </w:r>
      <w:proofErr w:type="spellStart"/>
      <w:r>
        <w:rPr>
          <w:rFonts w:ascii="Arial" w:hAnsi="Arial" w:cs="Arial" w:hint="eastAsia"/>
        </w:rPr>
        <w:t>Egron-Polak</w:t>
      </w:r>
      <w:proofErr w:type="spellEnd"/>
      <w:r>
        <w:rPr>
          <w:rFonts w:ascii="Arial" w:hAnsi="Arial" w:cs="Arial" w:hint="eastAsia"/>
        </w:rPr>
        <w:t xml:space="preserve"> &amp; Hudson, 2014). For instance, in terms of student mobility, it is essential to focus not only on the number of exchange participants but also on the actual developmental benefits for </w:t>
      </w:r>
      <w:proofErr w:type="gramStart"/>
      <w:r>
        <w:rPr>
          <w:rFonts w:ascii="Arial" w:hAnsi="Arial" w:cs="Arial" w:hint="eastAsia"/>
        </w:rPr>
        <w:t>stu</w:t>
      </w:r>
      <w:r>
        <w:rPr>
          <w:rFonts w:ascii="Arial" w:hAnsi="Arial" w:cs="Arial" w:hint="eastAsia"/>
        </w:rPr>
        <w:t>dents</w:t>
      </w:r>
      <w:proofErr w:type="gramEnd"/>
      <w:r>
        <w:rPr>
          <w:rFonts w:ascii="Arial" w:hAnsi="Arial" w:cs="Arial" w:hint="eastAsia"/>
        </w:rPr>
        <w:t xml:space="preserve"> post-exchange. Follow-up surveys indicate that students from western universities who participated in international exchanges experienced an average increase of 27.5% in their Employability Index, which is significantly higher than their peers who di</w:t>
      </w:r>
      <w:r>
        <w:rPr>
          <w:rFonts w:ascii="Arial" w:hAnsi="Arial" w:cs="Arial" w:hint="eastAsia"/>
        </w:rPr>
        <w:t>d not participate (p&lt;0.01).</w:t>
      </w:r>
    </w:p>
    <w:p w14:paraId="57AB1E79" w14:textId="77777777" w:rsidR="00020A60" w:rsidRDefault="00020A60">
      <w:pPr>
        <w:pStyle w:val="Body"/>
        <w:spacing w:after="0"/>
        <w:rPr>
          <w:rFonts w:ascii="Arial" w:hAnsi="Arial" w:cs="Arial"/>
        </w:rPr>
      </w:pPr>
    </w:p>
    <w:p w14:paraId="6985DA31" w14:textId="77777777" w:rsidR="00020A60" w:rsidRDefault="00A31FC3">
      <w:pPr>
        <w:rPr>
          <w:rFonts w:ascii="Arial" w:hAnsi="Arial" w:cs="Arial"/>
          <w:b/>
          <w:caps/>
          <w:sz w:val="22"/>
        </w:rPr>
      </w:pPr>
      <w:r>
        <w:rPr>
          <w:rFonts w:ascii="Arial" w:hAnsi="Arial" w:cs="Arial"/>
          <w:b/>
          <w:caps/>
          <w:sz w:val="22"/>
        </w:rPr>
        <w:t>3.2 Multidimensional Framework of the Indicator System</w:t>
      </w:r>
    </w:p>
    <w:p w14:paraId="23681A06" w14:textId="77777777" w:rsidR="00020A60" w:rsidRDefault="00020A60">
      <w:pPr>
        <w:rPr>
          <w:rFonts w:ascii="Times New Roman" w:hAnsi="Times New Roman"/>
        </w:rPr>
      </w:pPr>
    </w:p>
    <w:p w14:paraId="613B72DE" w14:textId="77777777" w:rsidR="00020A60" w:rsidRDefault="00A31FC3">
      <w:pPr>
        <w:rPr>
          <w:rFonts w:ascii="Arial" w:hAnsi="Arial" w:cs="Arial"/>
        </w:rPr>
      </w:pPr>
      <w:r>
        <w:rPr>
          <w:rFonts w:ascii="Arial" w:hAnsi="Arial" w:cs="Arial"/>
        </w:rPr>
        <w:t>Based on the aforementioned principles, this study constructs an internationalization evaluation framework for western engineering and technology universities that include</w:t>
      </w:r>
      <w:r>
        <w:rPr>
          <w:rFonts w:ascii="Arial" w:hAnsi="Arial" w:cs="Arial"/>
        </w:rPr>
        <w:t>s four primary indicators, twelve secondary indicators, and thirty-six tertiary indicators (see Table 3). Confirmatory factor analysis (CFA) demonstrates that the dimensions exhibit good discriminant validity (CFI=0.926, RMSEA=0.038).</w:t>
      </w:r>
    </w:p>
    <w:p w14:paraId="615442BD" w14:textId="77777777" w:rsidR="00020A60" w:rsidRDefault="00020A60">
      <w:pPr>
        <w:rPr>
          <w:rFonts w:ascii="Arial" w:hAnsi="Arial" w:cs="Arial"/>
        </w:rPr>
      </w:pPr>
    </w:p>
    <w:p w14:paraId="634DC5A0" w14:textId="77777777" w:rsidR="00020A60" w:rsidRDefault="00A31FC3">
      <w:pPr>
        <w:rPr>
          <w:rFonts w:ascii="Arial" w:hAnsi="Arial" w:cs="Arial"/>
          <w:b/>
          <w:bCs/>
          <w:lang w:eastAsia="zh-CN"/>
        </w:rPr>
      </w:pPr>
      <w:r>
        <w:rPr>
          <w:rFonts w:ascii="Arial" w:hAnsi="Arial" w:cs="Arial"/>
          <w:b/>
          <w:bCs/>
        </w:rPr>
        <w:t>Table 3: Internation</w:t>
      </w:r>
      <w:r>
        <w:rPr>
          <w:rFonts w:ascii="Arial" w:hAnsi="Arial" w:cs="Arial"/>
          <w:b/>
          <w:bCs/>
        </w:rPr>
        <w:t>alization Evaluation Indicator System for Western Engineering and Technology Universities</w:t>
      </w:r>
    </w:p>
    <w:p w14:paraId="588EB6F9" w14:textId="77777777" w:rsidR="00020A60" w:rsidRDefault="00020A60">
      <w:pPr>
        <w:pStyle w:val="Body"/>
        <w:spacing w:after="0"/>
        <w:rPr>
          <w:rFonts w:ascii="Arial" w:hAnsi="Arial" w:cs="Arial"/>
        </w:rPr>
      </w:pPr>
    </w:p>
    <w:tbl>
      <w:tblPr>
        <w:tblW w:w="8443" w:type="dxa"/>
        <w:shd w:val="clear" w:color="auto" w:fill="FFFFFF"/>
        <w:tblCellMar>
          <w:left w:w="0" w:type="dxa"/>
          <w:right w:w="0" w:type="dxa"/>
        </w:tblCellMar>
        <w:tblLook w:val="04A0" w:firstRow="1" w:lastRow="0" w:firstColumn="1" w:lastColumn="0" w:noHBand="0" w:noVBand="1"/>
      </w:tblPr>
      <w:tblGrid>
        <w:gridCol w:w="3118"/>
        <w:gridCol w:w="4125"/>
        <w:gridCol w:w="1200"/>
      </w:tblGrid>
      <w:tr w:rsidR="00020A60" w14:paraId="3D66177D" w14:textId="77777777">
        <w:trPr>
          <w:trHeight w:val="301"/>
          <w:tblHeader/>
        </w:trPr>
        <w:tc>
          <w:tcPr>
            <w:tcW w:w="3118" w:type="dxa"/>
            <w:tcBorders>
              <w:top w:val="single" w:sz="4" w:space="0" w:color="000000"/>
              <w:left w:val="nil"/>
              <w:bottom w:val="single" w:sz="4" w:space="0" w:color="000000"/>
              <w:right w:val="nil"/>
            </w:tcBorders>
            <w:shd w:val="clear" w:color="auto" w:fill="FFFFFF"/>
            <w:tcMar>
              <w:left w:w="75" w:type="dxa"/>
              <w:right w:w="75" w:type="dxa"/>
            </w:tcMar>
            <w:vAlign w:val="center"/>
          </w:tcPr>
          <w:p w14:paraId="6B525F0C" w14:textId="77777777" w:rsidR="00020A60" w:rsidRDefault="00A31FC3">
            <w:pPr>
              <w:jc w:val="center"/>
              <w:rPr>
                <w:rFonts w:ascii="Arial" w:hAnsi="Arial" w:cs="Arial"/>
                <w:bCs/>
                <w:color w:val="000000"/>
              </w:rPr>
            </w:pPr>
            <w:r>
              <w:rPr>
                <w:rFonts w:ascii="Arial" w:hAnsi="Arial" w:cs="Arial"/>
                <w:bCs/>
                <w:color w:val="000000"/>
                <w:lang w:eastAsia="zh-CN"/>
              </w:rPr>
              <w:t>Primary Indicator</w:t>
            </w:r>
          </w:p>
        </w:tc>
        <w:tc>
          <w:tcPr>
            <w:tcW w:w="4125" w:type="dxa"/>
            <w:tcBorders>
              <w:top w:val="single" w:sz="4" w:space="0" w:color="000000"/>
              <w:left w:val="nil"/>
              <w:bottom w:val="single" w:sz="4" w:space="0" w:color="000000"/>
              <w:right w:val="nil"/>
            </w:tcBorders>
            <w:shd w:val="clear" w:color="auto" w:fill="FFFFFF"/>
            <w:tcMar>
              <w:left w:w="75" w:type="dxa"/>
              <w:right w:w="75" w:type="dxa"/>
            </w:tcMar>
            <w:vAlign w:val="center"/>
          </w:tcPr>
          <w:p w14:paraId="5669AF51" w14:textId="77777777" w:rsidR="00020A60" w:rsidRDefault="00A31FC3">
            <w:pPr>
              <w:jc w:val="center"/>
              <w:rPr>
                <w:rFonts w:ascii="Arial" w:hAnsi="Arial" w:cs="Arial"/>
                <w:bCs/>
                <w:color w:val="000000"/>
              </w:rPr>
            </w:pPr>
            <w:r>
              <w:rPr>
                <w:rFonts w:ascii="Arial" w:hAnsi="Arial" w:cs="Arial"/>
                <w:bCs/>
                <w:color w:val="000000"/>
                <w:lang w:eastAsia="zh-CN"/>
              </w:rPr>
              <w:t>Secondary Indicator</w:t>
            </w:r>
          </w:p>
        </w:tc>
        <w:tc>
          <w:tcPr>
            <w:tcW w:w="1200" w:type="dxa"/>
            <w:tcBorders>
              <w:top w:val="single" w:sz="4" w:space="0" w:color="000000"/>
              <w:left w:val="nil"/>
              <w:bottom w:val="single" w:sz="4" w:space="0" w:color="000000"/>
              <w:right w:val="nil"/>
            </w:tcBorders>
            <w:shd w:val="clear" w:color="auto" w:fill="FFFFFF"/>
            <w:tcMar>
              <w:left w:w="75" w:type="dxa"/>
              <w:right w:w="75" w:type="dxa"/>
            </w:tcMar>
            <w:vAlign w:val="center"/>
          </w:tcPr>
          <w:p w14:paraId="254B3032" w14:textId="77777777" w:rsidR="00020A60" w:rsidRDefault="00A31FC3">
            <w:pPr>
              <w:jc w:val="center"/>
              <w:rPr>
                <w:rFonts w:ascii="Arial" w:hAnsi="Arial" w:cs="Arial"/>
                <w:bCs/>
                <w:color w:val="000000"/>
              </w:rPr>
            </w:pPr>
            <w:r>
              <w:rPr>
                <w:rFonts w:ascii="Arial" w:hAnsi="Arial" w:cs="Arial"/>
                <w:bCs/>
                <w:color w:val="000000"/>
                <w:lang w:eastAsia="zh-CN"/>
              </w:rPr>
              <w:t>Weight</w:t>
            </w:r>
          </w:p>
        </w:tc>
      </w:tr>
      <w:tr w:rsidR="00020A60" w14:paraId="70819DF4" w14:textId="77777777">
        <w:tc>
          <w:tcPr>
            <w:tcW w:w="3118" w:type="dxa"/>
            <w:vMerge w:val="restart"/>
            <w:tcBorders>
              <w:top w:val="single" w:sz="4" w:space="0" w:color="000000"/>
              <w:left w:val="nil"/>
              <w:bottom w:val="nil"/>
              <w:right w:val="nil"/>
            </w:tcBorders>
            <w:shd w:val="clear" w:color="auto" w:fill="FFFFFF"/>
            <w:tcMar>
              <w:left w:w="75" w:type="dxa"/>
              <w:right w:w="75" w:type="dxa"/>
            </w:tcMar>
            <w:vAlign w:val="center"/>
          </w:tcPr>
          <w:p w14:paraId="0536A65E" w14:textId="77777777" w:rsidR="00020A60" w:rsidRDefault="00A31FC3">
            <w:pPr>
              <w:jc w:val="center"/>
              <w:rPr>
                <w:rFonts w:ascii="Arial" w:hAnsi="Arial" w:cs="Arial"/>
                <w:color w:val="000000"/>
              </w:rPr>
            </w:pPr>
            <w:r>
              <w:rPr>
                <w:rFonts w:ascii="Arial" w:hAnsi="Arial" w:cs="Arial"/>
                <w:color w:val="000000"/>
                <w:lang w:eastAsia="zh-CN"/>
              </w:rPr>
              <w:t>Faculty Internationalization</w:t>
            </w:r>
          </w:p>
        </w:tc>
        <w:tc>
          <w:tcPr>
            <w:tcW w:w="4125" w:type="dxa"/>
            <w:tcBorders>
              <w:top w:val="single" w:sz="4" w:space="0" w:color="000000"/>
              <w:left w:val="nil"/>
              <w:bottom w:val="nil"/>
              <w:right w:val="nil"/>
            </w:tcBorders>
            <w:shd w:val="clear" w:color="auto" w:fill="FFFFFF"/>
            <w:tcMar>
              <w:left w:w="75" w:type="dxa"/>
              <w:right w:w="75" w:type="dxa"/>
            </w:tcMar>
            <w:vAlign w:val="center"/>
          </w:tcPr>
          <w:p w14:paraId="2D53F62B" w14:textId="77777777" w:rsidR="00020A60" w:rsidRDefault="00A31FC3">
            <w:pPr>
              <w:jc w:val="center"/>
              <w:rPr>
                <w:rFonts w:ascii="Arial" w:hAnsi="Arial" w:cs="Arial"/>
                <w:color w:val="000000"/>
              </w:rPr>
            </w:pPr>
            <w:r>
              <w:rPr>
                <w:rFonts w:ascii="Arial" w:hAnsi="Arial" w:cs="Arial"/>
                <w:color w:val="000000"/>
                <w:lang w:eastAsia="zh-CN"/>
              </w:rPr>
              <w:t>Proportion of Foreign Faculty</w:t>
            </w:r>
          </w:p>
        </w:tc>
        <w:tc>
          <w:tcPr>
            <w:tcW w:w="1200" w:type="dxa"/>
            <w:tcBorders>
              <w:top w:val="single" w:sz="4" w:space="0" w:color="000000"/>
              <w:left w:val="nil"/>
              <w:bottom w:val="nil"/>
              <w:right w:val="nil"/>
            </w:tcBorders>
            <w:shd w:val="clear" w:color="auto" w:fill="FFFFFF"/>
            <w:tcMar>
              <w:left w:w="75" w:type="dxa"/>
              <w:right w:w="75" w:type="dxa"/>
            </w:tcMar>
            <w:vAlign w:val="center"/>
          </w:tcPr>
          <w:p w14:paraId="0BDB8568" w14:textId="77777777" w:rsidR="00020A60" w:rsidRDefault="00A31FC3">
            <w:pPr>
              <w:jc w:val="center"/>
              <w:rPr>
                <w:rFonts w:ascii="Arial" w:hAnsi="Arial" w:cs="Arial"/>
                <w:color w:val="000000"/>
              </w:rPr>
            </w:pPr>
            <w:r>
              <w:rPr>
                <w:rFonts w:ascii="Arial" w:hAnsi="Arial" w:cs="Arial"/>
                <w:color w:val="000000"/>
                <w:lang w:eastAsia="zh-CN"/>
              </w:rPr>
              <w:t>15%</w:t>
            </w:r>
          </w:p>
        </w:tc>
      </w:tr>
      <w:tr w:rsidR="00020A60" w14:paraId="166AC854" w14:textId="77777777">
        <w:tc>
          <w:tcPr>
            <w:tcW w:w="3118" w:type="dxa"/>
            <w:vMerge/>
            <w:tcBorders>
              <w:top w:val="nil"/>
              <w:left w:val="nil"/>
              <w:bottom w:val="nil"/>
              <w:right w:val="nil"/>
            </w:tcBorders>
            <w:shd w:val="clear" w:color="auto" w:fill="FFFFFF"/>
            <w:tcMar>
              <w:left w:w="75" w:type="dxa"/>
              <w:right w:w="75" w:type="dxa"/>
            </w:tcMar>
            <w:vAlign w:val="center"/>
          </w:tcPr>
          <w:p w14:paraId="51AD0B11" w14:textId="77777777" w:rsidR="00020A60" w:rsidRDefault="00020A60">
            <w:pPr>
              <w:jc w:val="center"/>
              <w:rPr>
                <w:rFonts w:ascii="Arial" w:hAnsi="Arial" w:cs="Arial"/>
                <w:color w:val="000000"/>
              </w:rPr>
            </w:pPr>
          </w:p>
        </w:tc>
        <w:tc>
          <w:tcPr>
            <w:tcW w:w="4125" w:type="dxa"/>
            <w:tcBorders>
              <w:top w:val="nil"/>
              <w:left w:val="nil"/>
              <w:bottom w:val="nil"/>
              <w:right w:val="nil"/>
            </w:tcBorders>
            <w:shd w:val="clear" w:color="auto" w:fill="FFFFFF"/>
            <w:tcMar>
              <w:left w:w="75" w:type="dxa"/>
              <w:right w:w="75" w:type="dxa"/>
            </w:tcMar>
            <w:vAlign w:val="center"/>
          </w:tcPr>
          <w:p w14:paraId="09DB9699" w14:textId="77777777" w:rsidR="00020A60" w:rsidRDefault="00A31FC3">
            <w:pPr>
              <w:jc w:val="center"/>
              <w:rPr>
                <w:rFonts w:ascii="Arial" w:hAnsi="Arial" w:cs="Arial"/>
                <w:color w:val="000000"/>
              </w:rPr>
            </w:pPr>
            <w:r>
              <w:rPr>
                <w:rFonts w:ascii="Arial" w:hAnsi="Arial" w:cs="Arial"/>
                <w:color w:val="000000"/>
                <w:lang w:eastAsia="zh-CN"/>
              </w:rPr>
              <w:t>International Competence of Local Faculty</w:t>
            </w:r>
          </w:p>
        </w:tc>
        <w:tc>
          <w:tcPr>
            <w:tcW w:w="1200" w:type="dxa"/>
            <w:tcBorders>
              <w:top w:val="nil"/>
              <w:left w:val="nil"/>
              <w:bottom w:val="nil"/>
              <w:right w:val="nil"/>
            </w:tcBorders>
            <w:shd w:val="clear" w:color="auto" w:fill="FFFFFF"/>
            <w:tcMar>
              <w:left w:w="75" w:type="dxa"/>
              <w:right w:w="75" w:type="dxa"/>
            </w:tcMar>
            <w:vAlign w:val="center"/>
          </w:tcPr>
          <w:p w14:paraId="43DCA2D6" w14:textId="77777777" w:rsidR="00020A60" w:rsidRDefault="00A31FC3">
            <w:pPr>
              <w:jc w:val="center"/>
              <w:rPr>
                <w:rFonts w:ascii="Arial" w:hAnsi="Arial" w:cs="Arial"/>
                <w:color w:val="000000"/>
              </w:rPr>
            </w:pPr>
            <w:r>
              <w:rPr>
                <w:rFonts w:ascii="Arial" w:hAnsi="Arial" w:cs="Arial"/>
                <w:color w:val="000000"/>
                <w:lang w:eastAsia="zh-CN"/>
              </w:rPr>
              <w:t>20%</w:t>
            </w:r>
          </w:p>
        </w:tc>
      </w:tr>
      <w:tr w:rsidR="00020A60" w14:paraId="43ECA2FD" w14:textId="77777777">
        <w:tc>
          <w:tcPr>
            <w:tcW w:w="3118" w:type="dxa"/>
            <w:vMerge w:val="restart"/>
            <w:tcBorders>
              <w:top w:val="nil"/>
              <w:left w:val="nil"/>
              <w:bottom w:val="nil"/>
              <w:right w:val="nil"/>
            </w:tcBorders>
            <w:shd w:val="clear" w:color="auto" w:fill="FFFFFF"/>
            <w:tcMar>
              <w:left w:w="75" w:type="dxa"/>
              <w:right w:w="75" w:type="dxa"/>
            </w:tcMar>
            <w:vAlign w:val="center"/>
          </w:tcPr>
          <w:p w14:paraId="59AADBD7" w14:textId="77777777" w:rsidR="00020A60" w:rsidRDefault="00A31FC3">
            <w:pPr>
              <w:jc w:val="center"/>
              <w:rPr>
                <w:rFonts w:ascii="Arial" w:hAnsi="Arial" w:cs="Arial"/>
                <w:color w:val="000000"/>
              </w:rPr>
            </w:pPr>
            <w:r>
              <w:rPr>
                <w:rFonts w:ascii="Arial" w:hAnsi="Arial" w:cs="Arial"/>
                <w:color w:val="000000"/>
                <w:lang w:eastAsia="zh-CN"/>
              </w:rPr>
              <w:t>Student</w:t>
            </w:r>
            <w:r>
              <w:rPr>
                <w:rFonts w:ascii="Arial" w:hAnsi="Arial" w:cs="Arial"/>
                <w:color w:val="000000"/>
                <w:lang w:eastAsia="zh-CN"/>
              </w:rPr>
              <w:t xml:space="preserve"> Internationalization</w:t>
            </w:r>
          </w:p>
        </w:tc>
        <w:tc>
          <w:tcPr>
            <w:tcW w:w="4125" w:type="dxa"/>
            <w:tcBorders>
              <w:top w:val="nil"/>
              <w:left w:val="nil"/>
              <w:bottom w:val="nil"/>
              <w:right w:val="nil"/>
            </w:tcBorders>
            <w:shd w:val="clear" w:color="auto" w:fill="FFFFFF"/>
            <w:tcMar>
              <w:left w:w="75" w:type="dxa"/>
              <w:right w:w="75" w:type="dxa"/>
            </w:tcMar>
            <w:vAlign w:val="center"/>
          </w:tcPr>
          <w:p w14:paraId="7BFC8A40" w14:textId="77777777" w:rsidR="00020A60" w:rsidRDefault="00A31FC3">
            <w:pPr>
              <w:jc w:val="center"/>
              <w:rPr>
                <w:rFonts w:ascii="Arial" w:hAnsi="Arial" w:cs="Arial"/>
                <w:color w:val="000000"/>
              </w:rPr>
            </w:pPr>
            <w:r>
              <w:rPr>
                <w:rFonts w:ascii="Arial" w:hAnsi="Arial" w:cs="Arial"/>
                <w:color w:val="000000"/>
                <w:lang w:eastAsia="zh-CN"/>
              </w:rPr>
              <w:t>Proportion of International Students</w:t>
            </w:r>
          </w:p>
        </w:tc>
        <w:tc>
          <w:tcPr>
            <w:tcW w:w="1200" w:type="dxa"/>
            <w:tcBorders>
              <w:top w:val="nil"/>
              <w:left w:val="nil"/>
              <w:bottom w:val="nil"/>
              <w:right w:val="nil"/>
            </w:tcBorders>
            <w:shd w:val="clear" w:color="auto" w:fill="FFFFFF"/>
            <w:tcMar>
              <w:left w:w="75" w:type="dxa"/>
              <w:right w:w="75" w:type="dxa"/>
            </w:tcMar>
            <w:vAlign w:val="center"/>
          </w:tcPr>
          <w:p w14:paraId="2F89D1B5" w14:textId="77777777" w:rsidR="00020A60" w:rsidRDefault="00A31FC3">
            <w:pPr>
              <w:jc w:val="center"/>
              <w:rPr>
                <w:rFonts w:ascii="Arial" w:hAnsi="Arial" w:cs="Arial"/>
                <w:color w:val="000000"/>
              </w:rPr>
            </w:pPr>
            <w:r>
              <w:rPr>
                <w:rFonts w:ascii="Arial" w:hAnsi="Arial" w:cs="Arial"/>
                <w:color w:val="000000"/>
                <w:lang w:eastAsia="zh-CN"/>
              </w:rPr>
              <w:t>10%</w:t>
            </w:r>
          </w:p>
        </w:tc>
      </w:tr>
      <w:tr w:rsidR="00020A60" w14:paraId="28F848D5" w14:textId="77777777">
        <w:tc>
          <w:tcPr>
            <w:tcW w:w="3118" w:type="dxa"/>
            <w:vMerge/>
            <w:tcBorders>
              <w:top w:val="nil"/>
              <w:left w:val="nil"/>
              <w:bottom w:val="nil"/>
              <w:right w:val="nil"/>
            </w:tcBorders>
            <w:shd w:val="clear" w:color="auto" w:fill="FFFFFF"/>
            <w:tcMar>
              <w:left w:w="75" w:type="dxa"/>
              <w:right w:w="75" w:type="dxa"/>
            </w:tcMar>
            <w:vAlign w:val="center"/>
          </w:tcPr>
          <w:p w14:paraId="11CEB48A" w14:textId="77777777" w:rsidR="00020A60" w:rsidRDefault="00020A60">
            <w:pPr>
              <w:jc w:val="center"/>
              <w:rPr>
                <w:rFonts w:ascii="Arial" w:hAnsi="Arial" w:cs="Arial"/>
                <w:color w:val="000000"/>
              </w:rPr>
            </w:pPr>
          </w:p>
        </w:tc>
        <w:tc>
          <w:tcPr>
            <w:tcW w:w="4125" w:type="dxa"/>
            <w:tcBorders>
              <w:top w:val="nil"/>
              <w:left w:val="nil"/>
              <w:bottom w:val="nil"/>
              <w:right w:val="nil"/>
            </w:tcBorders>
            <w:shd w:val="clear" w:color="auto" w:fill="FFFFFF"/>
            <w:tcMar>
              <w:left w:w="75" w:type="dxa"/>
              <w:right w:w="75" w:type="dxa"/>
            </w:tcMar>
            <w:vAlign w:val="center"/>
          </w:tcPr>
          <w:p w14:paraId="744B933D" w14:textId="77777777" w:rsidR="00020A60" w:rsidRDefault="00A31FC3">
            <w:pPr>
              <w:jc w:val="center"/>
              <w:rPr>
                <w:rFonts w:ascii="Arial" w:hAnsi="Arial" w:cs="Arial"/>
                <w:color w:val="000000"/>
              </w:rPr>
            </w:pPr>
            <w:r>
              <w:rPr>
                <w:rFonts w:ascii="Arial" w:hAnsi="Arial" w:cs="Arial"/>
                <w:color w:val="000000"/>
                <w:lang w:eastAsia="zh-CN"/>
              </w:rPr>
              <w:t>Student Mobility</w:t>
            </w:r>
          </w:p>
        </w:tc>
        <w:tc>
          <w:tcPr>
            <w:tcW w:w="1200" w:type="dxa"/>
            <w:tcBorders>
              <w:top w:val="nil"/>
              <w:left w:val="nil"/>
              <w:bottom w:val="nil"/>
              <w:right w:val="nil"/>
            </w:tcBorders>
            <w:shd w:val="clear" w:color="auto" w:fill="FFFFFF"/>
            <w:tcMar>
              <w:left w:w="75" w:type="dxa"/>
              <w:right w:w="75" w:type="dxa"/>
            </w:tcMar>
            <w:vAlign w:val="center"/>
          </w:tcPr>
          <w:p w14:paraId="7C0E17B3" w14:textId="77777777" w:rsidR="00020A60" w:rsidRDefault="00A31FC3">
            <w:pPr>
              <w:jc w:val="center"/>
              <w:rPr>
                <w:rFonts w:ascii="Arial" w:hAnsi="Arial" w:cs="Arial"/>
                <w:color w:val="000000"/>
              </w:rPr>
            </w:pPr>
            <w:r>
              <w:rPr>
                <w:rFonts w:ascii="Arial" w:hAnsi="Arial" w:cs="Arial"/>
                <w:color w:val="000000"/>
                <w:lang w:eastAsia="zh-CN"/>
              </w:rPr>
              <w:t>15%</w:t>
            </w:r>
          </w:p>
        </w:tc>
      </w:tr>
      <w:tr w:rsidR="00020A60" w14:paraId="738732E6" w14:textId="77777777">
        <w:tc>
          <w:tcPr>
            <w:tcW w:w="3118" w:type="dxa"/>
            <w:vMerge w:val="restart"/>
            <w:tcBorders>
              <w:top w:val="nil"/>
              <w:left w:val="nil"/>
              <w:bottom w:val="nil"/>
              <w:right w:val="nil"/>
            </w:tcBorders>
            <w:shd w:val="clear" w:color="auto" w:fill="FFFFFF"/>
            <w:tcMar>
              <w:left w:w="75" w:type="dxa"/>
              <w:right w:w="75" w:type="dxa"/>
            </w:tcMar>
            <w:vAlign w:val="center"/>
          </w:tcPr>
          <w:p w14:paraId="62942F5A" w14:textId="77777777" w:rsidR="00020A60" w:rsidRDefault="00A31FC3">
            <w:pPr>
              <w:jc w:val="center"/>
              <w:rPr>
                <w:rFonts w:ascii="Arial" w:hAnsi="Arial" w:cs="Arial"/>
                <w:color w:val="000000"/>
              </w:rPr>
            </w:pPr>
            <w:r>
              <w:rPr>
                <w:rFonts w:ascii="Arial" w:hAnsi="Arial" w:cs="Arial"/>
                <w:color w:val="000000"/>
                <w:lang w:eastAsia="zh-CN"/>
              </w:rPr>
              <w:t>Research Internationalization</w:t>
            </w:r>
          </w:p>
        </w:tc>
        <w:tc>
          <w:tcPr>
            <w:tcW w:w="4125" w:type="dxa"/>
            <w:tcBorders>
              <w:top w:val="nil"/>
              <w:left w:val="nil"/>
              <w:bottom w:val="nil"/>
              <w:right w:val="nil"/>
            </w:tcBorders>
            <w:shd w:val="clear" w:color="auto" w:fill="FFFFFF"/>
            <w:tcMar>
              <w:left w:w="75" w:type="dxa"/>
              <w:right w:w="75" w:type="dxa"/>
            </w:tcMar>
            <w:vAlign w:val="center"/>
          </w:tcPr>
          <w:p w14:paraId="774E1C88" w14:textId="77777777" w:rsidR="00020A60" w:rsidRDefault="00A31FC3">
            <w:pPr>
              <w:jc w:val="center"/>
              <w:rPr>
                <w:rFonts w:ascii="Arial" w:hAnsi="Arial" w:cs="Arial"/>
                <w:color w:val="000000"/>
              </w:rPr>
            </w:pPr>
            <w:r>
              <w:rPr>
                <w:rFonts w:ascii="Arial" w:hAnsi="Arial" w:cs="Arial"/>
                <w:color w:val="000000"/>
                <w:lang w:eastAsia="zh-CN"/>
              </w:rPr>
              <w:t>International Collaborative Publications</w:t>
            </w:r>
          </w:p>
        </w:tc>
        <w:tc>
          <w:tcPr>
            <w:tcW w:w="1200" w:type="dxa"/>
            <w:tcBorders>
              <w:top w:val="nil"/>
              <w:left w:val="nil"/>
              <w:bottom w:val="nil"/>
              <w:right w:val="nil"/>
            </w:tcBorders>
            <w:shd w:val="clear" w:color="auto" w:fill="FFFFFF"/>
            <w:tcMar>
              <w:left w:w="75" w:type="dxa"/>
              <w:right w:w="75" w:type="dxa"/>
            </w:tcMar>
            <w:vAlign w:val="center"/>
          </w:tcPr>
          <w:p w14:paraId="676614B8" w14:textId="77777777" w:rsidR="00020A60" w:rsidRDefault="00A31FC3">
            <w:pPr>
              <w:jc w:val="center"/>
              <w:rPr>
                <w:rFonts w:ascii="Arial" w:hAnsi="Arial" w:cs="Arial"/>
                <w:color w:val="000000"/>
              </w:rPr>
            </w:pPr>
            <w:r>
              <w:rPr>
                <w:rFonts w:ascii="Arial" w:hAnsi="Arial" w:cs="Arial"/>
                <w:color w:val="000000"/>
                <w:lang w:eastAsia="zh-CN"/>
              </w:rPr>
              <w:t>20%</w:t>
            </w:r>
          </w:p>
        </w:tc>
      </w:tr>
      <w:tr w:rsidR="00020A60" w14:paraId="63F79CC7" w14:textId="77777777">
        <w:tc>
          <w:tcPr>
            <w:tcW w:w="3118" w:type="dxa"/>
            <w:vMerge/>
            <w:tcBorders>
              <w:top w:val="nil"/>
              <w:left w:val="nil"/>
              <w:bottom w:val="nil"/>
              <w:right w:val="nil"/>
            </w:tcBorders>
            <w:shd w:val="clear" w:color="auto" w:fill="FFFFFF"/>
            <w:tcMar>
              <w:left w:w="75" w:type="dxa"/>
              <w:right w:w="75" w:type="dxa"/>
            </w:tcMar>
            <w:vAlign w:val="center"/>
          </w:tcPr>
          <w:p w14:paraId="77343987" w14:textId="77777777" w:rsidR="00020A60" w:rsidRDefault="00020A60">
            <w:pPr>
              <w:jc w:val="center"/>
              <w:rPr>
                <w:rFonts w:ascii="Arial" w:hAnsi="Arial" w:cs="Arial"/>
                <w:color w:val="000000"/>
              </w:rPr>
            </w:pPr>
          </w:p>
        </w:tc>
        <w:tc>
          <w:tcPr>
            <w:tcW w:w="4125" w:type="dxa"/>
            <w:tcBorders>
              <w:top w:val="nil"/>
              <w:left w:val="nil"/>
              <w:bottom w:val="nil"/>
              <w:right w:val="nil"/>
            </w:tcBorders>
            <w:shd w:val="clear" w:color="auto" w:fill="FFFFFF"/>
            <w:tcMar>
              <w:left w:w="75" w:type="dxa"/>
              <w:right w:w="75" w:type="dxa"/>
            </w:tcMar>
            <w:vAlign w:val="center"/>
          </w:tcPr>
          <w:p w14:paraId="0F875CCA" w14:textId="77777777" w:rsidR="00020A60" w:rsidRDefault="00A31FC3">
            <w:pPr>
              <w:jc w:val="center"/>
              <w:rPr>
                <w:rFonts w:ascii="Arial" w:hAnsi="Arial" w:cs="Arial"/>
                <w:color w:val="000000"/>
              </w:rPr>
            </w:pPr>
            <w:r>
              <w:rPr>
                <w:rFonts w:ascii="Arial" w:hAnsi="Arial" w:cs="Arial"/>
                <w:color w:val="000000"/>
                <w:lang w:eastAsia="zh-CN"/>
              </w:rPr>
              <w:t>International Research Platforms</w:t>
            </w:r>
          </w:p>
        </w:tc>
        <w:tc>
          <w:tcPr>
            <w:tcW w:w="1200" w:type="dxa"/>
            <w:tcBorders>
              <w:top w:val="nil"/>
              <w:left w:val="nil"/>
              <w:bottom w:val="nil"/>
              <w:right w:val="nil"/>
            </w:tcBorders>
            <w:shd w:val="clear" w:color="auto" w:fill="FFFFFF"/>
            <w:tcMar>
              <w:left w:w="75" w:type="dxa"/>
              <w:right w:w="75" w:type="dxa"/>
            </w:tcMar>
            <w:vAlign w:val="center"/>
          </w:tcPr>
          <w:p w14:paraId="18174E2C" w14:textId="77777777" w:rsidR="00020A60" w:rsidRDefault="00A31FC3">
            <w:pPr>
              <w:jc w:val="center"/>
              <w:rPr>
                <w:rFonts w:ascii="Arial" w:hAnsi="Arial" w:cs="Arial"/>
                <w:color w:val="000000"/>
              </w:rPr>
            </w:pPr>
            <w:r>
              <w:rPr>
                <w:rFonts w:ascii="Arial" w:hAnsi="Arial" w:cs="Arial"/>
                <w:color w:val="000000"/>
                <w:lang w:eastAsia="zh-CN"/>
              </w:rPr>
              <w:t>15%</w:t>
            </w:r>
          </w:p>
        </w:tc>
      </w:tr>
      <w:tr w:rsidR="00020A60" w14:paraId="78F4CFA0" w14:textId="77777777">
        <w:tc>
          <w:tcPr>
            <w:tcW w:w="3118" w:type="dxa"/>
            <w:tcBorders>
              <w:top w:val="nil"/>
              <w:left w:val="nil"/>
              <w:bottom w:val="single" w:sz="4" w:space="0" w:color="000000"/>
              <w:right w:val="nil"/>
            </w:tcBorders>
            <w:shd w:val="clear" w:color="auto" w:fill="FFFFFF"/>
            <w:tcMar>
              <w:left w:w="75" w:type="dxa"/>
              <w:right w:w="75" w:type="dxa"/>
            </w:tcMar>
            <w:vAlign w:val="center"/>
          </w:tcPr>
          <w:p w14:paraId="7F74209A" w14:textId="77777777" w:rsidR="00020A60" w:rsidRDefault="00A31FC3">
            <w:pPr>
              <w:jc w:val="center"/>
              <w:rPr>
                <w:rFonts w:ascii="Arial" w:hAnsi="Arial" w:cs="Arial"/>
                <w:color w:val="000000"/>
              </w:rPr>
            </w:pPr>
            <w:r>
              <w:rPr>
                <w:rFonts w:ascii="Arial" w:hAnsi="Arial" w:cs="Arial"/>
                <w:color w:val="000000"/>
                <w:lang w:eastAsia="zh-CN"/>
              </w:rPr>
              <w:t>Management Internationalization</w:t>
            </w:r>
          </w:p>
        </w:tc>
        <w:tc>
          <w:tcPr>
            <w:tcW w:w="4125" w:type="dxa"/>
            <w:tcBorders>
              <w:top w:val="nil"/>
              <w:left w:val="nil"/>
              <w:bottom w:val="single" w:sz="4" w:space="0" w:color="000000"/>
              <w:right w:val="nil"/>
            </w:tcBorders>
            <w:shd w:val="clear" w:color="auto" w:fill="FFFFFF"/>
            <w:tcMar>
              <w:left w:w="75" w:type="dxa"/>
              <w:right w:w="75" w:type="dxa"/>
            </w:tcMar>
            <w:vAlign w:val="center"/>
          </w:tcPr>
          <w:p w14:paraId="70ACE39A" w14:textId="77777777" w:rsidR="00020A60" w:rsidRDefault="00A31FC3">
            <w:pPr>
              <w:jc w:val="center"/>
              <w:rPr>
                <w:rFonts w:ascii="Arial" w:hAnsi="Arial" w:cs="Arial"/>
                <w:color w:val="000000"/>
              </w:rPr>
            </w:pPr>
            <w:r>
              <w:rPr>
                <w:rFonts w:ascii="Arial" w:hAnsi="Arial" w:cs="Arial"/>
                <w:color w:val="000000"/>
                <w:lang w:eastAsia="zh-CN"/>
              </w:rPr>
              <w:t xml:space="preserve">International </w:t>
            </w:r>
            <w:r>
              <w:rPr>
                <w:rFonts w:ascii="Arial" w:hAnsi="Arial" w:cs="Arial"/>
                <w:color w:val="000000"/>
                <w:lang w:eastAsia="zh-CN"/>
              </w:rPr>
              <w:t>Governance Structure</w:t>
            </w:r>
          </w:p>
        </w:tc>
        <w:tc>
          <w:tcPr>
            <w:tcW w:w="1200" w:type="dxa"/>
            <w:tcBorders>
              <w:top w:val="nil"/>
              <w:left w:val="nil"/>
              <w:bottom w:val="single" w:sz="4" w:space="0" w:color="000000"/>
              <w:right w:val="nil"/>
            </w:tcBorders>
            <w:shd w:val="clear" w:color="auto" w:fill="FFFFFF"/>
            <w:tcMar>
              <w:left w:w="75" w:type="dxa"/>
              <w:right w:w="75" w:type="dxa"/>
            </w:tcMar>
            <w:vAlign w:val="center"/>
          </w:tcPr>
          <w:p w14:paraId="252F8088" w14:textId="77777777" w:rsidR="00020A60" w:rsidRDefault="00A31FC3">
            <w:pPr>
              <w:jc w:val="center"/>
              <w:rPr>
                <w:rFonts w:ascii="Arial" w:hAnsi="Arial" w:cs="Arial"/>
                <w:color w:val="000000"/>
              </w:rPr>
            </w:pPr>
            <w:r>
              <w:rPr>
                <w:rFonts w:ascii="Arial" w:hAnsi="Arial" w:cs="Arial"/>
                <w:color w:val="000000"/>
                <w:lang w:eastAsia="zh-CN"/>
              </w:rPr>
              <w:t>5%</w:t>
            </w:r>
          </w:p>
        </w:tc>
      </w:tr>
    </w:tbl>
    <w:p w14:paraId="15B3C024" w14:textId="77777777" w:rsidR="00020A60" w:rsidRDefault="00020A60">
      <w:pPr>
        <w:pStyle w:val="Body"/>
        <w:spacing w:after="0"/>
        <w:rPr>
          <w:rFonts w:ascii="Arial" w:hAnsi="Arial" w:cs="Arial"/>
        </w:rPr>
      </w:pPr>
    </w:p>
    <w:p w14:paraId="664975F8" w14:textId="77777777" w:rsidR="00020A60" w:rsidRDefault="00A31FC3">
      <w:pPr>
        <w:pStyle w:val="Body"/>
        <w:spacing w:after="0"/>
        <w:rPr>
          <w:rFonts w:ascii="Arial" w:hAnsi="Arial" w:cs="Arial"/>
        </w:rPr>
      </w:pPr>
      <w:r>
        <w:rPr>
          <w:rFonts w:ascii="Arial" w:hAnsi="Arial" w:cs="Arial" w:hint="eastAsia"/>
        </w:rPr>
        <w:t xml:space="preserve">Within the dimension of faculty internationalization, particular emphasis is placed on the innovative indicator of "international competence of local faculty." This indicator encompasses three observational metrics: (1) the </w:t>
      </w:r>
      <w:r>
        <w:rPr>
          <w:rFonts w:ascii="Arial" w:hAnsi="Arial" w:cs="Arial" w:hint="eastAsia"/>
        </w:rPr>
        <w:t xml:space="preserve">proportion of faculty with more than three months of overseas experience; (2) the proportion of faculty capable of delivering courses in English; and (3) the proportion of faculty involved in international academic organizations (Li, H., </w:t>
      </w:r>
      <w:proofErr w:type="spellStart"/>
      <w:r>
        <w:rPr>
          <w:rFonts w:ascii="Arial" w:hAnsi="Arial" w:cs="Arial" w:hint="eastAsia"/>
        </w:rPr>
        <w:t>Khattak</w:t>
      </w:r>
      <w:proofErr w:type="spellEnd"/>
      <w:r>
        <w:rPr>
          <w:rFonts w:ascii="Arial" w:hAnsi="Arial" w:cs="Arial" w:hint="eastAsia"/>
        </w:rPr>
        <w:t>, S.I., &amp; J</w:t>
      </w:r>
      <w:r>
        <w:rPr>
          <w:rFonts w:ascii="Arial" w:hAnsi="Arial" w:cs="Arial" w:hint="eastAsia"/>
        </w:rPr>
        <w:t xml:space="preserve">iang, Q, 2021). Data reveals that western engineering and technology </w:t>
      </w:r>
      <w:r>
        <w:rPr>
          <w:rFonts w:ascii="Arial" w:hAnsi="Arial" w:cs="Arial" w:hint="eastAsia"/>
        </w:rPr>
        <w:lastRenderedPageBreak/>
        <w:t>universities score an average of 5.2%, 8.7%, and 2.3% in these three areas, respectively, indicating a significant gap compared to eastern universities (15.6%, 25.4%, and 8.9%).</w:t>
      </w:r>
    </w:p>
    <w:p w14:paraId="05A44CD8" w14:textId="77777777" w:rsidR="00020A60" w:rsidRDefault="00020A60">
      <w:pPr>
        <w:pStyle w:val="Body"/>
        <w:spacing w:after="0"/>
        <w:rPr>
          <w:rFonts w:ascii="Arial" w:hAnsi="Arial" w:cs="Arial"/>
        </w:rPr>
      </w:pPr>
    </w:p>
    <w:p w14:paraId="44BE9468" w14:textId="77777777" w:rsidR="00020A60" w:rsidRDefault="00A31FC3">
      <w:pPr>
        <w:pStyle w:val="Body"/>
        <w:spacing w:after="0"/>
        <w:rPr>
          <w:rFonts w:ascii="Arial" w:hAnsi="Arial" w:cs="Arial"/>
        </w:rPr>
      </w:pPr>
      <w:r>
        <w:rPr>
          <w:rFonts w:ascii="Arial" w:hAnsi="Arial" w:cs="Arial" w:hint="eastAsia"/>
        </w:rPr>
        <w:t>In the d</w:t>
      </w:r>
      <w:r>
        <w:rPr>
          <w:rFonts w:ascii="Arial" w:hAnsi="Arial" w:cs="Arial" w:hint="eastAsia"/>
        </w:rPr>
        <w:t>imension of student internationalization, the indicator of "international course experience" is innovatively introduced, measured through a survey assessing students' satisfaction, participation, and perceived benefits from internationalized courses (Leask</w:t>
      </w:r>
      <w:r>
        <w:rPr>
          <w:rFonts w:ascii="Arial" w:hAnsi="Arial" w:cs="Arial" w:hint="eastAsia"/>
        </w:rPr>
        <w:t>, 2015). The survey results show that students from western universities score an average of 3.2/5.0, 2.8/5.0, and 3.1/5.0 in these three aspects, reflecting the need for improvement in the quality of internationalized courses.</w:t>
      </w:r>
    </w:p>
    <w:p w14:paraId="08E5A328" w14:textId="77777777" w:rsidR="00020A60" w:rsidRDefault="00020A60">
      <w:pPr>
        <w:pStyle w:val="Body"/>
        <w:spacing w:after="0"/>
        <w:rPr>
          <w:rFonts w:ascii="Arial" w:hAnsi="Arial" w:cs="Arial"/>
        </w:rPr>
      </w:pPr>
    </w:p>
    <w:p w14:paraId="3DB9EF2E" w14:textId="77777777" w:rsidR="00020A60" w:rsidRDefault="00A31FC3">
      <w:pPr>
        <w:pStyle w:val="Body"/>
        <w:spacing w:after="0"/>
        <w:rPr>
          <w:rFonts w:ascii="Arial" w:hAnsi="Arial" w:cs="Arial"/>
        </w:rPr>
      </w:pPr>
      <w:r>
        <w:rPr>
          <w:rFonts w:ascii="Arial" w:hAnsi="Arial" w:cs="Arial" w:hint="eastAsia"/>
        </w:rPr>
        <w:t>The research internationali</w:t>
      </w:r>
      <w:r>
        <w:rPr>
          <w:rFonts w:ascii="Arial" w:hAnsi="Arial" w:cs="Arial" w:hint="eastAsia"/>
        </w:rPr>
        <w:t>zation dimension places particular emphasis on the development of "international research platforms." Data indicates that western engineering and technology universities average 1.3 international joint laboratories and 0.7 international innovation bases, h</w:t>
      </w:r>
      <w:r>
        <w:rPr>
          <w:rFonts w:ascii="Arial" w:hAnsi="Arial" w:cs="Arial" w:hint="eastAsia"/>
        </w:rPr>
        <w:t>ighlighting a significant gap compared to eastern universities (4.2 and 2.5, respectively) (Zhang, D et al., 2022). However, it is noteworthy that the quality index of international research platforms in specialized fields at western universities reaches 7</w:t>
      </w:r>
      <w:r>
        <w:rPr>
          <w:rFonts w:ascii="Arial" w:hAnsi="Arial" w:cs="Arial" w:hint="eastAsia"/>
        </w:rPr>
        <w:t>.2/10, indicating potential for differentiated development.</w:t>
      </w:r>
    </w:p>
    <w:p w14:paraId="3DAF16EB" w14:textId="77777777" w:rsidR="00020A60" w:rsidRDefault="00020A60">
      <w:pPr>
        <w:pStyle w:val="Body"/>
        <w:spacing w:after="0"/>
        <w:rPr>
          <w:rFonts w:ascii="Arial" w:hAnsi="Arial" w:cs="Arial"/>
        </w:rPr>
      </w:pPr>
    </w:p>
    <w:p w14:paraId="3C5751FA" w14:textId="77777777" w:rsidR="00020A60" w:rsidRDefault="00A31FC3">
      <w:pPr>
        <w:rPr>
          <w:rFonts w:ascii="Arial" w:hAnsi="Arial" w:cs="Arial"/>
          <w:b/>
          <w:caps/>
          <w:sz w:val="22"/>
        </w:rPr>
      </w:pPr>
      <w:r>
        <w:rPr>
          <w:rFonts w:ascii="Arial" w:hAnsi="Arial" w:cs="Arial"/>
          <w:b/>
          <w:caps/>
          <w:sz w:val="22"/>
        </w:rPr>
        <w:t>3.3 Differential Allocation of Indicator Weights</w:t>
      </w:r>
    </w:p>
    <w:p w14:paraId="3C36928C" w14:textId="77777777" w:rsidR="00020A60" w:rsidRDefault="00020A60">
      <w:pPr>
        <w:pStyle w:val="Body"/>
        <w:spacing w:after="0"/>
        <w:rPr>
          <w:rFonts w:ascii="Arial" w:hAnsi="Arial" w:cs="Arial"/>
        </w:rPr>
      </w:pPr>
    </w:p>
    <w:p w14:paraId="3CA2194C" w14:textId="77777777" w:rsidR="00020A60" w:rsidRDefault="00A31FC3">
      <w:pPr>
        <w:jc w:val="both"/>
        <w:rPr>
          <w:rFonts w:ascii="Arial" w:hAnsi="Arial" w:cs="Arial"/>
        </w:rPr>
      </w:pPr>
      <w:r>
        <w:rPr>
          <w:rFonts w:ascii="Arial" w:hAnsi="Arial" w:cs="Arial"/>
        </w:rPr>
        <w:t>Considering the developmental characteristics of western engineering and technology universities, this study employs the Analytic Hierarchy Proce</w:t>
      </w:r>
      <w:r>
        <w:rPr>
          <w:rFonts w:ascii="Arial" w:hAnsi="Arial" w:cs="Arial"/>
        </w:rPr>
        <w:t>ss (AHP) to achieve a differentiated allocation of indicator weights (</w:t>
      </w:r>
      <w:proofErr w:type="spellStart"/>
      <w:r>
        <w:rPr>
          <w:rFonts w:ascii="Arial" w:hAnsi="Arial" w:cs="Arial"/>
        </w:rPr>
        <w:t>Saaty</w:t>
      </w:r>
      <w:proofErr w:type="spellEnd"/>
      <w:r>
        <w:rPr>
          <w:rFonts w:ascii="Arial" w:hAnsi="Arial" w:cs="Arial"/>
        </w:rPr>
        <w:t>, 2008). Expert consultations reveal that, at this stage, research internationalization (weight: 35%) and faculty internationalization (weight: 30%) are regarded as the most critica</w:t>
      </w:r>
      <w:r>
        <w:rPr>
          <w:rFonts w:ascii="Arial" w:hAnsi="Arial" w:cs="Arial"/>
        </w:rPr>
        <w:t>l dimensions for development, while management internationalization (weight: 15%) and cultural internationalization (weight: 20%) are considered relatively secondary.</w:t>
      </w:r>
    </w:p>
    <w:p w14:paraId="1CB713C5" w14:textId="77777777" w:rsidR="00020A60" w:rsidRDefault="00020A60">
      <w:pPr>
        <w:jc w:val="both"/>
        <w:rPr>
          <w:rFonts w:ascii="Arial" w:hAnsi="Arial" w:cs="Arial"/>
        </w:rPr>
      </w:pPr>
    </w:p>
    <w:p w14:paraId="005CBA7D" w14:textId="77777777" w:rsidR="00020A60" w:rsidRDefault="00A31FC3">
      <w:pPr>
        <w:jc w:val="both"/>
        <w:rPr>
          <w:rFonts w:ascii="Arial" w:hAnsi="Arial" w:cs="Arial"/>
        </w:rPr>
      </w:pPr>
      <w:r>
        <w:rPr>
          <w:rFonts w:ascii="Arial" w:hAnsi="Arial" w:cs="Arial"/>
        </w:rPr>
        <w:t>This allocation of weights reflects the phased nature of internationalization developmen</w:t>
      </w:r>
      <w:r>
        <w:rPr>
          <w:rFonts w:ascii="Arial" w:hAnsi="Arial" w:cs="Arial"/>
        </w:rPr>
        <w:t>t at western engineering and technology universities: it is essential to first solidify the foundations of research and faculty capabilities before gradually enhancing the levels of management and cultural internationalization (Yang, 2020). Comparative ana</w:t>
      </w:r>
      <w:r>
        <w:rPr>
          <w:rFonts w:ascii="Arial" w:hAnsi="Arial" w:cs="Arial"/>
        </w:rPr>
        <w:t>lysis indicates that after implementing this differentiated weight distribution, the goodness-of-fit of internationalization evaluation results to the actual developmental stage of western universities reaches 0.87, significantly higher than the 0.62 obser</w:t>
      </w:r>
      <w:r>
        <w:rPr>
          <w:rFonts w:ascii="Arial" w:hAnsi="Arial" w:cs="Arial"/>
        </w:rPr>
        <w:t>ved when equal weights are applied (p&lt;0.01).</w:t>
      </w:r>
    </w:p>
    <w:p w14:paraId="3047944D" w14:textId="77777777" w:rsidR="00020A60" w:rsidRDefault="00020A60">
      <w:pPr>
        <w:rPr>
          <w:rFonts w:ascii="Arial" w:hAnsi="Arial" w:cs="Arial"/>
        </w:rPr>
      </w:pPr>
    </w:p>
    <w:p w14:paraId="25C3C203" w14:textId="77777777" w:rsidR="00020A60" w:rsidRDefault="00A31FC3">
      <w:pPr>
        <w:rPr>
          <w:rFonts w:ascii="Arial" w:hAnsi="Arial" w:cs="Arial"/>
          <w:b/>
          <w:caps/>
          <w:sz w:val="22"/>
        </w:rPr>
      </w:pPr>
      <w:r>
        <w:rPr>
          <w:rFonts w:ascii="Arial" w:hAnsi="Arial" w:cs="Arial"/>
          <w:b/>
          <w:caps/>
          <w:sz w:val="22"/>
        </w:rPr>
        <w:t>3.4 Empirical Validation of the Indicator System</w:t>
      </w:r>
    </w:p>
    <w:p w14:paraId="66E43EC0" w14:textId="77777777" w:rsidR="00020A60" w:rsidRDefault="00020A60">
      <w:pPr>
        <w:rPr>
          <w:rFonts w:ascii="Arial" w:hAnsi="Arial" w:cs="Arial"/>
        </w:rPr>
      </w:pPr>
    </w:p>
    <w:p w14:paraId="7DDA2BF7" w14:textId="77777777" w:rsidR="00020A60" w:rsidRDefault="00A31FC3">
      <w:pPr>
        <w:jc w:val="both"/>
        <w:rPr>
          <w:rFonts w:ascii="Arial" w:hAnsi="Arial" w:cs="Arial"/>
        </w:rPr>
      </w:pPr>
      <w:r>
        <w:rPr>
          <w:rFonts w:ascii="Arial" w:hAnsi="Arial" w:cs="Arial"/>
        </w:rPr>
        <w:t>To validate the scientific rigor of the indicator system, this study conducts empirical testing on three western engineering and technology universities. The re</w:t>
      </w:r>
      <w:r>
        <w:rPr>
          <w:rFonts w:ascii="Arial" w:hAnsi="Arial" w:cs="Arial"/>
        </w:rPr>
        <w:t>sults demonstrate that the system effectively distinguishes between institutions at varying levels of development (F=28.36, p&lt;0.001), with the evaluation results showing a correlation coefficient of 0.79 with third-party assessments, such as QS star rating</w:t>
      </w:r>
      <w:r>
        <w:rPr>
          <w:rFonts w:ascii="Arial" w:hAnsi="Arial" w:cs="Arial"/>
        </w:rPr>
        <w:t>s (p&lt;0.01).</w:t>
      </w:r>
    </w:p>
    <w:p w14:paraId="516BDA2B" w14:textId="77777777" w:rsidR="00020A60" w:rsidRDefault="00020A60">
      <w:pPr>
        <w:jc w:val="both"/>
        <w:rPr>
          <w:rFonts w:ascii="Arial" w:hAnsi="Arial" w:cs="Arial"/>
        </w:rPr>
      </w:pPr>
    </w:p>
    <w:p w14:paraId="3E743BE6" w14:textId="77777777" w:rsidR="00020A60" w:rsidRDefault="00A31FC3">
      <w:pPr>
        <w:jc w:val="both"/>
        <w:rPr>
          <w:rFonts w:ascii="Arial" w:hAnsi="Arial" w:cs="Arial"/>
        </w:rPr>
      </w:pPr>
      <w:r>
        <w:rPr>
          <w:rFonts w:ascii="Arial" w:hAnsi="Arial" w:cs="Arial"/>
        </w:rPr>
        <w:t>Notably, this indicator system successfully identifies unique developmental cases that traditional evaluation methods might overlook. For instance, while University B performs moderately on conventional internationalization metrics, its outsta</w:t>
      </w:r>
      <w:r>
        <w:rPr>
          <w:rFonts w:ascii="Arial" w:hAnsi="Arial" w:cs="Arial"/>
        </w:rPr>
        <w:t>nding scores in "international competence of local faculty" (8.2/10) and "international impact in specialized disciplines" (7.9/10) enable it to achieve a higher overall ranking than several larger institutions.</w:t>
      </w:r>
    </w:p>
    <w:p w14:paraId="0A54AC8E" w14:textId="77777777" w:rsidR="00020A60" w:rsidRDefault="00020A60">
      <w:pPr>
        <w:jc w:val="both"/>
        <w:rPr>
          <w:rFonts w:ascii="Arial" w:hAnsi="Arial" w:cs="Arial"/>
        </w:rPr>
      </w:pPr>
    </w:p>
    <w:p w14:paraId="3AC6E345" w14:textId="77777777" w:rsidR="00020A60" w:rsidRDefault="00A31FC3">
      <w:pPr>
        <w:jc w:val="both"/>
        <w:rPr>
          <w:rFonts w:ascii="Arial" w:hAnsi="Arial" w:cs="Arial"/>
          <w:b/>
          <w:caps/>
          <w:sz w:val="22"/>
        </w:rPr>
      </w:pPr>
      <w:r>
        <w:rPr>
          <w:rFonts w:ascii="Arial" w:hAnsi="Arial" w:cs="Arial"/>
          <w:b/>
          <w:caps/>
          <w:sz w:val="22"/>
        </w:rPr>
        <w:t>3.5 Dynamic Adjustment Mechanism of the Ind</w:t>
      </w:r>
      <w:r>
        <w:rPr>
          <w:rFonts w:ascii="Arial" w:hAnsi="Arial" w:cs="Arial"/>
          <w:b/>
          <w:caps/>
          <w:sz w:val="22"/>
        </w:rPr>
        <w:t>icator System</w:t>
      </w:r>
    </w:p>
    <w:p w14:paraId="45D1550F" w14:textId="77777777" w:rsidR="00020A60" w:rsidRDefault="00020A60">
      <w:pPr>
        <w:jc w:val="both"/>
        <w:rPr>
          <w:rFonts w:ascii="Arial" w:hAnsi="Arial" w:cs="Arial"/>
        </w:rPr>
      </w:pPr>
    </w:p>
    <w:p w14:paraId="44BAB1C2" w14:textId="77777777" w:rsidR="00020A60" w:rsidRDefault="00A31FC3">
      <w:pPr>
        <w:jc w:val="both"/>
        <w:rPr>
          <w:rFonts w:ascii="Arial" w:hAnsi="Arial" w:cs="Arial"/>
        </w:rPr>
      </w:pPr>
      <w:r>
        <w:rPr>
          <w:rFonts w:ascii="Arial" w:hAnsi="Arial" w:cs="Arial"/>
        </w:rPr>
        <w:t>Acknowledging the dynamic nature of internationalization development, this study also designs a dynamic adjustment mechanism for the indicator system (</w:t>
      </w:r>
      <w:proofErr w:type="spellStart"/>
      <w:r>
        <w:rPr>
          <w:rFonts w:ascii="Arial" w:hAnsi="Arial" w:cs="Arial"/>
        </w:rPr>
        <w:t>Teichler</w:t>
      </w:r>
      <w:proofErr w:type="spellEnd"/>
      <w:r>
        <w:rPr>
          <w:rFonts w:ascii="Arial" w:hAnsi="Arial" w:cs="Arial"/>
        </w:rPr>
        <w:t>, 2017). Through annual expert consultations and data analysis, adjustments to ind</w:t>
      </w:r>
      <w:r>
        <w:rPr>
          <w:rFonts w:ascii="Arial" w:hAnsi="Arial" w:cs="Arial"/>
        </w:rPr>
        <w:t>icator weights can be made as necessary. For example, as the level of internationalization increases, the weight of management internationalization indicators can gradually rise from the current 15% to 25%, while the weight of research internationalization</w:t>
      </w:r>
      <w:r>
        <w:rPr>
          <w:rFonts w:ascii="Arial" w:hAnsi="Arial" w:cs="Arial"/>
        </w:rPr>
        <w:t xml:space="preserve"> indicators can be correspondingly reduced.</w:t>
      </w:r>
    </w:p>
    <w:p w14:paraId="56027626" w14:textId="77777777" w:rsidR="00020A60" w:rsidRDefault="00020A60">
      <w:pPr>
        <w:jc w:val="both"/>
        <w:rPr>
          <w:rFonts w:ascii="Arial" w:hAnsi="Arial" w:cs="Arial"/>
        </w:rPr>
      </w:pPr>
    </w:p>
    <w:p w14:paraId="7233FB7D" w14:textId="77777777" w:rsidR="00020A60" w:rsidRDefault="00A31FC3">
      <w:pPr>
        <w:jc w:val="both"/>
        <w:rPr>
          <w:rFonts w:ascii="Arial" w:hAnsi="Arial" w:cs="Arial"/>
        </w:rPr>
      </w:pPr>
      <w:r>
        <w:rPr>
          <w:rFonts w:ascii="Arial" w:hAnsi="Arial" w:cs="Arial"/>
        </w:rPr>
        <w:t xml:space="preserve">This dynamic adjustment mechanism allows the indicator system to adapt to the needs of different developmental stages. Predictive models indicate that, with the implementation of the dynamic adjustment </w:t>
      </w:r>
      <w:r>
        <w:rPr>
          <w:rFonts w:ascii="Arial" w:hAnsi="Arial" w:cs="Arial"/>
        </w:rPr>
        <w:t>mechanism, the applicability index of the indicator system will remain above 0.85 over the next five years, significantly exceeding the 0.65 projected for a fixed-weight system (p&lt;0.01).</w:t>
      </w:r>
    </w:p>
    <w:p w14:paraId="4FBE543C" w14:textId="77777777" w:rsidR="00020A60" w:rsidRDefault="00020A60">
      <w:pPr>
        <w:jc w:val="both"/>
        <w:rPr>
          <w:rFonts w:ascii="Arial" w:hAnsi="Arial" w:cs="Arial"/>
        </w:rPr>
      </w:pPr>
    </w:p>
    <w:p w14:paraId="64274354" w14:textId="77777777" w:rsidR="00020A60" w:rsidRDefault="00A31FC3">
      <w:pPr>
        <w:jc w:val="both"/>
        <w:rPr>
          <w:rFonts w:ascii="Arial" w:hAnsi="Arial" w:cs="Arial"/>
          <w:b/>
          <w:caps/>
          <w:sz w:val="22"/>
        </w:rPr>
      </w:pPr>
      <w:r>
        <w:rPr>
          <w:rFonts w:ascii="Arial" w:hAnsi="Arial" w:cs="Arial"/>
          <w:b/>
          <w:caps/>
          <w:sz w:val="22"/>
        </w:rPr>
        <w:t>4. Pathways to Implementation</w:t>
      </w:r>
    </w:p>
    <w:p w14:paraId="14153B53" w14:textId="77777777" w:rsidR="00020A60" w:rsidRDefault="00020A60">
      <w:pPr>
        <w:jc w:val="both"/>
        <w:rPr>
          <w:rFonts w:ascii="Arial" w:hAnsi="Arial" w:cs="Arial"/>
        </w:rPr>
      </w:pPr>
    </w:p>
    <w:p w14:paraId="26D2D7DA" w14:textId="77777777" w:rsidR="00020A60" w:rsidRDefault="00A31FC3">
      <w:pPr>
        <w:jc w:val="both"/>
        <w:rPr>
          <w:rFonts w:ascii="Arial" w:hAnsi="Arial" w:cs="Arial"/>
          <w:b/>
          <w:caps/>
          <w:sz w:val="22"/>
        </w:rPr>
      </w:pPr>
      <w:r>
        <w:rPr>
          <w:rFonts w:ascii="Arial" w:hAnsi="Arial" w:cs="Arial"/>
          <w:b/>
          <w:caps/>
          <w:sz w:val="22"/>
        </w:rPr>
        <w:t>4.1 Digital Transformation Strategy</w:t>
      </w:r>
    </w:p>
    <w:p w14:paraId="033EC43F" w14:textId="77777777" w:rsidR="00020A60" w:rsidRDefault="00020A60">
      <w:pPr>
        <w:jc w:val="both"/>
        <w:rPr>
          <w:rFonts w:ascii="Arial" w:hAnsi="Arial" w:cs="Arial"/>
        </w:rPr>
      </w:pPr>
    </w:p>
    <w:p w14:paraId="34CCF38D" w14:textId="77777777" w:rsidR="00020A60" w:rsidRDefault="00A31FC3">
      <w:pPr>
        <w:jc w:val="both"/>
        <w:rPr>
          <w:rFonts w:ascii="Arial" w:hAnsi="Arial" w:cs="Arial"/>
        </w:rPr>
      </w:pPr>
      <w:r>
        <w:rPr>
          <w:rFonts w:ascii="Arial" w:hAnsi="Arial" w:cs="Arial"/>
        </w:rPr>
        <w:t>Given the resource constraints characteristic of western engineering and technology universities, digital transformation emerges as the most viable breakthrough pathway. Research indicates that establishing "virtual international research offices" can redu</w:t>
      </w:r>
      <w:r>
        <w:rPr>
          <w:rFonts w:ascii="Arial" w:hAnsi="Arial" w:cs="Arial"/>
        </w:rPr>
        <w:t>ce international collaboration costs by 43% while enhancing research output by a factor of 2.1 (p&lt;0.01) (Selwyn et al., 2023). The specific implementation pathways include:</w:t>
      </w:r>
    </w:p>
    <w:p w14:paraId="59B61520" w14:textId="77777777" w:rsidR="00020A60" w:rsidRDefault="00020A60">
      <w:pPr>
        <w:jc w:val="both"/>
        <w:rPr>
          <w:rFonts w:ascii="Arial" w:hAnsi="Arial" w:cs="Arial"/>
        </w:rPr>
      </w:pPr>
    </w:p>
    <w:p w14:paraId="3363C7D6" w14:textId="77777777" w:rsidR="00020A60" w:rsidRDefault="00A31FC3">
      <w:pPr>
        <w:jc w:val="both"/>
        <w:rPr>
          <w:rFonts w:ascii="Arial" w:hAnsi="Arial" w:cs="Arial"/>
        </w:rPr>
      </w:pPr>
      <w:r>
        <w:rPr>
          <w:rFonts w:ascii="Arial" w:hAnsi="Arial" w:cs="Arial"/>
        </w:rPr>
        <w:t>1</w:t>
      </w:r>
      <w:r>
        <w:rPr>
          <w:rFonts w:ascii="Arial" w:eastAsia="SimSun" w:hAnsi="Arial" w:cs="Arial" w:hint="eastAsia"/>
          <w:lang w:eastAsia="zh-CN"/>
        </w:rPr>
        <w:t>)</w:t>
      </w:r>
      <w:r>
        <w:rPr>
          <w:rFonts w:ascii="Arial" w:hAnsi="Arial" w:cs="Arial"/>
        </w:rPr>
        <w:t xml:space="preserve"> Cloud-Based Infrastructure: Developing an international education cloud platfor</w:t>
      </w:r>
      <w:r>
        <w:rPr>
          <w:rFonts w:ascii="Arial" w:hAnsi="Arial" w:cs="Arial"/>
        </w:rPr>
        <w:t>m based on 5G technology to facilitate remote sharing of laboratory equipment and course resources. Case studies reveal that University C increased the utilization rate of its large-scale instruments from 32% to 78% using this model (Zhang et al., 2023).</w:t>
      </w:r>
    </w:p>
    <w:p w14:paraId="6888D1D4" w14:textId="77777777" w:rsidR="00020A60" w:rsidRDefault="00020A60">
      <w:pPr>
        <w:jc w:val="both"/>
        <w:rPr>
          <w:rFonts w:ascii="Arial" w:hAnsi="Arial" w:cs="Arial"/>
        </w:rPr>
      </w:pPr>
    </w:p>
    <w:p w14:paraId="492AAC93" w14:textId="77777777" w:rsidR="00020A60" w:rsidRDefault="00A31FC3">
      <w:pPr>
        <w:jc w:val="both"/>
        <w:rPr>
          <w:rFonts w:ascii="Arial" w:hAnsi="Arial" w:cs="Arial"/>
        </w:rPr>
      </w:pPr>
      <w:r>
        <w:rPr>
          <w:rFonts w:ascii="Arial" w:hAnsi="Arial" w:cs="Arial"/>
        </w:rPr>
        <w:t>2</w:t>
      </w:r>
      <w:r>
        <w:rPr>
          <w:rFonts w:ascii="Arial" w:eastAsia="SimSun" w:hAnsi="Arial" w:cs="Arial" w:hint="eastAsia"/>
          <w:lang w:eastAsia="zh-CN"/>
        </w:rPr>
        <w:t>)</w:t>
      </w:r>
      <w:r>
        <w:rPr>
          <w:rFonts w:ascii="Arial" w:hAnsi="Arial" w:cs="Arial"/>
        </w:rPr>
        <w:t xml:space="preserve"> Curriculum System Reconstruction: Creating a hybrid international curriculum that combines online and offline elements. Data analysis shows that modular-designed international courses can enhance learning efficiency by 35% (see Table 4). It is recommend</w:t>
      </w:r>
      <w:r>
        <w:rPr>
          <w:rFonts w:ascii="Arial" w:hAnsi="Arial" w:cs="Arial"/>
        </w:rPr>
        <w:t>ed to prioritize the development of 3-5 benchmark fully English-taught MOOCs in specialized subject areas.</w:t>
      </w:r>
    </w:p>
    <w:p w14:paraId="38594998" w14:textId="77777777" w:rsidR="00020A60" w:rsidRDefault="00020A60">
      <w:pPr>
        <w:rPr>
          <w:rFonts w:ascii="Arial" w:hAnsi="Arial" w:cs="Arial"/>
          <w:b/>
          <w:bCs/>
        </w:rPr>
      </w:pPr>
    </w:p>
    <w:p w14:paraId="01B95866" w14:textId="77777777" w:rsidR="00020A60" w:rsidRDefault="00A31FC3">
      <w:pPr>
        <w:rPr>
          <w:rFonts w:ascii="Arial" w:hAnsi="Arial" w:cs="Arial"/>
          <w:b/>
          <w:bCs/>
          <w:lang w:eastAsia="zh-CN"/>
        </w:rPr>
      </w:pPr>
      <w:r>
        <w:rPr>
          <w:rFonts w:ascii="Arial" w:hAnsi="Arial" w:cs="Arial"/>
          <w:b/>
          <w:bCs/>
        </w:rPr>
        <w:t>Table 4: Comparison of Hybrid International Course Effectiveness (2022-2023)</w:t>
      </w:r>
    </w:p>
    <w:p w14:paraId="7BF13179" w14:textId="77777777" w:rsidR="00020A60" w:rsidRDefault="00020A60">
      <w:pPr>
        <w:pStyle w:val="Body"/>
        <w:spacing w:after="0"/>
        <w:rPr>
          <w:rFonts w:ascii="Arial" w:hAnsi="Arial" w:cs="Arial"/>
        </w:rPr>
      </w:pPr>
    </w:p>
    <w:tbl>
      <w:tblPr>
        <w:tblW w:w="0" w:type="auto"/>
        <w:shd w:val="clear" w:color="auto" w:fill="FFFFFF"/>
        <w:tblCellMar>
          <w:left w:w="0" w:type="dxa"/>
          <w:right w:w="0" w:type="dxa"/>
        </w:tblCellMar>
        <w:tblLook w:val="04A0" w:firstRow="1" w:lastRow="0" w:firstColumn="1" w:lastColumn="0" w:noHBand="0" w:noVBand="1"/>
      </w:tblPr>
      <w:tblGrid>
        <w:gridCol w:w="2015"/>
        <w:gridCol w:w="2070"/>
        <w:gridCol w:w="2040"/>
        <w:gridCol w:w="2233"/>
      </w:tblGrid>
      <w:tr w:rsidR="00020A60" w14:paraId="6E6C5ED7" w14:textId="77777777">
        <w:trPr>
          <w:tblHeader/>
        </w:trPr>
        <w:tc>
          <w:tcPr>
            <w:tcW w:w="2015" w:type="dxa"/>
            <w:tcBorders>
              <w:top w:val="single" w:sz="4" w:space="0" w:color="000000"/>
              <w:left w:val="nil"/>
              <w:bottom w:val="single" w:sz="4" w:space="0" w:color="000000"/>
              <w:right w:val="nil"/>
            </w:tcBorders>
            <w:shd w:val="clear" w:color="auto" w:fill="FFFFFF"/>
            <w:tcMar>
              <w:left w:w="75" w:type="dxa"/>
              <w:right w:w="75" w:type="dxa"/>
            </w:tcMar>
            <w:vAlign w:val="center"/>
          </w:tcPr>
          <w:p w14:paraId="3C0156EC" w14:textId="77777777" w:rsidR="00020A60" w:rsidRDefault="00A31FC3">
            <w:pPr>
              <w:rPr>
                <w:rFonts w:ascii="Arial" w:hAnsi="Arial" w:cs="Arial"/>
                <w:bCs/>
                <w:color w:val="000000"/>
              </w:rPr>
            </w:pPr>
            <w:r>
              <w:rPr>
                <w:rFonts w:ascii="Arial" w:hAnsi="Arial" w:cs="Arial"/>
                <w:bCs/>
                <w:color w:val="000000"/>
                <w:lang w:eastAsia="zh-CN"/>
              </w:rPr>
              <w:t>Course Type</w:t>
            </w:r>
          </w:p>
        </w:tc>
        <w:tc>
          <w:tcPr>
            <w:tcW w:w="2070" w:type="dxa"/>
            <w:tcBorders>
              <w:top w:val="single" w:sz="4" w:space="0" w:color="000000"/>
              <w:left w:val="nil"/>
              <w:bottom w:val="single" w:sz="4" w:space="0" w:color="000000"/>
              <w:right w:val="nil"/>
            </w:tcBorders>
            <w:shd w:val="clear" w:color="auto" w:fill="FFFFFF"/>
            <w:tcMar>
              <w:left w:w="75" w:type="dxa"/>
              <w:right w:w="75" w:type="dxa"/>
            </w:tcMar>
            <w:vAlign w:val="center"/>
          </w:tcPr>
          <w:p w14:paraId="28A88CCC" w14:textId="77777777" w:rsidR="00020A60" w:rsidRDefault="00A31FC3">
            <w:pPr>
              <w:rPr>
                <w:rFonts w:ascii="Arial" w:hAnsi="Arial" w:cs="Arial"/>
                <w:bCs/>
                <w:color w:val="000000"/>
              </w:rPr>
            </w:pPr>
            <w:r>
              <w:rPr>
                <w:rFonts w:ascii="Arial" w:hAnsi="Arial" w:cs="Arial"/>
                <w:bCs/>
                <w:color w:val="000000"/>
                <w:lang w:eastAsia="zh-CN"/>
              </w:rPr>
              <w:t>Student Satisfaction</w:t>
            </w:r>
          </w:p>
        </w:tc>
        <w:tc>
          <w:tcPr>
            <w:tcW w:w="2040" w:type="dxa"/>
            <w:tcBorders>
              <w:top w:val="single" w:sz="4" w:space="0" w:color="000000"/>
              <w:left w:val="nil"/>
              <w:bottom w:val="single" w:sz="4" w:space="0" w:color="000000"/>
              <w:right w:val="nil"/>
            </w:tcBorders>
            <w:shd w:val="clear" w:color="auto" w:fill="FFFFFF"/>
            <w:tcMar>
              <w:left w:w="75" w:type="dxa"/>
              <w:right w:w="75" w:type="dxa"/>
            </w:tcMar>
            <w:vAlign w:val="center"/>
          </w:tcPr>
          <w:p w14:paraId="6CE92FF7" w14:textId="77777777" w:rsidR="00020A60" w:rsidRDefault="00A31FC3">
            <w:pPr>
              <w:rPr>
                <w:rFonts w:ascii="Arial" w:hAnsi="Arial" w:cs="Arial"/>
                <w:bCs/>
                <w:color w:val="000000"/>
              </w:rPr>
            </w:pPr>
            <w:r>
              <w:rPr>
                <w:rFonts w:ascii="Arial" w:hAnsi="Arial" w:cs="Arial"/>
                <w:bCs/>
                <w:color w:val="000000"/>
                <w:lang w:eastAsia="zh-CN"/>
              </w:rPr>
              <w:t>Knowledge Retention</w:t>
            </w:r>
          </w:p>
        </w:tc>
        <w:tc>
          <w:tcPr>
            <w:tcW w:w="2233" w:type="dxa"/>
            <w:tcBorders>
              <w:top w:val="single" w:sz="4" w:space="0" w:color="000000"/>
              <w:left w:val="nil"/>
              <w:bottom w:val="single" w:sz="4" w:space="0" w:color="000000"/>
              <w:right w:val="nil"/>
            </w:tcBorders>
            <w:shd w:val="clear" w:color="auto" w:fill="FFFFFF"/>
            <w:tcMar>
              <w:left w:w="75" w:type="dxa"/>
              <w:right w:w="75" w:type="dxa"/>
            </w:tcMar>
            <w:vAlign w:val="center"/>
          </w:tcPr>
          <w:p w14:paraId="317036FC" w14:textId="77777777" w:rsidR="00020A60" w:rsidRDefault="00A31FC3">
            <w:pPr>
              <w:rPr>
                <w:rFonts w:ascii="Arial" w:hAnsi="Arial" w:cs="Arial"/>
                <w:bCs/>
                <w:color w:val="000000"/>
              </w:rPr>
            </w:pPr>
            <w:r>
              <w:rPr>
                <w:rFonts w:ascii="Arial" w:hAnsi="Arial" w:cs="Arial"/>
                <w:bCs/>
                <w:color w:val="000000"/>
                <w:lang w:eastAsia="zh-CN"/>
              </w:rPr>
              <w:t>International Par</w:t>
            </w:r>
            <w:r>
              <w:rPr>
                <w:rFonts w:ascii="Arial" w:hAnsi="Arial" w:cs="Arial"/>
                <w:bCs/>
                <w:color w:val="000000"/>
                <w:lang w:eastAsia="zh-CN"/>
              </w:rPr>
              <w:t>ticipation</w:t>
            </w:r>
          </w:p>
        </w:tc>
      </w:tr>
      <w:tr w:rsidR="00020A60" w14:paraId="64FAAD6F" w14:textId="77777777">
        <w:tc>
          <w:tcPr>
            <w:tcW w:w="2015" w:type="dxa"/>
            <w:tcBorders>
              <w:top w:val="single" w:sz="4" w:space="0" w:color="000000"/>
              <w:left w:val="nil"/>
              <w:bottom w:val="nil"/>
              <w:right w:val="nil"/>
            </w:tcBorders>
            <w:shd w:val="clear" w:color="auto" w:fill="FFFFFF"/>
            <w:tcMar>
              <w:left w:w="75" w:type="dxa"/>
              <w:right w:w="75" w:type="dxa"/>
            </w:tcMar>
            <w:vAlign w:val="center"/>
          </w:tcPr>
          <w:p w14:paraId="332E8AFB" w14:textId="77777777" w:rsidR="00020A60" w:rsidRDefault="00A31FC3">
            <w:pPr>
              <w:rPr>
                <w:rFonts w:ascii="Arial" w:hAnsi="Arial" w:cs="Arial"/>
                <w:color w:val="000000"/>
              </w:rPr>
            </w:pPr>
            <w:r>
              <w:rPr>
                <w:rFonts w:ascii="Arial" w:hAnsi="Arial" w:cs="Arial"/>
                <w:color w:val="000000"/>
                <w:lang w:eastAsia="zh-CN"/>
              </w:rPr>
              <w:t>Traditional Offline</w:t>
            </w:r>
          </w:p>
        </w:tc>
        <w:tc>
          <w:tcPr>
            <w:tcW w:w="2070" w:type="dxa"/>
            <w:tcBorders>
              <w:top w:val="single" w:sz="4" w:space="0" w:color="000000"/>
              <w:left w:val="nil"/>
              <w:bottom w:val="nil"/>
              <w:right w:val="nil"/>
            </w:tcBorders>
            <w:shd w:val="clear" w:color="auto" w:fill="FFFFFF"/>
            <w:tcMar>
              <w:left w:w="75" w:type="dxa"/>
              <w:right w:w="75" w:type="dxa"/>
            </w:tcMar>
            <w:vAlign w:val="center"/>
          </w:tcPr>
          <w:p w14:paraId="0AB5A790" w14:textId="77777777" w:rsidR="00020A60" w:rsidRDefault="00A31FC3">
            <w:pPr>
              <w:rPr>
                <w:rFonts w:ascii="Arial" w:hAnsi="Arial" w:cs="Arial"/>
                <w:color w:val="000000"/>
              </w:rPr>
            </w:pPr>
            <w:r>
              <w:rPr>
                <w:rFonts w:ascii="Arial" w:hAnsi="Arial" w:cs="Arial"/>
                <w:color w:val="000000"/>
                <w:lang w:eastAsia="zh-CN"/>
              </w:rPr>
              <w:t>3.8/5.0</w:t>
            </w:r>
          </w:p>
        </w:tc>
        <w:tc>
          <w:tcPr>
            <w:tcW w:w="2040" w:type="dxa"/>
            <w:tcBorders>
              <w:top w:val="single" w:sz="4" w:space="0" w:color="000000"/>
              <w:left w:val="nil"/>
              <w:bottom w:val="nil"/>
              <w:right w:val="nil"/>
            </w:tcBorders>
            <w:shd w:val="clear" w:color="auto" w:fill="FFFFFF"/>
            <w:tcMar>
              <w:left w:w="75" w:type="dxa"/>
              <w:right w:w="75" w:type="dxa"/>
            </w:tcMar>
            <w:vAlign w:val="center"/>
          </w:tcPr>
          <w:p w14:paraId="319E1275" w14:textId="77777777" w:rsidR="00020A60" w:rsidRDefault="00A31FC3">
            <w:pPr>
              <w:rPr>
                <w:rFonts w:ascii="Arial" w:hAnsi="Arial" w:cs="Arial"/>
                <w:color w:val="000000"/>
              </w:rPr>
            </w:pPr>
            <w:r>
              <w:rPr>
                <w:rFonts w:ascii="Arial" w:hAnsi="Arial" w:cs="Arial"/>
                <w:color w:val="000000"/>
                <w:lang w:eastAsia="zh-CN"/>
              </w:rPr>
              <w:t>72.5%</w:t>
            </w:r>
          </w:p>
        </w:tc>
        <w:tc>
          <w:tcPr>
            <w:tcW w:w="2233" w:type="dxa"/>
            <w:tcBorders>
              <w:top w:val="single" w:sz="4" w:space="0" w:color="000000"/>
              <w:left w:val="nil"/>
              <w:bottom w:val="nil"/>
              <w:right w:val="nil"/>
            </w:tcBorders>
            <w:shd w:val="clear" w:color="auto" w:fill="FFFFFF"/>
            <w:tcMar>
              <w:left w:w="75" w:type="dxa"/>
              <w:right w:w="75" w:type="dxa"/>
            </w:tcMar>
            <w:vAlign w:val="center"/>
          </w:tcPr>
          <w:p w14:paraId="4C34B254" w14:textId="77777777" w:rsidR="00020A60" w:rsidRDefault="00A31FC3">
            <w:pPr>
              <w:rPr>
                <w:rFonts w:ascii="Arial" w:hAnsi="Arial" w:cs="Arial"/>
                <w:color w:val="000000"/>
              </w:rPr>
            </w:pPr>
            <w:r>
              <w:rPr>
                <w:rFonts w:ascii="Arial" w:hAnsi="Arial" w:cs="Arial"/>
                <w:color w:val="000000"/>
                <w:lang w:eastAsia="zh-CN"/>
              </w:rPr>
              <w:t>15.3%</w:t>
            </w:r>
          </w:p>
        </w:tc>
      </w:tr>
      <w:tr w:rsidR="00020A60" w14:paraId="0C3D22B4" w14:textId="77777777">
        <w:tc>
          <w:tcPr>
            <w:tcW w:w="2015" w:type="dxa"/>
            <w:tcBorders>
              <w:top w:val="nil"/>
              <w:left w:val="nil"/>
              <w:bottom w:val="single" w:sz="4" w:space="0" w:color="000000"/>
              <w:right w:val="nil"/>
            </w:tcBorders>
            <w:shd w:val="clear" w:color="auto" w:fill="FFFFFF"/>
            <w:tcMar>
              <w:left w:w="75" w:type="dxa"/>
              <w:right w:w="75" w:type="dxa"/>
            </w:tcMar>
            <w:vAlign w:val="center"/>
          </w:tcPr>
          <w:p w14:paraId="29FF1563" w14:textId="77777777" w:rsidR="00020A60" w:rsidRDefault="00A31FC3">
            <w:pPr>
              <w:rPr>
                <w:rFonts w:ascii="Arial" w:hAnsi="Arial" w:cs="Arial"/>
                <w:color w:val="000000"/>
              </w:rPr>
            </w:pPr>
            <w:r>
              <w:rPr>
                <w:rFonts w:ascii="Arial" w:hAnsi="Arial" w:cs="Arial"/>
                <w:color w:val="000000"/>
                <w:lang w:eastAsia="zh-CN"/>
              </w:rPr>
              <w:t>Hybrid</w:t>
            </w:r>
          </w:p>
        </w:tc>
        <w:tc>
          <w:tcPr>
            <w:tcW w:w="2070" w:type="dxa"/>
            <w:tcBorders>
              <w:top w:val="nil"/>
              <w:left w:val="nil"/>
              <w:bottom w:val="single" w:sz="4" w:space="0" w:color="000000"/>
              <w:right w:val="nil"/>
            </w:tcBorders>
            <w:shd w:val="clear" w:color="auto" w:fill="FFFFFF"/>
            <w:tcMar>
              <w:left w:w="75" w:type="dxa"/>
              <w:right w:w="75" w:type="dxa"/>
            </w:tcMar>
            <w:vAlign w:val="center"/>
          </w:tcPr>
          <w:p w14:paraId="052AA3D9" w14:textId="77777777" w:rsidR="00020A60" w:rsidRDefault="00A31FC3">
            <w:pPr>
              <w:rPr>
                <w:rFonts w:ascii="Arial" w:hAnsi="Arial" w:cs="Arial"/>
                <w:color w:val="000000"/>
              </w:rPr>
            </w:pPr>
            <w:r>
              <w:rPr>
                <w:rFonts w:ascii="Arial" w:hAnsi="Arial" w:cs="Arial"/>
                <w:color w:val="000000"/>
                <w:lang w:eastAsia="zh-CN"/>
              </w:rPr>
              <w:t>4.3/5.0</w:t>
            </w:r>
          </w:p>
        </w:tc>
        <w:tc>
          <w:tcPr>
            <w:tcW w:w="2040" w:type="dxa"/>
            <w:tcBorders>
              <w:top w:val="nil"/>
              <w:left w:val="nil"/>
              <w:bottom w:val="single" w:sz="4" w:space="0" w:color="000000"/>
              <w:right w:val="nil"/>
            </w:tcBorders>
            <w:shd w:val="clear" w:color="auto" w:fill="FFFFFF"/>
            <w:tcMar>
              <w:left w:w="75" w:type="dxa"/>
              <w:right w:w="75" w:type="dxa"/>
            </w:tcMar>
            <w:vAlign w:val="center"/>
          </w:tcPr>
          <w:p w14:paraId="62738453" w14:textId="77777777" w:rsidR="00020A60" w:rsidRDefault="00A31FC3">
            <w:pPr>
              <w:rPr>
                <w:rFonts w:ascii="Arial" w:hAnsi="Arial" w:cs="Arial"/>
                <w:color w:val="000000"/>
              </w:rPr>
            </w:pPr>
            <w:r>
              <w:rPr>
                <w:rFonts w:ascii="Arial" w:hAnsi="Arial" w:cs="Arial"/>
                <w:color w:val="000000"/>
                <w:lang w:eastAsia="zh-CN"/>
              </w:rPr>
              <w:t>85.6%</w:t>
            </w:r>
          </w:p>
        </w:tc>
        <w:tc>
          <w:tcPr>
            <w:tcW w:w="2233" w:type="dxa"/>
            <w:tcBorders>
              <w:top w:val="nil"/>
              <w:left w:val="nil"/>
              <w:bottom w:val="single" w:sz="4" w:space="0" w:color="000000"/>
              <w:right w:val="nil"/>
            </w:tcBorders>
            <w:shd w:val="clear" w:color="auto" w:fill="FFFFFF"/>
            <w:tcMar>
              <w:left w:w="75" w:type="dxa"/>
              <w:right w:w="75" w:type="dxa"/>
            </w:tcMar>
            <w:vAlign w:val="center"/>
          </w:tcPr>
          <w:p w14:paraId="7344A057" w14:textId="77777777" w:rsidR="00020A60" w:rsidRDefault="00A31FC3">
            <w:pPr>
              <w:rPr>
                <w:rFonts w:ascii="Arial" w:hAnsi="Arial" w:cs="Arial"/>
                <w:color w:val="000000"/>
              </w:rPr>
            </w:pPr>
            <w:r>
              <w:rPr>
                <w:rFonts w:ascii="Arial" w:hAnsi="Arial" w:cs="Arial"/>
                <w:color w:val="000000"/>
                <w:lang w:eastAsia="zh-CN"/>
              </w:rPr>
              <w:t>63.7%</w:t>
            </w:r>
          </w:p>
        </w:tc>
      </w:tr>
    </w:tbl>
    <w:p w14:paraId="7EAFBB74" w14:textId="77777777" w:rsidR="00020A60" w:rsidRDefault="00020A60">
      <w:pPr>
        <w:pStyle w:val="Body"/>
        <w:spacing w:after="0"/>
        <w:rPr>
          <w:rFonts w:ascii="Arial" w:hAnsi="Arial" w:cs="Arial"/>
        </w:rPr>
      </w:pPr>
    </w:p>
    <w:p w14:paraId="59947C5F" w14:textId="77777777" w:rsidR="00020A60" w:rsidRDefault="00A31FC3">
      <w:pPr>
        <w:pStyle w:val="Body"/>
        <w:spacing w:after="0"/>
        <w:rPr>
          <w:rFonts w:ascii="Arial" w:hAnsi="Arial" w:cs="Arial"/>
        </w:rPr>
      </w:pPr>
      <w:r>
        <w:rPr>
          <w:rFonts w:ascii="Arial" w:hAnsi="Arial" w:cs="Arial" w:hint="eastAsia"/>
        </w:rPr>
        <w:t>3</w:t>
      </w:r>
      <w:r>
        <w:rPr>
          <w:rFonts w:ascii="Arial" w:eastAsia="SimSun" w:hAnsi="Arial" w:cs="Arial" w:hint="eastAsia"/>
          <w:lang w:eastAsia="zh-CN"/>
        </w:rPr>
        <w:t>)</w:t>
      </w:r>
      <w:r>
        <w:rPr>
          <w:rFonts w:ascii="Arial" w:hAnsi="Arial" w:cs="Arial" w:hint="eastAsia"/>
        </w:rPr>
        <w:t xml:space="preserve"> Management Process Reengineering: Establishing an international credit recognition system based on blockchain technology. Pilot data indicate that this system can reduce the average credit transfer time from 45 days to just 7 days (</w:t>
      </w:r>
      <w:proofErr w:type="spellStart"/>
      <w:r>
        <w:rPr>
          <w:rFonts w:ascii="Arial" w:hAnsi="Arial" w:cs="Arial" w:hint="eastAsia"/>
        </w:rPr>
        <w:t>Ocheja</w:t>
      </w:r>
      <w:proofErr w:type="spellEnd"/>
      <w:r>
        <w:rPr>
          <w:rFonts w:ascii="Arial" w:hAnsi="Arial" w:cs="Arial" w:hint="eastAsia"/>
        </w:rPr>
        <w:t xml:space="preserve"> et al., 2022).</w:t>
      </w:r>
    </w:p>
    <w:p w14:paraId="136FF596" w14:textId="77777777" w:rsidR="00020A60" w:rsidRDefault="00020A60">
      <w:pPr>
        <w:pStyle w:val="Body"/>
        <w:spacing w:after="0"/>
        <w:rPr>
          <w:rFonts w:ascii="Arial" w:hAnsi="Arial" w:cs="Arial"/>
        </w:rPr>
      </w:pPr>
    </w:p>
    <w:p w14:paraId="04F7801A" w14:textId="77777777" w:rsidR="00020A60" w:rsidRDefault="00A31FC3">
      <w:pPr>
        <w:pStyle w:val="Body"/>
        <w:spacing w:after="0"/>
        <w:rPr>
          <w:rFonts w:ascii="Arial" w:hAnsi="Arial" w:cs="Arial"/>
          <w:b/>
          <w:caps/>
          <w:sz w:val="22"/>
        </w:rPr>
      </w:pPr>
      <w:r>
        <w:rPr>
          <w:rFonts w:ascii="Arial" w:hAnsi="Arial" w:cs="Arial" w:hint="eastAsia"/>
          <w:b/>
          <w:caps/>
          <w:sz w:val="22"/>
        </w:rPr>
        <w:t>4.2 Specialty Discipline Leadership Strategy</w:t>
      </w:r>
    </w:p>
    <w:p w14:paraId="1A680B5E" w14:textId="77777777" w:rsidR="00020A60" w:rsidRDefault="00020A60">
      <w:pPr>
        <w:pStyle w:val="Body"/>
        <w:spacing w:after="0"/>
        <w:rPr>
          <w:rFonts w:ascii="Arial" w:hAnsi="Arial" w:cs="Arial"/>
        </w:rPr>
      </w:pPr>
    </w:p>
    <w:p w14:paraId="0B298A07" w14:textId="77777777" w:rsidR="00020A60" w:rsidRDefault="00A31FC3">
      <w:pPr>
        <w:pStyle w:val="Body"/>
        <w:spacing w:after="0"/>
        <w:rPr>
          <w:rFonts w:ascii="Arial" w:hAnsi="Arial" w:cs="Arial"/>
        </w:rPr>
      </w:pPr>
      <w:r>
        <w:rPr>
          <w:rFonts w:ascii="Arial" w:hAnsi="Arial" w:cs="Arial" w:hint="eastAsia"/>
        </w:rPr>
        <w:t>Western engineering and technology universities must pursue a path of differentiated development, focusing on cultivating internationally competitive growth poles with regional characteristics. Research suggest</w:t>
      </w:r>
      <w:r>
        <w:rPr>
          <w:rFonts w:ascii="Arial" w:hAnsi="Arial" w:cs="Arial" w:hint="eastAsia"/>
        </w:rPr>
        <w:t>s that concentrating efforts on 2-3 specialized disciplines can increase international influence by 2 to 3 times (</w:t>
      </w:r>
      <w:proofErr w:type="spellStart"/>
      <w:r>
        <w:rPr>
          <w:rFonts w:ascii="Arial" w:hAnsi="Arial" w:cs="Arial" w:hint="eastAsia"/>
        </w:rPr>
        <w:t>Marginson</w:t>
      </w:r>
      <w:proofErr w:type="spellEnd"/>
      <w:r>
        <w:rPr>
          <w:rFonts w:ascii="Arial" w:hAnsi="Arial" w:cs="Arial" w:hint="eastAsia"/>
        </w:rPr>
        <w:t>, 2020). Specific pathways include:</w:t>
      </w:r>
    </w:p>
    <w:p w14:paraId="59B536F8" w14:textId="77777777" w:rsidR="00020A60" w:rsidRDefault="00020A60">
      <w:pPr>
        <w:pStyle w:val="Body"/>
        <w:spacing w:after="0"/>
        <w:rPr>
          <w:rFonts w:ascii="Arial" w:hAnsi="Arial" w:cs="Arial"/>
        </w:rPr>
      </w:pPr>
    </w:p>
    <w:p w14:paraId="1FE2B141" w14:textId="77777777" w:rsidR="00020A60" w:rsidRDefault="00A31FC3">
      <w:pPr>
        <w:pStyle w:val="Body"/>
        <w:spacing w:after="0"/>
        <w:rPr>
          <w:rFonts w:ascii="Arial" w:hAnsi="Arial" w:cs="Arial"/>
        </w:rPr>
      </w:pPr>
      <w:r>
        <w:rPr>
          <w:rFonts w:ascii="Arial" w:hAnsi="Arial" w:cs="Arial" w:hint="eastAsia"/>
        </w:rPr>
        <w:t>1</w:t>
      </w:r>
      <w:r>
        <w:rPr>
          <w:rFonts w:ascii="Arial" w:eastAsia="SimSun" w:hAnsi="Arial" w:cs="Arial" w:hint="eastAsia"/>
          <w:lang w:eastAsia="zh-CN"/>
        </w:rPr>
        <w:t>)</w:t>
      </w:r>
      <w:r>
        <w:rPr>
          <w:rFonts w:ascii="Arial" w:hAnsi="Arial" w:cs="Arial" w:hint="eastAsia"/>
        </w:rPr>
        <w:t xml:space="preserve"> Building a "Discipline Cluster + International Platform" Dual-Drive Model: For example, Unive</w:t>
      </w:r>
      <w:r>
        <w:rPr>
          <w:rFonts w:ascii="Arial" w:hAnsi="Arial" w:cs="Arial" w:hint="eastAsia"/>
        </w:rPr>
        <w:t>rsity D has successfully established a Sino-Nepal International Joint Laboratory centered around the "Plateau Ecology" discipline, resulting in a 210% increase in international collaborative research publications in related fields (case data).</w:t>
      </w:r>
    </w:p>
    <w:p w14:paraId="65DFDF85" w14:textId="77777777" w:rsidR="00020A60" w:rsidRDefault="00020A60">
      <w:pPr>
        <w:pStyle w:val="Body"/>
        <w:spacing w:after="0"/>
        <w:rPr>
          <w:rFonts w:ascii="Arial" w:hAnsi="Arial" w:cs="Arial"/>
        </w:rPr>
      </w:pPr>
    </w:p>
    <w:p w14:paraId="4D3BFD28" w14:textId="77777777" w:rsidR="00020A60" w:rsidRDefault="00A31FC3">
      <w:pPr>
        <w:pStyle w:val="Body"/>
        <w:spacing w:after="0"/>
        <w:rPr>
          <w:rFonts w:ascii="Arial" w:hAnsi="Arial" w:cs="Arial"/>
        </w:rPr>
      </w:pPr>
      <w:r>
        <w:rPr>
          <w:rFonts w:ascii="Arial" w:hAnsi="Arial" w:cs="Arial" w:hint="eastAsia"/>
        </w:rPr>
        <w:t>2</w:t>
      </w:r>
      <w:r>
        <w:rPr>
          <w:rFonts w:ascii="Arial" w:eastAsia="SimSun" w:hAnsi="Arial" w:cs="Arial" w:hint="eastAsia"/>
          <w:lang w:eastAsia="zh-CN"/>
        </w:rPr>
        <w:t>)</w:t>
      </w:r>
      <w:r>
        <w:rPr>
          <w:rFonts w:ascii="Arial" w:hAnsi="Arial" w:cs="Arial" w:hint="eastAsia"/>
        </w:rPr>
        <w:t xml:space="preserve"> Developi</w:t>
      </w:r>
      <w:r>
        <w:rPr>
          <w:rFonts w:ascii="Arial" w:hAnsi="Arial" w:cs="Arial" w:hint="eastAsia"/>
        </w:rPr>
        <w:t>ng a "Local Issues - International Methods" Research Paradigm: Statistics show that research teams employing this paradigm have an international citation rate that is 47% higher than that of traditional research (p&lt;0.05) (</w:t>
      </w:r>
      <w:proofErr w:type="spellStart"/>
      <w:r>
        <w:rPr>
          <w:rFonts w:ascii="Arial" w:hAnsi="Arial" w:cs="Arial" w:hint="eastAsia"/>
        </w:rPr>
        <w:t>Yaqoub</w:t>
      </w:r>
      <w:proofErr w:type="spellEnd"/>
      <w:r>
        <w:rPr>
          <w:rFonts w:ascii="Arial" w:hAnsi="Arial" w:cs="Arial" w:hint="eastAsia"/>
        </w:rPr>
        <w:t xml:space="preserve"> et al., 2023).</w:t>
      </w:r>
    </w:p>
    <w:p w14:paraId="45EC712F" w14:textId="77777777" w:rsidR="00020A60" w:rsidRDefault="00020A60">
      <w:pPr>
        <w:pStyle w:val="Body"/>
        <w:spacing w:after="0"/>
        <w:rPr>
          <w:rFonts w:ascii="Arial" w:hAnsi="Arial" w:cs="Arial"/>
        </w:rPr>
      </w:pPr>
    </w:p>
    <w:p w14:paraId="5D0E94A0" w14:textId="77777777" w:rsidR="00020A60" w:rsidRDefault="00A31FC3">
      <w:pPr>
        <w:pStyle w:val="Body"/>
        <w:spacing w:after="0"/>
        <w:rPr>
          <w:rFonts w:ascii="Arial" w:hAnsi="Arial" w:cs="Arial"/>
        </w:rPr>
      </w:pPr>
      <w:r>
        <w:rPr>
          <w:rFonts w:ascii="Arial" w:hAnsi="Arial" w:cs="Arial" w:hint="eastAsia"/>
        </w:rPr>
        <w:t>3)Establish</w:t>
      </w:r>
      <w:r>
        <w:rPr>
          <w:rFonts w:ascii="Arial" w:hAnsi="Arial" w:cs="Arial" w:hint="eastAsia"/>
        </w:rPr>
        <w:t>ing an International Accreditation System for Specialty Disciplines: Achieving international engineering education accreditations such as ABET and EUR-ACE can significantly enhance the global recognition of disciplines. Data indicates that accredited progr</w:t>
      </w:r>
      <w:r>
        <w:rPr>
          <w:rFonts w:ascii="Arial" w:hAnsi="Arial" w:cs="Arial" w:hint="eastAsia"/>
        </w:rPr>
        <w:t>ams see an average increase of 28% in the international employment rate of their graduates.</w:t>
      </w:r>
    </w:p>
    <w:p w14:paraId="7B0D84A3" w14:textId="77777777" w:rsidR="00020A60" w:rsidRDefault="00020A60">
      <w:pPr>
        <w:pStyle w:val="Body"/>
        <w:spacing w:after="0"/>
        <w:rPr>
          <w:rFonts w:ascii="Arial" w:hAnsi="Arial" w:cs="Arial"/>
        </w:rPr>
      </w:pPr>
    </w:p>
    <w:p w14:paraId="782DA381" w14:textId="77777777" w:rsidR="00020A60" w:rsidRDefault="00A31FC3">
      <w:pPr>
        <w:pStyle w:val="Body"/>
        <w:spacing w:after="0"/>
        <w:rPr>
          <w:rFonts w:ascii="Arial" w:hAnsi="Arial" w:cs="Arial"/>
        </w:rPr>
      </w:pPr>
      <w:r>
        <w:rPr>
          <w:rFonts w:ascii="Arial" w:hAnsi="Arial" w:cs="Arial" w:hint="eastAsia"/>
          <w:b/>
          <w:caps/>
          <w:sz w:val="22"/>
        </w:rPr>
        <w:t>4.3 Talent Development Pipeline</w:t>
      </w:r>
    </w:p>
    <w:p w14:paraId="411B2A4B" w14:textId="77777777" w:rsidR="00020A60" w:rsidRDefault="00020A60">
      <w:pPr>
        <w:pStyle w:val="Body"/>
        <w:spacing w:after="0"/>
        <w:rPr>
          <w:rFonts w:ascii="Arial" w:hAnsi="Arial" w:cs="Arial"/>
        </w:rPr>
      </w:pPr>
    </w:p>
    <w:p w14:paraId="7AB48FFF" w14:textId="77777777" w:rsidR="00020A60" w:rsidRDefault="00A31FC3">
      <w:pPr>
        <w:pStyle w:val="Body"/>
        <w:spacing w:after="0"/>
        <w:rPr>
          <w:rFonts w:ascii="Arial" w:hAnsi="Arial" w:cs="Arial"/>
        </w:rPr>
      </w:pPr>
      <w:r>
        <w:rPr>
          <w:rFonts w:ascii="Arial" w:hAnsi="Arial" w:cs="Arial" w:hint="eastAsia"/>
        </w:rPr>
        <w:t>To address the talent bottleneck, it is essential to establish a comprehensive "Attract-Train-Retain" mechanism. Empirical researc</w:t>
      </w:r>
      <w:r>
        <w:rPr>
          <w:rFonts w:ascii="Arial" w:hAnsi="Arial" w:cs="Arial" w:hint="eastAsia"/>
        </w:rPr>
        <w:t>h indicates that a systematic talent development plan can enhance the level of faculty internationalization by 2.5 times within three years (</w:t>
      </w:r>
      <w:proofErr w:type="spellStart"/>
      <w:r>
        <w:rPr>
          <w:rFonts w:ascii="Arial" w:hAnsi="Arial" w:cs="Arial" w:hint="eastAsia"/>
        </w:rPr>
        <w:t>Rumbley</w:t>
      </w:r>
      <w:proofErr w:type="spellEnd"/>
      <w:r>
        <w:rPr>
          <w:rFonts w:ascii="Arial" w:hAnsi="Arial" w:cs="Arial" w:hint="eastAsia"/>
        </w:rPr>
        <w:t>, L.E. &amp; de Wit, H, 2020). Specific measures include:</w:t>
      </w:r>
    </w:p>
    <w:p w14:paraId="7C6892A4" w14:textId="77777777" w:rsidR="00020A60" w:rsidRDefault="00020A60">
      <w:pPr>
        <w:pStyle w:val="Body"/>
        <w:spacing w:after="0"/>
        <w:rPr>
          <w:rFonts w:ascii="Arial" w:hAnsi="Arial" w:cs="Arial"/>
        </w:rPr>
      </w:pPr>
    </w:p>
    <w:p w14:paraId="24319E19" w14:textId="77777777" w:rsidR="00020A60" w:rsidRDefault="00A31FC3">
      <w:pPr>
        <w:pStyle w:val="Body"/>
        <w:spacing w:after="0"/>
        <w:rPr>
          <w:rFonts w:ascii="Arial" w:hAnsi="Arial" w:cs="Arial"/>
        </w:rPr>
      </w:pPr>
      <w:r>
        <w:rPr>
          <w:rFonts w:ascii="Arial" w:hAnsi="Arial" w:cs="Arial" w:hint="eastAsia"/>
        </w:rPr>
        <w:t>1</w:t>
      </w:r>
      <w:r>
        <w:rPr>
          <w:rFonts w:ascii="Arial" w:eastAsia="SimSun" w:hAnsi="Arial" w:cs="Arial" w:hint="eastAsia"/>
          <w:lang w:eastAsia="zh-CN"/>
        </w:rPr>
        <w:t>)</w:t>
      </w:r>
      <w:r>
        <w:rPr>
          <w:rFonts w:ascii="Arial" w:hAnsi="Arial" w:cs="Arial" w:hint="eastAsia"/>
        </w:rPr>
        <w:t xml:space="preserve"> Implementing a Dual-Track Recruitment Strategy: For high-end talent, a "flexible recruitment" approach is adopted, reducing average costs by 62%. For young talent, a "pre-employment to long-term employment" system is implemented, increasing retention rate</w:t>
      </w:r>
      <w:r>
        <w:rPr>
          <w:rFonts w:ascii="Arial" w:hAnsi="Arial" w:cs="Arial" w:hint="eastAsia"/>
        </w:rPr>
        <w:t>s to 85%.</w:t>
      </w:r>
    </w:p>
    <w:p w14:paraId="6FCB2913" w14:textId="77777777" w:rsidR="00020A60" w:rsidRDefault="00020A60">
      <w:pPr>
        <w:pStyle w:val="Body"/>
        <w:spacing w:after="0"/>
        <w:rPr>
          <w:rFonts w:ascii="Arial" w:hAnsi="Arial" w:cs="Arial"/>
        </w:rPr>
      </w:pPr>
    </w:p>
    <w:p w14:paraId="52C60E32" w14:textId="77777777" w:rsidR="00020A60" w:rsidRDefault="00A31FC3">
      <w:pPr>
        <w:pStyle w:val="Body"/>
        <w:spacing w:after="0"/>
        <w:rPr>
          <w:rFonts w:ascii="Arial" w:hAnsi="Arial" w:cs="Arial"/>
        </w:rPr>
      </w:pPr>
      <w:r>
        <w:rPr>
          <w:rFonts w:ascii="Arial" w:hAnsi="Arial" w:cs="Arial" w:hint="eastAsia"/>
        </w:rPr>
        <w:t>2</w:t>
      </w:r>
      <w:r>
        <w:rPr>
          <w:rFonts w:ascii="Arial" w:eastAsia="SimSun" w:hAnsi="Arial" w:cs="Arial" w:hint="eastAsia"/>
          <w:lang w:eastAsia="zh-CN"/>
        </w:rPr>
        <w:t>)</w:t>
      </w:r>
      <w:r>
        <w:rPr>
          <w:rFonts w:ascii="Arial" w:hAnsi="Arial" w:cs="Arial" w:hint="eastAsia"/>
        </w:rPr>
        <w:t xml:space="preserve"> Innovating a "Locally Grounded Internationalization" Training Model: By utilizing virtual exchange programs and international co-supervision, the coverage of international training for local faculty is targeted to increase from the current 12</w:t>
      </w:r>
      <w:r>
        <w:rPr>
          <w:rFonts w:ascii="Arial" w:hAnsi="Arial" w:cs="Arial" w:hint="eastAsia"/>
        </w:rPr>
        <w:t>% to 50% over three years.</w:t>
      </w:r>
    </w:p>
    <w:p w14:paraId="0C59D26E" w14:textId="77777777" w:rsidR="00020A60" w:rsidRDefault="00020A60">
      <w:pPr>
        <w:pStyle w:val="Body"/>
        <w:spacing w:after="0"/>
        <w:rPr>
          <w:rFonts w:ascii="Arial" w:hAnsi="Arial" w:cs="Arial"/>
        </w:rPr>
      </w:pPr>
    </w:p>
    <w:p w14:paraId="262E60B4" w14:textId="77777777" w:rsidR="00020A60" w:rsidRDefault="00A31FC3">
      <w:pPr>
        <w:pStyle w:val="Body"/>
        <w:spacing w:after="0"/>
        <w:rPr>
          <w:rFonts w:ascii="Arial" w:hAnsi="Arial" w:cs="Arial"/>
        </w:rPr>
      </w:pPr>
      <w:r>
        <w:rPr>
          <w:rFonts w:ascii="Arial" w:hAnsi="Arial" w:cs="Arial" w:hint="eastAsia"/>
        </w:rPr>
        <w:t>3</w:t>
      </w:r>
      <w:r>
        <w:rPr>
          <w:rFonts w:ascii="Arial" w:eastAsia="SimSun" w:hAnsi="Arial" w:cs="Arial" w:hint="eastAsia"/>
          <w:lang w:eastAsia="zh-CN"/>
        </w:rPr>
        <w:t>)</w:t>
      </w:r>
      <w:r>
        <w:rPr>
          <w:rFonts w:ascii="Arial" w:hAnsi="Arial" w:cs="Arial" w:hint="eastAsia"/>
        </w:rPr>
        <w:t xml:space="preserve"> Establishing a Diversified Incentive Mechanism: Incorporating internationalization outcomes as a core criterion in the evaluation of professional titles. Data from pilot universities indicates that this measure can increase f</w:t>
      </w:r>
      <w:r>
        <w:rPr>
          <w:rFonts w:ascii="Arial" w:hAnsi="Arial" w:cs="Arial" w:hint="eastAsia"/>
        </w:rPr>
        <w:t>aculty participation in international collaborations by 3.2 times.</w:t>
      </w:r>
    </w:p>
    <w:p w14:paraId="056A9AAA" w14:textId="77777777" w:rsidR="00020A60" w:rsidRDefault="00020A60">
      <w:pPr>
        <w:pStyle w:val="Body"/>
        <w:spacing w:after="0"/>
        <w:rPr>
          <w:rFonts w:ascii="Arial" w:hAnsi="Arial" w:cs="Arial"/>
          <w:b/>
          <w:caps/>
          <w:sz w:val="22"/>
        </w:rPr>
      </w:pPr>
    </w:p>
    <w:p w14:paraId="77488519" w14:textId="77777777" w:rsidR="00020A60" w:rsidRDefault="00A31FC3">
      <w:pPr>
        <w:pStyle w:val="Body"/>
        <w:spacing w:after="0"/>
        <w:rPr>
          <w:rFonts w:ascii="Arial" w:hAnsi="Arial" w:cs="Arial"/>
          <w:b/>
          <w:caps/>
          <w:sz w:val="22"/>
        </w:rPr>
      </w:pPr>
      <w:r>
        <w:rPr>
          <w:rFonts w:ascii="Arial" w:hAnsi="Arial" w:cs="Arial" w:hint="eastAsia"/>
          <w:b/>
          <w:caps/>
          <w:sz w:val="22"/>
        </w:rPr>
        <w:t>4.4 Governance System Optimization Plan</w:t>
      </w:r>
    </w:p>
    <w:p w14:paraId="141587B3" w14:textId="77777777" w:rsidR="00020A60" w:rsidRDefault="00020A60">
      <w:pPr>
        <w:pStyle w:val="Body"/>
        <w:spacing w:after="0"/>
        <w:rPr>
          <w:rFonts w:ascii="Arial" w:hAnsi="Arial" w:cs="Arial"/>
        </w:rPr>
      </w:pPr>
    </w:p>
    <w:p w14:paraId="7F63F48C" w14:textId="77777777" w:rsidR="00020A60" w:rsidRDefault="00A31FC3">
      <w:pPr>
        <w:pStyle w:val="Body"/>
        <w:spacing w:after="0"/>
        <w:rPr>
          <w:rFonts w:ascii="Arial" w:hAnsi="Arial" w:cs="Arial"/>
        </w:rPr>
      </w:pPr>
      <w:r>
        <w:rPr>
          <w:rFonts w:ascii="Arial" w:hAnsi="Arial" w:cs="Arial" w:hint="eastAsia"/>
        </w:rPr>
        <w:t>Institutional innovation is key to ensuring the sustainable development of internationalization. Comparative studies show that institutions with we</w:t>
      </w:r>
      <w:r>
        <w:rPr>
          <w:rFonts w:ascii="Arial" w:hAnsi="Arial" w:cs="Arial" w:hint="eastAsia"/>
        </w:rPr>
        <w:t>ll-developed governance systems have a stability index for internationalization that is 37% higher than the average (de Wit, 2023). Key reform directions include:</w:t>
      </w:r>
    </w:p>
    <w:p w14:paraId="21005F2B" w14:textId="77777777" w:rsidR="00020A60" w:rsidRDefault="00020A60">
      <w:pPr>
        <w:pStyle w:val="Body"/>
        <w:spacing w:after="0"/>
        <w:rPr>
          <w:rFonts w:ascii="Arial" w:hAnsi="Arial" w:cs="Arial"/>
        </w:rPr>
      </w:pPr>
    </w:p>
    <w:p w14:paraId="2D528EC7" w14:textId="77777777" w:rsidR="00020A60" w:rsidRDefault="00A31FC3">
      <w:pPr>
        <w:pStyle w:val="Body"/>
        <w:spacing w:after="0"/>
        <w:rPr>
          <w:rFonts w:ascii="Arial" w:hAnsi="Arial" w:cs="Arial"/>
        </w:rPr>
      </w:pPr>
      <w:r>
        <w:rPr>
          <w:rFonts w:ascii="Arial" w:hAnsi="Arial" w:cs="Arial" w:hint="eastAsia"/>
        </w:rPr>
        <w:t>1</w:t>
      </w:r>
      <w:r>
        <w:rPr>
          <w:rFonts w:ascii="Arial" w:eastAsia="SimSun" w:hAnsi="Arial" w:cs="Arial" w:hint="eastAsia"/>
          <w:lang w:eastAsia="zh-CN"/>
        </w:rPr>
        <w:t>)</w:t>
      </w:r>
      <w:r>
        <w:rPr>
          <w:rFonts w:ascii="Arial" w:hAnsi="Arial" w:cs="Arial" w:hint="eastAsia"/>
        </w:rPr>
        <w:t xml:space="preserve"> Building a Three-Tier International Affairs Management System: A model prediction indicat</w:t>
      </w:r>
      <w:r>
        <w:rPr>
          <w:rFonts w:ascii="Arial" w:hAnsi="Arial" w:cs="Arial" w:hint="eastAsia"/>
        </w:rPr>
        <w:t>es that this system can enhance the efficiency of international decision-making by 55%.</w:t>
      </w:r>
    </w:p>
    <w:p w14:paraId="6A04FB71" w14:textId="77777777" w:rsidR="00020A60" w:rsidRDefault="00020A60">
      <w:pPr>
        <w:pStyle w:val="Body"/>
        <w:spacing w:after="0"/>
        <w:rPr>
          <w:rFonts w:ascii="Arial" w:hAnsi="Arial" w:cs="Arial"/>
        </w:rPr>
      </w:pPr>
    </w:p>
    <w:p w14:paraId="312E120C" w14:textId="77777777" w:rsidR="00020A60" w:rsidRDefault="00A31FC3">
      <w:pPr>
        <w:pStyle w:val="Body"/>
        <w:spacing w:after="0"/>
        <w:rPr>
          <w:rFonts w:ascii="Arial" w:hAnsi="Arial" w:cs="Arial"/>
        </w:rPr>
      </w:pPr>
      <w:r>
        <w:rPr>
          <w:rFonts w:ascii="Arial" w:hAnsi="Arial" w:cs="Arial" w:hint="eastAsia"/>
        </w:rPr>
        <w:t>2</w:t>
      </w:r>
      <w:r>
        <w:rPr>
          <w:rFonts w:ascii="Arial" w:eastAsia="SimSun" w:hAnsi="Arial" w:cs="Arial" w:hint="eastAsia"/>
          <w:lang w:eastAsia="zh-CN"/>
        </w:rPr>
        <w:t>)</w:t>
      </w:r>
      <w:r>
        <w:rPr>
          <w:rFonts w:ascii="Arial" w:hAnsi="Arial" w:cs="Arial" w:hint="eastAsia"/>
        </w:rPr>
        <w:t xml:space="preserve"> Establishing a Differentiated Resource Allocation Mechanism: It is recommended that 70% of international resources be directed towards specialized disciplines, whil</w:t>
      </w:r>
      <w:r>
        <w:rPr>
          <w:rFonts w:ascii="Arial" w:hAnsi="Arial" w:cs="Arial" w:hint="eastAsia"/>
        </w:rPr>
        <w:t>e 30% should be allocated to cultivate emerging growth areas (based on SWOT analysis results).</w:t>
      </w:r>
    </w:p>
    <w:p w14:paraId="5F8FB8C9" w14:textId="77777777" w:rsidR="00020A60" w:rsidRDefault="00020A60">
      <w:pPr>
        <w:pStyle w:val="Body"/>
        <w:spacing w:after="0"/>
        <w:rPr>
          <w:rFonts w:ascii="Arial" w:hAnsi="Arial" w:cs="Arial"/>
        </w:rPr>
      </w:pPr>
    </w:p>
    <w:p w14:paraId="32CE7A4F" w14:textId="77777777" w:rsidR="00020A60" w:rsidRDefault="00A31FC3">
      <w:pPr>
        <w:pStyle w:val="Body"/>
        <w:spacing w:after="0"/>
        <w:rPr>
          <w:rFonts w:ascii="Arial" w:hAnsi="Arial" w:cs="Arial"/>
        </w:rPr>
      </w:pPr>
      <w:r>
        <w:rPr>
          <w:rFonts w:ascii="Arial" w:hAnsi="Arial" w:cs="Arial" w:hint="eastAsia"/>
        </w:rPr>
        <w:lastRenderedPageBreak/>
        <w:t>3</w:t>
      </w:r>
      <w:r>
        <w:rPr>
          <w:rFonts w:ascii="Arial" w:eastAsia="SimSun" w:hAnsi="Arial" w:cs="Arial" w:hint="eastAsia"/>
          <w:lang w:eastAsia="zh-CN"/>
        </w:rPr>
        <w:t>)</w:t>
      </w:r>
      <w:r>
        <w:rPr>
          <w:rFonts w:ascii="Arial" w:hAnsi="Arial" w:cs="Arial" w:hint="eastAsia"/>
        </w:rPr>
        <w:t xml:space="preserve"> Improving the Quality Assurance System: Introducing a PDCA (Plan-Do-Check-Act) cycle management approach can increase the success rate of international proje</w:t>
      </w:r>
      <w:r>
        <w:rPr>
          <w:rFonts w:ascii="Arial" w:hAnsi="Arial" w:cs="Arial" w:hint="eastAsia"/>
        </w:rPr>
        <w:t>cts from the current 58% to 80% (five-year target).</w:t>
      </w:r>
    </w:p>
    <w:p w14:paraId="19E8CBBE" w14:textId="77777777" w:rsidR="00020A60" w:rsidRDefault="00020A60">
      <w:pPr>
        <w:pStyle w:val="Body"/>
        <w:spacing w:after="0"/>
        <w:rPr>
          <w:rFonts w:ascii="Arial" w:hAnsi="Arial" w:cs="Arial"/>
        </w:rPr>
      </w:pPr>
    </w:p>
    <w:p w14:paraId="351EDD9B" w14:textId="77777777" w:rsidR="00020A60" w:rsidRDefault="00A31FC3">
      <w:pPr>
        <w:pStyle w:val="Body"/>
        <w:spacing w:after="0"/>
        <w:rPr>
          <w:rFonts w:ascii="Arial" w:hAnsi="Arial" w:cs="Arial"/>
          <w:b/>
          <w:caps/>
          <w:sz w:val="22"/>
        </w:rPr>
      </w:pPr>
      <w:r>
        <w:rPr>
          <w:rFonts w:ascii="Arial" w:hAnsi="Arial" w:cs="Arial" w:hint="eastAsia"/>
          <w:b/>
          <w:caps/>
          <w:sz w:val="22"/>
        </w:rPr>
        <w:t>4.5 Regional Collaborative Development Network</w:t>
      </w:r>
    </w:p>
    <w:p w14:paraId="6601F4B6" w14:textId="77777777" w:rsidR="00020A60" w:rsidRDefault="00020A60">
      <w:pPr>
        <w:pStyle w:val="Body"/>
        <w:spacing w:after="0"/>
        <w:rPr>
          <w:rFonts w:ascii="Arial" w:hAnsi="Arial" w:cs="Arial"/>
        </w:rPr>
      </w:pPr>
    </w:p>
    <w:p w14:paraId="6E99E0F7" w14:textId="77777777" w:rsidR="00020A60" w:rsidRDefault="00A31FC3">
      <w:pPr>
        <w:pStyle w:val="Body"/>
        <w:spacing w:after="0"/>
        <w:rPr>
          <w:rFonts w:ascii="Arial" w:hAnsi="Arial" w:cs="Arial"/>
        </w:rPr>
      </w:pPr>
      <w:r>
        <w:rPr>
          <w:rFonts w:ascii="Arial" w:hAnsi="Arial" w:cs="Arial" w:hint="eastAsia"/>
        </w:rPr>
        <w:t xml:space="preserve">Western universities need to move beyond isolated efforts and build a regional collaborative innovation community. Social network analysis indicates that </w:t>
      </w:r>
      <w:r>
        <w:rPr>
          <w:rFonts w:ascii="Arial" w:hAnsi="Arial" w:cs="Arial" w:hint="eastAsia"/>
        </w:rPr>
        <w:t>close regional alliances can increase international cooperation opportunities by 2.8 times (Zhao, Y. et al., 2024). Specific pathways include:</w:t>
      </w:r>
    </w:p>
    <w:p w14:paraId="686EA070" w14:textId="77777777" w:rsidR="00020A60" w:rsidRDefault="00020A60">
      <w:pPr>
        <w:pStyle w:val="Body"/>
        <w:spacing w:after="0"/>
        <w:rPr>
          <w:rFonts w:ascii="Arial" w:hAnsi="Arial" w:cs="Arial"/>
        </w:rPr>
      </w:pPr>
    </w:p>
    <w:p w14:paraId="3AFE8337" w14:textId="77777777" w:rsidR="00020A60" w:rsidRDefault="00A31FC3">
      <w:pPr>
        <w:pStyle w:val="Body"/>
        <w:spacing w:after="0"/>
        <w:rPr>
          <w:rFonts w:ascii="Arial" w:hAnsi="Arial" w:cs="Arial"/>
        </w:rPr>
      </w:pPr>
      <w:r>
        <w:rPr>
          <w:rFonts w:ascii="Arial" w:hAnsi="Arial" w:cs="Arial" w:hint="eastAsia"/>
        </w:rPr>
        <w:t>1</w:t>
      </w:r>
      <w:r>
        <w:rPr>
          <w:rFonts w:ascii="Arial" w:eastAsia="SimSun" w:hAnsi="Arial" w:cs="Arial" w:hint="eastAsia"/>
          <w:lang w:eastAsia="zh-CN"/>
        </w:rPr>
        <w:t>)</w:t>
      </w:r>
      <w:r>
        <w:rPr>
          <w:rFonts w:ascii="Arial" w:hAnsi="Arial" w:cs="Arial" w:hint="eastAsia"/>
        </w:rPr>
        <w:t xml:space="preserve"> Establishing a "Silk Road University Alliance" for Engineering and Science: Twelve universities have already </w:t>
      </w:r>
      <w:r>
        <w:rPr>
          <w:rFonts w:ascii="Arial" w:hAnsi="Arial" w:cs="Arial" w:hint="eastAsia"/>
        </w:rPr>
        <w:t>joined, with plans to achieve mutual course selection and credit recognition within three years.</w:t>
      </w:r>
    </w:p>
    <w:p w14:paraId="0B747979" w14:textId="77777777" w:rsidR="00020A60" w:rsidRDefault="00020A60">
      <w:pPr>
        <w:pStyle w:val="Body"/>
        <w:spacing w:after="0"/>
        <w:rPr>
          <w:rFonts w:ascii="Arial" w:hAnsi="Arial" w:cs="Arial"/>
        </w:rPr>
      </w:pPr>
    </w:p>
    <w:p w14:paraId="092A3250" w14:textId="77777777" w:rsidR="00020A60" w:rsidRDefault="00A31FC3">
      <w:pPr>
        <w:pStyle w:val="Body"/>
        <w:spacing w:after="0"/>
        <w:rPr>
          <w:rFonts w:ascii="Arial" w:hAnsi="Arial" w:cs="Arial"/>
        </w:rPr>
      </w:pPr>
      <w:r>
        <w:rPr>
          <w:rFonts w:ascii="Arial" w:hAnsi="Arial" w:cs="Arial" w:hint="eastAsia"/>
        </w:rPr>
        <w:t>2</w:t>
      </w:r>
      <w:r>
        <w:rPr>
          <w:rFonts w:ascii="Arial" w:eastAsia="SimSun" w:hAnsi="Arial" w:cs="Arial" w:hint="eastAsia"/>
          <w:lang w:eastAsia="zh-CN"/>
        </w:rPr>
        <w:t>)</w:t>
      </w:r>
      <w:r>
        <w:rPr>
          <w:rFonts w:ascii="Arial" w:hAnsi="Arial" w:cs="Arial" w:hint="eastAsia"/>
        </w:rPr>
        <w:t xml:space="preserve"> Creating a Shared International Technology Transfer Center: Case studies show that this model can increase the conversion rate of scientific and technologi</w:t>
      </w:r>
      <w:r>
        <w:rPr>
          <w:rFonts w:ascii="Arial" w:hAnsi="Arial" w:cs="Arial" w:hint="eastAsia"/>
        </w:rPr>
        <w:t>cal achievements from 6% to 18%.</w:t>
      </w:r>
    </w:p>
    <w:p w14:paraId="46A03D9C" w14:textId="77777777" w:rsidR="00020A60" w:rsidRDefault="00020A60">
      <w:pPr>
        <w:pStyle w:val="Body"/>
        <w:spacing w:after="0"/>
        <w:rPr>
          <w:rFonts w:ascii="Arial" w:hAnsi="Arial" w:cs="Arial"/>
        </w:rPr>
      </w:pPr>
    </w:p>
    <w:p w14:paraId="2B05A74D" w14:textId="77777777" w:rsidR="00020A60" w:rsidRDefault="00A31FC3">
      <w:pPr>
        <w:pStyle w:val="Body"/>
        <w:spacing w:after="0"/>
        <w:rPr>
          <w:rFonts w:ascii="Arial" w:hAnsi="Arial" w:cs="Arial"/>
        </w:rPr>
      </w:pPr>
      <w:r>
        <w:rPr>
          <w:rFonts w:ascii="Arial" w:hAnsi="Arial" w:cs="Arial" w:hint="eastAsia"/>
        </w:rPr>
        <w:t>3</w:t>
      </w:r>
      <w:r>
        <w:rPr>
          <w:rFonts w:ascii="Arial" w:eastAsia="SimSun" w:hAnsi="Arial" w:cs="Arial" w:hint="eastAsia"/>
          <w:lang w:eastAsia="zh-CN"/>
        </w:rPr>
        <w:t>)</w:t>
      </w:r>
      <w:r>
        <w:rPr>
          <w:rFonts w:ascii="Arial" w:hAnsi="Arial" w:cs="Arial" w:hint="eastAsia"/>
        </w:rPr>
        <w:t xml:space="preserve"> Establishing a Regional Internationalization Development Index: By quantifying evaluations to promote healthy competition, pilot regional universities have seen their internationalization growth rate exceed the national</w:t>
      </w:r>
      <w:r>
        <w:rPr>
          <w:rFonts w:ascii="Arial" w:hAnsi="Arial" w:cs="Arial" w:hint="eastAsia"/>
        </w:rPr>
        <w:t xml:space="preserve"> average by 1.7 times.</w:t>
      </w:r>
    </w:p>
    <w:p w14:paraId="539909B0" w14:textId="77777777" w:rsidR="00020A60" w:rsidRDefault="00020A60">
      <w:pPr>
        <w:pStyle w:val="Body"/>
        <w:spacing w:after="0"/>
        <w:rPr>
          <w:rFonts w:ascii="Arial" w:hAnsi="Arial" w:cs="Arial"/>
        </w:rPr>
      </w:pPr>
    </w:p>
    <w:p w14:paraId="332358CF" w14:textId="77777777" w:rsidR="00020A60" w:rsidRDefault="00A31FC3">
      <w:pPr>
        <w:pStyle w:val="Body"/>
        <w:spacing w:after="0"/>
        <w:rPr>
          <w:rFonts w:ascii="Arial" w:hAnsi="Arial" w:cs="Arial"/>
          <w:b/>
          <w:caps/>
          <w:sz w:val="22"/>
        </w:rPr>
      </w:pPr>
      <w:r>
        <w:rPr>
          <w:rFonts w:ascii="Arial" w:hAnsi="Arial" w:cs="Arial" w:hint="eastAsia"/>
          <w:b/>
          <w:caps/>
          <w:sz w:val="22"/>
        </w:rPr>
        <w:t>4.6 Phased Development Roadmap</w:t>
      </w:r>
    </w:p>
    <w:p w14:paraId="6979F033" w14:textId="77777777" w:rsidR="00020A60" w:rsidRDefault="00020A60">
      <w:pPr>
        <w:pStyle w:val="Body"/>
        <w:spacing w:after="0"/>
        <w:rPr>
          <w:rFonts w:ascii="Arial" w:hAnsi="Arial" w:cs="Arial"/>
        </w:rPr>
      </w:pPr>
    </w:p>
    <w:p w14:paraId="5CD44090" w14:textId="77777777" w:rsidR="00020A60" w:rsidRDefault="00A31FC3">
      <w:pPr>
        <w:pStyle w:val="Body"/>
        <w:spacing w:after="0"/>
        <w:rPr>
          <w:rFonts w:ascii="Arial" w:hAnsi="Arial" w:cs="Arial"/>
        </w:rPr>
      </w:pPr>
      <w:r>
        <w:rPr>
          <w:rFonts w:ascii="Arial" w:hAnsi="Arial" w:cs="Arial" w:hint="eastAsia"/>
        </w:rPr>
        <w:t>Based on empirical research, it is recommended that western engineering and technology universities adopt a "three-phase" advancement strategy (see Table 5), with key performance indicators (KPIs) set</w:t>
      </w:r>
      <w:r>
        <w:rPr>
          <w:rFonts w:ascii="Arial" w:hAnsi="Arial" w:cs="Arial" w:hint="eastAsia"/>
        </w:rPr>
        <w:t xml:space="preserve"> for each phase to monitor progress dynamically.</w:t>
      </w:r>
    </w:p>
    <w:p w14:paraId="734139A7" w14:textId="77777777" w:rsidR="00020A60" w:rsidRDefault="00020A60">
      <w:pPr>
        <w:pStyle w:val="Body"/>
        <w:spacing w:after="0"/>
        <w:rPr>
          <w:rFonts w:ascii="Arial" w:hAnsi="Arial" w:cs="Arial"/>
        </w:rPr>
      </w:pPr>
    </w:p>
    <w:p w14:paraId="0E928E93" w14:textId="77777777" w:rsidR="00020A60" w:rsidRDefault="00A31FC3">
      <w:pPr>
        <w:pStyle w:val="Body"/>
        <w:spacing w:after="0"/>
        <w:rPr>
          <w:rFonts w:ascii="Arial" w:hAnsi="Arial" w:cs="Arial"/>
        </w:rPr>
      </w:pPr>
      <w:r>
        <w:rPr>
          <w:rFonts w:ascii="Arial" w:hAnsi="Arial" w:cs="Arial" w:hint="eastAsia"/>
          <w:b/>
          <w:bCs/>
        </w:rPr>
        <w:t>Table 5: Internationalization Development Phase Planning for Western Engineering and Technology Universitie</w:t>
      </w:r>
      <w:r>
        <w:rPr>
          <w:rFonts w:ascii="Arial" w:hAnsi="Arial" w:cs="Arial" w:hint="eastAsia"/>
        </w:rPr>
        <w:t>s</w:t>
      </w:r>
    </w:p>
    <w:p w14:paraId="02C00DF3" w14:textId="77777777" w:rsidR="00020A60" w:rsidRDefault="00020A60">
      <w:pPr>
        <w:pStyle w:val="Body"/>
        <w:spacing w:after="0"/>
        <w:rPr>
          <w:rFonts w:ascii="Arial" w:hAnsi="Arial" w:cs="Arial"/>
        </w:rPr>
      </w:pPr>
    </w:p>
    <w:tbl>
      <w:tblPr>
        <w:tblW w:w="0" w:type="auto"/>
        <w:jc w:val="center"/>
        <w:shd w:val="clear" w:color="auto" w:fill="FFFFFF"/>
        <w:tblCellMar>
          <w:left w:w="0" w:type="dxa"/>
          <w:right w:w="0" w:type="dxa"/>
        </w:tblCellMar>
        <w:tblLook w:val="04A0" w:firstRow="1" w:lastRow="0" w:firstColumn="1" w:lastColumn="0" w:noHBand="0" w:noVBand="1"/>
      </w:tblPr>
      <w:tblGrid>
        <w:gridCol w:w="1446"/>
        <w:gridCol w:w="1183"/>
        <w:gridCol w:w="1933"/>
        <w:gridCol w:w="3796"/>
      </w:tblGrid>
      <w:tr w:rsidR="00020A60" w14:paraId="03EC21DB" w14:textId="77777777">
        <w:trPr>
          <w:tblHeader/>
          <w:jc w:val="center"/>
        </w:trPr>
        <w:tc>
          <w:tcPr>
            <w:tcW w:w="0" w:type="auto"/>
            <w:tcBorders>
              <w:top w:val="single" w:sz="4" w:space="0" w:color="000000"/>
              <w:left w:val="nil"/>
              <w:bottom w:val="single" w:sz="4" w:space="0" w:color="000000"/>
              <w:right w:val="nil"/>
            </w:tcBorders>
            <w:shd w:val="clear" w:color="auto" w:fill="FFFFFF"/>
            <w:tcMar>
              <w:left w:w="75" w:type="dxa"/>
              <w:right w:w="75" w:type="dxa"/>
            </w:tcMar>
            <w:vAlign w:val="center"/>
          </w:tcPr>
          <w:p w14:paraId="457FC527" w14:textId="77777777" w:rsidR="00020A60" w:rsidRDefault="00A31FC3">
            <w:pPr>
              <w:jc w:val="center"/>
              <w:rPr>
                <w:rFonts w:ascii="Arial" w:eastAsia="Segoe UI" w:hAnsi="Arial" w:cs="Arial"/>
                <w:b/>
                <w:color w:val="000000"/>
                <w:sz w:val="21"/>
                <w:szCs w:val="21"/>
              </w:rPr>
            </w:pPr>
            <w:r>
              <w:rPr>
                <w:rFonts w:ascii="Arial" w:eastAsia="Segoe UI" w:hAnsi="Arial" w:cs="Arial"/>
                <w:b/>
                <w:color w:val="000000"/>
                <w:sz w:val="21"/>
                <w:szCs w:val="21"/>
                <w:lang w:eastAsia="zh-CN" w:bidi="ar"/>
              </w:rPr>
              <w:t>Phase</w:t>
            </w:r>
          </w:p>
        </w:tc>
        <w:tc>
          <w:tcPr>
            <w:tcW w:w="0" w:type="auto"/>
            <w:tcBorders>
              <w:top w:val="single" w:sz="4" w:space="0" w:color="000000"/>
              <w:left w:val="nil"/>
              <w:bottom w:val="single" w:sz="4" w:space="0" w:color="000000"/>
              <w:right w:val="nil"/>
            </w:tcBorders>
            <w:shd w:val="clear" w:color="auto" w:fill="FFFFFF"/>
            <w:tcMar>
              <w:left w:w="75" w:type="dxa"/>
              <w:right w:w="75" w:type="dxa"/>
            </w:tcMar>
            <w:vAlign w:val="center"/>
          </w:tcPr>
          <w:p w14:paraId="127C0A74" w14:textId="77777777" w:rsidR="00020A60" w:rsidRDefault="00A31FC3">
            <w:pPr>
              <w:jc w:val="center"/>
              <w:rPr>
                <w:rFonts w:ascii="Arial" w:eastAsia="Segoe UI" w:hAnsi="Arial" w:cs="Arial"/>
                <w:b/>
                <w:color w:val="000000"/>
                <w:sz w:val="21"/>
                <w:szCs w:val="21"/>
              </w:rPr>
            </w:pPr>
            <w:r>
              <w:rPr>
                <w:rFonts w:ascii="Arial" w:eastAsia="Segoe UI" w:hAnsi="Arial" w:cs="Arial"/>
                <w:b/>
                <w:color w:val="000000"/>
                <w:sz w:val="21"/>
                <w:szCs w:val="21"/>
                <w:lang w:eastAsia="zh-CN" w:bidi="ar"/>
              </w:rPr>
              <w:t>Time Frame</w:t>
            </w:r>
          </w:p>
        </w:tc>
        <w:tc>
          <w:tcPr>
            <w:tcW w:w="0" w:type="auto"/>
            <w:tcBorders>
              <w:top w:val="single" w:sz="4" w:space="0" w:color="000000"/>
              <w:left w:val="nil"/>
              <w:bottom w:val="single" w:sz="4" w:space="0" w:color="000000"/>
              <w:right w:val="nil"/>
            </w:tcBorders>
            <w:shd w:val="clear" w:color="auto" w:fill="FFFFFF"/>
            <w:tcMar>
              <w:left w:w="75" w:type="dxa"/>
              <w:right w:w="75" w:type="dxa"/>
            </w:tcMar>
            <w:vAlign w:val="center"/>
          </w:tcPr>
          <w:p w14:paraId="7CA8A62B" w14:textId="77777777" w:rsidR="00020A60" w:rsidRDefault="00A31FC3">
            <w:pPr>
              <w:jc w:val="center"/>
              <w:rPr>
                <w:rFonts w:ascii="Arial" w:eastAsia="Segoe UI" w:hAnsi="Arial" w:cs="Arial"/>
                <w:b/>
                <w:color w:val="000000"/>
                <w:sz w:val="21"/>
                <w:szCs w:val="21"/>
              </w:rPr>
            </w:pPr>
            <w:r>
              <w:rPr>
                <w:rFonts w:ascii="Arial" w:eastAsia="Segoe UI" w:hAnsi="Arial" w:cs="Arial"/>
                <w:b/>
                <w:color w:val="000000"/>
                <w:sz w:val="21"/>
                <w:szCs w:val="21"/>
                <w:lang w:eastAsia="zh-CN" w:bidi="ar"/>
              </w:rPr>
              <w:t>Key Tasks</w:t>
            </w:r>
          </w:p>
        </w:tc>
        <w:tc>
          <w:tcPr>
            <w:tcW w:w="0" w:type="auto"/>
            <w:tcBorders>
              <w:top w:val="single" w:sz="4" w:space="0" w:color="000000"/>
              <w:left w:val="nil"/>
              <w:bottom w:val="single" w:sz="4" w:space="0" w:color="000000"/>
              <w:right w:val="nil"/>
            </w:tcBorders>
            <w:shd w:val="clear" w:color="auto" w:fill="FFFFFF"/>
            <w:tcMar>
              <w:left w:w="75" w:type="dxa"/>
              <w:right w:w="75" w:type="dxa"/>
            </w:tcMar>
            <w:vAlign w:val="center"/>
          </w:tcPr>
          <w:p w14:paraId="4A89D652" w14:textId="77777777" w:rsidR="00020A60" w:rsidRDefault="00A31FC3">
            <w:pPr>
              <w:jc w:val="center"/>
              <w:rPr>
                <w:rFonts w:ascii="Arial" w:eastAsia="Segoe UI" w:hAnsi="Arial" w:cs="Arial"/>
                <w:b/>
                <w:color w:val="000000"/>
                <w:sz w:val="21"/>
                <w:szCs w:val="21"/>
              </w:rPr>
            </w:pPr>
            <w:r>
              <w:rPr>
                <w:rFonts w:ascii="Arial" w:eastAsia="Segoe UI" w:hAnsi="Arial" w:cs="Arial"/>
                <w:b/>
                <w:color w:val="000000"/>
                <w:sz w:val="21"/>
                <w:szCs w:val="21"/>
                <w:lang w:eastAsia="zh-CN" w:bidi="ar"/>
              </w:rPr>
              <w:t>Core Indicators</w:t>
            </w:r>
          </w:p>
        </w:tc>
      </w:tr>
      <w:tr w:rsidR="00020A60" w14:paraId="698B7AC4" w14:textId="77777777">
        <w:trPr>
          <w:jc w:val="center"/>
        </w:trPr>
        <w:tc>
          <w:tcPr>
            <w:tcW w:w="0" w:type="auto"/>
            <w:tcBorders>
              <w:top w:val="single" w:sz="4" w:space="0" w:color="000000"/>
              <w:left w:val="nil"/>
              <w:bottom w:val="nil"/>
              <w:right w:val="nil"/>
            </w:tcBorders>
            <w:shd w:val="clear" w:color="auto" w:fill="FFFFFF"/>
            <w:tcMar>
              <w:left w:w="75" w:type="dxa"/>
              <w:right w:w="75" w:type="dxa"/>
            </w:tcMar>
            <w:vAlign w:val="center"/>
          </w:tcPr>
          <w:p w14:paraId="67A2B299" w14:textId="77777777" w:rsidR="00020A60" w:rsidRDefault="00A31FC3">
            <w:pPr>
              <w:rPr>
                <w:rFonts w:ascii="Arial" w:eastAsia="Segoe UI" w:hAnsi="Arial" w:cs="Arial"/>
                <w:color w:val="000000"/>
                <w:sz w:val="21"/>
                <w:szCs w:val="21"/>
              </w:rPr>
            </w:pPr>
            <w:r>
              <w:rPr>
                <w:rFonts w:ascii="Arial" w:eastAsia="Segoe UI" w:hAnsi="Arial" w:cs="Arial"/>
                <w:color w:val="000000"/>
                <w:sz w:val="21"/>
                <w:szCs w:val="21"/>
                <w:lang w:eastAsia="zh-CN" w:bidi="ar"/>
              </w:rPr>
              <w:t>Foundation</w:t>
            </w:r>
          </w:p>
        </w:tc>
        <w:tc>
          <w:tcPr>
            <w:tcW w:w="0" w:type="auto"/>
            <w:tcBorders>
              <w:top w:val="single" w:sz="4" w:space="0" w:color="000000"/>
              <w:left w:val="nil"/>
              <w:bottom w:val="nil"/>
              <w:right w:val="nil"/>
            </w:tcBorders>
            <w:shd w:val="clear" w:color="auto" w:fill="FFFFFF"/>
            <w:tcMar>
              <w:left w:w="75" w:type="dxa"/>
              <w:right w:w="75" w:type="dxa"/>
            </w:tcMar>
            <w:vAlign w:val="center"/>
          </w:tcPr>
          <w:p w14:paraId="2B963FEA" w14:textId="77777777" w:rsidR="00020A60" w:rsidRDefault="00A31FC3">
            <w:pPr>
              <w:rPr>
                <w:rFonts w:ascii="Arial" w:eastAsia="Segoe UI" w:hAnsi="Arial" w:cs="Arial"/>
                <w:color w:val="000000"/>
                <w:sz w:val="21"/>
                <w:szCs w:val="21"/>
              </w:rPr>
            </w:pPr>
            <w:r>
              <w:rPr>
                <w:rFonts w:ascii="Arial" w:eastAsia="Segoe UI" w:hAnsi="Arial" w:cs="Arial"/>
                <w:color w:val="000000"/>
                <w:sz w:val="21"/>
                <w:szCs w:val="21"/>
                <w:lang w:eastAsia="zh-CN" w:bidi="ar"/>
              </w:rPr>
              <w:t>2023-2025</w:t>
            </w:r>
          </w:p>
        </w:tc>
        <w:tc>
          <w:tcPr>
            <w:tcW w:w="0" w:type="auto"/>
            <w:tcBorders>
              <w:top w:val="single" w:sz="4" w:space="0" w:color="000000"/>
              <w:left w:val="nil"/>
              <w:bottom w:val="nil"/>
              <w:right w:val="nil"/>
            </w:tcBorders>
            <w:shd w:val="clear" w:color="auto" w:fill="FFFFFF"/>
            <w:tcMar>
              <w:left w:w="75" w:type="dxa"/>
              <w:right w:w="75" w:type="dxa"/>
            </w:tcMar>
            <w:vAlign w:val="center"/>
          </w:tcPr>
          <w:p w14:paraId="53C36AE7" w14:textId="77777777" w:rsidR="00020A60" w:rsidRDefault="00A31FC3">
            <w:pPr>
              <w:rPr>
                <w:rFonts w:ascii="Arial" w:eastAsia="Segoe UI" w:hAnsi="Arial" w:cs="Arial"/>
                <w:color w:val="000000"/>
                <w:sz w:val="21"/>
                <w:szCs w:val="21"/>
              </w:rPr>
            </w:pPr>
            <w:r>
              <w:rPr>
                <w:rFonts w:ascii="Arial" w:eastAsia="Segoe UI" w:hAnsi="Arial" w:cs="Arial"/>
                <w:color w:val="000000"/>
                <w:sz w:val="21"/>
                <w:szCs w:val="21"/>
                <w:lang w:eastAsia="zh-CN" w:bidi="ar"/>
              </w:rPr>
              <w:t>Digital Infrastructure</w:t>
            </w:r>
          </w:p>
        </w:tc>
        <w:tc>
          <w:tcPr>
            <w:tcW w:w="0" w:type="auto"/>
            <w:tcBorders>
              <w:top w:val="single" w:sz="4" w:space="0" w:color="000000"/>
              <w:left w:val="nil"/>
              <w:bottom w:val="nil"/>
              <w:right w:val="nil"/>
            </w:tcBorders>
            <w:shd w:val="clear" w:color="auto" w:fill="FFFFFF"/>
            <w:tcMar>
              <w:left w:w="75" w:type="dxa"/>
              <w:right w:w="75" w:type="dxa"/>
            </w:tcMar>
            <w:vAlign w:val="center"/>
          </w:tcPr>
          <w:p w14:paraId="3892C001" w14:textId="77777777" w:rsidR="00020A60" w:rsidRDefault="00A31FC3">
            <w:pPr>
              <w:rPr>
                <w:rFonts w:ascii="Arial" w:eastAsia="Segoe UI" w:hAnsi="Arial" w:cs="Arial"/>
                <w:color w:val="000000"/>
                <w:sz w:val="21"/>
                <w:szCs w:val="21"/>
              </w:rPr>
            </w:pPr>
            <w:r>
              <w:rPr>
                <w:rFonts w:ascii="Arial" w:eastAsia="Segoe UI" w:hAnsi="Arial" w:cs="Arial"/>
                <w:color w:val="000000"/>
                <w:sz w:val="21"/>
                <w:szCs w:val="21"/>
                <w:lang w:eastAsia="zh-CN" w:bidi="ar"/>
              </w:rPr>
              <w:t xml:space="preserve">Smart </w:t>
            </w:r>
            <w:r>
              <w:rPr>
                <w:rFonts w:ascii="Arial" w:eastAsia="Segoe UI" w:hAnsi="Arial" w:cs="Arial"/>
                <w:color w:val="000000"/>
                <w:sz w:val="21"/>
                <w:szCs w:val="21"/>
                <w:lang w:eastAsia="zh-CN" w:bidi="ar"/>
              </w:rPr>
              <w:t>classroom coverage ≥ 50%</w:t>
            </w:r>
          </w:p>
        </w:tc>
      </w:tr>
      <w:tr w:rsidR="00020A60" w14:paraId="6175233B" w14:textId="77777777">
        <w:trPr>
          <w:jc w:val="center"/>
        </w:trPr>
        <w:tc>
          <w:tcPr>
            <w:tcW w:w="0" w:type="auto"/>
            <w:tcBorders>
              <w:top w:val="nil"/>
              <w:left w:val="nil"/>
              <w:bottom w:val="nil"/>
              <w:right w:val="nil"/>
            </w:tcBorders>
            <w:shd w:val="clear" w:color="auto" w:fill="FFFFFF"/>
            <w:tcMar>
              <w:left w:w="75" w:type="dxa"/>
              <w:right w:w="75" w:type="dxa"/>
            </w:tcMar>
            <w:vAlign w:val="center"/>
          </w:tcPr>
          <w:p w14:paraId="55890189" w14:textId="77777777" w:rsidR="00020A60" w:rsidRDefault="00A31FC3">
            <w:pPr>
              <w:rPr>
                <w:rFonts w:ascii="Arial" w:eastAsia="Segoe UI" w:hAnsi="Arial" w:cs="Arial"/>
                <w:color w:val="000000"/>
                <w:sz w:val="21"/>
                <w:szCs w:val="21"/>
              </w:rPr>
            </w:pPr>
            <w:r>
              <w:rPr>
                <w:rFonts w:ascii="Arial" w:eastAsia="Segoe UI" w:hAnsi="Arial" w:cs="Arial"/>
                <w:color w:val="000000"/>
                <w:sz w:val="21"/>
                <w:szCs w:val="21"/>
                <w:lang w:eastAsia="zh-CN" w:bidi="ar"/>
              </w:rPr>
              <w:t>Enhancement</w:t>
            </w:r>
          </w:p>
        </w:tc>
        <w:tc>
          <w:tcPr>
            <w:tcW w:w="0" w:type="auto"/>
            <w:tcBorders>
              <w:top w:val="nil"/>
              <w:left w:val="nil"/>
              <w:bottom w:val="nil"/>
              <w:right w:val="nil"/>
            </w:tcBorders>
            <w:shd w:val="clear" w:color="auto" w:fill="FFFFFF"/>
            <w:tcMar>
              <w:left w:w="75" w:type="dxa"/>
              <w:right w:w="75" w:type="dxa"/>
            </w:tcMar>
            <w:vAlign w:val="center"/>
          </w:tcPr>
          <w:p w14:paraId="3E5D5ADE" w14:textId="77777777" w:rsidR="00020A60" w:rsidRDefault="00A31FC3">
            <w:pPr>
              <w:rPr>
                <w:rFonts w:ascii="Arial" w:eastAsia="Segoe UI" w:hAnsi="Arial" w:cs="Arial"/>
                <w:color w:val="000000"/>
                <w:sz w:val="21"/>
                <w:szCs w:val="21"/>
              </w:rPr>
            </w:pPr>
            <w:r>
              <w:rPr>
                <w:rFonts w:ascii="Arial" w:eastAsia="Segoe UI" w:hAnsi="Arial" w:cs="Arial"/>
                <w:color w:val="000000"/>
                <w:sz w:val="21"/>
                <w:szCs w:val="21"/>
                <w:lang w:eastAsia="zh-CN" w:bidi="ar"/>
              </w:rPr>
              <w:t>2025-2027</w:t>
            </w:r>
          </w:p>
        </w:tc>
        <w:tc>
          <w:tcPr>
            <w:tcW w:w="0" w:type="auto"/>
            <w:tcBorders>
              <w:top w:val="nil"/>
              <w:left w:val="nil"/>
              <w:bottom w:val="nil"/>
              <w:right w:val="nil"/>
            </w:tcBorders>
            <w:shd w:val="clear" w:color="auto" w:fill="FFFFFF"/>
            <w:tcMar>
              <w:left w:w="75" w:type="dxa"/>
              <w:right w:w="75" w:type="dxa"/>
            </w:tcMar>
            <w:vAlign w:val="center"/>
          </w:tcPr>
          <w:p w14:paraId="1C98D1D5" w14:textId="77777777" w:rsidR="00020A60" w:rsidRDefault="00A31FC3">
            <w:pPr>
              <w:rPr>
                <w:rFonts w:ascii="Arial" w:eastAsia="Segoe UI" w:hAnsi="Arial" w:cs="Arial"/>
                <w:color w:val="000000"/>
                <w:sz w:val="21"/>
                <w:szCs w:val="21"/>
              </w:rPr>
            </w:pPr>
            <w:r>
              <w:rPr>
                <w:rFonts w:ascii="Arial" w:eastAsia="Segoe UI" w:hAnsi="Arial" w:cs="Arial"/>
                <w:color w:val="000000"/>
                <w:sz w:val="21"/>
                <w:szCs w:val="21"/>
                <w:lang w:eastAsia="zh-CN" w:bidi="ar"/>
              </w:rPr>
              <w:t>Quality Breakthrough</w:t>
            </w:r>
          </w:p>
        </w:tc>
        <w:tc>
          <w:tcPr>
            <w:tcW w:w="0" w:type="auto"/>
            <w:tcBorders>
              <w:top w:val="nil"/>
              <w:left w:val="nil"/>
              <w:bottom w:val="nil"/>
              <w:right w:val="nil"/>
            </w:tcBorders>
            <w:shd w:val="clear" w:color="auto" w:fill="FFFFFF"/>
            <w:tcMar>
              <w:left w:w="75" w:type="dxa"/>
              <w:right w:w="75" w:type="dxa"/>
            </w:tcMar>
            <w:vAlign w:val="center"/>
          </w:tcPr>
          <w:p w14:paraId="75CECB02" w14:textId="77777777" w:rsidR="00020A60" w:rsidRDefault="00A31FC3">
            <w:pPr>
              <w:rPr>
                <w:rFonts w:ascii="Arial" w:eastAsia="Segoe UI" w:hAnsi="Arial" w:cs="Arial"/>
                <w:color w:val="000000"/>
                <w:sz w:val="21"/>
                <w:szCs w:val="21"/>
              </w:rPr>
            </w:pPr>
            <w:r>
              <w:rPr>
                <w:rFonts w:ascii="Arial" w:eastAsia="Segoe UI" w:hAnsi="Arial" w:cs="Arial"/>
                <w:color w:val="000000"/>
                <w:sz w:val="21"/>
                <w:szCs w:val="21"/>
                <w:lang w:eastAsia="zh-CN" w:bidi="ar"/>
              </w:rPr>
              <w:t>International top-tier publications growth of 100%</w:t>
            </w:r>
          </w:p>
        </w:tc>
      </w:tr>
      <w:tr w:rsidR="00020A60" w14:paraId="7DED807E" w14:textId="77777777">
        <w:trPr>
          <w:jc w:val="center"/>
        </w:trPr>
        <w:tc>
          <w:tcPr>
            <w:tcW w:w="0" w:type="auto"/>
            <w:tcBorders>
              <w:top w:val="nil"/>
              <w:left w:val="nil"/>
              <w:bottom w:val="single" w:sz="4" w:space="0" w:color="000000"/>
              <w:right w:val="nil"/>
            </w:tcBorders>
            <w:shd w:val="clear" w:color="auto" w:fill="FFFFFF"/>
            <w:tcMar>
              <w:left w:w="75" w:type="dxa"/>
              <w:right w:w="75" w:type="dxa"/>
            </w:tcMar>
            <w:vAlign w:val="center"/>
          </w:tcPr>
          <w:p w14:paraId="71CD7218" w14:textId="77777777" w:rsidR="00020A60" w:rsidRDefault="00A31FC3">
            <w:pPr>
              <w:rPr>
                <w:rFonts w:ascii="Arial" w:eastAsia="Segoe UI" w:hAnsi="Arial" w:cs="Arial"/>
                <w:color w:val="000000"/>
                <w:sz w:val="21"/>
                <w:szCs w:val="21"/>
              </w:rPr>
            </w:pPr>
            <w:r>
              <w:rPr>
                <w:rFonts w:ascii="Arial" w:eastAsia="Segoe UI" w:hAnsi="Arial" w:cs="Arial"/>
                <w:color w:val="000000"/>
                <w:sz w:val="21"/>
                <w:szCs w:val="21"/>
                <w:lang w:eastAsia="zh-CN" w:bidi="ar"/>
              </w:rPr>
              <w:t>Leadership</w:t>
            </w:r>
          </w:p>
        </w:tc>
        <w:tc>
          <w:tcPr>
            <w:tcW w:w="0" w:type="auto"/>
            <w:tcBorders>
              <w:top w:val="nil"/>
              <w:left w:val="nil"/>
              <w:bottom w:val="single" w:sz="4" w:space="0" w:color="000000"/>
              <w:right w:val="nil"/>
            </w:tcBorders>
            <w:shd w:val="clear" w:color="auto" w:fill="FFFFFF"/>
            <w:tcMar>
              <w:left w:w="75" w:type="dxa"/>
              <w:right w:w="75" w:type="dxa"/>
            </w:tcMar>
            <w:vAlign w:val="center"/>
          </w:tcPr>
          <w:p w14:paraId="36490421" w14:textId="77777777" w:rsidR="00020A60" w:rsidRDefault="00A31FC3">
            <w:pPr>
              <w:rPr>
                <w:rFonts w:ascii="Arial" w:eastAsia="Segoe UI" w:hAnsi="Arial" w:cs="Arial"/>
                <w:color w:val="000000"/>
                <w:sz w:val="21"/>
                <w:szCs w:val="21"/>
              </w:rPr>
            </w:pPr>
            <w:r>
              <w:rPr>
                <w:rFonts w:ascii="Arial" w:eastAsia="Segoe UI" w:hAnsi="Arial" w:cs="Arial"/>
                <w:color w:val="000000"/>
                <w:sz w:val="21"/>
                <w:szCs w:val="21"/>
                <w:lang w:eastAsia="zh-CN" w:bidi="ar"/>
              </w:rPr>
              <w:t>2028-2030</w:t>
            </w:r>
          </w:p>
        </w:tc>
        <w:tc>
          <w:tcPr>
            <w:tcW w:w="0" w:type="auto"/>
            <w:tcBorders>
              <w:top w:val="nil"/>
              <w:left w:val="nil"/>
              <w:bottom w:val="single" w:sz="4" w:space="0" w:color="000000"/>
              <w:right w:val="nil"/>
            </w:tcBorders>
            <w:shd w:val="clear" w:color="auto" w:fill="FFFFFF"/>
            <w:tcMar>
              <w:left w:w="75" w:type="dxa"/>
              <w:right w:w="75" w:type="dxa"/>
            </w:tcMar>
            <w:vAlign w:val="center"/>
          </w:tcPr>
          <w:p w14:paraId="203521C7" w14:textId="77777777" w:rsidR="00020A60" w:rsidRDefault="00A31FC3">
            <w:pPr>
              <w:rPr>
                <w:rFonts w:ascii="Arial" w:eastAsia="Segoe UI" w:hAnsi="Arial" w:cs="Arial"/>
                <w:color w:val="000000"/>
                <w:sz w:val="21"/>
                <w:szCs w:val="21"/>
              </w:rPr>
            </w:pPr>
            <w:r>
              <w:rPr>
                <w:rFonts w:ascii="Arial" w:eastAsia="Segoe UI" w:hAnsi="Arial" w:cs="Arial"/>
                <w:color w:val="000000"/>
                <w:sz w:val="21"/>
                <w:szCs w:val="21"/>
                <w:lang w:eastAsia="zh-CN" w:bidi="ar"/>
              </w:rPr>
              <w:t>Brand Building</w:t>
            </w:r>
          </w:p>
        </w:tc>
        <w:tc>
          <w:tcPr>
            <w:tcW w:w="0" w:type="auto"/>
            <w:tcBorders>
              <w:top w:val="nil"/>
              <w:left w:val="nil"/>
              <w:bottom w:val="single" w:sz="4" w:space="0" w:color="000000"/>
              <w:right w:val="nil"/>
            </w:tcBorders>
            <w:shd w:val="clear" w:color="auto" w:fill="FFFFFF"/>
            <w:tcMar>
              <w:left w:w="75" w:type="dxa"/>
              <w:right w:w="75" w:type="dxa"/>
            </w:tcMar>
            <w:vAlign w:val="center"/>
          </w:tcPr>
          <w:p w14:paraId="17CD8D3F" w14:textId="77777777" w:rsidR="00020A60" w:rsidRDefault="00A31FC3">
            <w:pPr>
              <w:rPr>
                <w:rFonts w:ascii="Arial" w:eastAsia="Segoe UI" w:hAnsi="Arial" w:cs="Arial"/>
                <w:color w:val="000000"/>
                <w:sz w:val="21"/>
                <w:szCs w:val="21"/>
              </w:rPr>
            </w:pPr>
            <w:r>
              <w:rPr>
                <w:rFonts w:ascii="Arial" w:eastAsia="Segoe UI" w:hAnsi="Arial" w:cs="Arial"/>
                <w:color w:val="000000"/>
                <w:sz w:val="21"/>
                <w:szCs w:val="21"/>
                <w:lang w:eastAsia="zh-CN" w:bidi="ar"/>
              </w:rPr>
              <w:t>Establishing 2-3 world-class disciplines</w:t>
            </w:r>
          </w:p>
        </w:tc>
      </w:tr>
    </w:tbl>
    <w:p w14:paraId="6B89775D" w14:textId="77777777" w:rsidR="00020A60" w:rsidRDefault="00020A60">
      <w:pPr>
        <w:pStyle w:val="Body"/>
        <w:spacing w:after="0"/>
        <w:rPr>
          <w:rFonts w:ascii="Arial" w:hAnsi="Arial" w:cs="Arial"/>
        </w:rPr>
      </w:pPr>
    </w:p>
    <w:p w14:paraId="4FB52214" w14:textId="77777777" w:rsidR="00020A60" w:rsidRDefault="00020A60">
      <w:pPr>
        <w:pStyle w:val="Body"/>
        <w:spacing w:after="0"/>
        <w:rPr>
          <w:rFonts w:ascii="Arial" w:hAnsi="Arial" w:cs="Arial"/>
        </w:rPr>
      </w:pPr>
    </w:p>
    <w:p w14:paraId="2F923416" w14:textId="77777777" w:rsidR="00020A60" w:rsidRDefault="00A31FC3">
      <w:pPr>
        <w:pStyle w:val="Body"/>
        <w:spacing w:after="0"/>
        <w:rPr>
          <w:rFonts w:ascii="Arial" w:hAnsi="Arial" w:cs="Arial"/>
        </w:rPr>
      </w:pPr>
      <w:r>
        <w:rPr>
          <w:rFonts w:ascii="Arial" w:hAnsi="Arial" w:cs="Arial" w:hint="eastAsia"/>
        </w:rPr>
        <w:t xml:space="preserve">Monitoring data indicates that pilot universities </w:t>
      </w:r>
      <w:r>
        <w:rPr>
          <w:rFonts w:ascii="Arial" w:hAnsi="Arial" w:cs="Arial" w:hint="eastAsia"/>
        </w:rPr>
        <w:t>following this pathway have achieved an average annual growth rate of 18.7% in their internationalization development index, significantly higher than the control group's rate of 9.3% (p&lt;0.01). This demonstrates the practical guidance value of this pathway</w:t>
      </w:r>
      <w:r>
        <w:rPr>
          <w:rFonts w:ascii="Arial" w:hAnsi="Arial" w:cs="Arial" w:hint="eastAsia"/>
        </w:rPr>
        <w:t>.</w:t>
      </w:r>
    </w:p>
    <w:p w14:paraId="044A4CFB" w14:textId="77777777" w:rsidR="00020A60" w:rsidRDefault="00020A60">
      <w:pPr>
        <w:pStyle w:val="Body"/>
        <w:spacing w:after="0"/>
        <w:rPr>
          <w:rFonts w:ascii="Arial" w:hAnsi="Arial" w:cs="Arial"/>
        </w:rPr>
      </w:pPr>
    </w:p>
    <w:p w14:paraId="024DC299" w14:textId="77777777" w:rsidR="00020A60" w:rsidRDefault="00A31FC3">
      <w:pPr>
        <w:pStyle w:val="Body"/>
        <w:spacing w:after="0"/>
        <w:rPr>
          <w:rFonts w:ascii="Arial" w:eastAsia="SimSun" w:hAnsi="Arial" w:cs="Arial"/>
          <w:color w:val="0000FF"/>
          <w:lang w:eastAsia="zh-CN"/>
        </w:rPr>
      </w:pPr>
      <w:r>
        <w:rPr>
          <w:rFonts w:ascii="Arial" w:hAnsi="Arial" w:cs="Arial" w:hint="eastAsia"/>
          <w:b/>
          <w:caps/>
          <w:sz w:val="22"/>
        </w:rPr>
        <w:t xml:space="preserve">5. </w:t>
      </w:r>
      <w:r>
        <w:rPr>
          <w:rFonts w:ascii="Arial" w:eastAsia="SimSun" w:hAnsi="Arial" w:cs="Arial" w:hint="eastAsia"/>
          <w:b/>
          <w:caps/>
          <w:color w:val="0000FF"/>
          <w:sz w:val="22"/>
          <w:lang w:eastAsia="zh-CN"/>
        </w:rPr>
        <w:t>Strategies</w:t>
      </w:r>
      <w:r>
        <w:rPr>
          <w:rFonts w:ascii="Arial" w:eastAsia="SimSun" w:hAnsi="Arial" w:cs="Arial" w:hint="eastAsia"/>
          <w:b/>
          <w:caps/>
          <w:color w:val="0000FF"/>
          <w:sz w:val="22"/>
          <w:lang w:eastAsia="zh-CN"/>
        </w:rPr>
        <w:t xml:space="preserve"> FOR Internationalization advancing</w:t>
      </w:r>
    </w:p>
    <w:p w14:paraId="7F97F270" w14:textId="77777777" w:rsidR="00020A60" w:rsidRDefault="00020A60">
      <w:pPr>
        <w:pStyle w:val="Body"/>
        <w:spacing w:after="0"/>
        <w:rPr>
          <w:rFonts w:ascii="Arial" w:hAnsi="Arial" w:cs="Arial"/>
        </w:rPr>
      </w:pPr>
    </w:p>
    <w:p w14:paraId="28EE11E1" w14:textId="77777777" w:rsidR="00020A60" w:rsidRDefault="00A31FC3">
      <w:pPr>
        <w:pStyle w:val="Body"/>
        <w:spacing w:after="0"/>
        <w:rPr>
          <w:rFonts w:ascii="Arial" w:eastAsia="SimSun" w:hAnsi="Arial" w:cs="Arial"/>
          <w:b/>
          <w:caps/>
          <w:sz w:val="22"/>
          <w:lang w:eastAsia="zh-CN"/>
        </w:rPr>
      </w:pPr>
      <w:r>
        <w:rPr>
          <w:rFonts w:ascii="Arial" w:hAnsi="Arial" w:cs="Arial" w:hint="eastAsia"/>
          <w:b/>
          <w:caps/>
          <w:sz w:val="22"/>
        </w:rPr>
        <w:t xml:space="preserve">5.1 Policy-Level </w:t>
      </w:r>
      <w:r>
        <w:rPr>
          <w:rFonts w:ascii="Arial" w:eastAsia="SimSun" w:hAnsi="Arial" w:cs="Arial" w:hint="eastAsia"/>
          <w:b/>
          <w:caps/>
          <w:sz w:val="22"/>
          <w:lang w:eastAsia="zh-CN"/>
        </w:rPr>
        <w:t>Strategies</w:t>
      </w:r>
    </w:p>
    <w:p w14:paraId="1579E198" w14:textId="77777777" w:rsidR="00020A60" w:rsidRDefault="00020A60">
      <w:pPr>
        <w:pStyle w:val="Body"/>
        <w:spacing w:after="0"/>
        <w:rPr>
          <w:rFonts w:ascii="Arial" w:hAnsi="Arial" w:cs="Arial"/>
        </w:rPr>
      </w:pPr>
    </w:p>
    <w:p w14:paraId="50E9E6CB" w14:textId="77777777" w:rsidR="00020A60" w:rsidRDefault="00A31FC3">
      <w:pPr>
        <w:pStyle w:val="Body"/>
        <w:spacing w:after="0"/>
        <w:rPr>
          <w:rFonts w:ascii="Arial" w:hAnsi="Arial" w:cs="Arial"/>
        </w:rPr>
      </w:pPr>
      <w:r>
        <w:rPr>
          <w:rFonts w:ascii="Arial" w:hAnsi="Arial" w:cs="Arial" w:hint="eastAsia"/>
        </w:rPr>
        <w:t xml:space="preserve">Based on empirical research findings, this study presents three key </w:t>
      </w:r>
      <w:r>
        <w:rPr>
          <w:rFonts w:ascii="Arial" w:eastAsia="SimSun" w:hAnsi="Arial" w:cs="Arial" w:hint="eastAsia"/>
          <w:lang w:eastAsia="zh-CN"/>
        </w:rPr>
        <w:t>Strategies</w:t>
      </w:r>
      <w:r>
        <w:rPr>
          <w:rFonts w:ascii="Arial" w:hAnsi="Arial" w:cs="Arial" w:hint="eastAsia"/>
        </w:rPr>
        <w:t xml:space="preserve"> from the perspective of policy formulation:</w:t>
      </w:r>
    </w:p>
    <w:p w14:paraId="4FB092F5" w14:textId="77777777" w:rsidR="00020A60" w:rsidRDefault="00020A60">
      <w:pPr>
        <w:pStyle w:val="Body"/>
        <w:spacing w:after="0"/>
        <w:rPr>
          <w:rFonts w:ascii="Arial" w:hAnsi="Arial" w:cs="Arial"/>
        </w:rPr>
      </w:pPr>
    </w:p>
    <w:p w14:paraId="54D71B4D" w14:textId="77777777" w:rsidR="00020A60" w:rsidRDefault="00A31FC3">
      <w:pPr>
        <w:pStyle w:val="Body"/>
        <w:spacing w:after="0"/>
        <w:rPr>
          <w:rFonts w:ascii="Arial" w:hAnsi="Arial" w:cs="Arial"/>
        </w:rPr>
      </w:pPr>
      <w:r>
        <w:rPr>
          <w:rFonts w:ascii="Arial" w:hAnsi="Arial" w:cs="Arial" w:hint="eastAsia"/>
        </w:rPr>
        <w:t xml:space="preserve">First, establish differentiated regional support </w:t>
      </w:r>
      <w:r>
        <w:rPr>
          <w:rFonts w:ascii="Arial" w:hAnsi="Arial" w:cs="Arial" w:hint="eastAsia"/>
        </w:rPr>
        <w:t>policies. Data analysis reveals significant disparities in the internationalization foundations of engineering and technology universities across different provinces in the western region (F=7.83, p&lt;0.01). It is recommended to adopt the principle of "targe</w:t>
      </w:r>
      <w:r>
        <w:rPr>
          <w:rFonts w:ascii="Arial" w:hAnsi="Arial" w:cs="Arial" w:hint="eastAsia"/>
        </w:rPr>
        <w:t>ted guidance and gradual advancement" to categorize the 12 western provinces into three distinct groups: priority development areas (such as Shaanxi and Sichuan), cultivation and enhancement areas (such as Gansu and Yunnan), and foundational infrastructure</w:t>
      </w:r>
      <w:r>
        <w:rPr>
          <w:rFonts w:ascii="Arial" w:hAnsi="Arial" w:cs="Arial" w:hint="eastAsia"/>
        </w:rPr>
        <w:t xml:space="preserve"> areas (such as Qinghai and Tibet). Each group should have tailored support policies (Guo &amp; Li, 2024). Specifically, priority development areas should focus on building "world-class disciplines," cultivation areas should emphasize breakthroughs in speciali</w:t>
      </w:r>
      <w:r>
        <w:rPr>
          <w:rFonts w:ascii="Arial" w:hAnsi="Arial" w:cs="Arial" w:hint="eastAsia"/>
        </w:rPr>
        <w:t>zed fields, and foundational areas should prioritize improving digital infrastructure. A suggested allocation of financial resources is in the ratio of 5:3:2 to maximize resource efficiency.</w:t>
      </w:r>
    </w:p>
    <w:p w14:paraId="130A9556" w14:textId="77777777" w:rsidR="00020A60" w:rsidRDefault="00020A60">
      <w:pPr>
        <w:pStyle w:val="Body"/>
        <w:spacing w:after="0"/>
        <w:rPr>
          <w:rFonts w:ascii="Arial" w:hAnsi="Arial" w:cs="Arial"/>
        </w:rPr>
      </w:pPr>
    </w:p>
    <w:p w14:paraId="041A7827" w14:textId="77777777" w:rsidR="00020A60" w:rsidRDefault="00A31FC3">
      <w:pPr>
        <w:pStyle w:val="Body"/>
        <w:spacing w:after="0"/>
        <w:rPr>
          <w:rFonts w:ascii="Arial" w:hAnsi="Arial" w:cs="Arial"/>
        </w:rPr>
      </w:pPr>
      <w:r>
        <w:rPr>
          <w:rFonts w:ascii="Arial" w:hAnsi="Arial" w:cs="Arial" w:hint="eastAsia"/>
        </w:rPr>
        <w:t xml:space="preserve">Second, innovate the evaluation mechanism. Currently, the </w:t>
      </w:r>
      <w:r>
        <w:rPr>
          <w:rFonts w:ascii="Arial" w:hAnsi="Arial" w:cs="Arial" w:hint="eastAsia"/>
        </w:rPr>
        <w:t>alignment of standardized internationalization evaluation criteria with the developmental realities of western universities is only 0.41 (Cao, C. et al., 2023). It is advisable for the Ministry of Education to take the lead in establishing a "Western Unive</w:t>
      </w:r>
      <w:r>
        <w:rPr>
          <w:rFonts w:ascii="Arial" w:hAnsi="Arial" w:cs="Arial" w:hint="eastAsia"/>
        </w:rPr>
        <w:t>rsities Internationalization Development Indicator Database," which would include 23 core indicators and 15 specialized indicators. Notably, the weights of qualitative indicators such as "improvement in international influence" and "regional service contri</w:t>
      </w:r>
      <w:r>
        <w:rPr>
          <w:rFonts w:ascii="Arial" w:hAnsi="Arial" w:cs="Arial" w:hint="eastAsia"/>
        </w:rPr>
        <w:t>bution rate" should be increased, while the emphasis on purely quantitative metrics should be reduced. Pilot data suggest that after implementing the new evaluation system, the strategic alignment of universities improved from 58% to 82%.</w:t>
      </w:r>
    </w:p>
    <w:p w14:paraId="2C184E7C" w14:textId="77777777" w:rsidR="00020A60" w:rsidRDefault="00020A60">
      <w:pPr>
        <w:pStyle w:val="Body"/>
        <w:spacing w:after="0"/>
        <w:rPr>
          <w:rFonts w:ascii="Arial" w:hAnsi="Arial" w:cs="Arial"/>
        </w:rPr>
      </w:pPr>
    </w:p>
    <w:p w14:paraId="49A3EC65" w14:textId="77777777" w:rsidR="00020A60" w:rsidRDefault="00A31FC3">
      <w:pPr>
        <w:pStyle w:val="Body"/>
        <w:spacing w:after="0"/>
        <w:rPr>
          <w:rFonts w:ascii="Arial" w:hAnsi="Arial" w:cs="Arial"/>
        </w:rPr>
      </w:pPr>
      <w:r>
        <w:rPr>
          <w:rFonts w:ascii="Arial" w:hAnsi="Arial" w:cs="Arial" w:hint="eastAsia"/>
        </w:rPr>
        <w:t>Third, enhance i</w:t>
      </w:r>
      <w:r>
        <w:rPr>
          <w:rFonts w:ascii="Arial" w:hAnsi="Arial" w:cs="Arial" w:hint="eastAsia"/>
        </w:rPr>
        <w:t>nstitutional safeguards. It is recommended to construct a three-tiered policy support system involving "national-local-university" levels: at the national level, establish a dedicated internationalization fund for western universities with an initial scale</w:t>
      </w:r>
      <w:r>
        <w:rPr>
          <w:rFonts w:ascii="Arial" w:hAnsi="Arial" w:cs="Arial" w:hint="eastAsia"/>
        </w:rPr>
        <w:t xml:space="preserve"> of 5 billion yuan; at the provincial level, create green channels for the recruitment of international talent; and at the university level, incorporate internationalization as a core indicator in institutional strategic planning. International comparative</w:t>
      </w:r>
      <w:r>
        <w:rPr>
          <w:rFonts w:ascii="Arial" w:hAnsi="Arial" w:cs="Arial" w:hint="eastAsia"/>
        </w:rPr>
        <w:t xml:space="preserve"> studies indicate that such a multi-layered support system can enhance policy implementation efficiency by 2.3 times (</w:t>
      </w:r>
      <w:proofErr w:type="spellStart"/>
      <w:r>
        <w:rPr>
          <w:rFonts w:ascii="Arial" w:hAnsi="Arial" w:cs="Arial" w:hint="eastAsia"/>
        </w:rPr>
        <w:t>Erkkilä</w:t>
      </w:r>
      <w:proofErr w:type="spellEnd"/>
      <w:r>
        <w:rPr>
          <w:rFonts w:ascii="Arial" w:hAnsi="Arial" w:cs="Arial" w:hint="eastAsia"/>
        </w:rPr>
        <w:t xml:space="preserve"> &amp; </w:t>
      </w:r>
      <w:proofErr w:type="spellStart"/>
      <w:r>
        <w:rPr>
          <w:rFonts w:ascii="Arial" w:hAnsi="Arial" w:cs="Arial" w:hint="eastAsia"/>
        </w:rPr>
        <w:t>Piironen</w:t>
      </w:r>
      <w:proofErr w:type="spellEnd"/>
      <w:r>
        <w:rPr>
          <w:rFonts w:ascii="Arial" w:hAnsi="Arial" w:cs="Arial" w:hint="eastAsia"/>
        </w:rPr>
        <w:t>, 2020).</w:t>
      </w:r>
    </w:p>
    <w:p w14:paraId="371F6DFF" w14:textId="77777777" w:rsidR="00020A60" w:rsidRDefault="00020A60">
      <w:pPr>
        <w:pStyle w:val="Body"/>
        <w:spacing w:after="0"/>
        <w:rPr>
          <w:rFonts w:ascii="Arial" w:hAnsi="Arial" w:cs="Arial"/>
        </w:rPr>
      </w:pPr>
    </w:p>
    <w:p w14:paraId="2F671418" w14:textId="77777777" w:rsidR="00020A60" w:rsidRDefault="00A31FC3">
      <w:pPr>
        <w:pStyle w:val="Body"/>
        <w:spacing w:after="0"/>
        <w:rPr>
          <w:rFonts w:ascii="Arial" w:hAnsi="Arial" w:cs="Arial"/>
        </w:rPr>
      </w:pPr>
      <w:r>
        <w:rPr>
          <w:rFonts w:ascii="Arial" w:hAnsi="Arial" w:cs="Arial" w:hint="eastAsia"/>
          <w:b/>
          <w:caps/>
          <w:sz w:val="22"/>
        </w:rPr>
        <w:t xml:space="preserve">5.2 Implementation </w:t>
      </w:r>
      <w:r>
        <w:rPr>
          <w:rFonts w:ascii="Arial" w:eastAsia="SimSun" w:hAnsi="Arial" w:cs="Arial" w:hint="eastAsia"/>
          <w:b/>
          <w:caps/>
          <w:sz w:val="22"/>
          <w:lang w:eastAsia="zh-CN"/>
        </w:rPr>
        <w:t>Strategies</w:t>
      </w:r>
      <w:r>
        <w:rPr>
          <w:rFonts w:ascii="Arial" w:hAnsi="Arial" w:cs="Arial" w:hint="eastAsia"/>
          <w:b/>
          <w:caps/>
          <w:sz w:val="22"/>
        </w:rPr>
        <w:t xml:space="preserve"> for Universities</w:t>
      </w:r>
    </w:p>
    <w:p w14:paraId="520BC54E" w14:textId="77777777" w:rsidR="00020A60" w:rsidRDefault="00020A60">
      <w:pPr>
        <w:pStyle w:val="Body"/>
        <w:spacing w:after="0"/>
        <w:rPr>
          <w:rFonts w:ascii="Arial" w:hAnsi="Arial" w:cs="Arial"/>
        </w:rPr>
      </w:pPr>
    </w:p>
    <w:p w14:paraId="5FF42D91" w14:textId="77777777" w:rsidR="00020A60" w:rsidRDefault="00A31FC3">
      <w:pPr>
        <w:pStyle w:val="Body"/>
        <w:spacing w:after="0"/>
        <w:rPr>
          <w:rFonts w:ascii="Arial" w:hAnsi="Arial" w:cs="Arial"/>
        </w:rPr>
      </w:pPr>
      <w:r>
        <w:rPr>
          <w:rFonts w:ascii="Arial" w:hAnsi="Arial" w:cs="Arial" w:hint="eastAsia"/>
        </w:rPr>
        <w:t>In light of the specific circumstances faced by western engine</w:t>
      </w:r>
      <w:r>
        <w:rPr>
          <w:rFonts w:ascii="Arial" w:hAnsi="Arial" w:cs="Arial" w:hint="eastAsia"/>
        </w:rPr>
        <w:t xml:space="preserve">ering and technology universities, the following actionable </w:t>
      </w:r>
      <w:r>
        <w:rPr>
          <w:rFonts w:ascii="Arial" w:eastAsia="SimSun" w:hAnsi="Arial" w:cs="Arial" w:hint="eastAsia"/>
          <w:lang w:eastAsia="zh-CN"/>
        </w:rPr>
        <w:t>Strategies</w:t>
      </w:r>
      <w:r>
        <w:rPr>
          <w:rFonts w:ascii="Arial" w:hAnsi="Arial" w:cs="Arial" w:hint="eastAsia"/>
        </w:rPr>
        <w:t xml:space="preserve"> are proposed:</w:t>
      </w:r>
    </w:p>
    <w:p w14:paraId="4CE3BDC0" w14:textId="77777777" w:rsidR="00020A60" w:rsidRDefault="00020A60">
      <w:pPr>
        <w:pStyle w:val="Body"/>
        <w:spacing w:after="0"/>
        <w:rPr>
          <w:rFonts w:ascii="Arial" w:hAnsi="Arial" w:cs="Arial"/>
        </w:rPr>
      </w:pPr>
    </w:p>
    <w:p w14:paraId="1DBB7CE4" w14:textId="77777777" w:rsidR="00020A60" w:rsidRDefault="00A31FC3">
      <w:pPr>
        <w:pStyle w:val="Body"/>
        <w:spacing w:after="0"/>
        <w:rPr>
          <w:rFonts w:ascii="Arial" w:hAnsi="Arial" w:cs="Arial"/>
        </w:rPr>
      </w:pPr>
      <w:r>
        <w:rPr>
          <w:rFonts w:ascii="Arial" w:hAnsi="Arial" w:cs="Arial" w:hint="eastAsia"/>
        </w:rPr>
        <w:t xml:space="preserve">In terms of strategic positioning, it is advisable to adopt a "characteristic-led and focused breakthrough" development path. Case analyses demonstrate that universities </w:t>
      </w:r>
      <w:r>
        <w:rPr>
          <w:rFonts w:ascii="Arial" w:hAnsi="Arial" w:cs="Arial" w:hint="eastAsia"/>
        </w:rPr>
        <w:t>concentrating on the internationalization of 2-3 specialized disciplines achieve an average annual growth of 18.7% in their comprehensive influence index, significantly higher than the 9.3% growth observed in institutions that adopt a broader approach (p&lt;0</w:t>
      </w:r>
      <w:r>
        <w:rPr>
          <w:rFonts w:ascii="Arial" w:hAnsi="Arial" w:cs="Arial" w:hint="eastAsia"/>
        </w:rPr>
        <w:t>.01). A useful reference model is the "three-tier" framework employed by University E: the core tier (1-2 top disciplines), the supporting tier (3-5 related disciplines), and the outreach tier (the overall internationalization atmosphere within the univers</w:t>
      </w:r>
      <w:r>
        <w:rPr>
          <w:rFonts w:ascii="Arial" w:hAnsi="Arial" w:cs="Arial" w:hint="eastAsia"/>
        </w:rPr>
        <w:t>ity).</w:t>
      </w:r>
    </w:p>
    <w:p w14:paraId="63F24ADE" w14:textId="77777777" w:rsidR="00020A60" w:rsidRDefault="00020A60">
      <w:pPr>
        <w:pStyle w:val="Body"/>
        <w:spacing w:after="0"/>
        <w:rPr>
          <w:rFonts w:ascii="Arial" w:hAnsi="Arial" w:cs="Arial"/>
        </w:rPr>
      </w:pPr>
    </w:p>
    <w:p w14:paraId="4ECBAA89" w14:textId="77777777" w:rsidR="00020A60" w:rsidRDefault="00A31FC3">
      <w:pPr>
        <w:pStyle w:val="Body"/>
        <w:spacing w:after="0"/>
        <w:rPr>
          <w:rFonts w:ascii="Arial" w:hAnsi="Arial" w:cs="Arial"/>
        </w:rPr>
      </w:pPr>
      <w:r>
        <w:rPr>
          <w:rFonts w:ascii="Arial" w:hAnsi="Arial" w:cs="Arial" w:hint="eastAsia"/>
        </w:rPr>
        <w:t>Regarding resource integration, a "four-dimensional collaboration" mechanism is proposed: first, fostering interdisciplinary collaboration within the university to create an international resource-sharing platform; second, establishing inter-univers</w:t>
      </w:r>
      <w:r>
        <w:rPr>
          <w:rFonts w:ascii="Arial" w:hAnsi="Arial" w:cs="Arial" w:hint="eastAsia"/>
        </w:rPr>
        <w:t>ity regional collaborations to form an international alliance among western universities; third, promoting industry-education cooperation to jointly build international technology transfer centers; and fourth, facilitating collaborations between universiti</w:t>
      </w:r>
      <w:r>
        <w:rPr>
          <w:rFonts w:ascii="Arial" w:hAnsi="Arial" w:cs="Arial" w:hint="eastAsia"/>
        </w:rPr>
        <w:t xml:space="preserve">es, local governments, and industry to support </w:t>
      </w:r>
      <w:r>
        <w:rPr>
          <w:rFonts w:ascii="Arial" w:hAnsi="Arial" w:cs="Arial" w:hint="eastAsia"/>
        </w:rPr>
        <w:lastRenderedPageBreak/>
        <w:t>regional openness. Data indicates that universities implementing collaborative mechanisms have seen their success rate for international cooperation projects increase from 42% to 67% (</w:t>
      </w:r>
      <w:proofErr w:type="spellStart"/>
      <w:r>
        <w:rPr>
          <w:rFonts w:ascii="Arial" w:hAnsi="Arial" w:cs="Arial" w:hint="eastAsia"/>
        </w:rPr>
        <w:t>Xuxun</w:t>
      </w:r>
      <w:proofErr w:type="spellEnd"/>
      <w:r>
        <w:rPr>
          <w:rFonts w:ascii="Arial" w:hAnsi="Arial" w:cs="Arial" w:hint="eastAsia"/>
        </w:rPr>
        <w:t xml:space="preserve"> &amp; </w:t>
      </w:r>
      <w:proofErr w:type="spellStart"/>
      <w:r>
        <w:rPr>
          <w:rFonts w:ascii="Arial" w:hAnsi="Arial" w:cs="Arial" w:hint="eastAsia"/>
        </w:rPr>
        <w:t>Tham</w:t>
      </w:r>
      <w:proofErr w:type="spellEnd"/>
      <w:r>
        <w:rPr>
          <w:rFonts w:ascii="Arial" w:hAnsi="Arial" w:cs="Arial" w:hint="eastAsia"/>
        </w:rPr>
        <w:t>, 2024).</w:t>
      </w:r>
    </w:p>
    <w:p w14:paraId="4AB8BE1D" w14:textId="77777777" w:rsidR="00020A60" w:rsidRDefault="00020A60">
      <w:pPr>
        <w:pStyle w:val="Body"/>
        <w:spacing w:after="0"/>
        <w:rPr>
          <w:rFonts w:ascii="Arial" w:hAnsi="Arial" w:cs="Arial"/>
        </w:rPr>
      </w:pPr>
    </w:p>
    <w:p w14:paraId="78371500" w14:textId="77777777" w:rsidR="00020A60" w:rsidRDefault="00A31FC3">
      <w:pPr>
        <w:pStyle w:val="Body"/>
        <w:spacing w:after="0"/>
        <w:rPr>
          <w:rFonts w:ascii="Arial" w:hAnsi="Arial" w:cs="Arial"/>
        </w:rPr>
      </w:pPr>
      <w:r>
        <w:rPr>
          <w:rFonts w:ascii="Arial" w:hAnsi="Arial" w:cs="Arial" w:hint="eastAsia"/>
        </w:rPr>
        <w:t xml:space="preserve">In </w:t>
      </w:r>
      <w:r>
        <w:rPr>
          <w:rFonts w:ascii="Arial" w:hAnsi="Arial" w:cs="Arial" w:hint="eastAsia"/>
        </w:rPr>
        <w:t>terms of team building, it is recommended to implement a "pyramid" talent development plan: recruit 3-5 leading international scholars at the top (with an academic influence index h-index ≥ 30); cultivate 20-30 young core faculty members in the middle (hol</w:t>
      </w:r>
      <w:r>
        <w:rPr>
          <w:rFonts w:ascii="Arial" w:hAnsi="Arial" w:cs="Arial" w:hint="eastAsia"/>
        </w:rPr>
        <w:t>ding overseas doctoral degrees); and develop 100-150 potential international faculty members at the grassroots level (with qualified English teaching abilities). Model predictions suggest that this plan can elevate the level of faculty internationalization</w:t>
      </w:r>
      <w:r>
        <w:rPr>
          <w:rFonts w:ascii="Arial" w:hAnsi="Arial" w:cs="Arial" w:hint="eastAsia"/>
        </w:rPr>
        <w:t xml:space="preserve"> to 80% of that of comparable eastern universities within five years.</w:t>
      </w:r>
    </w:p>
    <w:p w14:paraId="32A98144" w14:textId="77777777" w:rsidR="00020A60" w:rsidRDefault="00020A60">
      <w:pPr>
        <w:pStyle w:val="Body"/>
        <w:spacing w:after="0"/>
        <w:rPr>
          <w:rFonts w:ascii="Arial" w:hAnsi="Arial" w:cs="Arial"/>
        </w:rPr>
      </w:pPr>
    </w:p>
    <w:p w14:paraId="5DA2B431" w14:textId="77777777" w:rsidR="00020A60" w:rsidRDefault="00A31FC3">
      <w:pPr>
        <w:pStyle w:val="Body"/>
        <w:spacing w:after="0"/>
        <w:rPr>
          <w:rFonts w:ascii="Arial" w:hAnsi="Arial" w:cs="Arial"/>
          <w:b/>
          <w:caps/>
          <w:sz w:val="22"/>
        </w:rPr>
      </w:pPr>
      <w:r>
        <w:rPr>
          <w:rFonts w:ascii="Arial" w:hAnsi="Arial" w:cs="Arial" w:hint="eastAsia"/>
          <w:b/>
          <w:caps/>
          <w:sz w:val="22"/>
        </w:rPr>
        <w:t>5.3 Key Action Plans</w:t>
      </w:r>
    </w:p>
    <w:p w14:paraId="7605F151" w14:textId="77777777" w:rsidR="00020A60" w:rsidRDefault="00020A60">
      <w:pPr>
        <w:pStyle w:val="Body"/>
        <w:spacing w:after="0"/>
        <w:rPr>
          <w:rFonts w:ascii="Arial" w:hAnsi="Arial" w:cs="Arial"/>
        </w:rPr>
      </w:pPr>
    </w:p>
    <w:p w14:paraId="152557EA" w14:textId="77777777" w:rsidR="00020A60" w:rsidRDefault="00A31FC3">
      <w:pPr>
        <w:pStyle w:val="Body"/>
        <w:spacing w:after="0"/>
        <w:rPr>
          <w:rFonts w:ascii="Arial" w:hAnsi="Arial" w:cs="Arial"/>
        </w:rPr>
      </w:pPr>
      <w:r>
        <w:rPr>
          <w:rFonts w:ascii="Arial" w:hAnsi="Arial" w:cs="Arial" w:hint="eastAsia"/>
        </w:rPr>
        <w:t xml:space="preserve">To ensure the effective implementation of the </w:t>
      </w:r>
      <w:r>
        <w:rPr>
          <w:rFonts w:ascii="Arial" w:eastAsia="SimSun" w:hAnsi="Arial" w:cs="Arial" w:hint="eastAsia"/>
          <w:lang w:eastAsia="zh-CN"/>
        </w:rPr>
        <w:t>Strategies</w:t>
      </w:r>
      <w:r>
        <w:rPr>
          <w:rFonts w:ascii="Arial" w:hAnsi="Arial" w:cs="Arial" w:hint="eastAsia"/>
        </w:rPr>
        <w:t>, three critical action plans have been designed:</w:t>
      </w:r>
    </w:p>
    <w:p w14:paraId="5E3871E7" w14:textId="77777777" w:rsidR="00020A60" w:rsidRDefault="00020A60">
      <w:pPr>
        <w:pStyle w:val="Body"/>
        <w:spacing w:after="0"/>
        <w:rPr>
          <w:rFonts w:ascii="Arial" w:hAnsi="Arial" w:cs="Arial"/>
        </w:rPr>
      </w:pPr>
    </w:p>
    <w:p w14:paraId="637892BC" w14:textId="77777777" w:rsidR="00020A60" w:rsidRDefault="00A31FC3">
      <w:pPr>
        <w:pStyle w:val="Body"/>
        <w:spacing w:after="0"/>
        <w:rPr>
          <w:rFonts w:ascii="Arial" w:hAnsi="Arial" w:cs="Arial"/>
        </w:rPr>
      </w:pPr>
      <w:r>
        <w:rPr>
          <w:rFonts w:ascii="Arial" w:hAnsi="Arial" w:cs="Arial" w:hint="eastAsia"/>
        </w:rPr>
        <w:t>1</w:t>
      </w:r>
      <w:r>
        <w:rPr>
          <w:rFonts w:ascii="Arial" w:eastAsia="SimSun" w:hAnsi="Arial" w:cs="Arial" w:hint="eastAsia"/>
          <w:lang w:eastAsia="zh-CN"/>
        </w:rPr>
        <w:t>)</w:t>
      </w:r>
      <w:r>
        <w:rPr>
          <w:rFonts w:ascii="Arial" w:hAnsi="Arial" w:cs="Arial" w:hint="eastAsia"/>
        </w:rPr>
        <w:t xml:space="preserve"> Digital Infrastructure Initiative (2023-2025): This p</w:t>
      </w:r>
      <w:r>
        <w:rPr>
          <w:rFonts w:ascii="Arial" w:hAnsi="Arial" w:cs="Arial" w:hint="eastAsia"/>
        </w:rPr>
        <w:t>lan focuses on the development of smart classrooms (with a coverage rate of at least 60%), virtual simulation laboratories (one to two for each specialized discipline), and an international educational cloud platform (capable of supporting 100,000 concurre</w:t>
      </w:r>
      <w:r>
        <w:rPr>
          <w:rFonts w:ascii="Arial" w:hAnsi="Arial" w:cs="Arial" w:hint="eastAsia"/>
        </w:rPr>
        <w:t>nt users). Budget assessments indicate that an annual investment of approximately 15 million yuan per institution would suffice to achieve these foundational goals.</w:t>
      </w:r>
    </w:p>
    <w:p w14:paraId="5DF46479" w14:textId="77777777" w:rsidR="00020A60" w:rsidRDefault="00020A60">
      <w:pPr>
        <w:pStyle w:val="Body"/>
        <w:spacing w:after="0"/>
        <w:rPr>
          <w:rFonts w:ascii="Arial" w:hAnsi="Arial" w:cs="Arial"/>
        </w:rPr>
      </w:pPr>
    </w:p>
    <w:p w14:paraId="00B2887C" w14:textId="77777777" w:rsidR="00020A60" w:rsidRDefault="00A31FC3">
      <w:pPr>
        <w:pStyle w:val="Body"/>
        <w:spacing w:after="0"/>
        <w:rPr>
          <w:rFonts w:ascii="Arial" w:hAnsi="Arial" w:cs="Arial"/>
        </w:rPr>
      </w:pPr>
      <w:r>
        <w:rPr>
          <w:rFonts w:ascii="Arial" w:hAnsi="Arial" w:cs="Arial" w:hint="eastAsia"/>
        </w:rPr>
        <w:t>2</w:t>
      </w:r>
      <w:r>
        <w:rPr>
          <w:rFonts w:ascii="Arial" w:eastAsia="SimSun" w:hAnsi="Arial" w:cs="Arial" w:hint="eastAsia"/>
          <w:lang w:eastAsia="zh-CN"/>
        </w:rPr>
        <w:t>)</w:t>
      </w:r>
      <w:r>
        <w:rPr>
          <w:rFonts w:ascii="Arial" w:hAnsi="Arial" w:cs="Arial" w:hint="eastAsia"/>
        </w:rPr>
        <w:t xml:space="preserve"> Disciplinary Advancement Program (2023-2027): This initiative will target the focused d</w:t>
      </w:r>
      <w:r>
        <w:rPr>
          <w:rFonts w:ascii="Arial" w:hAnsi="Arial" w:cs="Arial" w:hint="eastAsia"/>
        </w:rPr>
        <w:t>evelopment of 3-5 specialized disciplines, which includes the recruitment of international teams (one to two per discipline), the establishment of joint laboratories (at least one per discipline), and the creation of English-language academic journals (one</w:t>
      </w:r>
      <w:r>
        <w:rPr>
          <w:rFonts w:ascii="Arial" w:hAnsi="Arial" w:cs="Arial" w:hint="eastAsia"/>
        </w:rPr>
        <w:t xml:space="preserve"> for each discipline). Efficacy predictions suggest that this program could elevate the international rankings of these disciplines by an average of 100 to 150 positions.</w:t>
      </w:r>
    </w:p>
    <w:p w14:paraId="13669325" w14:textId="77777777" w:rsidR="00020A60" w:rsidRDefault="00020A60">
      <w:pPr>
        <w:pStyle w:val="Body"/>
        <w:spacing w:after="0"/>
        <w:rPr>
          <w:rFonts w:ascii="Arial" w:hAnsi="Arial" w:cs="Arial"/>
        </w:rPr>
      </w:pPr>
    </w:p>
    <w:p w14:paraId="538C417E" w14:textId="77777777" w:rsidR="00020A60" w:rsidRDefault="00A31FC3">
      <w:pPr>
        <w:pStyle w:val="Body"/>
        <w:numPr>
          <w:ilvl w:val="0"/>
          <w:numId w:val="2"/>
        </w:numPr>
        <w:spacing w:after="0"/>
        <w:rPr>
          <w:rFonts w:ascii="Arial" w:hAnsi="Arial" w:cs="Arial"/>
        </w:rPr>
      </w:pPr>
      <w:r>
        <w:rPr>
          <w:rFonts w:ascii="Arial" w:hAnsi="Arial" w:cs="Arial" w:hint="eastAsia"/>
        </w:rPr>
        <w:t>Cultural Integration Program (Ongoing Implementation): This program aims to construc</w:t>
      </w:r>
      <w:r>
        <w:rPr>
          <w:rFonts w:ascii="Arial" w:hAnsi="Arial" w:cs="Arial" w:hint="eastAsia"/>
        </w:rPr>
        <w:t>t a multicultural framework that includes language training (40 hours per teacher annually), cultural adaptation workshops (twice per semester), and the incorporation of international etiquette into freshman orientation. Follow-up surveys indicate that thi</w:t>
      </w:r>
      <w:r>
        <w:rPr>
          <w:rFonts w:ascii="Arial" w:hAnsi="Arial" w:cs="Arial" w:hint="eastAsia"/>
        </w:rPr>
        <w:t>s initiative can enhance the cross-cultural adaptability of both faculty and students by 35-40%.</w:t>
      </w:r>
    </w:p>
    <w:p w14:paraId="0CC7183A" w14:textId="77777777" w:rsidR="00020A60" w:rsidRDefault="00020A60">
      <w:pPr>
        <w:pStyle w:val="Body"/>
        <w:spacing w:after="0"/>
        <w:rPr>
          <w:rFonts w:ascii="Arial" w:hAnsi="Arial" w:cs="Arial"/>
        </w:rPr>
      </w:pPr>
    </w:p>
    <w:p w14:paraId="535A35CD" w14:textId="77777777" w:rsidR="00020A60" w:rsidRDefault="00A31FC3">
      <w:pPr>
        <w:pStyle w:val="Body"/>
        <w:spacing w:after="0"/>
        <w:rPr>
          <w:rFonts w:ascii="Arial" w:hAnsi="Arial" w:cs="Arial"/>
          <w:b/>
          <w:caps/>
          <w:sz w:val="22"/>
        </w:rPr>
      </w:pPr>
      <w:r>
        <w:rPr>
          <w:rFonts w:ascii="Arial" w:hAnsi="Arial" w:cs="Arial" w:hint="eastAsia"/>
          <w:b/>
          <w:caps/>
          <w:sz w:val="22"/>
        </w:rPr>
        <w:t>5.</w:t>
      </w:r>
      <w:r>
        <w:rPr>
          <w:rFonts w:ascii="Arial" w:eastAsia="SimSun" w:hAnsi="Arial" w:cs="Arial" w:hint="eastAsia"/>
          <w:b/>
          <w:caps/>
          <w:sz w:val="22"/>
          <w:lang w:eastAsia="zh-CN"/>
        </w:rPr>
        <w:t>4</w:t>
      </w:r>
      <w:r>
        <w:rPr>
          <w:rFonts w:ascii="Arial" w:hAnsi="Arial" w:cs="Arial" w:hint="eastAsia"/>
          <w:b/>
          <w:caps/>
          <w:sz w:val="22"/>
        </w:rPr>
        <w:t xml:space="preserve"> Research Outlook</w:t>
      </w:r>
    </w:p>
    <w:p w14:paraId="1EDA1709" w14:textId="77777777" w:rsidR="00020A60" w:rsidRDefault="00020A60">
      <w:pPr>
        <w:pStyle w:val="Body"/>
        <w:spacing w:after="0"/>
        <w:rPr>
          <w:rFonts w:ascii="Arial" w:hAnsi="Arial" w:cs="Arial"/>
        </w:rPr>
      </w:pPr>
    </w:p>
    <w:p w14:paraId="6D2AF3AE" w14:textId="77777777" w:rsidR="00020A60" w:rsidRDefault="00A31FC3">
      <w:pPr>
        <w:pStyle w:val="Body"/>
        <w:spacing w:after="0"/>
        <w:rPr>
          <w:rFonts w:ascii="Arial" w:hAnsi="Arial" w:cs="Arial"/>
        </w:rPr>
      </w:pPr>
      <w:r>
        <w:rPr>
          <w:rFonts w:ascii="Arial" w:hAnsi="Arial" w:cs="Arial" w:hint="eastAsia"/>
        </w:rPr>
        <w:t>This study also identifies several avenues for further exploration:</w:t>
      </w:r>
    </w:p>
    <w:p w14:paraId="18E81079" w14:textId="77777777" w:rsidR="00020A60" w:rsidRDefault="00020A60">
      <w:pPr>
        <w:pStyle w:val="Body"/>
        <w:spacing w:after="0"/>
        <w:rPr>
          <w:rFonts w:ascii="Arial" w:hAnsi="Arial" w:cs="Arial"/>
        </w:rPr>
      </w:pPr>
    </w:p>
    <w:p w14:paraId="15B482AB" w14:textId="77777777" w:rsidR="00020A60" w:rsidRDefault="00A31FC3">
      <w:pPr>
        <w:pStyle w:val="Body"/>
        <w:spacing w:after="0"/>
        <w:rPr>
          <w:rFonts w:ascii="Arial" w:hAnsi="Arial" w:cs="Arial"/>
        </w:rPr>
      </w:pPr>
      <w:r>
        <w:rPr>
          <w:rFonts w:ascii="Arial" w:hAnsi="Arial" w:cs="Arial" w:hint="eastAsia"/>
        </w:rPr>
        <w:t>1</w:t>
      </w:r>
      <w:r>
        <w:rPr>
          <w:rFonts w:ascii="Arial" w:eastAsia="SimSun" w:hAnsi="Arial" w:cs="Arial" w:hint="eastAsia"/>
          <w:lang w:eastAsia="zh-CN"/>
        </w:rPr>
        <w:t>)</w:t>
      </w:r>
      <w:r>
        <w:rPr>
          <w:rFonts w:ascii="Arial" w:hAnsi="Arial" w:cs="Arial" w:hint="eastAsia"/>
        </w:rPr>
        <w:t xml:space="preserve"> Establishing a Long-Term Evaluation Mechanism: Continuous tracking of the implementation effects of the proposed policies is essential. It is recommended to create a database for the internationalization development of western universities to facilitate l</w:t>
      </w:r>
      <w:r>
        <w:rPr>
          <w:rFonts w:ascii="Arial" w:hAnsi="Arial" w:cs="Arial" w:hint="eastAsia"/>
        </w:rPr>
        <w:t>ongitudinal studies over a period of 5 to 10 years (</w:t>
      </w:r>
      <w:proofErr w:type="spellStart"/>
      <w:r>
        <w:rPr>
          <w:rFonts w:ascii="Arial" w:hAnsi="Arial" w:cs="Arial" w:hint="eastAsia"/>
        </w:rPr>
        <w:t>DeCoito</w:t>
      </w:r>
      <w:proofErr w:type="spellEnd"/>
      <w:r>
        <w:rPr>
          <w:rFonts w:ascii="Arial" w:hAnsi="Arial" w:cs="Arial" w:hint="eastAsia"/>
        </w:rPr>
        <w:t>, I., et al., 2023).</w:t>
      </w:r>
    </w:p>
    <w:p w14:paraId="699E53BB" w14:textId="77777777" w:rsidR="00020A60" w:rsidRDefault="00020A60">
      <w:pPr>
        <w:pStyle w:val="Body"/>
        <w:spacing w:after="0"/>
        <w:rPr>
          <w:rFonts w:ascii="Arial" w:hAnsi="Arial" w:cs="Arial"/>
        </w:rPr>
      </w:pPr>
    </w:p>
    <w:p w14:paraId="4C0CED8D" w14:textId="77777777" w:rsidR="00020A60" w:rsidRDefault="00A31FC3">
      <w:pPr>
        <w:pStyle w:val="Body"/>
        <w:spacing w:after="0"/>
        <w:rPr>
          <w:rFonts w:ascii="Arial" w:hAnsi="Arial" w:cs="Arial"/>
        </w:rPr>
      </w:pPr>
      <w:r>
        <w:rPr>
          <w:rFonts w:ascii="Arial" w:hAnsi="Arial" w:cs="Arial" w:hint="eastAsia"/>
        </w:rPr>
        <w:t>2</w:t>
      </w:r>
      <w:r>
        <w:rPr>
          <w:rFonts w:ascii="Arial" w:eastAsia="SimSun" w:hAnsi="Arial" w:cs="Arial" w:hint="eastAsia"/>
          <w:lang w:eastAsia="zh-CN"/>
        </w:rPr>
        <w:t>)</w:t>
      </w:r>
      <w:r>
        <w:rPr>
          <w:rFonts w:ascii="Arial" w:hAnsi="Arial" w:cs="Arial" w:hint="eastAsia"/>
        </w:rPr>
        <w:t xml:space="preserve"> Research on the Impact of Special Groups: The influence of key figures, such as "returnee" university presidents and international advisors, on the internationalization of </w:t>
      </w:r>
      <w:r>
        <w:rPr>
          <w:rFonts w:ascii="Arial" w:hAnsi="Arial" w:cs="Arial" w:hint="eastAsia"/>
        </w:rPr>
        <w:t>universities requires quantitative analysis (</w:t>
      </w:r>
      <w:proofErr w:type="spellStart"/>
      <w:r>
        <w:rPr>
          <w:rFonts w:ascii="Arial" w:hAnsi="Arial" w:cs="Arial" w:hint="eastAsia"/>
        </w:rPr>
        <w:t>Yaqoub</w:t>
      </w:r>
      <w:proofErr w:type="spellEnd"/>
      <w:r>
        <w:rPr>
          <w:rFonts w:ascii="Arial" w:hAnsi="Arial" w:cs="Arial" w:hint="eastAsia"/>
        </w:rPr>
        <w:t>, M. et al., 2023).</w:t>
      </w:r>
    </w:p>
    <w:p w14:paraId="6AC6456C" w14:textId="77777777" w:rsidR="00020A60" w:rsidRDefault="00020A60">
      <w:pPr>
        <w:pStyle w:val="Body"/>
        <w:spacing w:after="0"/>
        <w:rPr>
          <w:rFonts w:ascii="Arial" w:hAnsi="Arial" w:cs="Arial"/>
        </w:rPr>
      </w:pPr>
    </w:p>
    <w:p w14:paraId="0305625A" w14:textId="77777777" w:rsidR="00020A60" w:rsidRDefault="00A31FC3">
      <w:pPr>
        <w:pStyle w:val="Body"/>
        <w:numPr>
          <w:ilvl w:val="0"/>
          <w:numId w:val="3"/>
        </w:numPr>
        <w:spacing w:after="0"/>
        <w:rPr>
          <w:rFonts w:ascii="Arial" w:hAnsi="Arial" w:cs="Arial"/>
        </w:rPr>
      </w:pPr>
      <w:r>
        <w:rPr>
          <w:rFonts w:ascii="Arial" w:hAnsi="Arial" w:cs="Arial" w:hint="eastAsia"/>
        </w:rPr>
        <w:t>Deepening the Application of New Technologies: The potential applications of emerging technologies, such as the metaverse and blockchain, in the context of internationalization warrant</w:t>
      </w:r>
      <w:r>
        <w:rPr>
          <w:rFonts w:ascii="Arial" w:hAnsi="Arial" w:cs="Arial" w:hint="eastAsia"/>
        </w:rPr>
        <w:t xml:space="preserve"> further investigation (Selwyn, 2022).</w:t>
      </w:r>
    </w:p>
    <w:p w14:paraId="176AE9A1" w14:textId="77777777" w:rsidR="00020A60" w:rsidRDefault="00020A60">
      <w:pPr>
        <w:pStyle w:val="Body"/>
        <w:spacing w:after="0"/>
        <w:rPr>
          <w:rFonts w:ascii="Arial" w:hAnsi="Arial" w:cs="Arial"/>
        </w:rPr>
      </w:pPr>
    </w:p>
    <w:p w14:paraId="2E9E5DAF" w14:textId="77777777" w:rsidR="00020A60" w:rsidRDefault="00020A60">
      <w:pPr>
        <w:pStyle w:val="Body"/>
        <w:spacing w:after="0"/>
        <w:rPr>
          <w:rFonts w:ascii="Arial" w:hAnsi="Arial" w:cs="Arial"/>
        </w:rPr>
      </w:pPr>
    </w:p>
    <w:p w14:paraId="5860D08A" w14:textId="77777777" w:rsidR="00020A60" w:rsidRDefault="00A31FC3">
      <w:pPr>
        <w:pStyle w:val="Body"/>
        <w:spacing w:after="0"/>
        <w:rPr>
          <w:rFonts w:ascii="Arial" w:hAnsi="Arial" w:cs="Arial"/>
          <w:b/>
          <w:caps/>
          <w:color w:val="0000FF"/>
          <w:sz w:val="22"/>
        </w:rPr>
      </w:pPr>
      <w:r>
        <w:rPr>
          <w:rFonts w:ascii="Arial" w:eastAsia="SimSun" w:hAnsi="Arial" w:cs="Arial" w:hint="eastAsia"/>
          <w:b/>
          <w:caps/>
          <w:color w:val="0000FF"/>
          <w:sz w:val="22"/>
          <w:lang w:eastAsia="zh-CN"/>
        </w:rPr>
        <w:t>6.</w:t>
      </w:r>
      <w:r>
        <w:rPr>
          <w:rFonts w:ascii="Arial" w:hAnsi="Arial" w:cs="Arial" w:hint="eastAsia"/>
          <w:b/>
          <w:caps/>
          <w:color w:val="0000FF"/>
          <w:sz w:val="22"/>
        </w:rPr>
        <w:t xml:space="preserve"> Conclusions</w:t>
      </w:r>
    </w:p>
    <w:p w14:paraId="243DDED7" w14:textId="77777777" w:rsidR="00020A60" w:rsidRDefault="00020A60">
      <w:pPr>
        <w:pStyle w:val="Body"/>
        <w:spacing w:after="0"/>
        <w:rPr>
          <w:rFonts w:ascii="Arial" w:hAnsi="Arial" w:cs="Arial"/>
        </w:rPr>
      </w:pPr>
    </w:p>
    <w:p w14:paraId="1D5A5E74" w14:textId="77777777" w:rsidR="00020A60" w:rsidRDefault="00A31FC3">
      <w:pPr>
        <w:pStyle w:val="Body"/>
        <w:spacing w:after="0"/>
        <w:rPr>
          <w:rFonts w:ascii="Arial" w:hAnsi="Arial" w:cs="Arial"/>
        </w:rPr>
      </w:pPr>
      <w:r>
        <w:rPr>
          <w:rFonts w:ascii="Arial" w:hAnsi="Arial" w:cs="Arial" w:hint="eastAsia"/>
        </w:rPr>
        <w:t>Through systematic empirical research, the following key conclusions have been drawn:</w:t>
      </w:r>
    </w:p>
    <w:p w14:paraId="03C0DEBC" w14:textId="77777777" w:rsidR="00020A60" w:rsidRDefault="00020A60">
      <w:pPr>
        <w:pStyle w:val="Body"/>
        <w:spacing w:after="0"/>
        <w:rPr>
          <w:rFonts w:ascii="Arial" w:hAnsi="Arial" w:cs="Arial"/>
        </w:rPr>
      </w:pPr>
    </w:p>
    <w:p w14:paraId="4BDA5E7E" w14:textId="77777777" w:rsidR="00020A60" w:rsidRDefault="00A31FC3">
      <w:pPr>
        <w:pStyle w:val="Body"/>
        <w:spacing w:after="0"/>
        <w:rPr>
          <w:rFonts w:ascii="Arial" w:hAnsi="Arial" w:cs="Arial"/>
        </w:rPr>
      </w:pPr>
      <w:r>
        <w:rPr>
          <w:rFonts w:ascii="Arial" w:hAnsi="Arial" w:cs="Arial" w:hint="eastAsia"/>
        </w:rPr>
        <w:t xml:space="preserve">First, there is a significant "gradient difference" in the internationalization development of engineering and </w:t>
      </w:r>
      <w:r>
        <w:rPr>
          <w:rFonts w:ascii="Arial" w:hAnsi="Arial" w:cs="Arial" w:hint="eastAsia"/>
        </w:rPr>
        <w:t>technology universities in the western region. Quantitative analysis categorizes the internationalization levels of the sampled universities into three tiers: the first tier (index ≥ 60) comprises 17%, the second tier (40 ≤ index &lt; 60) includes 58%, and th</w:t>
      </w:r>
      <w:r>
        <w:rPr>
          <w:rFonts w:ascii="Arial" w:hAnsi="Arial" w:cs="Arial" w:hint="eastAsia"/>
        </w:rPr>
        <w:t>e third tier (index &lt; 40) accounts for 25%. This disparity primarily arises from differences in disciplinary foundations, geographical locations, and resource endowments (p&lt;0.001).</w:t>
      </w:r>
    </w:p>
    <w:p w14:paraId="2F01BED1" w14:textId="77777777" w:rsidR="00020A60" w:rsidRDefault="00020A60">
      <w:pPr>
        <w:pStyle w:val="Body"/>
        <w:spacing w:after="0"/>
        <w:rPr>
          <w:rFonts w:ascii="Arial" w:hAnsi="Arial" w:cs="Arial"/>
        </w:rPr>
      </w:pPr>
    </w:p>
    <w:p w14:paraId="79E4BDC5" w14:textId="77777777" w:rsidR="00020A60" w:rsidRDefault="00A31FC3">
      <w:pPr>
        <w:pStyle w:val="Body"/>
        <w:spacing w:after="0"/>
        <w:rPr>
          <w:rFonts w:ascii="Arial" w:hAnsi="Arial" w:cs="Arial"/>
        </w:rPr>
      </w:pPr>
      <w:r>
        <w:rPr>
          <w:rFonts w:ascii="Arial" w:hAnsi="Arial" w:cs="Arial" w:hint="eastAsia"/>
        </w:rPr>
        <w:t xml:space="preserve">Second, digital transformation serves as an effective pathway to overcome </w:t>
      </w:r>
      <w:r>
        <w:rPr>
          <w:rFonts w:ascii="Arial" w:hAnsi="Arial" w:cs="Arial" w:hint="eastAsia"/>
        </w:rPr>
        <w:t>resource constraints. Regression analysis reveals that for every unit increase in digitalization levels, the speed of internationalization development accelerates by 0.37 units (β=0.37, p&lt;0.01). Notably, during the COVID-19 pandemic, universities with stro</w:t>
      </w:r>
      <w:r>
        <w:rPr>
          <w:rFonts w:ascii="Arial" w:hAnsi="Arial" w:cs="Arial" w:hint="eastAsia"/>
        </w:rPr>
        <w:t>ng digital foundations restored their international exchange activities at a rate 2.1 times faster than their counterparts.</w:t>
      </w:r>
    </w:p>
    <w:p w14:paraId="7AF43CAA" w14:textId="77777777" w:rsidR="00020A60" w:rsidRDefault="00020A60">
      <w:pPr>
        <w:pStyle w:val="Body"/>
        <w:spacing w:after="0"/>
        <w:rPr>
          <w:rFonts w:ascii="Arial" w:hAnsi="Arial" w:cs="Arial"/>
        </w:rPr>
      </w:pPr>
    </w:p>
    <w:p w14:paraId="41F5CEC1" w14:textId="77777777" w:rsidR="00020A60" w:rsidRDefault="00A31FC3">
      <w:pPr>
        <w:pStyle w:val="Body"/>
        <w:spacing w:after="0"/>
        <w:rPr>
          <w:rFonts w:ascii="Arial" w:hAnsi="Arial" w:cs="Arial"/>
        </w:rPr>
      </w:pPr>
      <w:r>
        <w:rPr>
          <w:rFonts w:ascii="Arial" w:hAnsi="Arial" w:cs="Arial" w:hint="eastAsia"/>
        </w:rPr>
        <w:t>Third, a distinctive development model demonstrates comparative advantages. Data analysis indicates that universities adhering to a</w:t>
      </w:r>
      <w:r>
        <w:rPr>
          <w:rFonts w:ascii="Arial" w:hAnsi="Arial" w:cs="Arial" w:hint="eastAsia"/>
        </w:rPr>
        <w:t xml:space="preserve"> characteristic development strategy experience an average annual growth of 15.2% in their international influence index, significantly surpassing the 8.7% growth observed in follower-type institutions (p&lt;0.05). This suggests that western universities can </w:t>
      </w:r>
      <w:r>
        <w:rPr>
          <w:rFonts w:ascii="Arial" w:hAnsi="Arial" w:cs="Arial" w:hint="eastAsia"/>
        </w:rPr>
        <w:t>indeed achieve "leapfrogging" through differentiated strategies.</w:t>
      </w:r>
    </w:p>
    <w:p w14:paraId="15301E97" w14:textId="77777777" w:rsidR="00020A60" w:rsidRDefault="00020A60">
      <w:pPr>
        <w:pStyle w:val="Body"/>
        <w:spacing w:after="0"/>
        <w:rPr>
          <w:rFonts w:ascii="Arial" w:hAnsi="Arial" w:cs="Arial"/>
        </w:rPr>
      </w:pPr>
    </w:p>
    <w:p w14:paraId="529E69E7" w14:textId="77777777" w:rsidR="00020A60" w:rsidRDefault="00A31FC3">
      <w:pPr>
        <w:pStyle w:val="Body"/>
        <w:spacing w:after="0"/>
        <w:rPr>
          <w:rFonts w:ascii="Arial" w:hAnsi="Arial" w:cs="Arial"/>
        </w:rPr>
      </w:pPr>
      <w:r>
        <w:rPr>
          <w:rFonts w:ascii="Arial" w:hAnsi="Arial" w:cs="Arial" w:hint="eastAsia"/>
        </w:rPr>
        <w:t>Finally, institutional innovation is a crucial safeguard for sustainability. Longitudinal tracking data shows that universities with effective governance system reforms have an international</w:t>
      </w:r>
      <w:r>
        <w:rPr>
          <w:rFonts w:ascii="Arial" w:hAnsi="Arial" w:cs="Arial" w:hint="eastAsia"/>
        </w:rPr>
        <w:t>ization development stability index (SD) of only 2.3, significantly lower than the 5.7 observed in institutions without reforms (p&lt;0.01). This indicates that scientifically designed institutional frameworks can effectively reduce developmental volatility.</w:t>
      </w:r>
    </w:p>
    <w:p w14:paraId="1A0C1A7C" w14:textId="77777777" w:rsidR="00020A60" w:rsidRDefault="00020A60">
      <w:pPr>
        <w:pStyle w:val="Body"/>
        <w:spacing w:after="0"/>
        <w:rPr>
          <w:rFonts w:ascii="Arial" w:hAnsi="Arial" w:cs="Arial"/>
        </w:rPr>
      </w:pPr>
    </w:p>
    <w:p w14:paraId="00790776" w14:textId="77777777" w:rsidR="00020A60" w:rsidRDefault="00020A60"/>
    <w:p w14:paraId="6024E3AF" w14:textId="77777777" w:rsidR="00020A60" w:rsidRDefault="00020A60">
      <w:pPr>
        <w:pStyle w:val="ReferHead"/>
        <w:spacing w:after="0"/>
        <w:jc w:val="both"/>
        <w:rPr>
          <w:rFonts w:ascii="Arial" w:hAnsi="Arial" w:cs="Arial"/>
          <w:b w:val="0"/>
          <w:caps w:val="0"/>
          <w:sz w:val="20"/>
        </w:rPr>
      </w:pPr>
    </w:p>
    <w:p w14:paraId="4A11F79A" w14:textId="77777777" w:rsidR="00020A60" w:rsidRDefault="00020A60">
      <w:pPr>
        <w:pStyle w:val="ReferHead"/>
        <w:spacing w:after="0"/>
        <w:jc w:val="both"/>
        <w:rPr>
          <w:rFonts w:ascii="Arial" w:hAnsi="Arial" w:cs="Arial"/>
          <w:b w:val="0"/>
          <w:caps w:val="0"/>
          <w:sz w:val="20"/>
        </w:rPr>
      </w:pPr>
    </w:p>
    <w:p w14:paraId="7BAE5172" w14:textId="77777777" w:rsidR="00020A60" w:rsidRDefault="00020A60">
      <w:pPr>
        <w:pStyle w:val="ReferHead"/>
        <w:spacing w:after="0"/>
        <w:jc w:val="both"/>
        <w:rPr>
          <w:rFonts w:ascii="Arial" w:hAnsi="Arial" w:cs="Arial"/>
          <w:b w:val="0"/>
          <w:caps w:val="0"/>
          <w:sz w:val="20"/>
        </w:rPr>
      </w:pPr>
    </w:p>
    <w:p w14:paraId="2C97D5E3" w14:textId="77777777" w:rsidR="00020A60" w:rsidRPr="00994F1E" w:rsidRDefault="00A31FC3">
      <w:pPr>
        <w:spacing w:after="200" w:line="276" w:lineRule="auto"/>
        <w:rPr>
          <w:rFonts w:ascii="Calibri" w:eastAsia="Calibri" w:hAnsi="Calibri"/>
          <w:b/>
          <w:kern w:val="2"/>
          <w:sz w:val="22"/>
          <w:szCs w:val="22"/>
          <w:highlight w:val="yellow"/>
        </w:rPr>
      </w:pPr>
      <w:bookmarkStart w:id="1" w:name="_Hlk180402183"/>
      <w:bookmarkStart w:id="2" w:name="_Hlk183680988"/>
      <w:r w:rsidRPr="00994F1E">
        <w:rPr>
          <w:rFonts w:ascii="Calibri" w:eastAsia="Calibri" w:hAnsi="Calibri"/>
          <w:b/>
          <w:kern w:val="2"/>
          <w:sz w:val="22"/>
          <w:szCs w:val="22"/>
          <w:highlight w:val="yellow"/>
        </w:rPr>
        <w:t>Disclaimer (Artificial intelligence)</w:t>
      </w:r>
    </w:p>
    <w:p w14:paraId="72C77054" w14:textId="77777777" w:rsidR="00020A60" w:rsidRDefault="00A31FC3">
      <w:pPr>
        <w:spacing w:after="200" w:line="276" w:lineRule="auto"/>
        <w:rPr>
          <w:rFonts w:ascii="Calibri" w:eastAsia="Calibri" w:hAnsi="Calibri"/>
          <w:kern w:val="2"/>
          <w:sz w:val="22"/>
          <w:szCs w:val="22"/>
          <w:highlight w:val="yellow"/>
        </w:rPr>
      </w:pPr>
      <w:r>
        <w:rPr>
          <w:rFonts w:ascii="Calibri" w:eastAsia="Calibri" w:hAnsi="Calibri"/>
          <w:kern w:val="2"/>
          <w:sz w:val="22"/>
          <w:szCs w:val="22"/>
          <w:highlight w:val="yellow"/>
        </w:rPr>
        <w:t>Author(s) hereby declare that NO generative AI technologies such as Large Language Models (</w:t>
      </w:r>
      <w:proofErr w:type="spellStart"/>
      <w:r>
        <w:rPr>
          <w:rFonts w:ascii="Calibri" w:eastAsia="Calibri" w:hAnsi="Calibri"/>
          <w:kern w:val="2"/>
          <w:sz w:val="22"/>
          <w:szCs w:val="22"/>
          <w:highlight w:val="yellow"/>
        </w:rPr>
        <w:t>ChatGPT</w:t>
      </w:r>
      <w:proofErr w:type="spellEnd"/>
      <w:r>
        <w:rPr>
          <w:rFonts w:ascii="Calibri" w:eastAsia="Calibri" w:hAnsi="Calibri"/>
          <w:kern w:val="2"/>
          <w:sz w:val="22"/>
          <w:szCs w:val="22"/>
          <w:highlight w:val="yellow"/>
        </w:rPr>
        <w:t xml:space="preserve">, COPILOT, etc.) and text-to-image generators have been used during the writing or editing of this manuscript. </w:t>
      </w:r>
    </w:p>
    <w:bookmarkEnd w:id="1"/>
    <w:bookmarkEnd w:id="2"/>
    <w:p w14:paraId="285F1EA2" w14:textId="77777777" w:rsidR="00020A60" w:rsidRDefault="00020A60">
      <w:pPr>
        <w:pStyle w:val="ReferHead"/>
        <w:spacing w:after="0"/>
        <w:jc w:val="both"/>
        <w:rPr>
          <w:rFonts w:ascii="Arial" w:hAnsi="Arial" w:cs="Arial"/>
          <w:b w:val="0"/>
          <w:caps w:val="0"/>
          <w:sz w:val="20"/>
        </w:rPr>
      </w:pPr>
    </w:p>
    <w:p w14:paraId="243C1E39" w14:textId="77777777" w:rsidR="00020A60" w:rsidRDefault="00A31FC3">
      <w:pPr>
        <w:pStyle w:val="ReferHead"/>
        <w:spacing w:after="0"/>
        <w:jc w:val="both"/>
        <w:rPr>
          <w:rFonts w:ascii="Arial" w:hAnsi="Arial" w:cs="Arial"/>
        </w:rPr>
      </w:pPr>
      <w:r>
        <w:rPr>
          <w:rFonts w:ascii="Arial" w:hAnsi="Arial" w:cs="Arial"/>
        </w:rPr>
        <w:t>References</w:t>
      </w:r>
    </w:p>
    <w:p w14:paraId="1950EADB" w14:textId="77777777" w:rsidR="00020A60" w:rsidRDefault="00020A60">
      <w:pPr>
        <w:pStyle w:val="ReferHead"/>
        <w:spacing w:after="0"/>
        <w:jc w:val="both"/>
        <w:rPr>
          <w:rFonts w:ascii="Arial" w:hAnsi="Arial" w:cs="Arial"/>
        </w:rPr>
      </w:pPr>
    </w:p>
    <w:p w14:paraId="11F359DD" w14:textId="77777777" w:rsidR="00020A60" w:rsidRPr="00994F1E" w:rsidRDefault="00A31FC3" w:rsidP="00994F1E">
      <w:pPr>
        <w:pStyle w:val="ListParagraph"/>
        <w:numPr>
          <w:ilvl w:val="0"/>
          <w:numId w:val="4"/>
        </w:numPr>
        <w:jc w:val="both"/>
        <w:rPr>
          <w:rFonts w:ascii="Arial" w:hAnsi="Arial" w:cs="Arial"/>
        </w:rPr>
      </w:pPr>
      <w:proofErr w:type="spellStart"/>
      <w:r w:rsidRPr="00994F1E">
        <w:rPr>
          <w:rFonts w:ascii="Arial" w:hAnsi="Arial" w:cs="Arial"/>
        </w:rPr>
        <w:t>Altbach</w:t>
      </w:r>
      <w:proofErr w:type="spellEnd"/>
      <w:r w:rsidRPr="00994F1E">
        <w:rPr>
          <w:rFonts w:ascii="Arial" w:hAnsi="Arial" w:cs="Arial"/>
        </w:rPr>
        <w:t>, P. G. (201</w:t>
      </w:r>
      <w:r w:rsidRPr="00994F1E">
        <w:rPr>
          <w:rFonts w:ascii="Arial" w:hAnsi="Arial" w:cs="Arial"/>
          <w:lang w:eastAsia="zh-CN"/>
        </w:rPr>
        <w:t>6</w:t>
      </w:r>
      <w:r w:rsidRPr="00994F1E">
        <w:rPr>
          <w:rFonts w:ascii="Arial" w:hAnsi="Arial" w:cs="Arial"/>
        </w:rPr>
        <w:t xml:space="preserve">). Global perspectives on higher education. Johns Hopkins University Press.  </w:t>
      </w:r>
    </w:p>
    <w:p w14:paraId="6C0B6AD3" w14:textId="77777777" w:rsidR="00020A60" w:rsidRPr="00994F1E" w:rsidRDefault="00A31FC3" w:rsidP="00994F1E">
      <w:pPr>
        <w:pStyle w:val="ListParagraph"/>
        <w:numPr>
          <w:ilvl w:val="0"/>
          <w:numId w:val="4"/>
        </w:numPr>
        <w:jc w:val="both"/>
        <w:rPr>
          <w:rFonts w:ascii="Arial" w:hAnsi="Arial" w:cs="Arial"/>
        </w:rPr>
      </w:pPr>
      <w:proofErr w:type="spellStart"/>
      <w:r w:rsidRPr="00994F1E">
        <w:rPr>
          <w:rFonts w:ascii="Arial" w:hAnsi="Arial" w:cs="Arial"/>
        </w:rPr>
        <w:t>Arasaratnam</w:t>
      </w:r>
      <w:proofErr w:type="spellEnd"/>
      <w:r w:rsidRPr="00994F1E">
        <w:rPr>
          <w:rFonts w:ascii="Arial" w:hAnsi="Arial" w:cs="Arial"/>
        </w:rPr>
        <w:t>-Smith, L.A., &amp; Deardorff, D.K. (2022). Developing Intercultural Competence in Higher Education: International Students’ Stories and Self-Reflection (1st ed.). Routled</w:t>
      </w:r>
      <w:r w:rsidRPr="00994F1E">
        <w:rPr>
          <w:rFonts w:ascii="Arial" w:hAnsi="Arial" w:cs="Arial"/>
        </w:rPr>
        <w:t xml:space="preserve">ge. </w:t>
      </w:r>
      <w:r w:rsidRPr="00994F1E">
        <w:rPr>
          <w:rFonts w:ascii="Arial" w:hAnsi="Arial" w:cs="Arial"/>
        </w:rPr>
        <w:t>https://doi.org/10.4324/9781003229551</w:t>
      </w:r>
    </w:p>
    <w:p w14:paraId="1DD4E343" w14:textId="77777777" w:rsidR="00020A60" w:rsidRPr="00994F1E" w:rsidRDefault="00A31FC3" w:rsidP="00994F1E">
      <w:pPr>
        <w:pStyle w:val="ListParagraph"/>
        <w:numPr>
          <w:ilvl w:val="0"/>
          <w:numId w:val="4"/>
        </w:numPr>
        <w:jc w:val="both"/>
        <w:rPr>
          <w:rFonts w:ascii="Arial" w:hAnsi="Arial" w:cs="Arial"/>
          <w:color w:val="0000FF"/>
        </w:rPr>
      </w:pPr>
      <w:r w:rsidRPr="00994F1E">
        <w:rPr>
          <w:rFonts w:ascii="Arial" w:hAnsi="Arial" w:cs="Arial" w:hint="eastAsia"/>
          <w:color w:val="0000FF"/>
        </w:rPr>
        <w:lastRenderedPageBreak/>
        <w:t>Bhandari, R., &amp; Blumenthal, P. (Eds.). (2011). International students and global mobility in higher education: National trends and new directions. Palgrave Macmillan. https://doi.org/10.1057/9780230117143</w:t>
      </w:r>
    </w:p>
    <w:p w14:paraId="51F882AC" w14:textId="77777777" w:rsidR="00020A60" w:rsidRPr="00994F1E" w:rsidRDefault="00A31FC3" w:rsidP="00994F1E">
      <w:pPr>
        <w:pStyle w:val="ListParagraph"/>
        <w:numPr>
          <w:ilvl w:val="0"/>
          <w:numId w:val="4"/>
        </w:numPr>
        <w:jc w:val="both"/>
        <w:rPr>
          <w:rFonts w:ascii="Arial" w:hAnsi="Arial" w:cs="Arial"/>
        </w:rPr>
      </w:pPr>
      <w:r w:rsidRPr="00994F1E">
        <w:rPr>
          <w:rFonts w:ascii="Arial" w:hAnsi="Arial" w:cs="Arial"/>
        </w:rPr>
        <w:t xml:space="preserve">Cao, C., </w:t>
      </w:r>
      <w:r w:rsidRPr="00994F1E">
        <w:rPr>
          <w:rFonts w:ascii="Arial" w:hAnsi="Arial" w:cs="Arial"/>
        </w:rPr>
        <w:t>Wei, T., Xu, S., &amp; et al. (2023). Comprehensive evaluation of higher education systems using indicators: PCA and EWM methods. Humanities and Social Sciences Communications, 10, 432. https://doi.org/10.1057/s41599-023-01938-x</w:t>
      </w:r>
    </w:p>
    <w:p w14:paraId="2A07C822" w14:textId="77777777" w:rsidR="00020A60" w:rsidRPr="00994F1E" w:rsidRDefault="00A31FC3" w:rsidP="00994F1E">
      <w:pPr>
        <w:pStyle w:val="ListParagraph"/>
        <w:numPr>
          <w:ilvl w:val="0"/>
          <w:numId w:val="4"/>
        </w:numPr>
        <w:jc w:val="both"/>
        <w:rPr>
          <w:rFonts w:ascii="Arial" w:hAnsi="Arial" w:cs="Arial"/>
        </w:rPr>
      </w:pPr>
      <w:r w:rsidRPr="00994F1E">
        <w:rPr>
          <w:rFonts w:ascii="Arial" w:hAnsi="Arial" w:cs="Arial"/>
        </w:rPr>
        <w:t>de Wit, H. (2023). Internationa</w:t>
      </w:r>
      <w:r w:rsidRPr="00994F1E">
        <w:rPr>
          <w:rFonts w:ascii="Arial" w:hAnsi="Arial" w:cs="Arial"/>
        </w:rPr>
        <w:t>lization in Higher Education: Critical Reflections on Its Conceptual Evolution. International Higher Education, (115), 14–16. Retrieved from https://ejournals.bc.edu/index.php/ihe/article/view/16779</w:t>
      </w:r>
    </w:p>
    <w:p w14:paraId="0510EF93" w14:textId="77777777" w:rsidR="00020A60" w:rsidRPr="00994F1E" w:rsidRDefault="00A31FC3" w:rsidP="00994F1E">
      <w:pPr>
        <w:pStyle w:val="ListParagraph"/>
        <w:numPr>
          <w:ilvl w:val="0"/>
          <w:numId w:val="4"/>
        </w:numPr>
        <w:jc w:val="both"/>
        <w:rPr>
          <w:rFonts w:ascii="Arial" w:hAnsi="Arial" w:cs="Arial"/>
        </w:rPr>
      </w:pPr>
      <w:r w:rsidRPr="00994F1E">
        <w:rPr>
          <w:rFonts w:ascii="Arial" w:hAnsi="Arial" w:cs="Arial"/>
        </w:rPr>
        <w:t xml:space="preserve">de Wit, H., &amp; </w:t>
      </w:r>
      <w:proofErr w:type="spellStart"/>
      <w:r w:rsidRPr="00994F1E">
        <w:rPr>
          <w:rFonts w:ascii="Arial" w:hAnsi="Arial" w:cs="Arial"/>
        </w:rPr>
        <w:t>Altbach</w:t>
      </w:r>
      <w:proofErr w:type="spellEnd"/>
      <w:r w:rsidRPr="00994F1E">
        <w:rPr>
          <w:rFonts w:ascii="Arial" w:hAnsi="Arial" w:cs="Arial"/>
        </w:rPr>
        <w:t>, P. G. (2020). Internationalization</w:t>
      </w:r>
      <w:r w:rsidRPr="00994F1E">
        <w:rPr>
          <w:rFonts w:ascii="Arial" w:hAnsi="Arial" w:cs="Arial"/>
        </w:rPr>
        <w:t xml:space="preserve"> in higher education: global trends and recommendations for its future. Policy Reviews in Higher Education, 5(1), 28–46. https://doi.org/10.1080/23322969.2020.1820898</w:t>
      </w:r>
    </w:p>
    <w:p w14:paraId="26AF1614" w14:textId="77777777" w:rsidR="00020A60" w:rsidRPr="00994F1E" w:rsidRDefault="00A31FC3" w:rsidP="00994F1E">
      <w:pPr>
        <w:pStyle w:val="ListParagraph"/>
        <w:numPr>
          <w:ilvl w:val="0"/>
          <w:numId w:val="4"/>
        </w:numPr>
        <w:jc w:val="both"/>
        <w:rPr>
          <w:rFonts w:ascii="Arial" w:hAnsi="Arial" w:cs="Arial"/>
        </w:rPr>
      </w:pPr>
      <w:proofErr w:type="spellStart"/>
      <w:proofErr w:type="gramStart"/>
      <w:r w:rsidRPr="00994F1E">
        <w:rPr>
          <w:rFonts w:ascii="Arial" w:hAnsi="Arial" w:cs="Arial"/>
        </w:rPr>
        <w:t>DeCoito</w:t>
      </w:r>
      <w:r w:rsidRPr="00994F1E">
        <w:rPr>
          <w:rFonts w:ascii="Arial" w:hAnsi="Arial" w:cs="Arial"/>
          <w:lang w:eastAsia="zh-CN"/>
        </w:rPr>
        <w:t>,I</w:t>
      </w:r>
      <w:proofErr w:type="spellEnd"/>
      <w:r w:rsidRPr="00994F1E">
        <w:rPr>
          <w:rFonts w:ascii="Arial" w:hAnsi="Arial" w:cs="Arial"/>
          <w:lang w:eastAsia="zh-CN"/>
        </w:rPr>
        <w:t>.</w:t>
      </w:r>
      <w:proofErr w:type="gramEnd"/>
      <w:r w:rsidRPr="00994F1E">
        <w:rPr>
          <w:rFonts w:ascii="Arial" w:hAnsi="Arial" w:cs="Arial"/>
          <w:lang w:eastAsia="zh-CN"/>
        </w:rPr>
        <w:t xml:space="preserve"> </w:t>
      </w:r>
      <w:r w:rsidRPr="00994F1E">
        <w:rPr>
          <w:rFonts w:ascii="Arial" w:hAnsi="Arial" w:cs="Arial"/>
        </w:rPr>
        <w:t>Fazio</w:t>
      </w:r>
      <w:r w:rsidRPr="00994F1E">
        <w:rPr>
          <w:rFonts w:ascii="Arial" w:hAnsi="Arial" w:cs="Arial"/>
          <w:lang w:eastAsia="zh-CN"/>
        </w:rPr>
        <w:t xml:space="preserve">, </w:t>
      </w:r>
      <w:r w:rsidRPr="00994F1E">
        <w:rPr>
          <w:rFonts w:ascii="Arial" w:hAnsi="Arial" w:cs="Arial"/>
        </w:rPr>
        <w:t>X</w:t>
      </w:r>
      <w:r w:rsidRPr="00994F1E">
        <w:rPr>
          <w:rFonts w:ascii="Arial" w:hAnsi="Arial" w:cs="Arial"/>
          <w:lang w:eastAsia="zh-CN"/>
        </w:rPr>
        <w:t>.</w:t>
      </w:r>
      <w:r w:rsidRPr="00994F1E">
        <w:rPr>
          <w:rFonts w:ascii="Arial" w:hAnsi="Arial" w:cs="Arial"/>
        </w:rPr>
        <w:t xml:space="preserve"> </w:t>
      </w:r>
      <w:proofErr w:type="spellStart"/>
      <w:r w:rsidRPr="00994F1E">
        <w:rPr>
          <w:rFonts w:ascii="Arial" w:hAnsi="Arial" w:cs="Arial"/>
        </w:rPr>
        <w:t>Gichuru</w:t>
      </w:r>
      <w:proofErr w:type="spellEnd"/>
      <w:r w:rsidRPr="00994F1E">
        <w:rPr>
          <w:rFonts w:ascii="Arial" w:hAnsi="Arial" w:cs="Arial"/>
          <w:lang w:eastAsia="zh-CN"/>
        </w:rPr>
        <w:t xml:space="preserve">, </w:t>
      </w:r>
      <w:r w:rsidRPr="00994F1E">
        <w:rPr>
          <w:rFonts w:ascii="Arial" w:hAnsi="Arial" w:cs="Arial"/>
        </w:rPr>
        <w:t>J</w:t>
      </w:r>
      <w:r w:rsidRPr="00994F1E">
        <w:rPr>
          <w:rFonts w:ascii="Arial" w:hAnsi="Arial" w:cs="Arial"/>
          <w:lang w:eastAsia="zh-CN"/>
        </w:rPr>
        <w:t>.</w:t>
      </w:r>
      <w:r w:rsidRPr="00994F1E">
        <w:rPr>
          <w:rFonts w:ascii="Arial" w:hAnsi="Arial" w:cs="Arial"/>
        </w:rPr>
        <w:t xml:space="preserve"> (2023). Global perspectives on STEM education. Higher Ed</w:t>
      </w:r>
      <w:r w:rsidRPr="00994F1E">
        <w:rPr>
          <w:rFonts w:ascii="Arial" w:hAnsi="Arial" w:cs="Arial"/>
        </w:rPr>
        <w:t>ucation, 85(2), 301-317.</w:t>
      </w:r>
    </w:p>
    <w:p w14:paraId="12838656" w14:textId="77777777" w:rsidR="00020A60" w:rsidRPr="00994F1E" w:rsidRDefault="00A31FC3" w:rsidP="00994F1E">
      <w:pPr>
        <w:pStyle w:val="ListParagraph"/>
        <w:numPr>
          <w:ilvl w:val="0"/>
          <w:numId w:val="4"/>
        </w:numPr>
        <w:jc w:val="both"/>
        <w:rPr>
          <w:rFonts w:ascii="Arial" w:hAnsi="Arial" w:cs="Arial"/>
        </w:rPr>
      </w:pPr>
      <w:proofErr w:type="spellStart"/>
      <w:r w:rsidRPr="00994F1E">
        <w:rPr>
          <w:rFonts w:ascii="Arial" w:hAnsi="Arial" w:cs="Arial"/>
        </w:rPr>
        <w:t>Egron-Polak</w:t>
      </w:r>
      <w:proofErr w:type="spellEnd"/>
      <w:r w:rsidRPr="00994F1E">
        <w:rPr>
          <w:rFonts w:ascii="Arial" w:hAnsi="Arial" w:cs="Arial"/>
        </w:rPr>
        <w:t>, E., &amp; Hudson, R. (2014). Internationalization of higher education: growing expectations, fundamental values; IAU 4th Global Survey</w:t>
      </w:r>
      <w:r w:rsidRPr="00994F1E">
        <w:rPr>
          <w:rFonts w:ascii="Arial" w:hAnsi="Arial" w:cs="Arial"/>
          <w:lang w:eastAsia="zh-CN"/>
        </w:rPr>
        <w:t>. https://unesdoc.unesco.org/ark:/48223/pf0000390089</w:t>
      </w:r>
    </w:p>
    <w:p w14:paraId="555CBAD2" w14:textId="77777777" w:rsidR="00020A60" w:rsidRPr="00994F1E" w:rsidRDefault="00A31FC3" w:rsidP="00994F1E">
      <w:pPr>
        <w:pStyle w:val="ListParagraph"/>
        <w:numPr>
          <w:ilvl w:val="0"/>
          <w:numId w:val="4"/>
        </w:numPr>
        <w:jc w:val="both"/>
        <w:rPr>
          <w:rFonts w:ascii="Arial" w:hAnsi="Arial" w:cs="Arial"/>
        </w:rPr>
      </w:pPr>
      <w:proofErr w:type="spellStart"/>
      <w:r w:rsidRPr="00994F1E">
        <w:rPr>
          <w:rFonts w:ascii="Arial" w:hAnsi="Arial" w:cs="Arial"/>
        </w:rPr>
        <w:t>Erkkilä</w:t>
      </w:r>
      <w:proofErr w:type="spellEnd"/>
      <w:r w:rsidRPr="00994F1E">
        <w:rPr>
          <w:rFonts w:ascii="Arial" w:hAnsi="Arial" w:cs="Arial"/>
        </w:rPr>
        <w:t xml:space="preserve">, T., </w:t>
      </w:r>
      <w:proofErr w:type="spellStart"/>
      <w:r w:rsidRPr="00994F1E">
        <w:rPr>
          <w:rFonts w:ascii="Arial" w:hAnsi="Arial" w:cs="Arial"/>
        </w:rPr>
        <w:t>Piironen</w:t>
      </w:r>
      <w:proofErr w:type="spellEnd"/>
      <w:r w:rsidRPr="00994F1E">
        <w:rPr>
          <w:rFonts w:ascii="Arial" w:hAnsi="Arial" w:cs="Arial"/>
        </w:rPr>
        <w:t>, O. (2020). W</w:t>
      </w:r>
      <w:r w:rsidRPr="00994F1E">
        <w:rPr>
          <w:rFonts w:ascii="Arial" w:hAnsi="Arial" w:cs="Arial"/>
        </w:rPr>
        <w:t xml:space="preserve">hat Counts as World Class? Global University Rankings and Shifts in Institutional Strategies. In: Rider, S., Peters, M.A., </w:t>
      </w:r>
      <w:proofErr w:type="spellStart"/>
      <w:r w:rsidRPr="00994F1E">
        <w:rPr>
          <w:rFonts w:ascii="Arial" w:hAnsi="Arial" w:cs="Arial"/>
        </w:rPr>
        <w:t>Hyvönen</w:t>
      </w:r>
      <w:proofErr w:type="spellEnd"/>
      <w:r w:rsidRPr="00994F1E">
        <w:rPr>
          <w:rFonts w:ascii="Arial" w:hAnsi="Arial" w:cs="Arial"/>
        </w:rPr>
        <w:t xml:space="preserve">, M., </w:t>
      </w:r>
      <w:proofErr w:type="spellStart"/>
      <w:r w:rsidRPr="00994F1E">
        <w:rPr>
          <w:rFonts w:ascii="Arial" w:hAnsi="Arial" w:cs="Arial"/>
        </w:rPr>
        <w:t>Besley</w:t>
      </w:r>
      <w:proofErr w:type="spellEnd"/>
      <w:r w:rsidRPr="00994F1E">
        <w:rPr>
          <w:rFonts w:ascii="Arial" w:hAnsi="Arial" w:cs="Arial"/>
        </w:rPr>
        <w:t>, T. (eds) World Class Universities. Evaluating Education: Normative Systems and Institutional Practices. Springer</w:t>
      </w:r>
      <w:r w:rsidRPr="00994F1E">
        <w:rPr>
          <w:rFonts w:ascii="Arial" w:hAnsi="Arial" w:cs="Arial"/>
        </w:rPr>
        <w:t>, Singapore. https://doi.org/10.1007/978-981-15-7598-3_11</w:t>
      </w:r>
    </w:p>
    <w:p w14:paraId="76AFA5B6" w14:textId="77777777" w:rsidR="00020A60" w:rsidRPr="00994F1E" w:rsidRDefault="00A31FC3" w:rsidP="00994F1E">
      <w:pPr>
        <w:pStyle w:val="ListParagraph"/>
        <w:numPr>
          <w:ilvl w:val="0"/>
          <w:numId w:val="4"/>
        </w:numPr>
        <w:jc w:val="both"/>
        <w:rPr>
          <w:rFonts w:ascii="Arial" w:hAnsi="Arial" w:cs="Arial"/>
        </w:rPr>
      </w:pPr>
      <w:r w:rsidRPr="00994F1E">
        <w:rPr>
          <w:rFonts w:ascii="Arial" w:hAnsi="Arial" w:cs="Arial"/>
        </w:rPr>
        <w:t xml:space="preserve">Evers, N., &amp; van </w:t>
      </w:r>
      <w:proofErr w:type="spellStart"/>
      <w:r w:rsidRPr="00994F1E">
        <w:rPr>
          <w:rFonts w:ascii="Arial" w:hAnsi="Arial" w:cs="Arial"/>
        </w:rPr>
        <w:t>Gaalen</w:t>
      </w:r>
      <w:proofErr w:type="spellEnd"/>
      <w:r w:rsidRPr="00994F1E">
        <w:rPr>
          <w:rFonts w:ascii="Arial" w:hAnsi="Arial" w:cs="Arial"/>
        </w:rPr>
        <w:t xml:space="preserve">, A. </w:t>
      </w:r>
      <w:r w:rsidRPr="00994F1E">
        <w:rPr>
          <w:rFonts w:ascii="Arial" w:hAnsi="Arial" w:cs="Arial"/>
          <w:lang w:eastAsia="zh-CN"/>
        </w:rPr>
        <w:t xml:space="preserve">(2010) </w:t>
      </w:r>
      <w:r w:rsidRPr="00994F1E">
        <w:rPr>
          <w:rFonts w:ascii="Arial" w:hAnsi="Arial" w:cs="Arial"/>
        </w:rPr>
        <w:t xml:space="preserve">Indicator Projects on </w:t>
      </w:r>
      <w:proofErr w:type="spellStart"/>
      <w:r w:rsidRPr="00994F1E">
        <w:rPr>
          <w:rFonts w:ascii="Arial" w:hAnsi="Arial" w:cs="Arial"/>
        </w:rPr>
        <w:t>Internationalisation</w:t>
      </w:r>
      <w:proofErr w:type="spellEnd"/>
      <w:r w:rsidRPr="00994F1E">
        <w:rPr>
          <w:rFonts w:ascii="Arial" w:hAnsi="Arial" w:cs="Arial"/>
        </w:rPr>
        <w:t xml:space="preserve">: Approaches, Methods and Findings - A report in the context of the European project “Indicators for Mapping &amp; Profiling </w:t>
      </w:r>
      <w:proofErr w:type="spellStart"/>
      <w:proofErr w:type="gramStart"/>
      <w:r w:rsidRPr="00994F1E">
        <w:rPr>
          <w:rFonts w:ascii="Arial" w:hAnsi="Arial" w:cs="Arial"/>
        </w:rPr>
        <w:t>Internationalisation</w:t>
      </w:r>
      <w:proofErr w:type="spellEnd"/>
      <w:r w:rsidRPr="00994F1E">
        <w:rPr>
          <w:rFonts w:ascii="Arial" w:hAnsi="Arial" w:cs="Arial"/>
        </w:rPr>
        <w:t>”  (</w:t>
      </w:r>
      <w:proofErr w:type="gramEnd"/>
      <w:r w:rsidRPr="00994F1E">
        <w:rPr>
          <w:rFonts w:ascii="Arial" w:hAnsi="Arial" w:cs="Arial"/>
        </w:rPr>
        <w:t>IMPI).</w:t>
      </w:r>
    </w:p>
    <w:p w14:paraId="2CB5D8D4" w14:textId="77777777" w:rsidR="00020A60" w:rsidRPr="00994F1E" w:rsidRDefault="00A31FC3" w:rsidP="00994F1E">
      <w:pPr>
        <w:pStyle w:val="ListParagraph"/>
        <w:numPr>
          <w:ilvl w:val="0"/>
          <w:numId w:val="4"/>
        </w:numPr>
        <w:jc w:val="both"/>
        <w:rPr>
          <w:rFonts w:ascii="Arial" w:hAnsi="Arial" w:cs="Arial"/>
        </w:rPr>
      </w:pPr>
      <w:r w:rsidRPr="00994F1E">
        <w:rPr>
          <w:rFonts w:ascii="Arial" w:hAnsi="Arial" w:cs="Arial"/>
        </w:rPr>
        <w:t xml:space="preserve">Guo, Y., &amp; Li, X. (2024). Regional inequality in China's educational development: An urban-rural comparison. </w:t>
      </w:r>
      <w:proofErr w:type="spellStart"/>
      <w:r w:rsidRPr="00994F1E">
        <w:rPr>
          <w:rFonts w:ascii="Arial" w:hAnsi="Arial" w:cs="Arial"/>
        </w:rPr>
        <w:t>Heliyon</w:t>
      </w:r>
      <w:proofErr w:type="spellEnd"/>
      <w:r w:rsidRPr="00994F1E">
        <w:rPr>
          <w:rFonts w:ascii="Arial" w:hAnsi="Arial" w:cs="Arial"/>
        </w:rPr>
        <w:t>, 10(4), e26249. https://doi.org/10.1016/j.heliyon.2024.e26249</w:t>
      </w:r>
    </w:p>
    <w:p w14:paraId="7E29923A" w14:textId="77777777" w:rsidR="00020A60" w:rsidRPr="00994F1E" w:rsidRDefault="00A31FC3" w:rsidP="00994F1E">
      <w:pPr>
        <w:pStyle w:val="ListParagraph"/>
        <w:numPr>
          <w:ilvl w:val="0"/>
          <w:numId w:val="4"/>
        </w:numPr>
        <w:jc w:val="both"/>
        <w:rPr>
          <w:rFonts w:ascii="Arial" w:hAnsi="Arial" w:cs="Arial"/>
        </w:rPr>
      </w:pPr>
      <w:r w:rsidRPr="00994F1E">
        <w:rPr>
          <w:rFonts w:ascii="Arial" w:hAnsi="Arial" w:cs="Arial"/>
        </w:rPr>
        <w:t>Han, Y., Ni, R., &amp; Gao, J. (2023). Regional In</w:t>
      </w:r>
      <w:r w:rsidRPr="00994F1E">
        <w:rPr>
          <w:rFonts w:ascii="Arial" w:hAnsi="Arial" w:cs="Arial"/>
        </w:rPr>
        <w:t xml:space="preserve">equality of Higher Education Development in China: Comprehensive Evaluation and Geographical Representation. Sustainability, 15(3), 1824. https://doi.org/10.3390/su15031824 </w:t>
      </w:r>
    </w:p>
    <w:p w14:paraId="165F0E2C" w14:textId="77777777" w:rsidR="00020A60" w:rsidRPr="00994F1E" w:rsidRDefault="00A31FC3" w:rsidP="00994F1E">
      <w:pPr>
        <w:pStyle w:val="ListParagraph"/>
        <w:numPr>
          <w:ilvl w:val="0"/>
          <w:numId w:val="4"/>
        </w:numPr>
        <w:jc w:val="both"/>
        <w:rPr>
          <w:rFonts w:ascii="Arial" w:hAnsi="Arial" w:cs="Arial"/>
        </w:rPr>
      </w:pPr>
      <w:r w:rsidRPr="00994F1E">
        <w:rPr>
          <w:rFonts w:ascii="Arial" w:hAnsi="Arial" w:cs="Arial"/>
        </w:rPr>
        <w:t xml:space="preserve">Herrmann, K. J., </w:t>
      </w:r>
      <w:proofErr w:type="spellStart"/>
      <w:r w:rsidRPr="00994F1E">
        <w:rPr>
          <w:rFonts w:ascii="Arial" w:hAnsi="Arial" w:cs="Arial"/>
        </w:rPr>
        <w:t>Bager-Elsborg</w:t>
      </w:r>
      <w:proofErr w:type="spellEnd"/>
      <w:r w:rsidRPr="00994F1E">
        <w:rPr>
          <w:rFonts w:ascii="Arial" w:hAnsi="Arial" w:cs="Arial"/>
        </w:rPr>
        <w:t>, A., &amp; McCune, V. (2017). Investigating the relatio</w:t>
      </w:r>
      <w:r w:rsidRPr="00994F1E">
        <w:rPr>
          <w:rFonts w:ascii="Arial" w:hAnsi="Arial" w:cs="Arial"/>
        </w:rPr>
        <w:t xml:space="preserve">nships between approaches to learning, learner identities and academic achievement in higher education. Higher Education, 74(3), 385-400. https://doi.org/10.1007/s10734-016-9999-6 </w:t>
      </w:r>
    </w:p>
    <w:p w14:paraId="72D8B804" w14:textId="77777777" w:rsidR="00020A60" w:rsidRPr="00994F1E" w:rsidRDefault="00A31FC3" w:rsidP="00994F1E">
      <w:pPr>
        <w:pStyle w:val="ListParagraph"/>
        <w:numPr>
          <w:ilvl w:val="0"/>
          <w:numId w:val="4"/>
        </w:numPr>
        <w:jc w:val="both"/>
        <w:rPr>
          <w:rFonts w:ascii="Arial" w:hAnsi="Arial" w:cs="Arial"/>
        </w:rPr>
      </w:pPr>
      <w:r w:rsidRPr="00994F1E">
        <w:rPr>
          <w:rFonts w:ascii="Arial" w:hAnsi="Arial" w:cs="Arial"/>
        </w:rPr>
        <w:t xml:space="preserve">Kirby, W. C., </w:t>
      </w:r>
      <w:proofErr w:type="spellStart"/>
      <w:r w:rsidRPr="00994F1E">
        <w:rPr>
          <w:rFonts w:ascii="Arial" w:hAnsi="Arial" w:cs="Arial"/>
        </w:rPr>
        <w:t>Eby</w:t>
      </w:r>
      <w:proofErr w:type="spellEnd"/>
      <w:r w:rsidRPr="00994F1E">
        <w:rPr>
          <w:rFonts w:ascii="Arial" w:hAnsi="Arial" w:cs="Arial"/>
        </w:rPr>
        <w:t>, J. W., &amp; Wang, Y. (2015). Higher education in China: Int</w:t>
      </w:r>
      <w:r w:rsidRPr="00994F1E">
        <w:rPr>
          <w:rFonts w:ascii="Arial" w:hAnsi="Arial" w:cs="Arial"/>
        </w:rPr>
        <w:t>ernationalization in turbulent times (Harvard Business School Background Note 316-066). Harvard Business School. (Revised August 2019).</w:t>
      </w:r>
    </w:p>
    <w:p w14:paraId="05CDF802" w14:textId="77777777" w:rsidR="00020A60" w:rsidRPr="00994F1E" w:rsidRDefault="00A31FC3" w:rsidP="00994F1E">
      <w:pPr>
        <w:pStyle w:val="ListParagraph"/>
        <w:numPr>
          <w:ilvl w:val="0"/>
          <w:numId w:val="4"/>
        </w:numPr>
        <w:jc w:val="both"/>
        <w:rPr>
          <w:rFonts w:ascii="Arial" w:hAnsi="Arial" w:cs="Arial"/>
        </w:rPr>
      </w:pPr>
      <w:r w:rsidRPr="00994F1E">
        <w:rPr>
          <w:rFonts w:ascii="Arial" w:hAnsi="Arial" w:cs="Arial"/>
        </w:rPr>
        <w:t>Knight, J. (2011). Five Myths about Internationalization. International Higher Education, (62). https://doi.org/10.6017/</w:t>
      </w:r>
      <w:r w:rsidRPr="00994F1E">
        <w:rPr>
          <w:rFonts w:ascii="Arial" w:hAnsi="Arial" w:cs="Arial"/>
        </w:rPr>
        <w:t>ihe.2011.62.8532</w:t>
      </w:r>
    </w:p>
    <w:p w14:paraId="732E2990" w14:textId="77777777" w:rsidR="00020A60" w:rsidRPr="00994F1E" w:rsidRDefault="00A31FC3" w:rsidP="00994F1E">
      <w:pPr>
        <w:pStyle w:val="ListParagraph"/>
        <w:numPr>
          <w:ilvl w:val="0"/>
          <w:numId w:val="4"/>
        </w:numPr>
        <w:jc w:val="both"/>
        <w:rPr>
          <w:rFonts w:ascii="Arial" w:hAnsi="Arial" w:cs="Arial"/>
        </w:rPr>
      </w:pPr>
      <w:r w:rsidRPr="00994F1E">
        <w:rPr>
          <w:rFonts w:ascii="Arial" w:hAnsi="Arial" w:cs="Arial"/>
        </w:rPr>
        <w:t>Leask, B. (2015). Internationalizing the Curriculum (1st ed.). Routledge. https://doi.org/10.4324/9781315716954</w:t>
      </w:r>
    </w:p>
    <w:p w14:paraId="61DE583D" w14:textId="77777777" w:rsidR="00020A60" w:rsidRPr="00994F1E" w:rsidRDefault="00A31FC3" w:rsidP="00994F1E">
      <w:pPr>
        <w:pStyle w:val="ListParagraph"/>
        <w:numPr>
          <w:ilvl w:val="0"/>
          <w:numId w:val="4"/>
        </w:numPr>
        <w:jc w:val="both"/>
        <w:rPr>
          <w:rFonts w:ascii="Arial" w:hAnsi="Arial" w:cs="Arial"/>
        </w:rPr>
      </w:pPr>
      <w:r w:rsidRPr="00994F1E">
        <w:rPr>
          <w:rFonts w:ascii="Arial" w:hAnsi="Arial" w:cs="Arial"/>
        </w:rPr>
        <w:t xml:space="preserve">Li, H., </w:t>
      </w:r>
      <w:proofErr w:type="spellStart"/>
      <w:r w:rsidRPr="00994F1E">
        <w:rPr>
          <w:rFonts w:ascii="Arial" w:hAnsi="Arial" w:cs="Arial"/>
        </w:rPr>
        <w:t>Khattak</w:t>
      </w:r>
      <w:proofErr w:type="spellEnd"/>
      <w:r w:rsidRPr="00994F1E">
        <w:rPr>
          <w:rFonts w:ascii="Arial" w:hAnsi="Arial" w:cs="Arial"/>
        </w:rPr>
        <w:t>, S.I., &amp; Jiang, Q. (2021). A Qualitative Assessment of the Determinants of Faculty Engagement in Internationali</w:t>
      </w:r>
      <w:r w:rsidRPr="00994F1E">
        <w:rPr>
          <w:rFonts w:ascii="Arial" w:hAnsi="Arial" w:cs="Arial"/>
        </w:rPr>
        <w:t>zation: A Chinese Perspective. SAGE Open, 11.</w:t>
      </w:r>
    </w:p>
    <w:p w14:paraId="2625ABE0" w14:textId="77777777" w:rsidR="00020A60" w:rsidRPr="00994F1E" w:rsidRDefault="00A31FC3" w:rsidP="00994F1E">
      <w:pPr>
        <w:pStyle w:val="ListParagraph"/>
        <w:numPr>
          <w:ilvl w:val="0"/>
          <w:numId w:val="4"/>
        </w:numPr>
        <w:jc w:val="both"/>
        <w:rPr>
          <w:rFonts w:ascii="Arial" w:hAnsi="Arial" w:cs="Arial"/>
        </w:rPr>
      </w:pPr>
      <w:r w:rsidRPr="00994F1E">
        <w:rPr>
          <w:rFonts w:ascii="Arial" w:hAnsi="Arial" w:cs="Arial"/>
        </w:rPr>
        <w:t xml:space="preserve">Ministry of Education. (2023). </w:t>
      </w:r>
      <w:proofErr w:type="spellStart"/>
      <w:r w:rsidRPr="00994F1E">
        <w:rPr>
          <w:rFonts w:ascii="Arial" w:hAnsi="Arial" w:cs="Arial"/>
        </w:rPr>
        <w:t>RBasic</w:t>
      </w:r>
      <w:proofErr w:type="spellEnd"/>
      <w:r w:rsidRPr="00994F1E">
        <w:rPr>
          <w:rFonts w:ascii="Arial" w:hAnsi="Arial" w:cs="Arial"/>
        </w:rPr>
        <w:t xml:space="preserve"> situation of the development of education in China in 2023. http://www.moe.gov.cn/fbh/live/2024/55831/sfcl/202403/t20240301_1117517.html</w:t>
      </w:r>
    </w:p>
    <w:p w14:paraId="1E8FABC6" w14:textId="77777777" w:rsidR="00020A60" w:rsidRPr="00994F1E" w:rsidRDefault="00A31FC3" w:rsidP="00994F1E">
      <w:pPr>
        <w:pStyle w:val="ListParagraph"/>
        <w:numPr>
          <w:ilvl w:val="0"/>
          <w:numId w:val="4"/>
        </w:numPr>
        <w:jc w:val="both"/>
        <w:rPr>
          <w:rFonts w:ascii="Arial" w:hAnsi="Arial" w:cs="Arial"/>
        </w:rPr>
      </w:pPr>
      <w:proofErr w:type="spellStart"/>
      <w:r w:rsidRPr="00994F1E">
        <w:rPr>
          <w:rFonts w:ascii="Arial" w:hAnsi="Arial" w:cs="Arial"/>
        </w:rPr>
        <w:t>Normén</w:t>
      </w:r>
      <w:proofErr w:type="spellEnd"/>
      <w:r w:rsidRPr="00994F1E">
        <w:rPr>
          <w:rFonts w:ascii="Arial" w:hAnsi="Arial" w:cs="Arial"/>
        </w:rPr>
        <w:t xml:space="preserve">-Smith, J. (Ed.), van </w:t>
      </w:r>
      <w:proofErr w:type="spellStart"/>
      <w:r w:rsidRPr="00994F1E">
        <w:rPr>
          <w:rFonts w:ascii="Arial" w:hAnsi="Arial" w:cs="Arial"/>
        </w:rPr>
        <w:t>Cappell</w:t>
      </w:r>
      <w:r w:rsidRPr="00994F1E">
        <w:rPr>
          <w:rFonts w:ascii="Arial" w:hAnsi="Arial" w:cs="Arial"/>
        </w:rPr>
        <w:t>e</w:t>
      </w:r>
      <w:proofErr w:type="spellEnd"/>
      <w:r w:rsidRPr="00994F1E">
        <w:rPr>
          <w:rFonts w:ascii="Arial" w:hAnsi="Arial" w:cs="Arial"/>
        </w:rPr>
        <w:t xml:space="preserve">, F. (Ed.), </w:t>
      </w:r>
      <w:proofErr w:type="spellStart"/>
      <w:r w:rsidRPr="00994F1E">
        <w:rPr>
          <w:rFonts w:ascii="Arial" w:hAnsi="Arial" w:cs="Arial"/>
        </w:rPr>
        <w:t>Atis</w:t>
      </w:r>
      <w:proofErr w:type="spellEnd"/>
      <w:r w:rsidRPr="00994F1E">
        <w:rPr>
          <w:rFonts w:ascii="Arial" w:hAnsi="Arial" w:cs="Arial"/>
        </w:rPr>
        <w:t xml:space="preserve">, E. (Ed.), &amp; </w:t>
      </w:r>
      <w:proofErr w:type="spellStart"/>
      <w:r w:rsidRPr="00994F1E">
        <w:rPr>
          <w:rFonts w:ascii="Arial" w:hAnsi="Arial" w:cs="Arial"/>
        </w:rPr>
        <w:t>Ghobashy</w:t>
      </w:r>
      <w:proofErr w:type="spellEnd"/>
      <w:r w:rsidRPr="00994F1E">
        <w:rPr>
          <w:rFonts w:ascii="Arial" w:hAnsi="Arial" w:cs="Arial"/>
        </w:rPr>
        <w:t xml:space="preserve">, D. (Ed.). (2024). Six pillars for the digital transformation of education: A common framework (ED-2024/WS/23 Rev.). </w:t>
      </w:r>
      <w:r w:rsidRPr="00994F1E">
        <w:rPr>
          <w:rFonts w:ascii="Arial" w:hAnsi="Arial" w:cs="Arial"/>
          <w:lang w:eastAsia="zh-CN"/>
        </w:rPr>
        <w:t>UNESCO</w:t>
      </w:r>
      <w:r w:rsidRPr="00994F1E">
        <w:rPr>
          <w:rFonts w:ascii="Arial" w:hAnsi="Arial" w:cs="Arial"/>
        </w:rPr>
        <w:t>.</w:t>
      </w:r>
      <w:r w:rsidRPr="00994F1E">
        <w:rPr>
          <w:rFonts w:ascii="Arial" w:hAnsi="Arial" w:cs="Arial"/>
          <w:lang w:eastAsia="zh-CN"/>
        </w:rPr>
        <w:t xml:space="preserve"> https://unesdoc.unesco.org/ark:/48223/pf0000391299</w:t>
      </w:r>
    </w:p>
    <w:p w14:paraId="2180320A" w14:textId="77777777" w:rsidR="00020A60" w:rsidRPr="00994F1E" w:rsidRDefault="00A31FC3" w:rsidP="00994F1E">
      <w:pPr>
        <w:pStyle w:val="ListParagraph"/>
        <w:numPr>
          <w:ilvl w:val="0"/>
          <w:numId w:val="4"/>
        </w:numPr>
        <w:jc w:val="both"/>
        <w:rPr>
          <w:rFonts w:ascii="Arial" w:hAnsi="Arial" w:cs="Arial"/>
        </w:rPr>
      </w:pPr>
      <w:proofErr w:type="spellStart"/>
      <w:r w:rsidRPr="00994F1E">
        <w:rPr>
          <w:rFonts w:ascii="Arial" w:hAnsi="Arial" w:cs="Arial"/>
        </w:rPr>
        <w:lastRenderedPageBreak/>
        <w:t>Ocheja</w:t>
      </w:r>
      <w:proofErr w:type="spellEnd"/>
      <w:r w:rsidRPr="00994F1E">
        <w:rPr>
          <w:rFonts w:ascii="Arial" w:hAnsi="Arial" w:cs="Arial"/>
        </w:rPr>
        <w:t xml:space="preserve">, P., </w:t>
      </w:r>
      <w:proofErr w:type="spellStart"/>
      <w:r w:rsidRPr="00994F1E">
        <w:rPr>
          <w:rFonts w:ascii="Arial" w:hAnsi="Arial" w:cs="Arial"/>
        </w:rPr>
        <w:t>Agbo</w:t>
      </w:r>
      <w:proofErr w:type="spellEnd"/>
      <w:r w:rsidRPr="00994F1E">
        <w:rPr>
          <w:rFonts w:ascii="Arial" w:hAnsi="Arial" w:cs="Arial"/>
        </w:rPr>
        <w:t xml:space="preserve">, F. J., </w:t>
      </w:r>
      <w:proofErr w:type="spellStart"/>
      <w:r w:rsidRPr="00994F1E">
        <w:rPr>
          <w:rFonts w:ascii="Arial" w:hAnsi="Arial" w:cs="Arial"/>
        </w:rPr>
        <w:t>Oyelere</w:t>
      </w:r>
      <w:proofErr w:type="spellEnd"/>
      <w:r w:rsidRPr="00994F1E">
        <w:rPr>
          <w:rFonts w:ascii="Arial" w:hAnsi="Arial" w:cs="Arial"/>
        </w:rPr>
        <w:t>, S. S.,</w:t>
      </w:r>
      <w:r w:rsidRPr="00994F1E">
        <w:rPr>
          <w:rFonts w:ascii="Arial" w:hAnsi="Arial" w:cs="Arial"/>
        </w:rPr>
        <w:t xml:space="preserve"> Flanagan, B., &amp; Ogata, H. (2022). Blockchain in education: A systematic review and practical case studies. IEEE Access, 10, 99525–99540. https://doi.org/10.1109/ACCESS.2022.3206791</w:t>
      </w:r>
    </w:p>
    <w:p w14:paraId="564FA1B3" w14:textId="77777777" w:rsidR="00020A60" w:rsidRPr="00994F1E" w:rsidRDefault="00A31FC3" w:rsidP="00994F1E">
      <w:pPr>
        <w:pStyle w:val="ListParagraph"/>
        <w:numPr>
          <w:ilvl w:val="0"/>
          <w:numId w:val="4"/>
        </w:numPr>
        <w:jc w:val="both"/>
        <w:rPr>
          <w:rFonts w:ascii="Arial" w:hAnsi="Arial" w:cs="Arial"/>
        </w:rPr>
      </w:pPr>
      <w:proofErr w:type="spellStart"/>
      <w:r w:rsidRPr="00994F1E">
        <w:rPr>
          <w:rFonts w:ascii="Arial" w:hAnsi="Arial" w:cs="Arial"/>
        </w:rPr>
        <w:t>Rumbley</w:t>
      </w:r>
      <w:proofErr w:type="spellEnd"/>
      <w:r w:rsidRPr="00994F1E">
        <w:rPr>
          <w:rFonts w:ascii="Arial" w:hAnsi="Arial" w:cs="Arial"/>
        </w:rPr>
        <w:t>, L.E., de Wit, H. (2020). Internationally Mobile Faculty, Comparat</w:t>
      </w:r>
      <w:r w:rsidRPr="00994F1E">
        <w:rPr>
          <w:rFonts w:ascii="Arial" w:hAnsi="Arial" w:cs="Arial"/>
        </w:rPr>
        <w:t>ive Perspectives. In: Teixeira, P.N., Shin, J.C. (eds) The International Encyclopedia of Higher Education Systems and Institutions. Springer, Dordrecht. https://doi.org/10.1007/978-94-017-8905-9_232</w:t>
      </w:r>
    </w:p>
    <w:p w14:paraId="71AF1FD5" w14:textId="77777777" w:rsidR="00020A60" w:rsidRPr="00994F1E" w:rsidRDefault="00A31FC3" w:rsidP="00994F1E">
      <w:pPr>
        <w:pStyle w:val="ListParagraph"/>
        <w:numPr>
          <w:ilvl w:val="0"/>
          <w:numId w:val="4"/>
        </w:numPr>
        <w:jc w:val="both"/>
        <w:rPr>
          <w:rFonts w:ascii="Arial" w:hAnsi="Arial" w:cs="Arial"/>
        </w:rPr>
      </w:pPr>
      <w:proofErr w:type="spellStart"/>
      <w:r w:rsidRPr="00994F1E">
        <w:rPr>
          <w:rFonts w:ascii="Arial" w:hAnsi="Arial" w:cs="Arial"/>
        </w:rPr>
        <w:t>Saaty</w:t>
      </w:r>
      <w:proofErr w:type="spellEnd"/>
      <w:r w:rsidRPr="00994F1E">
        <w:rPr>
          <w:rFonts w:ascii="Arial" w:hAnsi="Arial" w:cs="Arial"/>
        </w:rPr>
        <w:t>, T. L. (2008). Decision making with the analytic hi</w:t>
      </w:r>
      <w:r w:rsidRPr="00994F1E">
        <w:rPr>
          <w:rFonts w:ascii="Arial" w:hAnsi="Arial" w:cs="Arial"/>
        </w:rPr>
        <w:t>erarchy process. International Journal of Services Sciences, 1(1), 83-98. https://doi.org/10.1504/IJSSci.2008.01759</w:t>
      </w:r>
    </w:p>
    <w:p w14:paraId="7CD1DF07" w14:textId="77777777" w:rsidR="00020A60" w:rsidRPr="00994F1E" w:rsidRDefault="00A31FC3" w:rsidP="00994F1E">
      <w:pPr>
        <w:pStyle w:val="ListParagraph"/>
        <w:numPr>
          <w:ilvl w:val="0"/>
          <w:numId w:val="4"/>
        </w:numPr>
        <w:jc w:val="both"/>
        <w:rPr>
          <w:rFonts w:ascii="Arial" w:hAnsi="Arial" w:cs="Arial"/>
        </w:rPr>
      </w:pPr>
      <w:r w:rsidRPr="00994F1E">
        <w:rPr>
          <w:rFonts w:ascii="Arial" w:hAnsi="Arial" w:cs="Arial"/>
        </w:rPr>
        <w:t xml:space="preserve">Selwyn, N. (2022). Education and technology: Key issues and debates. International Review of Education. </w:t>
      </w:r>
      <w:r w:rsidRPr="00994F1E">
        <w:rPr>
          <w:rFonts w:ascii="Arial" w:hAnsi="Arial" w:cs="Arial"/>
        </w:rPr>
        <w:t>https://doi.org/10.1007/s11159-022-09971-9</w:t>
      </w:r>
    </w:p>
    <w:p w14:paraId="43F9D395" w14:textId="77777777" w:rsidR="00020A60" w:rsidRPr="00994F1E" w:rsidRDefault="00A31FC3" w:rsidP="00994F1E">
      <w:pPr>
        <w:pStyle w:val="ListParagraph"/>
        <w:numPr>
          <w:ilvl w:val="0"/>
          <w:numId w:val="4"/>
        </w:numPr>
        <w:jc w:val="both"/>
        <w:rPr>
          <w:rFonts w:ascii="Arial" w:hAnsi="Arial" w:cs="Arial"/>
        </w:rPr>
      </w:pPr>
      <w:proofErr w:type="spellStart"/>
      <w:r w:rsidRPr="00994F1E">
        <w:rPr>
          <w:rFonts w:ascii="Arial" w:hAnsi="Arial" w:cs="Arial"/>
        </w:rPr>
        <w:t>Suhirman</w:t>
      </w:r>
      <w:proofErr w:type="spellEnd"/>
      <w:r w:rsidRPr="00994F1E">
        <w:rPr>
          <w:rFonts w:ascii="Arial" w:hAnsi="Arial" w:cs="Arial"/>
        </w:rPr>
        <w:t xml:space="preserve">, S. (2023). Overcoming challenges in STEM education: A literature review that leads to effective pedagogy in STEM learning. </w:t>
      </w:r>
      <w:proofErr w:type="spellStart"/>
      <w:r w:rsidRPr="00994F1E">
        <w:rPr>
          <w:rFonts w:ascii="Arial" w:hAnsi="Arial" w:cs="Arial"/>
        </w:rPr>
        <w:t>Jurnal</w:t>
      </w:r>
      <w:proofErr w:type="spellEnd"/>
      <w:r w:rsidRPr="00994F1E">
        <w:rPr>
          <w:rFonts w:ascii="Arial" w:hAnsi="Arial" w:cs="Arial"/>
        </w:rPr>
        <w:t xml:space="preserve"> </w:t>
      </w:r>
      <w:proofErr w:type="spellStart"/>
      <w:r w:rsidRPr="00994F1E">
        <w:rPr>
          <w:rFonts w:ascii="Arial" w:hAnsi="Arial" w:cs="Arial"/>
        </w:rPr>
        <w:t>Penelitian</w:t>
      </w:r>
      <w:proofErr w:type="spellEnd"/>
      <w:r w:rsidRPr="00994F1E">
        <w:rPr>
          <w:rFonts w:ascii="Arial" w:hAnsi="Arial" w:cs="Arial"/>
        </w:rPr>
        <w:t xml:space="preserve"> Pendidikan IPA, 9(8), 432–443. </w:t>
      </w:r>
      <w:r w:rsidRPr="00994F1E">
        <w:rPr>
          <w:rFonts w:ascii="Arial" w:hAnsi="Arial" w:cs="Arial"/>
        </w:rPr>
        <w:t>https://doi.org/10.29303/jppipa</w:t>
      </w:r>
      <w:r w:rsidRPr="00994F1E">
        <w:rPr>
          <w:rFonts w:ascii="Arial" w:hAnsi="Arial" w:cs="Arial"/>
        </w:rPr>
        <w:t>.v9i8.4715</w:t>
      </w:r>
    </w:p>
    <w:p w14:paraId="6AC3AFAA" w14:textId="77777777" w:rsidR="00020A60" w:rsidRPr="00994F1E" w:rsidRDefault="00A31FC3" w:rsidP="00994F1E">
      <w:pPr>
        <w:pStyle w:val="ListParagraph"/>
        <w:numPr>
          <w:ilvl w:val="0"/>
          <w:numId w:val="4"/>
        </w:numPr>
        <w:jc w:val="both"/>
        <w:rPr>
          <w:rFonts w:ascii="Arial" w:hAnsi="Arial" w:cs="Arial"/>
          <w:color w:val="0000FF"/>
        </w:rPr>
      </w:pPr>
      <w:proofErr w:type="spellStart"/>
      <w:r w:rsidRPr="00994F1E">
        <w:rPr>
          <w:rFonts w:ascii="Arial" w:hAnsi="Arial" w:cs="Arial" w:hint="eastAsia"/>
          <w:color w:val="0000FF"/>
        </w:rPr>
        <w:t>Syomwene</w:t>
      </w:r>
      <w:proofErr w:type="spellEnd"/>
      <w:r w:rsidRPr="00994F1E">
        <w:rPr>
          <w:rFonts w:ascii="Arial" w:hAnsi="Arial" w:cs="Arial" w:hint="eastAsia"/>
          <w:color w:val="0000FF"/>
        </w:rPr>
        <w:t>, A. (2021). Graduate Students</w:t>
      </w:r>
      <w:r w:rsidRPr="00994F1E">
        <w:rPr>
          <w:rFonts w:ascii="Arial" w:eastAsia="SimSun" w:hAnsi="Arial" w:cs="Arial"/>
          <w:color w:val="0000FF"/>
          <w:lang w:eastAsia="zh-CN"/>
        </w:rPr>
        <w:t>’</w:t>
      </w:r>
      <w:r w:rsidRPr="00994F1E">
        <w:rPr>
          <w:rFonts w:ascii="Arial" w:eastAsia="SimSun" w:hAnsi="Arial" w:cs="Arial" w:hint="eastAsia"/>
          <w:color w:val="0000FF"/>
          <w:lang w:eastAsia="zh-CN"/>
        </w:rPr>
        <w:t xml:space="preserve"> </w:t>
      </w:r>
      <w:r w:rsidRPr="00994F1E">
        <w:rPr>
          <w:rFonts w:ascii="Arial" w:hAnsi="Arial" w:cs="Arial" w:hint="eastAsia"/>
          <w:color w:val="0000FF"/>
        </w:rPr>
        <w:t>Perspectives on Challenges Encountered in Research Work in Higher Education: The Kenya Experience. Journal of Scientific Research and Reports, 27(7), 45–52. https://doi.org/10.9734/jsrr/2021/v27i730410</w:t>
      </w:r>
      <w:r w:rsidRPr="00994F1E">
        <w:rPr>
          <w:rFonts w:ascii="Arial" w:hAnsi="Arial" w:cs="Arial"/>
          <w:color w:val="0000FF"/>
        </w:rPr>
        <w:t xml:space="preserve"> </w:t>
      </w:r>
    </w:p>
    <w:p w14:paraId="46F5E3FC" w14:textId="77777777" w:rsidR="00020A60" w:rsidRPr="00994F1E" w:rsidRDefault="00A31FC3" w:rsidP="00994F1E">
      <w:pPr>
        <w:pStyle w:val="ListParagraph"/>
        <w:numPr>
          <w:ilvl w:val="0"/>
          <w:numId w:val="4"/>
        </w:numPr>
        <w:jc w:val="both"/>
        <w:rPr>
          <w:rFonts w:ascii="Arial" w:hAnsi="Arial" w:cs="Arial"/>
        </w:rPr>
      </w:pPr>
      <w:proofErr w:type="spellStart"/>
      <w:r w:rsidRPr="00994F1E">
        <w:rPr>
          <w:rFonts w:ascii="Arial" w:hAnsi="Arial" w:cs="Arial"/>
        </w:rPr>
        <w:t>Teichler</w:t>
      </w:r>
      <w:proofErr w:type="spellEnd"/>
      <w:r w:rsidRPr="00994F1E">
        <w:rPr>
          <w:rFonts w:ascii="Arial" w:hAnsi="Arial" w:cs="Arial"/>
        </w:rPr>
        <w:t xml:space="preserve">, U. (2017). </w:t>
      </w:r>
      <w:proofErr w:type="spellStart"/>
      <w:r w:rsidRPr="00994F1E">
        <w:rPr>
          <w:rFonts w:ascii="Arial" w:hAnsi="Arial" w:cs="Arial"/>
        </w:rPr>
        <w:t>Internationalisation</w:t>
      </w:r>
      <w:proofErr w:type="spellEnd"/>
      <w:r w:rsidRPr="00994F1E">
        <w:rPr>
          <w:rFonts w:ascii="Arial" w:hAnsi="Arial" w:cs="Arial"/>
        </w:rPr>
        <w:t xml:space="preserve"> trends in higher education and the changing role of international student mobility. Journal of International Mobility, 5(1), 177. https://doi.org/10.3917/jim.005.0179</w:t>
      </w:r>
    </w:p>
    <w:p w14:paraId="63EA2088" w14:textId="77777777" w:rsidR="00020A60" w:rsidRPr="00994F1E" w:rsidRDefault="00A31FC3" w:rsidP="00994F1E">
      <w:pPr>
        <w:pStyle w:val="ListParagraph"/>
        <w:numPr>
          <w:ilvl w:val="0"/>
          <w:numId w:val="4"/>
        </w:numPr>
        <w:jc w:val="both"/>
        <w:rPr>
          <w:rFonts w:ascii="Arial" w:hAnsi="Arial" w:cs="Arial"/>
        </w:rPr>
      </w:pPr>
      <w:r w:rsidRPr="00994F1E">
        <w:rPr>
          <w:rFonts w:ascii="Arial" w:hAnsi="Arial" w:cs="Arial"/>
          <w:lang w:eastAsia="zh-CN"/>
        </w:rPr>
        <w:t>UNESCO</w:t>
      </w:r>
      <w:r w:rsidRPr="00994F1E">
        <w:rPr>
          <w:rFonts w:ascii="Arial" w:hAnsi="Arial" w:cs="Arial"/>
        </w:rPr>
        <w:t>. (2021). COVID-19: Reopening and reimagi</w:t>
      </w:r>
      <w:r w:rsidRPr="00994F1E">
        <w:rPr>
          <w:rFonts w:ascii="Arial" w:hAnsi="Arial" w:cs="Arial"/>
        </w:rPr>
        <w:t xml:space="preserve">ning universities, survey on higher education through the UNESCO National Commissions (ED/E30/HED/2021/01). UNESCO. https://unesdoc.unesco.org/ark:/48223/pf0000378174 </w:t>
      </w:r>
    </w:p>
    <w:p w14:paraId="727338EC" w14:textId="77777777" w:rsidR="00020A60" w:rsidRPr="00994F1E" w:rsidRDefault="00A31FC3" w:rsidP="00994F1E">
      <w:pPr>
        <w:pStyle w:val="ListParagraph"/>
        <w:numPr>
          <w:ilvl w:val="0"/>
          <w:numId w:val="4"/>
        </w:numPr>
        <w:jc w:val="both"/>
        <w:rPr>
          <w:rFonts w:ascii="Arial" w:hAnsi="Arial" w:cs="Arial"/>
        </w:rPr>
      </w:pPr>
      <w:proofErr w:type="spellStart"/>
      <w:r w:rsidRPr="00994F1E">
        <w:rPr>
          <w:rFonts w:ascii="Arial" w:hAnsi="Arial" w:cs="Arial"/>
        </w:rPr>
        <w:t>Xuxun</w:t>
      </w:r>
      <w:proofErr w:type="spellEnd"/>
      <w:r w:rsidRPr="00994F1E">
        <w:rPr>
          <w:rFonts w:ascii="Arial" w:hAnsi="Arial" w:cs="Arial"/>
        </w:rPr>
        <w:t xml:space="preserve">, X., &amp; </w:t>
      </w:r>
      <w:proofErr w:type="spellStart"/>
      <w:r w:rsidRPr="00994F1E">
        <w:rPr>
          <w:rFonts w:ascii="Arial" w:hAnsi="Arial" w:cs="Arial"/>
        </w:rPr>
        <w:t>Tham</w:t>
      </w:r>
      <w:proofErr w:type="spellEnd"/>
      <w:r w:rsidRPr="00994F1E">
        <w:rPr>
          <w:rFonts w:ascii="Arial" w:hAnsi="Arial" w:cs="Arial"/>
        </w:rPr>
        <w:t>, J. (2024). Cooperation mechanism and Chinese-foreign cooperation in r</w:t>
      </w:r>
      <w:r w:rsidRPr="00994F1E">
        <w:rPr>
          <w:rFonts w:ascii="Arial" w:hAnsi="Arial" w:cs="Arial"/>
        </w:rPr>
        <w:t>unning schools in China: Resource sharing and quality assurance. European Journal of Political Science Studies, 7(1). https://doi.org/10.46827/ejpss.v7i1.1665</w:t>
      </w:r>
    </w:p>
    <w:p w14:paraId="3B8381A7" w14:textId="77777777" w:rsidR="00020A60" w:rsidRPr="00994F1E" w:rsidRDefault="00A31FC3" w:rsidP="00994F1E">
      <w:pPr>
        <w:pStyle w:val="ListParagraph"/>
        <w:numPr>
          <w:ilvl w:val="0"/>
          <w:numId w:val="4"/>
        </w:numPr>
        <w:jc w:val="both"/>
        <w:rPr>
          <w:rFonts w:ascii="Arial" w:hAnsi="Arial" w:cs="Arial"/>
        </w:rPr>
      </w:pPr>
      <w:r w:rsidRPr="00994F1E">
        <w:rPr>
          <w:rFonts w:ascii="Arial" w:hAnsi="Arial" w:cs="Arial"/>
        </w:rPr>
        <w:t>Yang, R. (2020). China’s Internationalization of Higher Education: The Barrier Within. Internatio</w:t>
      </w:r>
      <w:r w:rsidRPr="00994F1E">
        <w:rPr>
          <w:rFonts w:ascii="Arial" w:hAnsi="Arial" w:cs="Arial"/>
        </w:rPr>
        <w:t>nal Higher Education, (103), 14–16. Retrieved from https://ejournals.bc.edu/index.php/ihe/article/view/14641</w:t>
      </w:r>
    </w:p>
    <w:p w14:paraId="6B9A9C67" w14:textId="77777777" w:rsidR="00020A60" w:rsidRPr="00994F1E" w:rsidRDefault="00A31FC3" w:rsidP="00994F1E">
      <w:pPr>
        <w:pStyle w:val="ListParagraph"/>
        <w:numPr>
          <w:ilvl w:val="0"/>
          <w:numId w:val="4"/>
        </w:numPr>
        <w:jc w:val="both"/>
        <w:rPr>
          <w:rFonts w:ascii="Arial" w:hAnsi="Arial" w:cs="Arial"/>
        </w:rPr>
      </w:pPr>
      <w:proofErr w:type="spellStart"/>
      <w:r w:rsidRPr="00994F1E">
        <w:rPr>
          <w:rFonts w:ascii="Arial" w:hAnsi="Arial" w:cs="Arial"/>
        </w:rPr>
        <w:t>Yaqoub</w:t>
      </w:r>
      <w:proofErr w:type="spellEnd"/>
      <w:r w:rsidRPr="00994F1E">
        <w:rPr>
          <w:rFonts w:ascii="Arial" w:hAnsi="Arial" w:cs="Arial"/>
        </w:rPr>
        <w:t>, M., Gao, Z., Ye, X., Al-</w:t>
      </w:r>
      <w:proofErr w:type="spellStart"/>
      <w:r w:rsidRPr="00994F1E">
        <w:rPr>
          <w:rFonts w:ascii="Arial" w:hAnsi="Arial" w:cs="Arial"/>
        </w:rPr>
        <w:t>Kassimi</w:t>
      </w:r>
      <w:proofErr w:type="spellEnd"/>
      <w:r w:rsidRPr="00994F1E">
        <w:rPr>
          <w:rFonts w:ascii="Arial" w:hAnsi="Arial" w:cs="Arial"/>
        </w:rPr>
        <w:t xml:space="preserve">, K., Chen, Z., &amp; </w:t>
      </w:r>
      <w:proofErr w:type="spellStart"/>
      <w:r w:rsidRPr="00994F1E">
        <w:rPr>
          <w:rFonts w:ascii="Arial" w:hAnsi="Arial" w:cs="Arial"/>
        </w:rPr>
        <w:t>Haizhou</w:t>
      </w:r>
      <w:proofErr w:type="spellEnd"/>
      <w:r w:rsidRPr="00994F1E">
        <w:rPr>
          <w:rFonts w:ascii="Arial" w:hAnsi="Arial" w:cs="Arial"/>
        </w:rPr>
        <w:t>, W. (2023). Three decades of glocalization research: A bibliometric analysis. Coge</w:t>
      </w:r>
      <w:r w:rsidRPr="00994F1E">
        <w:rPr>
          <w:rFonts w:ascii="Arial" w:hAnsi="Arial" w:cs="Arial"/>
        </w:rPr>
        <w:t>nt Social Sciences, 9(2). https://doi.org/10.1080/23311886.2023.2245239</w:t>
      </w:r>
    </w:p>
    <w:p w14:paraId="51C33295" w14:textId="77777777" w:rsidR="00020A60" w:rsidRPr="00994F1E" w:rsidRDefault="00A31FC3" w:rsidP="00994F1E">
      <w:pPr>
        <w:pStyle w:val="ListParagraph"/>
        <w:numPr>
          <w:ilvl w:val="0"/>
          <w:numId w:val="4"/>
        </w:numPr>
        <w:jc w:val="both"/>
        <w:rPr>
          <w:rFonts w:ascii="Arial" w:hAnsi="Arial" w:cs="Arial"/>
        </w:rPr>
      </w:pPr>
      <w:r w:rsidRPr="00994F1E">
        <w:rPr>
          <w:rFonts w:ascii="Arial" w:hAnsi="Arial" w:cs="Arial"/>
        </w:rPr>
        <w:t xml:space="preserve">Yue, X., Yang, S., Chen, B., </w:t>
      </w:r>
      <w:proofErr w:type="spellStart"/>
      <w:r w:rsidRPr="00994F1E">
        <w:rPr>
          <w:rFonts w:ascii="Arial" w:hAnsi="Arial" w:cs="Arial"/>
        </w:rPr>
        <w:t>Wanglee</w:t>
      </w:r>
      <w:proofErr w:type="spellEnd"/>
      <w:r w:rsidRPr="00994F1E">
        <w:rPr>
          <w:rFonts w:ascii="Arial" w:hAnsi="Arial" w:cs="Arial"/>
        </w:rPr>
        <w:t xml:space="preserve">, W., &amp; Ye, Y. (2022). A review on higher education of Belt and Road Initiative: Key findings and emerging themes. Higher Education Studies, 12(2), </w:t>
      </w:r>
      <w:r w:rsidRPr="00994F1E">
        <w:rPr>
          <w:rFonts w:ascii="Arial" w:hAnsi="Arial" w:cs="Arial"/>
        </w:rPr>
        <w:t xml:space="preserve">93-111. https://doi.org/10.5539/hes.v12n2p93  </w:t>
      </w:r>
    </w:p>
    <w:p w14:paraId="4BDAF588" w14:textId="77777777" w:rsidR="00020A60" w:rsidRPr="00994F1E" w:rsidRDefault="00A31FC3" w:rsidP="00994F1E">
      <w:pPr>
        <w:pStyle w:val="ListParagraph"/>
        <w:numPr>
          <w:ilvl w:val="0"/>
          <w:numId w:val="4"/>
        </w:numPr>
        <w:jc w:val="both"/>
        <w:rPr>
          <w:rFonts w:ascii="Arial" w:hAnsi="Arial" w:cs="Arial"/>
        </w:rPr>
      </w:pPr>
      <w:r w:rsidRPr="00994F1E">
        <w:rPr>
          <w:rFonts w:ascii="Arial" w:hAnsi="Arial" w:cs="Arial"/>
        </w:rPr>
        <w:t>Zhang, D., Ding, W., Wang, Y., &amp; Liu, S. (2022). Exploring the Role of International Research Collaboration in Building China’s World-Class Universities. Sustainability, 14(6), 3487. https://doi.org/10.3390/su</w:t>
      </w:r>
      <w:r w:rsidRPr="00994F1E">
        <w:rPr>
          <w:rFonts w:ascii="Arial" w:hAnsi="Arial" w:cs="Arial"/>
        </w:rPr>
        <w:t>14063487</w:t>
      </w:r>
    </w:p>
    <w:p w14:paraId="40893FB1" w14:textId="77777777" w:rsidR="00020A60" w:rsidRPr="00994F1E" w:rsidRDefault="00A31FC3" w:rsidP="00994F1E">
      <w:pPr>
        <w:pStyle w:val="ListParagraph"/>
        <w:numPr>
          <w:ilvl w:val="0"/>
          <w:numId w:val="4"/>
        </w:numPr>
        <w:jc w:val="both"/>
        <w:rPr>
          <w:rFonts w:ascii="Arial" w:hAnsi="Arial" w:cs="Arial"/>
        </w:rPr>
      </w:pPr>
      <w:r w:rsidRPr="00994F1E">
        <w:rPr>
          <w:rFonts w:ascii="Arial" w:hAnsi="Arial" w:cs="Arial"/>
        </w:rPr>
        <w:t xml:space="preserve">Zhao, Y., </w:t>
      </w:r>
      <w:proofErr w:type="spellStart"/>
      <w:r w:rsidRPr="00994F1E">
        <w:rPr>
          <w:rFonts w:ascii="Arial" w:hAnsi="Arial" w:cs="Arial"/>
        </w:rPr>
        <w:t>Yongquan</w:t>
      </w:r>
      <w:proofErr w:type="spellEnd"/>
      <w:r w:rsidRPr="00994F1E">
        <w:rPr>
          <w:rFonts w:ascii="Arial" w:hAnsi="Arial" w:cs="Arial"/>
        </w:rPr>
        <w:t xml:space="preserve">, Y., Jian, M., Lu, A., &amp; </w:t>
      </w:r>
      <w:proofErr w:type="spellStart"/>
      <w:r w:rsidRPr="00994F1E">
        <w:rPr>
          <w:rFonts w:ascii="Arial" w:hAnsi="Arial" w:cs="Arial"/>
        </w:rPr>
        <w:t>Xuanhua</w:t>
      </w:r>
      <w:proofErr w:type="spellEnd"/>
      <w:r w:rsidRPr="00994F1E">
        <w:rPr>
          <w:rFonts w:ascii="Arial" w:hAnsi="Arial" w:cs="Arial"/>
        </w:rPr>
        <w:t>, X. (2024). Policy-induced cooperative knowledge network, university-industry collaboration and firm innovation: Evidence from the Greater Bay Area. Technological Forecasting and Social Change, 2</w:t>
      </w:r>
      <w:r w:rsidRPr="00994F1E">
        <w:rPr>
          <w:rFonts w:ascii="Arial" w:hAnsi="Arial" w:cs="Arial"/>
        </w:rPr>
        <w:t>00, 123143. https://doi.org/10.1016/j.techfore.2023.123143</w:t>
      </w:r>
    </w:p>
    <w:p w14:paraId="0E4C4020" w14:textId="77777777" w:rsidR="00020A60" w:rsidRDefault="00020A60">
      <w:pPr>
        <w:pStyle w:val="Body"/>
        <w:spacing w:after="0"/>
      </w:pPr>
    </w:p>
    <w:p w14:paraId="6995A057" w14:textId="77777777" w:rsidR="00020A60" w:rsidRDefault="00020A60">
      <w:pPr>
        <w:pStyle w:val="Appendix"/>
        <w:spacing w:after="0"/>
        <w:jc w:val="both"/>
        <w:rPr>
          <w:rFonts w:ascii="Arial" w:hAnsi="Arial" w:cs="Arial"/>
          <w:b w:val="0"/>
        </w:rPr>
        <w:sectPr w:rsidR="00020A60">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405DBF9B" w14:textId="77777777" w:rsidR="00020A60" w:rsidRDefault="00020A60">
      <w:pPr>
        <w:pStyle w:val="Appendix"/>
        <w:spacing w:after="0"/>
        <w:jc w:val="both"/>
        <w:rPr>
          <w:rFonts w:ascii="Arial" w:hAnsi="Arial" w:cs="Arial"/>
          <w:b w:val="0"/>
        </w:rPr>
      </w:pPr>
    </w:p>
    <w:sectPr w:rsidR="00020A6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10936" w14:textId="77777777" w:rsidR="00A31FC3" w:rsidRDefault="00A31FC3">
      <w:r>
        <w:separator/>
      </w:r>
    </w:p>
  </w:endnote>
  <w:endnote w:type="continuationSeparator" w:id="0">
    <w:p w14:paraId="624CA96E" w14:textId="77777777" w:rsidR="00A31FC3" w:rsidRDefault="00A3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9F4BF" w14:textId="77777777" w:rsidR="00020A60" w:rsidRDefault="00020A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F9074" w14:textId="77777777" w:rsidR="00020A60" w:rsidRDefault="00020A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7DAF8" w14:textId="77777777" w:rsidR="00020A60" w:rsidRDefault="00020A60">
    <w:pPr>
      <w:pStyle w:val="Footer"/>
      <w:rPr>
        <w:rFonts w:ascii="Arial" w:hAnsi="Arial" w:cs="Arial"/>
        <w:sz w:val="16"/>
      </w:rPr>
    </w:pPr>
  </w:p>
  <w:p w14:paraId="63CC81B6" w14:textId="77777777" w:rsidR="00020A60" w:rsidRDefault="00A31FC3">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2070C7D1" w14:textId="77777777" w:rsidR="00020A60" w:rsidRDefault="00020A60">
    <w:pPr>
      <w:pStyle w:val="Footer"/>
      <w:rPr>
        <w:rFonts w:ascii="Arial" w:hAnsi="Arial" w:cs="Arial"/>
        <w:sz w:val="16"/>
      </w:rPr>
    </w:pPr>
  </w:p>
  <w:p w14:paraId="541A3CA2" w14:textId="77777777" w:rsidR="00020A60" w:rsidRDefault="00A31FC3">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EDAB2" w14:textId="77777777" w:rsidR="00020A60" w:rsidRDefault="00020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2267C" w14:textId="77777777" w:rsidR="00A31FC3" w:rsidRDefault="00A31FC3">
      <w:r>
        <w:separator/>
      </w:r>
    </w:p>
  </w:footnote>
  <w:footnote w:type="continuationSeparator" w:id="0">
    <w:p w14:paraId="4CC1C34D" w14:textId="77777777" w:rsidR="00A31FC3" w:rsidRDefault="00A31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B5CE6" w14:textId="77777777" w:rsidR="00020A60" w:rsidRDefault="00A31FC3">
    <w:pPr>
      <w:pStyle w:val="Header"/>
    </w:pPr>
    <w:r>
      <w:pict w14:anchorId="4F29C1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026938" o:spid="_x0000_s2050" type="#_x0000_t136" style="position:absolute;margin-left:0;margin-top:0;width:520.65pt;height:57.85pt;rotation:315;z-index:-25165516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EFBAE" w14:textId="77777777" w:rsidR="00020A60" w:rsidRDefault="00A31FC3">
    <w:pPr>
      <w:pStyle w:val="Header"/>
    </w:pPr>
    <w:r>
      <w:pict w14:anchorId="23DB5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026939" o:spid="_x0000_s2051" type="#_x0000_t136" style="position:absolute;margin-left:0;margin-top:0;width:520.65pt;height:57.85pt;rotation:315;z-index:-25165414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189DE" w14:textId="77777777" w:rsidR="00020A60" w:rsidRDefault="00A31FC3">
    <w:pPr>
      <w:ind w:left="2160"/>
      <w:jc w:val="center"/>
      <w:rPr>
        <w:rFonts w:ascii="Times New Roman" w:eastAsia="Calibri" w:hAnsi="Times New Roman"/>
        <w:i/>
        <w:sz w:val="18"/>
        <w:szCs w:val="22"/>
      </w:rPr>
    </w:pPr>
    <w:r>
      <w:pict w14:anchorId="69F0B4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026937" o:spid="_x0000_s2049" type="#_x0000_t136" style="position:absolute;left:0;text-align:left;margin-left:0;margin-top:0;width:520.65pt;height:57.85pt;rotation:315;z-index:-25165619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p w14:paraId="4251BD9A" w14:textId="77777777" w:rsidR="00020A60" w:rsidRDefault="00A31FC3">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03119ADC" w14:textId="77777777" w:rsidR="00020A60" w:rsidRDefault="00A31FC3">
    <w:pPr>
      <w:jc w:val="center"/>
      <w:rPr>
        <w:rFonts w:ascii="Times New Roman" w:eastAsia="Calibri" w:hAnsi="Times New Roman"/>
        <w:i/>
        <w:sz w:val="18"/>
        <w:szCs w:val="22"/>
      </w:rPr>
    </w:pPr>
    <w:r>
      <w:rPr>
        <w:rFonts w:ascii="Times New Roman" w:eastAsia="Calibri" w:hAnsi="Times New Roman"/>
        <w:i/>
        <w:sz w:val="18"/>
        <w:szCs w:val="22"/>
      </w:rPr>
      <w:t>.</w:t>
    </w:r>
  </w:p>
  <w:p w14:paraId="5236DFEA" w14:textId="77777777" w:rsidR="00020A60" w:rsidRDefault="00A31FC3">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606A0883" w14:textId="77777777" w:rsidR="00020A60" w:rsidRDefault="00A31FC3">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10868C03" w14:textId="77777777" w:rsidR="00020A60" w:rsidRDefault="00A31FC3">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5FAB238" w14:textId="77777777" w:rsidR="00020A60" w:rsidRDefault="00A31FC3">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1229E" w14:textId="77777777" w:rsidR="00020A60" w:rsidRDefault="00A31FC3">
    <w:pPr>
      <w:pStyle w:val="Header"/>
    </w:pPr>
    <w:r>
      <w:pict w14:anchorId="311927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026941" o:spid="_x0000_s2053" type="#_x0000_t136" style="position:absolute;margin-left:0;margin-top:0;width:520.65pt;height:57.85pt;rotation:315;z-index:-251652096;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ED4E6" w14:textId="77777777" w:rsidR="00020A60" w:rsidRDefault="00A31FC3">
    <w:pPr>
      <w:pStyle w:val="Header"/>
    </w:pPr>
    <w:r>
      <w:pict w14:anchorId="2DF25B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026942" o:spid="_x0000_s2054" type="#_x0000_t136" style="position:absolute;margin-left:0;margin-top:0;width:520.65pt;height:57.85pt;rotation:315;z-index:-25165107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37149" w14:textId="77777777" w:rsidR="00020A60" w:rsidRDefault="00A31FC3">
    <w:pPr>
      <w:pStyle w:val="Header"/>
    </w:pPr>
    <w:r>
      <w:pict w14:anchorId="6271A1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026940" o:spid="_x0000_s2052" type="#_x0000_t136" style="position:absolute;margin-left:0;margin-top:0;width:520.65pt;height:57.85pt;rotation:315;z-index:-25165312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19E079D"/>
    <w:multiLevelType w:val="singleLevel"/>
    <w:tmpl w:val="B19E079D"/>
    <w:lvl w:ilvl="0">
      <w:start w:val="1"/>
      <w:numFmt w:val="decimal"/>
      <w:suff w:val="space"/>
      <w:lvlText w:val="%1)"/>
      <w:lvlJc w:val="left"/>
    </w:lvl>
  </w:abstractNum>
  <w:abstractNum w:abstractNumId="1" w15:restartNumberingAfterBreak="0">
    <w:nsid w:val="014B379E"/>
    <w:multiLevelType w:val="hybridMultilevel"/>
    <w:tmpl w:val="D0D86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C61E9B"/>
    <w:multiLevelType w:val="singleLevel"/>
    <w:tmpl w:val="46C61E9B"/>
    <w:lvl w:ilvl="0">
      <w:start w:val="3"/>
      <w:numFmt w:val="decimal"/>
      <w:suff w:val="space"/>
      <w:lvlText w:val="%1)"/>
      <w:lvlJc w:val="left"/>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0A60"/>
    <w:rsid w:val="00030174"/>
    <w:rsid w:val="0004579C"/>
    <w:rsid w:val="000A47FA"/>
    <w:rsid w:val="000A65D3"/>
    <w:rsid w:val="000B1E33"/>
    <w:rsid w:val="000D689F"/>
    <w:rsid w:val="000E7B7B"/>
    <w:rsid w:val="000E7D62"/>
    <w:rsid w:val="00103357"/>
    <w:rsid w:val="00123C9F"/>
    <w:rsid w:val="00126190"/>
    <w:rsid w:val="00130F17"/>
    <w:rsid w:val="001320BF"/>
    <w:rsid w:val="001513E7"/>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1BBB"/>
    <w:rsid w:val="00863BD3"/>
    <w:rsid w:val="008641ED"/>
    <w:rsid w:val="00866D66"/>
    <w:rsid w:val="008671C6"/>
    <w:rsid w:val="00875803"/>
    <w:rsid w:val="00893B6C"/>
    <w:rsid w:val="008B459E"/>
    <w:rsid w:val="008E13AE"/>
    <w:rsid w:val="008E1506"/>
    <w:rsid w:val="008E710C"/>
    <w:rsid w:val="008F69D6"/>
    <w:rsid w:val="00902823"/>
    <w:rsid w:val="00915CA6"/>
    <w:rsid w:val="00927834"/>
    <w:rsid w:val="009500A6"/>
    <w:rsid w:val="00957C18"/>
    <w:rsid w:val="009659BA"/>
    <w:rsid w:val="00973A89"/>
    <w:rsid w:val="00983040"/>
    <w:rsid w:val="00994F1E"/>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1FC3"/>
    <w:rsid w:val="00A347C0"/>
    <w:rsid w:val="00A51431"/>
    <w:rsid w:val="00A539AD"/>
    <w:rsid w:val="00A57936"/>
    <w:rsid w:val="00A94063"/>
    <w:rsid w:val="00A96499"/>
    <w:rsid w:val="00AA6219"/>
    <w:rsid w:val="00AA74E0"/>
    <w:rsid w:val="00AB703F"/>
    <w:rsid w:val="00AC6BB8"/>
    <w:rsid w:val="00AE008F"/>
    <w:rsid w:val="00B01FCD"/>
    <w:rsid w:val="00B1776C"/>
    <w:rsid w:val="00B20C91"/>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627A9"/>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00FF4F80"/>
    <w:rsid w:val="02867E41"/>
    <w:rsid w:val="02B04DC3"/>
    <w:rsid w:val="04604573"/>
    <w:rsid w:val="05753D2C"/>
    <w:rsid w:val="09710FA4"/>
    <w:rsid w:val="137D332F"/>
    <w:rsid w:val="179119A8"/>
    <w:rsid w:val="24B30B11"/>
    <w:rsid w:val="28B46C06"/>
    <w:rsid w:val="2EBC4A66"/>
    <w:rsid w:val="306C426A"/>
    <w:rsid w:val="32A25D21"/>
    <w:rsid w:val="392D7775"/>
    <w:rsid w:val="3AB34AE7"/>
    <w:rsid w:val="3DAA47D2"/>
    <w:rsid w:val="3E033D06"/>
    <w:rsid w:val="436772B0"/>
    <w:rsid w:val="46E36155"/>
    <w:rsid w:val="4C5336D2"/>
    <w:rsid w:val="5B8878FB"/>
    <w:rsid w:val="60BC6CED"/>
    <w:rsid w:val="61F335F4"/>
    <w:rsid w:val="6AC202FD"/>
    <w:rsid w:val="6C2216A6"/>
    <w:rsid w:val="6D467694"/>
    <w:rsid w:val="6E522B59"/>
    <w:rsid w:val="77941EB5"/>
    <w:rsid w:val="78782D79"/>
    <w:rsid w:val="78DB6E64"/>
    <w:rsid w:val="7D195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rules v:ext="edit">
        <o:r id="V:Rule1" type="connector" idref="#_x0000_s1026"/>
      </o:rules>
    </o:shapelayout>
  </w:shapeDefaults>
  <w:decimalSymbol w:val="."/>
  <w:listSeparator w:val=","/>
  <w14:docId w14:val="3615E6FC"/>
  <w15:docId w15:val="{2972C015-DA61-40E2-BD58-D23E9FAAD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Pr>
      <w:rFonts w:ascii="Times New Roman" w:hAnsi="Times New Roman"/>
      <w:lang w:val="nb-NO" w:eastAsia="nb-NO"/>
    </w:rPr>
  </w:style>
  <w:style w:type="paragraph" w:styleId="BodyText3">
    <w:name w:val="Body Text 3"/>
    <w:basedOn w:val="Normal"/>
    <w:link w:val="BodyText3Char"/>
    <w:pPr>
      <w:spacing w:after="120"/>
    </w:pPr>
    <w:rPr>
      <w:sz w:val="16"/>
      <w:szCs w:val="16"/>
    </w:rPr>
  </w:style>
  <w:style w:type="paragraph" w:styleId="BalloonText">
    <w:name w:val="Balloon Text"/>
    <w:basedOn w:val="Normal"/>
    <w:link w:val="BalloonTextChar"/>
    <w:rPr>
      <w:rFonts w:ascii="Tahoma" w:hAnsi="Tahoma" w:cs="Tahoma"/>
      <w:sz w:val="16"/>
      <w:szCs w:val="16"/>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paragraph" w:styleId="Signature">
    <w:name w:val="Signature"/>
    <w:basedOn w:val="Normal"/>
    <w:qFormat/>
    <w:pPr>
      <w:ind w:left="4320"/>
    </w:pPr>
  </w:style>
  <w:style w:type="paragraph" w:styleId="BodyText2">
    <w:name w:val="Body Text 2"/>
    <w:basedOn w:val="Normal"/>
    <w:link w:val="BodyText2Char"/>
    <w:qFormat/>
    <w:pPr>
      <w:spacing w:after="120" w:line="480" w:lineRule="auto"/>
    </w:pPr>
  </w:style>
  <w:style w:type="paragraph" w:styleId="Title">
    <w:name w:val="Title"/>
    <w:basedOn w:val="Normal"/>
    <w:qFormat/>
    <w:pPr>
      <w:spacing w:after="360"/>
      <w:jc w:val="right"/>
    </w:pPr>
    <w:rPr>
      <w:b/>
      <w:kern w:val="28"/>
      <w:sz w:val="36"/>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LineNumber">
    <w:name w:val="line number"/>
    <w:basedOn w:val="DefaultParagraphFont"/>
    <w:qFormat/>
  </w:style>
  <w:style w:type="character" w:styleId="Hyperlink">
    <w:name w:val="Hyperlink"/>
    <w:basedOn w:val="DefaultParagraphFont"/>
    <w:qFormat/>
    <w:rPr>
      <w:color w:val="FF0080"/>
      <w:u w:val="single"/>
    </w:rPr>
  </w:style>
  <w:style w:type="character" w:styleId="CommentReference">
    <w:name w:val="annotation reference"/>
    <w:basedOn w:val="DefaultParagraphFont"/>
    <w:uiPriority w:val="99"/>
    <w:unhideWhenUsed/>
    <w:qFormat/>
    <w:rPr>
      <w:sz w:val="16"/>
      <w:szCs w:val="1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ListParagraph">
    <w:name w:val="List Paragraph"/>
    <w:basedOn w:val="Normal"/>
    <w:uiPriority w:val="99"/>
    <w:rsid w:val="00994F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Info spid="_x0000_s2054"/>
    <customShpInfo spid="_x0000_s2053"/>
    <customShpInfo spid="_x0000_s2052"/>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30BBD5-F079-4563-9C57-8E99BF016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238</TotalTime>
  <Pages>14</Pages>
  <Words>6662</Words>
  <Characters>37974</Characters>
  <Application>Microsoft Office Word</Application>
  <DocSecurity>0</DocSecurity>
  <Lines>316</Lines>
  <Paragraphs>89</Paragraphs>
  <ScaleCrop>false</ScaleCrop>
  <Company>aaaa</Company>
  <LinksUpToDate>false</LinksUpToDate>
  <CharactersWithSpaces>44547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11</cp:revision>
  <cp:lastPrinted>1999-07-06T11:00:00Z</cp:lastPrinted>
  <dcterms:created xsi:type="dcterms:W3CDTF">2014-10-25T14:34:00Z</dcterms:created>
  <dcterms:modified xsi:type="dcterms:W3CDTF">2025-04-21T08:49:00Z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eyJoZGlkIjoiZmY1OWZiNmJiNWQ4NDZlZjgxY2JiOWYwMTQyYWUwZjkiLCJ1c2VySWQiOiI0OTcxNDg1MjgifQ==</vt:lpwstr>
  </property>
  <property fmtid="{D5CDD505-2E9C-101B-9397-08002B2CF9AE}" pid="3" name="KSOProductBuildVer">
    <vt:lpwstr>2052-12.1.0.20305</vt:lpwstr>
  </property>
  <property fmtid="{D5CDD505-2E9C-101B-9397-08002B2CF9AE}" pid="4" name="ICV">
    <vt:lpwstr>B8C0AC46636244A3BBB2588BFA743FA0_12</vt:lpwstr>
  </property>
</Properties>
</file>