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B7C5E" w14:textId="77777777" w:rsidR="000F6C32" w:rsidRDefault="000F6C32" w:rsidP="00EA0902">
      <w:pPr>
        <w:spacing w:after="120" w:line="360" w:lineRule="auto"/>
        <w:rPr>
          <w:rFonts w:asciiTheme="minorBidi" w:hAnsiTheme="minorBidi" w:cstheme="minorBidi"/>
          <w:b/>
          <w:bCs/>
          <w:sz w:val="36"/>
          <w:szCs w:val="36"/>
        </w:rPr>
      </w:pPr>
    </w:p>
    <w:p w14:paraId="666DC84E" w14:textId="36B218B6" w:rsidR="008C5807" w:rsidRPr="00EA0902" w:rsidRDefault="008C5807" w:rsidP="008C5807">
      <w:pPr>
        <w:spacing w:after="120" w:line="360" w:lineRule="auto"/>
        <w:rPr>
          <w:rFonts w:asciiTheme="minorBidi" w:hAnsiTheme="minorBidi" w:cstheme="minorBidi"/>
          <w:b/>
          <w:bCs/>
          <w:sz w:val="36"/>
          <w:szCs w:val="36"/>
        </w:rPr>
      </w:pPr>
      <w:r>
        <w:rPr>
          <w:rFonts w:asciiTheme="minorBidi" w:hAnsiTheme="minorBidi" w:cstheme="minorBidi"/>
          <w:b/>
          <w:bCs/>
          <w:sz w:val="36"/>
          <w:szCs w:val="36"/>
        </w:rPr>
        <w:t>Exploring the Role of Governance in</w:t>
      </w:r>
      <w:r w:rsidR="001B658D">
        <w:rPr>
          <w:rFonts w:asciiTheme="minorBidi" w:hAnsiTheme="minorBidi" w:cstheme="minorBidi"/>
          <w:b/>
          <w:bCs/>
          <w:sz w:val="36"/>
          <w:szCs w:val="36"/>
        </w:rPr>
        <w:t xml:space="preserve"> </w:t>
      </w:r>
      <w:r>
        <w:rPr>
          <w:rFonts w:asciiTheme="minorBidi" w:hAnsiTheme="minorBidi" w:cstheme="minorBidi"/>
          <w:b/>
          <w:bCs/>
          <w:sz w:val="36"/>
          <w:szCs w:val="36"/>
        </w:rPr>
        <w:t>Afghanistan’s Foreign Direct Investment</w:t>
      </w:r>
    </w:p>
    <w:p w14:paraId="350E107C" w14:textId="77777777" w:rsidR="00790ADA" w:rsidRDefault="00790ADA" w:rsidP="00441B6F">
      <w:pPr>
        <w:pStyle w:val="Affiliation"/>
        <w:spacing w:after="0" w:line="240" w:lineRule="auto"/>
        <w:jc w:val="both"/>
        <w:rPr>
          <w:rFonts w:ascii="Arial" w:hAnsi="Arial" w:cs="Arial"/>
        </w:rPr>
      </w:pPr>
    </w:p>
    <w:p w14:paraId="779B4540" w14:textId="77777777" w:rsidR="002C57D2" w:rsidRPr="00FB3A86" w:rsidRDefault="002C57D2" w:rsidP="00441B6F">
      <w:pPr>
        <w:pStyle w:val="Affiliation"/>
        <w:spacing w:after="0" w:line="240" w:lineRule="auto"/>
        <w:jc w:val="both"/>
        <w:rPr>
          <w:rFonts w:ascii="Arial" w:hAnsi="Arial" w:cs="Arial"/>
        </w:rPr>
      </w:pPr>
    </w:p>
    <w:p w14:paraId="1ABCB126" w14:textId="77777777" w:rsidR="00B01FCD" w:rsidRDefault="00EA0902" w:rsidP="00664A3B">
      <w:pPr>
        <w:pStyle w:val="Copyright"/>
        <w:spacing w:after="0" w:line="240" w:lineRule="auto"/>
        <w:jc w:val="both"/>
        <w:rPr>
          <w:rFonts w:ascii="Arial" w:hAnsi="Arial" w:cs="Arial"/>
        </w:rPr>
      </w:pPr>
      <w:r>
        <w:rPr>
          <w:rFonts w:ascii="Arial" w:hAnsi="Arial" w:cs="Arial"/>
          <w:noProof/>
        </w:rPr>
        <mc:AlternateContent>
          <mc:Choice Requires="wps">
            <w:drawing>
              <wp:inline distT="0" distB="0" distL="0" distR="0" wp14:anchorId="5034B1E4" wp14:editId="10996886">
                <wp:extent cx="5303520" cy="635"/>
                <wp:effectExtent l="0" t="12700" r="5080" b="1206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du="http://schemas.microsoft.com/office/word/2023/wordml/word16du" xmlns:w16sdtdh="http://schemas.microsoft.com/office/word/2020/wordml/sdtdatahash" xmlns:w16sdtfl="http://schemas.microsoft.com/office/word/2024/wordml/sdtformatlock" xmlns:w16="http://schemas.microsoft.com/office/word/2018/wordml" xmlns:w16cex="http://schemas.microsoft.com/office/word/2018/wordml/cex">
            <w:pict>
              <v:shapetype w14:anchorId="2C59AB9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" strokeweight="1.5pt">
                <o:lock v:ext="edit" shapetype="f"/>
                <w10:anchorlock/>
              </v:shape>
            </w:pict>
          </mc:Fallback>
        </mc:AlternateContent>
      </w:r>
    </w:p>
    <w:p w14:paraId="53E4ACE2" w14:textId="77777777" w:rsidR="00790ADA" w:rsidRPr="00FB3A86" w:rsidRDefault="00A17F37" w:rsidP="008012AF">
      <w:pPr>
        <w:pStyle w:val="AbstHead"/>
        <w:spacing w:before="240"/>
        <w:jc w:val="both"/>
        <w:rPr>
          <w:rFonts w:ascii="Arial" w:hAnsi="Arial" w:cs="Arial"/>
        </w:rPr>
      </w:pPr>
      <w:r w:rsidRPr="00FB3A86">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664A3B" w14:paraId="5CBFD60B" w14:textId="77777777" w:rsidTr="00664A3B">
        <w:tc>
          <w:tcPr>
            <w:tcW w:w="9576" w:type="dxa"/>
            <w:shd w:val="clear" w:color="auto" w:fill="F2F2F2"/>
          </w:tcPr>
          <w:p w14:paraId="06C94F25" w14:textId="77777777" w:rsidR="00664A3B" w:rsidRPr="00A17F37" w:rsidRDefault="00BA1B01" w:rsidP="00664A3B">
            <w:pPr>
              <w:pStyle w:val="Body"/>
              <w:spacing w:after="0"/>
              <w:rPr>
                <w:rFonts w:asciiTheme="minorBidi" w:hAnsiTheme="minorBidi" w:cstheme="minorBidi"/>
                <w:bCs/>
                <w:sz w:val="22"/>
                <w:szCs w:val="28"/>
              </w:rPr>
            </w:pPr>
            <w:r w:rsidRPr="00A17F37">
              <w:rPr>
                <w:rFonts w:asciiTheme="minorBidi" w:eastAsia="Calibri" w:hAnsiTheme="minorBidi" w:cstheme="minorBidi"/>
                <w:b/>
                <w:sz w:val="22"/>
                <w:szCs w:val="28"/>
              </w:rPr>
              <w:t>Aims:</w:t>
            </w:r>
            <w:r w:rsidRPr="00A17F37">
              <w:rPr>
                <w:rFonts w:asciiTheme="minorBidi" w:eastAsia="Calibri" w:hAnsiTheme="minorBidi" w:cstheme="minorBidi"/>
                <w:bCs/>
                <w:sz w:val="22"/>
                <w:szCs w:val="28"/>
              </w:rPr>
              <w:t xml:space="preserve"> </w:t>
            </w:r>
            <w:r w:rsidR="00664A3B" w:rsidRPr="00A17F37">
              <w:rPr>
                <w:rFonts w:asciiTheme="minorBidi" w:eastAsia="Calibri" w:hAnsiTheme="minorBidi" w:cstheme="minorBidi"/>
                <w:bCs/>
                <w:sz w:val="22"/>
                <w:szCs w:val="28"/>
              </w:rPr>
              <w:t>T</w:t>
            </w:r>
            <w:r w:rsidR="00664A3B" w:rsidRPr="00A17F37">
              <w:rPr>
                <w:rFonts w:asciiTheme="minorBidi" w:hAnsiTheme="minorBidi" w:cstheme="minorBidi"/>
                <w:bCs/>
                <w:sz w:val="22"/>
                <w:szCs w:val="28"/>
              </w:rPr>
              <w:t>he primary purpose of this study is to investigate the nexus between FDI inflows and governance indicators: government effectiveness, regulatory quality, control of corruption, rule of law, along with market size, trade openness, inflation, exchange rate, and infrastructure.</w:t>
            </w:r>
          </w:p>
          <w:p w14:paraId="73EDE746" w14:textId="67888636" w:rsidR="00BA1B01" w:rsidRPr="00A17F37" w:rsidRDefault="00BA1B01" w:rsidP="00664A3B">
            <w:pPr>
              <w:pStyle w:val="Body"/>
              <w:spacing w:after="0"/>
              <w:rPr>
                <w:rFonts w:asciiTheme="minorBidi" w:eastAsia="Calibri" w:hAnsiTheme="minorBidi" w:cstheme="minorBidi"/>
                <w:bCs/>
                <w:sz w:val="22"/>
                <w:szCs w:val="28"/>
              </w:rPr>
            </w:pPr>
            <w:r w:rsidRPr="008012AF">
              <w:rPr>
                <w:rFonts w:asciiTheme="minorBidi" w:eastAsia="Calibri" w:hAnsiTheme="minorBidi" w:cstheme="minorBidi"/>
                <w:b/>
                <w:sz w:val="22"/>
                <w:szCs w:val="28"/>
              </w:rPr>
              <w:t>Place and Duration of Study:</w:t>
            </w:r>
            <w:r w:rsidRPr="00A17F37">
              <w:rPr>
                <w:rFonts w:asciiTheme="minorBidi" w:eastAsia="Calibri" w:hAnsiTheme="minorBidi" w:cstheme="minorBidi"/>
                <w:bCs/>
                <w:sz w:val="22"/>
                <w:szCs w:val="28"/>
              </w:rPr>
              <w:t xml:space="preserve"> </w:t>
            </w:r>
            <w:r w:rsidR="00664A3B" w:rsidRPr="00A17F37">
              <w:rPr>
                <w:rFonts w:asciiTheme="minorBidi" w:eastAsia="Calibri" w:hAnsiTheme="minorBidi" w:cstheme="minorBidi"/>
                <w:bCs/>
                <w:sz w:val="22"/>
                <w:szCs w:val="28"/>
              </w:rPr>
              <w:t xml:space="preserve">Afghanistan </w:t>
            </w:r>
            <w:r w:rsidR="008C5807">
              <w:rPr>
                <w:rFonts w:asciiTheme="minorBidi" w:eastAsia="Calibri" w:hAnsiTheme="minorBidi" w:cstheme="minorBidi"/>
                <w:bCs/>
                <w:sz w:val="22"/>
                <w:szCs w:val="28"/>
              </w:rPr>
              <w:t xml:space="preserve">is </w:t>
            </w:r>
            <w:r w:rsidR="00664A3B" w:rsidRPr="00A17F37">
              <w:rPr>
                <w:rFonts w:asciiTheme="minorBidi" w:eastAsia="Calibri" w:hAnsiTheme="minorBidi" w:cstheme="minorBidi"/>
                <w:bCs/>
                <w:sz w:val="22"/>
                <w:szCs w:val="28"/>
              </w:rPr>
              <w:t xml:space="preserve">selected as a sample of this study, and the study </w:t>
            </w:r>
            <w:r w:rsidR="008C5807">
              <w:rPr>
                <w:rFonts w:asciiTheme="minorBidi" w:eastAsia="Calibri" w:hAnsiTheme="minorBidi" w:cstheme="minorBidi"/>
                <w:bCs/>
                <w:sz w:val="22"/>
                <w:szCs w:val="28"/>
              </w:rPr>
              <w:t xml:space="preserve">period </w:t>
            </w:r>
            <w:r w:rsidR="00664A3B" w:rsidRPr="00A17F37">
              <w:rPr>
                <w:rFonts w:asciiTheme="minorBidi" w:eastAsia="Calibri" w:hAnsiTheme="minorBidi" w:cstheme="minorBidi"/>
                <w:bCs/>
                <w:sz w:val="22"/>
                <w:szCs w:val="28"/>
              </w:rPr>
              <w:t>is from 2002 to 2021.</w:t>
            </w:r>
          </w:p>
          <w:p w14:paraId="08CE6869" w14:textId="7E79201C" w:rsidR="00664A3B" w:rsidRPr="00A17F37" w:rsidRDefault="00BA1B01" w:rsidP="00664A3B">
            <w:pPr>
              <w:pStyle w:val="Body"/>
              <w:spacing w:after="0"/>
              <w:rPr>
                <w:rFonts w:asciiTheme="minorBidi" w:eastAsia="Calibri" w:hAnsiTheme="minorBidi" w:cstheme="minorBidi"/>
                <w:bCs/>
                <w:sz w:val="22"/>
                <w:szCs w:val="28"/>
              </w:rPr>
            </w:pPr>
            <w:r w:rsidRPr="00A17F37">
              <w:rPr>
                <w:rFonts w:asciiTheme="minorBidi" w:eastAsia="Calibri" w:hAnsiTheme="minorBidi" w:cstheme="minorBidi"/>
                <w:b/>
                <w:sz w:val="22"/>
                <w:szCs w:val="28"/>
              </w:rPr>
              <w:t>Methodology:</w:t>
            </w:r>
            <w:r w:rsidRPr="00A17F37">
              <w:rPr>
                <w:rFonts w:asciiTheme="minorBidi" w:eastAsia="Calibri" w:hAnsiTheme="minorBidi" w:cstheme="minorBidi"/>
                <w:bCs/>
                <w:sz w:val="22"/>
                <w:szCs w:val="28"/>
              </w:rPr>
              <w:t xml:space="preserve"> </w:t>
            </w:r>
            <w:r w:rsidR="00664A3B" w:rsidRPr="00A17F37">
              <w:rPr>
                <w:rFonts w:asciiTheme="minorBidi" w:hAnsiTheme="minorBidi" w:cstheme="minorBidi"/>
                <w:bCs/>
                <w:sz w:val="22"/>
                <w:szCs w:val="28"/>
              </w:rPr>
              <w:t xml:space="preserve">The </w:t>
            </w:r>
            <w:r w:rsidR="008C5807">
              <w:rPr>
                <w:rFonts w:asciiTheme="minorBidi" w:hAnsiTheme="minorBidi" w:cstheme="minorBidi"/>
                <w:bCs/>
                <w:sz w:val="22"/>
                <w:szCs w:val="28"/>
              </w:rPr>
              <w:t xml:space="preserve">study utilized </w:t>
            </w:r>
            <w:r w:rsidR="00664A3B" w:rsidRPr="00A17F37">
              <w:rPr>
                <w:rFonts w:asciiTheme="minorBidi" w:hAnsiTheme="minorBidi" w:cstheme="minorBidi"/>
                <w:bCs/>
                <w:sz w:val="22"/>
                <w:szCs w:val="28"/>
              </w:rPr>
              <w:t>Augmented Dickey-Fuller unit-root test and Modified Ordinary Least Squares (FMOLS) model to check the stationarity of the data and empirical estimations, respectively.</w:t>
            </w:r>
          </w:p>
          <w:p w14:paraId="718840E9" w14:textId="145C9767" w:rsidR="00664A3B" w:rsidRPr="00A17F37" w:rsidRDefault="00BA1B01" w:rsidP="00664A3B">
            <w:pPr>
              <w:pStyle w:val="Body"/>
              <w:spacing w:after="0"/>
              <w:rPr>
                <w:rFonts w:asciiTheme="minorBidi" w:hAnsiTheme="minorBidi" w:cstheme="minorBidi"/>
                <w:bCs/>
                <w:sz w:val="22"/>
                <w:szCs w:val="28"/>
              </w:rPr>
            </w:pPr>
            <w:r w:rsidRPr="00A17F37">
              <w:rPr>
                <w:rFonts w:asciiTheme="minorBidi" w:eastAsia="Calibri" w:hAnsiTheme="minorBidi" w:cstheme="minorBidi"/>
                <w:b/>
                <w:sz w:val="22"/>
                <w:szCs w:val="28"/>
              </w:rPr>
              <w:t>Results:</w:t>
            </w:r>
            <w:r w:rsidRPr="00A17F37">
              <w:rPr>
                <w:rFonts w:asciiTheme="minorBidi" w:eastAsia="Calibri" w:hAnsiTheme="minorBidi" w:cstheme="minorBidi"/>
                <w:bCs/>
                <w:sz w:val="22"/>
                <w:szCs w:val="28"/>
              </w:rPr>
              <w:t xml:space="preserve"> </w:t>
            </w:r>
            <w:r w:rsidR="001A767A">
              <w:rPr>
                <w:rFonts w:asciiTheme="minorBidi" w:eastAsia="Calibri" w:hAnsiTheme="minorBidi" w:cstheme="minorBidi"/>
                <w:bCs/>
                <w:sz w:val="22"/>
                <w:szCs w:val="28"/>
              </w:rPr>
              <w:t>The</w:t>
            </w:r>
            <w:r w:rsidR="00664A3B" w:rsidRPr="00A17F37">
              <w:rPr>
                <w:rFonts w:asciiTheme="minorBidi" w:hAnsiTheme="minorBidi" w:cstheme="minorBidi"/>
                <w:bCs/>
                <w:sz w:val="22"/>
                <w:szCs w:val="28"/>
              </w:rPr>
              <w:t xml:space="preserve"> results reveal that two of the four selected governance indicators, government effectiveness and the rule of law, are positively associated with FDI inflows in Afghanistan, as a unit rise of them draw 1.077% and 0.948% FDI, individually. At the same time, a unit increase in regulatory quality decreases FDI by 0.838% and a level of enhancement in control of corruption negatively affect FDI by 2.443%. Furthermore, the findings from five macroeconomic variables as traditional determinants of FDI have mix impacts. The findings suggest that one percent increase in market size, trade openness, and exchange rate is positively associated with 2.057%, 5.557%, and 0.012% FDI inflows, respectively. However, the inflation and infrastructure coefficients were negative and significant.</w:t>
            </w:r>
          </w:p>
          <w:p w14:paraId="132F1066" w14:textId="23831D09" w:rsidR="00664A3B" w:rsidRPr="00A17F37" w:rsidRDefault="00BA1B01" w:rsidP="00664A3B">
            <w:pPr>
              <w:jc w:val="both"/>
              <w:rPr>
                <w:rFonts w:asciiTheme="minorBidi" w:hAnsiTheme="minorBidi" w:cstheme="minorBidi"/>
                <w:bCs/>
                <w:sz w:val="22"/>
                <w:szCs w:val="28"/>
              </w:rPr>
            </w:pPr>
            <w:r w:rsidRPr="00A17F37">
              <w:rPr>
                <w:rFonts w:asciiTheme="minorBidi" w:eastAsia="Calibri" w:hAnsiTheme="minorBidi" w:cstheme="minorBidi"/>
                <w:b/>
                <w:sz w:val="22"/>
                <w:szCs w:val="28"/>
              </w:rPr>
              <w:t>Conclusion:</w:t>
            </w:r>
            <w:r w:rsidRPr="00A17F37">
              <w:rPr>
                <w:rFonts w:asciiTheme="minorBidi" w:eastAsia="Calibri" w:hAnsiTheme="minorBidi" w:cstheme="minorBidi"/>
                <w:bCs/>
                <w:sz w:val="22"/>
                <w:szCs w:val="28"/>
              </w:rPr>
              <w:t xml:space="preserve"> </w:t>
            </w:r>
            <w:r w:rsidR="00FE5717">
              <w:rPr>
                <w:rFonts w:asciiTheme="minorBidi" w:eastAsia="Calibri" w:hAnsiTheme="minorBidi" w:cstheme="minorBidi"/>
                <w:bCs/>
                <w:sz w:val="22"/>
                <w:szCs w:val="28"/>
              </w:rPr>
              <w:t>The study</w:t>
            </w:r>
            <w:r w:rsidR="00664A3B" w:rsidRPr="00A17F37">
              <w:rPr>
                <w:rFonts w:asciiTheme="minorBidi" w:hAnsiTheme="minorBidi" w:cstheme="minorBidi"/>
                <w:bCs/>
                <w:sz w:val="22"/>
                <w:szCs w:val="28"/>
              </w:rPr>
              <w:t xml:space="preserve"> conclude</w:t>
            </w:r>
            <w:r w:rsidR="00FE5717">
              <w:rPr>
                <w:rFonts w:asciiTheme="minorBidi" w:hAnsiTheme="minorBidi" w:cstheme="minorBidi"/>
                <w:bCs/>
                <w:sz w:val="22"/>
                <w:szCs w:val="28"/>
              </w:rPr>
              <w:t>s</w:t>
            </w:r>
            <w:r w:rsidR="00664A3B" w:rsidRPr="00A17F37">
              <w:rPr>
                <w:rFonts w:asciiTheme="minorBidi" w:hAnsiTheme="minorBidi" w:cstheme="minorBidi"/>
                <w:bCs/>
                <w:sz w:val="22"/>
                <w:szCs w:val="28"/>
              </w:rPr>
              <w:t xml:space="preserve"> that in order to draw more FDI to the country, policymakers should consider formulating and implementing sound policies. Additionally, efforts should be made to expand economy size, trade openness, and control inflation. Since several articles have not taken Afghanistan as part of their studies, it contributes to the literature on this topic that considers Afghanistan as a sample of the study.</w:t>
            </w:r>
          </w:p>
          <w:p w14:paraId="0F94E64F" w14:textId="77777777" w:rsidR="00664A3B" w:rsidRPr="00A17F37" w:rsidRDefault="00664A3B" w:rsidP="00664A3B">
            <w:pPr>
              <w:pStyle w:val="Body"/>
              <w:spacing w:after="0"/>
              <w:rPr>
                <w:rFonts w:ascii="Arial" w:eastAsia="Calibri" w:hAnsi="Arial" w:cs="Arial"/>
                <w:bCs/>
                <w:sz w:val="22"/>
                <w:szCs w:val="28"/>
              </w:rPr>
            </w:pPr>
          </w:p>
          <w:p w14:paraId="5E542297" w14:textId="77777777" w:rsidR="00505F06" w:rsidRPr="00664A3B" w:rsidRDefault="00505F06" w:rsidP="00664A3B">
            <w:pPr>
              <w:pStyle w:val="Body"/>
              <w:spacing w:after="0"/>
              <w:rPr>
                <w:rFonts w:ascii="Arial" w:eastAsia="Calibri" w:hAnsi="Arial" w:cs="Arial"/>
                <w:b/>
                <w:sz w:val="22"/>
                <w:szCs w:val="28"/>
              </w:rPr>
            </w:pPr>
          </w:p>
        </w:tc>
      </w:tr>
    </w:tbl>
    <w:p w14:paraId="46834002" w14:textId="77777777" w:rsidR="00664A3B" w:rsidRPr="00664A3B" w:rsidRDefault="00664A3B" w:rsidP="00664A3B">
      <w:pPr>
        <w:spacing w:before="240" w:line="360" w:lineRule="auto"/>
        <w:jc w:val="both"/>
        <w:rPr>
          <w:rFonts w:asciiTheme="minorBidi" w:hAnsiTheme="minorBidi" w:cstheme="minorBidi"/>
          <w:i/>
          <w:iCs/>
        </w:rPr>
      </w:pPr>
      <w:r w:rsidRPr="00664A3B">
        <w:rPr>
          <w:rFonts w:asciiTheme="minorBidi" w:hAnsiTheme="minorBidi" w:cstheme="minorBidi"/>
          <w:b/>
          <w:bCs/>
          <w:i/>
          <w:iCs/>
        </w:rPr>
        <w:t xml:space="preserve">Keywords: </w:t>
      </w:r>
      <w:r w:rsidRPr="00664A3B">
        <w:rPr>
          <w:rFonts w:asciiTheme="minorBidi" w:hAnsiTheme="minorBidi" w:cstheme="minorBidi"/>
          <w:i/>
          <w:iCs/>
        </w:rPr>
        <w:t xml:space="preserve">Afghanistan, Foreign Direct Investment, </w:t>
      </w:r>
      <w:r w:rsidR="008012AF">
        <w:rPr>
          <w:rFonts w:asciiTheme="minorBidi" w:hAnsiTheme="minorBidi" w:cstheme="minorBidi"/>
          <w:i/>
          <w:iCs/>
        </w:rPr>
        <w:t xml:space="preserve">FDI, </w:t>
      </w:r>
      <w:r w:rsidRPr="00664A3B">
        <w:rPr>
          <w:rFonts w:asciiTheme="minorBidi" w:hAnsiTheme="minorBidi" w:cstheme="minorBidi"/>
          <w:i/>
          <w:iCs/>
        </w:rPr>
        <w:t>governance, FMOLS</w:t>
      </w:r>
    </w:p>
    <w:p w14:paraId="343B68AA" w14:textId="77777777" w:rsidR="00664A3B" w:rsidRDefault="00664A3B" w:rsidP="00441B6F">
      <w:pPr>
        <w:pStyle w:val="Body"/>
        <w:spacing w:after="0"/>
        <w:rPr>
          <w:rFonts w:ascii="Arial" w:hAnsi="Arial" w:cs="Arial"/>
          <w:i/>
        </w:rPr>
      </w:pPr>
    </w:p>
    <w:p w14:paraId="662B16B9" w14:textId="6763C301" w:rsidR="00790ADA" w:rsidRPr="00FB3A86" w:rsidRDefault="00B01FCD" w:rsidP="00A17F37">
      <w:pPr>
        <w:pStyle w:val="AbstHead"/>
        <w:spacing w:after="0"/>
        <w:jc w:val="both"/>
        <w:rPr>
          <w:rFonts w:ascii="Arial" w:hAnsi="Arial" w:cs="Arial"/>
        </w:rPr>
      </w:pPr>
      <w:r w:rsidRPr="00FB3A86">
        <w:rPr>
          <w:rFonts w:ascii="Arial" w:hAnsi="Arial" w:cs="Arial"/>
        </w:rPr>
        <w:t>INTRODUCTION</w:t>
      </w:r>
      <w:r w:rsidR="007F7B32">
        <w:rPr>
          <w:rFonts w:ascii="Arial" w:hAnsi="Arial" w:cs="Arial"/>
        </w:rPr>
        <w:t xml:space="preserve"> </w:t>
      </w:r>
    </w:p>
    <w:p w14:paraId="1E13B6AA" w14:textId="77777777" w:rsidR="00A17F37" w:rsidRPr="00A17F37" w:rsidRDefault="00A17F37" w:rsidP="00A17F37">
      <w:pPr>
        <w:pStyle w:val="Body"/>
        <w:rPr>
          <w:rFonts w:ascii="Arial" w:hAnsi="Arial" w:cs="Arial"/>
        </w:rPr>
      </w:pPr>
      <w:r w:rsidRPr="00A17F37">
        <w:rPr>
          <w:rFonts w:ascii="Arial" w:hAnsi="Arial" w:cs="Arial"/>
        </w:rPr>
        <w:t xml:space="preserve">Based on empirical analysis, foreign direct investment (FDI) is associated with the economic development of the nations. This includes transferring technology, managerial skills, and other tangible and intangible assets that lead to employment, increased productivity, financial stability, and other positive impacts in the host country. A wide range of factors contribute to </w:t>
      </w:r>
      <w:r w:rsidRPr="00A17F37">
        <w:rPr>
          <w:rFonts w:ascii="Arial" w:hAnsi="Arial" w:cs="Arial"/>
        </w:rPr>
        <w:lastRenderedPageBreak/>
        <w:t>the flow of FDI, including institutional determinants. The laws, norms, and codes of behavior that govern economic, legal, political, and social interactions and transactions and the systems that uphold them are known as institutions (North, 1991; World Bank, 2002). Formal rules are laws and regulations; informal rules are behavioral conventions or codes of conduct. The amount of productive and economic activity in an economy is determined by its institutions, which also set the costs and risks associated with conducting business there (Alfaro et al., 2008; North, 1990). In an economy, many economic activities reflect its opportunities, incentives, and current institutional structure (North, 1990).</w:t>
      </w:r>
    </w:p>
    <w:p w14:paraId="75534A1B" w14:textId="77777777" w:rsidR="00A17F37" w:rsidRPr="00A17F37" w:rsidRDefault="00A17F37" w:rsidP="00A17F37">
      <w:pPr>
        <w:pStyle w:val="Body"/>
        <w:rPr>
          <w:rFonts w:ascii="Arial" w:hAnsi="Arial" w:cs="Arial"/>
        </w:rPr>
      </w:pPr>
      <w:r w:rsidRPr="00A17F37">
        <w:rPr>
          <w:rFonts w:ascii="Arial" w:hAnsi="Arial" w:cs="Arial"/>
        </w:rPr>
        <w:t>Besides macroeconomic determinants, a large number of studies have focused on institutional indicators of FDI in various parts of the world (</w:t>
      </w:r>
      <w:proofErr w:type="spellStart"/>
      <w:r w:rsidRPr="00A17F37">
        <w:rPr>
          <w:rFonts w:ascii="Arial" w:hAnsi="Arial" w:cs="Arial"/>
        </w:rPr>
        <w:t>Adelakun</w:t>
      </w:r>
      <w:proofErr w:type="spellEnd"/>
      <w:r w:rsidRPr="00A17F37">
        <w:rPr>
          <w:rFonts w:ascii="Arial" w:hAnsi="Arial" w:cs="Arial"/>
        </w:rPr>
        <w:t xml:space="preserve"> &amp; </w:t>
      </w:r>
      <w:proofErr w:type="spellStart"/>
      <w:r w:rsidRPr="00A17F37">
        <w:rPr>
          <w:rFonts w:ascii="Arial" w:hAnsi="Arial" w:cs="Arial"/>
        </w:rPr>
        <w:t>Ogujiuba</w:t>
      </w:r>
      <w:proofErr w:type="spellEnd"/>
      <w:r w:rsidRPr="00A17F37">
        <w:rPr>
          <w:rFonts w:ascii="Arial" w:hAnsi="Arial" w:cs="Arial"/>
        </w:rPr>
        <w:t xml:space="preserve">, 2023; </w:t>
      </w:r>
      <w:proofErr w:type="spellStart"/>
      <w:r w:rsidRPr="00A17F37">
        <w:rPr>
          <w:rFonts w:ascii="Arial" w:hAnsi="Arial" w:cs="Arial"/>
        </w:rPr>
        <w:t>Bouchoucha</w:t>
      </w:r>
      <w:proofErr w:type="spellEnd"/>
      <w:r w:rsidRPr="00A17F37">
        <w:rPr>
          <w:rFonts w:ascii="Arial" w:hAnsi="Arial" w:cs="Arial"/>
        </w:rPr>
        <w:t xml:space="preserve">, 2023; </w:t>
      </w:r>
      <w:proofErr w:type="spellStart"/>
      <w:r w:rsidRPr="00A17F37">
        <w:rPr>
          <w:rFonts w:ascii="Arial" w:hAnsi="Arial" w:cs="Arial"/>
        </w:rPr>
        <w:t>Kalim</w:t>
      </w:r>
      <w:proofErr w:type="spellEnd"/>
      <w:r w:rsidRPr="00A17F37">
        <w:rPr>
          <w:rFonts w:ascii="Arial" w:hAnsi="Arial" w:cs="Arial"/>
        </w:rPr>
        <w:t xml:space="preserve"> et al., 2022; Khan et al., 2022, 2023; </w:t>
      </w:r>
      <w:proofErr w:type="spellStart"/>
      <w:r w:rsidRPr="00A17F37">
        <w:rPr>
          <w:rFonts w:ascii="Arial" w:hAnsi="Arial" w:cs="Arial"/>
        </w:rPr>
        <w:t>Mamman</w:t>
      </w:r>
      <w:proofErr w:type="spellEnd"/>
      <w:r w:rsidRPr="00A17F37">
        <w:rPr>
          <w:rFonts w:ascii="Arial" w:hAnsi="Arial" w:cs="Arial"/>
        </w:rPr>
        <w:t xml:space="preserve"> &amp; </w:t>
      </w:r>
      <w:proofErr w:type="spellStart"/>
      <w:r w:rsidRPr="00A17F37">
        <w:rPr>
          <w:rFonts w:ascii="Arial" w:hAnsi="Arial" w:cs="Arial"/>
        </w:rPr>
        <w:t>Valei</w:t>
      </w:r>
      <w:proofErr w:type="spellEnd"/>
      <w:r w:rsidRPr="00A17F37">
        <w:rPr>
          <w:rFonts w:ascii="Arial" w:hAnsi="Arial" w:cs="Arial"/>
        </w:rPr>
        <w:t>, 2023). The outcomes of these studies are mixed; while the majority have found a positive nexus between institutional factors and the flow of FDI, some studies found the opposite results. The current situation of global economic development indicates that one of the most crucial elements in achieving sustainable development and balancing economic growth is foreign direct investment (FDI) inflow. In this context, the function of quality institutions has been viewed as a significant catalyst for globalization, creating jobs, and attracting FDI (Khan et al., 2023).</w:t>
      </w:r>
    </w:p>
    <w:p w14:paraId="5AE73E33" w14:textId="744A0111" w:rsidR="00FE5717" w:rsidRDefault="00A17F37" w:rsidP="00FE5717">
      <w:pPr>
        <w:pStyle w:val="Body"/>
        <w:spacing w:after="0"/>
        <w:rPr>
          <w:rFonts w:ascii="Arial" w:hAnsi="Arial" w:cs="Arial"/>
        </w:rPr>
      </w:pPr>
      <w:r w:rsidRPr="00A17F37">
        <w:rPr>
          <w:rFonts w:ascii="Arial" w:hAnsi="Arial" w:cs="Arial"/>
        </w:rPr>
        <w:t>Afghanistan is a South-Asian country with decades of political instability and conflicts that have severely impacted the economic conditions. Although, during the first conquest of the Taliban in the 1990s, the country was cut off from the global economic order, after the international community's presence in Afghanistan in 2001, the flow of capital to the country slowly began. As shown in Figure 1, the FDI in Afghanistan experienced a steady decline with some fluctuations between 2002 and 2021. A literature review indicates that Afghanistan was not included as a sample of studies focusing on the various determinants of FDI, including the effect of institutional indicators. In particular, those articles that have focused on Asian countries, including Central Asian, South Asian, ASEAN, and SAARC nations (</w:t>
      </w:r>
      <w:proofErr w:type="spellStart"/>
      <w:r w:rsidRPr="00A17F37">
        <w:rPr>
          <w:rFonts w:ascii="Arial" w:hAnsi="Arial" w:cs="Arial"/>
        </w:rPr>
        <w:t>Kalim</w:t>
      </w:r>
      <w:proofErr w:type="spellEnd"/>
      <w:r w:rsidRPr="00A17F37">
        <w:rPr>
          <w:rFonts w:ascii="Arial" w:hAnsi="Arial" w:cs="Arial"/>
        </w:rPr>
        <w:t xml:space="preserve"> et al., 2022; Mengistu &amp; </w:t>
      </w:r>
      <w:proofErr w:type="spellStart"/>
      <w:r w:rsidRPr="00A17F37">
        <w:rPr>
          <w:rFonts w:ascii="Arial" w:hAnsi="Arial" w:cs="Arial"/>
        </w:rPr>
        <w:t>Adhikary</w:t>
      </w:r>
      <w:proofErr w:type="spellEnd"/>
      <w:r w:rsidRPr="00A17F37">
        <w:rPr>
          <w:rFonts w:ascii="Arial" w:hAnsi="Arial" w:cs="Arial"/>
        </w:rPr>
        <w:t>, 2011; Shah &amp; Afridi, 2015; Ullah &amp; Khan, 2017) have not considered Afghanistan. Therefore, in this paper, we select Afghanistan as the study sample.</w:t>
      </w:r>
    </w:p>
    <w:p w14:paraId="5617E182" w14:textId="4AC1A96E" w:rsidR="00FE5717" w:rsidRDefault="00FE5717" w:rsidP="00FE5717">
      <w:pPr>
        <w:pStyle w:val="Body"/>
        <w:spacing w:after="0"/>
        <w:rPr>
          <w:rFonts w:ascii="Arial" w:hAnsi="Arial" w:cs="Arial"/>
        </w:rPr>
      </w:pPr>
      <w:r w:rsidRPr="00E2394B">
        <w:rPr>
          <w:rFonts w:ascii="Arial" w:hAnsi="Arial" w:cs="Arial"/>
          <w:highlight w:val="yellow"/>
        </w:rPr>
        <w:t>Given the limited empirical studies on the relationship of institutional factors and FDI in conflict prone and politically unstable settings, this work will enrich the existing literature by considering a sample which has been experiencing political instability and economic uncertainty since decades. By providing novel insights by examining various dimensions of governance and macroeconomic effect on FDI in two decades, this study will be beneficial for developing and conflict-affected countries. In particular, the findings will be relevant to the scholars, economists, and policy makers interested in investment dynamics in unstable environments.</w:t>
      </w:r>
    </w:p>
    <w:p w14:paraId="174EF069" w14:textId="592802D7" w:rsidR="00A17F37" w:rsidRPr="00A17F37" w:rsidRDefault="00A17F37" w:rsidP="00A17F37">
      <w:pPr>
        <w:pStyle w:val="Body"/>
        <w:rPr>
          <w:rFonts w:ascii="Arial" w:hAnsi="Arial" w:cs="Arial"/>
        </w:rPr>
      </w:pPr>
      <w:r w:rsidRPr="00A17F37">
        <w:rPr>
          <w:rFonts w:ascii="Arial" w:hAnsi="Arial" w:cs="Arial"/>
        </w:rPr>
        <w:t xml:space="preserve"> Regarding governance indicators, four of the six governance indicators developed by Kaufmann et al. (1999) from hundreds of indicators in the World Bank, were chosen for this study. We solely focus on the impact of quality of governance, which, according to Rodríguez-Pose &amp; Cols (2017), are Government Effectiveness (GE), Regulatory Quality (RQ), and Control of Corruption (CC). In addition to this, we also include the Rule of Law (RL) as a crucial element, reflecting the quality of good governance. The remaining two indicators, Voice and Accountability and Political Stability, are not included in the current study. </w:t>
      </w:r>
      <w:r w:rsidR="007E1616">
        <w:rPr>
          <w:rFonts w:ascii="Arial" w:hAnsi="Arial" w:cs="Arial"/>
        </w:rPr>
        <w:t xml:space="preserve">The World Bank defines </w:t>
      </w:r>
      <w:r w:rsidRPr="00A17F37">
        <w:rPr>
          <w:rFonts w:ascii="Arial" w:hAnsi="Arial" w:cs="Arial"/>
        </w:rPr>
        <w:t xml:space="preserve">the governance indicators as follows: government effectiveness measures how well public services are perceived, how independent the civil service is from political pressure, how sound policies are formulated and carried out, and how credible the government is in sticking to its policy agenda. Regulatory quality is the perception of the government's capacity to create and implement sensible laws and regulations that lead to license and motivate the growth of the private sector. Control of corruption is the perception of the degree to which public power is used for private benefit, including both minor and major types of corruption, as well as the "capture" of the state by private interests and elites. The rule of law refers to the degree to </w:t>
      </w:r>
      <w:r w:rsidRPr="00A17F37">
        <w:rPr>
          <w:rFonts w:ascii="Arial" w:hAnsi="Arial" w:cs="Arial"/>
        </w:rPr>
        <w:lastRenderedPageBreak/>
        <w:t>which individuals believe in and follow social norms, particularly the enforcement of contracts, property rights, the police, the courts, and the possibility of crime and violence.</w:t>
      </w:r>
    </w:p>
    <w:p w14:paraId="5492C09A" w14:textId="7157C870" w:rsidR="00A17F37" w:rsidRPr="000646AD" w:rsidRDefault="00A17F37" w:rsidP="007359DE">
      <w:pPr>
        <w:tabs>
          <w:tab w:val="left" w:pos="1985"/>
        </w:tabs>
        <w:spacing w:line="360" w:lineRule="auto"/>
        <w:jc w:val="center"/>
        <w:rPr>
          <w:rFonts w:asciiTheme="minorBidi" w:hAnsiTheme="minorBidi" w:cstheme="minorBidi"/>
          <w:b/>
          <w:bCs/>
        </w:rPr>
      </w:pPr>
      <w:r w:rsidRPr="000646AD">
        <w:rPr>
          <w:rFonts w:asciiTheme="minorBidi" w:hAnsiTheme="minorBidi" w:cstheme="minorBidi"/>
          <w:b/>
          <w:bCs/>
        </w:rPr>
        <w:t>Figure 1</w:t>
      </w:r>
      <w:r w:rsidR="007359DE">
        <w:rPr>
          <w:rFonts w:asciiTheme="minorBidi" w:hAnsiTheme="minorBidi" w:cstheme="minorBidi"/>
          <w:b/>
          <w:bCs/>
        </w:rPr>
        <w:t xml:space="preserve">: </w:t>
      </w:r>
      <w:bookmarkStart w:id="0" w:name="_GoBack"/>
      <w:bookmarkEnd w:id="0"/>
      <w:r w:rsidRPr="000646AD">
        <w:rPr>
          <w:rFonts w:asciiTheme="minorBidi" w:hAnsiTheme="minorBidi" w:cstheme="minorBidi"/>
          <w:b/>
          <w:bCs/>
        </w:rPr>
        <w:t>FDI inflow to Afghanistan during 2002- 2021</w:t>
      </w:r>
    </w:p>
    <w:p w14:paraId="1CF3AA0A" w14:textId="3DE0D966" w:rsidR="00A17F37" w:rsidRPr="00A17F37" w:rsidRDefault="00A17F37" w:rsidP="00A17F37">
      <w:pPr>
        <w:tabs>
          <w:tab w:val="left" w:pos="1985"/>
        </w:tabs>
        <w:spacing w:after="120" w:line="360" w:lineRule="auto"/>
        <w:rPr>
          <w:rFonts w:asciiTheme="minorBidi" w:hAnsiTheme="minorBidi" w:cstheme="minorBidi"/>
          <w:b/>
          <w:bCs/>
        </w:rPr>
      </w:pPr>
      <w:r w:rsidRPr="00A17F37">
        <w:rPr>
          <w:rFonts w:asciiTheme="minorBidi" w:hAnsiTheme="minorBidi" w:cstheme="minorBidi"/>
          <w:noProof/>
          <w:lang w:eastAsia="en-IN"/>
        </w:rPr>
        <w:drawing>
          <wp:inline distT="0" distB="0" distL="0" distR="0" wp14:anchorId="684B9759" wp14:editId="36FA13CA">
            <wp:extent cx="5546690" cy="2984360"/>
            <wp:effectExtent l="0" t="0" r="16510" b="13335"/>
            <wp:docPr id="3" name="Chart 3">
              <a:extLst xmlns:a="http://schemas.openxmlformats.org/drawingml/2006/main">
                <a:ext uri="{FF2B5EF4-FFF2-40B4-BE49-F238E27FC236}">
                  <a16:creationId xmlns:a16="http://schemas.microsoft.com/office/drawing/2014/main" id="{1878B3DD-DE93-AB42-A78F-3FB7A0DEB9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A17F37">
        <w:rPr>
          <w:rFonts w:asciiTheme="minorBidi" w:hAnsiTheme="minorBidi" w:cstheme="minorBidi"/>
          <w:i/>
          <w:iCs/>
        </w:rPr>
        <w:t>Source: World Bank</w:t>
      </w:r>
      <w:r w:rsidR="00D7045D">
        <w:rPr>
          <w:rFonts w:asciiTheme="minorBidi" w:hAnsiTheme="minorBidi" w:cstheme="minorBidi"/>
          <w:i/>
          <w:iCs/>
        </w:rPr>
        <w:t>, 2024</w:t>
      </w:r>
    </w:p>
    <w:p w14:paraId="4ACF1028" w14:textId="47B8A7BB" w:rsidR="00790ADA" w:rsidRDefault="00A17F37" w:rsidP="00A17F37">
      <w:pPr>
        <w:pStyle w:val="Body"/>
        <w:spacing w:after="0"/>
        <w:rPr>
          <w:rFonts w:ascii="Arial" w:hAnsi="Arial" w:cs="Arial"/>
        </w:rPr>
      </w:pPr>
      <w:r w:rsidRPr="00A17F37">
        <w:rPr>
          <w:rFonts w:ascii="Arial" w:hAnsi="Arial" w:cs="Arial"/>
        </w:rPr>
        <w:t xml:space="preserve">This article's following sections are organized as follows: the second section </w:t>
      </w:r>
      <w:r w:rsidR="00141AAF">
        <w:rPr>
          <w:rFonts w:ascii="Arial" w:hAnsi="Arial" w:cs="Arial"/>
        </w:rPr>
        <w:t xml:space="preserve">reviews </w:t>
      </w:r>
      <w:r w:rsidRPr="00A17F37">
        <w:rPr>
          <w:rFonts w:ascii="Arial" w:hAnsi="Arial" w:cs="Arial"/>
        </w:rPr>
        <w:t>recent and relevant literature, and the third section has a theoretical framework and research methodology, including variables, data, and an estimation model. The fourth section thereafter presents the findings and interpretation, while the final section discusses the conclusion and suggestions.</w:t>
      </w:r>
    </w:p>
    <w:p w14:paraId="04ABB629" w14:textId="77777777" w:rsidR="00A17F37" w:rsidRDefault="00A17F37" w:rsidP="00A17F37">
      <w:pPr>
        <w:pStyle w:val="Body"/>
        <w:spacing w:after="0"/>
        <w:rPr>
          <w:rFonts w:ascii="Arial" w:hAnsi="Arial" w:cs="Arial"/>
        </w:rPr>
      </w:pPr>
    </w:p>
    <w:p w14:paraId="4A77FE63" w14:textId="6EF82984" w:rsidR="00A17F37" w:rsidRPr="00A17F37" w:rsidRDefault="00A17F37" w:rsidP="00A17F37">
      <w:pPr>
        <w:pStyle w:val="Body"/>
        <w:rPr>
          <w:rFonts w:ascii="Arial" w:hAnsi="Arial" w:cs="Arial"/>
          <w:b/>
          <w:bCs/>
        </w:rPr>
      </w:pPr>
      <w:r w:rsidRPr="00A17F37">
        <w:rPr>
          <w:rFonts w:ascii="Arial" w:hAnsi="Arial" w:cs="Arial"/>
          <w:b/>
          <w:bCs/>
        </w:rPr>
        <w:t>LITERATURE REVIEW</w:t>
      </w:r>
    </w:p>
    <w:p w14:paraId="7866FE58" w14:textId="2F02B7FF" w:rsidR="00A17F37" w:rsidRPr="00A17F37" w:rsidRDefault="00A17F37" w:rsidP="00A17F37">
      <w:pPr>
        <w:pStyle w:val="Body"/>
        <w:rPr>
          <w:rFonts w:ascii="Arial" w:hAnsi="Arial" w:cs="Arial"/>
        </w:rPr>
      </w:pPr>
      <w:r w:rsidRPr="00A17F37">
        <w:rPr>
          <w:rFonts w:ascii="Arial" w:hAnsi="Arial" w:cs="Arial"/>
        </w:rPr>
        <w:t xml:space="preserve">In the past decades, FDI has been one of the most studied topics in the field of economics. Researchers and scholars have gone through various dimensions of this crucial topic, such as its effect on the economy, its determinants, and many more angles. </w:t>
      </w:r>
      <w:r w:rsidR="00736ABB">
        <w:rPr>
          <w:rFonts w:ascii="Arial" w:hAnsi="Arial" w:cs="Arial"/>
        </w:rPr>
        <w:t>This paper</w:t>
      </w:r>
      <w:r w:rsidRPr="00A17F37">
        <w:rPr>
          <w:rFonts w:ascii="Arial" w:hAnsi="Arial" w:cs="Arial"/>
        </w:rPr>
        <w:t xml:space="preserve"> focus</w:t>
      </w:r>
      <w:r w:rsidR="00736ABB">
        <w:rPr>
          <w:rFonts w:ascii="Arial" w:hAnsi="Arial" w:cs="Arial"/>
        </w:rPr>
        <w:t>es</w:t>
      </w:r>
      <w:r w:rsidRPr="00A17F37">
        <w:rPr>
          <w:rFonts w:ascii="Arial" w:hAnsi="Arial" w:cs="Arial"/>
        </w:rPr>
        <w:t xml:space="preserve"> on the governance determinants of FDI in Afghanistan. Therefore, the most related and recent articles are considered in this part. In literature, scholars have studied the factors that affect FDI in various countries over different periods of time. </w:t>
      </w:r>
      <w:proofErr w:type="spellStart"/>
      <w:r w:rsidRPr="00A17F37">
        <w:rPr>
          <w:rFonts w:ascii="Arial" w:hAnsi="Arial" w:cs="Arial"/>
        </w:rPr>
        <w:t>Bhujabal</w:t>
      </w:r>
      <w:proofErr w:type="spellEnd"/>
      <w:r w:rsidRPr="00A17F37">
        <w:rPr>
          <w:rFonts w:ascii="Arial" w:hAnsi="Arial" w:cs="Arial"/>
        </w:rPr>
        <w:t xml:space="preserve"> et al. (2024) studied how institutional quality affects the amount of foreign direct investment (FDI) inflows into South and Southeast Asian nations between 2002 and 2019. Their findings show that institutional quality significantly favors FDI and affects its flow to both regions. This suggests that FDI inflows into South Asian and Southeast Asian nations are facilitated by an ideal governance structure that includes low levels of corruption, a stable political system with a lack of violence, voice and accountability, high-quality regulations, and an effective legal system. A study by </w:t>
      </w:r>
      <w:proofErr w:type="spellStart"/>
      <w:r w:rsidRPr="00A17F37">
        <w:rPr>
          <w:rFonts w:ascii="Arial" w:hAnsi="Arial" w:cs="Arial"/>
        </w:rPr>
        <w:t>Bouchoucha</w:t>
      </w:r>
      <w:proofErr w:type="spellEnd"/>
      <w:r w:rsidRPr="00A17F37">
        <w:rPr>
          <w:rFonts w:ascii="Arial" w:hAnsi="Arial" w:cs="Arial"/>
        </w:rPr>
        <w:t xml:space="preserve"> (2023) investigated the impact of institutional, political, and economic governance on FDI inflow in a sample of thirty-two African nations, fifteen of which were low-income and seventeen of which were middle-income from 1996 to 2019. The results suggest that governance indicators attract FDI in African countries and their sub-regions. Another study by </w:t>
      </w:r>
      <w:proofErr w:type="spellStart"/>
      <w:r w:rsidRPr="00A17F37">
        <w:rPr>
          <w:rFonts w:ascii="Arial" w:hAnsi="Arial" w:cs="Arial"/>
        </w:rPr>
        <w:t>Mamman</w:t>
      </w:r>
      <w:proofErr w:type="spellEnd"/>
      <w:r w:rsidRPr="00A17F37">
        <w:rPr>
          <w:rFonts w:ascii="Arial" w:hAnsi="Arial" w:cs="Arial"/>
        </w:rPr>
        <w:t xml:space="preserve"> and </w:t>
      </w:r>
      <w:proofErr w:type="spellStart"/>
      <w:r w:rsidRPr="00A17F37">
        <w:rPr>
          <w:rFonts w:ascii="Arial" w:hAnsi="Arial" w:cs="Arial"/>
        </w:rPr>
        <w:t>Valei</w:t>
      </w:r>
      <w:proofErr w:type="spellEnd"/>
      <w:r w:rsidRPr="00A17F37">
        <w:rPr>
          <w:rFonts w:ascii="Arial" w:hAnsi="Arial" w:cs="Arial"/>
        </w:rPr>
        <w:t xml:space="preserve"> (2023) aimed to understand whether the quality of institutions matters in FDI attraction into resource-rich countries. According to the findings, a significant pull effect of </w:t>
      </w:r>
      <w:r w:rsidRPr="00A17F37">
        <w:rPr>
          <w:rFonts w:ascii="Arial" w:hAnsi="Arial" w:cs="Arial"/>
        </w:rPr>
        <w:lastRenderedPageBreak/>
        <w:t>institution quality was observed on FDI, with trade openness having a key role. Khan et al. (2023), in their study, ascertain the impact of institutional quality on FDI on a global scale, including developed, developing, and Asian nations during 2002-2019. Contrary to some studies, they discovered that regulatory quality enhances FDI</w:t>
      </w:r>
      <w:r w:rsidR="00A93E4C">
        <w:rPr>
          <w:rFonts w:ascii="Arial" w:hAnsi="Arial" w:cs="Arial"/>
        </w:rPr>
        <w:t xml:space="preserve"> in global panel</w:t>
      </w:r>
      <w:r w:rsidRPr="00A17F37">
        <w:rPr>
          <w:rFonts w:ascii="Arial" w:hAnsi="Arial" w:cs="Arial"/>
        </w:rPr>
        <w:t xml:space="preserve">, while institutional quality index and remaining institutional indicators negatively impact it. Another study by </w:t>
      </w:r>
      <w:proofErr w:type="spellStart"/>
      <w:r w:rsidRPr="00A17F37">
        <w:rPr>
          <w:rFonts w:ascii="Arial" w:hAnsi="Arial" w:cs="Arial"/>
        </w:rPr>
        <w:t>Adelakun</w:t>
      </w:r>
      <w:proofErr w:type="spellEnd"/>
      <w:r w:rsidRPr="00A17F37">
        <w:rPr>
          <w:rFonts w:ascii="Arial" w:hAnsi="Arial" w:cs="Arial"/>
        </w:rPr>
        <w:t xml:space="preserve"> &amp; </w:t>
      </w:r>
      <w:proofErr w:type="spellStart"/>
      <w:r w:rsidRPr="00A17F37">
        <w:rPr>
          <w:rFonts w:ascii="Arial" w:hAnsi="Arial" w:cs="Arial"/>
        </w:rPr>
        <w:t>Ogujiuba</w:t>
      </w:r>
      <w:proofErr w:type="spellEnd"/>
      <w:r w:rsidRPr="00A17F37">
        <w:rPr>
          <w:rFonts w:ascii="Arial" w:hAnsi="Arial" w:cs="Arial"/>
        </w:rPr>
        <w:t xml:space="preserve"> (2023) comparatively </w:t>
      </w:r>
      <w:proofErr w:type="spellStart"/>
      <w:r w:rsidRPr="00A17F37">
        <w:rPr>
          <w:rFonts w:ascii="Arial" w:hAnsi="Arial" w:cs="Arial"/>
        </w:rPr>
        <w:t>analysed</w:t>
      </w:r>
      <w:proofErr w:type="spellEnd"/>
      <w:r w:rsidRPr="00A17F37">
        <w:rPr>
          <w:rFonts w:ascii="Arial" w:hAnsi="Arial" w:cs="Arial"/>
        </w:rPr>
        <w:t xml:space="preserve"> the determinants of FDI in top FDI receivers of Africa. They found that some mitigating factors limiting FDI from entering these countries include price inflation, weak domestic savings, and infrastructure shortages. The study also discovered that weak governance could obstruct the development of efficient institutions and capital inflows. Whether the institution's quality played a role in FDI inflow and the quality of the environment in 107 global developing nations and 39 Belt and Road Initiative nations during 2002-2019 was studied by Khan et al. (2022). The results suggested that institutional quality is significantly and positively associated with FDI inflow. Another study by Awadhi et al. (2022) assessed the effect of institutional development indexed by six governance indicators on FDI in 45 sub-Saharan African nations from 1986 to 2015. The results demonstrated that government effectiveness and rule of law are the only factors that positively and significantly influencing FDI inflows into sub-Saharan. Furthermore, the capacity of sub-Saharan Africa to draw FDI inflows is still significantly influenced by trade openness and market size. </w:t>
      </w:r>
      <w:proofErr w:type="spellStart"/>
      <w:r w:rsidRPr="00A17F37">
        <w:rPr>
          <w:rFonts w:ascii="Arial" w:hAnsi="Arial" w:cs="Arial"/>
        </w:rPr>
        <w:t>Kalim</w:t>
      </w:r>
      <w:proofErr w:type="spellEnd"/>
      <w:r w:rsidRPr="00A17F37">
        <w:rPr>
          <w:rFonts w:ascii="Arial" w:hAnsi="Arial" w:cs="Arial"/>
        </w:rPr>
        <w:t xml:space="preserve"> et al. (2022) assessed the impact of institutions on global business in the SAARC context from 2001-2019. Findings showed that while external violence has a negative impact on international business, democratic accountability and political stability encourage commerce and FDI. Additionally, Trade is facilitated by corruption control. In another study, Zander (2021) analyzed whether corruption affects FDI in OECD countries. The study's findings were ambiguous, as the corruption had a positive correlation with FDI in regard to the recipient nation, while it was negative in case of the origin country. </w:t>
      </w:r>
      <w:proofErr w:type="spellStart"/>
      <w:r w:rsidRPr="00A17F37">
        <w:rPr>
          <w:rFonts w:ascii="Arial" w:hAnsi="Arial" w:cs="Arial"/>
        </w:rPr>
        <w:t>Siriopoulos</w:t>
      </w:r>
      <w:proofErr w:type="spellEnd"/>
      <w:r w:rsidRPr="00A17F37">
        <w:rPr>
          <w:rFonts w:ascii="Arial" w:hAnsi="Arial" w:cs="Arial"/>
        </w:rPr>
        <w:t xml:space="preserve"> et al. (2021) examined the variables influencing FDI, particularly emphasizing the Gulf Cooperation Council nations' adoption of International Financial Reporting Standards and the quality of their governance from 1996 to 2017. The findings demonstrated that implementation of the International Financial Reporting Standards encourages FDI. Furthermore, laws, regulations, and corruption-related governance metrics have a greater impact on determining FDI. A study by </w:t>
      </w:r>
      <w:proofErr w:type="spellStart"/>
      <w:r w:rsidRPr="00A17F37">
        <w:rPr>
          <w:rFonts w:ascii="Arial" w:hAnsi="Arial" w:cs="Arial"/>
        </w:rPr>
        <w:t>Shamsub</w:t>
      </w:r>
      <w:proofErr w:type="spellEnd"/>
      <w:r w:rsidRPr="00A17F37">
        <w:rPr>
          <w:rFonts w:ascii="Arial" w:hAnsi="Arial" w:cs="Arial"/>
        </w:rPr>
        <w:t xml:space="preserve"> &amp; Haque (2021) identified the important mix of individual governance indicators that impacted the inflow of capital in a group of seven most interdependent Asian nations during 1997 to 2017. It was found that some traditional push and pull determinants like global growth of GDP, stock market return, growth of GDP, and selected governance factors affect the flow of capital. The cointegration and causality of FDI, foreign portfolio investment (FPI), and institutional quality were examined by Nxumalo &amp; Makoni (2021) in 12 emerging economies from 2007 to 2017. The study revealed that FDI and FPI are significantly cointegrated with institutional quality. Besides, a unidirectional causality to institutional quality from FDI and FPI in the long term is confirmed. </w:t>
      </w:r>
      <w:proofErr w:type="spellStart"/>
      <w:r w:rsidRPr="00A17F37">
        <w:rPr>
          <w:rFonts w:ascii="Arial" w:hAnsi="Arial" w:cs="Arial"/>
        </w:rPr>
        <w:t>Kiyani</w:t>
      </w:r>
      <w:proofErr w:type="spellEnd"/>
      <w:r w:rsidRPr="00A17F37">
        <w:rPr>
          <w:rFonts w:ascii="Arial" w:hAnsi="Arial" w:cs="Arial"/>
        </w:rPr>
        <w:t xml:space="preserve"> &amp; </w:t>
      </w:r>
      <w:proofErr w:type="spellStart"/>
      <w:r w:rsidRPr="00A17F37">
        <w:rPr>
          <w:rFonts w:ascii="Arial" w:hAnsi="Arial" w:cs="Arial"/>
        </w:rPr>
        <w:t>Ganic</w:t>
      </w:r>
      <w:proofErr w:type="spellEnd"/>
      <w:r w:rsidRPr="00A17F37">
        <w:rPr>
          <w:rFonts w:ascii="Arial" w:hAnsi="Arial" w:cs="Arial"/>
        </w:rPr>
        <w:t xml:space="preserve"> (2021) investigated the nexus between governance indicators and FDI inflow in China over the period of 2002 to 2019. The results suggested that the rule of law, control of corruption, and regulatory quality significantly and positively affect FDI in China. However, an insignificant relationship between FDI and political stability, voice and accountability, and government effectiveness was also confirmed. The factors affecting FDI inflow to Afghanistan were studied by </w:t>
      </w:r>
      <w:proofErr w:type="spellStart"/>
      <w:r w:rsidRPr="00A17F37">
        <w:rPr>
          <w:rFonts w:ascii="Arial" w:hAnsi="Arial" w:cs="Arial"/>
        </w:rPr>
        <w:t>Eryigit</w:t>
      </w:r>
      <w:proofErr w:type="spellEnd"/>
      <w:r w:rsidRPr="00A17F37">
        <w:rPr>
          <w:rFonts w:ascii="Arial" w:hAnsi="Arial" w:cs="Arial"/>
        </w:rPr>
        <w:t xml:space="preserve"> &amp; </w:t>
      </w:r>
      <w:proofErr w:type="spellStart"/>
      <w:r w:rsidRPr="00A17F37">
        <w:rPr>
          <w:rFonts w:ascii="Arial" w:hAnsi="Arial" w:cs="Arial"/>
        </w:rPr>
        <w:t>Shafaq</w:t>
      </w:r>
      <w:proofErr w:type="spellEnd"/>
      <w:r w:rsidRPr="00A17F37">
        <w:rPr>
          <w:rFonts w:ascii="Arial" w:hAnsi="Arial" w:cs="Arial"/>
        </w:rPr>
        <w:t xml:space="preserve"> (2021) from 1991 to 2017. The findings showed a statistically significant negative impact of GDP on FDI, while globalization was positively significant. When the combined impact of GDP and exchange rate (EXC) are examined on (FDI), it was discovered that both factors have a statistically significant positive impact. Paul &amp; Jadhav (2020) attempted to explore the institutional determinants of FDI in 24 emerging markets, such as China, Indonesia, India, Thailand, Turkey, Malaysia, and Pakistan. The results of this study showed that important factors influencing FDI in emerging markets include institutional quality measured by the efficient rule of law, political stability, control of corruption, and regulatory quality. Further, </w:t>
      </w:r>
      <w:r w:rsidRPr="00A17F37">
        <w:rPr>
          <w:rFonts w:ascii="Arial" w:hAnsi="Arial" w:cs="Arial"/>
        </w:rPr>
        <w:lastRenderedPageBreak/>
        <w:t>infrastructure quality and the cost of trade, which is determined by barriers (tariff and non-tariff), are also significant in FDI attraction.</w:t>
      </w:r>
    </w:p>
    <w:p w14:paraId="223862C4" w14:textId="603813C6" w:rsidR="00A17F37" w:rsidRDefault="00A17F37" w:rsidP="003C5607">
      <w:pPr>
        <w:pStyle w:val="Body"/>
        <w:spacing w:after="0"/>
        <w:rPr>
          <w:rFonts w:ascii="Arial" w:hAnsi="Arial" w:cs="Arial"/>
        </w:rPr>
      </w:pPr>
      <w:r w:rsidRPr="00A17F37">
        <w:rPr>
          <w:rFonts w:ascii="Arial" w:hAnsi="Arial" w:cs="Arial"/>
        </w:rPr>
        <w:t xml:space="preserve">Another study by </w:t>
      </w:r>
      <w:proofErr w:type="spellStart"/>
      <w:r w:rsidRPr="00A17F37">
        <w:rPr>
          <w:rFonts w:ascii="Arial" w:hAnsi="Arial" w:cs="Arial"/>
        </w:rPr>
        <w:t>Minović</w:t>
      </w:r>
      <w:proofErr w:type="spellEnd"/>
      <w:r w:rsidRPr="00A17F37">
        <w:rPr>
          <w:rFonts w:ascii="Arial" w:hAnsi="Arial" w:cs="Arial"/>
        </w:rPr>
        <w:t xml:space="preserve"> et al. (2020) examined the connection between institutional quality indicators (political stability, rule of law, and corruption control) and foreign direct investment (FDI) in the Western Balkans between 2002 and 2017. The findings showed that political stability, control of corruption, and rule of law contribute to FDI inflow into the Western Balkans. In a similar article, Bernal Ponce et al. (2020) examined the causality between FDI outward of China and governance indicators by applying a panel data analysis to Latin American nations. A long-run nexus between the outward FDI of China and three governance factors: regulatory quality, government effectiveness, and control of corruption was found. The results support the idea that there is a statistical nexus between governance indicators and FDI. </w:t>
      </w:r>
      <w:proofErr w:type="spellStart"/>
      <w:r w:rsidRPr="00A17F37">
        <w:rPr>
          <w:rFonts w:ascii="Arial" w:hAnsi="Arial" w:cs="Arial"/>
        </w:rPr>
        <w:t>Younsi</w:t>
      </w:r>
      <w:proofErr w:type="spellEnd"/>
      <w:r w:rsidRPr="00A17F37">
        <w:rPr>
          <w:rFonts w:ascii="Arial" w:hAnsi="Arial" w:cs="Arial"/>
        </w:rPr>
        <w:t xml:space="preserve"> &amp; </w:t>
      </w:r>
      <w:proofErr w:type="spellStart"/>
      <w:r w:rsidRPr="00A17F37">
        <w:rPr>
          <w:rFonts w:ascii="Arial" w:hAnsi="Arial" w:cs="Arial"/>
        </w:rPr>
        <w:t>Bechtini</w:t>
      </w:r>
      <w:proofErr w:type="spellEnd"/>
      <w:r w:rsidRPr="00A17F37">
        <w:rPr>
          <w:rFonts w:ascii="Arial" w:hAnsi="Arial" w:cs="Arial"/>
        </w:rPr>
        <w:t xml:space="preserve"> (2019) analyzed the institutional factors’ impact on FDI attractiveness, using a pool from 25 emerging host nations over the period of 1996 to 2012. It was concluded that government effectiveness, regulatory quality, and political stability positively affect FDI. The other governance indicators were significant statistically and linked to FDI negatively. Another study by Biro et al. (2019) examined whether good governance impacted FDI inflow to the Latin American economies during 2001-2012. A positive effect of voice &amp; accountability, rule of law, control of corruption, and regulatory quality on FDI inflow was found. Ullah &amp; Khan (2017) in their study analyzed the FDI’s determinants with a focus on economic and institutional factors in SAARC (South Asian Association for Regional Cooperation), ASEAN (Association of South East Asian Nations), and Central Asian Nations during the period 2002-2014. It was concluded that institutional indicators play a crucial role in drawing FDI into the ASEAN region, in contrast to SAARC and Central Asian countries. In a similar study, Shah &amp; Afridi (2015) analyzed the impact of governance factors on the FDI inflow of SAARC countries from 2006 to 2014. The results revealed that political stability and regulatory quality have a significant positive impact on FDI. However, corruption hampers the FDI inflow to the SAARC nations. Furthermore, the impact of institutional factors on the FDI inflow of 113 developing countries during 2002-2019 was studied by </w:t>
      </w:r>
      <w:proofErr w:type="spellStart"/>
      <w:r w:rsidRPr="00A17F37">
        <w:rPr>
          <w:rFonts w:ascii="Arial" w:hAnsi="Arial" w:cs="Arial"/>
        </w:rPr>
        <w:t>Kurul</w:t>
      </w:r>
      <w:proofErr w:type="spellEnd"/>
      <w:r w:rsidRPr="00A17F37">
        <w:rPr>
          <w:rFonts w:ascii="Arial" w:hAnsi="Arial" w:cs="Arial"/>
        </w:rPr>
        <w:t xml:space="preserve"> &amp; Yalta (2017). Findings suggested that there is only a significant positive effect of government effectiveness, voice and accountability, and control of corruption on FDI. </w:t>
      </w:r>
      <w:proofErr w:type="spellStart"/>
      <w:r w:rsidRPr="00A17F37">
        <w:rPr>
          <w:rFonts w:ascii="Arial" w:hAnsi="Arial" w:cs="Arial"/>
        </w:rPr>
        <w:t>Ajide</w:t>
      </w:r>
      <w:proofErr w:type="spellEnd"/>
      <w:r w:rsidRPr="00A17F37">
        <w:rPr>
          <w:rFonts w:ascii="Arial" w:hAnsi="Arial" w:cs="Arial"/>
        </w:rPr>
        <w:t xml:space="preserve"> &amp; Raheem (2016) assessed the linkage between FDI and institutions in the Economic Community of West African States (ECOWAS) from 2000 to 2013. The empirical results suggested that in ECOWAS nations, the governance structures are fragile, especially the components of political governance are not effective in drawing FDI. Another similar study by </w:t>
      </w:r>
      <w:proofErr w:type="spellStart"/>
      <w:r w:rsidRPr="00A17F37">
        <w:rPr>
          <w:rFonts w:ascii="Arial" w:hAnsi="Arial" w:cs="Arial"/>
        </w:rPr>
        <w:t>Bannaga</w:t>
      </w:r>
      <w:proofErr w:type="spellEnd"/>
      <w:r w:rsidRPr="00A17F37">
        <w:rPr>
          <w:rFonts w:ascii="Arial" w:hAnsi="Arial" w:cs="Arial"/>
        </w:rPr>
        <w:t xml:space="preserve"> et al. (2013) aimed to analyze the nexus between good governance and FDI in Arab countries from 1999 to 2009. The research findings were mix. Except for the rule of law and control of corruption, the remaining governance factors had a considerable positive impact on FDI inflows to the Arab countries. </w:t>
      </w:r>
    </w:p>
    <w:p w14:paraId="625B7DC7" w14:textId="6DC262B3" w:rsidR="00FE5717" w:rsidRDefault="00FE5717" w:rsidP="00FE5717">
      <w:pPr>
        <w:jc w:val="both"/>
        <w:rPr>
          <w:rFonts w:ascii="Arial" w:hAnsi="Arial" w:cs="Arial"/>
        </w:rPr>
      </w:pPr>
      <w:r w:rsidRPr="00662852">
        <w:rPr>
          <w:rFonts w:ascii="Arial" w:hAnsi="Arial" w:cs="Arial"/>
          <w:highlight w:val="yellow"/>
        </w:rPr>
        <w:t>While extensive literature exists on the factors impacting FDI in different contexts and countries, few papers specifically focused on the role of governance in shaping FDI within the fragile and conflict affected states like Afghanistan. This study fills this gap by providing a country specific analysis of Afghanistan, combining governance and macroeconomic indicators.</w:t>
      </w:r>
    </w:p>
    <w:p w14:paraId="6831C926" w14:textId="6FDAD291" w:rsidR="00A17F37" w:rsidRPr="000646AD" w:rsidRDefault="000646AD" w:rsidP="003C5607">
      <w:pPr>
        <w:pStyle w:val="Body"/>
        <w:spacing w:before="240" w:after="120"/>
        <w:rPr>
          <w:rFonts w:ascii="Arial" w:hAnsi="Arial" w:cs="Arial"/>
          <w:b/>
          <w:bCs/>
        </w:rPr>
      </w:pPr>
      <w:r w:rsidRPr="000646AD">
        <w:rPr>
          <w:rFonts w:ascii="Arial" w:hAnsi="Arial" w:cs="Arial"/>
          <w:b/>
          <w:bCs/>
        </w:rPr>
        <w:t xml:space="preserve">THEORETICAL </w:t>
      </w:r>
      <w:r w:rsidR="00D7045D">
        <w:rPr>
          <w:rFonts w:ascii="Arial" w:hAnsi="Arial" w:cs="Arial"/>
          <w:b/>
          <w:bCs/>
        </w:rPr>
        <w:t>REVIEW</w:t>
      </w:r>
    </w:p>
    <w:p w14:paraId="58FEAFBD" w14:textId="633D9B2D" w:rsidR="00A17F37" w:rsidRPr="00A17F37" w:rsidRDefault="00FE5717" w:rsidP="00A17F37">
      <w:pPr>
        <w:pStyle w:val="Body"/>
        <w:rPr>
          <w:rFonts w:ascii="Arial" w:hAnsi="Arial" w:cs="Arial"/>
        </w:rPr>
      </w:pPr>
      <w:r w:rsidRPr="00BC219B">
        <w:rPr>
          <w:rFonts w:ascii="Arial" w:hAnsi="Arial" w:cs="Arial"/>
          <w:highlight w:val="yellow"/>
        </w:rPr>
        <w:t>The study is based on the liberalism theory which emphasizes on the economic independence, democratic governance, and rule of law to enhance the mutually beneficial international relations. This theory states that foreign investors are more likely to invest in economies with transparent institutions, sound regulations, and stable governance.</w:t>
      </w:r>
      <w:r>
        <w:rPr>
          <w:rFonts w:ascii="Arial" w:hAnsi="Arial" w:cs="Arial"/>
        </w:rPr>
        <w:t xml:space="preserve"> </w:t>
      </w:r>
      <w:r w:rsidR="00A17F37" w:rsidRPr="00A17F37">
        <w:rPr>
          <w:rFonts w:ascii="Arial" w:hAnsi="Arial" w:cs="Arial"/>
        </w:rPr>
        <w:t xml:space="preserve">According to North (1990), institutions are made up of formal and informal rules that have been developed, changed, and evolved by people. The propensity of economic actors to invest in a foreign nation is influenced by formal measures, such as insurance, taxes, laws, regulations, government policies, and informal norms of behavior like customs and habits. Reputable institutions typically contribute </w:t>
      </w:r>
      <w:r w:rsidR="00A17F37" w:rsidRPr="00A17F37">
        <w:rPr>
          <w:rFonts w:ascii="Arial" w:hAnsi="Arial" w:cs="Arial"/>
        </w:rPr>
        <w:lastRenderedPageBreak/>
        <w:t>to lower transaction costs and more profitability. Inefficient institutions, on the other hand, require more time and money. In addition, lackluster property rights protection raises the risk premium and decreases economic activity. Institutions influence cross-border investment by international economic actors. Lucas (1993) advances the theory and proposes that institutional variables are essential in drawing foreign direct investment into emerging economies.</w:t>
      </w:r>
    </w:p>
    <w:p w14:paraId="3DA8C5F2" w14:textId="77777777" w:rsidR="00A17F37" w:rsidRPr="00A17F37" w:rsidRDefault="00A17F37" w:rsidP="00A17F37">
      <w:pPr>
        <w:pStyle w:val="Body"/>
        <w:rPr>
          <w:rFonts w:ascii="Arial" w:hAnsi="Arial" w:cs="Arial"/>
        </w:rPr>
      </w:pPr>
      <w:r w:rsidRPr="00A17F37">
        <w:rPr>
          <w:rFonts w:ascii="Arial" w:hAnsi="Arial" w:cs="Arial"/>
        </w:rPr>
        <w:t>Similar to this (Brewer, 1993; La Porta et al., 1997, 1998) and others discovered that well adherence to government policies, rules, and regulations promotes the growth of the capital market and foreign direct investment inflows. To assess this in the case of Afghanistan, we adopted government effectiveness (GE), regulatory quality (RQ), control of corruption (CC), and rule of law (RL) as governance indicators to know their impact on the FDI flow of the country. Beside this, since macroeconomic determinants are also empirically examined to have an impact on FDI. In this study, the market size (MS), trade openness (TO), inflation (</w:t>
      </w:r>
      <w:proofErr w:type="spellStart"/>
      <w:r w:rsidRPr="00A17F37">
        <w:rPr>
          <w:rFonts w:ascii="Arial" w:hAnsi="Arial" w:cs="Arial"/>
        </w:rPr>
        <w:t>Infl</w:t>
      </w:r>
      <w:proofErr w:type="spellEnd"/>
      <w:r w:rsidRPr="00A17F37">
        <w:rPr>
          <w:rFonts w:ascii="Arial" w:hAnsi="Arial" w:cs="Arial"/>
        </w:rPr>
        <w:t>), exchange rate (ER), and infrastructure (</w:t>
      </w:r>
      <w:proofErr w:type="spellStart"/>
      <w:r w:rsidRPr="00A17F37">
        <w:rPr>
          <w:rFonts w:ascii="Arial" w:hAnsi="Arial" w:cs="Arial"/>
        </w:rPr>
        <w:t>Infr</w:t>
      </w:r>
      <w:proofErr w:type="spellEnd"/>
      <w:r w:rsidRPr="00A17F37">
        <w:rPr>
          <w:rFonts w:ascii="Arial" w:hAnsi="Arial" w:cs="Arial"/>
        </w:rPr>
        <w:t xml:space="preserve">) are also considered (Mengistu &amp; </w:t>
      </w:r>
      <w:proofErr w:type="spellStart"/>
      <w:r w:rsidRPr="00A17F37">
        <w:rPr>
          <w:rFonts w:ascii="Arial" w:hAnsi="Arial" w:cs="Arial"/>
        </w:rPr>
        <w:t>Adhikary</w:t>
      </w:r>
      <w:proofErr w:type="spellEnd"/>
      <w:r w:rsidRPr="00A17F37">
        <w:rPr>
          <w:rFonts w:ascii="Arial" w:hAnsi="Arial" w:cs="Arial"/>
        </w:rPr>
        <w:t>, 2011; Rodríguez-Pose &amp; Cols, 2017; Shah &amp; Afridi, 2015). Thus, this research will investigate this issue further by formulating the below relation.</w:t>
      </w:r>
    </w:p>
    <w:p w14:paraId="0EBE980E" w14:textId="77777777" w:rsidR="00A17F37" w:rsidRDefault="00A17F37" w:rsidP="000646AD">
      <w:pPr>
        <w:pStyle w:val="Body"/>
        <w:spacing w:after="0"/>
        <w:rPr>
          <w:rFonts w:ascii="Arial" w:hAnsi="Arial" w:cs="Arial"/>
        </w:rPr>
      </w:pPr>
      <w:r w:rsidRPr="00A17F37">
        <w:rPr>
          <w:rFonts w:ascii="Arial" w:hAnsi="Arial" w:cs="Arial"/>
        </w:rPr>
        <w:t>FDI=F (</w:t>
      </w:r>
      <w:proofErr w:type="spellStart"/>
      <w:proofErr w:type="gramStart"/>
      <w:r w:rsidRPr="00A17F37">
        <w:rPr>
          <w:rFonts w:ascii="Arial" w:hAnsi="Arial" w:cs="Arial"/>
        </w:rPr>
        <w:t>GE,RQ</w:t>
      </w:r>
      <w:proofErr w:type="gramEnd"/>
      <w:r w:rsidRPr="00A17F37">
        <w:rPr>
          <w:rFonts w:ascii="Arial" w:hAnsi="Arial" w:cs="Arial"/>
        </w:rPr>
        <w:t>,CC,RL,MS,TO,Infl,ER,Infr</w:t>
      </w:r>
      <w:proofErr w:type="spellEnd"/>
      <w:r w:rsidRPr="00A17F37">
        <w:rPr>
          <w:rFonts w:ascii="Arial" w:hAnsi="Arial" w:cs="Arial"/>
        </w:rPr>
        <w:t>)</w:t>
      </w:r>
      <w:r w:rsidRPr="00A17F37">
        <w:rPr>
          <w:rFonts w:ascii="Arial" w:hAnsi="Arial" w:cs="Arial"/>
        </w:rPr>
        <w:tab/>
      </w:r>
      <w:r w:rsidRPr="00A17F37">
        <w:rPr>
          <w:rFonts w:ascii="Arial" w:hAnsi="Arial" w:cs="Arial"/>
        </w:rPr>
        <w:tab/>
      </w:r>
      <w:r w:rsidRPr="00A17F37">
        <w:rPr>
          <w:rFonts w:ascii="Arial" w:hAnsi="Arial" w:cs="Arial"/>
        </w:rPr>
        <w:tab/>
      </w:r>
      <w:r w:rsidRPr="00A17F37">
        <w:rPr>
          <w:rFonts w:ascii="Arial" w:hAnsi="Arial" w:cs="Arial"/>
        </w:rPr>
        <w:tab/>
      </w:r>
      <w:r w:rsidRPr="00A17F37">
        <w:rPr>
          <w:rFonts w:ascii="Arial" w:hAnsi="Arial" w:cs="Arial"/>
        </w:rPr>
        <w:tab/>
      </w:r>
      <w:r w:rsidRPr="00A17F37">
        <w:rPr>
          <w:rFonts w:ascii="Arial" w:hAnsi="Arial" w:cs="Arial"/>
        </w:rPr>
        <w:tab/>
        <w:t>(1)</w:t>
      </w:r>
    </w:p>
    <w:p w14:paraId="40DBFAF9" w14:textId="77777777" w:rsidR="000646AD" w:rsidRPr="00FB3A86" w:rsidRDefault="000646AD" w:rsidP="000646AD">
      <w:pPr>
        <w:pStyle w:val="Body"/>
        <w:spacing w:after="0"/>
        <w:rPr>
          <w:rFonts w:ascii="Arial" w:hAnsi="Arial" w:cs="Arial"/>
        </w:rPr>
      </w:pPr>
    </w:p>
    <w:p w14:paraId="5237EA8A" w14:textId="5178791D" w:rsidR="000646AD" w:rsidRDefault="006B57D0" w:rsidP="000646AD">
      <w:pPr>
        <w:pStyle w:val="AbstHead"/>
        <w:spacing w:after="0"/>
        <w:jc w:val="both"/>
        <w:rPr>
          <w:rFonts w:ascii="Arial" w:hAnsi="Arial" w:cs="Arial"/>
        </w:rPr>
      </w:pPr>
      <w:r>
        <w:rPr>
          <w:rFonts w:ascii="Arial" w:hAnsi="Arial" w:cs="Arial"/>
        </w:rPr>
        <w:t>methodology</w:t>
      </w:r>
      <w:r w:rsidR="007F7B32">
        <w:rPr>
          <w:rFonts w:ascii="Arial" w:hAnsi="Arial" w:cs="Arial"/>
        </w:rPr>
        <w:t xml:space="preserve"> </w:t>
      </w:r>
    </w:p>
    <w:p w14:paraId="462D7FEE" w14:textId="77777777" w:rsidR="000646AD" w:rsidRPr="00FB3A86" w:rsidRDefault="000646AD" w:rsidP="000646AD">
      <w:pPr>
        <w:pStyle w:val="AbstHead"/>
        <w:spacing w:after="0"/>
        <w:jc w:val="both"/>
        <w:rPr>
          <w:rFonts w:ascii="Arial" w:hAnsi="Arial" w:cs="Arial"/>
        </w:rPr>
      </w:pPr>
    </w:p>
    <w:p w14:paraId="5A91B875" w14:textId="5358C6CD" w:rsidR="000646AD" w:rsidRPr="000646AD" w:rsidRDefault="000646AD" w:rsidP="000646AD">
      <w:pPr>
        <w:pStyle w:val="Body"/>
        <w:rPr>
          <w:rFonts w:ascii="Arial" w:hAnsi="Arial" w:cs="Arial"/>
          <w:b/>
          <w:bCs/>
          <w:sz w:val="22"/>
          <w:szCs w:val="22"/>
        </w:rPr>
      </w:pPr>
      <w:r w:rsidRPr="000646AD">
        <w:rPr>
          <w:rFonts w:ascii="Arial" w:hAnsi="Arial" w:cs="Arial"/>
          <w:b/>
          <w:bCs/>
          <w:sz w:val="22"/>
          <w:szCs w:val="22"/>
        </w:rPr>
        <w:t>Variables and Data</w:t>
      </w:r>
    </w:p>
    <w:p w14:paraId="235E4908" w14:textId="78AC7389" w:rsidR="000646AD" w:rsidRPr="000646AD" w:rsidRDefault="000646AD" w:rsidP="000646AD">
      <w:pPr>
        <w:pStyle w:val="Body"/>
        <w:rPr>
          <w:rFonts w:asciiTheme="minorBidi" w:hAnsiTheme="minorBidi" w:cstheme="minorBidi"/>
        </w:rPr>
      </w:pPr>
      <w:r w:rsidRPr="000646AD">
        <w:rPr>
          <w:rFonts w:ascii="Arial" w:hAnsi="Arial" w:cs="Arial"/>
        </w:rPr>
        <w:t xml:space="preserve">This study utilizes time series data of Afghanistan for 19 years, during the period 2002 to 2021. The </w:t>
      </w:r>
      <w:r w:rsidR="00F05FF4">
        <w:rPr>
          <w:rFonts w:ascii="Arial" w:hAnsi="Arial" w:cs="Arial"/>
        </w:rPr>
        <w:t>study’s time frame</w:t>
      </w:r>
      <w:r w:rsidRPr="000646AD">
        <w:rPr>
          <w:rFonts w:ascii="Arial" w:hAnsi="Arial" w:cs="Arial"/>
        </w:rPr>
        <w:t xml:space="preserve"> is based on the availability of the data for all considered variables. We have considered FDI as the dependent variable, the four governance factors, and five macroeconomic factors, namely, government effectiveness (GE), regulatory quality (RQ), control of corruption (CC), rule of law (RL), market size (MS), trade openness (TO), inflation (</w:t>
      </w:r>
      <w:proofErr w:type="spellStart"/>
      <w:r w:rsidRPr="000646AD">
        <w:rPr>
          <w:rFonts w:ascii="Arial" w:hAnsi="Arial" w:cs="Arial"/>
        </w:rPr>
        <w:t>Infl</w:t>
      </w:r>
      <w:proofErr w:type="spellEnd"/>
      <w:r w:rsidRPr="000646AD">
        <w:rPr>
          <w:rFonts w:ascii="Arial" w:hAnsi="Arial" w:cs="Arial"/>
        </w:rPr>
        <w:t>), exchange rate (ER), and infrastructure (</w:t>
      </w:r>
      <w:proofErr w:type="spellStart"/>
      <w:r w:rsidRPr="000646AD">
        <w:rPr>
          <w:rFonts w:ascii="Arial" w:hAnsi="Arial" w:cs="Arial"/>
        </w:rPr>
        <w:t>Infr</w:t>
      </w:r>
      <w:proofErr w:type="spellEnd"/>
      <w:r w:rsidRPr="000646AD">
        <w:rPr>
          <w:rFonts w:ascii="Arial" w:hAnsi="Arial" w:cs="Arial"/>
        </w:rPr>
        <w:t xml:space="preserve">) are the independent variables. In this study, to simplify the data analysis, we have transformed two variables, namely, FDI and Market size, which is GDP, into logarithm form. The World Development Indicators (WDI) and World Governance Indicators (WGI) of the World Bank, the United Nations Conference on Trade and Development (UNCTAD), and the International Monetary Fund (IMF) were used as data sources. The variables’ names, symbols for brevity, description, and sources are shown in </w:t>
      </w:r>
      <w:r w:rsidRPr="000646AD">
        <w:rPr>
          <w:rFonts w:asciiTheme="minorBidi" w:hAnsiTheme="minorBidi" w:cstheme="minorBidi"/>
        </w:rPr>
        <w:t>Table 1.</w:t>
      </w:r>
    </w:p>
    <w:p w14:paraId="59746689" w14:textId="385F6DA3" w:rsidR="000646AD" w:rsidRPr="000646AD" w:rsidRDefault="000646AD" w:rsidP="001B658D">
      <w:pPr>
        <w:spacing w:before="240"/>
        <w:jc w:val="center"/>
        <w:rPr>
          <w:rFonts w:asciiTheme="minorBidi" w:hAnsiTheme="minorBidi" w:cstheme="minorBidi"/>
          <w:b/>
          <w:bCs/>
        </w:rPr>
      </w:pPr>
      <w:r w:rsidRPr="000646AD">
        <w:rPr>
          <w:rFonts w:asciiTheme="minorBidi" w:hAnsiTheme="minorBidi" w:cstheme="minorBidi"/>
          <w:b/>
          <w:bCs/>
        </w:rPr>
        <w:t>Table 1</w:t>
      </w:r>
      <w:r w:rsidR="001B658D">
        <w:rPr>
          <w:rFonts w:asciiTheme="minorBidi" w:hAnsiTheme="minorBidi" w:cstheme="minorBidi"/>
          <w:b/>
          <w:bCs/>
        </w:rPr>
        <w:t xml:space="preserve">: </w:t>
      </w:r>
      <w:r w:rsidRPr="000646AD">
        <w:rPr>
          <w:rFonts w:asciiTheme="minorBidi" w:hAnsiTheme="minorBidi" w:cstheme="minorBidi"/>
          <w:b/>
          <w:bCs/>
        </w:rPr>
        <w:t>Description of the variables and sources of the data</w:t>
      </w:r>
    </w:p>
    <w:tbl>
      <w:tblPr>
        <w:tblStyle w:val="ListTable6Colorful"/>
        <w:tblW w:w="0" w:type="auto"/>
        <w:tblInd w:w="-142" w:type="dxa"/>
        <w:tblLook w:val="04A0" w:firstRow="1" w:lastRow="0" w:firstColumn="1" w:lastColumn="0" w:noHBand="0" w:noVBand="1"/>
      </w:tblPr>
      <w:tblGrid>
        <w:gridCol w:w="2571"/>
        <w:gridCol w:w="959"/>
        <w:gridCol w:w="3398"/>
        <w:gridCol w:w="1422"/>
      </w:tblGrid>
      <w:tr w:rsidR="000646AD" w:rsidRPr="000646AD" w14:paraId="174D5AED" w14:textId="77777777" w:rsidTr="002A3B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618E8722" w14:textId="77777777" w:rsidR="000646AD" w:rsidRPr="000646AD" w:rsidRDefault="000646AD" w:rsidP="000646AD">
            <w:pPr>
              <w:jc w:val="center"/>
              <w:rPr>
                <w:rFonts w:asciiTheme="minorBidi" w:hAnsiTheme="minorBidi"/>
                <w:sz w:val="20"/>
                <w:szCs w:val="20"/>
              </w:rPr>
            </w:pPr>
            <w:r w:rsidRPr="000646AD">
              <w:rPr>
                <w:rFonts w:asciiTheme="minorBidi" w:hAnsiTheme="minorBidi"/>
                <w:sz w:val="20"/>
                <w:szCs w:val="20"/>
              </w:rPr>
              <w:t>Variable</w:t>
            </w:r>
          </w:p>
        </w:tc>
        <w:tc>
          <w:tcPr>
            <w:tcW w:w="963" w:type="dxa"/>
          </w:tcPr>
          <w:p w14:paraId="33E31CBD" w14:textId="77777777" w:rsidR="000646AD" w:rsidRPr="000646AD" w:rsidRDefault="000646AD" w:rsidP="000646AD">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Symbol</w:t>
            </w:r>
          </w:p>
        </w:tc>
        <w:tc>
          <w:tcPr>
            <w:tcW w:w="3855" w:type="dxa"/>
          </w:tcPr>
          <w:p w14:paraId="2AD23C07" w14:textId="77777777" w:rsidR="000646AD" w:rsidRPr="000646AD" w:rsidRDefault="000646AD" w:rsidP="000646AD">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Description</w:t>
            </w:r>
          </w:p>
        </w:tc>
        <w:tc>
          <w:tcPr>
            <w:tcW w:w="1507" w:type="dxa"/>
          </w:tcPr>
          <w:p w14:paraId="5E55A950" w14:textId="77777777" w:rsidR="000646AD" w:rsidRPr="000646AD" w:rsidRDefault="000646AD" w:rsidP="000646AD">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Source</w:t>
            </w:r>
          </w:p>
        </w:tc>
      </w:tr>
      <w:tr w:rsidR="000646AD" w:rsidRPr="000646AD" w14:paraId="1B3C4121" w14:textId="77777777" w:rsidTr="002A3B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0DA5E90D" w14:textId="77777777" w:rsidR="000646AD" w:rsidRPr="000646AD" w:rsidRDefault="000646AD" w:rsidP="000646AD">
            <w:pPr>
              <w:jc w:val="both"/>
              <w:rPr>
                <w:rFonts w:asciiTheme="minorBidi" w:hAnsiTheme="minorBidi"/>
                <w:sz w:val="20"/>
                <w:szCs w:val="20"/>
              </w:rPr>
            </w:pPr>
            <w:r w:rsidRPr="000646AD">
              <w:rPr>
                <w:rFonts w:asciiTheme="minorBidi" w:hAnsiTheme="minorBidi"/>
                <w:sz w:val="20"/>
                <w:szCs w:val="20"/>
              </w:rPr>
              <w:t>Dependent variable</w:t>
            </w:r>
          </w:p>
        </w:tc>
        <w:tc>
          <w:tcPr>
            <w:tcW w:w="963" w:type="dxa"/>
            <w:shd w:val="clear" w:color="auto" w:fill="auto"/>
          </w:tcPr>
          <w:p w14:paraId="30EA5EFB" w14:textId="77777777" w:rsidR="000646AD" w:rsidRPr="000646AD" w:rsidRDefault="000646AD" w:rsidP="000646A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
        </w:tc>
        <w:tc>
          <w:tcPr>
            <w:tcW w:w="3855" w:type="dxa"/>
            <w:shd w:val="clear" w:color="auto" w:fill="auto"/>
          </w:tcPr>
          <w:p w14:paraId="2A4A930F" w14:textId="77777777" w:rsidR="000646AD" w:rsidRPr="000646AD" w:rsidRDefault="000646AD" w:rsidP="000646A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
        </w:tc>
        <w:tc>
          <w:tcPr>
            <w:tcW w:w="1507" w:type="dxa"/>
            <w:shd w:val="clear" w:color="auto" w:fill="auto"/>
          </w:tcPr>
          <w:p w14:paraId="09F8720E" w14:textId="77777777" w:rsidR="000646AD" w:rsidRPr="000646AD" w:rsidRDefault="000646AD" w:rsidP="000646A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
        </w:tc>
      </w:tr>
      <w:tr w:rsidR="000646AD" w:rsidRPr="000646AD" w14:paraId="2EEEC5DB" w14:textId="77777777" w:rsidTr="002A3B27">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719B51BF" w14:textId="77777777" w:rsidR="000646AD" w:rsidRPr="000646AD" w:rsidRDefault="000646AD" w:rsidP="000646AD">
            <w:pPr>
              <w:rPr>
                <w:rFonts w:asciiTheme="minorBidi" w:hAnsiTheme="minorBidi"/>
                <w:b w:val="0"/>
                <w:bCs w:val="0"/>
                <w:sz w:val="20"/>
                <w:szCs w:val="20"/>
              </w:rPr>
            </w:pPr>
            <w:r w:rsidRPr="000646AD">
              <w:rPr>
                <w:rFonts w:asciiTheme="minorBidi" w:hAnsiTheme="minorBidi"/>
                <w:b w:val="0"/>
                <w:bCs w:val="0"/>
                <w:sz w:val="20"/>
                <w:szCs w:val="20"/>
              </w:rPr>
              <w:t>Foreign Direct Investment</w:t>
            </w:r>
          </w:p>
        </w:tc>
        <w:tc>
          <w:tcPr>
            <w:tcW w:w="963" w:type="dxa"/>
            <w:shd w:val="clear" w:color="auto" w:fill="auto"/>
          </w:tcPr>
          <w:p w14:paraId="6E9C0684" w14:textId="77777777" w:rsidR="000646AD" w:rsidRPr="000646AD" w:rsidRDefault="000646AD" w:rsidP="000646A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FDI</w:t>
            </w:r>
          </w:p>
        </w:tc>
        <w:tc>
          <w:tcPr>
            <w:tcW w:w="3855" w:type="dxa"/>
            <w:shd w:val="clear" w:color="auto" w:fill="auto"/>
          </w:tcPr>
          <w:p w14:paraId="72B2F926" w14:textId="77777777" w:rsidR="000646AD" w:rsidRPr="000646AD" w:rsidRDefault="000646AD" w:rsidP="000646A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Foreign Direct Investment inflow, in natural logarithm</w:t>
            </w:r>
          </w:p>
        </w:tc>
        <w:tc>
          <w:tcPr>
            <w:tcW w:w="1507" w:type="dxa"/>
            <w:shd w:val="clear" w:color="auto" w:fill="auto"/>
          </w:tcPr>
          <w:p w14:paraId="570D291B" w14:textId="77777777" w:rsidR="000646AD" w:rsidRPr="000646AD" w:rsidRDefault="000646AD" w:rsidP="000646A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WDI</w:t>
            </w:r>
          </w:p>
        </w:tc>
      </w:tr>
      <w:tr w:rsidR="000646AD" w:rsidRPr="000646AD" w14:paraId="7682BEAB" w14:textId="77777777" w:rsidTr="002A3B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19291C42" w14:textId="77777777" w:rsidR="000646AD" w:rsidRPr="000646AD" w:rsidRDefault="000646AD" w:rsidP="000646AD">
            <w:pPr>
              <w:jc w:val="both"/>
              <w:rPr>
                <w:rFonts w:asciiTheme="minorBidi" w:hAnsiTheme="minorBidi"/>
                <w:sz w:val="20"/>
                <w:szCs w:val="20"/>
              </w:rPr>
            </w:pPr>
            <w:r w:rsidRPr="000646AD">
              <w:rPr>
                <w:rFonts w:asciiTheme="minorBidi" w:hAnsiTheme="minorBidi"/>
                <w:sz w:val="20"/>
                <w:szCs w:val="20"/>
              </w:rPr>
              <w:t>Independent variables</w:t>
            </w:r>
          </w:p>
        </w:tc>
        <w:tc>
          <w:tcPr>
            <w:tcW w:w="963" w:type="dxa"/>
            <w:shd w:val="clear" w:color="auto" w:fill="auto"/>
          </w:tcPr>
          <w:p w14:paraId="592DBE35" w14:textId="77777777" w:rsidR="000646AD" w:rsidRPr="000646AD" w:rsidRDefault="000646AD" w:rsidP="000646A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
        </w:tc>
        <w:tc>
          <w:tcPr>
            <w:tcW w:w="3855" w:type="dxa"/>
            <w:shd w:val="clear" w:color="auto" w:fill="auto"/>
          </w:tcPr>
          <w:p w14:paraId="4AE6D3DD" w14:textId="77777777" w:rsidR="000646AD" w:rsidRPr="000646AD" w:rsidRDefault="000646AD" w:rsidP="000646A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
        </w:tc>
        <w:tc>
          <w:tcPr>
            <w:tcW w:w="1507" w:type="dxa"/>
            <w:shd w:val="clear" w:color="auto" w:fill="auto"/>
          </w:tcPr>
          <w:p w14:paraId="145AB29C" w14:textId="77777777" w:rsidR="000646AD" w:rsidRPr="000646AD" w:rsidRDefault="000646AD" w:rsidP="000646A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
        </w:tc>
      </w:tr>
      <w:tr w:rsidR="000646AD" w:rsidRPr="000646AD" w14:paraId="79F60ABB" w14:textId="77777777" w:rsidTr="002A3B27">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10D9A893" w14:textId="77777777" w:rsidR="000646AD" w:rsidRPr="000646AD" w:rsidRDefault="000646AD" w:rsidP="000646AD">
            <w:pPr>
              <w:jc w:val="both"/>
              <w:rPr>
                <w:rFonts w:asciiTheme="minorBidi" w:hAnsiTheme="minorBidi"/>
                <w:b w:val="0"/>
                <w:bCs w:val="0"/>
                <w:sz w:val="20"/>
                <w:szCs w:val="20"/>
              </w:rPr>
            </w:pPr>
            <w:r w:rsidRPr="000646AD">
              <w:rPr>
                <w:rFonts w:asciiTheme="minorBidi" w:hAnsiTheme="minorBidi"/>
                <w:b w:val="0"/>
                <w:bCs w:val="0"/>
                <w:sz w:val="20"/>
                <w:szCs w:val="20"/>
              </w:rPr>
              <w:t>Government Effectiveness</w:t>
            </w:r>
          </w:p>
        </w:tc>
        <w:tc>
          <w:tcPr>
            <w:tcW w:w="963" w:type="dxa"/>
            <w:shd w:val="clear" w:color="auto" w:fill="auto"/>
          </w:tcPr>
          <w:p w14:paraId="0924CC06" w14:textId="77777777" w:rsidR="000646AD" w:rsidRPr="000646AD" w:rsidRDefault="000646AD" w:rsidP="000646A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GE</w:t>
            </w:r>
          </w:p>
        </w:tc>
        <w:tc>
          <w:tcPr>
            <w:tcW w:w="3855" w:type="dxa"/>
            <w:shd w:val="clear" w:color="auto" w:fill="auto"/>
          </w:tcPr>
          <w:p w14:paraId="63B3B3A1" w14:textId="77777777" w:rsidR="000646AD" w:rsidRPr="000646AD" w:rsidRDefault="000646AD" w:rsidP="000646A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Government effectiveness estimate</w:t>
            </w:r>
          </w:p>
        </w:tc>
        <w:tc>
          <w:tcPr>
            <w:tcW w:w="1507" w:type="dxa"/>
            <w:shd w:val="clear" w:color="auto" w:fill="auto"/>
          </w:tcPr>
          <w:p w14:paraId="7FFF2331" w14:textId="77777777" w:rsidR="000646AD" w:rsidRPr="000646AD" w:rsidRDefault="000646AD" w:rsidP="000646A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WGI</w:t>
            </w:r>
          </w:p>
        </w:tc>
      </w:tr>
      <w:tr w:rsidR="000646AD" w:rsidRPr="000646AD" w14:paraId="4CEA183E" w14:textId="77777777" w:rsidTr="002A3B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6F06928E" w14:textId="77777777" w:rsidR="000646AD" w:rsidRPr="000646AD" w:rsidRDefault="000646AD" w:rsidP="000646AD">
            <w:pPr>
              <w:jc w:val="both"/>
              <w:rPr>
                <w:rFonts w:asciiTheme="minorBidi" w:hAnsiTheme="minorBidi"/>
                <w:b w:val="0"/>
                <w:bCs w:val="0"/>
                <w:sz w:val="20"/>
                <w:szCs w:val="20"/>
              </w:rPr>
            </w:pPr>
            <w:r w:rsidRPr="000646AD">
              <w:rPr>
                <w:rFonts w:asciiTheme="minorBidi" w:hAnsiTheme="minorBidi"/>
                <w:b w:val="0"/>
                <w:bCs w:val="0"/>
                <w:sz w:val="20"/>
                <w:szCs w:val="20"/>
              </w:rPr>
              <w:t>Regulatory Quality</w:t>
            </w:r>
          </w:p>
        </w:tc>
        <w:tc>
          <w:tcPr>
            <w:tcW w:w="963" w:type="dxa"/>
            <w:shd w:val="clear" w:color="auto" w:fill="auto"/>
          </w:tcPr>
          <w:p w14:paraId="6A313DB5" w14:textId="77777777" w:rsidR="000646AD" w:rsidRPr="000646AD" w:rsidRDefault="000646AD" w:rsidP="000646A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RQ</w:t>
            </w:r>
          </w:p>
        </w:tc>
        <w:tc>
          <w:tcPr>
            <w:tcW w:w="3855" w:type="dxa"/>
            <w:shd w:val="clear" w:color="auto" w:fill="auto"/>
          </w:tcPr>
          <w:p w14:paraId="7E1926C9" w14:textId="77777777" w:rsidR="000646AD" w:rsidRPr="000646AD" w:rsidRDefault="000646AD" w:rsidP="000646A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Regulatory quality estimate</w:t>
            </w:r>
          </w:p>
        </w:tc>
        <w:tc>
          <w:tcPr>
            <w:tcW w:w="1507" w:type="dxa"/>
            <w:shd w:val="clear" w:color="auto" w:fill="auto"/>
          </w:tcPr>
          <w:p w14:paraId="25F1EBA6" w14:textId="77777777" w:rsidR="000646AD" w:rsidRPr="000646AD" w:rsidRDefault="000646AD" w:rsidP="000646A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WGI</w:t>
            </w:r>
          </w:p>
        </w:tc>
      </w:tr>
      <w:tr w:rsidR="000646AD" w:rsidRPr="000646AD" w14:paraId="13E74562" w14:textId="77777777" w:rsidTr="002A3B27">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4BB0F3AA" w14:textId="77777777" w:rsidR="000646AD" w:rsidRPr="000646AD" w:rsidRDefault="000646AD" w:rsidP="000646AD">
            <w:pPr>
              <w:jc w:val="both"/>
              <w:rPr>
                <w:rFonts w:asciiTheme="minorBidi" w:hAnsiTheme="minorBidi"/>
                <w:sz w:val="20"/>
                <w:szCs w:val="20"/>
              </w:rPr>
            </w:pPr>
            <w:r w:rsidRPr="000646AD">
              <w:rPr>
                <w:rFonts w:asciiTheme="minorBidi" w:hAnsiTheme="minorBidi"/>
                <w:b w:val="0"/>
                <w:bCs w:val="0"/>
                <w:sz w:val="20"/>
                <w:szCs w:val="20"/>
              </w:rPr>
              <w:t>Control of Corruption</w:t>
            </w:r>
          </w:p>
        </w:tc>
        <w:tc>
          <w:tcPr>
            <w:tcW w:w="963" w:type="dxa"/>
            <w:shd w:val="clear" w:color="auto" w:fill="auto"/>
          </w:tcPr>
          <w:p w14:paraId="5E80A53C" w14:textId="77777777" w:rsidR="000646AD" w:rsidRPr="000646AD" w:rsidRDefault="000646AD" w:rsidP="000646A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CC</w:t>
            </w:r>
          </w:p>
        </w:tc>
        <w:tc>
          <w:tcPr>
            <w:tcW w:w="3855" w:type="dxa"/>
            <w:shd w:val="clear" w:color="auto" w:fill="auto"/>
          </w:tcPr>
          <w:p w14:paraId="084FDEE5" w14:textId="77777777" w:rsidR="000646AD" w:rsidRPr="000646AD" w:rsidRDefault="000646AD" w:rsidP="000646A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Control of corruption estimate</w:t>
            </w:r>
          </w:p>
        </w:tc>
        <w:tc>
          <w:tcPr>
            <w:tcW w:w="1507" w:type="dxa"/>
            <w:shd w:val="clear" w:color="auto" w:fill="auto"/>
          </w:tcPr>
          <w:p w14:paraId="7B26A079" w14:textId="77777777" w:rsidR="000646AD" w:rsidRPr="000646AD" w:rsidRDefault="000646AD" w:rsidP="000646A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WGI</w:t>
            </w:r>
          </w:p>
        </w:tc>
      </w:tr>
      <w:tr w:rsidR="000646AD" w:rsidRPr="000646AD" w14:paraId="36573CAD" w14:textId="77777777" w:rsidTr="002A3B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2A5D8B28" w14:textId="77777777" w:rsidR="000646AD" w:rsidRPr="000646AD" w:rsidRDefault="000646AD" w:rsidP="000646AD">
            <w:pPr>
              <w:jc w:val="both"/>
              <w:rPr>
                <w:rFonts w:asciiTheme="minorBidi" w:hAnsiTheme="minorBidi"/>
                <w:b w:val="0"/>
                <w:bCs w:val="0"/>
                <w:sz w:val="20"/>
                <w:szCs w:val="20"/>
              </w:rPr>
            </w:pPr>
            <w:r w:rsidRPr="000646AD">
              <w:rPr>
                <w:rFonts w:asciiTheme="minorBidi" w:hAnsiTheme="minorBidi"/>
                <w:b w:val="0"/>
                <w:bCs w:val="0"/>
                <w:sz w:val="20"/>
                <w:szCs w:val="20"/>
              </w:rPr>
              <w:t>Rule of Law</w:t>
            </w:r>
          </w:p>
        </w:tc>
        <w:tc>
          <w:tcPr>
            <w:tcW w:w="963" w:type="dxa"/>
            <w:shd w:val="clear" w:color="auto" w:fill="auto"/>
          </w:tcPr>
          <w:p w14:paraId="61B04D1A" w14:textId="77777777" w:rsidR="000646AD" w:rsidRPr="000646AD" w:rsidRDefault="000646AD" w:rsidP="000646A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RL</w:t>
            </w:r>
          </w:p>
        </w:tc>
        <w:tc>
          <w:tcPr>
            <w:tcW w:w="3855" w:type="dxa"/>
            <w:shd w:val="clear" w:color="auto" w:fill="auto"/>
          </w:tcPr>
          <w:p w14:paraId="438ADAE7" w14:textId="77777777" w:rsidR="000646AD" w:rsidRPr="000646AD" w:rsidRDefault="000646AD" w:rsidP="000646A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Rule of law estimate</w:t>
            </w:r>
          </w:p>
        </w:tc>
        <w:tc>
          <w:tcPr>
            <w:tcW w:w="1507" w:type="dxa"/>
            <w:shd w:val="clear" w:color="auto" w:fill="auto"/>
          </w:tcPr>
          <w:p w14:paraId="40FC9E71" w14:textId="77777777" w:rsidR="000646AD" w:rsidRPr="000646AD" w:rsidRDefault="000646AD" w:rsidP="000646A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WGI</w:t>
            </w:r>
          </w:p>
        </w:tc>
      </w:tr>
      <w:tr w:rsidR="000646AD" w:rsidRPr="000646AD" w14:paraId="7EF9E4DD" w14:textId="77777777" w:rsidTr="002A3B27">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4BBF9AB4" w14:textId="77777777" w:rsidR="000646AD" w:rsidRPr="000646AD" w:rsidRDefault="000646AD" w:rsidP="000646AD">
            <w:pPr>
              <w:jc w:val="both"/>
              <w:rPr>
                <w:rFonts w:asciiTheme="minorBidi" w:hAnsiTheme="minorBidi"/>
                <w:b w:val="0"/>
                <w:bCs w:val="0"/>
                <w:sz w:val="20"/>
                <w:szCs w:val="20"/>
              </w:rPr>
            </w:pPr>
            <w:r w:rsidRPr="000646AD">
              <w:rPr>
                <w:rFonts w:asciiTheme="minorBidi" w:hAnsiTheme="minorBidi"/>
                <w:b w:val="0"/>
                <w:bCs w:val="0"/>
                <w:sz w:val="20"/>
                <w:szCs w:val="20"/>
              </w:rPr>
              <w:t>Market Size</w:t>
            </w:r>
          </w:p>
        </w:tc>
        <w:tc>
          <w:tcPr>
            <w:tcW w:w="963" w:type="dxa"/>
            <w:shd w:val="clear" w:color="auto" w:fill="auto"/>
          </w:tcPr>
          <w:p w14:paraId="109ECDC6" w14:textId="77777777" w:rsidR="000646AD" w:rsidRPr="000646AD" w:rsidRDefault="000646AD" w:rsidP="000646A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MS</w:t>
            </w:r>
          </w:p>
        </w:tc>
        <w:tc>
          <w:tcPr>
            <w:tcW w:w="3855" w:type="dxa"/>
            <w:shd w:val="clear" w:color="auto" w:fill="auto"/>
          </w:tcPr>
          <w:p w14:paraId="3748EB5D" w14:textId="77777777" w:rsidR="000646AD" w:rsidRPr="000646AD" w:rsidRDefault="000646AD" w:rsidP="000646A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Total GDP</w:t>
            </w:r>
          </w:p>
        </w:tc>
        <w:tc>
          <w:tcPr>
            <w:tcW w:w="1507" w:type="dxa"/>
            <w:shd w:val="clear" w:color="auto" w:fill="auto"/>
          </w:tcPr>
          <w:p w14:paraId="037A1EBD" w14:textId="77777777" w:rsidR="000646AD" w:rsidRPr="000646AD" w:rsidRDefault="000646AD" w:rsidP="000646A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WDI</w:t>
            </w:r>
          </w:p>
        </w:tc>
      </w:tr>
      <w:tr w:rsidR="000646AD" w:rsidRPr="000646AD" w14:paraId="6B7C3BAF" w14:textId="77777777" w:rsidTr="002A3B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53CDF8EE" w14:textId="77777777" w:rsidR="000646AD" w:rsidRPr="000646AD" w:rsidRDefault="000646AD" w:rsidP="000646AD">
            <w:pPr>
              <w:jc w:val="both"/>
              <w:rPr>
                <w:rFonts w:asciiTheme="minorBidi" w:hAnsiTheme="minorBidi"/>
                <w:b w:val="0"/>
                <w:bCs w:val="0"/>
                <w:sz w:val="20"/>
                <w:szCs w:val="20"/>
              </w:rPr>
            </w:pPr>
            <w:r w:rsidRPr="000646AD">
              <w:rPr>
                <w:rFonts w:asciiTheme="minorBidi" w:hAnsiTheme="minorBidi"/>
                <w:b w:val="0"/>
                <w:bCs w:val="0"/>
                <w:sz w:val="20"/>
                <w:szCs w:val="20"/>
              </w:rPr>
              <w:t>Trade Openness</w:t>
            </w:r>
          </w:p>
        </w:tc>
        <w:tc>
          <w:tcPr>
            <w:tcW w:w="963" w:type="dxa"/>
            <w:shd w:val="clear" w:color="auto" w:fill="auto"/>
          </w:tcPr>
          <w:p w14:paraId="1FD3AC0A" w14:textId="77777777" w:rsidR="000646AD" w:rsidRPr="000646AD" w:rsidRDefault="000646AD" w:rsidP="000646A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TO</w:t>
            </w:r>
          </w:p>
        </w:tc>
        <w:tc>
          <w:tcPr>
            <w:tcW w:w="3855" w:type="dxa"/>
            <w:shd w:val="clear" w:color="auto" w:fill="auto"/>
          </w:tcPr>
          <w:p w14:paraId="167BAC7D" w14:textId="77777777" w:rsidR="000646AD" w:rsidRPr="000646AD" w:rsidRDefault="000646AD" w:rsidP="000646A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Trade to GDP ratio</w:t>
            </w:r>
          </w:p>
        </w:tc>
        <w:tc>
          <w:tcPr>
            <w:tcW w:w="1507" w:type="dxa"/>
            <w:shd w:val="clear" w:color="auto" w:fill="auto"/>
          </w:tcPr>
          <w:p w14:paraId="2194FB5F" w14:textId="77777777" w:rsidR="000646AD" w:rsidRPr="000646AD" w:rsidRDefault="000646AD" w:rsidP="000646A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WDI</w:t>
            </w:r>
          </w:p>
        </w:tc>
      </w:tr>
      <w:tr w:rsidR="000646AD" w:rsidRPr="000646AD" w14:paraId="2746DA99" w14:textId="77777777" w:rsidTr="002A3B27">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180A900E" w14:textId="77777777" w:rsidR="000646AD" w:rsidRPr="000646AD" w:rsidRDefault="000646AD" w:rsidP="000646AD">
            <w:pPr>
              <w:jc w:val="both"/>
              <w:rPr>
                <w:rFonts w:asciiTheme="minorBidi" w:hAnsiTheme="minorBidi"/>
                <w:b w:val="0"/>
                <w:bCs w:val="0"/>
                <w:sz w:val="20"/>
                <w:szCs w:val="20"/>
              </w:rPr>
            </w:pPr>
            <w:r w:rsidRPr="000646AD">
              <w:rPr>
                <w:rFonts w:asciiTheme="minorBidi" w:hAnsiTheme="minorBidi"/>
                <w:b w:val="0"/>
                <w:bCs w:val="0"/>
                <w:sz w:val="20"/>
                <w:szCs w:val="20"/>
              </w:rPr>
              <w:t>Inflation</w:t>
            </w:r>
          </w:p>
        </w:tc>
        <w:tc>
          <w:tcPr>
            <w:tcW w:w="963" w:type="dxa"/>
            <w:shd w:val="clear" w:color="auto" w:fill="auto"/>
          </w:tcPr>
          <w:p w14:paraId="684516B7" w14:textId="77777777" w:rsidR="000646AD" w:rsidRPr="000646AD" w:rsidRDefault="000646AD" w:rsidP="000646A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proofErr w:type="spellStart"/>
            <w:r w:rsidRPr="000646AD">
              <w:rPr>
                <w:rFonts w:asciiTheme="minorBidi" w:hAnsiTheme="minorBidi"/>
                <w:sz w:val="20"/>
                <w:szCs w:val="20"/>
              </w:rPr>
              <w:t>Infl</w:t>
            </w:r>
            <w:proofErr w:type="spellEnd"/>
          </w:p>
        </w:tc>
        <w:tc>
          <w:tcPr>
            <w:tcW w:w="3855" w:type="dxa"/>
            <w:shd w:val="clear" w:color="auto" w:fill="auto"/>
          </w:tcPr>
          <w:p w14:paraId="3D855C12" w14:textId="77777777" w:rsidR="000646AD" w:rsidRPr="000646AD" w:rsidRDefault="000646AD" w:rsidP="000646A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Change of Price over the year</w:t>
            </w:r>
          </w:p>
        </w:tc>
        <w:tc>
          <w:tcPr>
            <w:tcW w:w="1507" w:type="dxa"/>
            <w:shd w:val="clear" w:color="auto" w:fill="auto"/>
          </w:tcPr>
          <w:p w14:paraId="402A0677" w14:textId="77777777" w:rsidR="000646AD" w:rsidRPr="000646AD" w:rsidRDefault="000646AD" w:rsidP="000646A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WDI</w:t>
            </w:r>
          </w:p>
        </w:tc>
      </w:tr>
      <w:tr w:rsidR="000646AD" w:rsidRPr="000646AD" w14:paraId="435D36C2" w14:textId="77777777" w:rsidTr="002A3B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643CF17A" w14:textId="77777777" w:rsidR="000646AD" w:rsidRPr="000646AD" w:rsidRDefault="000646AD" w:rsidP="000646AD">
            <w:pPr>
              <w:jc w:val="both"/>
              <w:rPr>
                <w:rFonts w:asciiTheme="minorBidi" w:hAnsiTheme="minorBidi"/>
                <w:b w:val="0"/>
                <w:bCs w:val="0"/>
                <w:sz w:val="20"/>
                <w:szCs w:val="20"/>
              </w:rPr>
            </w:pPr>
            <w:r w:rsidRPr="000646AD">
              <w:rPr>
                <w:rFonts w:asciiTheme="minorBidi" w:hAnsiTheme="minorBidi"/>
                <w:b w:val="0"/>
                <w:bCs w:val="0"/>
                <w:sz w:val="20"/>
                <w:szCs w:val="20"/>
              </w:rPr>
              <w:t>Exchange Rate</w:t>
            </w:r>
          </w:p>
        </w:tc>
        <w:tc>
          <w:tcPr>
            <w:tcW w:w="963" w:type="dxa"/>
            <w:shd w:val="clear" w:color="auto" w:fill="auto"/>
          </w:tcPr>
          <w:p w14:paraId="1108C39E" w14:textId="77777777" w:rsidR="000646AD" w:rsidRPr="000646AD" w:rsidRDefault="000646AD" w:rsidP="000646A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ER</w:t>
            </w:r>
          </w:p>
        </w:tc>
        <w:tc>
          <w:tcPr>
            <w:tcW w:w="3855" w:type="dxa"/>
            <w:shd w:val="clear" w:color="auto" w:fill="auto"/>
          </w:tcPr>
          <w:p w14:paraId="18454643" w14:textId="77777777" w:rsidR="000646AD" w:rsidRPr="000646AD" w:rsidRDefault="000646AD" w:rsidP="000646A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Afghani vs US Dollar (Average of the year)</w:t>
            </w:r>
          </w:p>
        </w:tc>
        <w:tc>
          <w:tcPr>
            <w:tcW w:w="1507" w:type="dxa"/>
            <w:shd w:val="clear" w:color="auto" w:fill="auto"/>
          </w:tcPr>
          <w:p w14:paraId="34A54538" w14:textId="77777777" w:rsidR="000646AD" w:rsidRPr="000646AD" w:rsidRDefault="000646AD" w:rsidP="000646A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IMF &amp; UNCTAD</w:t>
            </w:r>
          </w:p>
        </w:tc>
      </w:tr>
      <w:tr w:rsidR="000646AD" w:rsidRPr="000646AD" w14:paraId="4F9D9404" w14:textId="77777777" w:rsidTr="002A3B27">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6A0A79E7" w14:textId="77777777" w:rsidR="000646AD" w:rsidRPr="000646AD" w:rsidRDefault="000646AD" w:rsidP="000646AD">
            <w:pPr>
              <w:jc w:val="both"/>
              <w:rPr>
                <w:rFonts w:asciiTheme="minorBidi" w:hAnsiTheme="minorBidi"/>
                <w:b w:val="0"/>
                <w:bCs w:val="0"/>
                <w:sz w:val="20"/>
                <w:szCs w:val="20"/>
              </w:rPr>
            </w:pPr>
            <w:r w:rsidRPr="000646AD">
              <w:rPr>
                <w:rFonts w:asciiTheme="minorBidi" w:hAnsiTheme="minorBidi"/>
                <w:b w:val="0"/>
                <w:bCs w:val="0"/>
                <w:sz w:val="20"/>
                <w:szCs w:val="20"/>
              </w:rPr>
              <w:t>Infrastructure</w:t>
            </w:r>
          </w:p>
        </w:tc>
        <w:tc>
          <w:tcPr>
            <w:tcW w:w="963" w:type="dxa"/>
            <w:shd w:val="clear" w:color="auto" w:fill="auto"/>
          </w:tcPr>
          <w:p w14:paraId="2EF3936C" w14:textId="77777777" w:rsidR="000646AD" w:rsidRPr="000646AD" w:rsidRDefault="000646AD" w:rsidP="000646A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proofErr w:type="spellStart"/>
            <w:r w:rsidRPr="000646AD">
              <w:rPr>
                <w:rFonts w:asciiTheme="minorBidi" w:hAnsiTheme="minorBidi"/>
                <w:sz w:val="20"/>
                <w:szCs w:val="20"/>
              </w:rPr>
              <w:t>Infr</w:t>
            </w:r>
            <w:proofErr w:type="spellEnd"/>
          </w:p>
        </w:tc>
        <w:tc>
          <w:tcPr>
            <w:tcW w:w="3855" w:type="dxa"/>
            <w:shd w:val="clear" w:color="auto" w:fill="auto"/>
          </w:tcPr>
          <w:p w14:paraId="516B5D6A" w14:textId="77777777" w:rsidR="000646AD" w:rsidRPr="000646AD" w:rsidRDefault="000646AD" w:rsidP="000646A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Mobile subscription (per 100 people)</w:t>
            </w:r>
          </w:p>
        </w:tc>
        <w:tc>
          <w:tcPr>
            <w:tcW w:w="1507" w:type="dxa"/>
            <w:shd w:val="clear" w:color="auto" w:fill="auto"/>
          </w:tcPr>
          <w:p w14:paraId="1EEB9AC7" w14:textId="77777777" w:rsidR="000646AD" w:rsidRPr="000646AD" w:rsidRDefault="000646AD" w:rsidP="000646A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WDI</w:t>
            </w:r>
          </w:p>
        </w:tc>
      </w:tr>
    </w:tbl>
    <w:p w14:paraId="6B44417B" w14:textId="09EDA81C" w:rsidR="000646AD" w:rsidRPr="000646AD" w:rsidRDefault="000646AD" w:rsidP="000646AD">
      <w:pPr>
        <w:spacing w:after="240"/>
        <w:jc w:val="both"/>
        <w:rPr>
          <w:rFonts w:asciiTheme="minorBidi" w:hAnsiTheme="minorBidi" w:cstheme="minorBidi"/>
          <w:i/>
          <w:iCs/>
        </w:rPr>
      </w:pPr>
      <w:r w:rsidRPr="000646AD">
        <w:rPr>
          <w:rFonts w:asciiTheme="minorBidi" w:hAnsiTheme="minorBidi" w:cstheme="minorBidi"/>
          <w:i/>
          <w:iCs/>
        </w:rPr>
        <w:lastRenderedPageBreak/>
        <w:t>Source: Compiled by Authors</w:t>
      </w:r>
      <w:r w:rsidR="00986B1D">
        <w:rPr>
          <w:rFonts w:asciiTheme="minorBidi" w:hAnsiTheme="minorBidi" w:cstheme="minorBidi"/>
          <w:i/>
          <w:iCs/>
        </w:rPr>
        <w:t>, 2024</w:t>
      </w:r>
    </w:p>
    <w:p w14:paraId="3490F855" w14:textId="77777777" w:rsidR="000646AD" w:rsidRPr="000646AD" w:rsidRDefault="000646AD" w:rsidP="000646AD">
      <w:pPr>
        <w:pStyle w:val="Body"/>
        <w:rPr>
          <w:rFonts w:ascii="Arial" w:hAnsi="Arial" w:cs="Arial"/>
        </w:rPr>
      </w:pPr>
      <w:r w:rsidRPr="000646AD">
        <w:rPr>
          <w:rFonts w:ascii="Arial" w:hAnsi="Arial" w:cs="Arial"/>
        </w:rPr>
        <w:t>Based on the description of Kaufmann et al. (2009), the governance indicators range from −2.5, indicating weak institutions, to 2.5, showing solid institutions.</w:t>
      </w:r>
    </w:p>
    <w:p w14:paraId="3893970B" w14:textId="79ECA8B4" w:rsidR="000646AD" w:rsidRPr="000646AD" w:rsidRDefault="000646AD" w:rsidP="000646AD">
      <w:pPr>
        <w:pStyle w:val="Body"/>
        <w:rPr>
          <w:rFonts w:ascii="Arial" w:hAnsi="Arial" w:cs="Arial"/>
          <w:b/>
          <w:bCs/>
        </w:rPr>
      </w:pPr>
      <w:r w:rsidRPr="000646AD">
        <w:rPr>
          <w:rFonts w:ascii="Arial" w:hAnsi="Arial" w:cs="Arial"/>
          <w:b/>
          <w:bCs/>
        </w:rPr>
        <w:t>Unit Root Test</w:t>
      </w:r>
    </w:p>
    <w:p w14:paraId="11164363" w14:textId="77777777" w:rsidR="000646AD" w:rsidRPr="000646AD" w:rsidRDefault="000646AD" w:rsidP="000646AD">
      <w:pPr>
        <w:pStyle w:val="Body"/>
        <w:rPr>
          <w:rFonts w:ascii="Arial" w:hAnsi="Arial" w:cs="Arial"/>
        </w:rPr>
      </w:pPr>
      <w:r w:rsidRPr="000646AD">
        <w:rPr>
          <w:rFonts w:ascii="Arial" w:hAnsi="Arial" w:cs="Arial"/>
        </w:rPr>
        <w:t>Before beginning the time series data analysis, it is necessary to check whether the data is stationary or not. For this purpose, in this study, the Augmented Dickey-Fuller unit-root test (Dickey &amp; Fuller, 1979) has been used to check whether the time series data is stationary or non-stationary. The null hypothesis H0 of this test indicates the presence of a unit root in the data; hence, it is non-stationary. While alternative hypothesis indicates: there is no unit root test in the data, therefore, the data is stationary.</w:t>
      </w:r>
    </w:p>
    <w:p w14:paraId="1E23DDE5" w14:textId="3EE0CF44" w:rsidR="000646AD" w:rsidRPr="000646AD" w:rsidRDefault="000646AD" w:rsidP="000646AD">
      <w:pPr>
        <w:pStyle w:val="Body"/>
        <w:rPr>
          <w:rFonts w:ascii="Arial" w:hAnsi="Arial" w:cs="Arial"/>
          <w:b/>
          <w:bCs/>
        </w:rPr>
      </w:pPr>
      <w:r w:rsidRPr="000646AD">
        <w:rPr>
          <w:rFonts w:ascii="Arial" w:hAnsi="Arial" w:cs="Arial"/>
          <w:b/>
          <w:bCs/>
        </w:rPr>
        <w:t>Estimation Model</w:t>
      </w:r>
    </w:p>
    <w:p w14:paraId="6104651E" w14:textId="77777777" w:rsidR="000646AD" w:rsidRPr="000646AD" w:rsidRDefault="000646AD" w:rsidP="000646AD">
      <w:pPr>
        <w:pStyle w:val="Body"/>
        <w:rPr>
          <w:rFonts w:ascii="Arial" w:hAnsi="Arial" w:cs="Arial"/>
        </w:rPr>
      </w:pPr>
      <w:r w:rsidRPr="000646AD">
        <w:rPr>
          <w:rFonts w:ascii="Arial" w:hAnsi="Arial" w:cs="Arial"/>
        </w:rPr>
        <w:t>To achieve the objective of the study, we utilized the modified ordinary least squares (FMOLS) model proposed by Phillips &amp; Hansen (1990). It is applied to study the long-run association among the variables under the study, especially when cointegration is present. When variables are not stationary in level and cointegrated, FMOLS is used to study the long-run relationship despite short-run fluctuations. In the case of this study, since the ADF unit root test shows the majority of the variables have a stationarity at the first difference, this technique will be the most appropriate one. Furthermore, FMOLS corrects for endogeneity by modifying the OLS estimators and serial correlation (autocorrelation) using nonparametric adjustments.</w:t>
      </w:r>
    </w:p>
    <w:p w14:paraId="00A82251" w14:textId="77777777" w:rsidR="000646AD" w:rsidRPr="000646AD" w:rsidRDefault="000646AD" w:rsidP="000646AD">
      <w:pPr>
        <w:pStyle w:val="Body"/>
        <w:rPr>
          <w:rFonts w:ascii="Arial" w:hAnsi="Arial" w:cs="Arial"/>
        </w:rPr>
      </w:pPr>
      <w:r w:rsidRPr="000646AD">
        <w:rPr>
          <w:rFonts w:ascii="Arial" w:hAnsi="Arial" w:cs="Arial"/>
        </w:rPr>
        <w:t>The below equation (1) is considered to estimate the impact of explanatory variables on FDI.</w:t>
      </w:r>
    </w:p>
    <w:p w14:paraId="4D393EEA" w14:textId="77777777" w:rsidR="000646AD" w:rsidRDefault="00154B02" w:rsidP="000646AD">
      <w:pPr>
        <w:rPr>
          <w:rFonts w:asciiTheme="minorBidi" w:hAnsiTheme="minorBidi" w:cstheme="minorBidi"/>
        </w:rPr>
      </w:pPr>
      <m:oMath>
        <m:sSub>
          <m:sSubPr>
            <m:ctrlPr>
              <w:rPr>
                <w:rFonts w:ascii="Cambria Math" w:hAnsi="Cambria Math" w:cstheme="minorBidi"/>
              </w:rPr>
            </m:ctrlPr>
          </m:sSubPr>
          <m:e>
            <m:r>
              <w:rPr>
                <w:rFonts w:ascii="Cambria Math" w:hAnsi="Cambria Math" w:cstheme="minorBidi"/>
              </w:rPr>
              <m:t>logFDI</m:t>
            </m:r>
          </m:e>
          <m:sub>
            <m:r>
              <w:rPr>
                <w:rFonts w:ascii="Cambria Math" w:hAnsi="Cambria Math" w:cstheme="minorBidi"/>
              </w:rPr>
              <m:t>t</m:t>
            </m:r>
          </m:sub>
        </m:sSub>
        <m:r>
          <m:rPr>
            <m:sty m:val="p"/>
          </m:rPr>
          <w:rPr>
            <w:rFonts w:ascii="Cambria Math" w:hAnsi="Cambria Math" w:cstheme="minorBidi"/>
          </w:rPr>
          <m:t>=</m:t>
        </m:r>
        <m:sSub>
          <m:sSubPr>
            <m:ctrlPr>
              <w:rPr>
                <w:rFonts w:ascii="Cambria Math" w:hAnsi="Cambria Math" w:cstheme="minorBidi"/>
              </w:rPr>
            </m:ctrlPr>
          </m:sSubPr>
          <m:e>
            <m:r>
              <w:rPr>
                <w:rFonts w:ascii="Cambria Math" w:hAnsi="Cambria Math" w:cstheme="minorBidi"/>
              </w:rPr>
              <m:t>β</m:t>
            </m:r>
          </m:e>
          <m:sub>
            <m:r>
              <m:rPr>
                <m:sty m:val="p"/>
              </m:rPr>
              <w:rPr>
                <w:rFonts w:ascii="Cambria Math" w:hAnsi="Cambria Math" w:cstheme="minorBidi"/>
              </w:rPr>
              <m:t>0</m:t>
            </m:r>
          </m:sub>
        </m:sSub>
        <m:r>
          <m:rPr>
            <m:sty m:val="p"/>
          </m:rPr>
          <w:rPr>
            <w:rFonts w:ascii="Cambria Math" w:hAnsi="Cambria Math" w:cstheme="minorBidi"/>
          </w:rPr>
          <m:t>+</m:t>
        </m:r>
        <m:sSub>
          <m:sSubPr>
            <m:ctrlPr>
              <w:rPr>
                <w:rFonts w:ascii="Cambria Math" w:hAnsi="Cambria Math" w:cstheme="minorBidi"/>
              </w:rPr>
            </m:ctrlPr>
          </m:sSubPr>
          <m:e>
            <m:r>
              <w:rPr>
                <w:rFonts w:ascii="Cambria Math" w:hAnsi="Cambria Math" w:cstheme="minorBidi"/>
              </w:rPr>
              <m:t>β</m:t>
            </m:r>
          </m:e>
          <m:sub>
            <m:r>
              <m:rPr>
                <m:sty m:val="p"/>
              </m:rPr>
              <w:rPr>
                <w:rFonts w:ascii="Cambria Math" w:hAnsi="Cambria Math" w:cstheme="minorBidi"/>
              </w:rPr>
              <m:t>1</m:t>
            </m:r>
          </m:sub>
        </m:sSub>
        <m:sSub>
          <m:sSubPr>
            <m:ctrlPr>
              <w:rPr>
                <w:rFonts w:ascii="Cambria Math" w:hAnsi="Cambria Math" w:cstheme="minorBidi"/>
              </w:rPr>
            </m:ctrlPr>
          </m:sSubPr>
          <m:e>
            <m:r>
              <w:rPr>
                <w:rFonts w:ascii="Cambria Math" w:hAnsi="Cambria Math" w:cstheme="minorBidi"/>
              </w:rPr>
              <m:t>GE</m:t>
            </m:r>
          </m:e>
          <m:sub>
            <m:r>
              <w:rPr>
                <w:rFonts w:ascii="Cambria Math" w:hAnsi="Cambria Math" w:cstheme="minorBidi"/>
              </w:rPr>
              <m:t>t</m:t>
            </m:r>
          </m:sub>
        </m:sSub>
        <m:r>
          <m:rPr>
            <m:sty m:val="p"/>
          </m:rPr>
          <w:rPr>
            <w:rFonts w:ascii="Cambria Math" w:hAnsi="Cambria Math" w:cstheme="minorBidi"/>
          </w:rPr>
          <m:t>+</m:t>
        </m:r>
        <m:sSub>
          <m:sSubPr>
            <m:ctrlPr>
              <w:rPr>
                <w:rFonts w:ascii="Cambria Math" w:hAnsi="Cambria Math" w:cstheme="minorBidi"/>
              </w:rPr>
            </m:ctrlPr>
          </m:sSubPr>
          <m:e>
            <m:r>
              <w:rPr>
                <w:rFonts w:ascii="Cambria Math" w:hAnsi="Cambria Math" w:cstheme="minorBidi"/>
              </w:rPr>
              <m:t>β</m:t>
            </m:r>
          </m:e>
          <m:sub>
            <m:r>
              <m:rPr>
                <m:sty m:val="p"/>
              </m:rPr>
              <w:rPr>
                <w:rFonts w:ascii="Cambria Math" w:hAnsi="Cambria Math" w:cstheme="minorBidi"/>
              </w:rPr>
              <m:t>2</m:t>
            </m:r>
          </m:sub>
        </m:sSub>
        <m:sSub>
          <m:sSubPr>
            <m:ctrlPr>
              <w:rPr>
                <w:rFonts w:ascii="Cambria Math" w:hAnsi="Cambria Math" w:cstheme="minorBidi"/>
              </w:rPr>
            </m:ctrlPr>
          </m:sSubPr>
          <m:e>
            <m:r>
              <w:rPr>
                <w:rFonts w:ascii="Cambria Math" w:hAnsi="Cambria Math" w:cstheme="minorBidi"/>
              </w:rPr>
              <m:t>RQ</m:t>
            </m:r>
          </m:e>
          <m:sub>
            <m:r>
              <w:rPr>
                <w:rFonts w:ascii="Cambria Math" w:hAnsi="Cambria Math" w:cstheme="minorBidi"/>
              </w:rPr>
              <m:t>t</m:t>
            </m:r>
          </m:sub>
        </m:sSub>
        <m:r>
          <m:rPr>
            <m:sty m:val="p"/>
          </m:rPr>
          <w:rPr>
            <w:rFonts w:ascii="Cambria Math" w:hAnsi="Cambria Math" w:cstheme="minorBidi"/>
          </w:rPr>
          <m:t>+</m:t>
        </m:r>
        <m:sSub>
          <m:sSubPr>
            <m:ctrlPr>
              <w:rPr>
                <w:rFonts w:ascii="Cambria Math" w:hAnsi="Cambria Math" w:cstheme="minorBidi"/>
              </w:rPr>
            </m:ctrlPr>
          </m:sSubPr>
          <m:e>
            <m:r>
              <w:rPr>
                <w:rFonts w:ascii="Cambria Math" w:hAnsi="Cambria Math" w:cstheme="minorBidi"/>
              </w:rPr>
              <m:t>β</m:t>
            </m:r>
          </m:e>
          <m:sub>
            <m:r>
              <m:rPr>
                <m:sty m:val="p"/>
              </m:rPr>
              <w:rPr>
                <w:rFonts w:ascii="Cambria Math" w:hAnsi="Cambria Math" w:cstheme="minorBidi"/>
              </w:rPr>
              <m:t>3</m:t>
            </m:r>
          </m:sub>
        </m:sSub>
        <m:sSub>
          <m:sSubPr>
            <m:ctrlPr>
              <w:rPr>
                <w:rFonts w:ascii="Cambria Math" w:hAnsi="Cambria Math" w:cstheme="minorBidi"/>
              </w:rPr>
            </m:ctrlPr>
          </m:sSubPr>
          <m:e>
            <m:r>
              <w:rPr>
                <w:rFonts w:ascii="Cambria Math" w:hAnsi="Cambria Math" w:cstheme="minorBidi"/>
              </w:rPr>
              <m:t>CC</m:t>
            </m:r>
          </m:e>
          <m:sub>
            <m:r>
              <w:rPr>
                <w:rFonts w:ascii="Cambria Math" w:hAnsi="Cambria Math" w:cstheme="minorBidi"/>
              </w:rPr>
              <m:t>t</m:t>
            </m:r>
          </m:sub>
        </m:sSub>
        <m:r>
          <m:rPr>
            <m:sty m:val="p"/>
          </m:rPr>
          <w:rPr>
            <w:rFonts w:ascii="Cambria Math" w:hAnsi="Cambria Math" w:cstheme="minorBidi"/>
          </w:rPr>
          <m:t>+</m:t>
        </m:r>
        <m:sSub>
          <m:sSubPr>
            <m:ctrlPr>
              <w:rPr>
                <w:rFonts w:ascii="Cambria Math" w:hAnsi="Cambria Math" w:cstheme="minorBidi"/>
              </w:rPr>
            </m:ctrlPr>
          </m:sSubPr>
          <m:e>
            <m:r>
              <w:rPr>
                <w:rFonts w:ascii="Cambria Math" w:hAnsi="Cambria Math" w:cstheme="minorBidi"/>
              </w:rPr>
              <m:t>β</m:t>
            </m:r>
          </m:e>
          <m:sub>
            <m:r>
              <m:rPr>
                <m:sty m:val="p"/>
              </m:rPr>
              <w:rPr>
                <w:rFonts w:ascii="Cambria Math" w:hAnsi="Cambria Math" w:cstheme="minorBidi"/>
              </w:rPr>
              <m:t>4</m:t>
            </m:r>
          </m:sub>
        </m:sSub>
        <m:sSub>
          <m:sSubPr>
            <m:ctrlPr>
              <w:rPr>
                <w:rFonts w:ascii="Cambria Math" w:hAnsi="Cambria Math" w:cstheme="minorBidi"/>
              </w:rPr>
            </m:ctrlPr>
          </m:sSubPr>
          <m:e>
            <m:r>
              <w:rPr>
                <w:rFonts w:ascii="Cambria Math" w:hAnsi="Cambria Math" w:cstheme="minorBidi"/>
              </w:rPr>
              <m:t>RL</m:t>
            </m:r>
          </m:e>
          <m:sub>
            <m:r>
              <w:rPr>
                <w:rFonts w:ascii="Cambria Math" w:hAnsi="Cambria Math" w:cstheme="minorBidi"/>
              </w:rPr>
              <m:t>T</m:t>
            </m:r>
          </m:sub>
        </m:sSub>
        <m:r>
          <m:rPr>
            <m:sty m:val="p"/>
          </m:rPr>
          <w:rPr>
            <w:rFonts w:ascii="Cambria Math" w:hAnsi="Cambria Math" w:cstheme="minorBidi"/>
          </w:rPr>
          <m:t>+</m:t>
        </m:r>
        <m:sSub>
          <m:sSubPr>
            <m:ctrlPr>
              <w:rPr>
                <w:rFonts w:ascii="Cambria Math" w:hAnsi="Cambria Math" w:cstheme="minorBidi"/>
              </w:rPr>
            </m:ctrlPr>
          </m:sSubPr>
          <m:e>
            <m:r>
              <w:rPr>
                <w:rFonts w:ascii="Cambria Math" w:hAnsi="Cambria Math" w:cstheme="minorBidi"/>
              </w:rPr>
              <m:t>β</m:t>
            </m:r>
          </m:e>
          <m:sub>
            <m:r>
              <m:rPr>
                <m:sty m:val="p"/>
              </m:rPr>
              <w:rPr>
                <w:rFonts w:ascii="Cambria Math" w:hAnsi="Cambria Math" w:cstheme="minorBidi"/>
              </w:rPr>
              <m:t>5</m:t>
            </m:r>
          </m:sub>
        </m:sSub>
        <m:sSub>
          <m:sSubPr>
            <m:ctrlPr>
              <w:rPr>
                <w:rFonts w:ascii="Cambria Math" w:hAnsi="Cambria Math" w:cstheme="minorBidi"/>
              </w:rPr>
            </m:ctrlPr>
          </m:sSubPr>
          <m:e>
            <m:r>
              <w:rPr>
                <w:rFonts w:ascii="Cambria Math" w:hAnsi="Cambria Math" w:cstheme="minorBidi"/>
              </w:rPr>
              <m:t>logMS</m:t>
            </m:r>
          </m:e>
          <m:sub>
            <m:r>
              <w:rPr>
                <w:rFonts w:ascii="Cambria Math" w:hAnsi="Cambria Math" w:cstheme="minorBidi"/>
              </w:rPr>
              <m:t>t</m:t>
            </m:r>
          </m:sub>
        </m:sSub>
        <m:r>
          <m:rPr>
            <m:sty m:val="p"/>
          </m:rPr>
          <w:rPr>
            <w:rFonts w:ascii="Cambria Math" w:hAnsi="Cambria Math" w:cstheme="minorBidi"/>
          </w:rPr>
          <m:t>+</m:t>
        </m:r>
        <m:sSub>
          <m:sSubPr>
            <m:ctrlPr>
              <w:rPr>
                <w:rFonts w:ascii="Cambria Math" w:hAnsi="Cambria Math" w:cstheme="minorBidi"/>
              </w:rPr>
            </m:ctrlPr>
          </m:sSubPr>
          <m:e>
            <m:r>
              <w:rPr>
                <w:rFonts w:ascii="Cambria Math" w:hAnsi="Cambria Math" w:cstheme="minorBidi"/>
              </w:rPr>
              <m:t>β</m:t>
            </m:r>
          </m:e>
          <m:sub>
            <m:r>
              <m:rPr>
                <m:sty m:val="p"/>
              </m:rPr>
              <w:rPr>
                <w:rFonts w:ascii="Cambria Math" w:hAnsi="Cambria Math" w:cstheme="minorBidi"/>
              </w:rPr>
              <m:t>6</m:t>
            </m:r>
          </m:sub>
        </m:sSub>
        <m:sSub>
          <m:sSubPr>
            <m:ctrlPr>
              <w:rPr>
                <w:rFonts w:ascii="Cambria Math" w:hAnsi="Cambria Math" w:cstheme="minorBidi"/>
              </w:rPr>
            </m:ctrlPr>
          </m:sSubPr>
          <m:e>
            <m:r>
              <w:rPr>
                <w:rFonts w:ascii="Cambria Math" w:hAnsi="Cambria Math" w:cstheme="minorBidi"/>
              </w:rPr>
              <m:t>TO</m:t>
            </m:r>
          </m:e>
          <m:sub>
            <m:r>
              <w:rPr>
                <w:rFonts w:ascii="Cambria Math" w:hAnsi="Cambria Math" w:cstheme="minorBidi"/>
              </w:rPr>
              <m:t>t</m:t>
            </m:r>
          </m:sub>
        </m:sSub>
        <m:r>
          <m:rPr>
            <m:sty m:val="p"/>
          </m:rPr>
          <w:rPr>
            <w:rFonts w:ascii="Cambria Math" w:hAnsi="Cambria Math" w:cstheme="minorBidi"/>
          </w:rPr>
          <m:t>+</m:t>
        </m:r>
        <m:sSub>
          <m:sSubPr>
            <m:ctrlPr>
              <w:rPr>
                <w:rFonts w:ascii="Cambria Math" w:hAnsi="Cambria Math" w:cstheme="minorBidi"/>
              </w:rPr>
            </m:ctrlPr>
          </m:sSubPr>
          <m:e>
            <m:r>
              <w:rPr>
                <w:rFonts w:ascii="Cambria Math" w:hAnsi="Cambria Math" w:cstheme="minorBidi"/>
              </w:rPr>
              <m:t>β</m:t>
            </m:r>
          </m:e>
          <m:sub>
            <m:r>
              <m:rPr>
                <m:sty m:val="p"/>
              </m:rPr>
              <w:rPr>
                <w:rFonts w:ascii="Cambria Math" w:hAnsi="Cambria Math" w:cstheme="minorBidi"/>
              </w:rPr>
              <m:t>7</m:t>
            </m:r>
          </m:sub>
        </m:sSub>
        <m:sSub>
          <m:sSubPr>
            <m:ctrlPr>
              <w:rPr>
                <w:rFonts w:ascii="Cambria Math" w:hAnsi="Cambria Math" w:cstheme="minorBidi"/>
              </w:rPr>
            </m:ctrlPr>
          </m:sSubPr>
          <m:e>
            <m:r>
              <w:rPr>
                <w:rFonts w:ascii="Cambria Math" w:hAnsi="Cambria Math" w:cstheme="minorBidi"/>
              </w:rPr>
              <m:t>Infl</m:t>
            </m:r>
          </m:e>
          <m:sub>
            <m:r>
              <w:rPr>
                <w:rFonts w:ascii="Cambria Math" w:hAnsi="Cambria Math" w:cstheme="minorBidi"/>
              </w:rPr>
              <m:t>t</m:t>
            </m:r>
          </m:sub>
        </m:sSub>
        <m:r>
          <m:rPr>
            <m:sty m:val="p"/>
          </m:rPr>
          <w:rPr>
            <w:rFonts w:ascii="Cambria Math" w:hAnsi="Cambria Math" w:cstheme="minorBidi"/>
          </w:rPr>
          <m:t>+</m:t>
        </m:r>
        <m:sSub>
          <m:sSubPr>
            <m:ctrlPr>
              <w:rPr>
                <w:rFonts w:ascii="Cambria Math" w:hAnsi="Cambria Math" w:cstheme="minorBidi"/>
              </w:rPr>
            </m:ctrlPr>
          </m:sSubPr>
          <m:e>
            <m:r>
              <w:rPr>
                <w:rFonts w:ascii="Cambria Math" w:hAnsi="Cambria Math" w:cstheme="minorBidi"/>
              </w:rPr>
              <m:t>β</m:t>
            </m:r>
          </m:e>
          <m:sub>
            <m:r>
              <m:rPr>
                <m:sty m:val="p"/>
              </m:rPr>
              <w:rPr>
                <w:rFonts w:ascii="Cambria Math" w:hAnsi="Cambria Math" w:cstheme="minorBidi"/>
              </w:rPr>
              <m:t>8</m:t>
            </m:r>
          </m:sub>
        </m:sSub>
        <m:sSub>
          <m:sSubPr>
            <m:ctrlPr>
              <w:rPr>
                <w:rFonts w:ascii="Cambria Math" w:hAnsi="Cambria Math" w:cstheme="minorBidi"/>
              </w:rPr>
            </m:ctrlPr>
          </m:sSubPr>
          <m:e>
            <m:r>
              <w:rPr>
                <w:rFonts w:ascii="Cambria Math" w:hAnsi="Cambria Math" w:cstheme="minorBidi"/>
              </w:rPr>
              <m:t>ER</m:t>
            </m:r>
          </m:e>
          <m:sub>
            <m:r>
              <w:rPr>
                <w:rFonts w:ascii="Cambria Math" w:hAnsi="Cambria Math" w:cstheme="minorBidi"/>
              </w:rPr>
              <m:t>t</m:t>
            </m:r>
          </m:sub>
        </m:sSub>
        <m:r>
          <m:rPr>
            <m:sty m:val="p"/>
          </m:rPr>
          <w:rPr>
            <w:rFonts w:ascii="Cambria Math" w:hAnsi="Cambria Math" w:cstheme="minorBidi"/>
          </w:rPr>
          <m:t>+</m:t>
        </m:r>
        <m:sSub>
          <m:sSubPr>
            <m:ctrlPr>
              <w:rPr>
                <w:rFonts w:ascii="Cambria Math" w:hAnsi="Cambria Math" w:cstheme="minorBidi"/>
              </w:rPr>
            </m:ctrlPr>
          </m:sSubPr>
          <m:e>
            <m:r>
              <w:rPr>
                <w:rFonts w:ascii="Cambria Math" w:hAnsi="Cambria Math" w:cstheme="minorBidi"/>
              </w:rPr>
              <m:t>β</m:t>
            </m:r>
          </m:e>
          <m:sub>
            <m:r>
              <m:rPr>
                <m:sty m:val="p"/>
              </m:rPr>
              <w:rPr>
                <w:rFonts w:ascii="Cambria Math" w:hAnsi="Cambria Math" w:cstheme="minorBidi"/>
              </w:rPr>
              <m:t>9</m:t>
            </m:r>
          </m:sub>
        </m:sSub>
        <m:sSub>
          <m:sSubPr>
            <m:ctrlPr>
              <w:rPr>
                <w:rFonts w:ascii="Cambria Math" w:hAnsi="Cambria Math" w:cstheme="minorBidi"/>
              </w:rPr>
            </m:ctrlPr>
          </m:sSubPr>
          <m:e>
            <m:r>
              <w:rPr>
                <w:rFonts w:ascii="Cambria Math" w:hAnsi="Cambria Math" w:cstheme="minorBidi"/>
              </w:rPr>
              <m:t>Infr</m:t>
            </m:r>
          </m:e>
          <m:sub>
            <m:r>
              <w:rPr>
                <w:rFonts w:ascii="Cambria Math" w:hAnsi="Cambria Math" w:cstheme="minorBidi"/>
              </w:rPr>
              <m:t>t</m:t>
            </m:r>
          </m:sub>
        </m:sSub>
        <m:r>
          <m:rPr>
            <m:sty m:val="p"/>
          </m:rPr>
          <w:rPr>
            <w:rFonts w:ascii="Cambria Math" w:hAnsi="Cambria Math" w:cstheme="minorBidi"/>
          </w:rPr>
          <m:t>+</m:t>
        </m:r>
        <m:sSub>
          <m:sSubPr>
            <m:ctrlPr>
              <w:rPr>
                <w:rFonts w:ascii="Cambria Math" w:hAnsi="Cambria Math" w:cstheme="minorBidi"/>
              </w:rPr>
            </m:ctrlPr>
          </m:sSubPr>
          <m:e>
            <m:r>
              <w:rPr>
                <w:rFonts w:ascii="Cambria Math" w:hAnsi="Cambria Math" w:cstheme="minorBidi"/>
              </w:rPr>
              <m:t>ε</m:t>
            </m:r>
          </m:e>
          <m:sub>
            <m:r>
              <w:rPr>
                <w:rFonts w:ascii="Cambria Math" w:hAnsi="Cambria Math" w:cstheme="minorBidi"/>
              </w:rPr>
              <m:t>t</m:t>
            </m:r>
          </m:sub>
        </m:sSub>
      </m:oMath>
      <w:r w:rsidR="000646AD" w:rsidRPr="000646AD">
        <w:rPr>
          <w:rFonts w:asciiTheme="minorBidi" w:hAnsiTheme="minorBidi" w:cstheme="minorBidi"/>
        </w:rPr>
        <w:tab/>
      </w:r>
      <w:r w:rsidR="000646AD" w:rsidRPr="000646AD">
        <w:rPr>
          <w:rFonts w:asciiTheme="minorBidi" w:hAnsiTheme="minorBidi" w:cstheme="minorBidi"/>
        </w:rPr>
        <w:tab/>
      </w:r>
      <w:r w:rsidR="000646AD" w:rsidRPr="000646AD">
        <w:rPr>
          <w:rFonts w:asciiTheme="minorBidi" w:hAnsiTheme="minorBidi" w:cstheme="minorBidi"/>
        </w:rPr>
        <w:tab/>
      </w:r>
      <w:r w:rsidR="000646AD" w:rsidRPr="000646AD">
        <w:rPr>
          <w:rFonts w:asciiTheme="minorBidi" w:hAnsiTheme="minorBidi" w:cstheme="minorBidi"/>
        </w:rPr>
        <w:tab/>
      </w:r>
      <w:r w:rsidR="000646AD" w:rsidRPr="000646AD">
        <w:rPr>
          <w:rFonts w:asciiTheme="minorBidi" w:hAnsiTheme="minorBidi" w:cstheme="minorBidi"/>
        </w:rPr>
        <w:tab/>
      </w:r>
      <w:r w:rsidR="000646AD" w:rsidRPr="000646AD">
        <w:rPr>
          <w:rFonts w:asciiTheme="minorBidi" w:hAnsiTheme="minorBidi" w:cstheme="minorBidi"/>
        </w:rPr>
        <w:tab/>
      </w:r>
      <w:r w:rsidR="000646AD" w:rsidRPr="000646AD">
        <w:rPr>
          <w:rFonts w:asciiTheme="minorBidi" w:hAnsiTheme="minorBidi" w:cstheme="minorBidi"/>
        </w:rPr>
        <w:tab/>
      </w:r>
      <w:r w:rsidR="000646AD" w:rsidRPr="000646AD">
        <w:rPr>
          <w:rFonts w:asciiTheme="minorBidi" w:hAnsiTheme="minorBidi" w:cstheme="minorBidi"/>
        </w:rPr>
        <w:tab/>
      </w:r>
      <w:r w:rsidR="000646AD" w:rsidRPr="000646AD">
        <w:rPr>
          <w:rFonts w:asciiTheme="minorBidi" w:hAnsiTheme="minorBidi" w:cstheme="minorBidi"/>
        </w:rPr>
        <w:tab/>
        <w:t>(2)</w:t>
      </w:r>
    </w:p>
    <w:p w14:paraId="282F6769" w14:textId="77777777" w:rsidR="000646AD" w:rsidRPr="000646AD" w:rsidRDefault="000646AD" w:rsidP="000646AD">
      <w:pPr>
        <w:rPr>
          <w:rFonts w:asciiTheme="minorBidi" w:hAnsiTheme="minorBidi" w:cstheme="minorBidi"/>
        </w:rPr>
      </w:pPr>
    </w:p>
    <w:p w14:paraId="3D9EE243" w14:textId="77777777" w:rsidR="000646AD" w:rsidRPr="000646AD" w:rsidRDefault="000646AD" w:rsidP="000646AD">
      <w:pPr>
        <w:rPr>
          <w:rFonts w:asciiTheme="minorBidi" w:hAnsiTheme="minorBidi" w:cstheme="minorBidi"/>
        </w:rPr>
      </w:pPr>
      <w:r w:rsidRPr="000646AD">
        <w:rPr>
          <w:rFonts w:asciiTheme="minorBidi" w:hAnsiTheme="minorBidi" w:cstheme="minorBidi"/>
        </w:rPr>
        <w:t>Where,</w:t>
      </w:r>
    </w:p>
    <w:p w14:paraId="135B0A3F" w14:textId="77777777" w:rsidR="000646AD" w:rsidRDefault="000646AD" w:rsidP="000646AD">
      <w:pPr>
        <w:pStyle w:val="Body"/>
        <w:spacing w:after="0"/>
        <w:rPr>
          <w:rFonts w:ascii="Arial" w:hAnsi="Arial" w:cs="Arial"/>
        </w:rPr>
      </w:pPr>
      <w:proofErr w:type="spellStart"/>
      <w:r w:rsidRPr="000646AD">
        <w:rPr>
          <w:rFonts w:ascii="Arial" w:hAnsi="Arial" w:cs="Arial"/>
        </w:rPr>
        <w:t>logFDIt</w:t>
      </w:r>
      <w:proofErr w:type="spellEnd"/>
      <w:r w:rsidRPr="000646AD">
        <w:rPr>
          <w:rFonts w:ascii="Arial" w:hAnsi="Arial" w:cs="Arial"/>
        </w:rPr>
        <w:t xml:space="preserve"> is the logarithm form of FDI at time t, β0 is the constant (intercept), GE is the government effectiveness, RQ is the regulatory quality, CC is the control of corruption, RL is the rule of law, </w:t>
      </w:r>
      <w:proofErr w:type="spellStart"/>
      <w:r w:rsidRPr="000646AD">
        <w:rPr>
          <w:rFonts w:ascii="Arial" w:hAnsi="Arial" w:cs="Arial"/>
        </w:rPr>
        <w:t>logMS</w:t>
      </w:r>
      <w:proofErr w:type="spellEnd"/>
      <w:r w:rsidRPr="000646AD">
        <w:rPr>
          <w:rFonts w:ascii="Arial" w:hAnsi="Arial" w:cs="Arial"/>
        </w:rPr>
        <w:t xml:space="preserve"> is the logarithm of market size, TO is the trade openness, </w:t>
      </w:r>
      <w:proofErr w:type="spellStart"/>
      <w:r w:rsidRPr="000646AD">
        <w:rPr>
          <w:rFonts w:ascii="Arial" w:hAnsi="Arial" w:cs="Arial"/>
        </w:rPr>
        <w:t>Infl</w:t>
      </w:r>
      <w:proofErr w:type="spellEnd"/>
      <w:r w:rsidRPr="000646AD">
        <w:rPr>
          <w:rFonts w:ascii="Arial" w:hAnsi="Arial" w:cs="Arial"/>
        </w:rPr>
        <w:t xml:space="preserve"> is the inflation, ER is the exchange rate, </w:t>
      </w:r>
      <w:proofErr w:type="spellStart"/>
      <w:r w:rsidRPr="000646AD">
        <w:rPr>
          <w:rFonts w:ascii="Arial" w:hAnsi="Arial" w:cs="Arial"/>
        </w:rPr>
        <w:t>Infr</w:t>
      </w:r>
      <w:proofErr w:type="spellEnd"/>
      <w:r w:rsidRPr="000646AD">
        <w:rPr>
          <w:rFonts w:ascii="Arial" w:hAnsi="Arial" w:cs="Arial"/>
        </w:rPr>
        <w:t xml:space="preserve"> is the infrastructure, β1 to β9 is the long-run coefficients for each independent variable, and </w:t>
      </w:r>
      <w:proofErr w:type="spellStart"/>
      <w:r w:rsidRPr="000646AD">
        <w:rPr>
          <w:rFonts w:ascii="Arial" w:hAnsi="Arial" w:cs="Arial"/>
        </w:rPr>
        <w:t>εt</w:t>
      </w:r>
      <w:proofErr w:type="spellEnd"/>
      <w:r w:rsidRPr="000646AD">
        <w:rPr>
          <w:rFonts w:ascii="Arial" w:hAnsi="Arial" w:cs="Arial"/>
        </w:rPr>
        <w:t xml:space="preserve"> is the error term.</w:t>
      </w:r>
    </w:p>
    <w:p w14:paraId="26A4C790" w14:textId="77777777" w:rsidR="00790ADA" w:rsidRPr="00FB3A86" w:rsidRDefault="00790ADA" w:rsidP="00441B6F">
      <w:pPr>
        <w:pStyle w:val="Body"/>
        <w:spacing w:after="0"/>
        <w:rPr>
          <w:rFonts w:ascii="Arial" w:hAnsi="Arial" w:cs="Arial"/>
        </w:rPr>
      </w:pPr>
    </w:p>
    <w:p w14:paraId="1A88AD64" w14:textId="5A6ACDA6" w:rsidR="00902823" w:rsidRDefault="00000F8F" w:rsidP="00441B6F">
      <w:pPr>
        <w:pStyle w:val="Head1"/>
        <w:spacing w:after="0"/>
        <w:jc w:val="both"/>
        <w:rPr>
          <w:rFonts w:ascii="Arial" w:hAnsi="Arial" w:cs="Arial"/>
        </w:rPr>
      </w:pPr>
      <w:r>
        <w:rPr>
          <w:rFonts w:ascii="Arial" w:hAnsi="Arial" w:cs="Arial"/>
        </w:rPr>
        <w:t>results and discussion</w:t>
      </w:r>
      <w:r w:rsidR="00C16005">
        <w:rPr>
          <w:rFonts w:ascii="Arial" w:hAnsi="Arial" w:cs="Arial"/>
        </w:rPr>
        <w:t>s</w:t>
      </w:r>
    </w:p>
    <w:p w14:paraId="08709326" w14:textId="77777777" w:rsidR="00790ADA" w:rsidRPr="00FB3A86" w:rsidRDefault="00790ADA" w:rsidP="00441B6F">
      <w:pPr>
        <w:pStyle w:val="Head1"/>
        <w:spacing w:after="0"/>
        <w:jc w:val="both"/>
        <w:rPr>
          <w:rFonts w:ascii="Arial" w:hAnsi="Arial" w:cs="Arial"/>
        </w:rPr>
      </w:pPr>
    </w:p>
    <w:p w14:paraId="61C9C6A9" w14:textId="33C730E5" w:rsidR="000646AD" w:rsidRPr="00C16005" w:rsidRDefault="000646AD" w:rsidP="000646AD">
      <w:pPr>
        <w:pStyle w:val="Body"/>
        <w:rPr>
          <w:rFonts w:ascii="Arial" w:hAnsi="Arial" w:cs="Arial"/>
          <w:b/>
          <w:bCs/>
        </w:rPr>
      </w:pPr>
      <w:r w:rsidRPr="00C16005">
        <w:rPr>
          <w:rFonts w:ascii="Arial" w:hAnsi="Arial" w:cs="Arial"/>
          <w:b/>
          <w:bCs/>
        </w:rPr>
        <w:t>Descriptive Analysis</w:t>
      </w:r>
    </w:p>
    <w:p w14:paraId="14D72188" w14:textId="252873D8" w:rsidR="000646AD" w:rsidRDefault="000646AD" w:rsidP="000646AD">
      <w:pPr>
        <w:pStyle w:val="Body"/>
        <w:rPr>
          <w:rFonts w:ascii="Arial" w:hAnsi="Arial" w:cs="Arial"/>
        </w:rPr>
      </w:pPr>
      <w:r w:rsidRPr="000646AD">
        <w:rPr>
          <w:rFonts w:ascii="Arial" w:hAnsi="Arial" w:cs="Arial"/>
        </w:rPr>
        <w:t xml:space="preserve">A descriptive analysis was performed to shed light on the nature of the variables. As shown in Table 2, the dependent variable (FDI in USD million) has an average of 98.81 million dollars, with a substantial standard deviation of 78.94 million dollars, which shows high fluctuations during the </w:t>
      </w:r>
      <w:r w:rsidR="00400E5F">
        <w:rPr>
          <w:rFonts w:ascii="Arial" w:hAnsi="Arial" w:cs="Arial"/>
        </w:rPr>
        <w:t>study period</w:t>
      </w:r>
      <w:r w:rsidRPr="000646AD">
        <w:rPr>
          <w:rFonts w:ascii="Arial" w:hAnsi="Arial" w:cs="Arial"/>
        </w:rPr>
        <w:t>. The institutional factors further highlight the disparity in the dataset. All four governance indicators' average and maximum scores lie in negative intervals, indicating Afghanistan has fragile institutions.</w:t>
      </w:r>
    </w:p>
    <w:p w14:paraId="2EB2F9CD" w14:textId="11C69F68" w:rsidR="00C16005" w:rsidRPr="001B658D" w:rsidRDefault="00C16005" w:rsidP="001B658D">
      <w:pPr>
        <w:spacing w:before="240"/>
        <w:jc w:val="center"/>
        <w:rPr>
          <w:rFonts w:asciiTheme="minorBidi" w:hAnsiTheme="minorBidi" w:cstheme="minorBidi"/>
          <w:b/>
          <w:bCs/>
        </w:rPr>
      </w:pPr>
      <w:r w:rsidRPr="00C16005">
        <w:rPr>
          <w:rFonts w:asciiTheme="minorBidi" w:hAnsiTheme="minorBidi" w:cstheme="minorBidi"/>
          <w:b/>
          <w:bCs/>
        </w:rPr>
        <w:t>Table 2</w:t>
      </w:r>
      <w:r w:rsidR="001B658D">
        <w:rPr>
          <w:rFonts w:asciiTheme="minorBidi" w:hAnsiTheme="minorBidi" w:cstheme="minorBidi"/>
          <w:b/>
          <w:bCs/>
        </w:rPr>
        <w:t xml:space="preserve">: </w:t>
      </w:r>
      <w:r w:rsidRPr="00C16005">
        <w:rPr>
          <w:rFonts w:asciiTheme="minorBidi" w:hAnsiTheme="minorBidi" w:cstheme="minorBidi"/>
          <w:b/>
          <w:bCs/>
        </w:rPr>
        <w:t>Descriptive Statistics</w:t>
      </w:r>
    </w:p>
    <w:tbl>
      <w:tblPr>
        <w:tblW w:w="9072" w:type="dxa"/>
        <w:tblLayout w:type="fixed"/>
        <w:tblLook w:val="0000" w:firstRow="0" w:lastRow="0" w:firstColumn="0" w:lastColumn="0" w:noHBand="0" w:noVBand="0"/>
      </w:tblPr>
      <w:tblGrid>
        <w:gridCol w:w="2508"/>
        <w:gridCol w:w="800"/>
        <w:gridCol w:w="1400"/>
        <w:gridCol w:w="1400"/>
        <w:gridCol w:w="1400"/>
        <w:gridCol w:w="1564"/>
      </w:tblGrid>
      <w:tr w:rsidR="00C16005" w:rsidRPr="00C16005" w14:paraId="0A765558" w14:textId="77777777" w:rsidTr="002A3B27">
        <w:tc>
          <w:tcPr>
            <w:tcW w:w="2508" w:type="dxa"/>
            <w:tcBorders>
              <w:top w:val="single" w:sz="4" w:space="0" w:color="auto"/>
              <w:left w:val="nil"/>
              <w:bottom w:val="single" w:sz="10" w:space="0" w:color="auto"/>
              <w:right w:val="nil"/>
            </w:tcBorders>
          </w:tcPr>
          <w:p w14:paraId="2325F4CE"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Variable</w:t>
            </w:r>
          </w:p>
        </w:tc>
        <w:tc>
          <w:tcPr>
            <w:tcW w:w="800" w:type="dxa"/>
            <w:tcBorders>
              <w:top w:val="single" w:sz="4" w:space="0" w:color="auto"/>
              <w:left w:val="nil"/>
              <w:bottom w:val="single" w:sz="10" w:space="0" w:color="auto"/>
              <w:right w:val="nil"/>
            </w:tcBorders>
          </w:tcPr>
          <w:p w14:paraId="022D59AF"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 xml:space="preserve"> </w:t>
            </w:r>
            <w:proofErr w:type="spellStart"/>
            <w:r w:rsidRPr="00C16005">
              <w:rPr>
                <w:rFonts w:asciiTheme="minorBidi" w:hAnsiTheme="minorBidi" w:cstheme="minorBidi"/>
              </w:rPr>
              <w:t>Obs</w:t>
            </w:r>
            <w:proofErr w:type="spellEnd"/>
          </w:p>
        </w:tc>
        <w:tc>
          <w:tcPr>
            <w:tcW w:w="1400" w:type="dxa"/>
            <w:tcBorders>
              <w:top w:val="single" w:sz="4" w:space="0" w:color="auto"/>
              <w:left w:val="nil"/>
              <w:bottom w:val="single" w:sz="10" w:space="0" w:color="auto"/>
              <w:right w:val="nil"/>
            </w:tcBorders>
          </w:tcPr>
          <w:p w14:paraId="20D62FB2"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 xml:space="preserve"> Mean</w:t>
            </w:r>
          </w:p>
        </w:tc>
        <w:tc>
          <w:tcPr>
            <w:tcW w:w="1400" w:type="dxa"/>
            <w:tcBorders>
              <w:top w:val="single" w:sz="4" w:space="0" w:color="auto"/>
              <w:left w:val="nil"/>
              <w:bottom w:val="single" w:sz="10" w:space="0" w:color="auto"/>
              <w:right w:val="nil"/>
            </w:tcBorders>
          </w:tcPr>
          <w:p w14:paraId="53F07E15"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 xml:space="preserve"> Std. Dev.</w:t>
            </w:r>
          </w:p>
        </w:tc>
        <w:tc>
          <w:tcPr>
            <w:tcW w:w="1400" w:type="dxa"/>
            <w:tcBorders>
              <w:top w:val="single" w:sz="4" w:space="0" w:color="auto"/>
              <w:left w:val="nil"/>
              <w:bottom w:val="single" w:sz="10" w:space="0" w:color="auto"/>
              <w:right w:val="nil"/>
            </w:tcBorders>
          </w:tcPr>
          <w:p w14:paraId="4C21C1DF"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 xml:space="preserve"> Min</w:t>
            </w:r>
          </w:p>
        </w:tc>
        <w:tc>
          <w:tcPr>
            <w:tcW w:w="1564" w:type="dxa"/>
            <w:tcBorders>
              <w:top w:val="single" w:sz="4" w:space="0" w:color="auto"/>
              <w:left w:val="nil"/>
              <w:bottom w:val="single" w:sz="10" w:space="0" w:color="auto"/>
              <w:right w:val="nil"/>
            </w:tcBorders>
          </w:tcPr>
          <w:p w14:paraId="46176479"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 xml:space="preserve"> Max</w:t>
            </w:r>
          </w:p>
        </w:tc>
      </w:tr>
      <w:tr w:rsidR="00C16005" w:rsidRPr="00C16005" w14:paraId="036D80D3" w14:textId="77777777" w:rsidTr="002A3B27">
        <w:tc>
          <w:tcPr>
            <w:tcW w:w="2508" w:type="dxa"/>
            <w:tcBorders>
              <w:top w:val="nil"/>
              <w:left w:val="nil"/>
              <w:bottom w:val="nil"/>
              <w:right w:val="nil"/>
            </w:tcBorders>
          </w:tcPr>
          <w:p w14:paraId="78B4CD35"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FDI (USD Million)</w:t>
            </w:r>
          </w:p>
        </w:tc>
        <w:tc>
          <w:tcPr>
            <w:tcW w:w="800" w:type="dxa"/>
            <w:tcBorders>
              <w:top w:val="nil"/>
              <w:left w:val="nil"/>
              <w:bottom w:val="nil"/>
              <w:right w:val="nil"/>
            </w:tcBorders>
          </w:tcPr>
          <w:p w14:paraId="4B316BF4"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20</w:t>
            </w:r>
          </w:p>
        </w:tc>
        <w:tc>
          <w:tcPr>
            <w:tcW w:w="1400" w:type="dxa"/>
            <w:tcBorders>
              <w:top w:val="nil"/>
              <w:left w:val="nil"/>
              <w:bottom w:val="nil"/>
              <w:right w:val="nil"/>
            </w:tcBorders>
          </w:tcPr>
          <w:p w14:paraId="420759AA"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98.814</w:t>
            </w:r>
          </w:p>
        </w:tc>
        <w:tc>
          <w:tcPr>
            <w:tcW w:w="1400" w:type="dxa"/>
            <w:tcBorders>
              <w:top w:val="nil"/>
              <w:left w:val="nil"/>
              <w:bottom w:val="nil"/>
              <w:right w:val="nil"/>
            </w:tcBorders>
          </w:tcPr>
          <w:p w14:paraId="2F07A96C"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78.942</w:t>
            </w:r>
          </w:p>
        </w:tc>
        <w:tc>
          <w:tcPr>
            <w:tcW w:w="1400" w:type="dxa"/>
            <w:tcBorders>
              <w:top w:val="nil"/>
              <w:left w:val="nil"/>
              <w:bottom w:val="nil"/>
              <w:right w:val="nil"/>
            </w:tcBorders>
          </w:tcPr>
          <w:p w14:paraId="53FB65D5"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12.97</w:t>
            </w:r>
          </w:p>
        </w:tc>
        <w:tc>
          <w:tcPr>
            <w:tcW w:w="1564" w:type="dxa"/>
            <w:tcBorders>
              <w:top w:val="nil"/>
              <w:left w:val="nil"/>
              <w:bottom w:val="nil"/>
              <w:right w:val="nil"/>
            </w:tcBorders>
          </w:tcPr>
          <w:p w14:paraId="6E7E6ECC"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271</w:t>
            </w:r>
          </w:p>
        </w:tc>
      </w:tr>
      <w:tr w:rsidR="00C16005" w:rsidRPr="00C16005" w14:paraId="0FF23FD1" w14:textId="77777777" w:rsidTr="002A3B27">
        <w:tc>
          <w:tcPr>
            <w:tcW w:w="2508" w:type="dxa"/>
            <w:tcBorders>
              <w:top w:val="nil"/>
              <w:left w:val="nil"/>
              <w:bottom w:val="nil"/>
              <w:right w:val="nil"/>
            </w:tcBorders>
          </w:tcPr>
          <w:p w14:paraId="1AF3C3BF"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GE</w:t>
            </w:r>
          </w:p>
        </w:tc>
        <w:tc>
          <w:tcPr>
            <w:tcW w:w="800" w:type="dxa"/>
            <w:tcBorders>
              <w:top w:val="nil"/>
              <w:left w:val="nil"/>
              <w:bottom w:val="nil"/>
              <w:right w:val="nil"/>
            </w:tcBorders>
          </w:tcPr>
          <w:p w14:paraId="14A9267E"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20</w:t>
            </w:r>
          </w:p>
        </w:tc>
        <w:tc>
          <w:tcPr>
            <w:tcW w:w="1400" w:type="dxa"/>
            <w:tcBorders>
              <w:top w:val="nil"/>
              <w:left w:val="nil"/>
              <w:bottom w:val="nil"/>
              <w:right w:val="nil"/>
            </w:tcBorders>
          </w:tcPr>
          <w:p w14:paraId="38367AC7"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-1.417</w:t>
            </w:r>
          </w:p>
        </w:tc>
        <w:tc>
          <w:tcPr>
            <w:tcW w:w="1400" w:type="dxa"/>
            <w:tcBorders>
              <w:top w:val="nil"/>
              <w:left w:val="nil"/>
              <w:bottom w:val="nil"/>
              <w:right w:val="nil"/>
            </w:tcBorders>
          </w:tcPr>
          <w:p w14:paraId="1D10F751"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.165</w:t>
            </w:r>
          </w:p>
        </w:tc>
        <w:tc>
          <w:tcPr>
            <w:tcW w:w="1400" w:type="dxa"/>
            <w:tcBorders>
              <w:top w:val="nil"/>
              <w:left w:val="nil"/>
              <w:bottom w:val="nil"/>
              <w:right w:val="nil"/>
            </w:tcBorders>
          </w:tcPr>
          <w:p w14:paraId="2EEC9BCB"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-1.67</w:t>
            </w:r>
          </w:p>
        </w:tc>
        <w:tc>
          <w:tcPr>
            <w:tcW w:w="1564" w:type="dxa"/>
            <w:tcBorders>
              <w:top w:val="nil"/>
              <w:left w:val="nil"/>
              <w:bottom w:val="nil"/>
              <w:right w:val="nil"/>
            </w:tcBorders>
          </w:tcPr>
          <w:p w14:paraId="46218B85"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-.945</w:t>
            </w:r>
          </w:p>
        </w:tc>
      </w:tr>
      <w:tr w:rsidR="00C16005" w:rsidRPr="00C16005" w14:paraId="2CC52939" w14:textId="77777777" w:rsidTr="002A3B27">
        <w:tc>
          <w:tcPr>
            <w:tcW w:w="2508" w:type="dxa"/>
            <w:tcBorders>
              <w:top w:val="nil"/>
              <w:left w:val="nil"/>
              <w:bottom w:val="nil"/>
              <w:right w:val="nil"/>
            </w:tcBorders>
          </w:tcPr>
          <w:p w14:paraId="5B86E7E0"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RQ</w:t>
            </w:r>
          </w:p>
        </w:tc>
        <w:tc>
          <w:tcPr>
            <w:tcW w:w="800" w:type="dxa"/>
            <w:tcBorders>
              <w:top w:val="nil"/>
              <w:left w:val="nil"/>
              <w:bottom w:val="nil"/>
              <w:right w:val="nil"/>
            </w:tcBorders>
          </w:tcPr>
          <w:p w14:paraId="617A69FE"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20</w:t>
            </w:r>
          </w:p>
        </w:tc>
        <w:tc>
          <w:tcPr>
            <w:tcW w:w="1400" w:type="dxa"/>
            <w:tcBorders>
              <w:top w:val="nil"/>
              <w:left w:val="nil"/>
              <w:bottom w:val="nil"/>
              <w:right w:val="nil"/>
            </w:tcBorders>
          </w:tcPr>
          <w:p w14:paraId="30412B83"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-1.417</w:t>
            </w:r>
          </w:p>
        </w:tc>
        <w:tc>
          <w:tcPr>
            <w:tcW w:w="1400" w:type="dxa"/>
            <w:tcBorders>
              <w:top w:val="nil"/>
              <w:left w:val="nil"/>
              <w:bottom w:val="nil"/>
              <w:right w:val="nil"/>
            </w:tcBorders>
          </w:tcPr>
          <w:p w14:paraId="4F2F0C31"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.233</w:t>
            </w:r>
          </w:p>
        </w:tc>
        <w:tc>
          <w:tcPr>
            <w:tcW w:w="1400" w:type="dxa"/>
            <w:tcBorders>
              <w:top w:val="nil"/>
              <w:left w:val="nil"/>
              <w:bottom w:val="nil"/>
              <w:right w:val="nil"/>
            </w:tcBorders>
          </w:tcPr>
          <w:p w14:paraId="5AF39834"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-1.812</w:t>
            </w:r>
          </w:p>
        </w:tc>
        <w:tc>
          <w:tcPr>
            <w:tcW w:w="1564" w:type="dxa"/>
            <w:tcBorders>
              <w:top w:val="nil"/>
              <w:left w:val="nil"/>
              <w:bottom w:val="nil"/>
              <w:right w:val="nil"/>
            </w:tcBorders>
          </w:tcPr>
          <w:p w14:paraId="4E22EC04"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-1.019</w:t>
            </w:r>
          </w:p>
        </w:tc>
      </w:tr>
      <w:tr w:rsidR="00C16005" w:rsidRPr="00C16005" w14:paraId="4B8BD874" w14:textId="77777777" w:rsidTr="002A3B27">
        <w:tc>
          <w:tcPr>
            <w:tcW w:w="2508" w:type="dxa"/>
            <w:tcBorders>
              <w:top w:val="nil"/>
              <w:left w:val="nil"/>
              <w:bottom w:val="nil"/>
              <w:right w:val="nil"/>
            </w:tcBorders>
          </w:tcPr>
          <w:p w14:paraId="22CB4C65"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lastRenderedPageBreak/>
              <w:t>CC</w:t>
            </w:r>
          </w:p>
        </w:tc>
        <w:tc>
          <w:tcPr>
            <w:tcW w:w="800" w:type="dxa"/>
            <w:tcBorders>
              <w:top w:val="nil"/>
              <w:left w:val="nil"/>
              <w:bottom w:val="nil"/>
              <w:right w:val="nil"/>
            </w:tcBorders>
          </w:tcPr>
          <w:p w14:paraId="6C3E8C9D"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20</w:t>
            </w:r>
          </w:p>
        </w:tc>
        <w:tc>
          <w:tcPr>
            <w:tcW w:w="1400" w:type="dxa"/>
            <w:tcBorders>
              <w:top w:val="nil"/>
              <w:left w:val="nil"/>
              <w:bottom w:val="nil"/>
              <w:right w:val="nil"/>
            </w:tcBorders>
          </w:tcPr>
          <w:p w14:paraId="36A55FA4"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-1.458</w:t>
            </w:r>
          </w:p>
        </w:tc>
        <w:tc>
          <w:tcPr>
            <w:tcW w:w="1400" w:type="dxa"/>
            <w:tcBorders>
              <w:top w:val="nil"/>
              <w:left w:val="nil"/>
              <w:bottom w:val="nil"/>
              <w:right w:val="nil"/>
            </w:tcBorders>
          </w:tcPr>
          <w:p w14:paraId="0152F31E"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.132</w:t>
            </w:r>
          </w:p>
        </w:tc>
        <w:tc>
          <w:tcPr>
            <w:tcW w:w="1400" w:type="dxa"/>
            <w:tcBorders>
              <w:top w:val="nil"/>
              <w:left w:val="nil"/>
              <w:bottom w:val="nil"/>
              <w:right w:val="nil"/>
            </w:tcBorders>
          </w:tcPr>
          <w:p w14:paraId="664585E3"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-1.672</w:t>
            </w:r>
          </w:p>
        </w:tc>
        <w:tc>
          <w:tcPr>
            <w:tcW w:w="1564" w:type="dxa"/>
            <w:tcBorders>
              <w:top w:val="nil"/>
              <w:left w:val="nil"/>
              <w:bottom w:val="nil"/>
              <w:right w:val="nil"/>
            </w:tcBorders>
          </w:tcPr>
          <w:p w14:paraId="142E33F4"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-1.152</w:t>
            </w:r>
          </w:p>
        </w:tc>
      </w:tr>
      <w:tr w:rsidR="00C16005" w:rsidRPr="00C16005" w14:paraId="3DFC5541" w14:textId="77777777" w:rsidTr="002A3B27">
        <w:tc>
          <w:tcPr>
            <w:tcW w:w="2508" w:type="dxa"/>
            <w:tcBorders>
              <w:top w:val="nil"/>
              <w:left w:val="nil"/>
              <w:bottom w:val="nil"/>
              <w:right w:val="nil"/>
            </w:tcBorders>
          </w:tcPr>
          <w:p w14:paraId="4EFBB88D"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RL</w:t>
            </w:r>
          </w:p>
        </w:tc>
        <w:tc>
          <w:tcPr>
            <w:tcW w:w="800" w:type="dxa"/>
            <w:tcBorders>
              <w:top w:val="nil"/>
              <w:left w:val="nil"/>
              <w:bottom w:val="nil"/>
              <w:right w:val="nil"/>
            </w:tcBorders>
          </w:tcPr>
          <w:p w14:paraId="29E3CDF8"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20</w:t>
            </w:r>
          </w:p>
        </w:tc>
        <w:tc>
          <w:tcPr>
            <w:tcW w:w="1400" w:type="dxa"/>
            <w:tcBorders>
              <w:top w:val="nil"/>
              <w:left w:val="nil"/>
              <w:bottom w:val="nil"/>
              <w:right w:val="nil"/>
            </w:tcBorders>
          </w:tcPr>
          <w:p w14:paraId="23616748"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-1.717</w:t>
            </w:r>
          </w:p>
        </w:tc>
        <w:tc>
          <w:tcPr>
            <w:tcW w:w="1400" w:type="dxa"/>
            <w:tcBorders>
              <w:top w:val="nil"/>
              <w:left w:val="nil"/>
              <w:bottom w:val="nil"/>
              <w:right w:val="nil"/>
            </w:tcBorders>
          </w:tcPr>
          <w:p w14:paraId="6AC3F3DE"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.151</w:t>
            </w:r>
          </w:p>
        </w:tc>
        <w:tc>
          <w:tcPr>
            <w:tcW w:w="1400" w:type="dxa"/>
            <w:tcBorders>
              <w:top w:val="nil"/>
              <w:left w:val="nil"/>
              <w:bottom w:val="nil"/>
              <w:right w:val="nil"/>
            </w:tcBorders>
          </w:tcPr>
          <w:p w14:paraId="7A6F8D1F"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-1.923</w:t>
            </w:r>
          </w:p>
        </w:tc>
        <w:tc>
          <w:tcPr>
            <w:tcW w:w="1564" w:type="dxa"/>
            <w:tcBorders>
              <w:top w:val="nil"/>
              <w:left w:val="nil"/>
              <w:bottom w:val="nil"/>
              <w:right w:val="nil"/>
            </w:tcBorders>
          </w:tcPr>
          <w:p w14:paraId="2485D9AC"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-1.437</w:t>
            </w:r>
          </w:p>
        </w:tc>
      </w:tr>
      <w:tr w:rsidR="00C16005" w:rsidRPr="00C16005" w14:paraId="4E254F33" w14:textId="77777777" w:rsidTr="002A3B27">
        <w:tc>
          <w:tcPr>
            <w:tcW w:w="2508" w:type="dxa"/>
            <w:tcBorders>
              <w:top w:val="nil"/>
              <w:left w:val="nil"/>
              <w:bottom w:val="nil"/>
              <w:right w:val="nil"/>
            </w:tcBorders>
          </w:tcPr>
          <w:p w14:paraId="145F7A2E"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MS (USD Million)</w:t>
            </w:r>
          </w:p>
        </w:tc>
        <w:tc>
          <w:tcPr>
            <w:tcW w:w="800" w:type="dxa"/>
            <w:tcBorders>
              <w:top w:val="nil"/>
              <w:left w:val="nil"/>
              <w:bottom w:val="nil"/>
              <w:right w:val="nil"/>
            </w:tcBorders>
          </w:tcPr>
          <w:p w14:paraId="2DDEE8D7"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20</w:t>
            </w:r>
          </w:p>
        </w:tc>
        <w:tc>
          <w:tcPr>
            <w:tcW w:w="1400" w:type="dxa"/>
            <w:tcBorders>
              <w:top w:val="nil"/>
              <w:left w:val="nil"/>
              <w:bottom w:val="nil"/>
              <w:right w:val="nil"/>
            </w:tcBorders>
          </w:tcPr>
          <w:p w14:paraId="5B974770"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14015.594</w:t>
            </w:r>
          </w:p>
        </w:tc>
        <w:tc>
          <w:tcPr>
            <w:tcW w:w="1400" w:type="dxa"/>
            <w:tcBorders>
              <w:top w:val="nil"/>
              <w:left w:val="nil"/>
              <w:bottom w:val="nil"/>
              <w:right w:val="nil"/>
            </w:tcBorders>
          </w:tcPr>
          <w:p w14:paraId="559C6A87"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6026.264</w:t>
            </w:r>
          </w:p>
        </w:tc>
        <w:tc>
          <w:tcPr>
            <w:tcW w:w="1400" w:type="dxa"/>
            <w:tcBorders>
              <w:top w:val="nil"/>
              <w:left w:val="nil"/>
              <w:bottom w:val="nil"/>
              <w:right w:val="nil"/>
            </w:tcBorders>
          </w:tcPr>
          <w:p w14:paraId="6CAFAAE3"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3825.701</w:t>
            </w:r>
          </w:p>
        </w:tc>
        <w:tc>
          <w:tcPr>
            <w:tcW w:w="1564" w:type="dxa"/>
            <w:tcBorders>
              <w:top w:val="nil"/>
              <w:left w:val="nil"/>
              <w:bottom w:val="nil"/>
              <w:right w:val="nil"/>
            </w:tcBorders>
          </w:tcPr>
          <w:p w14:paraId="2A3BAB3F"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20497.129</w:t>
            </w:r>
          </w:p>
        </w:tc>
      </w:tr>
      <w:tr w:rsidR="00C16005" w:rsidRPr="00C16005" w14:paraId="29F520E3" w14:textId="77777777" w:rsidTr="002A3B27">
        <w:tc>
          <w:tcPr>
            <w:tcW w:w="2508" w:type="dxa"/>
            <w:tcBorders>
              <w:top w:val="nil"/>
              <w:left w:val="nil"/>
              <w:bottom w:val="nil"/>
              <w:right w:val="nil"/>
            </w:tcBorders>
          </w:tcPr>
          <w:p w14:paraId="085C4407"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TO</w:t>
            </w:r>
          </w:p>
        </w:tc>
        <w:tc>
          <w:tcPr>
            <w:tcW w:w="800" w:type="dxa"/>
            <w:tcBorders>
              <w:top w:val="nil"/>
              <w:left w:val="nil"/>
              <w:bottom w:val="nil"/>
              <w:right w:val="nil"/>
            </w:tcBorders>
          </w:tcPr>
          <w:p w14:paraId="56AA749E"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20</w:t>
            </w:r>
          </w:p>
        </w:tc>
        <w:tc>
          <w:tcPr>
            <w:tcW w:w="1400" w:type="dxa"/>
            <w:tcBorders>
              <w:top w:val="nil"/>
              <w:left w:val="nil"/>
              <w:bottom w:val="nil"/>
              <w:right w:val="nil"/>
            </w:tcBorders>
          </w:tcPr>
          <w:p w14:paraId="6448B474"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.427</w:t>
            </w:r>
          </w:p>
        </w:tc>
        <w:tc>
          <w:tcPr>
            <w:tcW w:w="1400" w:type="dxa"/>
            <w:tcBorders>
              <w:top w:val="nil"/>
              <w:left w:val="nil"/>
              <w:bottom w:val="nil"/>
              <w:right w:val="nil"/>
            </w:tcBorders>
          </w:tcPr>
          <w:p w14:paraId="543FA4ED"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.076</w:t>
            </w:r>
          </w:p>
        </w:tc>
        <w:tc>
          <w:tcPr>
            <w:tcW w:w="1400" w:type="dxa"/>
            <w:tcBorders>
              <w:top w:val="nil"/>
              <w:left w:val="nil"/>
              <w:bottom w:val="nil"/>
              <w:right w:val="nil"/>
            </w:tcBorders>
          </w:tcPr>
          <w:p w14:paraId="28A6E952"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.301</w:t>
            </w:r>
          </w:p>
        </w:tc>
        <w:tc>
          <w:tcPr>
            <w:tcW w:w="1564" w:type="dxa"/>
            <w:tcBorders>
              <w:top w:val="nil"/>
              <w:left w:val="nil"/>
              <w:bottom w:val="nil"/>
              <w:right w:val="nil"/>
            </w:tcBorders>
          </w:tcPr>
          <w:p w14:paraId="2651C4BC"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.667</w:t>
            </w:r>
          </w:p>
        </w:tc>
      </w:tr>
      <w:tr w:rsidR="00C16005" w:rsidRPr="00C16005" w14:paraId="316BCFD8" w14:textId="77777777" w:rsidTr="002A3B27">
        <w:tc>
          <w:tcPr>
            <w:tcW w:w="2508" w:type="dxa"/>
            <w:tcBorders>
              <w:top w:val="nil"/>
              <w:left w:val="nil"/>
              <w:right w:val="nil"/>
            </w:tcBorders>
          </w:tcPr>
          <w:p w14:paraId="3BFB6DF8" w14:textId="77777777" w:rsidR="00C16005" w:rsidRPr="00C16005" w:rsidRDefault="00C16005" w:rsidP="00C16005">
            <w:pPr>
              <w:widowControl w:val="0"/>
              <w:autoSpaceDE w:val="0"/>
              <w:autoSpaceDN w:val="0"/>
              <w:adjustRightInd w:val="0"/>
              <w:rPr>
                <w:rFonts w:asciiTheme="minorBidi" w:hAnsiTheme="minorBidi" w:cstheme="minorBidi"/>
              </w:rPr>
            </w:pPr>
            <w:proofErr w:type="spellStart"/>
            <w:r w:rsidRPr="00C16005">
              <w:rPr>
                <w:rFonts w:asciiTheme="minorBidi" w:hAnsiTheme="minorBidi" w:cstheme="minorBidi"/>
              </w:rPr>
              <w:t>Infl</w:t>
            </w:r>
            <w:proofErr w:type="spellEnd"/>
          </w:p>
        </w:tc>
        <w:tc>
          <w:tcPr>
            <w:tcW w:w="800" w:type="dxa"/>
            <w:tcBorders>
              <w:top w:val="nil"/>
              <w:left w:val="nil"/>
              <w:right w:val="nil"/>
            </w:tcBorders>
          </w:tcPr>
          <w:p w14:paraId="37B6A434"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20</w:t>
            </w:r>
          </w:p>
        </w:tc>
        <w:tc>
          <w:tcPr>
            <w:tcW w:w="1400" w:type="dxa"/>
            <w:tcBorders>
              <w:top w:val="nil"/>
              <w:left w:val="nil"/>
              <w:right w:val="nil"/>
            </w:tcBorders>
          </w:tcPr>
          <w:p w14:paraId="74C621F3"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6.189</w:t>
            </w:r>
          </w:p>
        </w:tc>
        <w:tc>
          <w:tcPr>
            <w:tcW w:w="1400" w:type="dxa"/>
            <w:tcBorders>
              <w:top w:val="nil"/>
              <w:left w:val="nil"/>
              <w:right w:val="nil"/>
            </w:tcBorders>
          </w:tcPr>
          <w:p w14:paraId="701156EB"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6.107</w:t>
            </w:r>
          </w:p>
        </w:tc>
        <w:tc>
          <w:tcPr>
            <w:tcW w:w="1400" w:type="dxa"/>
            <w:tcBorders>
              <w:top w:val="nil"/>
              <w:left w:val="nil"/>
              <w:right w:val="nil"/>
            </w:tcBorders>
          </w:tcPr>
          <w:p w14:paraId="64406816"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-2.198</w:t>
            </w:r>
          </w:p>
        </w:tc>
        <w:tc>
          <w:tcPr>
            <w:tcW w:w="1564" w:type="dxa"/>
            <w:tcBorders>
              <w:top w:val="nil"/>
              <w:left w:val="nil"/>
              <w:right w:val="nil"/>
            </w:tcBorders>
          </w:tcPr>
          <w:p w14:paraId="15E5F16E"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22.528</w:t>
            </w:r>
          </w:p>
        </w:tc>
      </w:tr>
      <w:tr w:rsidR="00C16005" w:rsidRPr="00C16005" w14:paraId="3FC925AE" w14:textId="77777777" w:rsidTr="002A3B27">
        <w:tc>
          <w:tcPr>
            <w:tcW w:w="2508" w:type="dxa"/>
            <w:tcBorders>
              <w:top w:val="nil"/>
              <w:left w:val="nil"/>
              <w:bottom w:val="nil"/>
              <w:right w:val="nil"/>
            </w:tcBorders>
          </w:tcPr>
          <w:p w14:paraId="101164DE"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ER</w:t>
            </w:r>
          </w:p>
        </w:tc>
        <w:tc>
          <w:tcPr>
            <w:tcW w:w="800" w:type="dxa"/>
            <w:tcBorders>
              <w:top w:val="nil"/>
              <w:left w:val="nil"/>
              <w:bottom w:val="nil"/>
              <w:right w:val="nil"/>
            </w:tcBorders>
          </w:tcPr>
          <w:p w14:paraId="0657527F"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20</w:t>
            </w:r>
          </w:p>
        </w:tc>
        <w:tc>
          <w:tcPr>
            <w:tcW w:w="1400" w:type="dxa"/>
            <w:tcBorders>
              <w:top w:val="nil"/>
              <w:left w:val="nil"/>
              <w:bottom w:val="nil"/>
              <w:right w:val="nil"/>
            </w:tcBorders>
          </w:tcPr>
          <w:p w14:paraId="5F048E4D"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58.361</w:t>
            </w:r>
          </w:p>
        </w:tc>
        <w:tc>
          <w:tcPr>
            <w:tcW w:w="1400" w:type="dxa"/>
            <w:tcBorders>
              <w:top w:val="nil"/>
              <w:left w:val="nil"/>
              <w:bottom w:val="nil"/>
              <w:right w:val="nil"/>
            </w:tcBorders>
          </w:tcPr>
          <w:p w14:paraId="4CD41AB4"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13.205</w:t>
            </w:r>
          </w:p>
        </w:tc>
        <w:tc>
          <w:tcPr>
            <w:tcW w:w="1400" w:type="dxa"/>
            <w:tcBorders>
              <w:top w:val="nil"/>
              <w:left w:val="nil"/>
              <w:bottom w:val="nil"/>
              <w:right w:val="nil"/>
            </w:tcBorders>
          </w:tcPr>
          <w:p w14:paraId="00115977"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46.452</w:t>
            </w:r>
          </w:p>
        </w:tc>
        <w:tc>
          <w:tcPr>
            <w:tcW w:w="1564" w:type="dxa"/>
            <w:tcBorders>
              <w:top w:val="nil"/>
              <w:left w:val="nil"/>
              <w:bottom w:val="nil"/>
              <w:right w:val="nil"/>
            </w:tcBorders>
          </w:tcPr>
          <w:p w14:paraId="34A1D730"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92.98</w:t>
            </w:r>
          </w:p>
        </w:tc>
      </w:tr>
      <w:tr w:rsidR="00C16005" w:rsidRPr="00C16005" w14:paraId="599C0F5C" w14:textId="77777777" w:rsidTr="002A3B27">
        <w:tc>
          <w:tcPr>
            <w:tcW w:w="2508" w:type="dxa"/>
            <w:tcBorders>
              <w:top w:val="nil"/>
              <w:left w:val="nil"/>
              <w:bottom w:val="single" w:sz="4" w:space="0" w:color="auto"/>
              <w:right w:val="nil"/>
            </w:tcBorders>
          </w:tcPr>
          <w:p w14:paraId="22B75223" w14:textId="77777777" w:rsidR="00C16005" w:rsidRPr="00C16005" w:rsidRDefault="00C16005" w:rsidP="00C16005">
            <w:pPr>
              <w:widowControl w:val="0"/>
              <w:autoSpaceDE w:val="0"/>
              <w:autoSpaceDN w:val="0"/>
              <w:adjustRightInd w:val="0"/>
              <w:spacing w:after="240"/>
              <w:rPr>
                <w:rFonts w:asciiTheme="minorBidi" w:hAnsiTheme="minorBidi" w:cstheme="minorBidi"/>
              </w:rPr>
            </w:pPr>
            <w:proofErr w:type="spellStart"/>
            <w:r w:rsidRPr="00C16005">
              <w:rPr>
                <w:rFonts w:asciiTheme="minorBidi" w:hAnsiTheme="minorBidi" w:cstheme="minorBidi"/>
              </w:rPr>
              <w:t>Infr</w:t>
            </w:r>
            <w:proofErr w:type="spellEnd"/>
          </w:p>
        </w:tc>
        <w:tc>
          <w:tcPr>
            <w:tcW w:w="800" w:type="dxa"/>
            <w:tcBorders>
              <w:top w:val="nil"/>
              <w:left w:val="nil"/>
              <w:bottom w:val="single" w:sz="4" w:space="0" w:color="auto"/>
              <w:right w:val="nil"/>
            </w:tcBorders>
          </w:tcPr>
          <w:p w14:paraId="6DD6DEF4"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20</w:t>
            </w:r>
          </w:p>
        </w:tc>
        <w:tc>
          <w:tcPr>
            <w:tcW w:w="1400" w:type="dxa"/>
            <w:tcBorders>
              <w:top w:val="nil"/>
              <w:left w:val="nil"/>
              <w:bottom w:val="single" w:sz="4" w:space="0" w:color="auto"/>
              <w:right w:val="nil"/>
            </w:tcBorders>
          </w:tcPr>
          <w:p w14:paraId="67343977"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38.513</w:t>
            </w:r>
          </w:p>
        </w:tc>
        <w:tc>
          <w:tcPr>
            <w:tcW w:w="1400" w:type="dxa"/>
            <w:tcBorders>
              <w:top w:val="nil"/>
              <w:left w:val="nil"/>
              <w:bottom w:val="single" w:sz="4" w:space="0" w:color="auto"/>
              <w:right w:val="nil"/>
            </w:tcBorders>
          </w:tcPr>
          <w:p w14:paraId="598D69C3"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23.825</w:t>
            </w:r>
          </w:p>
        </w:tc>
        <w:tc>
          <w:tcPr>
            <w:tcW w:w="1400" w:type="dxa"/>
            <w:tcBorders>
              <w:top w:val="nil"/>
              <w:left w:val="nil"/>
              <w:bottom w:val="single" w:sz="4" w:space="0" w:color="auto"/>
              <w:right w:val="nil"/>
            </w:tcBorders>
          </w:tcPr>
          <w:p w14:paraId="211F4E62"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.119</w:t>
            </w:r>
          </w:p>
        </w:tc>
        <w:tc>
          <w:tcPr>
            <w:tcW w:w="1564" w:type="dxa"/>
            <w:tcBorders>
              <w:top w:val="nil"/>
              <w:left w:val="nil"/>
              <w:bottom w:val="single" w:sz="4" w:space="0" w:color="auto"/>
              <w:right w:val="nil"/>
            </w:tcBorders>
          </w:tcPr>
          <w:p w14:paraId="490ED8B2"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67.136</w:t>
            </w:r>
          </w:p>
        </w:tc>
      </w:tr>
    </w:tbl>
    <w:p w14:paraId="53062F70" w14:textId="120BD0B3" w:rsidR="00C16005" w:rsidRPr="00C16005" w:rsidRDefault="00C16005" w:rsidP="00C16005">
      <w:pPr>
        <w:spacing w:after="240"/>
        <w:jc w:val="both"/>
        <w:rPr>
          <w:rFonts w:asciiTheme="minorBidi" w:hAnsiTheme="minorBidi" w:cstheme="minorBidi"/>
          <w:i/>
          <w:iCs/>
        </w:rPr>
      </w:pPr>
      <w:r w:rsidRPr="00C16005">
        <w:rPr>
          <w:rFonts w:asciiTheme="minorBidi" w:hAnsiTheme="minorBidi" w:cstheme="minorBidi"/>
          <w:i/>
          <w:iCs/>
        </w:rPr>
        <w:t>Source: Compiled by Authors</w:t>
      </w:r>
      <w:r w:rsidR="00986B1D">
        <w:rPr>
          <w:rFonts w:asciiTheme="minorBidi" w:hAnsiTheme="minorBidi" w:cstheme="minorBidi"/>
          <w:i/>
          <w:iCs/>
        </w:rPr>
        <w:t>, 2024</w:t>
      </w:r>
    </w:p>
    <w:p w14:paraId="2F56AE8F" w14:textId="77777777" w:rsidR="000646AD" w:rsidRPr="000646AD" w:rsidRDefault="000646AD" w:rsidP="000646AD">
      <w:pPr>
        <w:pStyle w:val="Body"/>
        <w:rPr>
          <w:rFonts w:ascii="Arial" w:hAnsi="Arial" w:cs="Arial"/>
        </w:rPr>
      </w:pPr>
      <w:r w:rsidRPr="000646AD">
        <w:rPr>
          <w:rFonts w:ascii="Arial" w:hAnsi="Arial" w:cs="Arial"/>
        </w:rPr>
        <w:t>The descriptive data of macroeconomic variables also vary for each variable. Market size, with an average of 14,015.59 million USD and a standard deviation of 6,026.26 million USD, exhibits a significant variation; during the period, it has a minimum of 3,825.701 million USD and a maximum of 20,497.129 million USD. The trade openness index, with an average of 0.427 and a range of 0.301 to 0.667, has a low deviation; this variable has been integrated over the years. The data pertaining to inflation highlights the additional economic difficulties in some years. With a standard deviation of 6.11%, the average inflation rate is 6.19%, and it ranges from -2.2%, which denotes deflation, to a high of 22.53%, showing that specific years are subject to substantial inflationary pressures that have the potential to undermine buying power and cause market instability. The exchange rate has a mean of 58.36 and a range from 46.45 to 92.98, also exhibiting significant variation, suggesting notable variations in currency stability that may impact the investment. Lastly, Infrastructure, which is indexed by mobile subscription per 100 persons, has a mean of 38.5 and a range of .12 to 67.14, which shows that the infrastructure of Afghanistan is weak and might negatively impact the investments.</w:t>
      </w:r>
    </w:p>
    <w:p w14:paraId="2B7379BE" w14:textId="0632741E" w:rsidR="000646AD" w:rsidRPr="00C16005" w:rsidRDefault="000646AD" w:rsidP="000646AD">
      <w:pPr>
        <w:pStyle w:val="Body"/>
        <w:rPr>
          <w:rFonts w:ascii="Arial" w:hAnsi="Arial" w:cs="Arial"/>
          <w:b/>
          <w:bCs/>
        </w:rPr>
      </w:pPr>
      <w:r w:rsidRPr="00C16005">
        <w:rPr>
          <w:rFonts w:ascii="Arial" w:hAnsi="Arial" w:cs="Arial"/>
          <w:b/>
          <w:bCs/>
        </w:rPr>
        <w:t>Correlation Matrix</w:t>
      </w:r>
    </w:p>
    <w:p w14:paraId="0812470B" w14:textId="77777777" w:rsidR="000646AD" w:rsidRPr="000646AD" w:rsidRDefault="000646AD" w:rsidP="000646AD">
      <w:pPr>
        <w:pStyle w:val="Body"/>
        <w:rPr>
          <w:rFonts w:ascii="Arial" w:hAnsi="Arial" w:cs="Arial"/>
        </w:rPr>
      </w:pPr>
      <w:r w:rsidRPr="000646AD">
        <w:rPr>
          <w:rFonts w:ascii="Arial" w:hAnsi="Arial" w:cs="Arial"/>
        </w:rPr>
        <w:t>The correlation is used to show the relationship among the variables. The outcome of the correlation is shown in Table 3. As shown in the table, a mixed correlation between FDI and governance indicators is present. The dependent variable FDI (</w:t>
      </w:r>
      <w:proofErr w:type="spellStart"/>
      <w:r w:rsidRPr="000646AD">
        <w:rPr>
          <w:rFonts w:ascii="Arial" w:hAnsi="Arial" w:cs="Arial"/>
        </w:rPr>
        <w:t>logFDI</w:t>
      </w:r>
      <w:proofErr w:type="spellEnd"/>
      <w:r w:rsidRPr="000646AD">
        <w:rPr>
          <w:rFonts w:ascii="Arial" w:hAnsi="Arial" w:cs="Arial"/>
        </w:rPr>
        <w:t>) has a positive correlation with government effectiveness (GE) (0.507), suggesting that implementing sound policies attracts more FDI. Moreover, there is an unexpected negative, weak association between FDI (</w:t>
      </w:r>
      <w:proofErr w:type="spellStart"/>
      <w:r w:rsidRPr="000646AD">
        <w:rPr>
          <w:rFonts w:ascii="Arial" w:hAnsi="Arial" w:cs="Arial"/>
        </w:rPr>
        <w:t>logFDI</w:t>
      </w:r>
      <w:proofErr w:type="spellEnd"/>
      <w:r w:rsidRPr="000646AD">
        <w:rPr>
          <w:rFonts w:ascii="Arial" w:hAnsi="Arial" w:cs="Arial"/>
        </w:rPr>
        <w:t>) and market size (</w:t>
      </w:r>
      <w:proofErr w:type="spellStart"/>
      <w:r w:rsidRPr="000646AD">
        <w:rPr>
          <w:rFonts w:ascii="Arial" w:hAnsi="Arial" w:cs="Arial"/>
        </w:rPr>
        <w:t>logMS</w:t>
      </w:r>
      <w:proofErr w:type="spellEnd"/>
      <w:r w:rsidRPr="000646AD">
        <w:rPr>
          <w:rFonts w:ascii="Arial" w:hAnsi="Arial" w:cs="Arial"/>
        </w:rPr>
        <w:t>) (-0.360), which is counterintuitive, as larger markets typically attract more FDI. Regarding exchange rate (ER) and infrastructure (</w:t>
      </w:r>
      <w:proofErr w:type="spellStart"/>
      <w:r w:rsidRPr="000646AD">
        <w:rPr>
          <w:rFonts w:ascii="Arial" w:hAnsi="Arial" w:cs="Arial"/>
        </w:rPr>
        <w:t>Infr</w:t>
      </w:r>
      <w:proofErr w:type="spellEnd"/>
      <w:r w:rsidRPr="000646AD">
        <w:rPr>
          <w:rFonts w:ascii="Arial" w:hAnsi="Arial" w:cs="Arial"/>
        </w:rPr>
        <w:t>) with FDI, they have a negative association (-0.562) and (-0.478), suggesting that FDI may be discouraged by higher exchange rates or currency depreciation and weak infrastructure.</w:t>
      </w:r>
    </w:p>
    <w:p w14:paraId="403C1C61" w14:textId="77777777" w:rsidR="000646AD" w:rsidRDefault="000646AD" w:rsidP="000646AD">
      <w:pPr>
        <w:pStyle w:val="Body"/>
        <w:rPr>
          <w:rFonts w:ascii="Arial" w:hAnsi="Arial" w:cs="Arial"/>
        </w:rPr>
      </w:pPr>
      <w:r w:rsidRPr="000646AD">
        <w:rPr>
          <w:rFonts w:ascii="Arial" w:hAnsi="Arial" w:cs="Arial"/>
        </w:rPr>
        <w:t>There is A positive correlation among governance factors, as the relationship between government effectiveness and rule of law (RL) is (0.5). Likewise, the association between regulatory quality (RQ) and rule of law (RL) is (0.543). In the case of macroeconomic variables, they have a mixed correlation of positive and negative with the remaining explanatory determinants. Market size (</w:t>
      </w:r>
      <w:proofErr w:type="spellStart"/>
      <w:r w:rsidRPr="000646AD">
        <w:rPr>
          <w:rFonts w:ascii="Arial" w:hAnsi="Arial" w:cs="Arial"/>
        </w:rPr>
        <w:t>logMS</w:t>
      </w:r>
      <w:proofErr w:type="spellEnd"/>
      <w:r w:rsidRPr="000646AD">
        <w:rPr>
          <w:rFonts w:ascii="Arial" w:hAnsi="Arial" w:cs="Arial"/>
        </w:rPr>
        <w:t>) has a substantial correlation with regulatory quality (RQ) (0.717), trade openness (TO) has an almost identical association with control of corruption (CC) (0.666) but a negative with market size (</w:t>
      </w:r>
      <w:proofErr w:type="spellStart"/>
      <w:r w:rsidRPr="000646AD">
        <w:rPr>
          <w:rFonts w:ascii="Arial" w:hAnsi="Arial" w:cs="Arial"/>
        </w:rPr>
        <w:t>logMS</w:t>
      </w:r>
      <w:proofErr w:type="spellEnd"/>
      <w:r w:rsidRPr="000646AD">
        <w:rPr>
          <w:rFonts w:ascii="Arial" w:hAnsi="Arial" w:cs="Arial"/>
        </w:rPr>
        <w:t>) (-0.551). Lastly, Infrastructure’s correlation with market size (</w:t>
      </w:r>
      <w:proofErr w:type="spellStart"/>
      <w:r w:rsidRPr="000646AD">
        <w:rPr>
          <w:rFonts w:ascii="Arial" w:hAnsi="Arial" w:cs="Arial"/>
        </w:rPr>
        <w:t>logMs</w:t>
      </w:r>
      <w:proofErr w:type="spellEnd"/>
      <w:r w:rsidRPr="000646AD">
        <w:rPr>
          <w:rFonts w:ascii="Arial" w:hAnsi="Arial" w:cs="Arial"/>
        </w:rPr>
        <w:t>), regulatory quality (RQ), and exchange rate (ER) is strong (0.954), (0.755), and (0.665), respectively. The remaining details of the correlation among the variables can be inferred from Table 3.</w:t>
      </w:r>
    </w:p>
    <w:p w14:paraId="398CD8B0" w14:textId="201A8B83" w:rsidR="00C16005" w:rsidRPr="001B658D" w:rsidRDefault="00C16005" w:rsidP="001B658D">
      <w:pPr>
        <w:widowControl w:val="0"/>
        <w:autoSpaceDE w:val="0"/>
        <w:autoSpaceDN w:val="0"/>
        <w:adjustRightInd w:val="0"/>
        <w:spacing w:before="240"/>
        <w:jc w:val="center"/>
        <w:rPr>
          <w:rFonts w:asciiTheme="minorBidi" w:hAnsiTheme="minorBidi" w:cstheme="minorBidi"/>
          <w:b/>
          <w:bCs/>
        </w:rPr>
      </w:pPr>
      <w:r w:rsidRPr="00C16005">
        <w:rPr>
          <w:rFonts w:asciiTheme="minorBidi" w:hAnsiTheme="minorBidi" w:cstheme="minorBidi"/>
          <w:b/>
          <w:bCs/>
        </w:rPr>
        <w:t>Table 3</w:t>
      </w:r>
      <w:r w:rsidR="001B658D">
        <w:rPr>
          <w:rFonts w:asciiTheme="minorBidi" w:hAnsiTheme="minorBidi" w:cstheme="minorBidi"/>
          <w:b/>
          <w:bCs/>
        </w:rPr>
        <w:t xml:space="preserve">: </w:t>
      </w:r>
      <w:r w:rsidRPr="00C16005">
        <w:rPr>
          <w:rFonts w:asciiTheme="minorBidi" w:hAnsiTheme="minorBidi" w:cstheme="minorBidi"/>
          <w:b/>
          <w:bCs/>
        </w:rPr>
        <w:t>Matrix of correlations</w:t>
      </w:r>
    </w:p>
    <w:tbl>
      <w:tblPr>
        <w:tblW w:w="9026" w:type="dxa"/>
        <w:tblInd w:w="-567" w:type="dxa"/>
        <w:tblLook w:val="0000" w:firstRow="0" w:lastRow="0" w:firstColumn="0" w:lastColumn="0" w:noHBand="0" w:noVBand="0"/>
      </w:tblPr>
      <w:tblGrid>
        <w:gridCol w:w="1182"/>
        <w:gridCol w:w="798"/>
        <w:gridCol w:w="798"/>
        <w:gridCol w:w="798"/>
        <w:gridCol w:w="798"/>
        <w:gridCol w:w="798"/>
        <w:gridCol w:w="798"/>
        <w:gridCol w:w="798"/>
        <w:gridCol w:w="798"/>
        <w:gridCol w:w="365"/>
        <w:gridCol w:w="365"/>
        <w:gridCol w:w="730"/>
      </w:tblGrid>
      <w:tr w:rsidR="00C16005" w:rsidRPr="00C16005" w14:paraId="67A51F5F" w14:textId="77777777" w:rsidTr="00C16005">
        <w:trPr>
          <w:trHeight w:val="20"/>
        </w:trPr>
        <w:tc>
          <w:tcPr>
            <w:tcW w:w="0" w:type="auto"/>
            <w:tcBorders>
              <w:top w:val="single" w:sz="4" w:space="0" w:color="auto"/>
              <w:left w:val="nil"/>
              <w:bottom w:val="single" w:sz="10" w:space="0" w:color="auto"/>
              <w:right w:val="nil"/>
            </w:tcBorders>
          </w:tcPr>
          <w:p w14:paraId="6B61A410"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Variables</w:t>
            </w:r>
          </w:p>
        </w:tc>
        <w:tc>
          <w:tcPr>
            <w:tcW w:w="0" w:type="auto"/>
            <w:tcBorders>
              <w:top w:val="single" w:sz="4" w:space="0" w:color="auto"/>
              <w:left w:val="nil"/>
              <w:bottom w:val="single" w:sz="10" w:space="0" w:color="auto"/>
              <w:right w:val="nil"/>
            </w:tcBorders>
          </w:tcPr>
          <w:p w14:paraId="1BDFE8A2"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 xml:space="preserve">  (1)</w:t>
            </w:r>
          </w:p>
        </w:tc>
        <w:tc>
          <w:tcPr>
            <w:tcW w:w="0" w:type="auto"/>
            <w:tcBorders>
              <w:top w:val="single" w:sz="4" w:space="0" w:color="auto"/>
              <w:left w:val="nil"/>
              <w:bottom w:val="single" w:sz="10" w:space="0" w:color="auto"/>
              <w:right w:val="nil"/>
            </w:tcBorders>
          </w:tcPr>
          <w:p w14:paraId="77EC5B33"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 xml:space="preserve">  (2)</w:t>
            </w:r>
          </w:p>
        </w:tc>
        <w:tc>
          <w:tcPr>
            <w:tcW w:w="0" w:type="auto"/>
            <w:tcBorders>
              <w:top w:val="single" w:sz="4" w:space="0" w:color="auto"/>
              <w:left w:val="nil"/>
              <w:bottom w:val="single" w:sz="10" w:space="0" w:color="auto"/>
              <w:right w:val="nil"/>
            </w:tcBorders>
          </w:tcPr>
          <w:p w14:paraId="4173B740"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 xml:space="preserve">  (3)</w:t>
            </w:r>
          </w:p>
        </w:tc>
        <w:tc>
          <w:tcPr>
            <w:tcW w:w="0" w:type="auto"/>
            <w:tcBorders>
              <w:top w:val="single" w:sz="4" w:space="0" w:color="auto"/>
              <w:left w:val="nil"/>
              <w:bottom w:val="single" w:sz="10" w:space="0" w:color="auto"/>
              <w:right w:val="nil"/>
            </w:tcBorders>
          </w:tcPr>
          <w:p w14:paraId="0F49F8AE"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 xml:space="preserve">  (4)</w:t>
            </w:r>
          </w:p>
        </w:tc>
        <w:tc>
          <w:tcPr>
            <w:tcW w:w="0" w:type="auto"/>
            <w:tcBorders>
              <w:top w:val="single" w:sz="4" w:space="0" w:color="auto"/>
              <w:left w:val="nil"/>
              <w:bottom w:val="single" w:sz="10" w:space="0" w:color="auto"/>
              <w:right w:val="nil"/>
            </w:tcBorders>
          </w:tcPr>
          <w:p w14:paraId="23D5EA4D"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 xml:space="preserve">  (5)</w:t>
            </w:r>
          </w:p>
        </w:tc>
        <w:tc>
          <w:tcPr>
            <w:tcW w:w="0" w:type="auto"/>
            <w:tcBorders>
              <w:top w:val="single" w:sz="4" w:space="0" w:color="auto"/>
              <w:left w:val="nil"/>
              <w:bottom w:val="single" w:sz="10" w:space="0" w:color="auto"/>
              <w:right w:val="nil"/>
            </w:tcBorders>
          </w:tcPr>
          <w:p w14:paraId="608A6390"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 xml:space="preserve">  (6)</w:t>
            </w:r>
          </w:p>
        </w:tc>
        <w:tc>
          <w:tcPr>
            <w:tcW w:w="0" w:type="auto"/>
            <w:tcBorders>
              <w:top w:val="single" w:sz="4" w:space="0" w:color="auto"/>
              <w:left w:val="nil"/>
              <w:bottom w:val="single" w:sz="10" w:space="0" w:color="auto"/>
              <w:right w:val="nil"/>
            </w:tcBorders>
          </w:tcPr>
          <w:p w14:paraId="381A721D"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 xml:space="preserve">  (7)</w:t>
            </w:r>
          </w:p>
        </w:tc>
        <w:tc>
          <w:tcPr>
            <w:tcW w:w="0" w:type="auto"/>
            <w:tcBorders>
              <w:top w:val="single" w:sz="4" w:space="0" w:color="auto"/>
              <w:left w:val="nil"/>
              <w:bottom w:val="single" w:sz="10" w:space="0" w:color="auto"/>
              <w:right w:val="nil"/>
            </w:tcBorders>
          </w:tcPr>
          <w:p w14:paraId="6998A477"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 xml:space="preserve">  (8)</w:t>
            </w:r>
          </w:p>
        </w:tc>
        <w:tc>
          <w:tcPr>
            <w:tcW w:w="0" w:type="auto"/>
            <w:gridSpan w:val="2"/>
            <w:tcBorders>
              <w:top w:val="single" w:sz="4" w:space="0" w:color="auto"/>
              <w:left w:val="nil"/>
              <w:bottom w:val="single" w:sz="10" w:space="0" w:color="auto"/>
              <w:right w:val="nil"/>
            </w:tcBorders>
          </w:tcPr>
          <w:p w14:paraId="1FEA5295"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 xml:space="preserve">  (9)</w:t>
            </w:r>
          </w:p>
        </w:tc>
        <w:tc>
          <w:tcPr>
            <w:tcW w:w="0" w:type="auto"/>
            <w:tcBorders>
              <w:top w:val="single" w:sz="4" w:space="0" w:color="auto"/>
              <w:left w:val="nil"/>
              <w:bottom w:val="single" w:sz="10" w:space="0" w:color="auto"/>
              <w:right w:val="nil"/>
            </w:tcBorders>
          </w:tcPr>
          <w:p w14:paraId="7B6EE070"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 xml:space="preserve">  (10)</w:t>
            </w:r>
          </w:p>
        </w:tc>
      </w:tr>
      <w:tr w:rsidR="00C16005" w:rsidRPr="00C16005" w14:paraId="25695E4E" w14:textId="77777777" w:rsidTr="00C16005">
        <w:trPr>
          <w:gridAfter w:val="10"/>
          <w:trHeight w:val="20"/>
        </w:trPr>
        <w:tc>
          <w:tcPr>
            <w:tcW w:w="0" w:type="auto"/>
            <w:tcBorders>
              <w:top w:val="nil"/>
              <w:left w:val="nil"/>
              <w:bottom w:val="nil"/>
              <w:right w:val="nil"/>
            </w:tcBorders>
          </w:tcPr>
          <w:p w14:paraId="44B174ED"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(1) </w:t>
            </w:r>
            <w:proofErr w:type="spellStart"/>
            <w:r w:rsidRPr="00C16005">
              <w:rPr>
                <w:rFonts w:asciiTheme="minorBidi" w:hAnsiTheme="minorBidi" w:cstheme="minorBidi"/>
              </w:rPr>
              <w:t>logFDI</w:t>
            </w:r>
            <w:proofErr w:type="spellEnd"/>
          </w:p>
        </w:tc>
        <w:tc>
          <w:tcPr>
            <w:tcW w:w="0" w:type="auto"/>
            <w:tcBorders>
              <w:top w:val="nil"/>
              <w:left w:val="nil"/>
              <w:bottom w:val="nil"/>
              <w:right w:val="nil"/>
            </w:tcBorders>
          </w:tcPr>
          <w:p w14:paraId="66DF73C6"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1.000</w:t>
            </w:r>
          </w:p>
        </w:tc>
      </w:tr>
      <w:tr w:rsidR="00C16005" w:rsidRPr="00C16005" w14:paraId="0B541AE1" w14:textId="77777777" w:rsidTr="00C16005">
        <w:trPr>
          <w:gridAfter w:val="9"/>
          <w:trHeight w:val="20"/>
        </w:trPr>
        <w:tc>
          <w:tcPr>
            <w:tcW w:w="0" w:type="auto"/>
            <w:tcBorders>
              <w:top w:val="nil"/>
              <w:left w:val="nil"/>
              <w:bottom w:val="nil"/>
              <w:right w:val="nil"/>
            </w:tcBorders>
          </w:tcPr>
          <w:p w14:paraId="565394FA"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(2) GE</w:t>
            </w:r>
          </w:p>
        </w:tc>
        <w:tc>
          <w:tcPr>
            <w:tcW w:w="0" w:type="auto"/>
            <w:tcBorders>
              <w:top w:val="nil"/>
              <w:left w:val="nil"/>
              <w:bottom w:val="nil"/>
              <w:right w:val="nil"/>
            </w:tcBorders>
          </w:tcPr>
          <w:p w14:paraId="5F870EF7"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0.507</w:t>
            </w:r>
          </w:p>
        </w:tc>
        <w:tc>
          <w:tcPr>
            <w:tcW w:w="0" w:type="auto"/>
            <w:tcBorders>
              <w:top w:val="nil"/>
              <w:left w:val="nil"/>
              <w:bottom w:val="nil"/>
              <w:right w:val="nil"/>
            </w:tcBorders>
          </w:tcPr>
          <w:p w14:paraId="5B55F2E5"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1.000</w:t>
            </w:r>
          </w:p>
        </w:tc>
      </w:tr>
      <w:tr w:rsidR="00C16005" w:rsidRPr="00C16005" w14:paraId="7C3DB02F" w14:textId="77777777" w:rsidTr="00C16005">
        <w:trPr>
          <w:gridAfter w:val="8"/>
          <w:trHeight w:val="20"/>
        </w:trPr>
        <w:tc>
          <w:tcPr>
            <w:tcW w:w="0" w:type="auto"/>
            <w:tcBorders>
              <w:top w:val="nil"/>
              <w:left w:val="nil"/>
              <w:bottom w:val="nil"/>
              <w:right w:val="nil"/>
            </w:tcBorders>
          </w:tcPr>
          <w:p w14:paraId="3497DB7E"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(3) RQ</w:t>
            </w:r>
          </w:p>
        </w:tc>
        <w:tc>
          <w:tcPr>
            <w:tcW w:w="0" w:type="auto"/>
            <w:tcBorders>
              <w:top w:val="nil"/>
              <w:left w:val="nil"/>
              <w:bottom w:val="nil"/>
              <w:right w:val="nil"/>
            </w:tcBorders>
          </w:tcPr>
          <w:p w14:paraId="40CC3BA1"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-0.285</w:t>
            </w:r>
          </w:p>
        </w:tc>
        <w:tc>
          <w:tcPr>
            <w:tcW w:w="0" w:type="auto"/>
            <w:tcBorders>
              <w:top w:val="nil"/>
              <w:left w:val="nil"/>
              <w:bottom w:val="nil"/>
              <w:right w:val="nil"/>
            </w:tcBorders>
          </w:tcPr>
          <w:p w14:paraId="76185492"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0.015</w:t>
            </w:r>
          </w:p>
        </w:tc>
        <w:tc>
          <w:tcPr>
            <w:tcW w:w="0" w:type="auto"/>
            <w:tcBorders>
              <w:top w:val="nil"/>
              <w:left w:val="nil"/>
              <w:bottom w:val="nil"/>
              <w:right w:val="nil"/>
            </w:tcBorders>
          </w:tcPr>
          <w:p w14:paraId="1E715103"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1.000</w:t>
            </w:r>
          </w:p>
        </w:tc>
      </w:tr>
      <w:tr w:rsidR="00C16005" w:rsidRPr="00C16005" w14:paraId="3507FC69" w14:textId="77777777" w:rsidTr="00C16005">
        <w:trPr>
          <w:gridAfter w:val="7"/>
          <w:trHeight w:val="20"/>
        </w:trPr>
        <w:tc>
          <w:tcPr>
            <w:tcW w:w="0" w:type="auto"/>
            <w:tcBorders>
              <w:top w:val="nil"/>
              <w:left w:val="nil"/>
              <w:bottom w:val="nil"/>
              <w:right w:val="nil"/>
            </w:tcBorders>
          </w:tcPr>
          <w:p w14:paraId="659D01F1"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lastRenderedPageBreak/>
              <w:t xml:space="preserve"> (4) CC</w:t>
            </w:r>
          </w:p>
        </w:tc>
        <w:tc>
          <w:tcPr>
            <w:tcW w:w="0" w:type="auto"/>
            <w:tcBorders>
              <w:top w:val="nil"/>
              <w:left w:val="nil"/>
              <w:bottom w:val="nil"/>
              <w:right w:val="nil"/>
            </w:tcBorders>
          </w:tcPr>
          <w:p w14:paraId="536078F4"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-0.228</w:t>
            </w:r>
          </w:p>
        </w:tc>
        <w:tc>
          <w:tcPr>
            <w:tcW w:w="0" w:type="auto"/>
            <w:tcBorders>
              <w:top w:val="nil"/>
              <w:left w:val="nil"/>
              <w:bottom w:val="nil"/>
              <w:right w:val="nil"/>
            </w:tcBorders>
          </w:tcPr>
          <w:p w14:paraId="370D12E4"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0.062</w:t>
            </w:r>
          </w:p>
        </w:tc>
        <w:tc>
          <w:tcPr>
            <w:tcW w:w="0" w:type="auto"/>
            <w:tcBorders>
              <w:top w:val="nil"/>
              <w:left w:val="nil"/>
              <w:bottom w:val="nil"/>
              <w:right w:val="nil"/>
            </w:tcBorders>
          </w:tcPr>
          <w:p w14:paraId="0B9A7E09"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0.239</w:t>
            </w:r>
          </w:p>
        </w:tc>
        <w:tc>
          <w:tcPr>
            <w:tcW w:w="0" w:type="auto"/>
            <w:tcBorders>
              <w:top w:val="nil"/>
              <w:left w:val="nil"/>
              <w:bottom w:val="nil"/>
              <w:right w:val="nil"/>
            </w:tcBorders>
          </w:tcPr>
          <w:p w14:paraId="40E1E481"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1.000</w:t>
            </w:r>
          </w:p>
        </w:tc>
      </w:tr>
      <w:tr w:rsidR="00C16005" w:rsidRPr="00C16005" w14:paraId="394934A2" w14:textId="77777777" w:rsidTr="00C16005">
        <w:trPr>
          <w:gridAfter w:val="6"/>
          <w:trHeight w:val="20"/>
        </w:trPr>
        <w:tc>
          <w:tcPr>
            <w:tcW w:w="0" w:type="auto"/>
            <w:tcBorders>
              <w:top w:val="nil"/>
              <w:left w:val="nil"/>
              <w:bottom w:val="nil"/>
              <w:right w:val="nil"/>
            </w:tcBorders>
          </w:tcPr>
          <w:p w14:paraId="0E6B0FEE"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(5) RL</w:t>
            </w:r>
          </w:p>
        </w:tc>
        <w:tc>
          <w:tcPr>
            <w:tcW w:w="0" w:type="auto"/>
            <w:tcBorders>
              <w:top w:val="nil"/>
              <w:left w:val="nil"/>
              <w:bottom w:val="nil"/>
              <w:right w:val="nil"/>
            </w:tcBorders>
          </w:tcPr>
          <w:p w14:paraId="3C4ED163"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0.070</w:t>
            </w:r>
          </w:p>
        </w:tc>
        <w:tc>
          <w:tcPr>
            <w:tcW w:w="0" w:type="auto"/>
            <w:tcBorders>
              <w:top w:val="nil"/>
              <w:left w:val="nil"/>
              <w:bottom w:val="nil"/>
              <w:right w:val="nil"/>
            </w:tcBorders>
          </w:tcPr>
          <w:p w14:paraId="36C39816"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0.500</w:t>
            </w:r>
          </w:p>
        </w:tc>
        <w:tc>
          <w:tcPr>
            <w:tcW w:w="0" w:type="auto"/>
            <w:tcBorders>
              <w:top w:val="nil"/>
              <w:left w:val="nil"/>
              <w:bottom w:val="nil"/>
              <w:right w:val="nil"/>
            </w:tcBorders>
          </w:tcPr>
          <w:p w14:paraId="08AE44A9"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0.543</w:t>
            </w:r>
          </w:p>
        </w:tc>
        <w:tc>
          <w:tcPr>
            <w:tcW w:w="0" w:type="auto"/>
            <w:tcBorders>
              <w:top w:val="nil"/>
              <w:left w:val="nil"/>
              <w:bottom w:val="nil"/>
              <w:right w:val="nil"/>
            </w:tcBorders>
          </w:tcPr>
          <w:p w14:paraId="208CB182"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0.368</w:t>
            </w:r>
          </w:p>
        </w:tc>
        <w:tc>
          <w:tcPr>
            <w:tcW w:w="0" w:type="auto"/>
            <w:tcBorders>
              <w:top w:val="nil"/>
              <w:left w:val="nil"/>
              <w:bottom w:val="nil"/>
              <w:right w:val="nil"/>
            </w:tcBorders>
          </w:tcPr>
          <w:p w14:paraId="50827ED9"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1.000</w:t>
            </w:r>
          </w:p>
        </w:tc>
      </w:tr>
      <w:tr w:rsidR="00C16005" w:rsidRPr="00C16005" w14:paraId="0518E747" w14:textId="77777777" w:rsidTr="00C16005">
        <w:trPr>
          <w:gridAfter w:val="5"/>
          <w:trHeight w:val="20"/>
        </w:trPr>
        <w:tc>
          <w:tcPr>
            <w:tcW w:w="0" w:type="auto"/>
            <w:tcBorders>
              <w:top w:val="nil"/>
              <w:left w:val="nil"/>
              <w:bottom w:val="nil"/>
              <w:right w:val="nil"/>
            </w:tcBorders>
          </w:tcPr>
          <w:p w14:paraId="4874F09C"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(6) </w:t>
            </w:r>
            <w:proofErr w:type="spellStart"/>
            <w:r w:rsidRPr="00C16005">
              <w:rPr>
                <w:rFonts w:asciiTheme="minorBidi" w:hAnsiTheme="minorBidi" w:cstheme="minorBidi"/>
              </w:rPr>
              <w:t>logMS</w:t>
            </w:r>
            <w:proofErr w:type="spellEnd"/>
          </w:p>
        </w:tc>
        <w:tc>
          <w:tcPr>
            <w:tcW w:w="0" w:type="auto"/>
            <w:tcBorders>
              <w:top w:val="nil"/>
              <w:left w:val="nil"/>
              <w:bottom w:val="nil"/>
              <w:right w:val="nil"/>
            </w:tcBorders>
          </w:tcPr>
          <w:p w14:paraId="493F6EA2"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-0.360</w:t>
            </w:r>
          </w:p>
        </w:tc>
        <w:tc>
          <w:tcPr>
            <w:tcW w:w="0" w:type="auto"/>
            <w:tcBorders>
              <w:top w:val="nil"/>
              <w:left w:val="nil"/>
              <w:bottom w:val="nil"/>
              <w:right w:val="nil"/>
            </w:tcBorders>
          </w:tcPr>
          <w:p w14:paraId="21840E27"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-0.357</w:t>
            </w:r>
          </w:p>
        </w:tc>
        <w:tc>
          <w:tcPr>
            <w:tcW w:w="0" w:type="auto"/>
            <w:tcBorders>
              <w:top w:val="nil"/>
              <w:left w:val="nil"/>
              <w:bottom w:val="nil"/>
              <w:right w:val="nil"/>
            </w:tcBorders>
          </w:tcPr>
          <w:p w14:paraId="621FA4B7"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0.717</w:t>
            </w:r>
          </w:p>
        </w:tc>
        <w:tc>
          <w:tcPr>
            <w:tcW w:w="0" w:type="auto"/>
            <w:tcBorders>
              <w:top w:val="nil"/>
              <w:left w:val="nil"/>
              <w:bottom w:val="nil"/>
              <w:right w:val="nil"/>
            </w:tcBorders>
          </w:tcPr>
          <w:p w14:paraId="72FEE34F"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-0.288</w:t>
            </w:r>
          </w:p>
        </w:tc>
        <w:tc>
          <w:tcPr>
            <w:tcW w:w="0" w:type="auto"/>
            <w:tcBorders>
              <w:top w:val="nil"/>
              <w:left w:val="nil"/>
              <w:bottom w:val="nil"/>
              <w:right w:val="nil"/>
            </w:tcBorders>
          </w:tcPr>
          <w:p w14:paraId="37633DF1"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0.092</w:t>
            </w:r>
          </w:p>
        </w:tc>
        <w:tc>
          <w:tcPr>
            <w:tcW w:w="0" w:type="auto"/>
            <w:tcBorders>
              <w:top w:val="nil"/>
              <w:left w:val="nil"/>
              <w:bottom w:val="nil"/>
              <w:right w:val="nil"/>
            </w:tcBorders>
          </w:tcPr>
          <w:p w14:paraId="754C2448"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1.000</w:t>
            </w:r>
          </w:p>
        </w:tc>
      </w:tr>
      <w:tr w:rsidR="00C16005" w:rsidRPr="00C16005" w14:paraId="1D756FB7" w14:textId="77777777" w:rsidTr="00C16005">
        <w:trPr>
          <w:gridAfter w:val="4"/>
          <w:trHeight w:val="20"/>
        </w:trPr>
        <w:tc>
          <w:tcPr>
            <w:tcW w:w="0" w:type="auto"/>
            <w:tcBorders>
              <w:top w:val="nil"/>
              <w:left w:val="nil"/>
              <w:bottom w:val="nil"/>
              <w:right w:val="nil"/>
            </w:tcBorders>
          </w:tcPr>
          <w:p w14:paraId="276D51DB"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(7) TO</w:t>
            </w:r>
          </w:p>
        </w:tc>
        <w:tc>
          <w:tcPr>
            <w:tcW w:w="0" w:type="auto"/>
            <w:tcBorders>
              <w:top w:val="nil"/>
              <w:left w:val="nil"/>
              <w:bottom w:val="nil"/>
              <w:right w:val="nil"/>
            </w:tcBorders>
          </w:tcPr>
          <w:p w14:paraId="27EA07D7"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0.065</w:t>
            </w:r>
          </w:p>
        </w:tc>
        <w:tc>
          <w:tcPr>
            <w:tcW w:w="0" w:type="auto"/>
            <w:tcBorders>
              <w:top w:val="nil"/>
              <w:left w:val="nil"/>
              <w:bottom w:val="nil"/>
              <w:right w:val="nil"/>
            </w:tcBorders>
          </w:tcPr>
          <w:p w14:paraId="583B8F4E"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0.160</w:t>
            </w:r>
          </w:p>
        </w:tc>
        <w:tc>
          <w:tcPr>
            <w:tcW w:w="0" w:type="auto"/>
            <w:tcBorders>
              <w:top w:val="nil"/>
              <w:left w:val="nil"/>
              <w:bottom w:val="nil"/>
              <w:right w:val="nil"/>
            </w:tcBorders>
          </w:tcPr>
          <w:p w14:paraId="7FF5991F"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-0.083</w:t>
            </w:r>
          </w:p>
        </w:tc>
        <w:tc>
          <w:tcPr>
            <w:tcW w:w="0" w:type="auto"/>
            <w:tcBorders>
              <w:top w:val="nil"/>
              <w:left w:val="nil"/>
              <w:bottom w:val="nil"/>
              <w:right w:val="nil"/>
            </w:tcBorders>
          </w:tcPr>
          <w:p w14:paraId="0C0028C9"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0.666</w:t>
            </w:r>
          </w:p>
        </w:tc>
        <w:tc>
          <w:tcPr>
            <w:tcW w:w="0" w:type="auto"/>
            <w:tcBorders>
              <w:top w:val="nil"/>
              <w:left w:val="nil"/>
              <w:bottom w:val="nil"/>
              <w:right w:val="nil"/>
            </w:tcBorders>
          </w:tcPr>
          <w:p w14:paraId="7D29577F"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0.385</w:t>
            </w:r>
          </w:p>
        </w:tc>
        <w:tc>
          <w:tcPr>
            <w:tcW w:w="0" w:type="auto"/>
            <w:tcBorders>
              <w:top w:val="nil"/>
              <w:left w:val="nil"/>
              <w:bottom w:val="nil"/>
              <w:right w:val="nil"/>
            </w:tcBorders>
          </w:tcPr>
          <w:p w14:paraId="360E90FC"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-0.551</w:t>
            </w:r>
          </w:p>
        </w:tc>
        <w:tc>
          <w:tcPr>
            <w:tcW w:w="0" w:type="auto"/>
            <w:tcBorders>
              <w:top w:val="nil"/>
              <w:left w:val="nil"/>
              <w:bottom w:val="nil"/>
              <w:right w:val="nil"/>
            </w:tcBorders>
          </w:tcPr>
          <w:p w14:paraId="67DCD21C"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1.000</w:t>
            </w:r>
          </w:p>
        </w:tc>
      </w:tr>
      <w:tr w:rsidR="00C16005" w:rsidRPr="00C16005" w14:paraId="0EFCAC2D" w14:textId="77777777" w:rsidTr="00C16005">
        <w:trPr>
          <w:gridAfter w:val="3"/>
          <w:trHeight w:val="255"/>
        </w:trPr>
        <w:tc>
          <w:tcPr>
            <w:tcW w:w="0" w:type="auto"/>
            <w:tcBorders>
              <w:top w:val="nil"/>
              <w:left w:val="nil"/>
              <w:bottom w:val="nil"/>
              <w:right w:val="nil"/>
            </w:tcBorders>
          </w:tcPr>
          <w:p w14:paraId="3D4B7667"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(8) </w:t>
            </w:r>
            <w:proofErr w:type="spellStart"/>
            <w:r w:rsidRPr="00C16005">
              <w:rPr>
                <w:rFonts w:asciiTheme="minorBidi" w:hAnsiTheme="minorBidi" w:cstheme="minorBidi"/>
              </w:rPr>
              <w:t>Infl</w:t>
            </w:r>
            <w:proofErr w:type="spellEnd"/>
          </w:p>
        </w:tc>
        <w:tc>
          <w:tcPr>
            <w:tcW w:w="0" w:type="auto"/>
            <w:tcBorders>
              <w:top w:val="nil"/>
              <w:left w:val="nil"/>
              <w:bottom w:val="nil"/>
              <w:right w:val="nil"/>
            </w:tcBorders>
          </w:tcPr>
          <w:p w14:paraId="130A2CBB"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0.247</w:t>
            </w:r>
          </w:p>
        </w:tc>
        <w:tc>
          <w:tcPr>
            <w:tcW w:w="0" w:type="auto"/>
            <w:tcBorders>
              <w:top w:val="nil"/>
              <w:left w:val="nil"/>
              <w:bottom w:val="nil"/>
              <w:right w:val="nil"/>
            </w:tcBorders>
          </w:tcPr>
          <w:p w14:paraId="0862B736"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0.230</w:t>
            </w:r>
          </w:p>
        </w:tc>
        <w:tc>
          <w:tcPr>
            <w:tcW w:w="0" w:type="auto"/>
            <w:tcBorders>
              <w:top w:val="nil"/>
              <w:left w:val="nil"/>
              <w:bottom w:val="nil"/>
              <w:right w:val="nil"/>
            </w:tcBorders>
          </w:tcPr>
          <w:p w14:paraId="4E1B4BB6"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-0.384</w:t>
            </w:r>
          </w:p>
        </w:tc>
        <w:tc>
          <w:tcPr>
            <w:tcW w:w="0" w:type="auto"/>
            <w:tcBorders>
              <w:top w:val="nil"/>
              <w:left w:val="nil"/>
              <w:bottom w:val="nil"/>
              <w:right w:val="nil"/>
            </w:tcBorders>
          </w:tcPr>
          <w:p w14:paraId="08346EB2"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-0.096</w:t>
            </w:r>
          </w:p>
        </w:tc>
        <w:tc>
          <w:tcPr>
            <w:tcW w:w="0" w:type="auto"/>
            <w:tcBorders>
              <w:top w:val="nil"/>
              <w:left w:val="nil"/>
              <w:bottom w:val="nil"/>
              <w:right w:val="nil"/>
            </w:tcBorders>
          </w:tcPr>
          <w:p w14:paraId="5E875384"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-0.289</w:t>
            </w:r>
          </w:p>
        </w:tc>
        <w:tc>
          <w:tcPr>
            <w:tcW w:w="0" w:type="auto"/>
            <w:tcBorders>
              <w:top w:val="nil"/>
              <w:left w:val="nil"/>
              <w:bottom w:val="nil"/>
              <w:right w:val="nil"/>
            </w:tcBorders>
          </w:tcPr>
          <w:p w14:paraId="089BD948"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-0.374</w:t>
            </w:r>
          </w:p>
        </w:tc>
        <w:tc>
          <w:tcPr>
            <w:tcW w:w="0" w:type="auto"/>
            <w:tcBorders>
              <w:top w:val="nil"/>
              <w:left w:val="nil"/>
              <w:bottom w:val="nil"/>
              <w:right w:val="nil"/>
            </w:tcBorders>
          </w:tcPr>
          <w:p w14:paraId="5DEB48F7"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0.115</w:t>
            </w:r>
          </w:p>
        </w:tc>
        <w:tc>
          <w:tcPr>
            <w:tcW w:w="0" w:type="auto"/>
            <w:tcBorders>
              <w:top w:val="nil"/>
              <w:left w:val="nil"/>
              <w:bottom w:val="nil"/>
              <w:right w:val="nil"/>
            </w:tcBorders>
          </w:tcPr>
          <w:p w14:paraId="265B1335"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1.000</w:t>
            </w:r>
          </w:p>
        </w:tc>
      </w:tr>
      <w:tr w:rsidR="00C16005" w:rsidRPr="00C16005" w14:paraId="228B6DD6" w14:textId="77777777" w:rsidTr="00C16005">
        <w:trPr>
          <w:gridAfter w:val="1"/>
          <w:trHeight w:val="20"/>
        </w:trPr>
        <w:tc>
          <w:tcPr>
            <w:tcW w:w="0" w:type="auto"/>
            <w:tcBorders>
              <w:top w:val="nil"/>
              <w:left w:val="nil"/>
              <w:bottom w:val="nil"/>
              <w:right w:val="nil"/>
            </w:tcBorders>
          </w:tcPr>
          <w:p w14:paraId="0E65FE9C"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(9) ER</w:t>
            </w:r>
          </w:p>
        </w:tc>
        <w:tc>
          <w:tcPr>
            <w:tcW w:w="0" w:type="auto"/>
            <w:tcBorders>
              <w:top w:val="nil"/>
              <w:left w:val="nil"/>
              <w:bottom w:val="nil"/>
              <w:right w:val="nil"/>
            </w:tcBorders>
          </w:tcPr>
          <w:p w14:paraId="79E56C5A"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-0.562</w:t>
            </w:r>
          </w:p>
        </w:tc>
        <w:tc>
          <w:tcPr>
            <w:tcW w:w="0" w:type="auto"/>
            <w:tcBorders>
              <w:top w:val="nil"/>
              <w:left w:val="nil"/>
              <w:bottom w:val="nil"/>
              <w:right w:val="nil"/>
            </w:tcBorders>
          </w:tcPr>
          <w:p w14:paraId="717AB60C"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-0.427</w:t>
            </w:r>
          </w:p>
        </w:tc>
        <w:tc>
          <w:tcPr>
            <w:tcW w:w="0" w:type="auto"/>
            <w:tcBorders>
              <w:top w:val="nil"/>
              <w:left w:val="nil"/>
              <w:bottom w:val="nil"/>
              <w:right w:val="nil"/>
            </w:tcBorders>
          </w:tcPr>
          <w:p w14:paraId="0BA6E638"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0.550</w:t>
            </w:r>
          </w:p>
        </w:tc>
        <w:tc>
          <w:tcPr>
            <w:tcW w:w="0" w:type="auto"/>
            <w:tcBorders>
              <w:top w:val="nil"/>
              <w:left w:val="nil"/>
              <w:bottom w:val="nil"/>
              <w:right w:val="nil"/>
            </w:tcBorders>
          </w:tcPr>
          <w:p w14:paraId="1CDAAF90"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0.346</w:t>
            </w:r>
          </w:p>
        </w:tc>
        <w:tc>
          <w:tcPr>
            <w:tcW w:w="0" w:type="auto"/>
            <w:tcBorders>
              <w:top w:val="nil"/>
              <w:left w:val="nil"/>
              <w:bottom w:val="nil"/>
              <w:right w:val="nil"/>
            </w:tcBorders>
          </w:tcPr>
          <w:p w14:paraId="0C8DEA27"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0.044</w:t>
            </w:r>
          </w:p>
        </w:tc>
        <w:tc>
          <w:tcPr>
            <w:tcW w:w="0" w:type="auto"/>
            <w:tcBorders>
              <w:top w:val="nil"/>
              <w:left w:val="nil"/>
              <w:bottom w:val="nil"/>
              <w:right w:val="nil"/>
            </w:tcBorders>
          </w:tcPr>
          <w:p w14:paraId="3B5C8E8B"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0.492</w:t>
            </w:r>
          </w:p>
        </w:tc>
        <w:tc>
          <w:tcPr>
            <w:tcW w:w="0" w:type="auto"/>
            <w:tcBorders>
              <w:top w:val="nil"/>
              <w:left w:val="nil"/>
              <w:bottom w:val="nil"/>
              <w:right w:val="nil"/>
            </w:tcBorders>
          </w:tcPr>
          <w:p w14:paraId="68D5430F"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-0.131</w:t>
            </w:r>
          </w:p>
        </w:tc>
        <w:tc>
          <w:tcPr>
            <w:tcW w:w="0" w:type="auto"/>
            <w:tcBorders>
              <w:top w:val="nil"/>
              <w:left w:val="nil"/>
              <w:bottom w:val="nil"/>
              <w:right w:val="nil"/>
            </w:tcBorders>
          </w:tcPr>
          <w:p w14:paraId="587A8B1D"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-0.366</w:t>
            </w:r>
          </w:p>
        </w:tc>
        <w:tc>
          <w:tcPr>
            <w:tcW w:w="0" w:type="auto"/>
            <w:gridSpan w:val="2"/>
            <w:tcBorders>
              <w:top w:val="nil"/>
              <w:left w:val="nil"/>
              <w:bottom w:val="nil"/>
              <w:right w:val="nil"/>
            </w:tcBorders>
          </w:tcPr>
          <w:p w14:paraId="7037AA41"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1.000</w:t>
            </w:r>
          </w:p>
        </w:tc>
      </w:tr>
      <w:tr w:rsidR="00C16005" w:rsidRPr="00C16005" w14:paraId="6E20E97C" w14:textId="77777777" w:rsidTr="00C16005">
        <w:trPr>
          <w:trHeight w:val="20"/>
        </w:trPr>
        <w:tc>
          <w:tcPr>
            <w:tcW w:w="0" w:type="auto"/>
            <w:tcBorders>
              <w:top w:val="nil"/>
              <w:left w:val="nil"/>
              <w:bottom w:val="nil"/>
              <w:right w:val="nil"/>
            </w:tcBorders>
          </w:tcPr>
          <w:p w14:paraId="5A0165B6" w14:textId="77777777" w:rsidR="00C16005" w:rsidRPr="00C16005" w:rsidRDefault="00C16005" w:rsidP="00C16005">
            <w:pPr>
              <w:widowControl w:val="0"/>
              <w:autoSpaceDE w:val="0"/>
              <w:autoSpaceDN w:val="0"/>
              <w:adjustRightInd w:val="0"/>
              <w:spacing w:after="240"/>
              <w:rPr>
                <w:rFonts w:asciiTheme="minorBidi" w:hAnsiTheme="minorBidi" w:cstheme="minorBidi"/>
              </w:rPr>
            </w:pPr>
            <w:r w:rsidRPr="00C16005">
              <w:rPr>
                <w:rFonts w:asciiTheme="minorBidi" w:hAnsiTheme="minorBidi" w:cstheme="minorBidi"/>
              </w:rPr>
              <w:t xml:space="preserve"> (10) </w:t>
            </w:r>
            <w:proofErr w:type="spellStart"/>
            <w:r w:rsidRPr="00C16005">
              <w:rPr>
                <w:rFonts w:asciiTheme="minorBidi" w:hAnsiTheme="minorBidi" w:cstheme="minorBidi"/>
              </w:rPr>
              <w:t>Infr</w:t>
            </w:r>
            <w:proofErr w:type="spellEnd"/>
          </w:p>
        </w:tc>
        <w:tc>
          <w:tcPr>
            <w:tcW w:w="0" w:type="auto"/>
            <w:tcBorders>
              <w:top w:val="nil"/>
              <w:left w:val="nil"/>
              <w:bottom w:val="nil"/>
              <w:right w:val="nil"/>
            </w:tcBorders>
          </w:tcPr>
          <w:p w14:paraId="02A7CF16"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-0.478</w:t>
            </w:r>
          </w:p>
        </w:tc>
        <w:tc>
          <w:tcPr>
            <w:tcW w:w="0" w:type="auto"/>
            <w:tcBorders>
              <w:top w:val="nil"/>
              <w:left w:val="nil"/>
              <w:bottom w:val="nil"/>
              <w:right w:val="nil"/>
            </w:tcBorders>
          </w:tcPr>
          <w:p w14:paraId="7AC03BE8"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-0.394</w:t>
            </w:r>
          </w:p>
        </w:tc>
        <w:tc>
          <w:tcPr>
            <w:tcW w:w="0" w:type="auto"/>
            <w:tcBorders>
              <w:top w:val="nil"/>
              <w:left w:val="nil"/>
              <w:bottom w:val="nil"/>
              <w:right w:val="nil"/>
            </w:tcBorders>
          </w:tcPr>
          <w:p w14:paraId="3BC726F9"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0.755</w:t>
            </w:r>
          </w:p>
        </w:tc>
        <w:tc>
          <w:tcPr>
            <w:tcW w:w="0" w:type="auto"/>
            <w:tcBorders>
              <w:top w:val="nil"/>
              <w:left w:val="nil"/>
              <w:bottom w:val="nil"/>
              <w:right w:val="nil"/>
            </w:tcBorders>
          </w:tcPr>
          <w:p w14:paraId="622EFA64"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-0.129</w:t>
            </w:r>
          </w:p>
        </w:tc>
        <w:tc>
          <w:tcPr>
            <w:tcW w:w="0" w:type="auto"/>
            <w:tcBorders>
              <w:top w:val="nil"/>
              <w:left w:val="nil"/>
              <w:bottom w:val="nil"/>
              <w:right w:val="nil"/>
            </w:tcBorders>
          </w:tcPr>
          <w:p w14:paraId="3F48C9A9"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0.178</w:t>
            </w:r>
          </w:p>
        </w:tc>
        <w:tc>
          <w:tcPr>
            <w:tcW w:w="0" w:type="auto"/>
            <w:tcBorders>
              <w:top w:val="nil"/>
              <w:left w:val="nil"/>
              <w:bottom w:val="nil"/>
              <w:right w:val="nil"/>
            </w:tcBorders>
          </w:tcPr>
          <w:p w14:paraId="666D317B"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0.954</w:t>
            </w:r>
          </w:p>
        </w:tc>
        <w:tc>
          <w:tcPr>
            <w:tcW w:w="0" w:type="auto"/>
            <w:tcBorders>
              <w:top w:val="nil"/>
              <w:left w:val="nil"/>
              <w:bottom w:val="nil"/>
              <w:right w:val="nil"/>
            </w:tcBorders>
          </w:tcPr>
          <w:p w14:paraId="06103AC4"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-0.429</w:t>
            </w:r>
          </w:p>
        </w:tc>
        <w:tc>
          <w:tcPr>
            <w:tcW w:w="0" w:type="auto"/>
            <w:tcBorders>
              <w:top w:val="nil"/>
              <w:left w:val="nil"/>
              <w:bottom w:val="nil"/>
              <w:right w:val="nil"/>
            </w:tcBorders>
          </w:tcPr>
          <w:p w14:paraId="37AB2714"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-0.504</w:t>
            </w:r>
          </w:p>
        </w:tc>
        <w:tc>
          <w:tcPr>
            <w:tcW w:w="0" w:type="auto"/>
            <w:gridSpan w:val="2"/>
            <w:tcBorders>
              <w:top w:val="nil"/>
              <w:left w:val="nil"/>
              <w:bottom w:val="nil"/>
              <w:right w:val="nil"/>
            </w:tcBorders>
          </w:tcPr>
          <w:p w14:paraId="3C06F4BF"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0.665</w:t>
            </w:r>
          </w:p>
        </w:tc>
        <w:tc>
          <w:tcPr>
            <w:tcW w:w="0" w:type="auto"/>
            <w:tcBorders>
              <w:top w:val="nil"/>
              <w:left w:val="nil"/>
              <w:bottom w:val="nil"/>
              <w:right w:val="nil"/>
            </w:tcBorders>
          </w:tcPr>
          <w:p w14:paraId="71E80BFD"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1.000</w:t>
            </w:r>
          </w:p>
        </w:tc>
      </w:tr>
      <w:tr w:rsidR="00C16005" w:rsidRPr="00C16005" w14:paraId="3EC90F2C" w14:textId="77777777" w:rsidTr="00C16005">
        <w:trPr>
          <w:gridAfter w:val="2"/>
          <w:trHeight w:val="20"/>
        </w:trPr>
        <w:tc>
          <w:tcPr>
            <w:tcW w:w="0" w:type="auto"/>
            <w:gridSpan w:val="10"/>
            <w:tcBorders>
              <w:top w:val="single" w:sz="6" w:space="0" w:color="auto"/>
              <w:left w:val="nil"/>
              <w:bottom w:val="nil"/>
              <w:right w:val="nil"/>
            </w:tcBorders>
          </w:tcPr>
          <w:p w14:paraId="7FAA2E8F" w14:textId="27371414" w:rsidR="00C16005" w:rsidRPr="00C16005" w:rsidRDefault="00C16005" w:rsidP="00C16005">
            <w:pPr>
              <w:widowControl w:val="0"/>
              <w:autoSpaceDE w:val="0"/>
              <w:autoSpaceDN w:val="0"/>
              <w:adjustRightInd w:val="0"/>
              <w:spacing w:after="240"/>
              <w:rPr>
                <w:rFonts w:asciiTheme="minorBidi" w:hAnsiTheme="minorBidi" w:cstheme="minorBidi"/>
              </w:rPr>
            </w:pPr>
            <w:r w:rsidRPr="00C16005">
              <w:rPr>
                <w:rFonts w:asciiTheme="minorBidi" w:hAnsiTheme="minorBidi" w:cstheme="minorBidi"/>
                <w:i/>
                <w:iCs/>
              </w:rPr>
              <w:t>Source: Compiled by Authors</w:t>
            </w:r>
            <w:r w:rsidR="00986B1D">
              <w:rPr>
                <w:rFonts w:asciiTheme="minorBidi" w:hAnsiTheme="minorBidi" w:cstheme="minorBidi"/>
                <w:i/>
                <w:iCs/>
              </w:rPr>
              <w:t>, 2024</w:t>
            </w:r>
          </w:p>
        </w:tc>
      </w:tr>
    </w:tbl>
    <w:p w14:paraId="4257E220" w14:textId="238B1760" w:rsidR="000646AD" w:rsidRPr="00C16005" w:rsidRDefault="000646AD" w:rsidP="000646AD">
      <w:pPr>
        <w:pStyle w:val="Body"/>
        <w:rPr>
          <w:rFonts w:ascii="Arial" w:hAnsi="Arial" w:cs="Arial"/>
          <w:b/>
          <w:bCs/>
        </w:rPr>
      </w:pPr>
      <w:r w:rsidRPr="00C16005">
        <w:rPr>
          <w:rFonts w:ascii="Arial" w:hAnsi="Arial" w:cs="Arial"/>
          <w:b/>
          <w:bCs/>
        </w:rPr>
        <w:t>Augmented Dickey-Fuller Unit-root Test</w:t>
      </w:r>
    </w:p>
    <w:p w14:paraId="408AC8FB" w14:textId="204CD273" w:rsidR="000646AD" w:rsidRDefault="000646AD" w:rsidP="000646AD">
      <w:pPr>
        <w:pStyle w:val="Body"/>
        <w:rPr>
          <w:rFonts w:ascii="Arial" w:hAnsi="Arial" w:cs="Arial"/>
        </w:rPr>
      </w:pPr>
      <w:r w:rsidRPr="000646AD">
        <w:rPr>
          <w:rFonts w:ascii="Arial" w:hAnsi="Arial" w:cs="Arial"/>
        </w:rPr>
        <w:t xml:space="preserve">The result of the ADF unit-root test in Table 4 shows the stationarity of the variables at the level and first difference. At this level, only three macroeconomic variables, namely market size, trade openness, and inflation are stationary, from which market size is not stationary at the first difference. On the other side, at the first difference, </w:t>
      </w:r>
      <w:r w:rsidR="00CC6C93">
        <w:rPr>
          <w:rFonts w:ascii="Arial" w:hAnsi="Arial" w:cs="Arial"/>
        </w:rPr>
        <w:t>most</w:t>
      </w:r>
      <w:r w:rsidRPr="000646AD">
        <w:rPr>
          <w:rFonts w:ascii="Arial" w:hAnsi="Arial" w:cs="Arial"/>
        </w:rPr>
        <w:t xml:space="preserve"> variables are stationary at a 1% significant level, while infrastructure and exchange rate are stationary at 5% and 10% significant levels, respectively.</w:t>
      </w:r>
    </w:p>
    <w:p w14:paraId="53D7446C" w14:textId="473C4D3C" w:rsidR="00C16005" w:rsidRPr="00C16005" w:rsidRDefault="00C16005" w:rsidP="001B658D">
      <w:pPr>
        <w:widowControl w:val="0"/>
        <w:autoSpaceDE w:val="0"/>
        <w:autoSpaceDN w:val="0"/>
        <w:adjustRightInd w:val="0"/>
        <w:spacing w:before="240"/>
        <w:jc w:val="center"/>
        <w:rPr>
          <w:rFonts w:asciiTheme="minorBidi" w:hAnsiTheme="minorBidi" w:cstheme="minorBidi"/>
          <w:b/>
          <w:bCs/>
        </w:rPr>
      </w:pPr>
      <w:r w:rsidRPr="00C16005">
        <w:rPr>
          <w:rFonts w:asciiTheme="minorBidi" w:hAnsiTheme="minorBidi" w:cstheme="minorBidi"/>
          <w:b/>
          <w:bCs/>
        </w:rPr>
        <w:t>Table 4</w:t>
      </w:r>
      <w:r w:rsidR="001B658D">
        <w:rPr>
          <w:rFonts w:asciiTheme="minorBidi" w:hAnsiTheme="minorBidi" w:cstheme="minorBidi"/>
          <w:b/>
          <w:bCs/>
        </w:rPr>
        <w:t xml:space="preserve">: </w:t>
      </w:r>
      <w:r w:rsidRPr="00C16005">
        <w:rPr>
          <w:rFonts w:asciiTheme="minorBidi" w:hAnsiTheme="minorBidi" w:cstheme="minorBidi"/>
          <w:b/>
          <w:bCs/>
        </w:rPr>
        <w:t>Augmented Dickey-Fuller unit root test</w:t>
      </w:r>
    </w:p>
    <w:tbl>
      <w:tblPr>
        <w:tblStyle w:val="TableGrid"/>
        <w:tblpPr w:leftFromText="180" w:rightFromText="180" w:vertAnchor="text" w:tblpY="1"/>
        <w:tblW w:w="4936"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06"/>
        <w:gridCol w:w="298"/>
        <w:gridCol w:w="1186"/>
        <w:gridCol w:w="311"/>
        <w:gridCol w:w="1804"/>
        <w:gridCol w:w="11"/>
        <w:gridCol w:w="1483"/>
        <w:gridCol w:w="1804"/>
      </w:tblGrid>
      <w:tr w:rsidR="00C16005" w:rsidRPr="00C16005" w14:paraId="110EBE7C" w14:textId="77777777" w:rsidTr="002A3B27">
        <w:trPr>
          <w:trHeight w:val="253"/>
        </w:trPr>
        <w:tc>
          <w:tcPr>
            <w:tcW w:w="928" w:type="pct"/>
            <w:gridSpan w:val="2"/>
            <w:vMerge w:val="restart"/>
            <w:tcBorders>
              <w:top w:val="single" w:sz="4" w:space="0" w:color="auto"/>
              <w:bottom w:val="single" w:sz="4" w:space="0" w:color="auto"/>
            </w:tcBorders>
            <w:vAlign w:val="center"/>
          </w:tcPr>
          <w:p w14:paraId="0468BAAE" w14:textId="77777777" w:rsidR="00C16005" w:rsidRPr="00C16005" w:rsidRDefault="00C16005" w:rsidP="00C16005">
            <w:pPr>
              <w:widowControl w:val="0"/>
              <w:autoSpaceDE w:val="0"/>
              <w:autoSpaceDN w:val="0"/>
              <w:adjustRightInd w:val="0"/>
              <w:rPr>
                <w:rFonts w:asciiTheme="minorBidi" w:hAnsiTheme="minorBidi" w:cstheme="minorBidi"/>
                <w:b/>
                <w:bCs/>
                <w:sz w:val="20"/>
                <w:szCs w:val="20"/>
              </w:rPr>
            </w:pPr>
            <w:r w:rsidRPr="00C16005">
              <w:rPr>
                <w:rFonts w:asciiTheme="minorBidi" w:hAnsiTheme="minorBidi" w:cstheme="minorBidi"/>
                <w:b/>
                <w:bCs/>
                <w:sz w:val="20"/>
                <w:szCs w:val="20"/>
              </w:rPr>
              <w:t>Variable</w:t>
            </w:r>
          </w:p>
        </w:tc>
        <w:tc>
          <w:tcPr>
            <w:tcW w:w="2044" w:type="pct"/>
            <w:gridSpan w:val="4"/>
            <w:tcBorders>
              <w:top w:val="single" w:sz="4" w:space="0" w:color="auto"/>
              <w:bottom w:val="single" w:sz="4" w:space="0" w:color="auto"/>
            </w:tcBorders>
          </w:tcPr>
          <w:p w14:paraId="40CE57B6" w14:textId="77777777" w:rsidR="00C16005" w:rsidRPr="00C16005" w:rsidRDefault="00C16005" w:rsidP="00C16005">
            <w:pPr>
              <w:widowControl w:val="0"/>
              <w:autoSpaceDE w:val="0"/>
              <w:autoSpaceDN w:val="0"/>
              <w:adjustRightInd w:val="0"/>
              <w:jc w:val="center"/>
              <w:rPr>
                <w:rFonts w:asciiTheme="minorBidi" w:hAnsiTheme="minorBidi" w:cstheme="minorBidi"/>
                <w:b/>
                <w:bCs/>
                <w:sz w:val="20"/>
                <w:szCs w:val="20"/>
              </w:rPr>
            </w:pPr>
            <w:r w:rsidRPr="00C16005">
              <w:rPr>
                <w:rFonts w:asciiTheme="minorBidi" w:hAnsiTheme="minorBidi" w:cstheme="minorBidi"/>
                <w:b/>
                <w:bCs/>
                <w:sz w:val="20"/>
                <w:szCs w:val="20"/>
              </w:rPr>
              <w:t>At level</w:t>
            </w:r>
          </w:p>
        </w:tc>
        <w:tc>
          <w:tcPr>
            <w:tcW w:w="2028" w:type="pct"/>
            <w:gridSpan w:val="2"/>
            <w:tcBorders>
              <w:top w:val="single" w:sz="4" w:space="0" w:color="auto"/>
              <w:bottom w:val="single" w:sz="4" w:space="0" w:color="auto"/>
            </w:tcBorders>
          </w:tcPr>
          <w:p w14:paraId="4707CB4A" w14:textId="77777777" w:rsidR="00C16005" w:rsidRPr="00C16005" w:rsidRDefault="00C16005" w:rsidP="00C16005">
            <w:pPr>
              <w:jc w:val="center"/>
              <w:rPr>
                <w:rFonts w:asciiTheme="minorBidi" w:hAnsiTheme="minorBidi" w:cstheme="minorBidi"/>
                <w:b/>
                <w:bCs/>
                <w:sz w:val="20"/>
                <w:szCs w:val="20"/>
              </w:rPr>
            </w:pPr>
            <w:r w:rsidRPr="00C16005">
              <w:rPr>
                <w:rFonts w:asciiTheme="minorBidi" w:hAnsiTheme="minorBidi" w:cstheme="minorBidi"/>
                <w:b/>
                <w:bCs/>
                <w:sz w:val="20"/>
                <w:szCs w:val="20"/>
              </w:rPr>
              <w:t>At first difference</w:t>
            </w:r>
          </w:p>
        </w:tc>
      </w:tr>
      <w:tr w:rsidR="00C16005" w:rsidRPr="00C16005" w14:paraId="39B60025" w14:textId="77777777" w:rsidTr="002A3B27">
        <w:trPr>
          <w:trHeight w:val="270"/>
        </w:trPr>
        <w:tc>
          <w:tcPr>
            <w:tcW w:w="928" w:type="pct"/>
            <w:gridSpan w:val="2"/>
            <w:vMerge/>
            <w:tcBorders>
              <w:top w:val="single" w:sz="4" w:space="0" w:color="auto"/>
            </w:tcBorders>
          </w:tcPr>
          <w:p w14:paraId="7DAE6466" w14:textId="77777777" w:rsidR="00C16005" w:rsidRPr="00C16005" w:rsidRDefault="00C16005" w:rsidP="00C16005">
            <w:pPr>
              <w:widowControl w:val="0"/>
              <w:autoSpaceDE w:val="0"/>
              <w:autoSpaceDN w:val="0"/>
              <w:adjustRightInd w:val="0"/>
              <w:jc w:val="center"/>
              <w:rPr>
                <w:rFonts w:asciiTheme="minorBidi" w:hAnsiTheme="minorBidi" w:cstheme="minorBidi"/>
                <w:b/>
                <w:bCs/>
                <w:sz w:val="20"/>
                <w:szCs w:val="20"/>
              </w:rPr>
            </w:pPr>
          </w:p>
        </w:tc>
        <w:tc>
          <w:tcPr>
            <w:tcW w:w="924" w:type="pct"/>
            <w:gridSpan w:val="2"/>
            <w:tcBorders>
              <w:top w:val="single" w:sz="4" w:space="0" w:color="auto"/>
              <w:bottom w:val="single" w:sz="4" w:space="0" w:color="auto"/>
            </w:tcBorders>
          </w:tcPr>
          <w:p w14:paraId="264E9697" w14:textId="77777777" w:rsidR="00C16005" w:rsidRPr="00C16005" w:rsidRDefault="00C16005" w:rsidP="00C16005">
            <w:pPr>
              <w:widowControl w:val="0"/>
              <w:autoSpaceDE w:val="0"/>
              <w:autoSpaceDN w:val="0"/>
              <w:adjustRightInd w:val="0"/>
              <w:jc w:val="center"/>
              <w:rPr>
                <w:rFonts w:asciiTheme="minorBidi" w:hAnsiTheme="minorBidi" w:cstheme="minorBidi"/>
                <w:b/>
                <w:bCs/>
                <w:sz w:val="20"/>
                <w:szCs w:val="20"/>
              </w:rPr>
            </w:pPr>
            <w:r w:rsidRPr="00C16005">
              <w:rPr>
                <w:rFonts w:asciiTheme="minorBidi" w:hAnsiTheme="minorBidi" w:cstheme="minorBidi"/>
                <w:b/>
                <w:bCs/>
                <w:sz w:val="20"/>
                <w:szCs w:val="20"/>
              </w:rPr>
              <w:t>Statistics</w:t>
            </w:r>
          </w:p>
        </w:tc>
        <w:tc>
          <w:tcPr>
            <w:tcW w:w="1113" w:type="pct"/>
            <w:tcBorders>
              <w:top w:val="single" w:sz="4" w:space="0" w:color="auto"/>
              <w:bottom w:val="single" w:sz="4" w:space="0" w:color="auto"/>
            </w:tcBorders>
          </w:tcPr>
          <w:p w14:paraId="2FF3EA4F" w14:textId="77777777" w:rsidR="00C16005" w:rsidRPr="00C16005" w:rsidRDefault="00C16005" w:rsidP="00C16005">
            <w:pPr>
              <w:widowControl w:val="0"/>
              <w:autoSpaceDE w:val="0"/>
              <w:autoSpaceDN w:val="0"/>
              <w:adjustRightInd w:val="0"/>
              <w:jc w:val="center"/>
              <w:rPr>
                <w:rFonts w:asciiTheme="minorBidi" w:hAnsiTheme="minorBidi" w:cstheme="minorBidi"/>
                <w:b/>
                <w:bCs/>
                <w:sz w:val="20"/>
                <w:szCs w:val="20"/>
              </w:rPr>
            </w:pPr>
            <w:r w:rsidRPr="00C16005">
              <w:rPr>
                <w:rFonts w:asciiTheme="minorBidi" w:hAnsiTheme="minorBidi" w:cstheme="minorBidi"/>
                <w:b/>
                <w:bCs/>
                <w:sz w:val="20"/>
                <w:szCs w:val="20"/>
              </w:rPr>
              <w:t>Probability</w:t>
            </w:r>
          </w:p>
        </w:tc>
        <w:tc>
          <w:tcPr>
            <w:tcW w:w="922" w:type="pct"/>
            <w:gridSpan w:val="2"/>
            <w:tcBorders>
              <w:top w:val="single" w:sz="4" w:space="0" w:color="auto"/>
              <w:bottom w:val="single" w:sz="4" w:space="0" w:color="auto"/>
            </w:tcBorders>
          </w:tcPr>
          <w:p w14:paraId="3B70AF2B" w14:textId="77777777" w:rsidR="00C16005" w:rsidRPr="00C16005" w:rsidRDefault="00C16005" w:rsidP="00C16005">
            <w:pPr>
              <w:widowControl w:val="0"/>
              <w:autoSpaceDE w:val="0"/>
              <w:autoSpaceDN w:val="0"/>
              <w:adjustRightInd w:val="0"/>
              <w:jc w:val="center"/>
              <w:rPr>
                <w:rFonts w:asciiTheme="minorBidi" w:hAnsiTheme="minorBidi" w:cstheme="minorBidi"/>
                <w:b/>
                <w:bCs/>
                <w:sz w:val="20"/>
                <w:szCs w:val="20"/>
              </w:rPr>
            </w:pPr>
            <w:r w:rsidRPr="00C16005">
              <w:rPr>
                <w:rFonts w:asciiTheme="minorBidi" w:hAnsiTheme="minorBidi" w:cstheme="minorBidi"/>
                <w:b/>
                <w:bCs/>
                <w:sz w:val="20"/>
                <w:szCs w:val="20"/>
              </w:rPr>
              <w:t>Statistics</w:t>
            </w:r>
          </w:p>
        </w:tc>
        <w:tc>
          <w:tcPr>
            <w:tcW w:w="1113" w:type="pct"/>
            <w:tcBorders>
              <w:top w:val="single" w:sz="4" w:space="0" w:color="auto"/>
              <w:bottom w:val="single" w:sz="4" w:space="0" w:color="auto"/>
            </w:tcBorders>
          </w:tcPr>
          <w:p w14:paraId="6CFCCF9F" w14:textId="77777777" w:rsidR="00C16005" w:rsidRPr="00C16005" w:rsidRDefault="00C16005" w:rsidP="00C16005">
            <w:pPr>
              <w:widowControl w:val="0"/>
              <w:autoSpaceDE w:val="0"/>
              <w:autoSpaceDN w:val="0"/>
              <w:adjustRightInd w:val="0"/>
              <w:jc w:val="center"/>
              <w:rPr>
                <w:rFonts w:asciiTheme="minorBidi" w:hAnsiTheme="minorBidi" w:cstheme="minorBidi"/>
                <w:b/>
                <w:bCs/>
                <w:sz w:val="20"/>
                <w:szCs w:val="20"/>
              </w:rPr>
            </w:pPr>
            <w:r w:rsidRPr="00C16005">
              <w:rPr>
                <w:rFonts w:asciiTheme="minorBidi" w:hAnsiTheme="minorBidi" w:cstheme="minorBidi"/>
                <w:b/>
                <w:bCs/>
                <w:sz w:val="20"/>
                <w:szCs w:val="20"/>
              </w:rPr>
              <w:t>Probability</w:t>
            </w:r>
          </w:p>
        </w:tc>
      </w:tr>
      <w:tr w:rsidR="00C16005" w:rsidRPr="00C16005" w14:paraId="6635184F" w14:textId="77777777" w:rsidTr="002A3B27">
        <w:trPr>
          <w:trHeight w:val="45"/>
        </w:trPr>
        <w:tc>
          <w:tcPr>
            <w:tcW w:w="744" w:type="pct"/>
          </w:tcPr>
          <w:p w14:paraId="16306F2D" w14:textId="77777777" w:rsidR="00C16005" w:rsidRPr="00C16005" w:rsidRDefault="00C16005" w:rsidP="00C16005">
            <w:pPr>
              <w:widowControl w:val="0"/>
              <w:autoSpaceDE w:val="0"/>
              <w:autoSpaceDN w:val="0"/>
              <w:adjustRightInd w:val="0"/>
              <w:rPr>
                <w:rFonts w:asciiTheme="minorBidi" w:hAnsiTheme="minorBidi" w:cstheme="minorBidi"/>
                <w:b/>
                <w:bCs/>
                <w:sz w:val="20"/>
                <w:szCs w:val="20"/>
              </w:rPr>
            </w:pPr>
            <w:proofErr w:type="spellStart"/>
            <w:r w:rsidRPr="00C16005">
              <w:rPr>
                <w:rFonts w:asciiTheme="minorBidi" w:hAnsiTheme="minorBidi" w:cstheme="minorBidi"/>
                <w:sz w:val="20"/>
                <w:szCs w:val="20"/>
              </w:rPr>
              <w:t>logFDI</w:t>
            </w:r>
            <w:proofErr w:type="spellEnd"/>
          </w:p>
        </w:tc>
        <w:tc>
          <w:tcPr>
            <w:tcW w:w="916" w:type="pct"/>
            <w:gridSpan w:val="2"/>
          </w:tcPr>
          <w:p w14:paraId="5B25BBC1"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-2.148</w:t>
            </w:r>
          </w:p>
        </w:tc>
        <w:tc>
          <w:tcPr>
            <w:tcW w:w="1305" w:type="pct"/>
            <w:gridSpan w:val="2"/>
          </w:tcPr>
          <w:p w14:paraId="51A0D3F9"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0.2256</w:t>
            </w:r>
          </w:p>
        </w:tc>
        <w:tc>
          <w:tcPr>
            <w:tcW w:w="922" w:type="pct"/>
            <w:gridSpan w:val="2"/>
          </w:tcPr>
          <w:p w14:paraId="21F0D0C6"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-4.885</w:t>
            </w:r>
          </w:p>
        </w:tc>
        <w:tc>
          <w:tcPr>
            <w:tcW w:w="1113" w:type="pct"/>
          </w:tcPr>
          <w:p w14:paraId="2E860330"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0.0000*</w:t>
            </w:r>
          </w:p>
        </w:tc>
      </w:tr>
      <w:tr w:rsidR="00C16005" w:rsidRPr="00C16005" w14:paraId="323EA687" w14:textId="77777777" w:rsidTr="002A3B27">
        <w:trPr>
          <w:trHeight w:val="253"/>
        </w:trPr>
        <w:tc>
          <w:tcPr>
            <w:tcW w:w="744" w:type="pct"/>
          </w:tcPr>
          <w:p w14:paraId="1DF280AB" w14:textId="77777777" w:rsidR="00C16005" w:rsidRPr="00C16005" w:rsidRDefault="00C16005" w:rsidP="00C16005">
            <w:pPr>
              <w:widowControl w:val="0"/>
              <w:autoSpaceDE w:val="0"/>
              <w:autoSpaceDN w:val="0"/>
              <w:adjustRightInd w:val="0"/>
              <w:rPr>
                <w:rFonts w:asciiTheme="minorBidi" w:hAnsiTheme="minorBidi" w:cstheme="minorBidi"/>
                <w:b/>
                <w:bCs/>
                <w:sz w:val="20"/>
                <w:szCs w:val="20"/>
              </w:rPr>
            </w:pPr>
            <w:r w:rsidRPr="00C16005">
              <w:rPr>
                <w:rFonts w:asciiTheme="minorBidi" w:hAnsiTheme="minorBidi" w:cstheme="minorBidi"/>
                <w:sz w:val="20"/>
                <w:szCs w:val="20"/>
              </w:rPr>
              <w:t>CC</w:t>
            </w:r>
          </w:p>
        </w:tc>
        <w:tc>
          <w:tcPr>
            <w:tcW w:w="916" w:type="pct"/>
            <w:gridSpan w:val="2"/>
          </w:tcPr>
          <w:p w14:paraId="7B3EDE29"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-1.997</w:t>
            </w:r>
          </w:p>
        </w:tc>
        <w:tc>
          <w:tcPr>
            <w:tcW w:w="1305" w:type="pct"/>
            <w:gridSpan w:val="2"/>
          </w:tcPr>
          <w:p w14:paraId="35DDB405"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0.2879</w:t>
            </w:r>
          </w:p>
        </w:tc>
        <w:tc>
          <w:tcPr>
            <w:tcW w:w="922" w:type="pct"/>
            <w:gridSpan w:val="2"/>
          </w:tcPr>
          <w:p w14:paraId="154FF7AA"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-3.856</w:t>
            </w:r>
          </w:p>
        </w:tc>
        <w:tc>
          <w:tcPr>
            <w:tcW w:w="1113" w:type="pct"/>
          </w:tcPr>
          <w:p w14:paraId="37DCF20D"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0.0024*</w:t>
            </w:r>
          </w:p>
        </w:tc>
      </w:tr>
      <w:tr w:rsidR="00C16005" w:rsidRPr="00C16005" w14:paraId="1A4C0F30" w14:textId="77777777" w:rsidTr="002A3B27">
        <w:trPr>
          <w:trHeight w:val="253"/>
        </w:trPr>
        <w:tc>
          <w:tcPr>
            <w:tcW w:w="744" w:type="pct"/>
          </w:tcPr>
          <w:p w14:paraId="28875FA9" w14:textId="77777777" w:rsidR="00C16005" w:rsidRPr="00C16005" w:rsidRDefault="00C16005" w:rsidP="00C16005">
            <w:pPr>
              <w:widowControl w:val="0"/>
              <w:autoSpaceDE w:val="0"/>
              <w:autoSpaceDN w:val="0"/>
              <w:adjustRightInd w:val="0"/>
              <w:rPr>
                <w:rFonts w:asciiTheme="minorBidi" w:hAnsiTheme="minorBidi" w:cstheme="minorBidi"/>
                <w:b/>
                <w:bCs/>
                <w:sz w:val="20"/>
                <w:szCs w:val="20"/>
              </w:rPr>
            </w:pPr>
            <w:r w:rsidRPr="00C16005">
              <w:rPr>
                <w:rFonts w:asciiTheme="minorBidi" w:hAnsiTheme="minorBidi" w:cstheme="minorBidi"/>
                <w:sz w:val="20"/>
                <w:szCs w:val="20"/>
              </w:rPr>
              <w:t>GE</w:t>
            </w:r>
          </w:p>
        </w:tc>
        <w:tc>
          <w:tcPr>
            <w:tcW w:w="916" w:type="pct"/>
            <w:gridSpan w:val="2"/>
          </w:tcPr>
          <w:p w14:paraId="6C6DAF55"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-2.068</w:t>
            </w:r>
          </w:p>
        </w:tc>
        <w:tc>
          <w:tcPr>
            <w:tcW w:w="1305" w:type="pct"/>
            <w:gridSpan w:val="2"/>
          </w:tcPr>
          <w:p w14:paraId="46EC4105"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0.2576</w:t>
            </w:r>
          </w:p>
        </w:tc>
        <w:tc>
          <w:tcPr>
            <w:tcW w:w="922" w:type="pct"/>
            <w:gridSpan w:val="2"/>
          </w:tcPr>
          <w:p w14:paraId="70874171"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-4.334</w:t>
            </w:r>
          </w:p>
        </w:tc>
        <w:tc>
          <w:tcPr>
            <w:tcW w:w="1113" w:type="pct"/>
          </w:tcPr>
          <w:p w14:paraId="0FE68A15"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0.0004*</w:t>
            </w:r>
          </w:p>
        </w:tc>
      </w:tr>
      <w:tr w:rsidR="00C16005" w:rsidRPr="00C16005" w14:paraId="4F50F77B" w14:textId="77777777" w:rsidTr="002A3B27">
        <w:trPr>
          <w:trHeight w:val="253"/>
        </w:trPr>
        <w:tc>
          <w:tcPr>
            <w:tcW w:w="744" w:type="pct"/>
          </w:tcPr>
          <w:p w14:paraId="72EF69D1" w14:textId="77777777" w:rsidR="00C16005" w:rsidRPr="00C16005" w:rsidRDefault="00C16005" w:rsidP="00C16005">
            <w:pPr>
              <w:widowControl w:val="0"/>
              <w:autoSpaceDE w:val="0"/>
              <w:autoSpaceDN w:val="0"/>
              <w:adjustRightInd w:val="0"/>
              <w:rPr>
                <w:rFonts w:asciiTheme="minorBidi" w:hAnsiTheme="minorBidi" w:cstheme="minorBidi"/>
                <w:b/>
                <w:bCs/>
                <w:sz w:val="20"/>
                <w:szCs w:val="20"/>
              </w:rPr>
            </w:pPr>
            <w:r w:rsidRPr="00C16005">
              <w:rPr>
                <w:rFonts w:asciiTheme="minorBidi" w:hAnsiTheme="minorBidi" w:cstheme="minorBidi"/>
                <w:sz w:val="20"/>
                <w:szCs w:val="20"/>
              </w:rPr>
              <w:t>RQ</w:t>
            </w:r>
          </w:p>
        </w:tc>
        <w:tc>
          <w:tcPr>
            <w:tcW w:w="916" w:type="pct"/>
            <w:gridSpan w:val="2"/>
          </w:tcPr>
          <w:p w14:paraId="65BB7EC5"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-2.171</w:t>
            </w:r>
          </w:p>
        </w:tc>
        <w:tc>
          <w:tcPr>
            <w:tcW w:w="1305" w:type="pct"/>
            <w:gridSpan w:val="2"/>
          </w:tcPr>
          <w:p w14:paraId="64FB318B"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0.2170</w:t>
            </w:r>
          </w:p>
        </w:tc>
        <w:tc>
          <w:tcPr>
            <w:tcW w:w="922" w:type="pct"/>
            <w:gridSpan w:val="2"/>
          </w:tcPr>
          <w:p w14:paraId="13A88381"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-5.201</w:t>
            </w:r>
          </w:p>
        </w:tc>
        <w:tc>
          <w:tcPr>
            <w:tcW w:w="1113" w:type="pct"/>
          </w:tcPr>
          <w:p w14:paraId="42C9B5D1"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0.0000*</w:t>
            </w:r>
          </w:p>
        </w:tc>
      </w:tr>
      <w:tr w:rsidR="00C16005" w:rsidRPr="00C16005" w14:paraId="0BCB2785" w14:textId="77777777" w:rsidTr="002A3B27">
        <w:trPr>
          <w:trHeight w:val="253"/>
        </w:trPr>
        <w:tc>
          <w:tcPr>
            <w:tcW w:w="744" w:type="pct"/>
          </w:tcPr>
          <w:p w14:paraId="7032FA61" w14:textId="77777777" w:rsidR="00C16005" w:rsidRPr="00C16005" w:rsidRDefault="00C16005" w:rsidP="00C16005">
            <w:pPr>
              <w:widowControl w:val="0"/>
              <w:autoSpaceDE w:val="0"/>
              <w:autoSpaceDN w:val="0"/>
              <w:adjustRightInd w:val="0"/>
              <w:rPr>
                <w:rFonts w:asciiTheme="minorBidi" w:hAnsiTheme="minorBidi" w:cstheme="minorBidi"/>
                <w:b/>
                <w:bCs/>
                <w:sz w:val="20"/>
                <w:szCs w:val="20"/>
              </w:rPr>
            </w:pPr>
            <w:r w:rsidRPr="00C16005">
              <w:rPr>
                <w:rFonts w:asciiTheme="minorBidi" w:hAnsiTheme="minorBidi" w:cstheme="minorBidi"/>
                <w:sz w:val="20"/>
                <w:szCs w:val="20"/>
              </w:rPr>
              <w:t>RL</w:t>
            </w:r>
          </w:p>
        </w:tc>
        <w:tc>
          <w:tcPr>
            <w:tcW w:w="916" w:type="pct"/>
            <w:gridSpan w:val="2"/>
          </w:tcPr>
          <w:p w14:paraId="6EBC4D20"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-1.440</w:t>
            </w:r>
          </w:p>
        </w:tc>
        <w:tc>
          <w:tcPr>
            <w:tcW w:w="1305" w:type="pct"/>
            <w:gridSpan w:val="2"/>
          </w:tcPr>
          <w:p w14:paraId="48E7C86C"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0.5632</w:t>
            </w:r>
          </w:p>
        </w:tc>
        <w:tc>
          <w:tcPr>
            <w:tcW w:w="922" w:type="pct"/>
            <w:gridSpan w:val="2"/>
          </w:tcPr>
          <w:p w14:paraId="7F00C48D"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-4.645</w:t>
            </w:r>
          </w:p>
        </w:tc>
        <w:tc>
          <w:tcPr>
            <w:tcW w:w="1113" w:type="pct"/>
          </w:tcPr>
          <w:p w14:paraId="5B8155F3"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0.0001*</w:t>
            </w:r>
          </w:p>
        </w:tc>
      </w:tr>
      <w:tr w:rsidR="00C16005" w:rsidRPr="00C16005" w14:paraId="74000D1D" w14:textId="77777777" w:rsidTr="002A3B27">
        <w:trPr>
          <w:trHeight w:val="253"/>
        </w:trPr>
        <w:tc>
          <w:tcPr>
            <w:tcW w:w="744" w:type="pct"/>
          </w:tcPr>
          <w:p w14:paraId="0BB7BD6F" w14:textId="77777777" w:rsidR="00C16005" w:rsidRPr="00C16005" w:rsidRDefault="00C16005" w:rsidP="00C16005">
            <w:pPr>
              <w:widowControl w:val="0"/>
              <w:autoSpaceDE w:val="0"/>
              <w:autoSpaceDN w:val="0"/>
              <w:adjustRightInd w:val="0"/>
              <w:rPr>
                <w:rFonts w:asciiTheme="minorBidi" w:hAnsiTheme="minorBidi" w:cstheme="minorBidi"/>
                <w:b/>
                <w:bCs/>
                <w:sz w:val="20"/>
                <w:szCs w:val="20"/>
              </w:rPr>
            </w:pPr>
            <w:proofErr w:type="spellStart"/>
            <w:r w:rsidRPr="00C16005">
              <w:rPr>
                <w:rFonts w:asciiTheme="minorBidi" w:hAnsiTheme="minorBidi" w:cstheme="minorBidi"/>
                <w:sz w:val="20"/>
                <w:szCs w:val="20"/>
              </w:rPr>
              <w:t>logMS</w:t>
            </w:r>
            <w:proofErr w:type="spellEnd"/>
          </w:p>
        </w:tc>
        <w:tc>
          <w:tcPr>
            <w:tcW w:w="916" w:type="pct"/>
            <w:gridSpan w:val="2"/>
          </w:tcPr>
          <w:p w14:paraId="22EB13EF"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-3.111</w:t>
            </w:r>
          </w:p>
        </w:tc>
        <w:tc>
          <w:tcPr>
            <w:tcW w:w="1305" w:type="pct"/>
            <w:gridSpan w:val="2"/>
          </w:tcPr>
          <w:p w14:paraId="2F686BAD"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 xml:space="preserve">   0.0257**</w:t>
            </w:r>
          </w:p>
        </w:tc>
        <w:tc>
          <w:tcPr>
            <w:tcW w:w="922" w:type="pct"/>
            <w:gridSpan w:val="2"/>
          </w:tcPr>
          <w:p w14:paraId="53F799FF"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-1.639</w:t>
            </w:r>
          </w:p>
        </w:tc>
        <w:tc>
          <w:tcPr>
            <w:tcW w:w="1113" w:type="pct"/>
          </w:tcPr>
          <w:p w14:paraId="5CDBB6C8" w14:textId="77777777" w:rsidR="00C16005" w:rsidRPr="00C16005" w:rsidRDefault="00C16005" w:rsidP="00C16005">
            <w:pPr>
              <w:widowControl w:val="0"/>
              <w:autoSpaceDE w:val="0"/>
              <w:autoSpaceDN w:val="0"/>
              <w:adjustRightInd w:val="0"/>
              <w:rPr>
                <w:rFonts w:asciiTheme="minorBidi" w:hAnsiTheme="minorBidi" w:cstheme="minorBidi"/>
                <w:sz w:val="20"/>
                <w:szCs w:val="20"/>
              </w:rPr>
            </w:pPr>
            <w:r w:rsidRPr="00C16005">
              <w:rPr>
                <w:rFonts w:asciiTheme="minorBidi" w:hAnsiTheme="minorBidi" w:cstheme="minorBidi"/>
                <w:sz w:val="20"/>
                <w:szCs w:val="20"/>
              </w:rPr>
              <w:t xml:space="preserve">         0.4629</w:t>
            </w:r>
          </w:p>
        </w:tc>
      </w:tr>
      <w:tr w:rsidR="00C16005" w:rsidRPr="00C16005" w14:paraId="422A6FA7" w14:textId="77777777" w:rsidTr="002A3B27">
        <w:trPr>
          <w:trHeight w:val="253"/>
        </w:trPr>
        <w:tc>
          <w:tcPr>
            <w:tcW w:w="744" w:type="pct"/>
          </w:tcPr>
          <w:p w14:paraId="41041868" w14:textId="77777777" w:rsidR="00C16005" w:rsidRPr="00C16005" w:rsidRDefault="00C16005" w:rsidP="00C16005">
            <w:pPr>
              <w:widowControl w:val="0"/>
              <w:autoSpaceDE w:val="0"/>
              <w:autoSpaceDN w:val="0"/>
              <w:adjustRightInd w:val="0"/>
              <w:rPr>
                <w:rFonts w:asciiTheme="minorBidi" w:hAnsiTheme="minorBidi" w:cstheme="minorBidi"/>
                <w:b/>
                <w:bCs/>
                <w:sz w:val="20"/>
                <w:szCs w:val="20"/>
              </w:rPr>
            </w:pPr>
            <w:r w:rsidRPr="00C16005">
              <w:rPr>
                <w:rFonts w:asciiTheme="minorBidi" w:hAnsiTheme="minorBidi" w:cstheme="minorBidi"/>
                <w:sz w:val="20"/>
                <w:szCs w:val="20"/>
              </w:rPr>
              <w:t>TO</w:t>
            </w:r>
          </w:p>
        </w:tc>
        <w:tc>
          <w:tcPr>
            <w:tcW w:w="916" w:type="pct"/>
            <w:gridSpan w:val="2"/>
          </w:tcPr>
          <w:p w14:paraId="552925D2"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-4.567</w:t>
            </w:r>
          </w:p>
        </w:tc>
        <w:tc>
          <w:tcPr>
            <w:tcW w:w="1305" w:type="pct"/>
            <w:gridSpan w:val="2"/>
          </w:tcPr>
          <w:p w14:paraId="269CD38A"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 xml:space="preserve"> 0.0001*</w:t>
            </w:r>
          </w:p>
        </w:tc>
        <w:tc>
          <w:tcPr>
            <w:tcW w:w="922" w:type="pct"/>
            <w:gridSpan w:val="2"/>
          </w:tcPr>
          <w:p w14:paraId="696C1E56"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-4.835</w:t>
            </w:r>
          </w:p>
        </w:tc>
        <w:tc>
          <w:tcPr>
            <w:tcW w:w="1113" w:type="pct"/>
          </w:tcPr>
          <w:p w14:paraId="73D4B4D6"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0.0000*</w:t>
            </w:r>
          </w:p>
        </w:tc>
      </w:tr>
      <w:tr w:rsidR="00C16005" w:rsidRPr="00C16005" w14:paraId="2CB7034B" w14:textId="77777777" w:rsidTr="002A3B27">
        <w:trPr>
          <w:trHeight w:val="253"/>
        </w:trPr>
        <w:tc>
          <w:tcPr>
            <w:tcW w:w="744" w:type="pct"/>
          </w:tcPr>
          <w:p w14:paraId="710A2186" w14:textId="77777777" w:rsidR="00C16005" w:rsidRPr="00C16005" w:rsidRDefault="00C16005" w:rsidP="00C16005">
            <w:pPr>
              <w:widowControl w:val="0"/>
              <w:autoSpaceDE w:val="0"/>
              <w:autoSpaceDN w:val="0"/>
              <w:adjustRightInd w:val="0"/>
              <w:rPr>
                <w:rFonts w:asciiTheme="minorBidi" w:hAnsiTheme="minorBidi" w:cstheme="minorBidi"/>
                <w:b/>
                <w:bCs/>
                <w:sz w:val="20"/>
                <w:szCs w:val="20"/>
              </w:rPr>
            </w:pPr>
            <w:proofErr w:type="spellStart"/>
            <w:r w:rsidRPr="00C16005">
              <w:rPr>
                <w:rFonts w:asciiTheme="minorBidi" w:hAnsiTheme="minorBidi" w:cstheme="minorBidi"/>
                <w:sz w:val="20"/>
                <w:szCs w:val="20"/>
              </w:rPr>
              <w:t>Infl</w:t>
            </w:r>
            <w:proofErr w:type="spellEnd"/>
          </w:p>
        </w:tc>
        <w:tc>
          <w:tcPr>
            <w:tcW w:w="916" w:type="pct"/>
            <w:gridSpan w:val="2"/>
          </w:tcPr>
          <w:p w14:paraId="2CB4F2F0"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-3.289</w:t>
            </w:r>
          </w:p>
        </w:tc>
        <w:tc>
          <w:tcPr>
            <w:tcW w:w="1305" w:type="pct"/>
            <w:gridSpan w:val="2"/>
          </w:tcPr>
          <w:p w14:paraId="34D8B256"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 xml:space="preserve">  0.0154**</w:t>
            </w:r>
          </w:p>
        </w:tc>
        <w:tc>
          <w:tcPr>
            <w:tcW w:w="922" w:type="pct"/>
            <w:gridSpan w:val="2"/>
          </w:tcPr>
          <w:p w14:paraId="783E5C37"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-5.679</w:t>
            </w:r>
          </w:p>
        </w:tc>
        <w:tc>
          <w:tcPr>
            <w:tcW w:w="1113" w:type="pct"/>
          </w:tcPr>
          <w:p w14:paraId="0B64950E"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0.0000*</w:t>
            </w:r>
          </w:p>
        </w:tc>
      </w:tr>
      <w:tr w:rsidR="00C16005" w:rsidRPr="00C16005" w14:paraId="2093BBE2" w14:textId="77777777" w:rsidTr="002A3B27">
        <w:trPr>
          <w:trHeight w:val="253"/>
        </w:trPr>
        <w:tc>
          <w:tcPr>
            <w:tcW w:w="744" w:type="pct"/>
          </w:tcPr>
          <w:p w14:paraId="0406197C" w14:textId="77777777" w:rsidR="00C16005" w:rsidRPr="00C16005" w:rsidRDefault="00C16005" w:rsidP="00C16005">
            <w:pPr>
              <w:widowControl w:val="0"/>
              <w:autoSpaceDE w:val="0"/>
              <w:autoSpaceDN w:val="0"/>
              <w:adjustRightInd w:val="0"/>
              <w:rPr>
                <w:rFonts w:asciiTheme="minorBidi" w:hAnsiTheme="minorBidi" w:cstheme="minorBidi"/>
                <w:b/>
                <w:bCs/>
                <w:sz w:val="20"/>
                <w:szCs w:val="20"/>
              </w:rPr>
            </w:pPr>
            <w:r w:rsidRPr="00C16005">
              <w:rPr>
                <w:rFonts w:asciiTheme="minorBidi" w:hAnsiTheme="minorBidi" w:cstheme="minorBidi"/>
                <w:sz w:val="20"/>
                <w:szCs w:val="20"/>
              </w:rPr>
              <w:t>ER</w:t>
            </w:r>
          </w:p>
        </w:tc>
        <w:tc>
          <w:tcPr>
            <w:tcW w:w="916" w:type="pct"/>
            <w:gridSpan w:val="2"/>
          </w:tcPr>
          <w:p w14:paraId="790C573A"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2.361</w:t>
            </w:r>
          </w:p>
        </w:tc>
        <w:tc>
          <w:tcPr>
            <w:tcW w:w="1305" w:type="pct"/>
            <w:gridSpan w:val="2"/>
          </w:tcPr>
          <w:p w14:paraId="697B3A36"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0.9990</w:t>
            </w:r>
          </w:p>
        </w:tc>
        <w:tc>
          <w:tcPr>
            <w:tcW w:w="922" w:type="pct"/>
            <w:gridSpan w:val="2"/>
          </w:tcPr>
          <w:p w14:paraId="37752A6B"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-2.677</w:t>
            </w:r>
          </w:p>
        </w:tc>
        <w:tc>
          <w:tcPr>
            <w:tcW w:w="1113" w:type="pct"/>
          </w:tcPr>
          <w:p w14:paraId="24E92DEE"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 xml:space="preserve">     0.0780***</w:t>
            </w:r>
          </w:p>
        </w:tc>
      </w:tr>
      <w:tr w:rsidR="00C16005" w:rsidRPr="00C16005" w14:paraId="64EC6FE0" w14:textId="77777777" w:rsidTr="002A3B27">
        <w:trPr>
          <w:trHeight w:val="253"/>
        </w:trPr>
        <w:tc>
          <w:tcPr>
            <w:tcW w:w="744" w:type="pct"/>
          </w:tcPr>
          <w:p w14:paraId="5E9B9E53" w14:textId="77777777" w:rsidR="00C16005" w:rsidRPr="00C16005" w:rsidRDefault="00C16005" w:rsidP="00C16005">
            <w:pPr>
              <w:widowControl w:val="0"/>
              <w:autoSpaceDE w:val="0"/>
              <w:autoSpaceDN w:val="0"/>
              <w:adjustRightInd w:val="0"/>
              <w:rPr>
                <w:rFonts w:asciiTheme="minorBidi" w:hAnsiTheme="minorBidi" w:cstheme="minorBidi"/>
                <w:b/>
                <w:bCs/>
                <w:sz w:val="20"/>
                <w:szCs w:val="20"/>
              </w:rPr>
            </w:pPr>
            <w:proofErr w:type="spellStart"/>
            <w:r w:rsidRPr="00C16005">
              <w:rPr>
                <w:rFonts w:asciiTheme="minorBidi" w:hAnsiTheme="minorBidi" w:cstheme="minorBidi"/>
                <w:sz w:val="20"/>
                <w:szCs w:val="20"/>
              </w:rPr>
              <w:t>Infr</w:t>
            </w:r>
            <w:proofErr w:type="spellEnd"/>
          </w:p>
        </w:tc>
        <w:tc>
          <w:tcPr>
            <w:tcW w:w="916" w:type="pct"/>
            <w:gridSpan w:val="2"/>
          </w:tcPr>
          <w:p w14:paraId="1315AC19"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-1.770</w:t>
            </w:r>
          </w:p>
        </w:tc>
        <w:tc>
          <w:tcPr>
            <w:tcW w:w="1305" w:type="pct"/>
            <w:gridSpan w:val="2"/>
          </w:tcPr>
          <w:p w14:paraId="4177FBAC"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0.3953</w:t>
            </w:r>
          </w:p>
        </w:tc>
        <w:tc>
          <w:tcPr>
            <w:tcW w:w="922" w:type="pct"/>
            <w:gridSpan w:val="2"/>
          </w:tcPr>
          <w:p w14:paraId="32FEBEFD"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-3.060</w:t>
            </w:r>
          </w:p>
        </w:tc>
        <w:tc>
          <w:tcPr>
            <w:tcW w:w="1113" w:type="pct"/>
          </w:tcPr>
          <w:p w14:paraId="71F1D104"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 xml:space="preserve">    0.0297**</w:t>
            </w:r>
          </w:p>
        </w:tc>
      </w:tr>
    </w:tbl>
    <w:p w14:paraId="5D8CD417" w14:textId="77777777" w:rsidR="00C16005" w:rsidRPr="00C16005" w:rsidRDefault="00C16005" w:rsidP="00C16005">
      <w:pPr>
        <w:jc w:val="both"/>
        <w:rPr>
          <w:rFonts w:asciiTheme="minorBidi" w:hAnsiTheme="minorBidi" w:cstheme="minorBidi"/>
        </w:rPr>
      </w:pPr>
      <w:r w:rsidRPr="00C16005">
        <w:rPr>
          <w:rFonts w:asciiTheme="minorBidi" w:hAnsiTheme="minorBidi" w:cstheme="minorBidi"/>
        </w:rPr>
        <w:t>*, **, *** indicate the 1%, 5%, &amp; 10% significance level</w:t>
      </w:r>
    </w:p>
    <w:p w14:paraId="7EB16FE3" w14:textId="473E82E8" w:rsidR="00C16005" w:rsidRPr="00C16005" w:rsidRDefault="00C16005" w:rsidP="00C16005">
      <w:pPr>
        <w:spacing w:after="240"/>
        <w:jc w:val="both"/>
        <w:rPr>
          <w:rFonts w:asciiTheme="minorBidi" w:hAnsiTheme="minorBidi" w:cstheme="minorBidi"/>
          <w:i/>
          <w:iCs/>
        </w:rPr>
      </w:pPr>
      <w:r w:rsidRPr="00C16005">
        <w:rPr>
          <w:rFonts w:asciiTheme="minorBidi" w:hAnsiTheme="minorBidi" w:cstheme="minorBidi"/>
          <w:i/>
          <w:iCs/>
        </w:rPr>
        <w:t>Source: Compiled by Authors</w:t>
      </w:r>
      <w:r w:rsidR="00986B1D">
        <w:rPr>
          <w:rFonts w:asciiTheme="minorBidi" w:hAnsiTheme="minorBidi" w:cstheme="minorBidi"/>
          <w:i/>
          <w:iCs/>
        </w:rPr>
        <w:t>, 2024</w:t>
      </w:r>
    </w:p>
    <w:p w14:paraId="781E4921" w14:textId="26CA31E9" w:rsidR="000646AD" w:rsidRPr="00C16005" w:rsidRDefault="00986B1D" w:rsidP="000646AD">
      <w:pPr>
        <w:pStyle w:val="Body"/>
        <w:rPr>
          <w:rFonts w:ascii="Arial" w:hAnsi="Arial" w:cs="Arial"/>
          <w:b/>
          <w:bCs/>
        </w:rPr>
      </w:pPr>
      <w:r>
        <w:rPr>
          <w:rFonts w:ascii="Arial" w:hAnsi="Arial" w:cs="Arial"/>
          <w:b/>
          <w:bCs/>
        </w:rPr>
        <w:t xml:space="preserve">FMOLS </w:t>
      </w:r>
      <w:r w:rsidR="000646AD" w:rsidRPr="00C16005">
        <w:rPr>
          <w:rFonts w:ascii="Arial" w:hAnsi="Arial" w:cs="Arial"/>
          <w:b/>
          <w:bCs/>
        </w:rPr>
        <w:t>Results</w:t>
      </w:r>
      <w:r w:rsidR="00C16005" w:rsidRPr="00C16005">
        <w:rPr>
          <w:rFonts w:ascii="Arial" w:hAnsi="Arial" w:cs="Arial"/>
          <w:b/>
          <w:bCs/>
        </w:rPr>
        <w:t xml:space="preserve"> and Discussions</w:t>
      </w:r>
    </w:p>
    <w:p w14:paraId="3CE865F5" w14:textId="68CFC2E7" w:rsidR="000646AD" w:rsidRPr="000646AD" w:rsidRDefault="00FE5717" w:rsidP="000646AD">
      <w:pPr>
        <w:pStyle w:val="Body"/>
        <w:rPr>
          <w:rFonts w:ascii="Arial" w:hAnsi="Arial" w:cs="Arial"/>
        </w:rPr>
      </w:pPr>
      <w:r>
        <w:rPr>
          <w:rFonts w:ascii="Arial" w:hAnsi="Arial" w:cs="Arial"/>
        </w:rPr>
        <w:t>The</w:t>
      </w:r>
      <w:r w:rsidR="000646AD" w:rsidRPr="000646AD">
        <w:rPr>
          <w:rFonts w:ascii="Arial" w:hAnsi="Arial" w:cs="Arial"/>
        </w:rPr>
        <w:t xml:space="preserve"> econometric equation is estimated by means of the FMOLS model to analyze the long-run relationship between FDI and governance determinants in Afghanistan. The outcome of the estimation is reported in Table 5. The results revealed a mix impact of all four governance indicators on FDI, as relationship of government effectiveness and rule of law are positively significant, nevertheless, regulatory quality and control of corruption negatively affect FDI. First, one-unit enhancement in government effectiveness attracts 1.077% FDI in Afghanistan, suggesting that the country's sound policies are associated with higher FDI inflow. Secondly, the findings show that a level of rise in the rule of law positively impacts FDI by 0.948%. In the case of regulatory quality, it has a negative coefficient, implying that one unit of its increase reduces the FDI by 0.838%. Likewise, control of corruption’s impact on FDI inflow of Afghanistan is highly negative and significant, as a one-unit increase in the control of corruption is associated with a 2.443% decline in FDI. However, this seems surprising since many argue that investors look after societies with low levels of corruption, but some empirical shreds of evidence show the opposite. For example, Mina (2012) argues that</w:t>
      </w:r>
      <w:r w:rsidR="009C7358">
        <w:rPr>
          <w:rFonts w:ascii="Arial" w:hAnsi="Arial" w:cs="Arial"/>
        </w:rPr>
        <w:t>, surprisingly,</w:t>
      </w:r>
      <w:r w:rsidR="000646AD" w:rsidRPr="000646AD">
        <w:rPr>
          <w:rFonts w:ascii="Arial" w:hAnsi="Arial" w:cs="Arial"/>
        </w:rPr>
        <w:t xml:space="preserve"> when corruption improves (i.e., less corruption),</w:t>
      </w:r>
      <w:r w:rsidR="009C7358">
        <w:rPr>
          <w:rFonts w:ascii="Arial" w:hAnsi="Arial" w:cs="Arial"/>
        </w:rPr>
        <w:t xml:space="preserve"> </w:t>
      </w:r>
      <w:r w:rsidR="000646AD" w:rsidRPr="000646AD">
        <w:rPr>
          <w:rFonts w:ascii="Arial" w:hAnsi="Arial" w:cs="Arial"/>
        </w:rPr>
        <w:t xml:space="preserve">it negatively affects the FDI. Furthermore, </w:t>
      </w:r>
      <w:r w:rsidR="000646AD" w:rsidRPr="000646AD">
        <w:rPr>
          <w:rFonts w:ascii="Arial" w:hAnsi="Arial" w:cs="Arial"/>
        </w:rPr>
        <w:lastRenderedPageBreak/>
        <w:t xml:space="preserve">Pablo M &amp; </w:t>
      </w:r>
      <w:proofErr w:type="spellStart"/>
      <w:r w:rsidR="000646AD" w:rsidRPr="000646AD">
        <w:rPr>
          <w:rFonts w:ascii="Arial" w:hAnsi="Arial" w:cs="Arial"/>
        </w:rPr>
        <w:t>Boliang</w:t>
      </w:r>
      <w:proofErr w:type="spellEnd"/>
      <w:r w:rsidR="000646AD" w:rsidRPr="000646AD">
        <w:rPr>
          <w:rFonts w:ascii="Arial" w:hAnsi="Arial" w:cs="Arial"/>
        </w:rPr>
        <w:t xml:space="preserve"> (2007) argue that international and domestic businesses compete to pay bribes to obtain business contracts in comparatively less developed and less democratic nations. Our findings related to the results of governance indicators are backed by (</w:t>
      </w:r>
      <w:proofErr w:type="spellStart"/>
      <w:r w:rsidR="000646AD" w:rsidRPr="000646AD">
        <w:rPr>
          <w:rFonts w:ascii="Arial" w:hAnsi="Arial" w:cs="Arial"/>
        </w:rPr>
        <w:t>Bellos</w:t>
      </w:r>
      <w:proofErr w:type="spellEnd"/>
      <w:r w:rsidR="000646AD" w:rsidRPr="000646AD">
        <w:rPr>
          <w:rFonts w:ascii="Arial" w:hAnsi="Arial" w:cs="Arial"/>
        </w:rPr>
        <w:t xml:space="preserve"> &amp; </w:t>
      </w:r>
      <w:proofErr w:type="spellStart"/>
      <w:r w:rsidR="000646AD" w:rsidRPr="000646AD">
        <w:rPr>
          <w:rFonts w:ascii="Arial" w:hAnsi="Arial" w:cs="Arial"/>
        </w:rPr>
        <w:t>Subasat</w:t>
      </w:r>
      <w:proofErr w:type="spellEnd"/>
      <w:r w:rsidR="000646AD" w:rsidRPr="000646AD">
        <w:rPr>
          <w:rFonts w:ascii="Arial" w:hAnsi="Arial" w:cs="Arial"/>
        </w:rPr>
        <w:t xml:space="preserve">, 2012; </w:t>
      </w:r>
      <w:proofErr w:type="spellStart"/>
      <w:r w:rsidR="000646AD" w:rsidRPr="000646AD">
        <w:rPr>
          <w:rFonts w:ascii="Arial" w:hAnsi="Arial" w:cs="Arial"/>
        </w:rPr>
        <w:t>Buracom</w:t>
      </w:r>
      <w:proofErr w:type="spellEnd"/>
      <w:r w:rsidR="000646AD" w:rsidRPr="000646AD">
        <w:rPr>
          <w:rFonts w:ascii="Arial" w:hAnsi="Arial" w:cs="Arial"/>
        </w:rPr>
        <w:t xml:space="preserve">, 2014; </w:t>
      </w:r>
      <w:proofErr w:type="spellStart"/>
      <w:r w:rsidR="000646AD" w:rsidRPr="000646AD">
        <w:rPr>
          <w:rFonts w:ascii="Arial" w:hAnsi="Arial" w:cs="Arial"/>
        </w:rPr>
        <w:t>Daude</w:t>
      </w:r>
      <w:proofErr w:type="spellEnd"/>
      <w:r w:rsidR="000646AD" w:rsidRPr="000646AD">
        <w:rPr>
          <w:rFonts w:ascii="Arial" w:hAnsi="Arial" w:cs="Arial"/>
        </w:rPr>
        <w:t xml:space="preserve"> &amp; Stein, 2007; </w:t>
      </w:r>
      <w:proofErr w:type="spellStart"/>
      <w:r w:rsidR="000646AD" w:rsidRPr="000646AD">
        <w:rPr>
          <w:rFonts w:ascii="Arial" w:hAnsi="Arial" w:cs="Arial"/>
        </w:rPr>
        <w:t>Gangi</w:t>
      </w:r>
      <w:proofErr w:type="spellEnd"/>
      <w:r w:rsidR="000646AD" w:rsidRPr="000646AD">
        <w:rPr>
          <w:rFonts w:ascii="Arial" w:hAnsi="Arial" w:cs="Arial"/>
        </w:rPr>
        <w:t xml:space="preserve"> &amp; </w:t>
      </w:r>
      <w:proofErr w:type="spellStart"/>
      <w:r w:rsidR="000646AD" w:rsidRPr="000646AD">
        <w:rPr>
          <w:rFonts w:ascii="Arial" w:hAnsi="Arial" w:cs="Arial"/>
        </w:rPr>
        <w:t>Abdulrazak</w:t>
      </w:r>
      <w:proofErr w:type="spellEnd"/>
      <w:r w:rsidR="000646AD" w:rsidRPr="000646AD">
        <w:rPr>
          <w:rFonts w:ascii="Arial" w:hAnsi="Arial" w:cs="Arial"/>
        </w:rPr>
        <w:t xml:space="preserve">, 2012; Jadhav &amp; </w:t>
      </w:r>
      <w:proofErr w:type="spellStart"/>
      <w:r w:rsidR="000646AD" w:rsidRPr="000646AD">
        <w:rPr>
          <w:rFonts w:ascii="Arial" w:hAnsi="Arial" w:cs="Arial"/>
        </w:rPr>
        <w:t>Katti</w:t>
      </w:r>
      <w:proofErr w:type="spellEnd"/>
      <w:r w:rsidR="000646AD" w:rsidRPr="000646AD">
        <w:rPr>
          <w:rFonts w:ascii="Arial" w:hAnsi="Arial" w:cs="Arial"/>
        </w:rPr>
        <w:t xml:space="preserve">, 2012; Khan et al., 2023; </w:t>
      </w:r>
      <w:proofErr w:type="spellStart"/>
      <w:r w:rsidR="000646AD" w:rsidRPr="000646AD">
        <w:rPr>
          <w:rFonts w:ascii="Arial" w:hAnsi="Arial" w:cs="Arial"/>
        </w:rPr>
        <w:t>Mamman</w:t>
      </w:r>
      <w:proofErr w:type="spellEnd"/>
      <w:r w:rsidR="000646AD" w:rsidRPr="000646AD">
        <w:rPr>
          <w:rFonts w:ascii="Arial" w:hAnsi="Arial" w:cs="Arial"/>
        </w:rPr>
        <w:t xml:space="preserve"> &amp; </w:t>
      </w:r>
      <w:proofErr w:type="spellStart"/>
      <w:r w:rsidR="000646AD" w:rsidRPr="000646AD">
        <w:rPr>
          <w:rFonts w:ascii="Arial" w:hAnsi="Arial" w:cs="Arial"/>
        </w:rPr>
        <w:t>Valei</w:t>
      </w:r>
      <w:proofErr w:type="spellEnd"/>
      <w:r w:rsidR="000646AD" w:rsidRPr="000646AD">
        <w:rPr>
          <w:rFonts w:ascii="Arial" w:hAnsi="Arial" w:cs="Arial"/>
        </w:rPr>
        <w:t xml:space="preserve">, 2023; Mengistu &amp; </w:t>
      </w:r>
      <w:proofErr w:type="spellStart"/>
      <w:r w:rsidR="000646AD" w:rsidRPr="000646AD">
        <w:rPr>
          <w:rFonts w:ascii="Arial" w:hAnsi="Arial" w:cs="Arial"/>
        </w:rPr>
        <w:t>Adhikary</w:t>
      </w:r>
      <w:proofErr w:type="spellEnd"/>
      <w:r w:rsidR="000646AD" w:rsidRPr="000646AD">
        <w:rPr>
          <w:rFonts w:ascii="Arial" w:hAnsi="Arial" w:cs="Arial"/>
        </w:rPr>
        <w:t xml:space="preserve">, 2011; Mina, 2012; Okafor et al., 2017; Pablo M &amp; </w:t>
      </w:r>
      <w:proofErr w:type="spellStart"/>
      <w:r w:rsidR="000646AD" w:rsidRPr="000646AD">
        <w:rPr>
          <w:rFonts w:ascii="Arial" w:hAnsi="Arial" w:cs="Arial"/>
        </w:rPr>
        <w:t>Boliang</w:t>
      </w:r>
      <w:proofErr w:type="spellEnd"/>
      <w:r w:rsidR="000646AD" w:rsidRPr="000646AD">
        <w:rPr>
          <w:rFonts w:ascii="Arial" w:hAnsi="Arial" w:cs="Arial"/>
        </w:rPr>
        <w:t xml:space="preserve">, 2007; </w:t>
      </w:r>
      <w:proofErr w:type="spellStart"/>
      <w:r w:rsidR="000646AD" w:rsidRPr="000646AD">
        <w:rPr>
          <w:rFonts w:ascii="Arial" w:hAnsi="Arial" w:cs="Arial"/>
        </w:rPr>
        <w:t>Younsi</w:t>
      </w:r>
      <w:proofErr w:type="spellEnd"/>
      <w:r w:rsidR="000646AD" w:rsidRPr="000646AD">
        <w:rPr>
          <w:rFonts w:ascii="Arial" w:hAnsi="Arial" w:cs="Arial"/>
        </w:rPr>
        <w:t xml:space="preserve"> &amp; </w:t>
      </w:r>
      <w:proofErr w:type="spellStart"/>
      <w:r w:rsidR="000646AD" w:rsidRPr="000646AD">
        <w:rPr>
          <w:rFonts w:ascii="Arial" w:hAnsi="Arial" w:cs="Arial"/>
        </w:rPr>
        <w:t>Bechtini</w:t>
      </w:r>
      <w:proofErr w:type="spellEnd"/>
      <w:r w:rsidR="000646AD" w:rsidRPr="000646AD">
        <w:rPr>
          <w:rFonts w:ascii="Arial" w:hAnsi="Arial" w:cs="Arial"/>
        </w:rPr>
        <w:t>, 2019), among others.</w:t>
      </w:r>
    </w:p>
    <w:p w14:paraId="3A9C424B" w14:textId="77777777" w:rsidR="000646AD" w:rsidRDefault="000646AD" w:rsidP="000646AD">
      <w:pPr>
        <w:pStyle w:val="Body"/>
        <w:rPr>
          <w:rFonts w:ascii="Arial" w:hAnsi="Arial" w:cs="Arial"/>
        </w:rPr>
      </w:pPr>
      <w:r w:rsidRPr="000646AD">
        <w:rPr>
          <w:rFonts w:ascii="Arial" w:hAnsi="Arial" w:cs="Arial"/>
        </w:rPr>
        <w:t>Table 5 also contains the nexus of FDI and five macroeconomic variables. The estimated coefficient of market size (</w:t>
      </w:r>
      <w:proofErr w:type="spellStart"/>
      <w:r w:rsidRPr="000646AD">
        <w:rPr>
          <w:rFonts w:ascii="Arial" w:hAnsi="Arial" w:cs="Arial"/>
        </w:rPr>
        <w:t>logMS</w:t>
      </w:r>
      <w:proofErr w:type="spellEnd"/>
      <w:r w:rsidRPr="000646AD">
        <w:rPr>
          <w:rFonts w:ascii="Arial" w:hAnsi="Arial" w:cs="Arial"/>
        </w:rPr>
        <w:t>) is positive and highly significant. It signifies that a one percent growth in the size of GDP is linked with a 2.057% increase in FDI inflow in Afghanistan. Similarly, there is a very significant association between FDI and trade openness during the study period. The positive coefficient indicates that a one percent increase in trade attracts 5.551% FDI. Regarding inflation, the result is as expected, it has a highly significant negative nexus with FDI. It implies that higher inflation deters FDI, or more the stability of the prices, more FDI flows to the country. The exchange rate’s coefficient is weakly significant with the dependent variable. It denotes that a higher exchange rate or a depreciation in domestic currency might increase the FDI. Lastly, a significant negative relationship exists between infrastructure and FDI inflow in Afghanistan. Our findings in regard to macroeconomic determinants of FDI are supported by the studies of (</w:t>
      </w:r>
      <w:proofErr w:type="spellStart"/>
      <w:r w:rsidRPr="000646AD">
        <w:rPr>
          <w:rFonts w:ascii="Arial" w:hAnsi="Arial" w:cs="Arial"/>
        </w:rPr>
        <w:t>Ajide</w:t>
      </w:r>
      <w:proofErr w:type="spellEnd"/>
      <w:r w:rsidRPr="000646AD">
        <w:rPr>
          <w:rFonts w:ascii="Arial" w:hAnsi="Arial" w:cs="Arial"/>
        </w:rPr>
        <w:t xml:space="preserve"> &amp; Raheem, 2016; </w:t>
      </w:r>
      <w:proofErr w:type="spellStart"/>
      <w:r w:rsidRPr="000646AD">
        <w:rPr>
          <w:rFonts w:ascii="Arial" w:hAnsi="Arial" w:cs="Arial"/>
        </w:rPr>
        <w:t>Asiamah</w:t>
      </w:r>
      <w:proofErr w:type="spellEnd"/>
      <w:r w:rsidRPr="000646AD">
        <w:rPr>
          <w:rFonts w:ascii="Arial" w:hAnsi="Arial" w:cs="Arial"/>
        </w:rPr>
        <w:t xml:space="preserve"> et al., 2019; </w:t>
      </w:r>
      <w:proofErr w:type="spellStart"/>
      <w:r w:rsidRPr="000646AD">
        <w:rPr>
          <w:rFonts w:ascii="Arial" w:hAnsi="Arial" w:cs="Arial"/>
        </w:rPr>
        <w:t>Buracom</w:t>
      </w:r>
      <w:proofErr w:type="spellEnd"/>
      <w:r w:rsidRPr="000646AD">
        <w:rPr>
          <w:rFonts w:ascii="Arial" w:hAnsi="Arial" w:cs="Arial"/>
        </w:rPr>
        <w:t xml:space="preserve">, 2014; Jabri &amp; </w:t>
      </w:r>
      <w:proofErr w:type="spellStart"/>
      <w:r w:rsidRPr="000646AD">
        <w:rPr>
          <w:rFonts w:ascii="Arial" w:hAnsi="Arial" w:cs="Arial"/>
        </w:rPr>
        <w:t>Brahim</w:t>
      </w:r>
      <w:proofErr w:type="spellEnd"/>
      <w:r w:rsidRPr="000646AD">
        <w:rPr>
          <w:rFonts w:ascii="Arial" w:hAnsi="Arial" w:cs="Arial"/>
        </w:rPr>
        <w:t xml:space="preserve">, 2015; Khan et al., 2019; </w:t>
      </w:r>
      <w:proofErr w:type="spellStart"/>
      <w:r w:rsidRPr="000646AD">
        <w:rPr>
          <w:rFonts w:ascii="Arial" w:hAnsi="Arial" w:cs="Arial"/>
        </w:rPr>
        <w:t>Kok</w:t>
      </w:r>
      <w:proofErr w:type="spellEnd"/>
      <w:r w:rsidRPr="000646AD">
        <w:rPr>
          <w:rFonts w:ascii="Arial" w:hAnsi="Arial" w:cs="Arial"/>
        </w:rPr>
        <w:t xml:space="preserve"> &amp; </w:t>
      </w:r>
      <w:proofErr w:type="spellStart"/>
      <w:r w:rsidRPr="000646AD">
        <w:rPr>
          <w:rFonts w:ascii="Arial" w:hAnsi="Arial" w:cs="Arial"/>
        </w:rPr>
        <w:t>Acikgoz</w:t>
      </w:r>
      <w:proofErr w:type="spellEnd"/>
      <w:r w:rsidRPr="000646AD">
        <w:rPr>
          <w:rFonts w:ascii="Arial" w:hAnsi="Arial" w:cs="Arial"/>
        </w:rPr>
        <w:t xml:space="preserve"> </w:t>
      </w:r>
      <w:proofErr w:type="spellStart"/>
      <w:r w:rsidRPr="000646AD">
        <w:rPr>
          <w:rFonts w:ascii="Arial" w:hAnsi="Arial" w:cs="Arial"/>
        </w:rPr>
        <w:t>Ersoy</w:t>
      </w:r>
      <w:proofErr w:type="spellEnd"/>
      <w:r w:rsidRPr="000646AD">
        <w:rPr>
          <w:rFonts w:ascii="Arial" w:hAnsi="Arial" w:cs="Arial"/>
        </w:rPr>
        <w:t xml:space="preserve">, 2009; Mina, 2012; Okafor et al., 2017; Sabir et al., 2019; </w:t>
      </w:r>
      <w:proofErr w:type="spellStart"/>
      <w:r w:rsidRPr="000646AD">
        <w:rPr>
          <w:rFonts w:ascii="Arial" w:hAnsi="Arial" w:cs="Arial"/>
        </w:rPr>
        <w:t>Younsi</w:t>
      </w:r>
      <w:proofErr w:type="spellEnd"/>
      <w:r w:rsidRPr="000646AD">
        <w:rPr>
          <w:rFonts w:ascii="Arial" w:hAnsi="Arial" w:cs="Arial"/>
        </w:rPr>
        <w:t xml:space="preserve"> &amp; </w:t>
      </w:r>
      <w:proofErr w:type="spellStart"/>
      <w:r w:rsidRPr="000646AD">
        <w:rPr>
          <w:rFonts w:ascii="Arial" w:hAnsi="Arial" w:cs="Arial"/>
        </w:rPr>
        <w:t>Bechtini</w:t>
      </w:r>
      <w:proofErr w:type="spellEnd"/>
      <w:r w:rsidRPr="000646AD">
        <w:rPr>
          <w:rFonts w:ascii="Arial" w:hAnsi="Arial" w:cs="Arial"/>
        </w:rPr>
        <w:t>, 2019).</w:t>
      </w:r>
    </w:p>
    <w:p w14:paraId="24EF32D0" w14:textId="49581B24" w:rsidR="00C16005" w:rsidRPr="00C16005" w:rsidRDefault="00C16005" w:rsidP="001B658D">
      <w:pPr>
        <w:spacing w:before="240"/>
        <w:jc w:val="center"/>
        <w:rPr>
          <w:rFonts w:asciiTheme="minorBidi" w:hAnsiTheme="minorBidi" w:cstheme="minorBidi"/>
          <w:b/>
          <w:bCs/>
        </w:rPr>
      </w:pPr>
      <w:r w:rsidRPr="00C16005">
        <w:rPr>
          <w:rFonts w:asciiTheme="minorBidi" w:hAnsiTheme="minorBidi" w:cstheme="minorBidi"/>
          <w:b/>
          <w:bCs/>
        </w:rPr>
        <w:t>Table 5</w:t>
      </w:r>
      <w:r w:rsidR="001B658D">
        <w:rPr>
          <w:rFonts w:asciiTheme="minorBidi" w:hAnsiTheme="minorBidi" w:cstheme="minorBidi"/>
          <w:b/>
          <w:bCs/>
        </w:rPr>
        <w:t xml:space="preserve">: </w:t>
      </w:r>
      <w:r w:rsidRPr="00C16005">
        <w:rPr>
          <w:rFonts w:asciiTheme="minorBidi" w:hAnsiTheme="minorBidi" w:cstheme="minorBidi"/>
          <w:b/>
          <w:bCs/>
        </w:rPr>
        <w:t xml:space="preserve">FMOLS </w:t>
      </w:r>
      <w:r>
        <w:rPr>
          <w:rFonts w:asciiTheme="minorBidi" w:hAnsiTheme="minorBidi" w:cstheme="minorBidi"/>
          <w:b/>
          <w:bCs/>
        </w:rPr>
        <w:t>R</w:t>
      </w:r>
      <w:r w:rsidRPr="00C16005">
        <w:rPr>
          <w:rFonts w:asciiTheme="minorBidi" w:hAnsiTheme="minorBidi" w:cstheme="minorBidi"/>
          <w:b/>
          <w:bCs/>
        </w:rPr>
        <w:t>esult</w:t>
      </w:r>
      <w:r>
        <w:rPr>
          <w:rFonts w:asciiTheme="minorBidi" w:hAnsiTheme="minorBidi" w:cstheme="minorBidi"/>
          <w:b/>
          <w:bCs/>
        </w:rPr>
        <w:t>s</w:t>
      </w:r>
    </w:p>
    <w:tbl>
      <w:tblPr>
        <w:tblW w:w="9285" w:type="dxa"/>
        <w:tblLayout w:type="fixed"/>
        <w:tblLook w:val="0000" w:firstRow="0" w:lastRow="0" w:firstColumn="0" w:lastColumn="0" w:noHBand="0" w:noVBand="0"/>
      </w:tblPr>
      <w:tblGrid>
        <w:gridCol w:w="2127"/>
        <w:gridCol w:w="1193"/>
        <w:gridCol w:w="1193"/>
        <w:gridCol w:w="1193"/>
        <w:gridCol w:w="1193"/>
        <w:gridCol w:w="1193"/>
        <w:gridCol w:w="1193"/>
      </w:tblGrid>
      <w:tr w:rsidR="00C16005" w:rsidRPr="00C16005" w14:paraId="24AE6A78" w14:textId="77777777" w:rsidTr="002A3B27">
        <w:trPr>
          <w:trHeight w:val="242"/>
        </w:trPr>
        <w:tc>
          <w:tcPr>
            <w:tcW w:w="2127" w:type="dxa"/>
            <w:tcBorders>
              <w:top w:val="single" w:sz="4" w:space="0" w:color="auto"/>
              <w:left w:val="nil"/>
              <w:bottom w:val="single" w:sz="10" w:space="0" w:color="auto"/>
              <w:right w:val="nil"/>
            </w:tcBorders>
          </w:tcPr>
          <w:p w14:paraId="077D260A" w14:textId="77777777" w:rsidR="00C16005" w:rsidRPr="00C16005" w:rsidRDefault="00C16005" w:rsidP="00C16005">
            <w:pPr>
              <w:widowControl w:val="0"/>
              <w:autoSpaceDE w:val="0"/>
              <w:autoSpaceDN w:val="0"/>
              <w:adjustRightInd w:val="0"/>
              <w:rPr>
                <w:rFonts w:asciiTheme="minorBidi" w:hAnsiTheme="minorBidi" w:cstheme="minorBidi"/>
                <w:b/>
                <w:bCs/>
              </w:rPr>
            </w:pPr>
            <w:proofErr w:type="spellStart"/>
            <w:r w:rsidRPr="00C16005">
              <w:rPr>
                <w:rFonts w:asciiTheme="minorBidi" w:hAnsiTheme="minorBidi" w:cstheme="minorBidi"/>
                <w:b/>
                <w:bCs/>
              </w:rPr>
              <w:t>logFDI</w:t>
            </w:r>
            <w:proofErr w:type="spellEnd"/>
            <w:r w:rsidRPr="00C16005">
              <w:rPr>
                <w:rFonts w:asciiTheme="minorBidi" w:hAnsiTheme="minorBidi" w:cstheme="minorBidi"/>
                <w:b/>
                <w:bCs/>
              </w:rPr>
              <w:t xml:space="preserve"> </w:t>
            </w:r>
          </w:p>
        </w:tc>
        <w:tc>
          <w:tcPr>
            <w:tcW w:w="1193" w:type="dxa"/>
            <w:tcBorders>
              <w:top w:val="single" w:sz="4" w:space="0" w:color="auto"/>
              <w:left w:val="nil"/>
              <w:bottom w:val="single" w:sz="10" w:space="0" w:color="auto"/>
              <w:right w:val="nil"/>
            </w:tcBorders>
          </w:tcPr>
          <w:p w14:paraId="67290441" w14:textId="77777777" w:rsidR="00C16005" w:rsidRPr="00C16005" w:rsidRDefault="00C16005" w:rsidP="00C16005">
            <w:pPr>
              <w:widowControl w:val="0"/>
              <w:autoSpaceDE w:val="0"/>
              <w:autoSpaceDN w:val="0"/>
              <w:adjustRightInd w:val="0"/>
              <w:rPr>
                <w:rFonts w:asciiTheme="minorBidi" w:hAnsiTheme="minorBidi" w:cstheme="minorBidi"/>
                <w:b/>
                <w:bCs/>
              </w:rPr>
            </w:pPr>
            <w:r w:rsidRPr="00C16005">
              <w:rPr>
                <w:rFonts w:asciiTheme="minorBidi" w:hAnsiTheme="minorBidi" w:cstheme="minorBidi"/>
                <w:b/>
                <w:bCs/>
              </w:rPr>
              <w:t xml:space="preserve"> Coef.</w:t>
            </w:r>
          </w:p>
        </w:tc>
        <w:tc>
          <w:tcPr>
            <w:tcW w:w="1193" w:type="dxa"/>
            <w:tcBorders>
              <w:top w:val="single" w:sz="4" w:space="0" w:color="auto"/>
              <w:left w:val="nil"/>
              <w:bottom w:val="single" w:sz="10" w:space="0" w:color="auto"/>
              <w:right w:val="nil"/>
            </w:tcBorders>
          </w:tcPr>
          <w:p w14:paraId="2B951B6A" w14:textId="77777777" w:rsidR="00C16005" w:rsidRPr="00C16005" w:rsidRDefault="00C16005" w:rsidP="00C16005">
            <w:pPr>
              <w:widowControl w:val="0"/>
              <w:autoSpaceDE w:val="0"/>
              <w:autoSpaceDN w:val="0"/>
              <w:adjustRightInd w:val="0"/>
              <w:rPr>
                <w:rFonts w:asciiTheme="minorBidi" w:hAnsiTheme="minorBidi" w:cstheme="minorBidi"/>
                <w:b/>
                <w:bCs/>
              </w:rPr>
            </w:pPr>
            <w:r w:rsidRPr="00C16005">
              <w:rPr>
                <w:rFonts w:asciiTheme="minorBidi" w:hAnsiTheme="minorBidi" w:cstheme="minorBidi"/>
                <w:b/>
                <w:bCs/>
              </w:rPr>
              <w:t xml:space="preserve"> Std. Err.</w:t>
            </w:r>
          </w:p>
        </w:tc>
        <w:tc>
          <w:tcPr>
            <w:tcW w:w="1193" w:type="dxa"/>
            <w:tcBorders>
              <w:top w:val="single" w:sz="4" w:space="0" w:color="auto"/>
              <w:left w:val="nil"/>
              <w:bottom w:val="single" w:sz="10" w:space="0" w:color="auto"/>
              <w:right w:val="nil"/>
            </w:tcBorders>
          </w:tcPr>
          <w:p w14:paraId="12497745" w14:textId="77777777" w:rsidR="00C16005" w:rsidRPr="00C16005" w:rsidRDefault="00C16005" w:rsidP="00C16005">
            <w:pPr>
              <w:widowControl w:val="0"/>
              <w:autoSpaceDE w:val="0"/>
              <w:autoSpaceDN w:val="0"/>
              <w:adjustRightInd w:val="0"/>
              <w:rPr>
                <w:rFonts w:asciiTheme="minorBidi" w:hAnsiTheme="minorBidi" w:cstheme="minorBidi"/>
                <w:b/>
                <w:bCs/>
              </w:rPr>
            </w:pPr>
            <w:r w:rsidRPr="00C16005">
              <w:rPr>
                <w:rFonts w:asciiTheme="minorBidi" w:hAnsiTheme="minorBidi" w:cstheme="minorBidi"/>
                <w:b/>
                <w:bCs/>
              </w:rPr>
              <w:t xml:space="preserve"> z</w:t>
            </w:r>
          </w:p>
        </w:tc>
        <w:tc>
          <w:tcPr>
            <w:tcW w:w="1193" w:type="dxa"/>
            <w:tcBorders>
              <w:top w:val="single" w:sz="4" w:space="0" w:color="auto"/>
              <w:left w:val="nil"/>
              <w:bottom w:val="single" w:sz="10" w:space="0" w:color="auto"/>
              <w:right w:val="nil"/>
            </w:tcBorders>
          </w:tcPr>
          <w:p w14:paraId="277149AA" w14:textId="77777777" w:rsidR="00C16005" w:rsidRPr="00C16005" w:rsidRDefault="00C16005" w:rsidP="00C16005">
            <w:pPr>
              <w:widowControl w:val="0"/>
              <w:autoSpaceDE w:val="0"/>
              <w:autoSpaceDN w:val="0"/>
              <w:adjustRightInd w:val="0"/>
              <w:rPr>
                <w:rFonts w:asciiTheme="minorBidi" w:hAnsiTheme="minorBidi" w:cstheme="minorBidi"/>
                <w:b/>
                <w:bCs/>
              </w:rPr>
            </w:pPr>
            <w:r w:rsidRPr="00C16005">
              <w:rPr>
                <w:rFonts w:asciiTheme="minorBidi" w:hAnsiTheme="minorBidi" w:cstheme="minorBidi"/>
                <w:b/>
                <w:bCs/>
              </w:rPr>
              <w:t xml:space="preserve"> P&gt;z</w:t>
            </w:r>
          </w:p>
        </w:tc>
        <w:tc>
          <w:tcPr>
            <w:tcW w:w="1193" w:type="dxa"/>
            <w:tcBorders>
              <w:top w:val="single" w:sz="4" w:space="0" w:color="auto"/>
              <w:left w:val="nil"/>
              <w:bottom w:val="single" w:sz="10" w:space="0" w:color="auto"/>
              <w:right w:val="nil"/>
            </w:tcBorders>
          </w:tcPr>
          <w:p w14:paraId="4023D00E" w14:textId="77777777" w:rsidR="00C16005" w:rsidRPr="00C16005" w:rsidRDefault="00C16005" w:rsidP="00C16005">
            <w:pPr>
              <w:widowControl w:val="0"/>
              <w:autoSpaceDE w:val="0"/>
              <w:autoSpaceDN w:val="0"/>
              <w:adjustRightInd w:val="0"/>
              <w:rPr>
                <w:rFonts w:asciiTheme="minorBidi" w:hAnsiTheme="minorBidi" w:cstheme="minorBidi"/>
                <w:b/>
                <w:bCs/>
              </w:rPr>
            </w:pPr>
            <w:r w:rsidRPr="00C16005">
              <w:rPr>
                <w:rFonts w:asciiTheme="minorBidi" w:hAnsiTheme="minorBidi" w:cstheme="minorBidi"/>
                <w:b/>
                <w:bCs/>
              </w:rPr>
              <w:t xml:space="preserve"> 95%Conf.</w:t>
            </w:r>
          </w:p>
        </w:tc>
        <w:tc>
          <w:tcPr>
            <w:tcW w:w="1193" w:type="dxa"/>
            <w:tcBorders>
              <w:top w:val="single" w:sz="4" w:space="0" w:color="auto"/>
              <w:left w:val="nil"/>
              <w:bottom w:val="single" w:sz="10" w:space="0" w:color="auto"/>
              <w:right w:val="nil"/>
            </w:tcBorders>
          </w:tcPr>
          <w:p w14:paraId="38F185FF" w14:textId="77777777" w:rsidR="00C16005" w:rsidRPr="00C16005" w:rsidRDefault="00C16005" w:rsidP="00C16005">
            <w:pPr>
              <w:widowControl w:val="0"/>
              <w:autoSpaceDE w:val="0"/>
              <w:autoSpaceDN w:val="0"/>
              <w:adjustRightInd w:val="0"/>
              <w:rPr>
                <w:rFonts w:asciiTheme="minorBidi" w:hAnsiTheme="minorBidi" w:cstheme="minorBidi"/>
                <w:b/>
                <w:bCs/>
              </w:rPr>
            </w:pPr>
            <w:r w:rsidRPr="00C16005">
              <w:rPr>
                <w:rFonts w:asciiTheme="minorBidi" w:hAnsiTheme="minorBidi" w:cstheme="minorBidi"/>
                <w:b/>
                <w:bCs/>
              </w:rPr>
              <w:t xml:space="preserve"> Interval</w:t>
            </w:r>
          </w:p>
        </w:tc>
      </w:tr>
      <w:tr w:rsidR="00C16005" w:rsidRPr="00C16005" w14:paraId="36EAB9E4" w14:textId="77777777" w:rsidTr="002A3B27">
        <w:trPr>
          <w:trHeight w:val="251"/>
        </w:trPr>
        <w:tc>
          <w:tcPr>
            <w:tcW w:w="2127" w:type="dxa"/>
            <w:tcBorders>
              <w:top w:val="nil"/>
              <w:left w:val="nil"/>
              <w:bottom w:val="nil"/>
              <w:right w:val="nil"/>
            </w:tcBorders>
          </w:tcPr>
          <w:p w14:paraId="52374779"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GE </w:t>
            </w:r>
          </w:p>
        </w:tc>
        <w:tc>
          <w:tcPr>
            <w:tcW w:w="1193" w:type="dxa"/>
            <w:tcBorders>
              <w:top w:val="nil"/>
              <w:left w:val="nil"/>
              <w:bottom w:val="nil"/>
              <w:right w:val="nil"/>
            </w:tcBorders>
          </w:tcPr>
          <w:p w14:paraId="2DBDCA8B"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1.077</w:t>
            </w:r>
          </w:p>
        </w:tc>
        <w:tc>
          <w:tcPr>
            <w:tcW w:w="1193" w:type="dxa"/>
            <w:tcBorders>
              <w:top w:val="nil"/>
              <w:left w:val="nil"/>
              <w:bottom w:val="nil"/>
              <w:right w:val="nil"/>
            </w:tcBorders>
          </w:tcPr>
          <w:p w14:paraId="65100B50"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0.455</w:t>
            </w:r>
          </w:p>
        </w:tc>
        <w:tc>
          <w:tcPr>
            <w:tcW w:w="1193" w:type="dxa"/>
            <w:tcBorders>
              <w:top w:val="nil"/>
              <w:left w:val="nil"/>
              <w:bottom w:val="nil"/>
              <w:right w:val="nil"/>
            </w:tcBorders>
          </w:tcPr>
          <w:p w14:paraId="338EED94"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2.360</w:t>
            </w:r>
          </w:p>
        </w:tc>
        <w:tc>
          <w:tcPr>
            <w:tcW w:w="1193" w:type="dxa"/>
            <w:tcBorders>
              <w:top w:val="nil"/>
              <w:left w:val="nil"/>
              <w:bottom w:val="nil"/>
              <w:right w:val="nil"/>
            </w:tcBorders>
          </w:tcPr>
          <w:p w14:paraId="0D3D27BA"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0.018**</w:t>
            </w:r>
          </w:p>
        </w:tc>
        <w:tc>
          <w:tcPr>
            <w:tcW w:w="1193" w:type="dxa"/>
            <w:tcBorders>
              <w:top w:val="nil"/>
              <w:left w:val="nil"/>
              <w:bottom w:val="nil"/>
              <w:right w:val="nil"/>
            </w:tcBorders>
          </w:tcPr>
          <w:p w14:paraId="7E29BFB1"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0.184</w:t>
            </w:r>
          </w:p>
        </w:tc>
        <w:tc>
          <w:tcPr>
            <w:tcW w:w="1193" w:type="dxa"/>
            <w:tcBorders>
              <w:top w:val="nil"/>
              <w:left w:val="nil"/>
              <w:bottom w:val="nil"/>
              <w:right w:val="nil"/>
            </w:tcBorders>
          </w:tcPr>
          <w:p w14:paraId="22ABE130"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1.970</w:t>
            </w:r>
          </w:p>
        </w:tc>
      </w:tr>
      <w:tr w:rsidR="00C16005" w:rsidRPr="00C16005" w14:paraId="04B427C5" w14:textId="77777777" w:rsidTr="002A3B27">
        <w:trPr>
          <w:trHeight w:val="242"/>
        </w:trPr>
        <w:tc>
          <w:tcPr>
            <w:tcW w:w="2127" w:type="dxa"/>
            <w:tcBorders>
              <w:top w:val="nil"/>
              <w:left w:val="nil"/>
              <w:bottom w:val="nil"/>
              <w:right w:val="nil"/>
            </w:tcBorders>
          </w:tcPr>
          <w:p w14:paraId="65EA364B"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RQ </w:t>
            </w:r>
          </w:p>
        </w:tc>
        <w:tc>
          <w:tcPr>
            <w:tcW w:w="1193" w:type="dxa"/>
            <w:tcBorders>
              <w:top w:val="nil"/>
              <w:left w:val="nil"/>
              <w:bottom w:val="nil"/>
              <w:right w:val="nil"/>
            </w:tcBorders>
          </w:tcPr>
          <w:p w14:paraId="6531CC9C"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-0.838</w:t>
            </w:r>
          </w:p>
        </w:tc>
        <w:tc>
          <w:tcPr>
            <w:tcW w:w="1193" w:type="dxa"/>
            <w:tcBorders>
              <w:top w:val="nil"/>
              <w:left w:val="nil"/>
              <w:bottom w:val="nil"/>
              <w:right w:val="nil"/>
            </w:tcBorders>
          </w:tcPr>
          <w:p w14:paraId="4283760E"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0.441</w:t>
            </w:r>
          </w:p>
        </w:tc>
        <w:tc>
          <w:tcPr>
            <w:tcW w:w="1193" w:type="dxa"/>
            <w:tcBorders>
              <w:top w:val="nil"/>
              <w:left w:val="nil"/>
              <w:bottom w:val="nil"/>
              <w:right w:val="nil"/>
            </w:tcBorders>
          </w:tcPr>
          <w:p w14:paraId="4854DAD1"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-1.900</w:t>
            </w:r>
          </w:p>
        </w:tc>
        <w:tc>
          <w:tcPr>
            <w:tcW w:w="1193" w:type="dxa"/>
            <w:tcBorders>
              <w:top w:val="nil"/>
              <w:left w:val="nil"/>
              <w:bottom w:val="nil"/>
              <w:right w:val="nil"/>
            </w:tcBorders>
          </w:tcPr>
          <w:p w14:paraId="7A5B54B2"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0.057***</w:t>
            </w:r>
          </w:p>
        </w:tc>
        <w:tc>
          <w:tcPr>
            <w:tcW w:w="1193" w:type="dxa"/>
            <w:tcBorders>
              <w:top w:val="nil"/>
              <w:left w:val="nil"/>
              <w:bottom w:val="nil"/>
              <w:right w:val="nil"/>
            </w:tcBorders>
          </w:tcPr>
          <w:p w14:paraId="1CCD2987"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-1.702</w:t>
            </w:r>
          </w:p>
        </w:tc>
        <w:tc>
          <w:tcPr>
            <w:tcW w:w="1193" w:type="dxa"/>
            <w:tcBorders>
              <w:top w:val="nil"/>
              <w:left w:val="nil"/>
              <w:bottom w:val="nil"/>
              <w:right w:val="nil"/>
            </w:tcBorders>
          </w:tcPr>
          <w:p w14:paraId="05BED313"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0.025</w:t>
            </w:r>
          </w:p>
        </w:tc>
      </w:tr>
      <w:tr w:rsidR="00C16005" w:rsidRPr="00C16005" w14:paraId="4A32C9C4" w14:textId="77777777" w:rsidTr="002A3B27">
        <w:trPr>
          <w:trHeight w:val="242"/>
        </w:trPr>
        <w:tc>
          <w:tcPr>
            <w:tcW w:w="2127" w:type="dxa"/>
            <w:tcBorders>
              <w:top w:val="nil"/>
              <w:left w:val="nil"/>
              <w:bottom w:val="nil"/>
              <w:right w:val="nil"/>
            </w:tcBorders>
          </w:tcPr>
          <w:p w14:paraId="0E6655F5"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CC </w:t>
            </w:r>
          </w:p>
        </w:tc>
        <w:tc>
          <w:tcPr>
            <w:tcW w:w="1193" w:type="dxa"/>
            <w:tcBorders>
              <w:top w:val="nil"/>
              <w:left w:val="nil"/>
              <w:bottom w:val="nil"/>
              <w:right w:val="nil"/>
            </w:tcBorders>
          </w:tcPr>
          <w:p w14:paraId="06FC63FC"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-2.443</w:t>
            </w:r>
          </w:p>
        </w:tc>
        <w:tc>
          <w:tcPr>
            <w:tcW w:w="1193" w:type="dxa"/>
            <w:tcBorders>
              <w:top w:val="nil"/>
              <w:left w:val="nil"/>
              <w:bottom w:val="nil"/>
              <w:right w:val="nil"/>
            </w:tcBorders>
          </w:tcPr>
          <w:p w14:paraId="1B947512"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0.496</w:t>
            </w:r>
          </w:p>
        </w:tc>
        <w:tc>
          <w:tcPr>
            <w:tcW w:w="1193" w:type="dxa"/>
            <w:tcBorders>
              <w:top w:val="nil"/>
              <w:left w:val="nil"/>
              <w:bottom w:val="nil"/>
              <w:right w:val="nil"/>
            </w:tcBorders>
          </w:tcPr>
          <w:p w14:paraId="295BE1B2"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-4.930</w:t>
            </w:r>
          </w:p>
        </w:tc>
        <w:tc>
          <w:tcPr>
            <w:tcW w:w="1193" w:type="dxa"/>
            <w:tcBorders>
              <w:top w:val="nil"/>
              <w:left w:val="nil"/>
              <w:bottom w:val="nil"/>
              <w:right w:val="nil"/>
            </w:tcBorders>
          </w:tcPr>
          <w:p w14:paraId="44EE3F4F"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0.000*</w:t>
            </w:r>
          </w:p>
        </w:tc>
        <w:tc>
          <w:tcPr>
            <w:tcW w:w="1193" w:type="dxa"/>
            <w:tcBorders>
              <w:top w:val="nil"/>
              <w:left w:val="nil"/>
              <w:bottom w:val="nil"/>
              <w:right w:val="nil"/>
            </w:tcBorders>
          </w:tcPr>
          <w:p w14:paraId="02FF84C8"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-3.415</w:t>
            </w:r>
          </w:p>
        </w:tc>
        <w:tc>
          <w:tcPr>
            <w:tcW w:w="1193" w:type="dxa"/>
            <w:tcBorders>
              <w:top w:val="nil"/>
              <w:left w:val="nil"/>
              <w:bottom w:val="nil"/>
              <w:right w:val="nil"/>
            </w:tcBorders>
          </w:tcPr>
          <w:p w14:paraId="1F95A049"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-1.471</w:t>
            </w:r>
          </w:p>
        </w:tc>
      </w:tr>
      <w:tr w:rsidR="00C16005" w:rsidRPr="00C16005" w14:paraId="26488167" w14:textId="77777777" w:rsidTr="002A3B27">
        <w:trPr>
          <w:trHeight w:val="242"/>
        </w:trPr>
        <w:tc>
          <w:tcPr>
            <w:tcW w:w="2127" w:type="dxa"/>
            <w:tcBorders>
              <w:top w:val="nil"/>
              <w:left w:val="nil"/>
              <w:bottom w:val="nil"/>
              <w:right w:val="nil"/>
            </w:tcBorders>
          </w:tcPr>
          <w:p w14:paraId="19734C5B"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RL </w:t>
            </w:r>
          </w:p>
        </w:tc>
        <w:tc>
          <w:tcPr>
            <w:tcW w:w="1193" w:type="dxa"/>
            <w:tcBorders>
              <w:top w:val="nil"/>
              <w:left w:val="nil"/>
              <w:bottom w:val="nil"/>
              <w:right w:val="nil"/>
            </w:tcBorders>
          </w:tcPr>
          <w:p w14:paraId="774504F7"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0.948</w:t>
            </w:r>
          </w:p>
        </w:tc>
        <w:tc>
          <w:tcPr>
            <w:tcW w:w="1193" w:type="dxa"/>
            <w:tcBorders>
              <w:top w:val="nil"/>
              <w:left w:val="nil"/>
              <w:bottom w:val="nil"/>
              <w:right w:val="nil"/>
            </w:tcBorders>
          </w:tcPr>
          <w:p w14:paraId="2DDC63A1"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0.467</w:t>
            </w:r>
          </w:p>
        </w:tc>
        <w:tc>
          <w:tcPr>
            <w:tcW w:w="1193" w:type="dxa"/>
            <w:tcBorders>
              <w:top w:val="nil"/>
              <w:left w:val="nil"/>
              <w:bottom w:val="nil"/>
              <w:right w:val="nil"/>
            </w:tcBorders>
          </w:tcPr>
          <w:p w14:paraId="7AE6E08A"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2.030</w:t>
            </w:r>
          </w:p>
        </w:tc>
        <w:tc>
          <w:tcPr>
            <w:tcW w:w="1193" w:type="dxa"/>
            <w:tcBorders>
              <w:top w:val="nil"/>
              <w:left w:val="nil"/>
              <w:bottom w:val="nil"/>
              <w:right w:val="nil"/>
            </w:tcBorders>
          </w:tcPr>
          <w:p w14:paraId="06411229"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0.042**</w:t>
            </w:r>
          </w:p>
        </w:tc>
        <w:tc>
          <w:tcPr>
            <w:tcW w:w="1193" w:type="dxa"/>
            <w:tcBorders>
              <w:top w:val="nil"/>
              <w:left w:val="nil"/>
              <w:bottom w:val="nil"/>
              <w:right w:val="nil"/>
            </w:tcBorders>
          </w:tcPr>
          <w:p w14:paraId="09626479"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0.032</w:t>
            </w:r>
          </w:p>
        </w:tc>
        <w:tc>
          <w:tcPr>
            <w:tcW w:w="1193" w:type="dxa"/>
            <w:tcBorders>
              <w:top w:val="nil"/>
              <w:left w:val="nil"/>
              <w:bottom w:val="nil"/>
              <w:right w:val="nil"/>
            </w:tcBorders>
          </w:tcPr>
          <w:p w14:paraId="1EB52491"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1.864</w:t>
            </w:r>
          </w:p>
        </w:tc>
      </w:tr>
      <w:tr w:rsidR="00C16005" w:rsidRPr="00C16005" w14:paraId="41A53BB6" w14:textId="77777777" w:rsidTr="002A3B27">
        <w:trPr>
          <w:trHeight w:val="242"/>
        </w:trPr>
        <w:tc>
          <w:tcPr>
            <w:tcW w:w="2127" w:type="dxa"/>
            <w:tcBorders>
              <w:top w:val="nil"/>
              <w:left w:val="nil"/>
              <w:bottom w:val="nil"/>
              <w:right w:val="nil"/>
            </w:tcBorders>
          </w:tcPr>
          <w:p w14:paraId="46992522" w14:textId="77777777" w:rsidR="00C16005" w:rsidRPr="00C16005" w:rsidRDefault="00C16005" w:rsidP="00C16005">
            <w:pPr>
              <w:widowControl w:val="0"/>
              <w:autoSpaceDE w:val="0"/>
              <w:autoSpaceDN w:val="0"/>
              <w:adjustRightInd w:val="0"/>
              <w:rPr>
                <w:rFonts w:asciiTheme="minorBidi" w:hAnsiTheme="minorBidi" w:cstheme="minorBidi"/>
              </w:rPr>
            </w:pPr>
            <w:proofErr w:type="spellStart"/>
            <w:r w:rsidRPr="00C16005">
              <w:rPr>
                <w:rFonts w:asciiTheme="minorBidi" w:hAnsiTheme="minorBidi" w:cstheme="minorBidi"/>
              </w:rPr>
              <w:t>logMS</w:t>
            </w:r>
            <w:proofErr w:type="spellEnd"/>
            <w:r w:rsidRPr="00C16005">
              <w:rPr>
                <w:rFonts w:asciiTheme="minorBidi" w:hAnsiTheme="minorBidi" w:cstheme="minorBidi"/>
              </w:rPr>
              <w:t xml:space="preserve"> </w:t>
            </w:r>
          </w:p>
        </w:tc>
        <w:tc>
          <w:tcPr>
            <w:tcW w:w="1193" w:type="dxa"/>
            <w:tcBorders>
              <w:top w:val="nil"/>
              <w:left w:val="nil"/>
              <w:bottom w:val="nil"/>
              <w:right w:val="nil"/>
            </w:tcBorders>
          </w:tcPr>
          <w:p w14:paraId="7C326596"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2.057</w:t>
            </w:r>
          </w:p>
        </w:tc>
        <w:tc>
          <w:tcPr>
            <w:tcW w:w="1193" w:type="dxa"/>
            <w:tcBorders>
              <w:top w:val="nil"/>
              <w:left w:val="nil"/>
              <w:bottom w:val="nil"/>
              <w:right w:val="nil"/>
            </w:tcBorders>
          </w:tcPr>
          <w:p w14:paraId="34701C56"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0.426</w:t>
            </w:r>
          </w:p>
        </w:tc>
        <w:tc>
          <w:tcPr>
            <w:tcW w:w="1193" w:type="dxa"/>
            <w:tcBorders>
              <w:top w:val="nil"/>
              <w:left w:val="nil"/>
              <w:bottom w:val="nil"/>
              <w:right w:val="nil"/>
            </w:tcBorders>
          </w:tcPr>
          <w:p w14:paraId="4BFBD7FF"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4.830</w:t>
            </w:r>
          </w:p>
        </w:tc>
        <w:tc>
          <w:tcPr>
            <w:tcW w:w="1193" w:type="dxa"/>
            <w:tcBorders>
              <w:top w:val="nil"/>
              <w:left w:val="nil"/>
              <w:bottom w:val="nil"/>
              <w:right w:val="nil"/>
            </w:tcBorders>
          </w:tcPr>
          <w:p w14:paraId="179A39CA"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0.000*</w:t>
            </w:r>
          </w:p>
        </w:tc>
        <w:tc>
          <w:tcPr>
            <w:tcW w:w="1193" w:type="dxa"/>
            <w:tcBorders>
              <w:top w:val="nil"/>
              <w:left w:val="nil"/>
              <w:bottom w:val="nil"/>
              <w:right w:val="nil"/>
            </w:tcBorders>
          </w:tcPr>
          <w:p w14:paraId="12A7C04B"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1.222</w:t>
            </w:r>
          </w:p>
        </w:tc>
        <w:tc>
          <w:tcPr>
            <w:tcW w:w="1193" w:type="dxa"/>
            <w:tcBorders>
              <w:top w:val="nil"/>
              <w:left w:val="nil"/>
              <w:bottom w:val="nil"/>
              <w:right w:val="nil"/>
            </w:tcBorders>
          </w:tcPr>
          <w:p w14:paraId="4888C2C8"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2.891</w:t>
            </w:r>
          </w:p>
        </w:tc>
      </w:tr>
      <w:tr w:rsidR="00C16005" w:rsidRPr="00C16005" w14:paraId="26700FDC" w14:textId="77777777" w:rsidTr="002A3B27">
        <w:trPr>
          <w:trHeight w:val="242"/>
        </w:trPr>
        <w:tc>
          <w:tcPr>
            <w:tcW w:w="2127" w:type="dxa"/>
            <w:tcBorders>
              <w:top w:val="nil"/>
              <w:left w:val="nil"/>
              <w:bottom w:val="nil"/>
              <w:right w:val="nil"/>
            </w:tcBorders>
          </w:tcPr>
          <w:p w14:paraId="7AF092C6"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TO </w:t>
            </w:r>
          </w:p>
        </w:tc>
        <w:tc>
          <w:tcPr>
            <w:tcW w:w="1193" w:type="dxa"/>
            <w:tcBorders>
              <w:top w:val="nil"/>
              <w:left w:val="nil"/>
              <w:bottom w:val="nil"/>
              <w:right w:val="nil"/>
            </w:tcBorders>
          </w:tcPr>
          <w:p w14:paraId="7A3BB814"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5.551</w:t>
            </w:r>
          </w:p>
        </w:tc>
        <w:tc>
          <w:tcPr>
            <w:tcW w:w="1193" w:type="dxa"/>
            <w:tcBorders>
              <w:top w:val="nil"/>
              <w:left w:val="nil"/>
              <w:bottom w:val="nil"/>
              <w:right w:val="nil"/>
            </w:tcBorders>
          </w:tcPr>
          <w:p w14:paraId="6011C4BC"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1.193</w:t>
            </w:r>
          </w:p>
        </w:tc>
        <w:tc>
          <w:tcPr>
            <w:tcW w:w="1193" w:type="dxa"/>
            <w:tcBorders>
              <w:top w:val="nil"/>
              <w:left w:val="nil"/>
              <w:bottom w:val="nil"/>
              <w:right w:val="nil"/>
            </w:tcBorders>
          </w:tcPr>
          <w:p w14:paraId="24B548AD"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4.650</w:t>
            </w:r>
          </w:p>
        </w:tc>
        <w:tc>
          <w:tcPr>
            <w:tcW w:w="1193" w:type="dxa"/>
            <w:tcBorders>
              <w:top w:val="nil"/>
              <w:left w:val="nil"/>
              <w:bottom w:val="nil"/>
              <w:right w:val="nil"/>
            </w:tcBorders>
          </w:tcPr>
          <w:p w14:paraId="59B1C94C"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0.000*</w:t>
            </w:r>
          </w:p>
        </w:tc>
        <w:tc>
          <w:tcPr>
            <w:tcW w:w="1193" w:type="dxa"/>
            <w:tcBorders>
              <w:top w:val="nil"/>
              <w:left w:val="nil"/>
              <w:bottom w:val="nil"/>
              <w:right w:val="nil"/>
            </w:tcBorders>
          </w:tcPr>
          <w:p w14:paraId="14844825"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3.212</w:t>
            </w:r>
          </w:p>
        </w:tc>
        <w:tc>
          <w:tcPr>
            <w:tcW w:w="1193" w:type="dxa"/>
            <w:tcBorders>
              <w:top w:val="nil"/>
              <w:left w:val="nil"/>
              <w:bottom w:val="nil"/>
              <w:right w:val="nil"/>
            </w:tcBorders>
          </w:tcPr>
          <w:p w14:paraId="31D07D9F"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7.890</w:t>
            </w:r>
          </w:p>
        </w:tc>
      </w:tr>
      <w:tr w:rsidR="00C16005" w:rsidRPr="00C16005" w14:paraId="1E7C2179" w14:textId="77777777" w:rsidTr="002A3B27">
        <w:trPr>
          <w:trHeight w:val="242"/>
        </w:trPr>
        <w:tc>
          <w:tcPr>
            <w:tcW w:w="2127" w:type="dxa"/>
            <w:tcBorders>
              <w:top w:val="nil"/>
              <w:left w:val="nil"/>
              <w:bottom w:val="nil"/>
              <w:right w:val="nil"/>
            </w:tcBorders>
          </w:tcPr>
          <w:p w14:paraId="341D2F42" w14:textId="77777777" w:rsidR="00C16005" w:rsidRPr="00C16005" w:rsidRDefault="00C16005" w:rsidP="00C16005">
            <w:pPr>
              <w:widowControl w:val="0"/>
              <w:autoSpaceDE w:val="0"/>
              <w:autoSpaceDN w:val="0"/>
              <w:adjustRightInd w:val="0"/>
              <w:rPr>
                <w:rFonts w:asciiTheme="minorBidi" w:hAnsiTheme="minorBidi" w:cstheme="minorBidi"/>
              </w:rPr>
            </w:pPr>
            <w:proofErr w:type="spellStart"/>
            <w:r w:rsidRPr="00C16005">
              <w:rPr>
                <w:rFonts w:asciiTheme="minorBidi" w:hAnsiTheme="minorBidi" w:cstheme="minorBidi"/>
              </w:rPr>
              <w:t>Infl</w:t>
            </w:r>
            <w:proofErr w:type="spellEnd"/>
            <w:r w:rsidRPr="00C16005">
              <w:rPr>
                <w:rFonts w:asciiTheme="minorBidi" w:hAnsiTheme="minorBidi" w:cstheme="minorBidi"/>
              </w:rPr>
              <w:t xml:space="preserve"> </w:t>
            </w:r>
          </w:p>
        </w:tc>
        <w:tc>
          <w:tcPr>
            <w:tcW w:w="1193" w:type="dxa"/>
            <w:tcBorders>
              <w:top w:val="nil"/>
              <w:left w:val="nil"/>
              <w:bottom w:val="nil"/>
              <w:right w:val="nil"/>
            </w:tcBorders>
          </w:tcPr>
          <w:p w14:paraId="5EAAC3A0"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-0.035</w:t>
            </w:r>
          </w:p>
        </w:tc>
        <w:tc>
          <w:tcPr>
            <w:tcW w:w="1193" w:type="dxa"/>
            <w:tcBorders>
              <w:top w:val="nil"/>
              <w:left w:val="nil"/>
              <w:bottom w:val="nil"/>
              <w:right w:val="nil"/>
            </w:tcBorders>
          </w:tcPr>
          <w:p w14:paraId="581FCA5C"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0.008</w:t>
            </w:r>
          </w:p>
        </w:tc>
        <w:tc>
          <w:tcPr>
            <w:tcW w:w="1193" w:type="dxa"/>
            <w:tcBorders>
              <w:top w:val="nil"/>
              <w:left w:val="nil"/>
              <w:bottom w:val="nil"/>
              <w:right w:val="nil"/>
            </w:tcBorders>
          </w:tcPr>
          <w:p w14:paraId="56A30137"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-4.370</w:t>
            </w:r>
          </w:p>
        </w:tc>
        <w:tc>
          <w:tcPr>
            <w:tcW w:w="1193" w:type="dxa"/>
            <w:tcBorders>
              <w:top w:val="nil"/>
              <w:left w:val="nil"/>
              <w:bottom w:val="nil"/>
              <w:right w:val="nil"/>
            </w:tcBorders>
          </w:tcPr>
          <w:p w14:paraId="467273FF"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0.000*</w:t>
            </w:r>
          </w:p>
        </w:tc>
        <w:tc>
          <w:tcPr>
            <w:tcW w:w="1193" w:type="dxa"/>
            <w:tcBorders>
              <w:top w:val="nil"/>
              <w:left w:val="nil"/>
              <w:bottom w:val="nil"/>
              <w:right w:val="nil"/>
            </w:tcBorders>
          </w:tcPr>
          <w:p w14:paraId="2FD8CF63"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-0.050</w:t>
            </w:r>
          </w:p>
        </w:tc>
        <w:tc>
          <w:tcPr>
            <w:tcW w:w="1193" w:type="dxa"/>
            <w:tcBorders>
              <w:top w:val="nil"/>
              <w:left w:val="nil"/>
              <w:bottom w:val="nil"/>
              <w:right w:val="nil"/>
            </w:tcBorders>
          </w:tcPr>
          <w:p w14:paraId="2B98C2F6"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-0.019</w:t>
            </w:r>
          </w:p>
        </w:tc>
      </w:tr>
      <w:tr w:rsidR="00C16005" w:rsidRPr="00C16005" w14:paraId="6DE2ED36" w14:textId="77777777" w:rsidTr="002A3B27">
        <w:trPr>
          <w:trHeight w:val="242"/>
        </w:trPr>
        <w:tc>
          <w:tcPr>
            <w:tcW w:w="2127" w:type="dxa"/>
            <w:tcBorders>
              <w:top w:val="nil"/>
              <w:left w:val="nil"/>
              <w:bottom w:val="nil"/>
              <w:right w:val="nil"/>
            </w:tcBorders>
          </w:tcPr>
          <w:p w14:paraId="1B1CEB16"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ER </w:t>
            </w:r>
          </w:p>
        </w:tc>
        <w:tc>
          <w:tcPr>
            <w:tcW w:w="1193" w:type="dxa"/>
            <w:tcBorders>
              <w:top w:val="nil"/>
              <w:left w:val="nil"/>
              <w:bottom w:val="nil"/>
              <w:right w:val="nil"/>
            </w:tcBorders>
          </w:tcPr>
          <w:p w14:paraId="3F737373"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0.012</w:t>
            </w:r>
          </w:p>
        </w:tc>
        <w:tc>
          <w:tcPr>
            <w:tcW w:w="1193" w:type="dxa"/>
            <w:tcBorders>
              <w:top w:val="nil"/>
              <w:left w:val="nil"/>
              <w:bottom w:val="nil"/>
              <w:right w:val="nil"/>
            </w:tcBorders>
          </w:tcPr>
          <w:p w14:paraId="4B20CF0E"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0.007</w:t>
            </w:r>
          </w:p>
        </w:tc>
        <w:tc>
          <w:tcPr>
            <w:tcW w:w="1193" w:type="dxa"/>
            <w:tcBorders>
              <w:top w:val="nil"/>
              <w:left w:val="nil"/>
              <w:bottom w:val="nil"/>
              <w:right w:val="nil"/>
            </w:tcBorders>
          </w:tcPr>
          <w:p w14:paraId="44B4227A"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1.700</w:t>
            </w:r>
          </w:p>
        </w:tc>
        <w:tc>
          <w:tcPr>
            <w:tcW w:w="1193" w:type="dxa"/>
            <w:tcBorders>
              <w:top w:val="nil"/>
              <w:left w:val="nil"/>
              <w:bottom w:val="nil"/>
              <w:right w:val="nil"/>
            </w:tcBorders>
          </w:tcPr>
          <w:p w14:paraId="4D9B8CB8"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0.089***</w:t>
            </w:r>
          </w:p>
        </w:tc>
        <w:tc>
          <w:tcPr>
            <w:tcW w:w="1193" w:type="dxa"/>
            <w:tcBorders>
              <w:top w:val="nil"/>
              <w:left w:val="nil"/>
              <w:bottom w:val="nil"/>
              <w:right w:val="nil"/>
            </w:tcBorders>
          </w:tcPr>
          <w:p w14:paraId="637245FC"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-0.002</w:t>
            </w:r>
          </w:p>
        </w:tc>
        <w:tc>
          <w:tcPr>
            <w:tcW w:w="1193" w:type="dxa"/>
            <w:tcBorders>
              <w:top w:val="nil"/>
              <w:left w:val="nil"/>
              <w:bottom w:val="nil"/>
              <w:right w:val="nil"/>
            </w:tcBorders>
          </w:tcPr>
          <w:p w14:paraId="31F3B7E7"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0.026</w:t>
            </w:r>
          </w:p>
        </w:tc>
      </w:tr>
      <w:tr w:rsidR="00C16005" w:rsidRPr="00C16005" w14:paraId="1DA1AFE7" w14:textId="77777777" w:rsidTr="002A3B27">
        <w:trPr>
          <w:trHeight w:val="242"/>
        </w:trPr>
        <w:tc>
          <w:tcPr>
            <w:tcW w:w="2127" w:type="dxa"/>
            <w:tcBorders>
              <w:top w:val="nil"/>
              <w:left w:val="nil"/>
              <w:bottom w:val="nil"/>
              <w:right w:val="nil"/>
            </w:tcBorders>
          </w:tcPr>
          <w:p w14:paraId="35B317B8" w14:textId="77777777" w:rsidR="00C16005" w:rsidRPr="00C16005" w:rsidRDefault="00C16005" w:rsidP="00C16005">
            <w:pPr>
              <w:widowControl w:val="0"/>
              <w:autoSpaceDE w:val="0"/>
              <w:autoSpaceDN w:val="0"/>
              <w:adjustRightInd w:val="0"/>
              <w:rPr>
                <w:rFonts w:asciiTheme="minorBidi" w:hAnsiTheme="minorBidi" w:cstheme="minorBidi"/>
              </w:rPr>
            </w:pPr>
            <w:proofErr w:type="spellStart"/>
            <w:r w:rsidRPr="00C16005">
              <w:rPr>
                <w:rFonts w:asciiTheme="minorBidi" w:hAnsiTheme="minorBidi" w:cstheme="minorBidi"/>
              </w:rPr>
              <w:t>Infr</w:t>
            </w:r>
            <w:proofErr w:type="spellEnd"/>
            <w:r w:rsidRPr="00C16005">
              <w:rPr>
                <w:rFonts w:asciiTheme="minorBidi" w:hAnsiTheme="minorBidi" w:cstheme="minorBidi"/>
              </w:rPr>
              <w:t xml:space="preserve"> </w:t>
            </w:r>
          </w:p>
        </w:tc>
        <w:tc>
          <w:tcPr>
            <w:tcW w:w="1193" w:type="dxa"/>
            <w:tcBorders>
              <w:top w:val="nil"/>
              <w:left w:val="nil"/>
              <w:bottom w:val="nil"/>
              <w:right w:val="nil"/>
            </w:tcBorders>
          </w:tcPr>
          <w:p w14:paraId="32A1C549"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-0.063</w:t>
            </w:r>
          </w:p>
        </w:tc>
        <w:tc>
          <w:tcPr>
            <w:tcW w:w="1193" w:type="dxa"/>
            <w:tcBorders>
              <w:top w:val="nil"/>
              <w:left w:val="nil"/>
              <w:bottom w:val="nil"/>
              <w:right w:val="nil"/>
            </w:tcBorders>
          </w:tcPr>
          <w:p w14:paraId="031A5A63"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0.011</w:t>
            </w:r>
          </w:p>
        </w:tc>
        <w:tc>
          <w:tcPr>
            <w:tcW w:w="1193" w:type="dxa"/>
            <w:tcBorders>
              <w:top w:val="nil"/>
              <w:left w:val="nil"/>
              <w:bottom w:val="nil"/>
              <w:right w:val="nil"/>
            </w:tcBorders>
          </w:tcPr>
          <w:p w14:paraId="250A4BC7"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-5.920</w:t>
            </w:r>
          </w:p>
        </w:tc>
        <w:tc>
          <w:tcPr>
            <w:tcW w:w="1193" w:type="dxa"/>
            <w:tcBorders>
              <w:top w:val="nil"/>
              <w:left w:val="nil"/>
              <w:bottom w:val="nil"/>
              <w:right w:val="nil"/>
            </w:tcBorders>
          </w:tcPr>
          <w:p w14:paraId="1709D389"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0.000*</w:t>
            </w:r>
          </w:p>
        </w:tc>
        <w:tc>
          <w:tcPr>
            <w:tcW w:w="1193" w:type="dxa"/>
            <w:tcBorders>
              <w:top w:val="nil"/>
              <w:left w:val="nil"/>
              <w:bottom w:val="nil"/>
              <w:right w:val="nil"/>
            </w:tcBorders>
          </w:tcPr>
          <w:p w14:paraId="6F04E8C3"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-0.084</w:t>
            </w:r>
          </w:p>
        </w:tc>
        <w:tc>
          <w:tcPr>
            <w:tcW w:w="1193" w:type="dxa"/>
            <w:tcBorders>
              <w:top w:val="nil"/>
              <w:left w:val="nil"/>
              <w:bottom w:val="nil"/>
              <w:right w:val="nil"/>
            </w:tcBorders>
          </w:tcPr>
          <w:p w14:paraId="2A62714F"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-0.042</w:t>
            </w:r>
          </w:p>
        </w:tc>
      </w:tr>
      <w:tr w:rsidR="00C16005" w:rsidRPr="00C16005" w14:paraId="51A0E8E1" w14:textId="77777777" w:rsidTr="002A3B27">
        <w:trPr>
          <w:trHeight w:val="242"/>
        </w:trPr>
        <w:tc>
          <w:tcPr>
            <w:tcW w:w="2127" w:type="dxa"/>
            <w:tcBorders>
              <w:top w:val="nil"/>
              <w:left w:val="nil"/>
              <w:bottom w:val="nil"/>
              <w:right w:val="nil"/>
            </w:tcBorders>
          </w:tcPr>
          <w:p w14:paraId="5EE60057"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cons </w:t>
            </w:r>
          </w:p>
        </w:tc>
        <w:tc>
          <w:tcPr>
            <w:tcW w:w="1193" w:type="dxa"/>
            <w:tcBorders>
              <w:top w:val="nil"/>
              <w:left w:val="nil"/>
              <w:bottom w:val="nil"/>
              <w:right w:val="nil"/>
            </w:tcBorders>
          </w:tcPr>
          <w:p w14:paraId="38A7F820"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-31.661</w:t>
            </w:r>
          </w:p>
        </w:tc>
        <w:tc>
          <w:tcPr>
            <w:tcW w:w="1193" w:type="dxa"/>
            <w:tcBorders>
              <w:top w:val="nil"/>
              <w:left w:val="nil"/>
              <w:bottom w:val="nil"/>
              <w:right w:val="nil"/>
            </w:tcBorders>
          </w:tcPr>
          <w:p w14:paraId="1EE6BA65"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9.940</w:t>
            </w:r>
          </w:p>
        </w:tc>
        <w:tc>
          <w:tcPr>
            <w:tcW w:w="1193" w:type="dxa"/>
            <w:tcBorders>
              <w:top w:val="nil"/>
              <w:left w:val="nil"/>
              <w:bottom w:val="nil"/>
              <w:right w:val="nil"/>
            </w:tcBorders>
          </w:tcPr>
          <w:p w14:paraId="14897535"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-3.190</w:t>
            </w:r>
          </w:p>
        </w:tc>
        <w:tc>
          <w:tcPr>
            <w:tcW w:w="1193" w:type="dxa"/>
            <w:tcBorders>
              <w:top w:val="nil"/>
              <w:left w:val="nil"/>
              <w:bottom w:val="nil"/>
              <w:right w:val="nil"/>
            </w:tcBorders>
          </w:tcPr>
          <w:p w14:paraId="786234CA"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0.001*</w:t>
            </w:r>
          </w:p>
        </w:tc>
        <w:tc>
          <w:tcPr>
            <w:tcW w:w="1193" w:type="dxa"/>
            <w:tcBorders>
              <w:top w:val="nil"/>
              <w:left w:val="nil"/>
              <w:bottom w:val="nil"/>
              <w:right w:val="nil"/>
            </w:tcBorders>
          </w:tcPr>
          <w:p w14:paraId="6A900E9C"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-51.144</w:t>
            </w:r>
          </w:p>
        </w:tc>
        <w:tc>
          <w:tcPr>
            <w:tcW w:w="1193" w:type="dxa"/>
            <w:tcBorders>
              <w:top w:val="nil"/>
              <w:left w:val="nil"/>
              <w:bottom w:val="nil"/>
              <w:right w:val="nil"/>
            </w:tcBorders>
          </w:tcPr>
          <w:p w14:paraId="338D5FCC"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-12.178</w:t>
            </w:r>
          </w:p>
        </w:tc>
      </w:tr>
      <w:tr w:rsidR="00C16005" w:rsidRPr="00C16005" w14:paraId="74235DEB" w14:textId="77777777" w:rsidTr="002A3B27">
        <w:trPr>
          <w:trHeight w:val="242"/>
        </w:trPr>
        <w:tc>
          <w:tcPr>
            <w:tcW w:w="2127" w:type="dxa"/>
            <w:tcBorders>
              <w:top w:val="nil"/>
              <w:left w:val="nil"/>
              <w:bottom w:val="nil"/>
              <w:right w:val="nil"/>
            </w:tcBorders>
          </w:tcPr>
          <w:p w14:paraId="2512DC6D" w14:textId="77777777" w:rsidR="00C16005" w:rsidRPr="00C16005" w:rsidRDefault="00C16005" w:rsidP="00C16005">
            <w:pPr>
              <w:widowControl w:val="0"/>
              <w:autoSpaceDE w:val="0"/>
              <w:autoSpaceDN w:val="0"/>
              <w:adjustRightInd w:val="0"/>
              <w:rPr>
                <w:rFonts w:asciiTheme="minorBidi" w:hAnsiTheme="minorBidi" w:cstheme="minorBidi"/>
              </w:rPr>
            </w:pPr>
          </w:p>
        </w:tc>
        <w:tc>
          <w:tcPr>
            <w:tcW w:w="7158" w:type="dxa"/>
            <w:gridSpan w:val="6"/>
            <w:tcBorders>
              <w:top w:val="nil"/>
              <w:left w:val="nil"/>
              <w:bottom w:val="nil"/>
              <w:right w:val="nil"/>
            </w:tcBorders>
          </w:tcPr>
          <w:p w14:paraId="5F9F0F85" w14:textId="77777777" w:rsidR="00C16005" w:rsidRPr="00C16005" w:rsidRDefault="00C16005" w:rsidP="00C16005">
            <w:pPr>
              <w:widowControl w:val="0"/>
              <w:autoSpaceDE w:val="0"/>
              <w:autoSpaceDN w:val="0"/>
              <w:adjustRightInd w:val="0"/>
              <w:rPr>
                <w:rFonts w:asciiTheme="minorBidi" w:hAnsiTheme="minorBidi" w:cstheme="minorBidi"/>
              </w:rPr>
            </w:pPr>
          </w:p>
        </w:tc>
      </w:tr>
      <w:tr w:rsidR="00C16005" w:rsidRPr="00C16005" w14:paraId="3D63C135" w14:textId="77777777" w:rsidTr="002A3B27">
        <w:trPr>
          <w:trHeight w:val="242"/>
        </w:trPr>
        <w:tc>
          <w:tcPr>
            <w:tcW w:w="2127" w:type="dxa"/>
            <w:tcBorders>
              <w:top w:val="nil"/>
              <w:left w:val="nil"/>
              <w:bottom w:val="nil"/>
              <w:right w:val="nil"/>
            </w:tcBorders>
          </w:tcPr>
          <w:p w14:paraId="0BD70333"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Number of Obs.</w:t>
            </w:r>
          </w:p>
        </w:tc>
        <w:tc>
          <w:tcPr>
            <w:tcW w:w="7158" w:type="dxa"/>
            <w:gridSpan w:val="6"/>
            <w:tcBorders>
              <w:top w:val="nil"/>
              <w:left w:val="nil"/>
              <w:bottom w:val="nil"/>
              <w:right w:val="nil"/>
            </w:tcBorders>
          </w:tcPr>
          <w:p w14:paraId="52A274B2" w14:textId="77777777" w:rsidR="00C16005" w:rsidRPr="00C16005" w:rsidRDefault="00C16005" w:rsidP="00C16005">
            <w:pPr>
              <w:widowControl w:val="0"/>
              <w:autoSpaceDE w:val="0"/>
              <w:autoSpaceDN w:val="0"/>
              <w:adjustRightInd w:val="0"/>
              <w:jc w:val="center"/>
              <w:rPr>
                <w:rFonts w:asciiTheme="minorBidi" w:hAnsiTheme="minorBidi" w:cstheme="minorBidi"/>
              </w:rPr>
            </w:pPr>
            <w:r w:rsidRPr="00C16005">
              <w:rPr>
                <w:rFonts w:asciiTheme="minorBidi" w:hAnsiTheme="minorBidi" w:cstheme="minorBidi"/>
              </w:rPr>
              <w:t>19</w:t>
            </w:r>
          </w:p>
        </w:tc>
      </w:tr>
      <w:tr w:rsidR="00C16005" w:rsidRPr="00C16005" w14:paraId="61FA458E" w14:textId="77777777" w:rsidTr="002A3B27">
        <w:trPr>
          <w:trHeight w:val="242"/>
        </w:trPr>
        <w:tc>
          <w:tcPr>
            <w:tcW w:w="2127" w:type="dxa"/>
            <w:tcBorders>
              <w:top w:val="nil"/>
              <w:left w:val="nil"/>
              <w:bottom w:val="nil"/>
              <w:right w:val="nil"/>
            </w:tcBorders>
          </w:tcPr>
          <w:p w14:paraId="36F7E15A"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VAR lag(user)</w:t>
            </w:r>
          </w:p>
        </w:tc>
        <w:tc>
          <w:tcPr>
            <w:tcW w:w="7158" w:type="dxa"/>
            <w:gridSpan w:val="6"/>
            <w:tcBorders>
              <w:top w:val="nil"/>
              <w:left w:val="nil"/>
              <w:bottom w:val="nil"/>
              <w:right w:val="nil"/>
            </w:tcBorders>
          </w:tcPr>
          <w:p w14:paraId="5E8CFE07" w14:textId="77777777" w:rsidR="00C16005" w:rsidRPr="00C16005" w:rsidRDefault="00C16005" w:rsidP="00C16005">
            <w:pPr>
              <w:widowControl w:val="0"/>
              <w:autoSpaceDE w:val="0"/>
              <w:autoSpaceDN w:val="0"/>
              <w:adjustRightInd w:val="0"/>
              <w:jc w:val="center"/>
              <w:rPr>
                <w:rFonts w:asciiTheme="minorBidi" w:hAnsiTheme="minorBidi" w:cstheme="minorBidi"/>
              </w:rPr>
            </w:pPr>
            <w:r w:rsidRPr="00C16005">
              <w:rPr>
                <w:rFonts w:asciiTheme="minorBidi" w:hAnsiTheme="minorBidi" w:cstheme="minorBidi"/>
              </w:rPr>
              <w:t>0</w:t>
            </w:r>
          </w:p>
        </w:tc>
      </w:tr>
      <w:tr w:rsidR="00C16005" w:rsidRPr="00C16005" w14:paraId="33ABEDA5" w14:textId="77777777" w:rsidTr="002A3B27">
        <w:trPr>
          <w:trHeight w:val="242"/>
        </w:trPr>
        <w:tc>
          <w:tcPr>
            <w:tcW w:w="2127" w:type="dxa"/>
            <w:tcBorders>
              <w:top w:val="nil"/>
              <w:left w:val="nil"/>
              <w:bottom w:val="nil"/>
              <w:right w:val="nil"/>
            </w:tcBorders>
          </w:tcPr>
          <w:p w14:paraId="594B51D2" w14:textId="77777777" w:rsidR="00C16005" w:rsidRPr="00C16005" w:rsidRDefault="00C16005" w:rsidP="00C16005">
            <w:pPr>
              <w:widowControl w:val="0"/>
              <w:autoSpaceDE w:val="0"/>
              <w:autoSpaceDN w:val="0"/>
              <w:adjustRightInd w:val="0"/>
              <w:rPr>
                <w:rFonts w:asciiTheme="minorBidi" w:hAnsiTheme="minorBidi" w:cstheme="minorBidi"/>
                <w:vertAlign w:val="superscript"/>
              </w:rPr>
            </w:pPr>
            <w:r w:rsidRPr="00C16005">
              <w:rPr>
                <w:rFonts w:asciiTheme="minorBidi" w:hAnsiTheme="minorBidi" w:cstheme="minorBidi"/>
              </w:rPr>
              <w:t>R</w:t>
            </w:r>
            <w:r w:rsidRPr="00C16005">
              <w:rPr>
                <w:rFonts w:asciiTheme="minorBidi" w:hAnsiTheme="minorBidi" w:cstheme="minorBidi"/>
                <w:vertAlign w:val="superscript"/>
              </w:rPr>
              <w:t>2</w:t>
            </w:r>
          </w:p>
        </w:tc>
        <w:tc>
          <w:tcPr>
            <w:tcW w:w="7158" w:type="dxa"/>
            <w:gridSpan w:val="6"/>
            <w:tcBorders>
              <w:top w:val="nil"/>
              <w:left w:val="nil"/>
              <w:bottom w:val="nil"/>
              <w:right w:val="nil"/>
            </w:tcBorders>
          </w:tcPr>
          <w:p w14:paraId="398EBB15" w14:textId="77777777" w:rsidR="00C16005" w:rsidRPr="00C16005" w:rsidRDefault="00C16005" w:rsidP="00C16005">
            <w:pPr>
              <w:widowControl w:val="0"/>
              <w:autoSpaceDE w:val="0"/>
              <w:autoSpaceDN w:val="0"/>
              <w:adjustRightInd w:val="0"/>
              <w:jc w:val="center"/>
              <w:rPr>
                <w:rFonts w:asciiTheme="minorBidi" w:hAnsiTheme="minorBidi" w:cstheme="minorBidi"/>
              </w:rPr>
            </w:pPr>
            <w:r w:rsidRPr="00C16005">
              <w:rPr>
                <w:rFonts w:asciiTheme="minorBidi" w:hAnsiTheme="minorBidi" w:cstheme="minorBidi"/>
              </w:rPr>
              <w:t>.5413631</w:t>
            </w:r>
          </w:p>
        </w:tc>
      </w:tr>
      <w:tr w:rsidR="00C16005" w:rsidRPr="00C16005" w14:paraId="337731B7" w14:textId="77777777" w:rsidTr="002A3B27">
        <w:trPr>
          <w:trHeight w:val="242"/>
        </w:trPr>
        <w:tc>
          <w:tcPr>
            <w:tcW w:w="2127" w:type="dxa"/>
            <w:tcBorders>
              <w:top w:val="nil"/>
              <w:left w:val="nil"/>
              <w:bottom w:val="nil"/>
              <w:right w:val="nil"/>
            </w:tcBorders>
          </w:tcPr>
          <w:p w14:paraId="65C8A4B0"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Adjusted R</w:t>
            </w:r>
            <w:r w:rsidRPr="00C16005">
              <w:rPr>
                <w:rFonts w:asciiTheme="minorBidi" w:hAnsiTheme="minorBidi" w:cstheme="minorBidi"/>
                <w:vertAlign w:val="superscript"/>
              </w:rPr>
              <w:t>2</w:t>
            </w:r>
          </w:p>
        </w:tc>
        <w:tc>
          <w:tcPr>
            <w:tcW w:w="7158" w:type="dxa"/>
            <w:gridSpan w:val="6"/>
            <w:tcBorders>
              <w:top w:val="nil"/>
              <w:left w:val="nil"/>
              <w:bottom w:val="nil"/>
              <w:right w:val="nil"/>
            </w:tcBorders>
          </w:tcPr>
          <w:p w14:paraId="5D62D44B" w14:textId="77777777" w:rsidR="00C16005" w:rsidRPr="00C16005" w:rsidRDefault="00C16005" w:rsidP="00C16005">
            <w:pPr>
              <w:widowControl w:val="0"/>
              <w:autoSpaceDE w:val="0"/>
              <w:autoSpaceDN w:val="0"/>
              <w:adjustRightInd w:val="0"/>
              <w:jc w:val="center"/>
              <w:rPr>
                <w:rFonts w:asciiTheme="minorBidi" w:hAnsiTheme="minorBidi" w:cstheme="minorBidi"/>
              </w:rPr>
            </w:pPr>
            <w:r w:rsidRPr="00C16005">
              <w:rPr>
                <w:rFonts w:asciiTheme="minorBidi" w:hAnsiTheme="minorBidi" w:cstheme="minorBidi"/>
              </w:rPr>
              <w:t>.0827261</w:t>
            </w:r>
          </w:p>
        </w:tc>
      </w:tr>
      <w:tr w:rsidR="00C16005" w:rsidRPr="00C16005" w14:paraId="23D29058" w14:textId="77777777" w:rsidTr="002A3B27">
        <w:trPr>
          <w:trHeight w:val="242"/>
        </w:trPr>
        <w:tc>
          <w:tcPr>
            <w:tcW w:w="2127" w:type="dxa"/>
            <w:tcBorders>
              <w:top w:val="nil"/>
              <w:left w:val="nil"/>
              <w:bottom w:val="nil"/>
              <w:right w:val="nil"/>
            </w:tcBorders>
          </w:tcPr>
          <w:p w14:paraId="7EBB059B"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Bandwidth(</w:t>
            </w:r>
            <w:proofErr w:type="spellStart"/>
            <w:r w:rsidRPr="00C16005">
              <w:rPr>
                <w:rFonts w:asciiTheme="minorBidi" w:hAnsiTheme="minorBidi" w:cstheme="minorBidi"/>
              </w:rPr>
              <w:t>neweywest</w:t>
            </w:r>
            <w:proofErr w:type="spellEnd"/>
            <w:r w:rsidRPr="00C16005">
              <w:rPr>
                <w:rFonts w:asciiTheme="minorBidi" w:hAnsiTheme="minorBidi" w:cstheme="minorBidi"/>
              </w:rPr>
              <w:t xml:space="preserve">)  </w:t>
            </w:r>
          </w:p>
        </w:tc>
        <w:tc>
          <w:tcPr>
            <w:tcW w:w="7158" w:type="dxa"/>
            <w:gridSpan w:val="6"/>
            <w:tcBorders>
              <w:top w:val="nil"/>
              <w:left w:val="nil"/>
              <w:bottom w:val="nil"/>
              <w:right w:val="nil"/>
            </w:tcBorders>
          </w:tcPr>
          <w:p w14:paraId="67D2FA20" w14:textId="77777777" w:rsidR="00C16005" w:rsidRPr="00C16005" w:rsidRDefault="00C16005" w:rsidP="00C16005">
            <w:pPr>
              <w:widowControl w:val="0"/>
              <w:autoSpaceDE w:val="0"/>
              <w:autoSpaceDN w:val="0"/>
              <w:adjustRightInd w:val="0"/>
              <w:jc w:val="center"/>
              <w:rPr>
                <w:rFonts w:asciiTheme="minorBidi" w:hAnsiTheme="minorBidi" w:cstheme="minorBidi"/>
              </w:rPr>
            </w:pPr>
            <w:r w:rsidRPr="00C16005">
              <w:rPr>
                <w:rFonts w:asciiTheme="minorBidi" w:hAnsiTheme="minorBidi" w:cstheme="minorBidi"/>
              </w:rPr>
              <w:t xml:space="preserve">9.1953                                    </w:t>
            </w:r>
          </w:p>
        </w:tc>
      </w:tr>
      <w:tr w:rsidR="00C16005" w:rsidRPr="00C16005" w14:paraId="48AB8C3E" w14:textId="77777777" w:rsidTr="002A3B27">
        <w:trPr>
          <w:trHeight w:val="242"/>
        </w:trPr>
        <w:tc>
          <w:tcPr>
            <w:tcW w:w="2127" w:type="dxa"/>
            <w:tcBorders>
              <w:top w:val="nil"/>
              <w:left w:val="nil"/>
              <w:right w:val="nil"/>
            </w:tcBorders>
          </w:tcPr>
          <w:p w14:paraId="5FF836F7"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Standard Error</w:t>
            </w:r>
          </w:p>
        </w:tc>
        <w:tc>
          <w:tcPr>
            <w:tcW w:w="7158" w:type="dxa"/>
            <w:gridSpan w:val="6"/>
            <w:tcBorders>
              <w:top w:val="nil"/>
              <w:left w:val="nil"/>
              <w:right w:val="nil"/>
            </w:tcBorders>
          </w:tcPr>
          <w:p w14:paraId="50618802" w14:textId="77777777" w:rsidR="00C16005" w:rsidRPr="00C16005" w:rsidRDefault="00C16005" w:rsidP="00C16005">
            <w:pPr>
              <w:widowControl w:val="0"/>
              <w:autoSpaceDE w:val="0"/>
              <w:autoSpaceDN w:val="0"/>
              <w:adjustRightInd w:val="0"/>
              <w:jc w:val="center"/>
              <w:rPr>
                <w:rFonts w:asciiTheme="minorBidi" w:hAnsiTheme="minorBidi" w:cstheme="minorBidi"/>
              </w:rPr>
            </w:pPr>
            <w:r w:rsidRPr="00C16005">
              <w:rPr>
                <w:rFonts w:asciiTheme="minorBidi" w:hAnsiTheme="minorBidi" w:cstheme="minorBidi"/>
              </w:rPr>
              <w:t>.7761967</w:t>
            </w:r>
          </w:p>
        </w:tc>
      </w:tr>
      <w:tr w:rsidR="00C16005" w:rsidRPr="00C16005" w14:paraId="302D964C" w14:textId="77777777" w:rsidTr="002A3B27">
        <w:trPr>
          <w:trHeight w:val="242"/>
        </w:trPr>
        <w:tc>
          <w:tcPr>
            <w:tcW w:w="2127" w:type="dxa"/>
            <w:tcBorders>
              <w:top w:val="nil"/>
              <w:left w:val="nil"/>
              <w:bottom w:val="single" w:sz="4" w:space="0" w:color="auto"/>
              <w:right w:val="nil"/>
            </w:tcBorders>
          </w:tcPr>
          <w:p w14:paraId="7830065B"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Long run Standard Error</w:t>
            </w:r>
          </w:p>
        </w:tc>
        <w:tc>
          <w:tcPr>
            <w:tcW w:w="7158" w:type="dxa"/>
            <w:gridSpan w:val="6"/>
            <w:tcBorders>
              <w:top w:val="nil"/>
              <w:left w:val="nil"/>
              <w:bottom w:val="single" w:sz="4" w:space="0" w:color="auto"/>
              <w:right w:val="nil"/>
            </w:tcBorders>
          </w:tcPr>
          <w:p w14:paraId="6570B71C" w14:textId="77777777" w:rsidR="00C16005" w:rsidRPr="00C16005" w:rsidRDefault="00C16005" w:rsidP="00C16005">
            <w:pPr>
              <w:widowControl w:val="0"/>
              <w:autoSpaceDE w:val="0"/>
              <w:autoSpaceDN w:val="0"/>
              <w:adjustRightInd w:val="0"/>
              <w:jc w:val="center"/>
              <w:rPr>
                <w:rFonts w:asciiTheme="minorBidi" w:hAnsiTheme="minorBidi" w:cstheme="minorBidi"/>
              </w:rPr>
            </w:pPr>
            <w:r w:rsidRPr="00C16005">
              <w:rPr>
                <w:rFonts w:asciiTheme="minorBidi" w:hAnsiTheme="minorBidi" w:cstheme="minorBidi"/>
              </w:rPr>
              <w:t>.1444075</w:t>
            </w:r>
          </w:p>
        </w:tc>
      </w:tr>
    </w:tbl>
    <w:p w14:paraId="5FEBB561" w14:textId="77777777" w:rsidR="00C16005" w:rsidRPr="00C16005" w:rsidRDefault="00C16005" w:rsidP="00C16005">
      <w:pPr>
        <w:jc w:val="both"/>
        <w:rPr>
          <w:rFonts w:asciiTheme="minorBidi" w:hAnsiTheme="minorBidi" w:cstheme="minorBidi"/>
        </w:rPr>
      </w:pPr>
      <w:r w:rsidRPr="00C16005">
        <w:rPr>
          <w:rFonts w:asciiTheme="minorBidi" w:hAnsiTheme="minorBidi" w:cstheme="minorBidi"/>
        </w:rPr>
        <w:t>*, **, *** indicate the 1%, 5%, &amp; 10% significance level</w:t>
      </w:r>
    </w:p>
    <w:p w14:paraId="709A26EC" w14:textId="741D0335" w:rsidR="00C16005" w:rsidRPr="00C16005" w:rsidRDefault="00C16005" w:rsidP="00C16005">
      <w:pPr>
        <w:spacing w:after="240"/>
        <w:jc w:val="both"/>
        <w:rPr>
          <w:rFonts w:asciiTheme="minorBidi" w:hAnsiTheme="minorBidi" w:cstheme="minorBidi"/>
          <w:i/>
          <w:iCs/>
        </w:rPr>
      </w:pPr>
      <w:r w:rsidRPr="00C16005">
        <w:rPr>
          <w:rFonts w:asciiTheme="minorBidi" w:hAnsiTheme="minorBidi" w:cstheme="minorBidi"/>
          <w:i/>
          <w:iCs/>
        </w:rPr>
        <w:t>Source: Compiled by Authors</w:t>
      </w:r>
      <w:r w:rsidR="00986B1D">
        <w:rPr>
          <w:rFonts w:asciiTheme="minorBidi" w:hAnsiTheme="minorBidi" w:cstheme="minorBidi"/>
          <w:i/>
          <w:iCs/>
        </w:rPr>
        <w:t>, 2024</w:t>
      </w:r>
    </w:p>
    <w:p w14:paraId="64D42005" w14:textId="065349F2" w:rsidR="000646AD" w:rsidRPr="00C16005" w:rsidRDefault="000646AD" w:rsidP="000646AD">
      <w:pPr>
        <w:pStyle w:val="Body"/>
        <w:rPr>
          <w:rFonts w:ascii="Arial" w:hAnsi="Arial" w:cs="Arial"/>
          <w:b/>
          <w:bCs/>
        </w:rPr>
      </w:pPr>
      <w:r w:rsidRPr="00C16005">
        <w:rPr>
          <w:rFonts w:ascii="Arial" w:hAnsi="Arial" w:cs="Arial"/>
          <w:b/>
          <w:bCs/>
        </w:rPr>
        <w:t>Conclusion and Recommendations</w:t>
      </w:r>
    </w:p>
    <w:p w14:paraId="38DD5C6C" w14:textId="3EC3E90A" w:rsidR="000646AD" w:rsidRPr="000646AD" w:rsidRDefault="000646AD" w:rsidP="000646AD">
      <w:pPr>
        <w:pStyle w:val="Body"/>
        <w:rPr>
          <w:rFonts w:ascii="Arial" w:hAnsi="Arial" w:cs="Arial"/>
        </w:rPr>
      </w:pPr>
      <w:r w:rsidRPr="000646AD">
        <w:rPr>
          <w:rFonts w:ascii="Arial" w:hAnsi="Arial" w:cs="Arial"/>
        </w:rPr>
        <w:t xml:space="preserve">This article set out to investigate the effect of four governance indicators on the FDI inflow of Afghanistan </w:t>
      </w:r>
      <w:r w:rsidR="006442FC">
        <w:rPr>
          <w:rFonts w:ascii="Arial" w:hAnsi="Arial" w:cs="Arial"/>
        </w:rPr>
        <w:t>from</w:t>
      </w:r>
      <w:r w:rsidRPr="000646AD">
        <w:rPr>
          <w:rFonts w:ascii="Arial" w:hAnsi="Arial" w:cs="Arial"/>
        </w:rPr>
        <w:t xml:space="preserve"> 2002 to 2021. It utilized the ADF-unit root test to examine whether the time </w:t>
      </w:r>
      <w:r w:rsidRPr="000646AD">
        <w:rPr>
          <w:rFonts w:ascii="Arial" w:hAnsi="Arial" w:cs="Arial"/>
        </w:rPr>
        <w:lastRenderedPageBreak/>
        <w:t>series data was stationary or non-stationary, and subsequently, the modified ordinary least squares (FMOLS) estimation technique was used as an econometric medium.</w:t>
      </w:r>
    </w:p>
    <w:p w14:paraId="1F2F77B3" w14:textId="77777777" w:rsidR="000646AD" w:rsidRPr="000646AD" w:rsidRDefault="000646AD" w:rsidP="000646AD">
      <w:pPr>
        <w:pStyle w:val="Body"/>
        <w:rPr>
          <w:rFonts w:ascii="Arial" w:hAnsi="Arial" w:cs="Arial"/>
        </w:rPr>
      </w:pPr>
      <w:r w:rsidRPr="000646AD">
        <w:rPr>
          <w:rFonts w:ascii="Arial" w:hAnsi="Arial" w:cs="Arial"/>
        </w:rPr>
        <w:t>Our findings reveal a mix impact of governance and macroeconomic indicators on FDI in Afghanistan. A positive significant association was observed between FDI and two of the four indicators, government effectiveness and the rule of law. In comparison, regulatory quality and control of corruption are negatively significant to FDI. In case of remaining explanatory determinants, the findings further suggest that an increase in market size leads to higher FDI attraction to the country. The negative and significant inflation coefficient implies that higher inflation deters FDI inflow. There is a positive effect of the exchange rate on FDI, as a higher exchange rate, which means lower domestic currency value, motivates investors to invest in Afghanistan. Finally, we found a negative and significant association between infrastructure and FDI.</w:t>
      </w:r>
    </w:p>
    <w:p w14:paraId="7B0FC70B" w14:textId="21F1C922" w:rsidR="000646AD" w:rsidRPr="000646AD" w:rsidRDefault="000646AD" w:rsidP="000646AD">
      <w:pPr>
        <w:pStyle w:val="Body"/>
        <w:rPr>
          <w:rFonts w:ascii="Arial" w:hAnsi="Arial" w:cs="Arial"/>
        </w:rPr>
      </w:pPr>
      <w:r w:rsidRPr="000646AD">
        <w:rPr>
          <w:rFonts w:ascii="Arial" w:hAnsi="Arial" w:cs="Arial"/>
        </w:rPr>
        <w:t>Policymakers in Afghanistan may consider these results while making policies in order to attract more capital in the form of FDI. Government effectiveness and the rule of law must be strengthened by formulating sound policies, especially investment</w:t>
      </w:r>
      <w:r w:rsidR="00E62680">
        <w:rPr>
          <w:rFonts w:ascii="Arial" w:hAnsi="Arial" w:cs="Arial"/>
        </w:rPr>
        <w:t>- related ones</w:t>
      </w:r>
      <w:r w:rsidRPr="000646AD">
        <w:rPr>
          <w:rFonts w:ascii="Arial" w:hAnsi="Arial" w:cs="Arial"/>
        </w:rPr>
        <w:t xml:space="preserve">. Since GDP expansion is associated with higher FDI, the country should consider expanding its economy size. Trade openness promotes FDI inflow in Afghanistan; hence, policies should be formulated and implemented to enhance trade. The government needs to take measures to keep the inflation rate as low as possible to enable foreign investors to invest in Afghanistan. </w:t>
      </w:r>
    </w:p>
    <w:p w14:paraId="2753F9F8" w14:textId="566C1650" w:rsidR="000646AD" w:rsidRDefault="000646AD" w:rsidP="00C16005">
      <w:pPr>
        <w:pStyle w:val="Body"/>
        <w:rPr>
          <w:rFonts w:ascii="Arial" w:hAnsi="Arial" w:cs="Arial"/>
        </w:rPr>
      </w:pPr>
      <w:r w:rsidRPr="000646AD">
        <w:rPr>
          <w:rFonts w:ascii="Arial" w:hAnsi="Arial" w:cs="Arial"/>
        </w:rPr>
        <w:t xml:space="preserve">It should be considered that this paper is limited to Afghanistan, the selected variables, the chosen period, and the applied methodology. Future studies may include more variables of interest, extend the </w:t>
      </w:r>
      <w:r w:rsidR="00C87532">
        <w:rPr>
          <w:rFonts w:ascii="Arial" w:hAnsi="Arial" w:cs="Arial"/>
        </w:rPr>
        <w:t>study period</w:t>
      </w:r>
      <w:r w:rsidRPr="000646AD">
        <w:rPr>
          <w:rFonts w:ascii="Arial" w:hAnsi="Arial" w:cs="Arial"/>
        </w:rPr>
        <w:t>, and apply different methodologies.</w:t>
      </w:r>
    </w:p>
    <w:p w14:paraId="178547E1" w14:textId="4DE1B76E" w:rsidR="00FD7A8D" w:rsidRPr="00442BA5" w:rsidRDefault="00442BA5" w:rsidP="00C16005">
      <w:pPr>
        <w:pStyle w:val="Body"/>
        <w:rPr>
          <w:rFonts w:ascii="Arial" w:hAnsi="Arial" w:cs="Arial"/>
          <w:b/>
          <w:bCs/>
        </w:rPr>
      </w:pPr>
      <w:r w:rsidRPr="00442BA5">
        <w:rPr>
          <w:rFonts w:ascii="Arial" w:hAnsi="Arial" w:cs="Arial"/>
          <w:b/>
          <w:bCs/>
        </w:rPr>
        <w:t>Disclaimer (Artificial Intelligence)</w:t>
      </w:r>
    </w:p>
    <w:p w14:paraId="54BF4406" w14:textId="20869FA6" w:rsidR="000D79DC" w:rsidRPr="00EA56AE" w:rsidRDefault="00442BA5" w:rsidP="00EA56AE">
      <w:pPr>
        <w:pStyle w:val="Body"/>
        <w:rPr>
          <w:rFonts w:ascii="Arial" w:hAnsi="Arial" w:cs="Arial"/>
        </w:rPr>
      </w:pPr>
      <w:r>
        <w:rPr>
          <w:rFonts w:ascii="Arial" w:hAnsi="Arial" w:cs="Arial"/>
        </w:rPr>
        <w:t>The authors declare that the generative AI technologies such as large language models (</w:t>
      </w:r>
      <w:proofErr w:type="spellStart"/>
      <w:proofErr w:type="gramStart"/>
      <w:r>
        <w:rPr>
          <w:rFonts w:ascii="Arial" w:hAnsi="Arial" w:cs="Arial"/>
        </w:rPr>
        <w:t>ChatGPT,COPILOT</w:t>
      </w:r>
      <w:proofErr w:type="spellEnd"/>
      <w:proofErr w:type="gramEnd"/>
      <w:r>
        <w:rPr>
          <w:rFonts w:ascii="Arial" w:hAnsi="Arial" w:cs="Arial"/>
        </w:rPr>
        <w:t>, etc.) have not been used in this paper.</w:t>
      </w:r>
    </w:p>
    <w:p w14:paraId="659A4945" w14:textId="7D5C308B" w:rsidR="000646AD" w:rsidRPr="008012AF" w:rsidRDefault="008012AF" w:rsidP="000646AD">
      <w:pPr>
        <w:pStyle w:val="Body"/>
        <w:rPr>
          <w:rFonts w:ascii="Arial" w:hAnsi="Arial" w:cs="Arial"/>
          <w:b/>
          <w:bCs/>
        </w:rPr>
      </w:pPr>
      <w:r w:rsidRPr="008012AF">
        <w:rPr>
          <w:rFonts w:ascii="Arial" w:hAnsi="Arial" w:cs="Arial"/>
          <w:b/>
          <w:bCs/>
        </w:rPr>
        <w:t>REFERENCES</w:t>
      </w:r>
    </w:p>
    <w:p w14:paraId="6AF9D84C" w14:textId="77777777" w:rsidR="000646AD" w:rsidRPr="000646AD" w:rsidRDefault="000646AD" w:rsidP="000646AD">
      <w:pPr>
        <w:pStyle w:val="Body"/>
        <w:rPr>
          <w:rFonts w:ascii="Arial" w:hAnsi="Arial" w:cs="Arial"/>
        </w:rPr>
      </w:pPr>
      <w:proofErr w:type="spellStart"/>
      <w:r w:rsidRPr="000646AD">
        <w:rPr>
          <w:rFonts w:ascii="Arial" w:hAnsi="Arial" w:cs="Arial"/>
        </w:rPr>
        <w:t>Adelakun</w:t>
      </w:r>
      <w:proofErr w:type="spellEnd"/>
      <w:r w:rsidRPr="000646AD">
        <w:rPr>
          <w:rFonts w:ascii="Arial" w:hAnsi="Arial" w:cs="Arial"/>
        </w:rPr>
        <w:t xml:space="preserve">, J., &amp; </w:t>
      </w:r>
      <w:proofErr w:type="spellStart"/>
      <w:r w:rsidRPr="000646AD">
        <w:rPr>
          <w:rFonts w:ascii="Arial" w:hAnsi="Arial" w:cs="Arial"/>
        </w:rPr>
        <w:t>Ogujiuba</w:t>
      </w:r>
      <w:proofErr w:type="spellEnd"/>
      <w:r w:rsidRPr="000646AD">
        <w:rPr>
          <w:rFonts w:ascii="Arial" w:hAnsi="Arial" w:cs="Arial"/>
        </w:rPr>
        <w:t>, K. (2023). A Comparative Analysis of the Determinants of Foreign Direct Investment: The Case of Top Ten Recipients of Foreign Direct Investment in Africa. Economies, 11(244).</w:t>
      </w:r>
    </w:p>
    <w:p w14:paraId="0DEBBB99" w14:textId="77777777" w:rsidR="000646AD" w:rsidRPr="000646AD" w:rsidRDefault="000646AD" w:rsidP="000646AD">
      <w:pPr>
        <w:pStyle w:val="Body"/>
        <w:rPr>
          <w:rFonts w:ascii="Arial" w:hAnsi="Arial" w:cs="Arial"/>
        </w:rPr>
      </w:pPr>
      <w:proofErr w:type="spellStart"/>
      <w:r w:rsidRPr="000646AD">
        <w:rPr>
          <w:rFonts w:ascii="Arial" w:hAnsi="Arial" w:cs="Arial"/>
        </w:rPr>
        <w:t>Ajide</w:t>
      </w:r>
      <w:proofErr w:type="spellEnd"/>
      <w:r w:rsidRPr="000646AD">
        <w:rPr>
          <w:rFonts w:ascii="Arial" w:hAnsi="Arial" w:cs="Arial"/>
        </w:rPr>
        <w:t>, K. B., &amp; Raheem, I. D. (2016). Institutions-FDI Nexus in ECOWAS Countries. Journal of African Business, 17(3), 319–341. https://doi.org/10.1080/15228916.2016.1180778</w:t>
      </w:r>
    </w:p>
    <w:p w14:paraId="278883EC" w14:textId="77777777" w:rsidR="000646AD" w:rsidRPr="000646AD" w:rsidRDefault="000646AD" w:rsidP="000646AD">
      <w:pPr>
        <w:pStyle w:val="Body"/>
        <w:rPr>
          <w:rFonts w:ascii="Arial" w:hAnsi="Arial" w:cs="Arial"/>
        </w:rPr>
      </w:pPr>
      <w:r w:rsidRPr="000646AD">
        <w:rPr>
          <w:rFonts w:ascii="Arial" w:hAnsi="Arial" w:cs="Arial"/>
        </w:rPr>
        <w:t xml:space="preserve">Alfaro, L., </w:t>
      </w:r>
      <w:proofErr w:type="spellStart"/>
      <w:r w:rsidRPr="000646AD">
        <w:rPr>
          <w:rFonts w:ascii="Arial" w:hAnsi="Arial" w:cs="Arial"/>
        </w:rPr>
        <w:t>Kalemli-Ozcan</w:t>
      </w:r>
      <w:proofErr w:type="spellEnd"/>
      <w:r w:rsidRPr="000646AD">
        <w:rPr>
          <w:rFonts w:ascii="Arial" w:hAnsi="Arial" w:cs="Arial"/>
        </w:rPr>
        <w:t xml:space="preserve">, S., &amp; </w:t>
      </w:r>
      <w:proofErr w:type="spellStart"/>
      <w:r w:rsidRPr="000646AD">
        <w:rPr>
          <w:rFonts w:ascii="Arial" w:hAnsi="Arial" w:cs="Arial"/>
        </w:rPr>
        <w:t>Volosovych</w:t>
      </w:r>
      <w:proofErr w:type="spellEnd"/>
      <w:r w:rsidRPr="000646AD">
        <w:rPr>
          <w:rFonts w:ascii="Arial" w:hAnsi="Arial" w:cs="Arial"/>
        </w:rPr>
        <w:t>, V. (2008). Why Doesn’t Capital Flow from Rich to Poor Countries? An Empirical Investigation. Review of Economics and Statistics, 90(2), 347–368. https://doi.org/10.1162/rest.90.2.347</w:t>
      </w:r>
    </w:p>
    <w:p w14:paraId="3B39B613" w14:textId="77777777" w:rsidR="000646AD" w:rsidRPr="000646AD" w:rsidRDefault="000646AD" w:rsidP="000646AD">
      <w:pPr>
        <w:pStyle w:val="Body"/>
        <w:rPr>
          <w:rFonts w:ascii="Arial" w:hAnsi="Arial" w:cs="Arial"/>
        </w:rPr>
      </w:pPr>
      <w:proofErr w:type="spellStart"/>
      <w:r w:rsidRPr="000646AD">
        <w:rPr>
          <w:rFonts w:ascii="Arial" w:hAnsi="Arial" w:cs="Arial"/>
        </w:rPr>
        <w:t>Asiamah</w:t>
      </w:r>
      <w:proofErr w:type="spellEnd"/>
      <w:r w:rsidRPr="000646AD">
        <w:rPr>
          <w:rFonts w:ascii="Arial" w:hAnsi="Arial" w:cs="Arial"/>
        </w:rPr>
        <w:t xml:space="preserve">, M., Ofori, D., &amp; </w:t>
      </w:r>
      <w:proofErr w:type="spellStart"/>
      <w:r w:rsidRPr="000646AD">
        <w:rPr>
          <w:rFonts w:ascii="Arial" w:hAnsi="Arial" w:cs="Arial"/>
        </w:rPr>
        <w:t>Afful</w:t>
      </w:r>
      <w:proofErr w:type="spellEnd"/>
      <w:r w:rsidRPr="000646AD">
        <w:rPr>
          <w:rFonts w:ascii="Arial" w:hAnsi="Arial" w:cs="Arial"/>
        </w:rPr>
        <w:t>, J. (2019). Analysis of the determinants of foreign direct investment in Ghana. Journal of Asian Business and Economic Studies, 26(1), 56–75. https://doi.org/10.1108/JABES-08-2018-0057</w:t>
      </w:r>
    </w:p>
    <w:p w14:paraId="300AB95D" w14:textId="77777777" w:rsidR="000646AD" w:rsidRPr="000646AD" w:rsidRDefault="000646AD" w:rsidP="008012AF">
      <w:pPr>
        <w:pStyle w:val="Body"/>
        <w:rPr>
          <w:rFonts w:ascii="Arial" w:hAnsi="Arial" w:cs="Arial"/>
        </w:rPr>
      </w:pPr>
      <w:r w:rsidRPr="000646AD">
        <w:rPr>
          <w:rFonts w:ascii="Arial" w:hAnsi="Arial" w:cs="Arial"/>
        </w:rPr>
        <w:t xml:space="preserve">Awadhi, M., James, M., &amp; </w:t>
      </w:r>
      <w:proofErr w:type="spellStart"/>
      <w:r w:rsidRPr="000646AD">
        <w:rPr>
          <w:rFonts w:ascii="Arial" w:hAnsi="Arial" w:cs="Arial"/>
        </w:rPr>
        <w:t>Byaro</w:t>
      </w:r>
      <w:proofErr w:type="spellEnd"/>
      <w:r w:rsidRPr="000646AD">
        <w:rPr>
          <w:rFonts w:ascii="Arial" w:hAnsi="Arial" w:cs="Arial"/>
        </w:rPr>
        <w:t>, M. (2022). Does institutional development attract foreign</w:t>
      </w:r>
      <w:r w:rsidR="008012AF">
        <w:rPr>
          <w:rFonts w:ascii="Arial" w:hAnsi="Arial" w:cs="Arial"/>
        </w:rPr>
        <w:t xml:space="preserve"> </w:t>
      </w:r>
      <w:r w:rsidRPr="000646AD">
        <w:rPr>
          <w:rFonts w:ascii="Arial" w:hAnsi="Arial" w:cs="Arial"/>
        </w:rPr>
        <w:t>direct investments in Sub-Saharan Africa? A dynamic panel analysis. African Journal of Economic Review, 10(1), 117-129.</w:t>
      </w:r>
    </w:p>
    <w:p w14:paraId="2676030C" w14:textId="77777777" w:rsidR="000646AD" w:rsidRPr="000646AD" w:rsidRDefault="000646AD" w:rsidP="000646AD">
      <w:pPr>
        <w:pStyle w:val="Body"/>
        <w:rPr>
          <w:rFonts w:ascii="Arial" w:hAnsi="Arial" w:cs="Arial"/>
        </w:rPr>
      </w:pPr>
      <w:proofErr w:type="spellStart"/>
      <w:r w:rsidRPr="000646AD">
        <w:rPr>
          <w:rFonts w:ascii="Arial" w:hAnsi="Arial" w:cs="Arial"/>
        </w:rPr>
        <w:lastRenderedPageBreak/>
        <w:t>Bannaga</w:t>
      </w:r>
      <w:proofErr w:type="spellEnd"/>
      <w:r w:rsidRPr="000646AD">
        <w:rPr>
          <w:rFonts w:ascii="Arial" w:hAnsi="Arial" w:cs="Arial"/>
        </w:rPr>
        <w:t xml:space="preserve">, A., </w:t>
      </w:r>
      <w:proofErr w:type="spellStart"/>
      <w:r w:rsidRPr="000646AD">
        <w:rPr>
          <w:rFonts w:ascii="Arial" w:hAnsi="Arial" w:cs="Arial"/>
        </w:rPr>
        <w:t>Gangi</w:t>
      </w:r>
      <w:proofErr w:type="spellEnd"/>
      <w:r w:rsidRPr="000646AD">
        <w:rPr>
          <w:rFonts w:ascii="Arial" w:hAnsi="Arial" w:cs="Arial"/>
        </w:rPr>
        <w:t xml:space="preserve">, Y., </w:t>
      </w:r>
      <w:proofErr w:type="spellStart"/>
      <w:r w:rsidRPr="000646AD">
        <w:rPr>
          <w:rFonts w:ascii="Arial" w:hAnsi="Arial" w:cs="Arial"/>
        </w:rPr>
        <w:t>Abdrazak</w:t>
      </w:r>
      <w:proofErr w:type="spellEnd"/>
      <w:r w:rsidRPr="000646AD">
        <w:rPr>
          <w:rFonts w:ascii="Arial" w:hAnsi="Arial" w:cs="Arial"/>
        </w:rPr>
        <w:t>, R., &amp; Al-</w:t>
      </w:r>
      <w:proofErr w:type="spellStart"/>
      <w:r w:rsidRPr="000646AD">
        <w:rPr>
          <w:rFonts w:ascii="Arial" w:hAnsi="Arial" w:cs="Arial"/>
        </w:rPr>
        <w:t>Fakhry</w:t>
      </w:r>
      <w:proofErr w:type="spellEnd"/>
      <w:r w:rsidRPr="000646AD">
        <w:rPr>
          <w:rFonts w:ascii="Arial" w:hAnsi="Arial" w:cs="Arial"/>
        </w:rPr>
        <w:t>, B. (2013). The effects of good governance on foreign direct investment inflows in Arab countries. Applied Financial Economics, 23(15), 1239–1247. https://doi.org/10.1080/09603107.2013.802088</w:t>
      </w:r>
    </w:p>
    <w:p w14:paraId="185FAA2B" w14:textId="77777777" w:rsidR="000646AD" w:rsidRPr="000646AD" w:rsidRDefault="000646AD" w:rsidP="008012AF">
      <w:pPr>
        <w:pStyle w:val="Body"/>
        <w:rPr>
          <w:rFonts w:ascii="Arial" w:hAnsi="Arial" w:cs="Arial"/>
        </w:rPr>
      </w:pPr>
      <w:proofErr w:type="spellStart"/>
      <w:r w:rsidRPr="000646AD">
        <w:rPr>
          <w:rFonts w:ascii="Arial" w:hAnsi="Arial" w:cs="Arial"/>
        </w:rPr>
        <w:t>Bellos</w:t>
      </w:r>
      <w:proofErr w:type="spellEnd"/>
      <w:r w:rsidRPr="000646AD">
        <w:rPr>
          <w:rFonts w:ascii="Arial" w:hAnsi="Arial" w:cs="Arial"/>
        </w:rPr>
        <w:t xml:space="preserve">, S., &amp; </w:t>
      </w:r>
      <w:proofErr w:type="spellStart"/>
      <w:r w:rsidRPr="000646AD">
        <w:rPr>
          <w:rFonts w:ascii="Arial" w:hAnsi="Arial" w:cs="Arial"/>
        </w:rPr>
        <w:t>Subasat</w:t>
      </w:r>
      <w:proofErr w:type="spellEnd"/>
      <w:r w:rsidRPr="000646AD">
        <w:rPr>
          <w:rFonts w:ascii="Arial" w:hAnsi="Arial" w:cs="Arial"/>
        </w:rPr>
        <w:t>, T. (2012). Governance and foreign direct investment: A panel gravity model approach. International Review of Applied Economics, 26(3), 303–328.</w:t>
      </w:r>
      <w:r w:rsidR="008012AF">
        <w:rPr>
          <w:rFonts w:ascii="Arial" w:hAnsi="Arial" w:cs="Arial"/>
        </w:rPr>
        <w:t xml:space="preserve"> </w:t>
      </w:r>
      <w:r w:rsidRPr="000646AD">
        <w:rPr>
          <w:rFonts w:ascii="Arial" w:hAnsi="Arial" w:cs="Arial"/>
        </w:rPr>
        <w:t>https://doi.org/10.1080/02692171.2011.587110</w:t>
      </w:r>
    </w:p>
    <w:p w14:paraId="2910000D" w14:textId="77777777" w:rsidR="000646AD" w:rsidRPr="000646AD" w:rsidRDefault="000646AD" w:rsidP="008012AF">
      <w:pPr>
        <w:pStyle w:val="Body"/>
        <w:rPr>
          <w:rFonts w:ascii="Arial" w:hAnsi="Arial" w:cs="Arial"/>
        </w:rPr>
      </w:pPr>
      <w:r w:rsidRPr="000646AD">
        <w:rPr>
          <w:rFonts w:ascii="Arial" w:hAnsi="Arial" w:cs="Arial"/>
        </w:rPr>
        <w:t xml:space="preserve">Bernal Ponce, L. A., Pérez Navarro, R., &amp; Ramírez </w:t>
      </w:r>
      <w:proofErr w:type="spellStart"/>
      <w:r w:rsidRPr="000646AD">
        <w:rPr>
          <w:rFonts w:ascii="Arial" w:hAnsi="Arial" w:cs="Arial"/>
        </w:rPr>
        <w:t>Grajeda</w:t>
      </w:r>
      <w:proofErr w:type="spellEnd"/>
      <w:r w:rsidRPr="000646AD">
        <w:rPr>
          <w:rFonts w:ascii="Arial" w:hAnsi="Arial" w:cs="Arial"/>
        </w:rPr>
        <w:t>, M. (2020). Causality between Chinese investment in Latin America and the governance indicators. Competition and Regulation in Network Industries, 21(1), 6–17.</w:t>
      </w:r>
      <w:r w:rsidR="008012AF">
        <w:rPr>
          <w:rFonts w:ascii="Arial" w:hAnsi="Arial" w:cs="Arial"/>
        </w:rPr>
        <w:t xml:space="preserve"> </w:t>
      </w:r>
      <w:r w:rsidRPr="000646AD">
        <w:rPr>
          <w:rFonts w:ascii="Arial" w:hAnsi="Arial" w:cs="Arial"/>
        </w:rPr>
        <w:t xml:space="preserve"> https://doi.org/10.1177/1783591719874774</w:t>
      </w:r>
    </w:p>
    <w:p w14:paraId="65DEB0B0" w14:textId="77777777" w:rsidR="000646AD" w:rsidRPr="000646AD" w:rsidRDefault="000646AD" w:rsidP="008012AF">
      <w:pPr>
        <w:pStyle w:val="Body"/>
        <w:rPr>
          <w:rFonts w:ascii="Arial" w:hAnsi="Arial" w:cs="Arial"/>
        </w:rPr>
      </w:pPr>
      <w:proofErr w:type="spellStart"/>
      <w:r w:rsidRPr="000646AD">
        <w:rPr>
          <w:rFonts w:ascii="Arial" w:hAnsi="Arial" w:cs="Arial"/>
        </w:rPr>
        <w:t>Bhujabal</w:t>
      </w:r>
      <w:proofErr w:type="spellEnd"/>
      <w:r w:rsidRPr="000646AD">
        <w:rPr>
          <w:rFonts w:ascii="Arial" w:hAnsi="Arial" w:cs="Arial"/>
        </w:rPr>
        <w:t xml:space="preserve">, P., </w:t>
      </w:r>
      <w:proofErr w:type="spellStart"/>
      <w:r w:rsidRPr="000646AD">
        <w:rPr>
          <w:rFonts w:ascii="Arial" w:hAnsi="Arial" w:cs="Arial"/>
        </w:rPr>
        <w:t>Sethi</w:t>
      </w:r>
      <w:proofErr w:type="spellEnd"/>
      <w:r w:rsidRPr="000646AD">
        <w:rPr>
          <w:rFonts w:ascii="Arial" w:hAnsi="Arial" w:cs="Arial"/>
        </w:rPr>
        <w:t xml:space="preserve">, N., &amp; </w:t>
      </w:r>
      <w:proofErr w:type="spellStart"/>
      <w:r w:rsidRPr="000646AD">
        <w:rPr>
          <w:rFonts w:ascii="Arial" w:hAnsi="Arial" w:cs="Arial"/>
        </w:rPr>
        <w:t>Padhan</w:t>
      </w:r>
      <w:proofErr w:type="spellEnd"/>
      <w:r w:rsidRPr="000646AD">
        <w:rPr>
          <w:rFonts w:ascii="Arial" w:hAnsi="Arial" w:cs="Arial"/>
        </w:rPr>
        <w:t xml:space="preserve">, P. C. (2024). Effect of institutional quality on FDI inflows in South Asian and Southeast Asian countries. </w:t>
      </w:r>
      <w:proofErr w:type="spellStart"/>
      <w:r w:rsidRPr="000646AD">
        <w:rPr>
          <w:rFonts w:ascii="Arial" w:hAnsi="Arial" w:cs="Arial"/>
        </w:rPr>
        <w:t>Heliyon</w:t>
      </w:r>
      <w:proofErr w:type="spellEnd"/>
      <w:r w:rsidRPr="000646AD">
        <w:rPr>
          <w:rFonts w:ascii="Arial" w:hAnsi="Arial" w:cs="Arial"/>
        </w:rPr>
        <w:t>, 10(5).</w:t>
      </w:r>
      <w:r w:rsidR="008012AF">
        <w:rPr>
          <w:rFonts w:ascii="Arial" w:hAnsi="Arial" w:cs="Arial"/>
        </w:rPr>
        <w:t xml:space="preserve"> </w:t>
      </w:r>
      <w:r w:rsidRPr="000646AD">
        <w:rPr>
          <w:rFonts w:ascii="Arial" w:hAnsi="Arial" w:cs="Arial"/>
        </w:rPr>
        <w:t>https://doi.org/10.1016/j.heliyon.2024.e27060</w:t>
      </w:r>
    </w:p>
    <w:p w14:paraId="2B2D3218" w14:textId="77777777" w:rsidR="000646AD" w:rsidRPr="000646AD" w:rsidRDefault="000646AD" w:rsidP="000646AD">
      <w:pPr>
        <w:pStyle w:val="Body"/>
        <w:rPr>
          <w:rFonts w:ascii="Arial" w:hAnsi="Arial" w:cs="Arial"/>
        </w:rPr>
      </w:pPr>
      <w:r w:rsidRPr="000646AD">
        <w:rPr>
          <w:rFonts w:ascii="Arial" w:hAnsi="Arial" w:cs="Arial"/>
        </w:rPr>
        <w:t xml:space="preserve">Biro, F. P., </w:t>
      </w:r>
      <w:proofErr w:type="spellStart"/>
      <w:r w:rsidRPr="000646AD">
        <w:rPr>
          <w:rFonts w:ascii="Arial" w:hAnsi="Arial" w:cs="Arial"/>
        </w:rPr>
        <w:t>Erdey</w:t>
      </w:r>
      <w:proofErr w:type="spellEnd"/>
      <w:r w:rsidRPr="000646AD">
        <w:rPr>
          <w:rFonts w:ascii="Arial" w:hAnsi="Arial" w:cs="Arial"/>
        </w:rPr>
        <w:t>, L., Gall, J., &amp; Markus, A. (2019). The effect of governance on foreign direct investment in Latin America - issues of model selection. Global Economy Journal, 19(01), 1950006. https://doi.org/10.1142/S2194565919500064</w:t>
      </w:r>
    </w:p>
    <w:p w14:paraId="7FE79A9B" w14:textId="77777777" w:rsidR="000646AD" w:rsidRPr="000646AD" w:rsidRDefault="000646AD" w:rsidP="000646AD">
      <w:pPr>
        <w:pStyle w:val="Body"/>
        <w:rPr>
          <w:rFonts w:ascii="Arial" w:hAnsi="Arial" w:cs="Arial"/>
        </w:rPr>
      </w:pPr>
      <w:proofErr w:type="spellStart"/>
      <w:r w:rsidRPr="000646AD">
        <w:rPr>
          <w:rFonts w:ascii="Arial" w:hAnsi="Arial" w:cs="Arial"/>
        </w:rPr>
        <w:t>Bouchoucha</w:t>
      </w:r>
      <w:proofErr w:type="spellEnd"/>
      <w:r w:rsidRPr="000646AD">
        <w:rPr>
          <w:rFonts w:ascii="Arial" w:hAnsi="Arial" w:cs="Arial"/>
        </w:rPr>
        <w:t xml:space="preserve">, N. (2023). Governance and foreign direct investment: </w:t>
      </w:r>
      <w:proofErr w:type="gramStart"/>
      <w:r w:rsidRPr="000646AD">
        <w:rPr>
          <w:rFonts w:ascii="Arial" w:hAnsi="Arial" w:cs="Arial"/>
        </w:rPr>
        <w:t>Is</w:t>
      </w:r>
      <w:proofErr w:type="gramEnd"/>
      <w:r w:rsidRPr="000646AD">
        <w:rPr>
          <w:rFonts w:ascii="Arial" w:hAnsi="Arial" w:cs="Arial"/>
        </w:rPr>
        <w:t xml:space="preserve"> the low and middle income Africa region different? Transnational Corporations Review, 15(1), 1–13. https://doi.org/10.1016/j.tncr.2023.100001</w:t>
      </w:r>
    </w:p>
    <w:p w14:paraId="73232EFB" w14:textId="77777777" w:rsidR="000646AD" w:rsidRPr="000646AD" w:rsidRDefault="000646AD" w:rsidP="008012AF">
      <w:pPr>
        <w:pStyle w:val="Body"/>
        <w:rPr>
          <w:rFonts w:ascii="Arial" w:hAnsi="Arial" w:cs="Arial"/>
        </w:rPr>
      </w:pPr>
      <w:r w:rsidRPr="000646AD">
        <w:rPr>
          <w:rFonts w:ascii="Arial" w:hAnsi="Arial" w:cs="Arial"/>
        </w:rPr>
        <w:t>Brewer, T. L. (1993). Government Policies, Market Imperfections, and Foreign Direct Investment. Journal of International Business Studies, 24(1), 101–120.https://doi.org/10.1057/palgrave.jibs.8490227</w:t>
      </w:r>
    </w:p>
    <w:p w14:paraId="27CE4AFF" w14:textId="77777777" w:rsidR="000646AD" w:rsidRPr="000646AD" w:rsidRDefault="000646AD" w:rsidP="008012AF">
      <w:pPr>
        <w:pStyle w:val="Body"/>
        <w:rPr>
          <w:rFonts w:ascii="Arial" w:hAnsi="Arial" w:cs="Arial"/>
        </w:rPr>
      </w:pPr>
      <w:proofErr w:type="spellStart"/>
      <w:r w:rsidRPr="000646AD">
        <w:rPr>
          <w:rFonts w:ascii="Arial" w:hAnsi="Arial" w:cs="Arial"/>
        </w:rPr>
        <w:t>Buracom</w:t>
      </w:r>
      <w:proofErr w:type="spellEnd"/>
      <w:r w:rsidRPr="000646AD">
        <w:rPr>
          <w:rFonts w:ascii="Arial" w:hAnsi="Arial" w:cs="Arial"/>
        </w:rPr>
        <w:t>, P. (2014). ASEAN Economic Performance, Institutional Effectiveness, and Foreign Direct Investment. Asian Affairs: An American Review, 41(3), 108–126.</w:t>
      </w:r>
      <w:r w:rsidR="008012AF">
        <w:rPr>
          <w:rFonts w:ascii="Arial" w:hAnsi="Arial" w:cs="Arial"/>
        </w:rPr>
        <w:t xml:space="preserve"> </w:t>
      </w:r>
      <w:r w:rsidRPr="000646AD">
        <w:rPr>
          <w:rFonts w:ascii="Arial" w:hAnsi="Arial" w:cs="Arial"/>
        </w:rPr>
        <w:t>https://doi.org/10.1080/00927678.2014.936801</w:t>
      </w:r>
    </w:p>
    <w:p w14:paraId="301FDD33" w14:textId="77777777" w:rsidR="000646AD" w:rsidRPr="000646AD" w:rsidRDefault="000646AD" w:rsidP="008012AF">
      <w:pPr>
        <w:pStyle w:val="Body"/>
        <w:rPr>
          <w:rFonts w:ascii="Arial" w:hAnsi="Arial" w:cs="Arial"/>
        </w:rPr>
      </w:pPr>
      <w:proofErr w:type="spellStart"/>
      <w:r w:rsidRPr="000646AD">
        <w:rPr>
          <w:rFonts w:ascii="Arial" w:hAnsi="Arial" w:cs="Arial"/>
        </w:rPr>
        <w:t>Daude</w:t>
      </w:r>
      <w:proofErr w:type="spellEnd"/>
      <w:r w:rsidRPr="000646AD">
        <w:rPr>
          <w:rFonts w:ascii="Arial" w:hAnsi="Arial" w:cs="Arial"/>
        </w:rPr>
        <w:t>, C., &amp; Stein, E. (2007). The Quality of Institutions and Foreign Direct Investment. Economics &amp; Politics, 19(3), 317–344.</w:t>
      </w:r>
      <w:r w:rsidR="008012AF">
        <w:rPr>
          <w:rFonts w:ascii="Arial" w:hAnsi="Arial" w:cs="Arial"/>
        </w:rPr>
        <w:t xml:space="preserve"> </w:t>
      </w:r>
      <w:r w:rsidRPr="000646AD">
        <w:rPr>
          <w:rFonts w:ascii="Arial" w:hAnsi="Arial" w:cs="Arial"/>
        </w:rPr>
        <w:t>https://doi.org/10.1111/j.1468-0343.2007.00318.x</w:t>
      </w:r>
    </w:p>
    <w:p w14:paraId="5175A8B8" w14:textId="77777777" w:rsidR="000646AD" w:rsidRPr="000646AD" w:rsidRDefault="000646AD" w:rsidP="000646AD">
      <w:pPr>
        <w:pStyle w:val="Body"/>
        <w:rPr>
          <w:rFonts w:ascii="Arial" w:hAnsi="Arial" w:cs="Arial"/>
        </w:rPr>
      </w:pPr>
      <w:r w:rsidRPr="000646AD">
        <w:rPr>
          <w:rFonts w:ascii="Arial" w:hAnsi="Arial" w:cs="Arial"/>
        </w:rPr>
        <w:t xml:space="preserve">Dickey, D. A., &amp; Fuller, W. A. (1979). Distribution of the Estimators for Autoregressive Time Series with a Unit Root. Journal of the American Statistical Association, 74(366a), 427–431. </w:t>
      </w:r>
      <w:r w:rsidR="008012AF">
        <w:rPr>
          <w:rFonts w:ascii="Arial" w:hAnsi="Arial" w:cs="Arial"/>
        </w:rPr>
        <w:t>h</w:t>
      </w:r>
      <w:r w:rsidRPr="000646AD">
        <w:rPr>
          <w:rFonts w:ascii="Arial" w:hAnsi="Arial" w:cs="Arial"/>
        </w:rPr>
        <w:t>ttps://doi.org/10.1080/01621459.1979.10482531</w:t>
      </w:r>
    </w:p>
    <w:p w14:paraId="29D687B7" w14:textId="77777777" w:rsidR="000646AD" w:rsidRPr="000646AD" w:rsidRDefault="000646AD" w:rsidP="008012AF">
      <w:pPr>
        <w:pStyle w:val="Body"/>
        <w:rPr>
          <w:rFonts w:ascii="Arial" w:hAnsi="Arial" w:cs="Arial"/>
        </w:rPr>
      </w:pPr>
      <w:proofErr w:type="spellStart"/>
      <w:r w:rsidRPr="000646AD">
        <w:rPr>
          <w:rFonts w:ascii="Arial" w:hAnsi="Arial" w:cs="Arial"/>
        </w:rPr>
        <w:t>Eryigit</w:t>
      </w:r>
      <w:proofErr w:type="spellEnd"/>
      <w:r w:rsidRPr="000646AD">
        <w:rPr>
          <w:rFonts w:ascii="Arial" w:hAnsi="Arial" w:cs="Arial"/>
        </w:rPr>
        <w:t xml:space="preserve">, M., &amp; </w:t>
      </w:r>
      <w:proofErr w:type="spellStart"/>
      <w:r w:rsidRPr="000646AD">
        <w:rPr>
          <w:rFonts w:ascii="Arial" w:hAnsi="Arial" w:cs="Arial"/>
        </w:rPr>
        <w:t>Shafaq</w:t>
      </w:r>
      <w:proofErr w:type="spellEnd"/>
      <w:r w:rsidRPr="000646AD">
        <w:rPr>
          <w:rFonts w:ascii="Arial" w:hAnsi="Arial" w:cs="Arial"/>
        </w:rPr>
        <w:t>, A. Q. (2021). Factors Affecting Foreign Direct Investment: The Afghanistan Case. Studies of Applied Economics, 39(1).</w:t>
      </w:r>
      <w:r w:rsidR="008012AF">
        <w:rPr>
          <w:rFonts w:ascii="Arial" w:hAnsi="Arial" w:cs="Arial"/>
        </w:rPr>
        <w:t xml:space="preserve"> </w:t>
      </w:r>
      <w:r w:rsidRPr="000646AD">
        <w:rPr>
          <w:rFonts w:ascii="Arial" w:hAnsi="Arial" w:cs="Arial"/>
        </w:rPr>
        <w:t>https://doi.org/10.25115/eea.v39i1.3351</w:t>
      </w:r>
    </w:p>
    <w:p w14:paraId="26214E66" w14:textId="77777777" w:rsidR="000646AD" w:rsidRPr="000646AD" w:rsidRDefault="000646AD" w:rsidP="000646AD">
      <w:pPr>
        <w:pStyle w:val="Body"/>
        <w:rPr>
          <w:rFonts w:ascii="Arial" w:hAnsi="Arial" w:cs="Arial"/>
        </w:rPr>
      </w:pPr>
      <w:proofErr w:type="spellStart"/>
      <w:r w:rsidRPr="000646AD">
        <w:rPr>
          <w:rFonts w:ascii="Arial" w:hAnsi="Arial" w:cs="Arial"/>
        </w:rPr>
        <w:t>Gangi</w:t>
      </w:r>
      <w:proofErr w:type="spellEnd"/>
      <w:r w:rsidRPr="000646AD">
        <w:rPr>
          <w:rFonts w:ascii="Arial" w:hAnsi="Arial" w:cs="Arial"/>
        </w:rPr>
        <w:t xml:space="preserve">, Y. A., &amp; </w:t>
      </w:r>
      <w:proofErr w:type="spellStart"/>
      <w:r w:rsidRPr="000646AD">
        <w:rPr>
          <w:rFonts w:ascii="Arial" w:hAnsi="Arial" w:cs="Arial"/>
        </w:rPr>
        <w:t>Abdulrazak</w:t>
      </w:r>
      <w:proofErr w:type="spellEnd"/>
      <w:r w:rsidRPr="000646AD">
        <w:rPr>
          <w:rFonts w:ascii="Arial" w:hAnsi="Arial" w:cs="Arial"/>
        </w:rPr>
        <w:t>, R. S. (2012). The impact of governance on FDI flows to African countries. World Journal of Entrepreneurship, Management and Sustainable Development, 8(2/3), 162–169. https://doi.org/10.1108/20425961211247761</w:t>
      </w:r>
    </w:p>
    <w:p w14:paraId="66C96D81" w14:textId="77777777" w:rsidR="000646AD" w:rsidRPr="000646AD" w:rsidRDefault="000646AD" w:rsidP="000646AD">
      <w:pPr>
        <w:pStyle w:val="Body"/>
        <w:rPr>
          <w:rFonts w:ascii="Arial" w:hAnsi="Arial" w:cs="Arial"/>
        </w:rPr>
      </w:pPr>
      <w:r w:rsidRPr="000646AD">
        <w:rPr>
          <w:rFonts w:ascii="Arial" w:hAnsi="Arial" w:cs="Arial"/>
        </w:rPr>
        <w:t xml:space="preserve">Jabri, A., &amp; </w:t>
      </w:r>
      <w:proofErr w:type="spellStart"/>
      <w:r w:rsidRPr="000646AD">
        <w:rPr>
          <w:rFonts w:ascii="Arial" w:hAnsi="Arial" w:cs="Arial"/>
        </w:rPr>
        <w:t>Brahim</w:t>
      </w:r>
      <w:proofErr w:type="spellEnd"/>
      <w:r w:rsidRPr="000646AD">
        <w:rPr>
          <w:rFonts w:ascii="Arial" w:hAnsi="Arial" w:cs="Arial"/>
        </w:rPr>
        <w:t>, M. (2015). Institutional Determinants of Foreign Direct Investment in MENA Region: Panel Co-Integration Analysis. Journal of Applied Business Research (JABR), 31(5), 2001. https://doi.org/10.19030/jabr.v31i5.9417</w:t>
      </w:r>
    </w:p>
    <w:p w14:paraId="587ACE85" w14:textId="77777777" w:rsidR="000646AD" w:rsidRPr="000646AD" w:rsidRDefault="000646AD" w:rsidP="000646AD">
      <w:pPr>
        <w:pStyle w:val="Body"/>
        <w:rPr>
          <w:rFonts w:ascii="Arial" w:hAnsi="Arial" w:cs="Arial"/>
        </w:rPr>
      </w:pPr>
      <w:r w:rsidRPr="000646AD">
        <w:rPr>
          <w:rFonts w:ascii="Arial" w:hAnsi="Arial" w:cs="Arial"/>
        </w:rPr>
        <w:lastRenderedPageBreak/>
        <w:t xml:space="preserve">Jadhav, P., &amp; </w:t>
      </w:r>
      <w:proofErr w:type="spellStart"/>
      <w:r w:rsidRPr="000646AD">
        <w:rPr>
          <w:rFonts w:ascii="Arial" w:hAnsi="Arial" w:cs="Arial"/>
        </w:rPr>
        <w:t>Katti</w:t>
      </w:r>
      <w:proofErr w:type="spellEnd"/>
      <w:r w:rsidRPr="000646AD">
        <w:rPr>
          <w:rFonts w:ascii="Arial" w:hAnsi="Arial" w:cs="Arial"/>
        </w:rPr>
        <w:t xml:space="preserve">, V. (2012). Institutional and Political Determinants of Foreign Direct Investment: Evidence </w:t>
      </w:r>
      <w:proofErr w:type="gramStart"/>
      <w:r w:rsidRPr="000646AD">
        <w:rPr>
          <w:rFonts w:ascii="Arial" w:hAnsi="Arial" w:cs="Arial"/>
        </w:rPr>
        <w:t>From</w:t>
      </w:r>
      <w:proofErr w:type="gramEnd"/>
      <w:r w:rsidRPr="000646AD">
        <w:rPr>
          <w:rFonts w:ascii="Arial" w:hAnsi="Arial" w:cs="Arial"/>
        </w:rPr>
        <w:t xml:space="preserve"> BRICS Economies. Poverty &amp; Public Policy, 4(3), 49–57. https://doi.org/10.1002/pop4.5</w:t>
      </w:r>
    </w:p>
    <w:p w14:paraId="7A51AA4A" w14:textId="77777777" w:rsidR="000646AD" w:rsidRPr="000646AD" w:rsidRDefault="000646AD" w:rsidP="000646AD">
      <w:pPr>
        <w:pStyle w:val="Body"/>
        <w:rPr>
          <w:rFonts w:ascii="Arial" w:hAnsi="Arial" w:cs="Arial"/>
        </w:rPr>
      </w:pPr>
      <w:proofErr w:type="spellStart"/>
      <w:r w:rsidRPr="000646AD">
        <w:rPr>
          <w:rFonts w:ascii="Arial" w:hAnsi="Arial" w:cs="Arial"/>
        </w:rPr>
        <w:t>Kalim</w:t>
      </w:r>
      <w:proofErr w:type="spellEnd"/>
      <w:r w:rsidRPr="000646AD">
        <w:rPr>
          <w:rFonts w:ascii="Arial" w:hAnsi="Arial" w:cs="Arial"/>
        </w:rPr>
        <w:t xml:space="preserve">, R., </w:t>
      </w:r>
      <w:proofErr w:type="spellStart"/>
      <w:r w:rsidRPr="000646AD">
        <w:rPr>
          <w:rFonts w:ascii="Arial" w:hAnsi="Arial" w:cs="Arial"/>
        </w:rPr>
        <w:t>Javaid</w:t>
      </w:r>
      <w:proofErr w:type="spellEnd"/>
      <w:r w:rsidRPr="000646AD">
        <w:rPr>
          <w:rFonts w:ascii="Arial" w:hAnsi="Arial" w:cs="Arial"/>
        </w:rPr>
        <w:t xml:space="preserve">, A., Danish, M. H., &amp; </w:t>
      </w:r>
      <w:proofErr w:type="spellStart"/>
      <w:r w:rsidRPr="000646AD">
        <w:rPr>
          <w:rFonts w:ascii="Arial" w:hAnsi="Arial" w:cs="Arial"/>
        </w:rPr>
        <w:t>Arshed</w:t>
      </w:r>
      <w:proofErr w:type="spellEnd"/>
      <w:r w:rsidRPr="000646AD">
        <w:rPr>
          <w:rFonts w:ascii="Arial" w:hAnsi="Arial" w:cs="Arial"/>
        </w:rPr>
        <w:t>, N. (2022). How do Institutions matter for International Business? Evidence from SAARC Countries. Journal Global Policy and Governance, 11(1), 35–52. https://doi.org/10.14666/2194-7759-11-1-003</w:t>
      </w:r>
    </w:p>
    <w:p w14:paraId="29FEE141" w14:textId="77777777" w:rsidR="000646AD" w:rsidRPr="000646AD" w:rsidRDefault="000646AD" w:rsidP="008012AF">
      <w:pPr>
        <w:pStyle w:val="Body"/>
        <w:rPr>
          <w:rFonts w:ascii="Arial" w:hAnsi="Arial" w:cs="Arial"/>
        </w:rPr>
      </w:pPr>
      <w:r w:rsidRPr="000646AD">
        <w:rPr>
          <w:rFonts w:ascii="Arial" w:hAnsi="Arial" w:cs="Arial"/>
        </w:rPr>
        <w:t xml:space="preserve">Kaufmann, D., </w:t>
      </w:r>
      <w:proofErr w:type="spellStart"/>
      <w:r w:rsidRPr="000646AD">
        <w:rPr>
          <w:rFonts w:ascii="Arial" w:hAnsi="Arial" w:cs="Arial"/>
        </w:rPr>
        <w:t>Kraay</w:t>
      </w:r>
      <w:proofErr w:type="spellEnd"/>
      <w:r w:rsidRPr="000646AD">
        <w:rPr>
          <w:rFonts w:ascii="Arial" w:hAnsi="Arial" w:cs="Arial"/>
        </w:rPr>
        <w:t xml:space="preserve">, A., &amp; </w:t>
      </w:r>
      <w:proofErr w:type="spellStart"/>
      <w:r w:rsidRPr="000646AD">
        <w:rPr>
          <w:rFonts w:ascii="Arial" w:hAnsi="Arial" w:cs="Arial"/>
        </w:rPr>
        <w:t>Zoido-Lobaton</w:t>
      </w:r>
      <w:proofErr w:type="spellEnd"/>
      <w:r w:rsidRPr="000646AD">
        <w:rPr>
          <w:rFonts w:ascii="Arial" w:hAnsi="Arial" w:cs="Arial"/>
        </w:rPr>
        <w:t>, P. (1999). Aggregating governance indicators.</w:t>
      </w:r>
      <w:r w:rsidR="008012AF">
        <w:rPr>
          <w:rFonts w:ascii="Arial" w:hAnsi="Arial" w:cs="Arial"/>
        </w:rPr>
        <w:t xml:space="preserve"> </w:t>
      </w:r>
      <w:r w:rsidRPr="000646AD">
        <w:rPr>
          <w:rFonts w:ascii="Arial" w:hAnsi="Arial" w:cs="Arial"/>
        </w:rPr>
        <w:t>World Bank Policy Research Working Paper, No. 2195.</w:t>
      </w:r>
    </w:p>
    <w:p w14:paraId="32144492" w14:textId="77777777" w:rsidR="000646AD" w:rsidRPr="000646AD" w:rsidRDefault="000646AD" w:rsidP="008012AF">
      <w:pPr>
        <w:pStyle w:val="Body"/>
        <w:rPr>
          <w:rFonts w:ascii="Arial" w:hAnsi="Arial" w:cs="Arial"/>
        </w:rPr>
      </w:pPr>
      <w:r w:rsidRPr="000646AD">
        <w:rPr>
          <w:rFonts w:ascii="Arial" w:hAnsi="Arial" w:cs="Arial"/>
        </w:rPr>
        <w:t xml:space="preserve">Kaufmann, D., </w:t>
      </w:r>
      <w:proofErr w:type="spellStart"/>
      <w:r w:rsidRPr="000646AD">
        <w:rPr>
          <w:rFonts w:ascii="Arial" w:hAnsi="Arial" w:cs="Arial"/>
        </w:rPr>
        <w:t>Kraay</w:t>
      </w:r>
      <w:proofErr w:type="spellEnd"/>
      <w:r w:rsidRPr="000646AD">
        <w:rPr>
          <w:rFonts w:ascii="Arial" w:hAnsi="Arial" w:cs="Arial"/>
        </w:rPr>
        <w:t xml:space="preserve">, A., &amp; </w:t>
      </w:r>
      <w:proofErr w:type="spellStart"/>
      <w:r w:rsidRPr="000646AD">
        <w:rPr>
          <w:rFonts w:ascii="Arial" w:hAnsi="Arial" w:cs="Arial"/>
        </w:rPr>
        <w:t>Mastruzzi</w:t>
      </w:r>
      <w:proofErr w:type="spellEnd"/>
      <w:r w:rsidRPr="000646AD">
        <w:rPr>
          <w:rFonts w:ascii="Arial" w:hAnsi="Arial" w:cs="Arial"/>
        </w:rPr>
        <w:t xml:space="preserve">, M. (2009). Governance matters VIII: aggregate </w:t>
      </w:r>
      <w:proofErr w:type="gramStart"/>
      <w:r w:rsidRPr="000646AD">
        <w:rPr>
          <w:rFonts w:ascii="Arial" w:hAnsi="Arial" w:cs="Arial"/>
        </w:rPr>
        <w:t xml:space="preserve">and </w:t>
      </w:r>
      <w:r w:rsidR="008012AF">
        <w:rPr>
          <w:rFonts w:ascii="Arial" w:hAnsi="Arial" w:cs="Arial"/>
        </w:rPr>
        <w:t xml:space="preserve"> </w:t>
      </w:r>
      <w:r w:rsidRPr="000646AD">
        <w:rPr>
          <w:rFonts w:ascii="Arial" w:hAnsi="Arial" w:cs="Arial"/>
        </w:rPr>
        <w:t>individual</w:t>
      </w:r>
      <w:proofErr w:type="gramEnd"/>
      <w:r w:rsidRPr="000646AD">
        <w:rPr>
          <w:rFonts w:ascii="Arial" w:hAnsi="Arial" w:cs="Arial"/>
        </w:rPr>
        <w:t xml:space="preserve"> governance indicators, 1996-2008. World Bank policy research working paper, (4978).</w:t>
      </w:r>
    </w:p>
    <w:p w14:paraId="4E97533B" w14:textId="77777777" w:rsidR="000646AD" w:rsidRPr="000646AD" w:rsidRDefault="000646AD" w:rsidP="008012AF">
      <w:pPr>
        <w:pStyle w:val="Body"/>
        <w:rPr>
          <w:rFonts w:ascii="Arial" w:hAnsi="Arial" w:cs="Arial"/>
        </w:rPr>
      </w:pPr>
      <w:proofErr w:type="spellStart"/>
      <w:r w:rsidRPr="000646AD">
        <w:rPr>
          <w:rFonts w:ascii="Arial" w:hAnsi="Arial" w:cs="Arial"/>
        </w:rPr>
        <w:t>Kayani</w:t>
      </w:r>
      <w:proofErr w:type="spellEnd"/>
      <w:r w:rsidRPr="000646AD">
        <w:rPr>
          <w:rFonts w:ascii="Arial" w:hAnsi="Arial" w:cs="Arial"/>
        </w:rPr>
        <w:t xml:space="preserve">, F.N., &amp; </w:t>
      </w:r>
      <w:proofErr w:type="spellStart"/>
      <w:r w:rsidRPr="000646AD">
        <w:rPr>
          <w:rFonts w:ascii="Arial" w:hAnsi="Arial" w:cs="Arial"/>
        </w:rPr>
        <w:t>Ganic</w:t>
      </w:r>
      <w:proofErr w:type="spellEnd"/>
      <w:r w:rsidRPr="000646AD">
        <w:rPr>
          <w:rFonts w:ascii="Arial" w:hAnsi="Arial" w:cs="Arial"/>
        </w:rPr>
        <w:t>, M. (2021). The Impact of Governance on Chinese inward FDI: The</w:t>
      </w:r>
      <w:r w:rsidR="008012AF">
        <w:rPr>
          <w:rFonts w:ascii="Arial" w:hAnsi="Arial" w:cs="Arial"/>
        </w:rPr>
        <w:t xml:space="preserve"> </w:t>
      </w:r>
      <w:r w:rsidRPr="000646AD">
        <w:rPr>
          <w:rFonts w:ascii="Arial" w:hAnsi="Arial" w:cs="Arial"/>
        </w:rPr>
        <w:t>Generalized Method of Moments Technique. Humanities and Social Sciences Letters, 9(2), 175-184. https://doi.org/10.18488%2Fjournal.73.2021.92.175.184</w:t>
      </w:r>
    </w:p>
    <w:p w14:paraId="1E60CF22" w14:textId="77777777" w:rsidR="000646AD" w:rsidRPr="000646AD" w:rsidRDefault="000646AD" w:rsidP="008012AF">
      <w:pPr>
        <w:pStyle w:val="Body"/>
        <w:rPr>
          <w:rFonts w:ascii="Arial" w:hAnsi="Arial" w:cs="Arial"/>
        </w:rPr>
      </w:pPr>
      <w:r w:rsidRPr="000646AD">
        <w:rPr>
          <w:rFonts w:ascii="Arial" w:hAnsi="Arial" w:cs="Arial"/>
        </w:rPr>
        <w:t>Khan, H., Dong, Y., Bibi, R., &amp; Khan, I. (2023). Institutional Quality and Foreign Direct Investment: Global Evidence. Journal of the Knowledge Economy, 1-45.</w:t>
      </w:r>
      <w:r w:rsidR="008012AF">
        <w:rPr>
          <w:rFonts w:ascii="Arial" w:hAnsi="Arial" w:cs="Arial"/>
        </w:rPr>
        <w:t xml:space="preserve"> </w:t>
      </w:r>
      <w:r w:rsidRPr="000646AD">
        <w:rPr>
          <w:rFonts w:ascii="Arial" w:hAnsi="Arial" w:cs="Arial"/>
        </w:rPr>
        <w:t>https://doi.org/10.1007/s13132-023-01508-1</w:t>
      </w:r>
    </w:p>
    <w:p w14:paraId="02F716E2" w14:textId="77777777" w:rsidR="000646AD" w:rsidRPr="000646AD" w:rsidRDefault="000646AD" w:rsidP="000646AD">
      <w:pPr>
        <w:pStyle w:val="Body"/>
        <w:rPr>
          <w:rFonts w:ascii="Arial" w:hAnsi="Arial" w:cs="Arial"/>
        </w:rPr>
      </w:pPr>
      <w:r w:rsidRPr="000646AD">
        <w:rPr>
          <w:rFonts w:ascii="Arial" w:hAnsi="Arial" w:cs="Arial"/>
        </w:rPr>
        <w:t>Khan, H., Jan, M., Hu, J., &amp; Khan, I. (2019). Impact of Governance on Foreign Direct Investment in Context of Pakistan. Journal of International Finance and Economics, 19(1), 53–64. https://doi.org/10.18374/JIFE-19-1.5</w:t>
      </w:r>
    </w:p>
    <w:p w14:paraId="5C35932C" w14:textId="77777777" w:rsidR="000646AD" w:rsidRPr="000646AD" w:rsidRDefault="000646AD" w:rsidP="000646AD">
      <w:pPr>
        <w:pStyle w:val="Body"/>
        <w:rPr>
          <w:rFonts w:ascii="Arial" w:hAnsi="Arial" w:cs="Arial"/>
        </w:rPr>
      </w:pPr>
      <w:r w:rsidRPr="000646AD">
        <w:rPr>
          <w:rFonts w:ascii="Arial" w:hAnsi="Arial" w:cs="Arial"/>
        </w:rPr>
        <w:t xml:space="preserve">Khan, H., </w:t>
      </w:r>
      <w:proofErr w:type="spellStart"/>
      <w:r w:rsidRPr="000646AD">
        <w:rPr>
          <w:rFonts w:ascii="Arial" w:hAnsi="Arial" w:cs="Arial"/>
        </w:rPr>
        <w:t>Weili</w:t>
      </w:r>
      <w:proofErr w:type="spellEnd"/>
      <w:r w:rsidRPr="000646AD">
        <w:rPr>
          <w:rFonts w:ascii="Arial" w:hAnsi="Arial" w:cs="Arial"/>
        </w:rPr>
        <w:t>, L., &amp; Khan, I. (2022). The role of institutional quality in FDI inflows and carbon emission reduction: Evidence from the global developing and belt road initiative countries. Environmental Science and Pollution Research, 1-28.</w:t>
      </w:r>
    </w:p>
    <w:p w14:paraId="0E5BEC3C" w14:textId="77777777" w:rsidR="000646AD" w:rsidRPr="000646AD" w:rsidRDefault="000646AD" w:rsidP="008012AF">
      <w:pPr>
        <w:pStyle w:val="Body"/>
        <w:rPr>
          <w:rFonts w:ascii="Arial" w:hAnsi="Arial" w:cs="Arial"/>
        </w:rPr>
      </w:pPr>
      <w:proofErr w:type="spellStart"/>
      <w:r w:rsidRPr="000646AD">
        <w:rPr>
          <w:rFonts w:ascii="Arial" w:hAnsi="Arial" w:cs="Arial"/>
        </w:rPr>
        <w:t>Kok</w:t>
      </w:r>
      <w:proofErr w:type="spellEnd"/>
      <w:r w:rsidRPr="000646AD">
        <w:rPr>
          <w:rFonts w:ascii="Arial" w:hAnsi="Arial" w:cs="Arial"/>
        </w:rPr>
        <w:t xml:space="preserve">, R., &amp; </w:t>
      </w:r>
      <w:proofErr w:type="spellStart"/>
      <w:r w:rsidRPr="000646AD">
        <w:rPr>
          <w:rFonts w:ascii="Arial" w:hAnsi="Arial" w:cs="Arial"/>
        </w:rPr>
        <w:t>Acikgoz</w:t>
      </w:r>
      <w:proofErr w:type="spellEnd"/>
      <w:r w:rsidRPr="000646AD">
        <w:rPr>
          <w:rFonts w:ascii="Arial" w:hAnsi="Arial" w:cs="Arial"/>
        </w:rPr>
        <w:t xml:space="preserve"> </w:t>
      </w:r>
      <w:proofErr w:type="spellStart"/>
      <w:r w:rsidRPr="000646AD">
        <w:rPr>
          <w:rFonts w:ascii="Arial" w:hAnsi="Arial" w:cs="Arial"/>
        </w:rPr>
        <w:t>Ersoy</w:t>
      </w:r>
      <w:proofErr w:type="spellEnd"/>
      <w:r w:rsidRPr="000646AD">
        <w:rPr>
          <w:rFonts w:ascii="Arial" w:hAnsi="Arial" w:cs="Arial"/>
        </w:rPr>
        <w:t>, B. (2009). Analyses of FDI determinants in developing countries. International Journal of Social Economics, 36(1/2), 105–123.</w:t>
      </w:r>
      <w:r w:rsidR="008012AF">
        <w:rPr>
          <w:rFonts w:ascii="Arial" w:hAnsi="Arial" w:cs="Arial"/>
        </w:rPr>
        <w:t xml:space="preserve"> </w:t>
      </w:r>
      <w:r w:rsidRPr="000646AD">
        <w:rPr>
          <w:rFonts w:ascii="Arial" w:hAnsi="Arial" w:cs="Arial"/>
        </w:rPr>
        <w:t>https://doi.org/10.1108/03068290910921226</w:t>
      </w:r>
    </w:p>
    <w:p w14:paraId="77827DD4" w14:textId="77777777" w:rsidR="000646AD" w:rsidRPr="000646AD" w:rsidRDefault="000646AD" w:rsidP="000646AD">
      <w:pPr>
        <w:pStyle w:val="Body"/>
        <w:rPr>
          <w:rFonts w:ascii="Arial" w:hAnsi="Arial" w:cs="Arial"/>
        </w:rPr>
      </w:pPr>
      <w:proofErr w:type="spellStart"/>
      <w:r w:rsidRPr="000646AD">
        <w:rPr>
          <w:rFonts w:ascii="Arial" w:hAnsi="Arial" w:cs="Arial"/>
        </w:rPr>
        <w:t>Kurul</w:t>
      </w:r>
      <w:proofErr w:type="spellEnd"/>
      <w:r w:rsidRPr="000646AD">
        <w:rPr>
          <w:rFonts w:ascii="Arial" w:hAnsi="Arial" w:cs="Arial"/>
        </w:rPr>
        <w:t>, Z., &amp; Yalta, A. Y. (2017). Relationship between Institutional Factors and FDI Flows in Developing Countries: New Evidence from Dynamic Panel Estimation. Economies, 5(2) 17. doi:10.3390/economies5020017</w:t>
      </w:r>
    </w:p>
    <w:p w14:paraId="64222B85" w14:textId="77777777" w:rsidR="000646AD" w:rsidRPr="000646AD" w:rsidRDefault="000646AD" w:rsidP="000646AD">
      <w:pPr>
        <w:pStyle w:val="Body"/>
        <w:rPr>
          <w:rFonts w:ascii="Arial" w:hAnsi="Arial" w:cs="Arial"/>
        </w:rPr>
      </w:pPr>
      <w:r w:rsidRPr="000646AD">
        <w:rPr>
          <w:rFonts w:ascii="Arial" w:hAnsi="Arial" w:cs="Arial"/>
        </w:rPr>
        <w:t>La Porta, R., Lopez</w:t>
      </w:r>
      <w:r w:rsidRPr="000646AD">
        <w:rPr>
          <w:rFonts w:ascii="Cambria Math" w:hAnsi="Cambria Math" w:cs="Cambria Math"/>
        </w:rPr>
        <w:t>‐</w:t>
      </w:r>
      <w:r w:rsidRPr="000646AD">
        <w:rPr>
          <w:rFonts w:ascii="Arial" w:hAnsi="Arial" w:cs="Arial"/>
        </w:rPr>
        <w:t>De</w:t>
      </w:r>
      <w:r w:rsidRPr="000646AD">
        <w:rPr>
          <w:rFonts w:ascii="Cambria Math" w:hAnsi="Cambria Math" w:cs="Cambria Math"/>
        </w:rPr>
        <w:t>‐</w:t>
      </w:r>
      <w:r w:rsidRPr="000646AD">
        <w:rPr>
          <w:rFonts w:ascii="Arial" w:hAnsi="Arial" w:cs="Arial"/>
        </w:rPr>
        <w:t xml:space="preserve">Silanes, F., Shleifer, A., &amp; </w:t>
      </w:r>
      <w:proofErr w:type="spellStart"/>
      <w:r w:rsidRPr="000646AD">
        <w:rPr>
          <w:rFonts w:ascii="Arial" w:hAnsi="Arial" w:cs="Arial"/>
        </w:rPr>
        <w:t>Vishny</w:t>
      </w:r>
      <w:proofErr w:type="spellEnd"/>
      <w:r w:rsidRPr="000646AD">
        <w:rPr>
          <w:rFonts w:ascii="Arial" w:hAnsi="Arial" w:cs="Arial"/>
        </w:rPr>
        <w:t>, R. W. (1997). Legal Determinants of External Finance. The Journal of Finance, 52(3), 1131–1150. https://doi.org/10.1111/j.1540-6261.1997.tb02727.x</w:t>
      </w:r>
    </w:p>
    <w:p w14:paraId="0DEC70C0" w14:textId="77777777" w:rsidR="000646AD" w:rsidRPr="000646AD" w:rsidRDefault="000646AD" w:rsidP="000646AD">
      <w:pPr>
        <w:pStyle w:val="Body"/>
        <w:rPr>
          <w:rFonts w:ascii="Arial" w:hAnsi="Arial" w:cs="Arial"/>
        </w:rPr>
      </w:pPr>
      <w:r w:rsidRPr="000646AD">
        <w:rPr>
          <w:rFonts w:ascii="Arial" w:hAnsi="Arial" w:cs="Arial"/>
        </w:rPr>
        <w:t xml:space="preserve">La Porta, R., Lopez-de-Silanes, F., Shleifer, A., &amp; </w:t>
      </w:r>
      <w:proofErr w:type="spellStart"/>
      <w:r w:rsidRPr="000646AD">
        <w:rPr>
          <w:rFonts w:ascii="Arial" w:hAnsi="Arial" w:cs="Arial"/>
        </w:rPr>
        <w:t>Vishny</w:t>
      </w:r>
      <w:proofErr w:type="spellEnd"/>
      <w:r w:rsidRPr="000646AD">
        <w:rPr>
          <w:rFonts w:ascii="Arial" w:hAnsi="Arial" w:cs="Arial"/>
        </w:rPr>
        <w:t>, R. W. (1998). Law and Finance. Journal of political economy, 106(6), 1113-1155.</w:t>
      </w:r>
    </w:p>
    <w:p w14:paraId="42AE2AA6" w14:textId="77777777" w:rsidR="000646AD" w:rsidRPr="000646AD" w:rsidRDefault="000646AD" w:rsidP="008012AF">
      <w:pPr>
        <w:pStyle w:val="Body"/>
        <w:rPr>
          <w:rFonts w:ascii="Arial" w:hAnsi="Arial" w:cs="Arial"/>
        </w:rPr>
      </w:pPr>
      <w:r w:rsidRPr="000646AD">
        <w:rPr>
          <w:rFonts w:ascii="Arial" w:hAnsi="Arial" w:cs="Arial"/>
        </w:rPr>
        <w:t>Lucas, R. E. B. (1993). On the determinants of direct foreign investment: Evidence from East and Southeast Asia. World Development, 21(3), 391–406.</w:t>
      </w:r>
      <w:r w:rsidR="008012AF">
        <w:rPr>
          <w:rFonts w:ascii="Arial" w:hAnsi="Arial" w:cs="Arial"/>
        </w:rPr>
        <w:t xml:space="preserve"> </w:t>
      </w:r>
      <w:r w:rsidRPr="000646AD">
        <w:rPr>
          <w:rFonts w:ascii="Arial" w:hAnsi="Arial" w:cs="Arial"/>
        </w:rPr>
        <w:t>https://doi.org/10.1016/0305-750X(93)90152-Y</w:t>
      </w:r>
    </w:p>
    <w:p w14:paraId="2EA70549" w14:textId="77777777" w:rsidR="000646AD" w:rsidRPr="000646AD" w:rsidRDefault="000646AD" w:rsidP="008012AF">
      <w:pPr>
        <w:pStyle w:val="Body"/>
        <w:rPr>
          <w:rFonts w:ascii="Arial" w:hAnsi="Arial" w:cs="Arial"/>
        </w:rPr>
      </w:pPr>
      <w:proofErr w:type="spellStart"/>
      <w:r w:rsidRPr="000646AD">
        <w:rPr>
          <w:rFonts w:ascii="Arial" w:hAnsi="Arial" w:cs="Arial"/>
        </w:rPr>
        <w:t>Mamman</w:t>
      </w:r>
      <w:proofErr w:type="spellEnd"/>
      <w:r w:rsidRPr="000646AD">
        <w:rPr>
          <w:rFonts w:ascii="Arial" w:hAnsi="Arial" w:cs="Arial"/>
        </w:rPr>
        <w:t xml:space="preserve">, S. O., &amp; </w:t>
      </w:r>
      <w:proofErr w:type="spellStart"/>
      <w:r w:rsidRPr="000646AD">
        <w:rPr>
          <w:rFonts w:ascii="Arial" w:hAnsi="Arial" w:cs="Arial"/>
        </w:rPr>
        <w:t>Valei</w:t>
      </w:r>
      <w:proofErr w:type="spellEnd"/>
      <w:r w:rsidRPr="000646AD">
        <w:rPr>
          <w:rFonts w:ascii="Arial" w:hAnsi="Arial" w:cs="Arial"/>
        </w:rPr>
        <w:t>, A. (2023). FDI Flows in resource-rich countries: Does the quality of institutions matter? R-Economy, 9(1), 92–104.</w:t>
      </w:r>
      <w:r w:rsidR="008012AF">
        <w:rPr>
          <w:rFonts w:ascii="Arial" w:hAnsi="Arial" w:cs="Arial"/>
        </w:rPr>
        <w:t xml:space="preserve"> </w:t>
      </w:r>
      <w:r w:rsidRPr="000646AD">
        <w:rPr>
          <w:rFonts w:ascii="Arial" w:hAnsi="Arial" w:cs="Arial"/>
        </w:rPr>
        <w:t>https://doi.org/10.15826/recon.2023.9.1.006</w:t>
      </w:r>
    </w:p>
    <w:p w14:paraId="58829956" w14:textId="77777777" w:rsidR="000646AD" w:rsidRPr="000646AD" w:rsidRDefault="000646AD" w:rsidP="000646AD">
      <w:pPr>
        <w:pStyle w:val="Body"/>
        <w:rPr>
          <w:rFonts w:ascii="Arial" w:hAnsi="Arial" w:cs="Arial"/>
        </w:rPr>
      </w:pPr>
      <w:r w:rsidRPr="000646AD">
        <w:rPr>
          <w:rFonts w:ascii="Arial" w:hAnsi="Arial" w:cs="Arial"/>
        </w:rPr>
        <w:lastRenderedPageBreak/>
        <w:t xml:space="preserve">Mengistu, A. A., &amp; </w:t>
      </w:r>
      <w:proofErr w:type="spellStart"/>
      <w:r w:rsidRPr="000646AD">
        <w:rPr>
          <w:rFonts w:ascii="Arial" w:hAnsi="Arial" w:cs="Arial"/>
        </w:rPr>
        <w:t>Adhikary</w:t>
      </w:r>
      <w:proofErr w:type="spellEnd"/>
      <w:r w:rsidRPr="000646AD">
        <w:rPr>
          <w:rFonts w:ascii="Arial" w:hAnsi="Arial" w:cs="Arial"/>
        </w:rPr>
        <w:t>, B. K. (2011). Does good governance matter for FDI inflows? Evidence from Asian economies. Asia Pacific Business Review, 17(3), 281–299. https://doi.org/10.1080/13602381003755765</w:t>
      </w:r>
    </w:p>
    <w:p w14:paraId="25414D96" w14:textId="77777777" w:rsidR="000646AD" w:rsidRPr="000646AD" w:rsidRDefault="000646AD" w:rsidP="008012AF">
      <w:pPr>
        <w:pStyle w:val="Body"/>
        <w:rPr>
          <w:rFonts w:ascii="Arial" w:hAnsi="Arial" w:cs="Arial"/>
        </w:rPr>
      </w:pPr>
      <w:r w:rsidRPr="000646AD">
        <w:rPr>
          <w:rFonts w:ascii="Arial" w:hAnsi="Arial" w:cs="Arial"/>
        </w:rPr>
        <w:t>Mina, W. M. (2012). The Institutional Reforms Debate and FDI Flows to the MENA Region: The “Best” Ensemble. World Development, 40(9), 1798–1809.</w:t>
      </w:r>
      <w:r w:rsidR="008012AF">
        <w:rPr>
          <w:rFonts w:ascii="Arial" w:hAnsi="Arial" w:cs="Arial"/>
        </w:rPr>
        <w:t xml:space="preserve"> </w:t>
      </w:r>
      <w:r w:rsidRPr="000646AD">
        <w:rPr>
          <w:rFonts w:ascii="Arial" w:hAnsi="Arial" w:cs="Arial"/>
        </w:rPr>
        <w:t>https://doi.org/10.1016/j.worlddev.2012.04.026</w:t>
      </w:r>
    </w:p>
    <w:p w14:paraId="554A490F" w14:textId="77777777" w:rsidR="000646AD" w:rsidRPr="000646AD" w:rsidRDefault="000646AD" w:rsidP="008012AF">
      <w:pPr>
        <w:pStyle w:val="Body"/>
        <w:rPr>
          <w:rFonts w:ascii="Arial" w:hAnsi="Arial" w:cs="Arial"/>
        </w:rPr>
      </w:pPr>
      <w:proofErr w:type="spellStart"/>
      <w:r w:rsidRPr="000646AD">
        <w:rPr>
          <w:rFonts w:ascii="Arial" w:hAnsi="Arial" w:cs="Arial"/>
        </w:rPr>
        <w:t>Minović</w:t>
      </w:r>
      <w:proofErr w:type="spellEnd"/>
      <w:r w:rsidRPr="000646AD">
        <w:rPr>
          <w:rFonts w:ascii="Arial" w:hAnsi="Arial" w:cs="Arial"/>
        </w:rPr>
        <w:t xml:space="preserve">, J., </w:t>
      </w:r>
      <w:proofErr w:type="spellStart"/>
      <w:r w:rsidRPr="000646AD">
        <w:rPr>
          <w:rFonts w:ascii="Arial" w:hAnsi="Arial" w:cs="Arial"/>
        </w:rPr>
        <w:t>Stevanović</w:t>
      </w:r>
      <w:proofErr w:type="spellEnd"/>
      <w:r w:rsidRPr="000646AD">
        <w:rPr>
          <w:rFonts w:ascii="Arial" w:hAnsi="Arial" w:cs="Arial"/>
        </w:rPr>
        <w:t xml:space="preserve">, S., &amp; </w:t>
      </w:r>
      <w:proofErr w:type="spellStart"/>
      <w:r w:rsidRPr="000646AD">
        <w:rPr>
          <w:rFonts w:ascii="Arial" w:hAnsi="Arial" w:cs="Arial"/>
        </w:rPr>
        <w:t>Aleksić</w:t>
      </w:r>
      <w:proofErr w:type="spellEnd"/>
      <w:r w:rsidRPr="000646AD">
        <w:rPr>
          <w:rFonts w:ascii="Arial" w:hAnsi="Arial" w:cs="Arial"/>
        </w:rPr>
        <w:t>, V. (2020). The Relationship between Foreign Direct Investment and Institutional Quality in Western Balkan Countries. Journal of Balkan and Near Eastern Studies, 23(1), 40–61.</w:t>
      </w:r>
      <w:r w:rsidR="008012AF">
        <w:rPr>
          <w:rFonts w:ascii="Arial" w:hAnsi="Arial" w:cs="Arial"/>
        </w:rPr>
        <w:t xml:space="preserve"> </w:t>
      </w:r>
      <w:r w:rsidRPr="000646AD">
        <w:rPr>
          <w:rFonts w:ascii="Arial" w:hAnsi="Arial" w:cs="Arial"/>
        </w:rPr>
        <w:t>https://doi.org/10.1080/19448953.2020.1818038</w:t>
      </w:r>
    </w:p>
    <w:p w14:paraId="1DE1AEED" w14:textId="77777777" w:rsidR="000646AD" w:rsidRPr="000646AD" w:rsidRDefault="000646AD" w:rsidP="000646AD">
      <w:pPr>
        <w:pStyle w:val="Body"/>
        <w:rPr>
          <w:rFonts w:ascii="Arial" w:hAnsi="Arial" w:cs="Arial"/>
        </w:rPr>
      </w:pPr>
      <w:r w:rsidRPr="000646AD">
        <w:rPr>
          <w:rFonts w:ascii="Arial" w:hAnsi="Arial" w:cs="Arial"/>
        </w:rPr>
        <w:t>North, D. C. (1990). Institutions, Institutional Change and Economic Performance (1st ed.). Cambridge University Press. https://doi.org/10.1017/CBO9780511808678</w:t>
      </w:r>
    </w:p>
    <w:p w14:paraId="760071D7" w14:textId="77777777" w:rsidR="000646AD" w:rsidRPr="000646AD" w:rsidRDefault="000646AD" w:rsidP="000646AD">
      <w:pPr>
        <w:pStyle w:val="Body"/>
        <w:rPr>
          <w:rFonts w:ascii="Arial" w:hAnsi="Arial" w:cs="Arial"/>
        </w:rPr>
      </w:pPr>
      <w:r w:rsidRPr="000646AD">
        <w:rPr>
          <w:rFonts w:ascii="Arial" w:hAnsi="Arial" w:cs="Arial"/>
        </w:rPr>
        <w:t>North, D. C. (1991). Institutions. Journal of Economic Perspectives, 5(1), 97–112. https://doi.org/10.1257/jep.5.1.97</w:t>
      </w:r>
    </w:p>
    <w:p w14:paraId="0A1C4AB5" w14:textId="77777777" w:rsidR="000646AD" w:rsidRPr="000646AD" w:rsidRDefault="000646AD" w:rsidP="008012AF">
      <w:pPr>
        <w:pStyle w:val="Body"/>
        <w:rPr>
          <w:rFonts w:ascii="Arial" w:hAnsi="Arial" w:cs="Arial"/>
        </w:rPr>
      </w:pPr>
      <w:r w:rsidRPr="000646AD">
        <w:rPr>
          <w:rFonts w:ascii="Arial" w:hAnsi="Arial" w:cs="Arial"/>
        </w:rPr>
        <w:t xml:space="preserve">Nxumalo, I. S., &amp; Makoni, P. L. (2021). Analysis of International Capital Inflows </w:t>
      </w:r>
      <w:proofErr w:type="gramStart"/>
      <w:r w:rsidRPr="000646AD">
        <w:rPr>
          <w:rFonts w:ascii="Arial" w:hAnsi="Arial" w:cs="Arial"/>
        </w:rPr>
        <w:t xml:space="preserve">and </w:t>
      </w:r>
      <w:r w:rsidR="008012AF">
        <w:rPr>
          <w:rFonts w:ascii="Arial" w:hAnsi="Arial" w:cs="Arial"/>
        </w:rPr>
        <w:t xml:space="preserve"> </w:t>
      </w:r>
      <w:r w:rsidRPr="000646AD">
        <w:rPr>
          <w:rFonts w:ascii="Arial" w:hAnsi="Arial" w:cs="Arial"/>
        </w:rPr>
        <w:t>Institutional</w:t>
      </w:r>
      <w:proofErr w:type="gramEnd"/>
      <w:r w:rsidRPr="000646AD">
        <w:rPr>
          <w:rFonts w:ascii="Arial" w:hAnsi="Arial" w:cs="Arial"/>
        </w:rPr>
        <w:t xml:space="preserve"> Quality in Emerging Markets. Economies, 9(4), 179.</w:t>
      </w:r>
    </w:p>
    <w:p w14:paraId="7A6AB022" w14:textId="77777777" w:rsidR="000646AD" w:rsidRPr="000646AD" w:rsidRDefault="000646AD" w:rsidP="000646AD">
      <w:pPr>
        <w:pStyle w:val="Body"/>
        <w:rPr>
          <w:rFonts w:ascii="Arial" w:hAnsi="Arial" w:cs="Arial"/>
        </w:rPr>
      </w:pPr>
      <w:r w:rsidRPr="000646AD">
        <w:rPr>
          <w:rFonts w:ascii="Arial" w:hAnsi="Arial" w:cs="Arial"/>
        </w:rPr>
        <w:t xml:space="preserve">Okafor, G., </w:t>
      </w:r>
      <w:proofErr w:type="spellStart"/>
      <w:r w:rsidRPr="000646AD">
        <w:rPr>
          <w:rFonts w:ascii="Arial" w:hAnsi="Arial" w:cs="Arial"/>
        </w:rPr>
        <w:t>Piesse</w:t>
      </w:r>
      <w:proofErr w:type="spellEnd"/>
      <w:r w:rsidRPr="000646AD">
        <w:rPr>
          <w:rFonts w:ascii="Arial" w:hAnsi="Arial" w:cs="Arial"/>
        </w:rPr>
        <w:t>, J., &amp; Webster, A. (2017). FDI Determinants in Least Recipient Regions: The Case of Sub</w:t>
      </w:r>
      <w:r w:rsidRPr="000646AD">
        <w:rPr>
          <w:rFonts w:ascii="Cambria Math" w:hAnsi="Cambria Math" w:cs="Cambria Math"/>
        </w:rPr>
        <w:t>‐</w:t>
      </w:r>
      <w:r w:rsidRPr="000646AD">
        <w:rPr>
          <w:rFonts w:ascii="Arial" w:hAnsi="Arial" w:cs="Arial"/>
        </w:rPr>
        <w:t>Saharan Africa and MENA. African Development Review, 29(4), 589–600. https://doi.org/10.1111/1467-8268.12298</w:t>
      </w:r>
    </w:p>
    <w:p w14:paraId="69F3F2E6" w14:textId="77777777" w:rsidR="000646AD" w:rsidRPr="000646AD" w:rsidRDefault="000646AD" w:rsidP="000646AD">
      <w:pPr>
        <w:pStyle w:val="Body"/>
        <w:rPr>
          <w:rFonts w:ascii="Arial" w:hAnsi="Arial" w:cs="Arial"/>
        </w:rPr>
      </w:pPr>
      <w:r w:rsidRPr="000646AD">
        <w:rPr>
          <w:rFonts w:ascii="Arial" w:hAnsi="Arial" w:cs="Arial"/>
        </w:rPr>
        <w:t>Pinto, P., M., &amp; Zhu, B. (2007). Fortune or Evil? The Effects of Inward Foreign Direct Investment on Corruption. Mini-APSA Conference at the Department of Political Science, Columbia University.</w:t>
      </w:r>
    </w:p>
    <w:p w14:paraId="4EBA46C8" w14:textId="77777777" w:rsidR="000646AD" w:rsidRPr="000646AD" w:rsidRDefault="000646AD" w:rsidP="000646AD">
      <w:pPr>
        <w:pStyle w:val="Body"/>
        <w:rPr>
          <w:rFonts w:ascii="Arial" w:hAnsi="Arial" w:cs="Arial"/>
        </w:rPr>
      </w:pPr>
      <w:r w:rsidRPr="000646AD">
        <w:rPr>
          <w:rFonts w:ascii="Arial" w:hAnsi="Arial" w:cs="Arial"/>
        </w:rPr>
        <w:t>Paul, J., &amp; Jadhav, P. (2020). Institutional determinants of foreign direct investment inflows: Evidence from emerging markets. International Journal of Emerging Markets, 15(2), 245–261. https://doi.org/10.1108/IJOEM-11-2018-0590</w:t>
      </w:r>
    </w:p>
    <w:p w14:paraId="5B3A4FB4" w14:textId="77777777" w:rsidR="000646AD" w:rsidRPr="000646AD" w:rsidRDefault="000646AD" w:rsidP="000646AD">
      <w:pPr>
        <w:pStyle w:val="Body"/>
        <w:rPr>
          <w:rFonts w:ascii="Arial" w:hAnsi="Arial" w:cs="Arial"/>
        </w:rPr>
      </w:pPr>
      <w:r w:rsidRPr="000646AD">
        <w:rPr>
          <w:rFonts w:ascii="Arial" w:hAnsi="Arial" w:cs="Arial"/>
        </w:rPr>
        <w:t xml:space="preserve">Phillips, P. C. B., &amp; Hansen, B. E. (1990). Statistical Inference in Instrumental Variables Regression with </w:t>
      </w:r>
      <w:proofErr w:type="gramStart"/>
      <w:r w:rsidRPr="000646AD">
        <w:rPr>
          <w:rFonts w:ascii="Arial" w:hAnsi="Arial" w:cs="Arial"/>
        </w:rPr>
        <w:t>I(</w:t>
      </w:r>
      <w:proofErr w:type="gramEnd"/>
      <w:r w:rsidRPr="000646AD">
        <w:rPr>
          <w:rFonts w:ascii="Arial" w:hAnsi="Arial" w:cs="Arial"/>
        </w:rPr>
        <w:t>1) Processes. The Review of Economic Studies, 57(1), 99. https://doi.org/10.2307/2297545</w:t>
      </w:r>
    </w:p>
    <w:p w14:paraId="67109F8E" w14:textId="77777777" w:rsidR="000646AD" w:rsidRPr="000646AD" w:rsidRDefault="000646AD" w:rsidP="000646AD">
      <w:pPr>
        <w:pStyle w:val="Body"/>
        <w:rPr>
          <w:rFonts w:ascii="Arial" w:hAnsi="Arial" w:cs="Arial"/>
        </w:rPr>
      </w:pPr>
      <w:r w:rsidRPr="000646AD">
        <w:rPr>
          <w:rFonts w:ascii="Arial" w:hAnsi="Arial" w:cs="Arial"/>
        </w:rPr>
        <w:t xml:space="preserve">Rodríguez-Pose, A., &amp; Cols, G. (2017). The determinants of foreign direct investment in sub-Saharan Africa: What role for </w:t>
      </w:r>
      <w:proofErr w:type="gramStart"/>
      <w:r w:rsidRPr="000646AD">
        <w:rPr>
          <w:rFonts w:ascii="Arial" w:hAnsi="Arial" w:cs="Arial"/>
        </w:rPr>
        <w:t>governance?.</w:t>
      </w:r>
      <w:proofErr w:type="gramEnd"/>
      <w:r w:rsidRPr="000646AD">
        <w:rPr>
          <w:rFonts w:ascii="Arial" w:hAnsi="Arial" w:cs="Arial"/>
        </w:rPr>
        <w:t xml:space="preserve"> Regional Science Policy &amp; Practice, 9(2), 63-829(2). https://doi.org/doi:10.1111/rsp3.12093</w:t>
      </w:r>
    </w:p>
    <w:p w14:paraId="03C5EB66" w14:textId="77777777" w:rsidR="000646AD" w:rsidRPr="000646AD" w:rsidRDefault="000646AD" w:rsidP="008012AF">
      <w:pPr>
        <w:pStyle w:val="Body"/>
        <w:rPr>
          <w:rFonts w:ascii="Arial" w:hAnsi="Arial" w:cs="Arial"/>
        </w:rPr>
      </w:pPr>
      <w:r w:rsidRPr="000646AD">
        <w:rPr>
          <w:rFonts w:ascii="Arial" w:hAnsi="Arial" w:cs="Arial"/>
        </w:rPr>
        <w:t>Sabir, S., Rafique, A., &amp; Abbas, K. (2019). Institutions and FDI: Evidence from developed and developing countries. Financial Innovation, 5(1), 1-20.</w:t>
      </w:r>
      <w:r w:rsidR="008012AF">
        <w:rPr>
          <w:rFonts w:ascii="Arial" w:hAnsi="Arial" w:cs="Arial"/>
        </w:rPr>
        <w:t xml:space="preserve"> </w:t>
      </w:r>
      <w:r w:rsidRPr="000646AD">
        <w:rPr>
          <w:rFonts w:ascii="Arial" w:hAnsi="Arial" w:cs="Arial"/>
        </w:rPr>
        <w:t>https://doi.org/10.1186/s40854-019-0123-7</w:t>
      </w:r>
    </w:p>
    <w:p w14:paraId="5AE44F3E" w14:textId="77777777" w:rsidR="000646AD" w:rsidRPr="000646AD" w:rsidRDefault="000646AD" w:rsidP="000646AD">
      <w:pPr>
        <w:pStyle w:val="Body"/>
        <w:rPr>
          <w:rFonts w:ascii="Arial" w:hAnsi="Arial" w:cs="Arial"/>
        </w:rPr>
      </w:pPr>
      <w:r w:rsidRPr="000646AD">
        <w:rPr>
          <w:rFonts w:ascii="Arial" w:hAnsi="Arial" w:cs="Arial"/>
        </w:rPr>
        <w:t>Shah, M. H., &amp; Afridi, A. G. (2015). Significance of Good Governance for FDI Inflows in SAARC Countries. Business &amp; Economic Review, 7(2), 31–52.</w:t>
      </w:r>
    </w:p>
    <w:p w14:paraId="03C0D74B" w14:textId="77777777" w:rsidR="000646AD" w:rsidRPr="000646AD" w:rsidRDefault="000646AD" w:rsidP="008012AF">
      <w:pPr>
        <w:pStyle w:val="Body"/>
        <w:rPr>
          <w:rFonts w:ascii="Arial" w:hAnsi="Arial" w:cs="Arial"/>
        </w:rPr>
      </w:pPr>
      <w:proofErr w:type="spellStart"/>
      <w:r w:rsidRPr="000646AD">
        <w:rPr>
          <w:rFonts w:ascii="Arial" w:hAnsi="Arial" w:cs="Arial"/>
        </w:rPr>
        <w:t>Shamsub</w:t>
      </w:r>
      <w:proofErr w:type="spellEnd"/>
      <w:r w:rsidRPr="000646AD">
        <w:rPr>
          <w:rFonts w:ascii="Arial" w:hAnsi="Arial" w:cs="Arial"/>
        </w:rPr>
        <w:t>, H., &amp; Haque, M. (2021). Identifying Combinations of Individual Governance Indicators Essential for Attracting International Capital Flows to Asian Economies. Journal of Social Economics Research, 8(2), 108–118.</w:t>
      </w:r>
      <w:r w:rsidR="008012AF">
        <w:rPr>
          <w:rFonts w:ascii="Arial" w:hAnsi="Arial" w:cs="Arial"/>
        </w:rPr>
        <w:t xml:space="preserve"> </w:t>
      </w:r>
      <w:r w:rsidRPr="000646AD">
        <w:rPr>
          <w:rFonts w:ascii="Arial" w:hAnsi="Arial" w:cs="Arial"/>
        </w:rPr>
        <w:t>https://doi.org/10.18488/journal.35.2021.82.108.118</w:t>
      </w:r>
    </w:p>
    <w:p w14:paraId="180FFC97" w14:textId="77777777" w:rsidR="000646AD" w:rsidRPr="000646AD" w:rsidRDefault="000646AD" w:rsidP="008012AF">
      <w:pPr>
        <w:pStyle w:val="Body"/>
        <w:rPr>
          <w:rFonts w:ascii="Arial" w:hAnsi="Arial" w:cs="Arial"/>
        </w:rPr>
      </w:pPr>
      <w:proofErr w:type="spellStart"/>
      <w:r w:rsidRPr="000646AD">
        <w:rPr>
          <w:rFonts w:ascii="Arial" w:hAnsi="Arial" w:cs="Arial"/>
        </w:rPr>
        <w:lastRenderedPageBreak/>
        <w:t>Siriopoulos</w:t>
      </w:r>
      <w:proofErr w:type="spellEnd"/>
      <w:r w:rsidRPr="000646AD">
        <w:rPr>
          <w:rFonts w:ascii="Arial" w:hAnsi="Arial" w:cs="Arial"/>
        </w:rPr>
        <w:t xml:space="preserve">, C., </w:t>
      </w:r>
      <w:proofErr w:type="spellStart"/>
      <w:r w:rsidRPr="000646AD">
        <w:rPr>
          <w:rFonts w:ascii="Arial" w:hAnsi="Arial" w:cs="Arial"/>
        </w:rPr>
        <w:t>Tsagkanos</w:t>
      </w:r>
      <w:proofErr w:type="spellEnd"/>
      <w:r w:rsidRPr="000646AD">
        <w:rPr>
          <w:rFonts w:ascii="Arial" w:hAnsi="Arial" w:cs="Arial"/>
        </w:rPr>
        <w:t xml:space="preserve">, A., </w:t>
      </w:r>
      <w:proofErr w:type="spellStart"/>
      <w:r w:rsidRPr="000646AD">
        <w:rPr>
          <w:rFonts w:ascii="Arial" w:hAnsi="Arial" w:cs="Arial"/>
        </w:rPr>
        <w:t>Svingou</w:t>
      </w:r>
      <w:proofErr w:type="spellEnd"/>
      <w:r w:rsidRPr="000646AD">
        <w:rPr>
          <w:rFonts w:ascii="Arial" w:hAnsi="Arial" w:cs="Arial"/>
        </w:rPr>
        <w:t xml:space="preserve">, A., &amp; </w:t>
      </w:r>
      <w:proofErr w:type="spellStart"/>
      <w:r w:rsidRPr="000646AD">
        <w:rPr>
          <w:rFonts w:ascii="Arial" w:hAnsi="Arial" w:cs="Arial"/>
        </w:rPr>
        <w:t>Daskalopoulos</w:t>
      </w:r>
      <w:proofErr w:type="spellEnd"/>
      <w:r w:rsidRPr="000646AD">
        <w:rPr>
          <w:rFonts w:ascii="Arial" w:hAnsi="Arial" w:cs="Arial"/>
        </w:rPr>
        <w:t>, E. (2021). Foreign Direct Investment in GCC Countries: The Essential Influence of Governance and the Adoption of IFRS. Journal of Risk and Financial Management, 14(6), 264.</w:t>
      </w:r>
      <w:r w:rsidR="008012AF">
        <w:rPr>
          <w:rFonts w:ascii="Arial" w:hAnsi="Arial" w:cs="Arial"/>
        </w:rPr>
        <w:t xml:space="preserve"> </w:t>
      </w:r>
      <w:r w:rsidRPr="000646AD">
        <w:rPr>
          <w:rFonts w:ascii="Arial" w:hAnsi="Arial" w:cs="Arial"/>
        </w:rPr>
        <w:t>https://doi.org/10.3390/jrfm14060264</w:t>
      </w:r>
    </w:p>
    <w:p w14:paraId="3859E401" w14:textId="77777777" w:rsidR="000646AD" w:rsidRPr="000646AD" w:rsidRDefault="000646AD" w:rsidP="000646AD">
      <w:pPr>
        <w:pStyle w:val="Body"/>
        <w:rPr>
          <w:rFonts w:ascii="Arial" w:hAnsi="Arial" w:cs="Arial"/>
        </w:rPr>
      </w:pPr>
      <w:r w:rsidRPr="000646AD">
        <w:rPr>
          <w:rFonts w:ascii="Arial" w:hAnsi="Arial" w:cs="Arial"/>
        </w:rPr>
        <w:t>Ullah, I., &amp; Khan, M. A. (2017). Institutional quality and foreign direct investment inflows: Evidence from Asian countries. Journal of Economic Studies, 44(6), 1030–1050. https://doi.org/10.1108/JES-10-2016-0215</w:t>
      </w:r>
    </w:p>
    <w:p w14:paraId="6B8CC836" w14:textId="77777777" w:rsidR="000646AD" w:rsidRPr="000646AD" w:rsidRDefault="000646AD" w:rsidP="008012AF">
      <w:pPr>
        <w:pStyle w:val="Body"/>
        <w:rPr>
          <w:rFonts w:ascii="Arial" w:hAnsi="Arial" w:cs="Arial"/>
        </w:rPr>
      </w:pPr>
      <w:r w:rsidRPr="000646AD">
        <w:rPr>
          <w:rFonts w:ascii="Arial" w:hAnsi="Arial" w:cs="Arial"/>
        </w:rPr>
        <w:t>World Bank. (2002)</w:t>
      </w:r>
      <w:r w:rsidR="008012AF">
        <w:rPr>
          <w:rFonts w:ascii="Arial" w:hAnsi="Arial" w:cs="Arial"/>
        </w:rPr>
        <w:t>.</w:t>
      </w:r>
      <w:r w:rsidRPr="000646AD">
        <w:rPr>
          <w:rFonts w:ascii="Arial" w:hAnsi="Arial" w:cs="Arial"/>
        </w:rPr>
        <w:t xml:space="preserve"> World Development Report 2002: Building Institutions for Markets.</w:t>
      </w:r>
      <w:r w:rsidR="008012AF">
        <w:rPr>
          <w:rFonts w:ascii="Arial" w:hAnsi="Arial" w:cs="Arial"/>
        </w:rPr>
        <w:t xml:space="preserve"> </w:t>
      </w:r>
      <w:r w:rsidRPr="000646AD">
        <w:rPr>
          <w:rFonts w:ascii="Arial" w:hAnsi="Arial" w:cs="Arial"/>
        </w:rPr>
        <w:t>@</w:t>
      </w:r>
      <w:proofErr w:type="spellStart"/>
      <w:r w:rsidRPr="000646AD">
        <w:rPr>
          <w:rFonts w:ascii="Arial" w:hAnsi="Arial" w:cs="Arial"/>
        </w:rPr>
        <w:t>NewYork</w:t>
      </w:r>
      <w:proofErr w:type="spellEnd"/>
      <w:r w:rsidRPr="000646AD">
        <w:rPr>
          <w:rFonts w:ascii="Arial" w:hAnsi="Arial" w:cs="Arial"/>
        </w:rPr>
        <w:t>: Oxford University Press. Accessed on October 15, 2024.</w:t>
      </w:r>
      <w:r w:rsidR="008012AF">
        <w:rPr>
          <w:rFonts w:ascii="Arial" w:hAnsi="Arial" w:cs="Arial"/>
        </w:rPr>
        <w:t xml:space="preserve"> </w:t>
      </w:r>
      <w:r w:rsidRPr="000646AD">
        <w:rPr>
          <w:rFonts w:ascii="Arial" w:hAnsi="Arial" w:cs="Arial"/>
        </w:rPr>
        <w:t>https://openknowledge.worldbank.org/handle/10986/5984</w:t>
      </w:r>
    </w:p>
    <w:p w14:paraId="12E9B542" w14:textId="77777777" w:rsidR="000646AD" w:rsidRPr="000646AD" w:rsidRDefault="000646AD" w:rsidP="000906FE">
      <w:pPr>
        <w:pStyle w:val="Body"/>
        <w:rPr>
          <w:rFonts w:ascii="Arial" w:hAnsi="Arial" w:cs="Arial"/>
        </w:rPr>
      </w:pPr>
      <w:proofErr w:type="spellStart"/>
      <w:r w:rsidRPr="000646AD">
        <w:rPr>
          <w:rFonts w:ascii="Arial" w:hAnsi="Arial" w:cs="Arial"/>
        </w:rPr>
        <w:t>Younsi</w:t>
      </w:r>
      <w:proofErr w:type="spellEnd"/>
      <w:r w:rsidRPr="000646AD">
        <w:rPr>
          <w:rFonts w:ascii="Arial" w:hAnsi="Arial" w:cs="Arial"/>
        </w:rPr>
        <w:t xml:space="preserve">, M., &amp; </w:t>
      </w:r>
      <w:proofErr w:type="spellStart"/>
      <w:r w:rsidRPr="000646AD">
        <w:rPr>
          <w:rFonts w:ascii="Arial" w:hAnsi="Arial" w:cs="Arial"/>
        </w:rPr>
        <w:t>Bechtini</w:t>
      </w:r>
      <w:proofErr w:type="spellEnd"/>
      <w:r w:rsidRPr="000646AD">
        <w:rPr>
          <w:rFonts w:ascii="Arial" w:hAnsi="Arial" w:cs="Arial"/>
        </w:rPr>
        <w:t>, M. (2019). Does good governance matter for FDI? New evidence from emerging countries using a static and dynamic panel gravity model approach. Economics of Transition and Institutional Change, 27(3), 841–860.</w:t>
      </w:r>
      <w:r w:rsidR="000906FE">
        <w:rPr>
          <w:rFonts w:ascii="Arial" w:hAnsi="Arial" w:cs="Arial"/>
        </w:rPr>
        <w:t xml:space="preserve"> </w:t>
      </w:r>
      <w:r w:rsidRPr="000646AD">
        <w:rPr>
          <w:rFonts w:ascii="Arial" w:hAnsi="Arial" w:cs="Arial"/>
        </w:rPr>
        <w:t>https://doi.org/10.1111/ecot.12224</w:t>
      </w:r>
    </w:p>
    <w:p w14:paraId="2ADB5F59" w14:textId="77777777" w:rsidR="004D4277" w:rsidRPr="00FB3A86" w:rsidRDefault="000646AD" w:rsidP="008012AF">
      <w:pPr>
        <w:pStyle w:val="Body"/>
        <w:rPr>
          <w:rFonts w:ascii="Arial" w:hAnsi="Arial" w:cs="Arial"/>
          <w:b/>
        </w:rPr>
        <w:sectPr w:rsidR="004D4277" w:rsidRPr="00FB3A86" w:rsidSect="000D79DC">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2016" w:bottom="2016" w:left="2016" w:header="720" w:footer="1123" w:gutter="0"/>
          <w:cols w:space="720"/>
          <w:docGrid w:linePitch="272"/>
        </w:sectPr>
      </w:pPr>
      <w:r w:rsidRPr="000646AD">
        <w:rPr>
          <w:rFonts w:ascii="Arial" w:hAnsi="Arial" w:cs="Arial"/>
        </w:rPr>
        <w:t>Zander, T. (2021). Does corruption matter for FDI flows in the OECD? A gravity analysis. International Economics and Economic Policy, 18(2), 347–37</w:t>
      </w:r>
      <w:r w:rsidR="008012AF">
        <w:rPr>
          <w:rFonts w:ascii="Arial" w:hAnsi="Arial" w:cs="Arial"/>
        </w:rPr>
        <w:t>7</w:t>
      </w:r>
      <w:r w:rsidR="000906FE">
        <w:rPr>
          <w:rFonts w:ascii="Arial" w:hAnsi="Arial" w:cs="Arial"/>
        </w:rPr>
        <w:t>.</w:t>
      </w:r>
    </w:p>
    <w:p w14:paraId="3CE59FEA" w14:textId="77777777" w:rsidR="00B01FCD" w:rsidRPr="00FB3A86" w:rsidRDefault="00B01FCD" w:rsidP="008012AF">
      <w:pPr>
        <w:pStyle w:val="Appendix"/>
        <w:spacing w:after="0"/>
        <w:jc w:val="both"/>
        <w:rPr>
          <w:rFonts w:ascii="Arial" w:hAnsi="Arial" w:cs="Arial"/>
          <w:b w:val="0"/>
        </w:rPr>
      </w:pPr>
    </w:p>
    <w:sectPr w:rsidR="00B01FCD" w:rsidRPr="00FB3A86" w:rsidSect="000D79D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8D422" w14:textId="77777777" w:rsidR="00154B02" w:rsidRDefault="00154B02" w:rsidP="00C37E61">
      <w:r>
        <w:separator/>
      </w:r>
    </w:p>
  </w:endnote>
  <w:endnote w:type="continuationSeparator" w:id="0">
    <w:p w14:paraId="3AC477D7" w14:textId="77777777" w:rsidR="00154B02" w:rsidRDefault="00154B0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768DA" w14:textId="77777777" w:rsidR="000D79DC" w:rsidRDefault="000D7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FE5DF"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5E988" w14:textId="77777777" w:rsidR="000D79DC" w:rsidRDefault="000D7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2EFC6" w14:textId="77777777" w:rsidR="00154B02" w:rsidRDefault="00154B02" w:rsidP="00C37E61">
      <w:r>
        <w:separator/>
      </w:r>
    </w:p>
  </w:footnote>
  <w:footnote w:type="continuationSeparator" w:id="0">
    <w:p w14:paraId="2EF0820C" w14:textId="77777777" w:rsidR="00154B02" w:rsidRDefault="00154B0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53623" w14:textId="5D4C55A9" w:rsidR="000D79DC" w:rsidRDefault="00154B02">
    <w:pPr>
      <w:pStyle w:val="Header"/>
    </w:pPr>
    <w:r>
      <w:rPr>
        <w:noProof/>
      </w:rPr>
      <w:pict w14:anchorId="3473E6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8072501" o:spid="_x0000_s2051"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D0252" w14:textId="6C9F7CD1" w:rsidR="000D79DC" w:rsidRDefault="00154B02">
    <w:pPr>
      <w:pStyle w:val="Header"/>
    </w:pPr>
    <w:r>
      <w:rPr>
        <w:noProof/>
      </w:rPr>
      <w:pict w14:anchorId="450505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8072502" o:spid="_x0000_s2050"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636A0" w14:textId="413654CE" w:rsidR="000D79DC" w:rsidRDefault="00154B02">
    <w:pPr>
      <w:pStyle w:val="Header"/>
    </w:pPr>
    <w:r>
      <w:rPr>
        <w:noProof/>
      </w:rPr>
      <w:pict w14:anchorId="4B7E23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8072500" o:spid="_x0000_s2049" type="#_x0000_t136" alt="" style="position:absolute;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6834"/>
    <w:rsid w:val="0004579C"/>
    <w:rsid w:val="000646AD"/>
    <w:rsid w:val="000906FE"/>
    <w:rsid w:val="000A47FA"/>
    <w:rsid w:val="000A65D3"/>
    <w:rsid w:val="000B1E33"/>
    <w:rsid w:val="000D689F"/>
    <w:rsid w:val="000D79DC"/>
    <w:rsid w:val="000E7B7B"/>
    <w:rsid w:val="000E7D62"/>
    <w:rsid w:val="000F6C32"/>
    <w:rsid w:val="00103357"/>
    <w:rsid w:val="00123C9F"/>
    <w:rsid w:val="00126190"/>
    <w:rsid w:val="00130F17"/>
    <w:rsid w:val="001320BF"/>
    <w:rsid w:val="00141AAF"/>
    <w:rsid w:val="00154B02"/>
    <w:rsid w:val="00163BC4"/>
    <w:rsid w:val="00191062"/>
    <w:rsid w:val="00192B72"/>
    <w:rsid w:val="001A29D8"/>
    <w:rsid w:val="001A5CAA"/>
    <w:rsid w:val="001A767A"/>
    <w:rsid w:val="001B0427"/>
    <w:rsid w:val="001B658D"/>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2906"/>
    <w:rsid w:val="002C57D2"/>
    <w:rsid w:val="002D758F"/>
    <w:rsid w:val="002E0D56"/>
    <w:rsid w:val="00315186"/>
    <w:rsid w:val="0033343E"/>
    <w:rsid w:val="003512C2"/>
    <w:rsid w:val="00371FB6"/>
    <w:rsid w:val="003763C1"/>
    <w:rsid w:val="00376BBE"/>
    <w:rsid w:val="00376CEB"/>
    <w:rsid w:val="0039224F"/>
    <w:rsid w:val="003A43A4"/>
    <w:rsid w:val="003A7E18"/>
    <w:rsid w:val="003C4C86"/>
    <w:rsid w:val="003C5607"/>
    <w:rsid w:val="003C6258"/>
    <w:rsid w:val="003E2904"/>
    <w:rsid w:val="003E3F5A"/>
    <w:rsid w:val="00400E5F"/>
    <w:rsid w:val="00401927"/>
    <w:rsid w:val="0041027F"/>
    <w:rsid w:val="00412475"/>
    <w:rsid w:val="00423789"/>
    <w:rsid w:val="00440F43"/>
    <w:rsid w:val="00441B6F"/>
    <w:rsid w:val="00442BA5"/>
    <w:rsid w:val="00446221"/>
    <w:rsid w:val="00450E62"/>
    <w:rsid w:val="004539DB"/>
    <w:rsid w:val="00471A80"/>
    <w:rsid w:val="004770E8"/>
    <w:rsid w:val="004B06EE"/>
    <w:rsid w:val="004C6320"/>
    <w:rsid w:val="004D305E"/>
    <w:rsid w:val="004D4277"/>
    <w:rsid w:val="00502516"/>
    <w:rsid w:val="00505F06"/>
    <w:rsid w:val="00506828"/>
    <w:rsid w:val="0053056E"/>
    <w:rsid w:val="00554FDA"/>
    <w:rsid w:val="005722EF"/>
    <w:rsid w:val="005C784C"/>
    <w:rsid w:val="005D17F6"/>
    <w:rsid w:val="005E5539"/>
    <w:rsid w:val="00602BF5"/>
    <w:rsid w:val="00617FDD"/>
    <w:rsid w:val="00633614"/>
    <w:rsid w:val="00633F68"/>
    <w:rsid w:val="00636EB2"/>
    <w:rsid w:val="006375B8"/>
    <w:rsid w:val="006442FC"/>
    <w:rsid w:val="00664A3B"/>
    <w:rsid w:val="0066510A"/>
    <w:rsid w:val="00673F9F"/>
    <w:rsid w:val="00686953"/>
    <w:rsid w:val="00687DEA"/>
    <w:rsid w:val="00687E67"/>
    <w:rsid w:val="006967F7"/>
    <w:rsid w:val="006A250C"/>
    <w:rsid w:val="006B21D3"/>
    <w:rsid w:val="006B57D0"/>
    <w:rsid w:val="006D30FF"/>
    <w:rsid w:val="006D6940"/>
    <w:rsid w:val="006F11EC"/>
    <w:rsid w:val="0070082C"/>
    <w:rsid w:val="007359DE"/>
    <w:rsid w:val="007369E6"/>
    <w:rsid w:val="00736ABB"/>
    <w:rsid w:val="00746E59"/>
    <w:rsid w:val="00754C9A"/>
    <w:rsid w:val="0075599A"/>
    <w:rsid w:val="00761D52"/>
    <w:rsid w:val="0077749E"/>
    <w:rsid w:val="00790ADA"/>
    <w:rsid w:val="007D2288"/>
    <w:rsid w:val="007E088F"/>
    <w:rsid w:val="007E1616"/>
    <w:rsid w:val="007E7127"/>
    <w:rsid w:val="007F7B32"/>
    <w:rsid w:val="008012AF"/>
    <w:rsid w:val="00804BC2"/>
    <w:rsid w:val="0081431A"/>
    <w:rsid w:val="0083216F"/>
    <w:rsid w:val="00860000"/>
    <w:rsid w:val="00863BD3"/>
    <w:rsid w:val="008641ED"/>
    <w:rsid w:val="00866D66"/>
    <w:rsid w:val="008671C6"/>
    <w:rsid w:val="00875803"/>
    <w:rsid w:val="008975DB"/>
    <w:rsid w:val="008B459E"/>
    <w:rsid w:val="008C5807"/>
    <w:rsid w:val="008E13AE"/>
    <w:rsid w:val="008E1506"/>
    <w:rsid w:val="008E710C"/>
    <w:rsid w:val="008F69D6"/>
    <w:rsid w:val="00902823"/>
    <w:rsid w:val="00915CA6"/>
    <w:rsid w:val="00927834"/>
    <w:rsid w:val="009500A6"/>
    <w:rsid w:val="00957C18"/>
    <w:rsid w:val="009659BA"/>
    <w:rsid w:val="00983040"/>
    <w:rsid w:val="00986B1D"/>
    <w:rsid w:val="009B3FB9"/>
    <w:rsid w:val="009C2465"/>
    <w:rsid w:val="009C7358"/>
    <w:rsid w:val="009D35A0"/>
    <w:rsid w:val="009D7EB7"/>
    <w:rsid w:val="009E048A"/>
    <w:rsid w:val="009E08E9"/>
    <w:rsid w:val="009E3DB9"/>
    <w:rsid w:val="009E6E35"/>
    <w:rsid w:val="009F0EDA"/>
    <w:rsid w:val="00A03B96"/>
    <w:rsid w:val="00A05B19"/>
    <w:rsid w:val="00A1134E"/>
    <w:rsid w:val="00A17F37"/>
    <w:rsid w:val="00A24E7E"/>
    <w:rsid w:val="00A258C3"/>
    <w:rsid w:val="00A347C0"/>
    <w:rsid w:val="00A51431"/>
    <w:rsid w:val="00A539AD"/>
    <w:rsid w:val="00A93E4C"/>
    <w:rsid w:val="00A94063"/>
    <w:rsid w:val="00A9552C"/>
    <w:rsid w:val="00AA6219"/>
    <w:rsid w:val="00AA74E0"/>
    <w:rsid w:val="00AB703F"/>
    <w:rsid w:val="00AC6BB8"/>
    <w:rsid w:val="00AD377B"/>
    <w:rsid w:val="00AE008F"/>
    <w:rsid w:val="00AE0FE5"/>
    <w:rsid w:val="00B01FCD"/>
    <w:rsid w:val="00B1776C"/>
    <w:rsid w:val="00B52583"/>
    <w:rsid w:val="00B52896"/>
    <w:rsid w:val="00B95236"/>
    <w:rsid w:val="00B96BD9"/>
    <w:rsid w:val="00BA1B01"/>
    <w:rsid w:val="00BA2641"/>
    <w:rsid w:val="00BB37AA"/>
    <w:rsid w:val="00BC53A0"/>
    <w:rsid w:val="00BE62AD"/>
    <w:rsid w:val="00BF121F"/>
    <w:rsid w:val="00BF1F80"/>
    <w:rsid w:val="00C16005"/>
    <w:rsid w:val="00C166EF"/>
    <w:rsid w:val="00C17EB0"/>
    <w:rsid w:val="00C27F5F"/>
    <w:rsid w:val="00C30A0F"/>
    <w:rsid w:val="00C37E61"/>
    <w:rsid w:val="00C70F1B"/>
    <w:rsid w:val="00C71A47"/>
    <w:rsid w:val="00C7464C"/>
    <w:rsid w:val="00C85588"/>
    <w:rsid w:val="00C87532"/>
    <w:rsid w:val="00CC6C93"/>
    <w:rsid w:val="00CD6755"/>
    <w:rsid w:val="00CD6856"/>
    <w:rsid w:val="00CE0089"/>
    <w:rsid w:val="00CE793C"/>
    <w:rsid w:val="00CF193C"/>
    <w:rsid w:val="00D173F1"/>
    <w:rsid w:val="00D7045D"/>
    <w:rsid w:val="00D74CB0"/>
    <w:rsid w:val="00D8295D"/>
    <w:rsid w:val="00DB02FB"/>
    <w:rsid w:val="00DB6088"/>
    <w:rsid w:val="00DC2A65"/>
    <w:rsid w:val="00DE15F0"/>
    <w:rsid w:val="00DE181E"/>
    <w:rsid w:val="00DE5663"/>
    <w:rsid w:val="00DE78AA"/>
    <w:rsid w:val="00E053D0"/>
    <w:rsid w:val="00E15994"/>
    <w:rsid w:val="00E3114E"/>
    <w:rsid w:val="00E31A70"/>
    <w:rsid w:val="00E35B02"/>
    <w:rsid w:val="00E62680"/>
    <w:rsid w:val="00E66496"/>
    <w:rsid w:val="00E66B35"/>
    <w:rsid w:val="00E66E10"/>
    <w:rsid w:val="00E769F6"/>
    <w:rsid w:val="00E8407C"/>
    <w:rsid w:val="00E84F3C"/>
    <w:rsid w:val="00EA012C"/>
    <w:rsid w:val="00EA0902"/>
    <w:rsid w:val="00EA56AE"/>
    <w:rsid w:val="00EC6A55"/>
    <w:rsid w:val="00ED0288"/>
    <w:rsid w:val="00ED23F2"/>
    <w:rsid w:val="00EE52CB"/>
    <w:rsid w:val="00EF581D"/>
    <w:rsid w:val="00EF7FD8"/>
    <w:rsid w:val="00F05FF4"/>
    <w:rsid w:val="00F06F59"/>
    <w:rsid w:val="00F17988"/>
    <w:rsid w:val="00F469F0"/>
    <w:rsid w:val="00F53273"/>
    <w:rsid w:val="00F755E4"/>
    <w:rsid w:val="00F77D02"/>
    <w:rsid w:val="00FB3A86"/>
    <w:rsid w:val="00FB4441"/>
    <w:rsid w:val="00FD36C8"/>
    <w:rsid w:val="00FD7A8D"/>
    <w:rsid w:val="00FE57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CD64D8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2C290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styleId="ListTable6Colorful">
    <w:name w:val="List Table 6 Colorful"/>
    <w:basedOn w:val="TableNormal"/>
    <w:uiPriority w:val="51"/>
    <w:rsid w:val="000646AD"/>
    <w:rPr>
      <w:rFonts w:asciiTheme="minorHAnsi" w:eastAsiaTheme="minorHAnsi" w:hAnsiTheme="minorHAnsi" w:cstheme="minorBidi"/>
      <w:color w:val="000000" w:themeColor="text1"/>
      <w:sz w:val="24"/>
      <w:szCs w:val="24"/>
      <w:lang w:val="en-IN"/>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semiHidden/>
    <w:rsid w:val="002C290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9035283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user\Desktop\Paper%20Related\Data\Data%20se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a:solidFill>
                  <a:sysClr val="windowText" lastClr="000000"/>
                </a:solidFill>
                <a:latin typeface="Arial" panose="020B0604020202020204" pitchFamily="34" charset="0"/>
                <a:cs typeface="Arial" panose="020B0604020202020204" pitchFamily="34" charset="0"/>
              </a:rPr>
              <a:t>FDI inflow to Afghanistn (USD millions)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Data!$B$2</c:f>
              <c:strCache>
                <c:ptCount val="1"/>
                <c:pt idx="0">
                  <c:v>FDI (USD)</c:v>
                </c:pt>
              </c:strCache>
            </c:strRef>
          </c:tx>
          <c:spPr>
            <a:ln w="28575" cap="rnd">
              <a:solidFill>
                <a:schemeClr val="accent1"/>
              </a:solidFill>
              <a:round/>
            </a:ln>
            <a:effectLst/>
          </c:spPr>
          <c:marker>
            <c:symbol val="none"/>
          </c:marker>
          <c:cat>
            <c:numRef>
              <c:f>Data!$A$3:$A$22</c:f>
              <c:numCache>
                <c:formatCode>General</c:formatCode>
                <c:ptCount val="20"/>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numCache>
            </c:numRef>
          </c:cat>
          <c:val>
            <c:numRef>
              <c:f>Data!$B$3:$B$22</c:f>
              <c:numCache>
                <c:formatCode>General</c:formatCode>
                <c:ptCount val="20"/>
                <c:pt idx="0">
                  <c:v>50000000</c:v>
                </c:pt>
                <c:pt idx="1">
                  <c:v>57800000</c:v>
                </c:pt>
                <c:pt idx="2">
                  <c:v>186900000</c:v>
                </c:pt>
                <c:pt idx="3">
                  <c:v>271000000</c:v>
                </c:pt>
                <c:pt idx="4">
                  <c:v>238000000</c:v>
                </c:pt>
                <c:pt idx="5">
                  <c:v>188690000</c:v>
                </c:pt>
                <c:pt idx="6">
                  <c:v>46033740</c:v>
                </c:pt>
                <c:pt idx="7">
                  <c:v>56107246.5</c:v>
                </c:pt>
                <c:pt idx="8">
                  <c:v>190774431.97999999</c:v>
                </c:pt>
                <c:pt idx="9">
                  <c:v>52173421</c:v>
                </c:pt>
                <c:pt idx="10">
                  <c:v>56823660</c:v>
                </c:pt>
                <c:pt idx="11">
                  <c:v>48311346</c:v>
                </c:pt>
                <c:pt idx="12">
                  <c:v>42975262.5</c:v>
                </c:pt>
                <c:pt idx="13">
                  <c:v>169146608</c:v>
                </c:pt>
                <c:pt idx="14">
                  <c:v>93591315.299999997</c:v>
                </c:pt>
                <c:pt idx="15">
                  <c:v>51533896.765000001</c:v>
                </c:pt>
                <c:pt idx="16">
                  <c:v>119435105.715177</c:v>
                </c:pt>
                <c:pt idx="17">
                  <c:v>23404553.647248998</c:v>
                </c:pt>
                <c:pt idx="18">
                  <c:v>12970147.983200001</c:v>
                </c:pt>
                <c:pt idx="19">
                  <c:v>20600976</c:v>
                </c:pt>
              </c:numCache>
            </c:numRef>
          </c:val>
          <c:smooth val="0"/>
          <c:extLst>
            <c:ext xmlns:c16="http://schemas.microsoft.com/office/drawing/2014/chart" uri="{C3380CC4-5D6E-409C-BE32-E72D297353CC}">
              <c16:uniqueId val="{00000000-0116-4E41-94B4-0558E7663CFC}"/>
            </c:ext>
          </c:extLst>
        </c:ser>
        <c:dLbls>
          <c:showLegendKey val="0"/>
          <c:showVal val="0"/>
          <c:showCatName val="0"/>
          <c:showSerName val="0"/>
          <c:showPercent val="0"/>
          <c:showBubbleSize val="0"/>
        </c:dLbls>
        <c:smooth val="0"/>
        <c:axId val="1921501791"/>
        <c:axId val="1921116719"/>
      </c:lineChart>
      <c:catAx>
        <c:axId val="19215017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921116719"/>
        <c:crosses val="autoZero"/>
        <c:auto val="1"/>
        <c:lblAlgn val="ctr"/>
        <c:lblOffset val="100"/>
        <c:noMultiLvlLbl val="0"/>
      </c:catAx>
      <c:valAx>
        <c:axId val="19211167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921501791"/>
        <c:crosses val="autoZero"/>
        <c:crossBetween val="between"/>
        <c:dispUnits>
          <c:builtInUnit val="millions"/>
          <c:dispUnitsLbl>
            <c:layout>
              <c:manualLayout>
                <c:xMode val="edge"/>
                <c:yMode val="edge"/>
                <c:x val="2.5188916876574308E-2"/>
                <c:y val="0.4303043200680996"/>
              </c:manualLayout>
            </c:layout>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ispUnitsLbl>
        </c:dispUnits>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EA9F1-C1AA-49D4-B98D-67B13F0C5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32</TotalTime>
  <Pages>15</Pages>
  <Words>6994</Words>
  <Characters>39872</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46773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31</cp:revision>
  <cp:lastPrinted>1999-07-06T11:00:00Z</cp:lastPrinted>
  <dcterms:created xsi:type="dcterms:W3CDTF">2025-04-07T12:44:00Z</dcterms:created>
  <dcterms:modified xsi:type="dcterms:W3CDTF">2025-04-17T11:22:00Z</dcterms:modified>
</cp:coreProperties>
</file>