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562" w:rsidRDefault="006373E5">
      <w:pPr>
        <w:spacing w:before="120" w:after="0"/>
        <w:jc w:val="center"/>
        <w:rPr>
          <w:rFonts w:ascii="Century" w:eastAsia="Century" w:hAnsi="Century" w:cs="Century"/>
          <w:sz w:val="28"/>
          <w:szCs w:val="28"/>
        </w:rPr>
      </w:pPr>
      <w:r>
        <w:rPr>
          <w:rFonts w:ascii="Century" w:eastAsia="Century" w:hAnsi="Century" w:cs="Century"/>
          <w:sz w:val="28"/>
          <w:szCs w:val="28"/>
        </w:rPr>
        <w:t>An Analytical Study on the Impact of Cognitive Styles on Academic Performance among Grade 12 Students in Northern Samar</w:t>
      </w:r>
    </w:p>
    <w:p w:rsidR="00B15562" w:rsidRDefault="00B15562">
      <w:pPr>
        <w:spacing w:after="0"/>
        <w:rPr>
          <w:rFonts w:ascii="Century" w:eastAsia="Century" w:hAnsi="Century" w:cs="Century"/>
        </w:rPr>
      </w:pPr>
    </w:p>
    <w:p w:rsidR="00B15562" w:rsidRDefault="006373E5">
      <w:pPr>
        <w:spacing w:after="0"/>
        <w:ind w:left="720" w:right="720"/>
        <w:jc w:val="both"/>
        <w:rPr>
          <w:rFonts w:ascii="Century" w:eastAsia="Century" w:hAnsi="Century" w:cs="Century"/>
          <w:sz w:val="18"/>
          <w:szCs w:val="18"/>
        </w:rPr>
      </w:pPr>
      <w:r>
        <w:rPr>
          <w:rFonts w:ascii="Century" w:eastAsia="Century" w:hAnsi="Century" w:cs="Century"/>
          <w:b/>
          <w:sz w:val="20"/>
          <w:szCs w:val="20"/>
        </w:rPr>
        <w:t xml:space="preserve">Abstract:  </w:t>
      </w:r>
      <w:r>
        <w:rPr>
          <w:rFonts w:ascii="Century" w:eastAsia="Century" w:hAnsi="Century" w:cs="Century"/>
          <w:sz w:val="18"/>
          <w:szCs w:val="18"/>
        </w:rPr>
        <w:t xml:space="preserve">This study examined the impact of Cognitive Styles on the academic performance of Grade 12 senior high school students across Northern </w:t>
      </w:r>
      <w:r>
        <w:rPr>
          <w:rFonts w:ascii="Century" w:eastAsia="Century" w:hAnsi="Century" w:cs="Century"/>
          <w:sz w:val="18"/>
          <w:szCs w:val="18"/>
        </w:rPr>
        <w:t>Samar, Philippines, during the school year 2023-2024. A detailed correlation analyses were performed to determine the relations between multiple facets of cognitive styles and academic performance in this study. This study used a quantitative method by gat</w:t>
      </w:r>
      <w:r>
        <w:rPr>
          <w:rFonts w:ascii="Century" w:eastAsia="Century" w:hAnsi="Century" w:cs="Century"/>
          <w:sz w:val="18"/>
          <w:szCs w:val="18"/>
        </w:rPr>
        <w:t xml:space="preserve">hering and analyzing data on academic performance by incorporating surveys and general weighted average (GWA) to collect and analyze data pertaining to academic performance. Results from the study showed that different cognitive styles—like the Systematic </w:t>
      </w:r>
      <w:r>
        <w:rPr>
          <w:rFonts w:ascii="Century" w:eastAsia="Century" w:hAnsi="Century" w:cs="Century"/>
          <w:sz w:val="18"/>
          <w:szCs w:val="18"/>
        </w:rPr>
        <w:t>(r = 0.309, p = 0.00444) and Integrated (r = 0.501, p = 0.001) styles, which support holistic learning—had a significant impact on academic performance. This highlights the importance of instructional strategies that accommodate a range of learning prefere</w:t>
      </w:r>
      <w:r>
        <w:rPr>
          <w:rFonts w:ascii="Century" w:eastAsia="Century" w:hAnsi="Century" w:cs="Century"/>
          <w:sz w:val="18"/>
          <w:szCs w:val="18"/>
        </w:rPr>
        <w:t>nces. Furthermore, this provides a comprehensive analysis of the academic cognitive styles exhibited by Grade 12 senior high school students in the Division of Northern Samar. On the other hand, the Undifferentiated (r = 0.111, p = 0.542), Intuitive (r = 0</w:t>
      </w:r>
      <w:r>
        <w:rPr>
          <w:rFonts w:ascii="Century" w:eastAsia="Century" w:hAnsi="Century" w:cs="Century"/>
          <w:sz w:val="18"/>
          <w:szCs w:val="18"/>
        </w:rPr>
        <w:t>.189, p = 0.724), and Split (r = -0.151, p = 0.724) cognitive styles showed no significant correlation with academic performance, suggesting that these preferences may not directly affect academic success. These insights underscore the importance of implem</w:t>
      </w:r>
      <w:r>
        <w:rPr>
          <w:rFonts w:ascii="Century" w:eastAsia="Century" w:hAnsi="Century" w:cs="Century"/>
          <w:sz w:val="18"/>
          <w:szCs w:val="18"/>
        </w:rPr>
        <w:t>enting tailored instructional strategies in senior high school contexts to address individual cognitive differences and foster more educational practices. To help students reach their full potential, the study's findings contribute to the growing body of r</w:t>
      </w:r>
      <w:r>
        <w:rPr>
          <w:rFonts w:ascii="Century" w:eastAsia="Century" w:hAnsi="Century" w:cs="Century"/>
          <w:sz w:val="18"/>
          <w:szCs w:val="18"/>
        </w:rPr>
        <w:t>esearch that supports the use of individualized learning.</w:t>
      </w:r>
    </w:p>
    <w:p w:rsidR="00B15562" w:rsidRDefault="00B15562">
      <w:pPr>
        <w:spacing w:after="0"/>
        <w:ind w:left="720" w:right="720"/>
        <w:rPr>
          <w:rFonts w:ascii="Century" w:eastAsia="Century" w:hAnsi="Century" w:cs="Century"/>
          <w:sz w:val="20"/>
          <w:szCs w:val="20"/>
        </w:rPr>
      </w:pPr>
    </w:p>
    <w:p w:rsidR="00B15562" w:rsidRDefault="006373E5">
      <w:pPr>
        <w:spacing w:after="0"/>
        <w:ind w:left="720" w:right="720"/>
        <w:rPr>
          <w:rFonts w:ascii="Century" w:eastAsia="Century" w:hAnsi="Century" w:cs="Century"/>
          <w:sz w:val="18"/>
          <w:szCs w:val="18"/>
        </w:rPr>
      </w:pPr>
      <w:r>
        <w:rPr>
          <w:rFonts w:ascii="Century" w:eastAsia="Century" w:hAnsi="Century" w:cs="Century"/>
          <w:b/>
          <w:sz w:val="18"/>
          <w:szCs w:val="18"/>
        </w:rPr>
        <w:t xml:space="preserve">Key Words: </w:t>
      </w:r>
      <w:r>
        <w:rPr>
          <w:rFonts w:ascii="Century" w:eastAsia="Century" w:hAnsi="Century" w:cs="Century"/>
          <w:sz w:val="18"/>
          <w:szCs w:val="18"/>
        </w:rPr>
        <w:t>cognitive processing,</w:t>
      </w:r>
      <w:r>
        <w:rPr>
          <w:rFonts w:ascii="Century" w:eastAsia="Century" w:hAnsi="Century" w:cs="Century"/>
          <w:b/>
          <w:sz w:val="18"/>
          <w:szCs w:val="18"/>
        </w:rPr>
        <w:t xml:space="preserve"> </w:t>
      </w:r>
      <w:r>
        <w:rPr>
          <w:rFonts w:ascii="Century" w:eastAsia="Century" w:hAnsi="Century" w:cs="Century"/>
          <w:sz w:val="18"/>
          <w:szCs w:val="18"/>
        </w:rPr>
        <w:t>systematic styles, integrated styles, dynamic interactions, cognitive strategies</w:t>
      </w:r>
    </w:p>
    <w:p w:rsidR="00B15562" w:rsidRDefault="00B15562">
      <w:pPr>
        <w:spacing w:after="0"/>
        <w:rPr>
          <w:rFonts w:ascii="Century" w:eastAsia="Century" w:hAnsi="Century" w:cs="Century"/>
          <w:sz w:val="24"/>
          <w:szCs w:val="24"/>
        </w:rPr>
        <w:sectPr w:rsidR="00B155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567" w:gutter="0"/>
          <w:pgNumType w:start="1"/>
          <w:cols w:space="720"/>
        </w:sectPr>
      </w:pPr>
    </w:p>
    <w:p w:rsidR="00B15562" w:rsidRDefault="006373E5">
      <w:pPr>
        <w:spacing w:after="0"/>
        <w:rPr>
          <w:rFonts w:ascii="Century" w:eastAsia="Century" w:hAnsi="Century" w:cs="Century"/>
          <w:sz w:val="18"/>
          <w:szCs w:val="18"/>
        </w:rPr>
      </w:pPr>
      <w:r>
        <w:rPr>
          <w:rFonts w:ascii="Century" w:eastAsia="Century" w:hAnsi="Century" w:cs="Century"/>
          <w:sz w:val="24"/>
          <w:szCs w:val="24"/>
        </w:rPr>
        <w:t>1. INTRODUCTION</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The Senior High School (SHS) program was first introduced in 2016 in the Philippines as part of the K to 12 Basic Education Program, aiming to align the country’s education system with international standards (Department of Education [DepEd], 2016). It aim</w:t>
      </w:r>
      <w:r>
        <w:rPr>
          <w:rFonts w:ascii="Century" w:eastAsia="Century" w:hAnsi="Century" w:cs="Century"/>
          <w:sz w:val="18"/>
          <w:szCs w:val="18"/>
        </w:rPr>
        <w:t xml:space="preserve">s to prepare students for higher education, employment, and entrepreneurship by teaching them the core curriculums and specialized tracks aligned to their chosen career paths (DepEd, 2016; </w:t>
      </w:r>
      <w:proofErr w:type="spellStart"/>
      <w:r>
        <w:rPr>
          <w:rFonts w:ascii="Century" w:eastAsia="Century" w:hAnsi="Century" w:cs="Century"/>
          <w:sz w:val="18"/>
          <w:szCs w:val="18"/>
        </w:rPr>
        <w:t>Deysolong</w:t>
      </w:r>
      <w:proofErr w:type="spellEnd"/>
      <w:r>
        <w:rPr>
          <w:rFonts w:ascii="Century" w:eastAsia="Century" w:hAnsi="Century" w:cs="Century"/>
          <w:sz w:val="18"/>
          <w:szCs w:val="18"/>
        </w:rPr>
        <w:t>, 2023). However, despite these objectives, studies and na</w:t>
      </w:r>
      <w:r>
        <w:rPr>
          <w:rFonts w:ascii="Century" w:eastAsia="Century" w:hAnsi="Century" w:cs="Century"/>
          <w:sz w:val="18"/>
          <w:szCs w:val="18"/>
        </w:rPr>
        <w:t>tional assessments show that the program has struggled to achieve its intended outcomes.</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Students' continuously poor academic performance is one of the SHS program's biggest problems. According to a 2020 Manila Times article, SHS pupils received the lowest</w:t>
      </w:r>
      <w:r>
        <w:rPr>
          <w:rFonts w:ascii="Century" w:eastAsia="Century" w:hAnsi="Century" w:cs="Century"/>
          <w:sz w:val="18"/>
          <w:szCs w:val="18"/>
        </w:rPr>
        <w:t xml:space="preserve"> scores in history on national exams (Albano, 2020). Albano (2020) argues that a large number of students are deficient in critical thinking, problem-solving, and literacy. The program's weaknesses are further highlighted by regional disparities. With a me</w:t>
      </w:r>
      <w:r>
        <w:rPr>
          <w:rFonts w:ascii="Century" w:eastAsia="Century" w:hAnsi="Century" w:cs="Century"/>
          <w:sz w:val="18"/>
          <w:szCs w:val="18"/>
        </w:rPr>
        <w:t xml:space="preserve">an percentage score of </w:t>
      </w:r>
      <w:r>
        <w:rPr>
          <w:rFonts w:ascii="Century" w:eastAsia="Century" w:hAnsi="Century" w:cs="Century"/>
          <w:sz w:val="18"/>
          <w:szCs w:val="18"/>
        </w:rPr>
        <w:t>36.40%, Northern Samar grade 12 students were the third least proficient school division in Region VIII (National Achievement Test Results, 2017-2018). Moreover, student retention in the SHS program is also a major problem in additio</w:t>
      </w:r>
      <w:r>
        <w:rPr>
          <w:rFonts w:ascii="Century" w:eastAsia="Century" w:hAnsi="Century" w:cs="Century"/>
          <w:sz w:val="18"/>
          <w:szCs w:val="18"/>
        </w:rPr>
        <w:t>n to the deteriorating academic performance. According to data from the Enhanced Basic Education Information System (EBEIS), as cited in Philippine Statistics Authority (PSA, 2022), dropout rates rose from 3.6% in 2015 to 6.0% in 2020, while the cohort sur</w:t>
      </w:r>
      <w:r>
        <w:rPr>
          <w:rFonts w:ascii="Century" w:eastAsia="Century" w:hAnsi="Century" w:cs="Century"/>
          <w:sz w:val="18"/>
          <w:szCs w:val="18"/>
        </w:rPr>
        <w:t>vival rate decreased from 80.3% to 74.0% as of 2020 and the completion rate decreased from 81.8% in 2015 to 74.0% in 2020 (PSA, 2022). These numbers cast doubt on the program's viability and accessibility, especially for pupils from low-income families.</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On</w:t>
      </w:r>
      <w:r>
        <w:rPr>
          <w:rFonts w:ascii="Century" w:eastAsia="Century" w:hAnsi="Century" w:cs="Century"/>
          <w:sz w:val="18"/>
          <w:szCs w:val="18"/>
        </w:rPr>
        <w:t>e possible factor to consider in explaining these results is a student’s cognitive style. According to Sternberg (1997), cognitive style refers to a person’s habitual way of learning or processing information. Thus, if a student's cognitive style and the t</w:t>
      </w:r>
      <w:r>
        <w:rPr>
          <w:rFonts w:ascii="Century" w:eastAsia="Century" w:hAnsi="Century" w:cs="Century"/>
          <w:sz w:val="18"/>
          <w:szCs w:val="18"/>
        </w:rPr>
        <w:t>eaching method used does not align with each other, it may impact their comprehension and academic performance.</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lastRenderedPageBreak/>
        <w:t xml:space="preserve">Moreover, numerous studies have also presented empirical data that support the substantial impact of cognitive strategies on the academic performance of high school students (Peng &amp; </w:t>
      </w:r>
      <w:proofErr w:type="spellStart"/>
      <w:r>
        <w:rPr>
          <w:rFonts w:ascii="Century" w:eastAsia="Century" w:hAnsi="Century" w:cs="Century"/>
          <w:sz w:val="18"/>
          <w:szCs w:val="18"/>
        </w:rPr>
        <w:t>Kievit</w:t>
      </w:r>
      <w:proofErr w:type="spellEnd"/>
      <w:r>
        <w:rPr>
          <w:rFonts w:ascii="Century" w:eastAsia="Century" w:hAnsi="Century" w:cs="Century"/>
          <w:sz w:val="18"/>
          <w:szCs w:val="18"/>
        </w:rPr>
        <w:t>, 2020). According to the study of Garcia and Ramos (2017), there we</w:t>
      </w:r>
      <w:r>
        <w:rPr>
          <w:rFonts w:ascii="Century" w:eastAsia="Century" w:hAnsi="Century" w:cs="Century"/>
          <w:sz w:val="18"/>
          <w:szCs w:val="18"/>
        </w:rPr>
        <w:t>re relationships between cognitive styles and academic performance. It was emphasized in their studies the importance of elaboration, organization, critical thinking, and metacognitive regulation in enhancing academic performance and highlights the negativ</w:t>
      </w:r>
      <w:r>
        <w:rPr>
          <w:rFonts w:ascii="Century" w:eastAsia="Century" w:hAnsi="Century" w:cs="Century"/>
          <w:sz w:val="18"/>
          <w:szCs w:val="18"/>
        </w:rPr>
        <w:t>e impact of rote learning. Their findings can be used by educators to design effective teaching and learning strategies that promote the development of cognitive styles and improve student performance.</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Cognitive styles refer to individual differences in pr</w:t>
      </w:r>
      <w:r>
        <w:rPr>
          <w:rFonts w:ascii="Century" w:eastAsia="Century" w:hAnsi="Century" w:cs="Century"/>
          <w:sz w:val="18"/>
          <w:szCs w:val="18"/>
        </w:rPr>
        <w:t xml:space="preserve">ocessing information (Peterson et al., 2009, as cited in </w:t>
      </w:r>
      <w:proofErr w:type="spellStart"/>
      <w:r>
        <w:rPr>
          <w:rFonts w:ascii="Century" w:eastAsia="Century" w:hAnsi="Century" w:cs="Century"/>
          <w:sz w:val="18"/>
          <w:szCs w:val="18"/>
        </w:rPr>
        <w:t>Bouckenooghe</w:t>
      </w:r>
      <w:proofErr w:type="spellEnd"/>
      <w:r>
        <w:rPr>
          <w:rFonts w:ascii="Century" w:eastAsia="Century" w:hAnsi="Century" w:cs="Century"/>
          <w:sz w:val="18"/>
          <w:szCs w:val="18"/>
        </w:rPr>
        <w:t xml:space="preserve"> et al., 2016). Among the various frameworks that characterize cognitive styles, Keen (1973), McKenney and Keen (1974), and Botkin (1974), as cited in Martin (1998), identified two promin</w:t>
      </w:r>
      <w:r>
        <w:rPr>
          <w:rFonts w:ascii="Century" w:eastAsia="Century" w:hAnsi="Century" w:cs="Century"/>
          <w:sz w:val="18"/>
          <w:szCs w:val="18"/>
        </w:rPr>
        <w:t>ent types: (1) systematic style and (2) intuitive style. According to Martin (1998), systematic style refers to the rational behavior that uses a sequential approach to thinking, while intuitive style refers to the spontaneous approach. Thus, systematic st</w:t>
      </w:r>
      <w:r>
        <w:rPr>
          <w:rFonts w:ascii="Century" w:eastAsia="Century" w:hAnsi="Century" w:cs="Century"/>
          <w:sz w:val="18"/>
          <w:szCs w:val="18"/>
        </w:rPr>
        <w:t>yle is often viewed positively, while intuitive style is viewed negatively.</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While systematic and intuitive styles provided the foundation for the Cognitive Style Model, they have not adequately represented the entire spectrum of people’s behavior with rega</w:t>
      </w:r>
      <w:r>
        <w:rPr>
          <w:rFonts w:ascii="Century" w:eastAsia="Century" w:hAnsi="Century" w:cs="Century"/>
          <w:sz w:val="18"/>
          <w:szCs w:val="18"/>
        </w:rPr>
        <w:t>rd to thinking, learning, and problem-solving skills, as well as decision-making abilities. As a result, Martin (1983), as cited in Martin (1998), created a multidimensional model that was intended to reflect the entire spectrum of people’s behavior. His m</w:t>
      </w:r>
      <w:r>
        <w:rPr>
          <w:rFonts w:ascii="Century" w:eastAsia="Century" w:hAnsi="Century" w:cs="Century"/>
          <w:sz w:val="18"/>
          <w:szCs w:val="18"/>
        </w:rPr>
        <w:t>odel consisted of two continuums: (1) high systematic to low systematic and (2) high intuitive to low intuitive (Martin, 1998). Under this framework, five distinct cognitive styles have been identified: (1) systematic style; (2) intuitive style; (3) integr</w:t>
      </w:r>
      <w:r>
        <w:rPr>
          <w:rFonts w:ascii="Century" w:eastAsia="Century" w:hAnsi="Century" w:cs="Century"/>
          <w:sz w:val="18"/>
          <w:szCs w:val="18"/>
        </w:rPr>
        <w:t>ated style; (4) undifferentiated style; and (5) split style (Martin, 1998).</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As previously discussed, systematic style refers to the rational behavior that uses a sequential approach to thinking (Keen, 1973; McKenney &amp; Keen, 1974; Botkin, 1974, as cited in </w:t>
      </w:r>
      <w:r>
        <w:rPr>
          <w:rFonts w:ascii="Century" w:eastAsia="Century" w:hAnsi="Century" w:cs="Century"/>
          <w:sz w:val="18"/>
          <w:szCs w:val="18"/>
        </w:rPr>
        <w:t xml:space="preserve">Martin, 1998). In this framework, an individual that is identified as having a systematic style rates high on the systematic scale </w:t>
      </w:r>
      <w:r>
        <w:rPr>
          <w:rFonts w:ascii="Century" w:eastAsia="Century" w:hAnsi="Century" w:cs="Century"/>
          <w:sz w:val="18"/>
          <w:szCs w:val="18"/>
        </w:rPr>
        <w:t>and low on the intuitive scale (Martin, 1998). Intuitive style, conversely, refers to the spontaneous approach (Keen, 1973; M</w:t>
      </w:r>
      <w:r>
        <w:rPr>
          <w:rFonts w:ascii="Century" w:eastAsia="Century" w:hAnsi="Century" w:cs="Century"/>
          <w:sz w:val="18"/>
          <w:szCs w:val="18"/>
        </w:rPr>
        <w:t>cKenney &amp; Keen, 1974; Botkin, 1974, as cited in Martin, 1998). In this framework, an individual that is identified as having an intuitive style rates low on the systematic scale and high on the intuitive scale (Martin, 1998). Following this, the integrated</w:t>
      </w:r>
      <w:r>
        <w:rPr>
          <w:rFonts w:ascii="Century" w:eastAsia="Century" w:hAnsi="Century" w:cs="Century"/>
          <w:sz w:val="18"/>
          <w:szCs w:val="18"/>
        </w:rPr>
        <w:t xml:space="preserve"> style emerges as a combination of systematic and intuitive styles. An individual identified as having an integrated style rates high on both systematic and intuitive styles and is able to quickly change styles in a matter of seconds (Martin, 1998). Conver</w:t>
      </w:r>
      <w:r>
        <w:rPr>
          <w:rFonts w:ascii="Century" w:eastAsia="Century" w:hAnsi="Century" w:cs="Century"/>
          <w:sz w:val="18"/>
          <w:szCs w:val="18"/>
        </w:rPr>
        <w:t>sely, undifferentiated style refers to not having a style at all due to having no distinct preferences between systematic style and intuitive style. An individual identified as having an undifferentiated style rates low on both systematic and intuitive sty</w:t>
      </w:r>
      <w:r>
        <w:rPr>
          <w:rFonts w:ascii="Century" w:eastAsia="Century" w:hAnsi="Century" w:cs="Century"/>
          <w:sz w:val="18"/>
          <w:szCs w:val="18"/>
        </w:rPr>
        <w:t>les (Martin, 1998). Finally, the split style refers to having an equal degree of systematic and intuitive style. An individual identified as having split style rates in the middle range of both systematic and intuitive styles (Martin, 1998).</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Given the dive</w:t>
      </w:r>
      <w:r>
        <w:rPr>
          <w:rFonts w:ascii="Century" w:eastAsia="Century" w:hAnsi="Century" w:cs="Century"/>
          <w:sz w:val="18"/>
          <w:szCs w:val="18"/>
        </w:rPr>
        <w:t>rsity of cognitive styles among students, it is essential to recognize that SHS students often fail academically due to a mismatch between their cognitive type and teaching styles employed by teachers. Understanding students' different academic styles allo</w:t>
      </w:r>
      <w:r>
        <w:rPr>
          <w:rFonts w:ascii="Century" w:eastAsia="Century" w:hAnsi="Century" w:cs="Century"/>
          <w:sz w:val="18"/>
          <w:szCs w:val="18"/>
        </w:rPr>
        <w:t>ws teachers to recognize their cognitive types and tailor their lessons to them. This approach aligns with findings from a study on mobile language applications and learning styles among Tunisian university students. In that study, students' language learn</w:t>
      </w:r>
      <w:r>
        <w:rPr>
          <w:rFonts w:ascii="Century" w:eastAsia="Century" w:hAnsi="Century" w:cs="Century"/>
          <w:sz w:val="18"/>
          <w:szCs w:val="18"/>
        </w:rPr>
        <w:t>ing style preferences significantly influenced their use of mobile applications for English as a Foreign Language (EFL) learning, while class level and gender did not have a significant effect (Ben Amor, 2023). This demonstrates how learning preferences pl</w:t>
      </w:r>
      <w:r>
        <w:rPr>
          <w:rFonts w:ascii="Century" w:eastAsia="Century" w:hAnsi="Century" w:cs="Century"/>
          <w:sz w:val="18"/>
          <w:szCs w:val="18"/>
        </w:rPr>
        <w:t>ay a critical role in shaping educational outcomes, reinforcing the importance of aligning teaching methods with cognitive styles to enhance student performance.</w:t>
      </w:r>
    </w:p>
    <w:p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With the above-cited studies, the researcher deemed it necessary to find out if cognitive styl</w:t>
      </w:r>
      <w:r>
        <w:rPr>
          <w:rFonts w:ascii="Century" w:eastAsia="Century" w:hAnsi="Century" w:cs="Century"/>
          <w:sz w:val="18"/>
          <w:szCs w:val="18"/>
        </w:rPr>
        <w:t>es could significantly affect the academic performance of the senior high school students in the province. The conduct of this study will help educators to better understand their learners, leading to an effective identification of appropriate teaching str</w:t>
      </w:r>
      <w:r>
        <w:rPr>
          <w:rFonts w:ascii="Century" w:eastAsia="Century" w:hAnsi="Century" w:cs="Century"/>
          <w:sz w:val="18"/>
          <w:szCs w:val="18"/>
        </w:rPr>
        <w:t xml:space="preserve">ategies for each type of learner. Moreover, by identifying the strategies that are most effective for different types of </w:t>
      </w:r>
      <w:r>
        <w:rPr>
          <w:rFonts w:ascii="Century" w:eastAsia="Century" w:hAnsi="Century" w:cs="Century"/>
          <w:sz w:val="18"/>
          <w:szCs w:val="18"/>
        </w:rPr>
        <w:lastRenderedPageBreak/>
        <w:t xml:space="preserve">learners, teaching methods can be tailored to better meet the needs of SHS students. Hopefully, the program proposed at the end of the </w:t>
      </w:r>
      <w:r>
        <w:rPr>
          <w:rFonts w:ascii="Century" w:eastAsia="Century" w:hAnsi="Century" w:cs="Century"/>
          <w:sz w:val="18"/>
          <w:szCs w:val="18"/>
        </w:rPr>
        <w:t>study would lead to an improved academic performance of the students.</w:t>
      </w:r>
    </w:p>
    <w:p w:rsidR="00B15562" w:rsidRDefault="006373E5">
      <w:pPr>
        <w:spacing w:before="120" w:after="0"/>
        <w:rPr>
          <w:rFonts w:ascii="Century" w:eastAsia="Century" w:hAnsi="Century" w:cs="Century"/>
          <w:i/>
        </w:rPr>
      </w:pPr>
      <w:r>
        <w:rPr>
          <w:rFonts w:ascii="Century" w:eastAsia="Century" w:hAnsi="Century" w:cs="Century"/>
          <w:i/>
        </w:rPr>
        <w:t>1.1 Objectives of the Study</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Generally, this study sought to investigate the effect of cognitive styles on the academic performance of grade 12 senior high school students. </w:t>
      </w:r>
    </w:p>
    <w:p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Specifically,</w:t>
      </w:r>
      <w:r>
        <w:rPr>
          <w:rFonts w:ascii="Century" w:eastAsia="Century" w:hAnsi="Century" w:cs="Century"/>
          <w:sz w:val="18"/>
          <w:szCs w:val="18"/>
        </w:rPr>
        <w:t xml:space="preserve"> it aimed to:</w:t>
      </w:r>
    </w:p>
    <w:p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1. determine the extent of practice of cognitive styles of senior high school students in terms of:</w:t>
      </w:r>
    </w:p>
    <w:p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 xml:space="preserve">1.1. Systematic Style, </w:t>
      </w:r>
    </w:p>
    <w:p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1.2. Integrated Style,</w:t>
      </w:r>
    </w:p>
    <w:p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1.3. Undifferentiated Style,</w:t>
      </w:r>
    </w:p>
    <w:p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1.4. Intuitive Style,</w:t>
      </w:r>
    </w:p>
    <w:p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1.5. Split Style;</w:t>
      </w:r>
    </w:p>
    <w:p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2. determine the academic </w:t>
      </w:r>
      <w:r>
        <w:rPr>
          <w:rFonts w:ascii="Century" w:eastAsia="Century" w:hAnsi="Century" w:cs="Century"/>
          <w:sz w:val="18"/>
          <w:szCs w:val="18"/>
        </w:rPr>
        <w:t>performance of the senior high school students in the Division of Northern Samar,</w:t>
      </w:r>
    </w:p>
    <w:p w:rsidR="00B15562" w:rsidRDefault="006373E5">
      <w:pPr>
        <w:widowControl w:val="0"/>
        <w:spacing w:before="200"/>
        <w:jc w:val="both"/>
        <w:rPr>
          <w:rFonts w:ascii="Century" w:eastAsia="Century" w:hAnsi="Century" w:cs="Century"/>
          <w:sz w:val="24"/>
          <w:szCs w:val="24"/>
        </w:rPr>
      </w:pPr>
      <w:r>
        <w:rPr>
          <w:rFonts w:ascii="Century" w:eastAsia="Century" w:hAnsi="Century" w:cs="Century"/>
          <w:sz w:val="18"/>
          <w:szCs w:val="18"/>
        </w:rPr>
        <w:t>3. find out if there is a significant relationship between the cognitive styles of the senior high students and their academic performance.</w:t>
      </w:r>
    </w:p>
    <w:p w:rsidR="00B15562" w:rsidRDefault="006373E5">
      <w:pPr>
        <w:widowControl w:val="0"/>
        <w:spacing w:after="0" w:line="240" w:lineRule="auto"/>
        <w:jc w:val="both"/>
        <w:rPr>
          <w:rFonts w:ascii="Century" w:eastAsia="Century" w:hAnsi="Century" w:cs="Century"/>
          <w:sz w:val="24"/>
          <w:szCs w:val="24"/>
        </w:rPr>
      </w:pPr>
      <w:r>
        <w:rPr>
          <w:rFonts w:ascii="Century" w:eastAsia="Century" w:hAnsi="Century" w:cs="Century"/>
          <w:sz w:val="24"/>
          <w:szCs w:val="24"/>
        </w:rPr>
        <w:t>2. METHODOLOGY</w:t>
      </w:r>
    </w:p>
    <w:p w:rsidR="00B15562" w:rsidRDefault="006373E5">
      <w:pPr>
        <w:spacing w:before="120" w:after="0"/>
        <w:jc w:val="both"/>
        <w:rPr>
          <w:rFonts w:ascii="Century" w:eastAsia="Century" w:hAnsi="Century" w:cs="Century"/>
        </w:rPr>
      </w:pPr>
      <w:r>
        <w:rPr>
          <w:rFonts w:ascii="Century" w:eastAsia="Century" w:hAnsi="Century" w:cs="Century"/>
          <w:i/>
        </w:rPr>
        <w:t>2.1 Setting</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stu</w:t>
      </w:r>
      <w:r>
        <w:rPr>
          <w:rFonts w:ascii="Century" w:eastAsia="Century" w:hAnsi="Century" w:cs="Century"/>
          <w:sz w:val="18"/>
          <w:szCs w:val="18"/>
        </w:rPr>
        <w:t xml:space="preserve">dy was conducted in the Division of Northern Samar. The division is composed of 46 districts located across 24 municipalities with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as its capital, and divided into three geographical areas: the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Pacific Area and Central Area. </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w:t>
      </w:r>
      <w:r>
        <w:rPr>
          <w:rFonts w:ascii="Century" w:eastAsia="Century" w:hAnsi="Century" w:cs="Century"/>
          <w:sz w:val="18"/>
          <w:szCs w:val="18"/>
        </w:rPr>
        <w:t xml:space="preserve">specific locale of this study are the public senior high schools in the division distributed to the three geographical areas of the province. Specifically, the schools to be included in the Pacific Area are: </w:t>
      </w:r>
      <w:proofErr w:type="spellStart"/>
      <w:r>
        <w:rPr>
          <w:rFonts w:ascii="Century" w:eastAsia="Century" w:hAnsi="Century" w:cs="Century"/>
          <w:sz w:val="18"/>
          <w:szCs w:val="18"/>
        </w:rPr>
        <w:t>Pambujan</w:t>
      </w:r>
      <w:proofErr w:type="spellEnd"/>
      <w:r>
        <w:rPr>
          <w:rFonts w:ascii="Century" w:eastAsia="Century" w:hAnsi="Century" w:cs="Century"/>
          <w:sz w:val="18"/>
          <w:szCs w:val="18"/>
        </w:rPr>
        <w:t xml:space="preserve"> NHS/SHS, Gamay NHS/SHS, </w:t>
      </w:r>
      <w:proofErr w:type="spellStart"/>
      <w:r>
        <w:rPr>
          <w:rFonts w:ascii="Century" w:eastAsia="Century" w:hAnsi="Century" w:cs="Century"/>
          <w:sz w:val="18"/>
          <w:szCs w:val="18"/>
        </w:rPr>
        <w:t>Sumoroy</w:t>
      </w:r>
      <w:proofErr w:type="spellEnd"/>
      <w:r>
        <w:rPr>
          <w:rFonts w:ascii="Century" w:eastAsia="Century" w:hAnsi="Century" w:cs="Century"/>
          <w:sz w:val="18"/>
          <w:szCs w:val="18"/>
        </w:rPr>
        <w:t xml:space="preserve"> AIS SHS</w:t>
      </w:r>
      <w:r>
        <w:rPr>
          <w:rFonts w:ascii="Century" w:eastAsia="Century" w:hAnsi="Century" w:cs="Century"/>
          <w:sz w:val="18"/>
          <w:szCs w:val="18"/>
        </w:rPr>
        <w:t xml:space="preserve">, </w:t>
      </w:r>
      <w:proofErr w:type="spellStart"/>
      <w:r>
        <w:rPr>
          <w:rFonts w:ascii="Century" w:eastAsia="Century" w:hAnsi="Century" w:cs="Century"/>
          <w:sz w:val="18"/>
          <w:szCs w:val="18"/>
        </w:rPr>
        <w:t>Catubig</w:t>
      </w:r>
      <w:proofErr w:type="spellEnd"/>
      <w:r>
        <w:rPr>
          <w:rFonts w:ascii="Century" w:eastAsia="Century" w:hAnsi="Century" w:cs="Century"/>
          <w:sz w:val="18"/>
          <w:szCs w:val="18"/>
        </w:rPr>
        <w:t xml:space="preserve"> Valley NHS/ SHS, </w:t>
      </w:r>
      <w:proofErr w:type="spellStart"/>
      <w:r>
        <w:rPr>
          <w:rFonts w:ascii="Century" w:eastAsia="Century" w:hAnsi="Century" w:cs="Century"/>
          <w:sz w:val="18"/>
          <w:szCs w:val="18"/>
        </w:rPr>
        <w:t>Laoang</w:t>
      </w:r>
      <w:proofErr w:type="spellEnd"/>
      <w:r>
        <w:rPr>
          <w:rFonts w:ascii="Century" w:eastAsia="Century" w:hAnsi="Century" w:cs="Century"/>
          <w:sz w:val="18"/>
          <w:szCs w:val="18"/>
        </w:rPr>
        <w:t xml:space="preserve"> NHS/SHS, Las </w:t>
      </w:r>
      <w:proofErr w:type="spellStart"/>
      <w:r>
        <w:rPr>
          <w:rFonts w:ascii="Century" w:eastAsia="Century" w:hAnsi="Century" w:cs="Century"/>
          <w:sz w:val="18"/>
          <w:szCs w:val="18"/>
        </w:rPr>
        <w:t>Navas</w:t>
      </w:r>
      <w:proofErr w:type="spellEnd"/>
      <w:r>
        <w:rPr>
          <w:rFonts w:ascii="Century" w:eastAsia="Century" w:hAnsi="Century" w:cs="Century"/>
          <w:sz w:val="18"/>
          <w:szCs w:val="18"/>
        </w:rPr>
        <w:t xml:space="preserve"> NHS/SHS. The Central Area will include: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NHS/SHS, San Jose Technical High School NHS/SHS, </w:t>
      </w:r>
      <w:proofErr w:type="spellStart"/>
      <w:r>
        <w:rPr>
          <w:rFonts w:ascii="Century" w:eastAsia="Century" w:hAnsi="Century" w:cs="Century"/>
          <w:sz w:val="18"/>
          <w:szCs w:val="18"/>
        </w:rPr>
        <w:t>Bobon</w:t>
      </w:r>
      <w:proofErr w:type="spellEnd"/>
      <w:r>
        <w:rPr>
          <w:rFonts w:ascii="Century" w:eastAsia="Century" w:hAnsi="Century" w:cs="Century"/>
          <w:sz w:val="18"/>
          <w:szCs w:val="18"/>
        </w:rPr>
        <w:t xml:space="preserve"> School for Philippine Craftsmen, Mondragon AIS/SHS, Lope de Vega SHS, Don Juan F. Avalon SHS. </w:t>
      </w:r>
      <w:proofErr w:type="spellStart"/>
      <w:r>
        <w:rPr>
          <w:rFonts w:ascii="Century" w:eastAsia="Century" w:hAnsi="Century" w:cs="Century"/>
          <w:sz w:val="18"/>
          <w:szCs w:val="18"/>
        </w:rPr>
        <w:t>Balic</w:t>
      </w:r>
      <w:r>
        <w:rPr>
          <w:rFonts w:ascii="Century" w:eastAsia="Century" w:hAnsi="Century" w:cs="Century"/>
          <w:sz w:val="18"/>
          <w:szCs w:val="18"/>
        </w:rPr>
        <w:t>uatro</w:t>
      </w:r>
      <w:proofErr w:type="spellEnd"/>
      <w:r>
        <w:rPr>
          <w:rFonts w:ascii="Century" w:eastAsia="Century" w:hAnsi="Century" w:cs="Century"/>
          <w:sz w:val="18"/>
          <w:szCs w:val="18"/>
        </w:rPr>
        <w:t xml:space="preserve"> Area senior high schools will include Victoria NHS/SHS, </w:t>
      </w:r>
      <w:proofErr w:type="spellStart"/>
      <w:r>
        <w:rPr>
          <w:rFonts w:ascii="Century" w:eastAsia="Century" w:hAnsi="Century" w:cs="Century"/>
          <w:sz w:val="18"/>
          <w:szCs w:val="18"/>
        </w:rPr>
        <w:t>Capul</w:t>
      </w:r>
      <w:proofErr w:type="spellEnd"/>
      <w:r>
        <w:rPr>
          <w:rFonts w:ascii="Century" w:eastAsia="Century" w:hAnsi="Century" w:cs="Century"/>
          <w:sz w:val="18"/>
          <w:szCs w:val="18"/>
        </w:rPr>
        <w:t xml:space="preserve"> </w:t>
      </w:r>
      <w:r>
        <w:rPr>
          <w:rFonts w:ascii="Century" w:eastAsia="Century" w:hAnsi="Century" w:cs="Century"/>
          <w:sz w:val="18"/>
          <w:szCs w:val="18"/>
        </w:rPr>
        <w:t xml:space="preserve">AIS/SHS, Allen NHS/SHS, BBCMAIS SHS, </w:t>
      </w:r>
      <w:proofErr w:type="spellStart"/>
      <w:r>
        <w:rPr>
          <w:rFonts w:ascii="Century" w:eastAsia="Century" w:hAnsi="Century" w:cs="Century"/>
          <w:sz w:val="18"/>
          <w:szCs w:val="18"/>
        </w:rPr>
        <w:t>Biri</w:t>
      </w:r>
      <w:proofErr w:type="spellEnd"/>
      <w:r>
        <w:rPr>
          <w:rFonts w:ascii="Century" w:eastAsia="Century" w:hAnsi="Century" w:cs="Century"/>
          <w:sz w:val="18"/>
          <w:szCs w:val="18"/>
        </w:rPr>
        <w:t xml:space="preserve"> NHS/SHS, San Isidro NHS/SHS</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foregoing schools are the secondary schools of the Division of Northern Samar offering Senior High School Program from grade 11 to grade 12, school year 2023 – 2024. They further offer academic track with three strands namely General Academic (GA); Hum</w:t>
      </w:r>
      <w:r>
        <w:rPr>
          <w:rFonts w:ascii="Century" w:eastAsia="Century" w:hAnsi="Century" w:cs="Century"/>
          <w:sz w:val="18"/>
          <w:szCs w:val="18"/>
        </w:rPr>
        <w:t>anities, Education, Social Sciences (HUMSS); and Technological, Vocational and Livelihood (TVL).</w:t>
      </w:r>
    </w:p>
    <w:p w:rsidR="00B15562" w:rsidRDefault="006373E5">
      <w:pPr>
        <w:spacing w:before="200"/>
        <w:jc w:val="both"/>
        <w:rPr>
          <w:rFonts w:ascii="Century" w:eastAsia="Century" w:hAnsi="Century" w:cs="Century"/>
          <w:i/>
        </w:rPr>
      </w:pPr>
      <w:r>
        <w:rPr>
          <w:rFonts w:ascii="Century" w:eastAsia="Century" w:hAnsi="Century" w:cs="Century"/>
          <w:i/>
        </w:rPr>
        <w:t>2.2 Research Design</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study employed the descriptive correlational research design. It described the cognitive styles and academic performance of the senior high school students in the province of Northern Samar. In addition, correlational research design was utilized to es</w:t>
      </w:r>
      <w:r>
        <w:rPr>
          <w:rFonts w:ascii="Century" w:eastAsia="Century" w:hAnsi="Century" w:cs="Century"/>
          <w:sz w:val="18"/>
          <w:szCs w:val="18"/>
        </w:rPr>
        <w:t>tablish the relationship between cognitive styles and academic performance of SHS students.</w:t>
      </w:r>
    </w:p>
    <w:p w:rsidR="00B15562" w:rsidRDefault="006373E5">
      <w:pPr>
        <w:spacing w:before="200"/>
        <w:jc w:val="both"/>
        <w:rPr>
          <w:rFonts w:ascii="Century" w:eastAsia="Century" w:hAnsi="Century" w:cs="Century"/>
          <w:i/>
        </w:rPr>
      </w:pPr>
      <w:r>
        <w:rPr>
          <w:rFonts w:ascii="Century" w:eastAsia="Century" w:hAnsi="Century" w:cs="Century"/>
          <w:i/>
        </w:rPr>
        <w:t>2.3 Population and Sampling</w:t>
      </w:r>
    </w:p>
    <w:p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This study included 366 grade 12 SHS students in the Division of Northern Samar. The representative sample of senior high schools for th</w:t>
      </w:r>
      <w:r>
        <w:rPr>
          <w:rFonts w:ascii="Century" w:eastAsia="Century" w:hAnsi="Century" w:cs="Century"/>
          <w:sz w:val="18"/>
          <w:szCs w:val="18"/>
        </w:rPr>
        <w:t xml:space="preserve">is study was obtained by using a purposive sampling technique. For better distribution, the researcher first picked 18 senior high schools out of 60 from three (3) areas covering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Pacific, and Central to represent the entire Northern Samar Divis</w:t>
      </w:r>
      <w:r>
        <w:rPr>
          <w:rFonts w:ascii="Century" w:eastAsia="Century" w:hAnsi="Century" w:cs="Century"/>
          <w:sz w:val="18"/>
          <w:szCs w:val="18"/>
        </w:rPr>
        <w:t>ion. A proportionate sampling technique was then used to distribute the respondents of the study among the 18 schools. This means that schools with bigger populations had a higher number of samples compared to schools with smaller populations. A systematic</w:t>
      </w:r>
      <w:r>
        <w:rPr>
          <w:rFonts w:ascii="Century" w:eastAsia="Century" w:hAnsi="Century" w:cs="Century"/>
          <w:sz w:val="18"/>
          <w:szCs w:val="18"/>
        </w:rPr>
        <w:t xml:space="preserve"> random sampling technique was then used to select the students from each school. This involved randomly selecting a starting point from the list of students in each school and then selecting every nth student on the list until the required sample size was</w:t>
      </w:r>
      <w:r>
        <w:rPr>
          <w:rFonts w:ascii="Century" w:eastAsia="Century" w:hAnsi="Century" w:cs="Century"/>
          <w:sz w:val="18"/>
          <w:szCs w:val="18"/>
        </w:rPr>
        <w:t xml:space="preserve"> reached.</w:t>
      </w:r>
    </w:p>
    <w:p w:rsidR="00B15562" w:rsidRDefault="006373E5">
      <w:pPr>
        <w:spacing w:before="200"/>
        <w:jc w:val="both"/>
        <w:rPr>
          <w:rFonts w:ascii="Century" w:eastAsia="Century" w:hAnsi="Century" w:cs="Century"/>
          <w:i/>
        </w:rPr>
      </w:pPr>
      <w:r>
        <w:rPr>
          <w:rFonts w:ascii="Century" w:eastAsia="Century" w:hAnsi="Century" w:cs="Century"/>
          <w:i/>
        </w:rPr>
        <w:t>2.4 Respondents</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number of respondents of the study were 366 Grade 12 students officially enrolled under academic tracks:  General Academic (GA), Humanities, Education, Social Sciences (HUMSS), and Technological, Vocational and Livelihood (TVL</w:t>
      </w:r>
      <w:r>
        <w:rPr>
          <w:rFonts w:ascii="Century" w:eastAsia="Century" w:hAnsi="Century" w:cs="Century"/>
          <w:sz w:val="18"/>
          <w:szCs w:val="18"/>
        </w:rPr>
        <w:t xml:space="preserve">) </w:t>
      </w:r>
      <w:r>
        <w:rPr>
          <w:rFonts w:ascii="Century" w:eastAsia="Century" w:hAnsi="Century" w:cs="Century"/>
          <w:sz w:val="18"/>
          <w:szCs w:val="18"/>
        </w:rPr>
        <w:lastRenderedPageBreak/>
        <w:t>for the school year 2022-2023.</w:t>
      </w:r>
    </w:p>
    <w:p w:rsidR="00B15562" w:rsidRDefault="006373E5">
      <w:pPr>
        <w:spacing w:before="200"/>
        <w:jc w:val="both"/>
        <w:rPr>
          <w:rFonts w:ascii="Century" w:eastAsia="Century" w:hAnsi="Century" w:cs="Century"/>
          <w:i/>
        </w:rPr>
      </w:pPr>
      <w:r>
        <w:rPr>
          <w:rFonts w:ascii="Century" w:eastAsia="Century" w:hAnsi="Century" w:cs="Century"/>
          <w:i/>
        </w:rPr>
        <w:t>2.5 Variables</w:t>
      </w:r>
    </w:p>
    <w:p w:rsidR="00B15562" w:rsidRDefault="006373E5">
      <w:pPr>
        <w:spacing w:before="200"/>
        <w:ind w:firstLine="720"/>
        <w:jc w:val="both"/>
        <w:rPr>
          <w:rFonts w:ascii="Century" w:eastAsia="Century" w:hAnsi="Century" w:cs="Century"/>
          <w:sz w:val="18"/>
          <w:szCs w:val="18"/>
        </w:rPr>
      </w:pPr>
      <w:r>
        <w:rPr>
          <w:rFonts w:ascii="Century" w:eastAsia="Century" w:hAnsi="Century" w:cs="Century"/>
          <w:sz w:val="18"/>
          <w:szCs w:val="18"/>
        </w:rPr>
        <w:t xml:space="preserve">This study has two main groups of variables – independent variables and dependent variables. The independent variable of this study is the cognitive styles of the senior high school students. Cognitive styles </w:t>
      </w:r>
      <w:r>
        <w:rPr>
          <w:rFonts w:ascii="Century" w:eastAsia="Century" w:hAnsi="Century" w:cs="Century"/>
          <w:sz w:val="18"/>
          <w:szCs w:val="18"/>
        </w:rPr>
        <w:t>were determined in terms of systematic style, integrated style, undifferentiated style, intuitive style, and split style. The dependent variable of this study is the academic performance of the senior high school students which was measured through their g</w:t>
      </w:r>
      <w:r>
        <w:rPr>
          <w:rFonts w:ascii="Century" w:eastAsia="Century" w:hAnsi="Century" w:cs="Century"/>
          <w:sz w:val="18"/>
          <w:szCs w:val="18"/>
        </w:rPr>
        <w:t xml:space="preserve">rand weighted average. Grand weighted average (GWA) is used in the Department of Education to assess a student's overall academic performance. </w:t>
      </w:r>
    </w:p>
    <w:p w:rsidR="00B15562" w:rsidRDefault="006373E5">
      <w:pPr>
        <w:spacing w:before="200"/>
        <w:jc w:val="both"/>
        <w:rPr>
          <w:rFonts w:ascii="Century" w:eastAsia="Century" w:hAnsi="Century" w:cs="Century"/>
          <w:i/>
        </w:rPr>
      </w:pPr>
      <w:r>
        <w:rPr>
          <w:rFonts w:ascii="Century" w:eastAsia="Century" w:hAnsi="Century" w:cs="Century"/>
          <w:i/>
        </w:rPr>
        <w:t>2.6 Research Instruments</w:t>
      </w:r>
    </w:p>
    <w:p w:rsidR="00B15562" w:rsidRDefault="006373E5">
      <w:pPr>
        <w:spacing w:before="200"/>
        <w:ind w:firstLine="720"/>
        <w:jc w:val="both"/>
        <w:rPr>
          <w:rFonts w:ascii="Century" w:eastAsia="Century" w:hAnsi="Century" w:cs="Century"/>
          <w:sz w:val="18"/>
          <w:szCs w:val="18"/>
        </w:rPr>
      </w:pPr>
      <w:r>
        <w:rPr>
          <w:rFonts w:ascii="Century" w:eastAsia="Century" w:hAnsi="Century" w:cs="Century"/>
          <w:sz w:val="18"/>
          <w:szCs w:val="18"/>
        </w:rPr>
        <w:t>The instrument used to measure the cognitive styles of the respondents consisted of a 2</w:t>
      </w:r>
      <w:r>
        <w:rPr>
          <w:rFonts w:ascii="Century" w:eastAsia="Century" w:hAnsi="Century" w:cs="Century"/>
          <w:sz w:val="18"/>
          <w:szCs w:val="18"/>
        </w:rPr>
        <w:t>5-item inventory adapted from the study conducted by Martin (1998).</w:t>
      </w:r>
    </w:p>
    <w:p w:rsidR="00B15562" w:rsidRDefault="006373E5">
      <w:pPr>
        <w:spacing w:before="200"/>
        <w:jc w:val="both"/>
        <w:rPr>
          <w:rFonts w:ascii="Century" w:eastAsia="Century" w:hAnsi="Century" w:cs="Century"/>
          <w:i/>
        </w:rPr>
      </w:pPr>
      <w:r>
        <w:rPr>
          <w:rFonts w:ascii="Century" w:eastAsia="Century" w:hAnsi="Century" w:cs="Century"/>
          <w:i/>
        </w:rPr>
        <w:t>2.7 Validation of Instruments</w:t>
      </w:r>
    </w:p>
    <w:p w:rsidR="00B15562" w:rsidRDefault="006373E5">
      <w:pPr>
        <w:spacing w:before="200"/>
        <w:ind w:firstLine="720"/>
        <w:jc w:val="both"/>
        <w:rPr>
          <w:rFonts w:ascii="Century" w:eastAsia="Century" w:hAnsi="Century" w:cs="Century"/>
          <w:i/>
        </w:rPr>
      </w:pPr>
      <w:r>
        <w:rPr>
          <w:rFonts w:ascii="Century" w:eastAsia="Century" w:hAnsi="Century" w:cs="Century"/>
          <w:sz w:val="18"/>
          <w:szCs w:val="18"/>
        </w:rPr>
        <w:t>The study's instrument underwent rigorous validation procedures to ensure its relevance and appropriateness for the local context. Educational experts in seni</w:t>
      </w:r>
      <w:r>
        <w:rPr>
          <w:rFonts w:ascii="Century" w:eastAsia="Century" w:hAnsi="Century" w:cs="Century"/>
          <w:sz w:val="18"/>
          <w:szCs w:val="18"/>
        </w:rPr>
        <w:t>or high school education critiqued the instrument, which was adapted from foreign sources, to establish content validity. To tailor it to local respondents, some statements were revised. Three (3) senior high school coordinators evaluated the items for the</w:t>
      </w:r>
      <w:r>
        <w:rPr>
          <w:rFonts w:ascii="Century" w:eastAsia="Century" w:hAnsi="Century" w:cs="Century"/>
          <w:sz w:val="18"/>
          <w:szCs w:val="18"/>
        </w:rPr>
        <w:t>ir appropriateness and comprehension level, contributing to the refinement of the instrument for use in the study. Each item was judged as either “accept”, “reject”, or “revise”, and all recommendations and suggestions were considered for finalizing the in</w:t>
      </w:r>
      <w:r>
        <w:rPr>
          <w:rFonts w:ascii="Century" w:eastAsia="Century" w:hAnsi="Century" w:cs="Century"/>
          <w:sz w:val="18"/>
          <w:szCs w:val="18"/>
        </w:rPr>
        <w:t xml:space="preserve">strument. Subsequently, the finalized instrument was administered to 30 students at Eladio T. </w:t>
      </w:r>
      <w:proofErr w:type="spellStart"/>
      <w:r>
        <w:rPr>
          <w:rFonts w:ascii="Century" w:eastAsia="Century" w:hAnsi="Century" w:cs="Century"/>
          <w:sz w:val="18"/>
          <w:szCs w:val="18"/>
        </w:rPr>
        <w:t>Balite</w:t>
      </w:r>
      <w:proofErr w:type="spellEnd"/>
      <w:r>
        <w:rPr>
          <w:rFonts w:ascii="Century" w:eastAsia="Century" w:hAnsi="Century" w:cs="Century"/>
          <w:sz w:val="18"/>
          <w:szCs w:val="18"/>
        </w:rPr>
        <w:t xml:space="preserve"> Memorial School of Fisheries, ranked 7th based on the number of strands offered.</w:t>
      </w:r>
    </w:p>
    <w:p w:rsidR="00B15562" w:rsidRDefault="006373E5">
      <w:pPr>
        <w:widowControl w:val="0"/>
        <w:spacing w:before="200"/>
        <w:ind w:firstLine="720"/>
        <w:jc w:val="both"/>
        <w:rPr>
          <w:rFonts w:ascii="Century" w:eastAsia="Century" w:hAnsi="Century" w:cs="Century"/>
          <w:i/>
        </w:rPr>
      </w:pPr>
      <w:r>
        <w:rPr>
          <w:rFonts w:ascii="Century" w:eastAsia="Century" w:hAnsi="Century" w:cs="Century"/>
          <w:sz w:val="18"/>
          <w:szCs w:val="18"/>
        </w:rPr>
        <w:t>The results of the reliability analysis showed Cronbach’s alpha coefficien</w:t>
      </w:r>
      <w:r>
        <w:rPr>
          <w:rFonts w:ascii="Century" w:eastAsia="Century" w:hAnsi="Century" w:cs="Century"/>
          <w:sz w:val="18"/>
          <w:szCs w:val="18"/>
        </w:rPr>
        <w:t>ts of α=0.82, α=0.88, and α=0.84 for cognitive styles. These figures suggest that the instruments were highly reliable in measuring the given constructs.</w:t>
      </w:r>
    </w:p>
    <w:p w:rsidR="00B15562" w:rsidRDefault="006373E5">
      <w:pPr>
        <w:spacing w:before="200"/>
        <w:jc w:val="both"/>
        <w:rPr>
          <w:rFonts w:ascii="Century" w:eastAsia="Century" w:hAnsi="Century" w:cs="Century"/>
          <w:sz w:val="18"/>
          <w:szCs w:val="18"/>
        </w:rPr>
      </w:pPr>
      <w:r>
        <w:rPr>
          <w:rFonts w:ascii="Century" w:eastAsia="Century" w:hAnsi="Century" w:cs="Century"/>
          <w:i/>
        </w:rPr>
        <w:t>2.8 Data Gathering Procedure</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researcher asked permission to conduct </w:t>
      </w:r>
      <w:r>
        <w:rPr>
          <w:rFonts w:ascii="Century" w:eastAsia="Century" w:hAnsi="Century" w:cs="Century"/>
          <w:sz w:val="18"/>
          <w:szCs w:val="18"/>
        </w:rPr>
        <w:t>the study from the school’s di</w:t>
      </w:r>
      <w:r>
        <w:rPr>
          <w:rFonts w:ascii="Century" w:eastAsia="Century" w:hAnsi="Century" w:cs="Century"/>
          <w:sz w:val="18"/>
          <w:szCs w:val="18"/>
        </w:rPr>
        <w:t>vision superintendent. Then, after the researcher’s request was approved, the questionnaires were immediately distributed to the respective senior high school students. In the administration of questionnaires, the original English survey instrument was tra</w:t>
      </w:r>
      <w:r>
        <w:rPr>
          <w:rFonts w:ascii="Century" w:eastAsia="Century" w:hAnsi="Century" w:cs="Century"/>
          <w:sz w:val="18"/>
          <w:szCs w:val="18"/>
        </w:rPr>
        <w:t>nslated orally in Filipino for clarity while maintaining conceptual equivalence. The researcher personally distributed and retrieved the questionnaires to the school identified in this study. She sought the help of the adviser to identify the selected resp</w:t>
      </w:r>
      <w:r>
        <w:rPr>
          <w:rFonts w:ascii="Century" w:eastAsia="Century" w:hAnsi="Century" w:cs="Century"/>
          <w:sz w:val="18"/>
          <w:szCs w:val="18"/>
        </w:rPr>
        <w:t>ondents. The general weighted average (GWA) of the respondents was also requested from the advisers to measure the academic performance of the respondents</w:t>
      </w:r>
    </w:p>
    <w:p w:rsidR="00B15562" w:rsidRDefault="006373E5">
      <w:pPr>
        <w:spacing w:before="200"/>
        <w:jc w:val="both"/>
        <w:rPr>
          <w:rFonts w:ascii="Century" w:eastAsia="Century" w:hAnsi="Century" w:cs="Century"/>
          <w:sz w:val="18"/>
          <w:szCs w:val="18"/>
        </w:rPr>
      </w:pPr>
      <w:r>
        <w:rPr>
          <w:rFonts w:ascii="Century" w:eastAsia="Century" w:hAnsi="Century" w:cs="Century"/>
          <w:i/>
        </w:rPr>
        <w:t>2.9 Statistical Treatment of Data</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data gathered were tabulated, analyzed and interpreted statisti</w:t>
      </w:r>
      <w:r>
        <w:rPr>
          <w:rFonts w:ascii="Century" w:eastAsia="Century" w:hAnsi="Century" w:cs="Century"/>
          <w:sz w:val="18"/>
          <w:szCs w:val="18"/>
        </w:rPr>
        <w:t>cally using appropriate statistical tools. The frequency counts, weighted means, and percentage were used for the descriptive parts. The cognitive styles and General weighted average (GWA) were computed using the weighted mean and described based on the di</w:t>
      </w:r>
      <w:r>
        <w:rPr>
          <w:rFonts w:ascii="Century" w:eastAsia="Century" w:hAnsi="Century" w:cs="Century"/>
          <w:sz w:val="18"/>
          <w:szCs w:val="18"/>
        </w:rPr>
        <w:t>fferent descriptors of the Likert scale. Furthermore, Pearson correlations were used to test for a significant relationship between cognitive styles and academic performance. The Statistical Package for the Social Sciences (SPSS 16) software was used in al</w:t>
      </w:r>
      <w:r>
        <w:rPr>
          <w:rFonts w:ascii="Century" w:eastAsia="Century" w:hAnsi="Century" w:cs="Century"/>
          <w:sz w:val="18"/>
          <w:szCs w:val="18"/>
        </w:rPr>
        <w:t>l statistical analyses and a 5% margin of error was assumed in all hypothesis testing.</w:t>
      </w:r>
    </w:p>
    <w:p w:rsidR="00B15562" w:rsidRDefault="00B15562">
      <w:pPr>
        <w:widowControl w:val="0"/>
        <w:spacing w:after="0" w:line="240" w:lineRule="auto"/>
        <w:ind w:firstLine="567"/>
        <w:jc w:val="both"/>
        <w:rPr>
          <w:rFonts w:ascii="Century" w:eastAsia="Century" w:hAnsi="Century" w:cs="Century"/>
          <w:sz w:val="18"/>
          <w:szCs w:val="18"/>
        </w:rPr>
      </w:pPr>
    </w:p>
    <w:p w:rsidR="00B15562" w:rsidRDefault="006373E5">
      <w:pPr>
        <w:spacing w:after="0"/>
        <w:rPr>
          <w:rFonts w:ascii="Century" w:eastAsia="Century" w:hAnsi="Century" w:cs="Century"/>
          <w:sz w:val="24"/>
          <w:szCs w:val="24"/>
        </w:rPr>
      </w:pPr>
      <w:r>
        <w:rPr>
          <w:rFonts w:ascii="Century" w:eastAsia="Century" w:hAnsi="Century" w:cs="Century"/>
          <w:sz w:val="24"/>
          <w:szCs w:val="24"/>
        </w:rPr>
        <w:t>3.  RESULTS</w:t>
      </w:r>
    </w:p>
    <w:p w:rsidR="00B15562" w:rsidRDefault="006373E5">
      <w:pPr>
        <w:spacing w:before="120" w:after="0"/>
        <w:jc w:val="both"/>
        <w:rPr>
          <w:rFonts w:ascii="Century" w:eastAsia="Century" w:hAnsi="Century" w:cs="Century"/>
          <w:i/>
          <w:sz w:val="16"/>
          <w:szCs w:val="16"/>
        </w:rPr>
      </w:pPr>
      <w:r>
        <w:rPr>
          <w:rFonts w:ascii="Century" w:eastAsia="Century" w:hAnsi="Century" w:cs="Century"/>
          <w:i/>
        </w:rPr>
        <w:t>3.1 Cognitive Styles of Senior High School Students</w:t>
      </w:r>
    </w:p>
    <w:p w:rsidR="00B15562" w:rsidRDefault="006373E5">
      <w:pPr>
        <w:spacing w:before="200" w:after="0"/>
        <w:rPr>
          <w:rFonts w:ascii="Century" w:eastAsia="Century" w:hAnsi="Century" w:cs="Century"/>
          <w:i/>
        </w:rPr>
      </w:pPr>
      <w:r>
        <w:rPr>
          <w:rFonts w:ascii="Century" w:eastAsia="Century" w:hAnsi="Century" w:cs="Century"/>
          <w:sz w:val="18"/>
          <w:szCs w:val="18"/>
        </w:rPr>
        <w:t>Table 1. Systematic Style</w:t>
      </w:r>
    </w:p>
    <w:tbl>
      <w:tblPr>
        <w:tblStyle w:val="a"/>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widowControl w:val="0"/>
              <w:pBdr>
                <w:top w:val="nil"/>
                <w:left w:val="nil"/>
                <w:bottom w:val="nil"/>
                <w:right w:val="nil"/>
                <w:between w:val="nil"/>
              </w:pBdr>
              <w:spacing w:after="0" w:line="240" w:lineRule="auto"/>
              <w:rPr>
                <w:rFonts w:ascii="Century" w:eastAsia="Century" w:hAnsi="Century" w:cs="Century"/>
                <w:sz w:val="16"/>
                <w:szCs w:val="16"/>
              </w:rPr>
            </w:pPr>
            <w:r>
              <w:rPr>
                <w:rFonts w:ascii="Century" w:eastAsia="Century" w:hAnsi="Century" w:cs="Century"/>
                <w:sz w:val="16"/>
                <w:szCs w:val="16"/>
              </w:rPr>
              <w:t xml:space="preserve"> Systematic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rsidR="00B15562" w:rsidRDefault="006373E5">
            <w:pPr>
              <w:widowControl w:val="0"/>
              <w:pBdr>
                <w:top w:val="nil"/>
                <w:left w:val="nil"/>
                <w:bottom w:val="nil"/>
                <w:right w:val="nil"/>
                <w:between w:val="nil"/>
              </w:pBdr>
              <w:spacing w:after="0" w:line="240" w:lineRule="auto"/>
              <w:jc w:val="center"/>
              <w:rPr>
                <w:rFonts w:ascii="Century" w:eastAsia="Century" w:hAnsi="Century" w:cs="Century"/>
                <w:i/>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widowControl w:val="0"/>
              <w:spacing w:after="0" w:line="240" w:lineRule="auto"/>
              <w:jc w:val="center"/>
              <w:rPr>
                <w:rFonts w:ascii="Century" w:eastAsia="Century" w:hAnsi="Century" w:cs="Century"/>
                <w:color w:val="FFFFFF"/>
                <w:sz w:val="16"/>
                <w:szCs w:val="16"/>
              </w:rPr>
            </w:pPr>
            <w:r>
              <w:rPr>
                <w:rFonts w:ascii="Century" w:eastAsia="Century" w:hAnsi="Century" w:cs="Century"/>
                <w:sz w:val="16"/>
                <w:szCs w:val="16"/>
              </w:rPr>
              <w:t>Interpretation</w:t>
            </w:r>
          </w:p>
        </w:tc>
      </w:tr>
      <w:tr w:rsidR="00B15562">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spacing w:after="0" w:line="240" w:lineRule="auto"/>
              <w:ind w:left="72"/>
              <w:rPr>
                <w:rFonts w:ascii="Century" w:eastAsia="Century" w:hAnsi="Century" w:cs="Century"/>
                <w:sz w:val="16"/>
                <w:szCs w:val="16"/>
              </w:rPr>
            </w:pPr>
            <w:r>
              <w:rPr>
                <w:rFonts w:ascii="Century" w:eastAsia="Century" w:hAnsi="Century" w:cs="Century"/>
                <w:sz w:val="16"/>
                <w:szCs w:val="16"/>
              </w:rPr>
              <w:t>I prefer to analyze information logically and step-by-step.</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4.04</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rely on rules and procedures for decision-making.</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approach problem-solving in a structured way.</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use a systematic approach when learning new information.</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break down complex problems into smaller parts.</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3.49</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rsidR="00B15562" w:rsidRDefault="00B15562">
      <w:pPr>
        <w:spacing w:after="0"/>
        <w:rPr>
          <w:rFonts w:ascii="Century" w:eastAsia="Century" w:hAnsi="Century" w:cs="Century"/>
          <w:sz w:val="16"/>
          <w:szCs w:val="16"/>
        </w:rPr>
      </w:pPr>
    </w:p>
    <w:p w:rsidR="00B15562" w:rsidRDefault="006373E5">
      <w:pPr>
        <w:spacing w:after="0"/>
        <w:rPr>
          <w:rFonts w:ascii="Century" w:eastAsia="Century" w:hAnsi="Century" w:cs="Century"/>
          <w:sz w:val="16"/>
          <w:szCs w:val="16"/>
        </w:rPr>
      </w:pPr>
      <w:r>
        <w:rPr>
          <w:rFonts w:ascii="Century" w:eastAsia="Century" w:hAnsi="Century" w:cs="Century"/>
          <w:sz w:val="18"/>
          <w:szCs w:val="18"/>
        </w:rPr>
        <w:t xml:space="preserve">Table 2. </w:t>
      </w:r>
      <w:r>
        <w:rPr>
          <w:rFonts w:ascii="Century" w:eastAsia="Century" w:hAnsi="Century" w:cs="Century"/>
          <w:sz w:val="16"/>
          <w:szCs w:val="16"/>
        </w:rPr>
        <w:t>Integrated Style</w:t>
      </w:r>
    </w:p>
    <w:tbl>
      <w:tblPr>
        <w:tblStyle w:val="a0"/>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 xml:space="preserve"> Integrated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rsidR="00B15562" w:rsidRDefault="006373E5">
            <w:pPr>
              <w:spacing w:after="0" w:line="240" w:lineRule="auto"/>
              <w:jc w:val="center"/>
              <w:rPr>
                <w:rFonts w:ascii="Century" w:eastAsia="Century" w:hAnsi="Century" w:cs="Century"/>
                <w:i/>
                <w:sz w:val="16"/>
                <w:szCs w:val="16"/>
              </w:rPr>
            </w:pPr>
            <w:r>
              <w:rPr>
                <w:rFonts w:ascii="Century" w:eastAsia="Century" w:hAnsi="Century" w:cs="Century"/>
                <w:sz w:val="16"/>
                <w:szCs w:val="16"/>
              </w:rPr>
              <w:lastRenderedPageBreak/>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color w:val="FFFFFF"/>
                <w:sz w:val="16"/>
                <w:szCs w:val="16"/>
              </w:rPr>
            </w:pPr>
            <w:r>
              <w:rPr>
                <w:rFonts w:ascii="Century" w:eastAsia="Century" w:hAnsi="Century" w:cs="Century"/>
                <w:sz w:val="16"/>
                <w:szCs w:val="16"/>
              </w:rPr>
              <w:lastRenderedPageBreak/>
              <w:t>Interpretation</w:t>
            </w:r>
          </w:p>
        </w:tc>
      </w:tr>
      <w:tr w:rsidR="00B15562">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enjoy exploring new ideas and possibilities.</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enjoy finding connections between different ideas.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3.94</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like to understand the big picture before getting into details.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3.89</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use creativity to solve problems.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3.72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think holistically, rather than analytically.</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rsidR="00B15562" w:rsidRDefault="00B15562">
      <w:pPr>
        <w:spacing w:after="0"/>
        <w:rPr>
          <w:rFonts w:ascii="Century" w:eastAsia="Century" w:hAnsi="Century" w:cs="Century"/>
          <w:sz w:val="18"/>
          <w:szCs w:val="18"/>
        </w:rPr>
      </w:pPr>
    </w:p>
    <w:p w:rsidR="00B15562" w:rsidRDefault="006373E5">
      <w:pPr>
        <w:spacing w:after="0"/>
        <w:rPr>
          <w:rFonts w:ascii="Century" w:eastAsia="Century" w:hAnsi="Century" w:cs="Century"/>
          <w:sz w:val="16"/>
          <w:szCs w:val="16"/>
        </w:rPr>
      </w:pPr>
      <w:r>
        <w:rPr>
          <w:rFonts w:ascii="Century" w:eastAsia="Century" w:hAnsi="Century" w:cs="Century"/>
          <w:sz w:val="18"/>
          <w:szCs w:val="18"/>
        </w:rPr>
        <w:t>Table 3. Undifferentiated Style</w:t>
      </w:r>
    </w:p>
    <w:tbl>
      <w:tblPr>
        <w:tblStyle w:val="a1"/>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different methods to learn new information.</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3.84</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situation.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3.52</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a mix of cognitive styles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3.50</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am comfortable switching between cognitive styles.</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don't have a preferred way of processing information.</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3.21</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rsidR="00B15562" w:rsidRDefault="00B15562">
      <w:pPr>
        <w:spacing w:after="0"/>
        <w:rPr>
          <w:rFonts w:ascii="Century" w:eastAsia="Century" w:hAnsi="Century" w:cs="Century"/>
          <w:sz w:val="18"/>
          <w:szCs w:val="18"/>
        </w:rPr>
      </w:pPr>
    </w:p>
    <w:p w:rsidR="00B15562" w:rsidRDefault="006373E5">
      <w:pPr>
        <w:spacing w:after="0"/>
        <w:rPr>
          <w:rFonts w:ascii="Century" w:eastAsia="Century" w:hAnsi="Century" w:cs="Century"/>
          <w:sz w:val="16"/>
          <w:szCs w:val="16"/>
        </w:rPr>
      </w:pPr>
      <w:r>
        <w:rPr>
          <w:rFonts w:ascii="Century" w:eastAsia="Century" w:hAnsi="Century" w:cs="Century"/>
          <w:sz w:val="18"/>
          <w:szCs w:val="18"/>
        </w:rPr>
        <w:t>Table 4. Intuitive Style</w:t>
      </w:r>
    </w:p>
    <w:tbl>
      <w:tblPr>
        <w:tblStyle w:val="a2"/>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trust my instincts when making decisions.</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rely on gut feelings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My first impression is often correct.</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make decisions based on limited information.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3.47</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prefer intuition over logic.</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3.30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rsidR="00B15562" w:rsidRDefault="006373E5">
      <w:pPr>
        <w:spacing w:after="0"/>
        <w:rPr>
          <w:rFonts w:ascii="Century" w:eastAsia="Century" w:hAnsi="Century" w:cs="Century"/>
          <w:sz w:val="18"/>
          <w:szCs w:val="18"/>
        </w:rPr>
      </w:pPr>
      <w:r>
        <w:rPr>
          <w:rFonts w:ascii="Century" w:eastAsia="Century" w:hAnsi="Century" w:cs="Century"/>
          <w:sz w:val="18"/>
          <w:szCs w:val="18"/>
        </w:rPr>
        <w:t>Table 5. Split Style</w:t>
      </w:r>
    </w:p>
    <w:tbl>
      <w:tblPr>
        <w:tblStyle w:val="a3"/>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lef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Using a mix of styles helps me make better decisions.</w:t>
            </w:r>
          </w:p>
        </w:tc>
        <w:tc>
          <w:tcPr>
            <w:tcW w:w="735" w:type="dxa"/>
            <w:tcBorders>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3.75</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both structured and creative approaches.</w:t>
            </w:r>
          </w:p>
        </w:tc>
        <w:tc>
          <w:tcPr>
            <w:tcW w:w="735" w:type="dxa"/>
            <w:tcBorders>
              <w:top w:val="nil"/>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combine different methods for problem-solving.</w:t>
            </w:r>
          </w:p>
        </w:tc>
        <w:tc>
          <w:tcPr>
            <w:tcW w:w="735" w:type="dxa"/>
            <w:tcBorders>
              <w:top w:val="nil"/>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3.56</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task.</w:t>
            </w:r>
          </w:p>
        </w:tc>
        <w:tc>
          <w:tcPr>
            <w:tcW w:w="735" w:type="dxa"/>
            <w:tcBorders>
              <w:top w:val="nil"/>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3.54</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both analytical and intuitive cognitive styles.</w:t>
            </w:r>
          </w:p>
        </w:tc>
        <w:tc>
          <w:tcPr>
            <w:tcW w:w="735" w:type="dxa"/>
            <w:tcBorders>
              <w:top w:val="nil"/>
              <w:lef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rsidR="00B15562" w:rsidRDefault="00B15562">
      <w:pPr>
        <w:spacing w:after="0"/>
        <w:rPr>
          <w:rFonts w:ascii="Century" w:eastAsia="Century" w:hAnsi="Century" w:cs="Century"/>
          <w:sz w:val="18"/>
          <w:szCs w:val="18"/>
        </w:rPr>
      </w:pPr>
    </w:p>
    <w:p w:rsidR="00B15562" w:rsidRDefault="006373E5">
      <w:pPr>
        <w:spacing w:after="0"/>
        <w:rPr>
          <w:rFonts w:ascii="Century" w:eastAsia="Century" w:hAnsi="Century" w:cs="Century"/>
          <w:sz w:val="18"/>
          <w:szCs w:val="18"/>
        </w:rPr>
      </w:pPr>
      <w:r>
        <w:rPr>
          <w:rFonts w:ascii="Century" w:eastAsia="Century" w:hAnsi="Century" w:cs="Century"/>
          <w:sz w:val="18"/>
          <w:szCs w:val="18"/>
        </w:rPr>
        <w:t>Table 6. Summary of Cognitive Styles</w:t>
      </w:r>
    </w:p>
    <w:tbl>
      <w:tblPr>
        <w:tblStyle w:val="a4"/>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tc>
          <w:tcPr>
            <w:tcW w:w="247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735" w:type="dxa"/>
            <w:tcBorders>
              <w:left w:val="single" w:sz="8" w:space="0" w:color="FFFFFF"/>
            </w:tcBorders>
            <w:shd w:val="clear" w:color="auto" w:fill="auto"/>
            <w:tcMar>
              <w:top w:w="99" w:type="dxa"/>
              <w:left w:w="99" w:type="dxa"/>
              <w:bottom w:w="99" w:type="dxa"/>
              <w:right w:w="99"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Systematic Style</w:t>
            </w:r>
          </w:p>
        </w:tc>
        <w:tc>
          <w:tcPr>
            <w:tcW w:w="735" w:type="dxa"/>
            <w:tcBorders>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Integrated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top w:val="nil"/>
              <w:lef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Grand Mean</w:t>
            </w:r>
          </w:p>
        </w:tc>
        <w:tc>
          <w:tcPr>
            <w:tcW w:w="735" w:type="dxa"/>
            <w:tcBorders>
              <w:lef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rsidR="00B15562" w:rsidRDefault="006373E5">
      <w:pPr>
        <w:spacing w:before="120" w:after="0"/>
        <w:jc w:val="both"/>
        <w:rPr>
          <w:rFonts w:ascii="Century" w:eastAsia="Century" w:hAnsi="Century" w:cs="Century"/>
          <w:i/>
        </w:rPr>
      </w:pPr>
      <w:r>
        <w:rPr>
          <w:rFonts w:ascii="Century" w:eastAsia="Century" w:hAnsi="Century" w:cs="Century"/>
          <w:i/>
        </w:rPr>
        <w:t xml:space="preserve">3.2 Academic Performance of the Senior High School Students  </w:t>
      </w:r>
    </w:p>
    <w:p w:rsidR="00B15562" w:rsidRDefault="00B15562">
      <w:pPr>
        <w:spacing w:after="0"/>
        <w:rPr>
          <w:rFonts w:ascii="Century" w:eastAsia="Century" w:hAnsi="Century" w:cs="Century"/>
          <w:sz w:val="18"/>
          <w:szCs w:val="18"/>
        </w:rPr>
      </w:pPr>
    </w:p>
    <w:p w:rsidR="00B15562" w:rsidRDefault="006373E5">
      <w:pPr>
        <w:spacing w:after="0"/>
        <w:rPr>
          <w:rFonts w:ascii="Century" w:eastAsia="Century" w:hAnsi="Century" w:cs="Century"/>
          <w:sz w:val="18"/>
          <w:szCs w:val="18"/>
        </w:rPr>
      </w:pPr>
      <w:r>
        <w:rPr>
          <w:rFonts w:ascii="Century" w:eastAsia="Century" w:hAnsi="Century" w:cs="Century"/>
          <w:sz w:val="18"/>
          <w:szCs w:val="18"/>
        </w:rPr>
        <w:t>Table 7. Academic Performance of SHS Students</w:t>
      </w:r>
    </w:p>
    <w:tbl>
      <w:tblPr>
        <w:tblStyle w:val="a5"/>
        <w:tblW w:w="4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6"/>
        <w:gridCol w:w="988"/>
        <w:gridCol w:w="1080"/>
      </w:tblGrid>
      <w:tr w:rsidR="00B15562">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Academic Performance of SHS Students</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Frequency</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Percent</w:t>
            </w:r>
          </w:p>
        </w:tc>
      </w:tr>
      <w:tr w:rsidR="00B15562">
        <w:tc>
          <w:tcPr>
            <w:tcW w:w="239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Highest honors (98%-100%)</w:t>
            </w:r>
          </w:p>
        </w:tc>
        <w:tc>
          <w:tcPr>
            <w:tcW w:w="988"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2</w:t>
            </w:r>
          </w:p>
        </w:tc>
        <w:tc>
          <w:tcPr>
            <w:tcW w:w="1080"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0.55</w:t>
            </w:r>
          </w:p>
        </w:tc>
      </w:tr>
      <w:tr w:rsidR="00B15562">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High honors (95%-97%)</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24</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6.56</w:t>
            </w:r>
          </w:p>
        </w:tc>
      </w:tr>
      <w:tr w:rsidR="00B15562">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honors (90%-94%)</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126</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34.43</w:t>
            </w:r>
          </w:p>
        </w:tc>
      </w:tr>
      <w:tr w:rsidR="00B15562">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Very Satisfactory (85%-89%)</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142</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38.80</w:t>
            </w:r>
          </w:p>
        </w:tc>
      </w:tr>
      <w:tr w:rsidR="00B15562">
        <w:tc>
          <w:tcPr>
            <w:tcW w:w="239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Satisfactory (75%-84%)</w:t>
            </w:r>
          </w:p>
        </w:tc>
        <w:tc>
          <w:tcPr>
            <w:tcW w:w="988"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72</w:t>
            </w:r>
          </w:p>
        </w:tc>
        <w:tc>
          <w:tcPr>
            <w:tcW w:w="1080"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19.67</w:t>
            </w:r>
          </w:p>
        </w:tc>
      </w:tr>
      <w:tr w:rsidR="00B15562">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Total</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100.00</w:t>
            </w:r>
          </w:p>
        </w:tc>
      </w:tr>
    </w:tbl>
    <w:p w:rsidR="00B15562" w:rsidRDefault="006373E5">
      <w:pPr>
        <w:spacing w:before="120" w:after="0"/>
        <w:jc w:val="both"/>
        <w:rPr>
          <w:rFonts w:ascii="Century" w:eastAsia="Century" w:hAnsi="Century" w:cs="Century"/>
          <w:i/>
        </w:rPr>
      </w:pPr>
      <w:r>
        <w:rPr>
          <w:rFonts w:ascii="Century" w:eastAsia="Century" w:hAnsi="Century" w:cs="Century"/>
          <w:i/>
        </w:rPr>
        <w:t>3.3 Relationship between the Cognitive Styles of the Senior High Students and their Academic Performance</w:t>
      </w:r>
    </w:p>
    <w:p w:rsidR="00B15562" w:rsidRDefault="00B15562">
      <w:pPr>
        <w:spacing w:after="0"/>
        <w:rPr>
          <w:rFonts w:ascii="Century" w:eastAsia="Century" w:hAnsi="Century" w:cs="Century"/>
          <w:sz w:val="18"/>
          <w:szCs w:val="18"/>
        </w:rPr>
      </w:pPr>
    </w:p>
    <w:p w:rsidR="00B15562" w:rsidRDefault="006373E5">
      <w:pPr>
        <w:spacing w:after="0"/>
        <w:rPr>
          <w:rFonts w:ascii="Century" w:eastAsia="Century" w:hAnsi="Century" w:cs="Century"/>
          <w:sz w:val="18"/>
          <w:szCs w:val="18"/>
        </w:rPr>
      </w:pPr>
      <w:r>
        <w:rPr>
          <w:rFonts w:ascii="Century" w:eastAsia="Century" w:hAnsi="Century" w:cs="Century"/>
          <w:sz w:val="18"/>
          <w:szCs w:val="18"/>
        </w:rPr>
        <w:t>Table 8. Relationship between the Cognitive Styles of the Senior High Students and their Academic Performance</w:t>
      </w:r>
    </w:p>
    <w:tbl>
      <w:tblPr>
        <w:tblStyle w:val="a6"/>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740"/>
        <w:gridCol w:w="1095"/>
      </w:tblGrid>
      <w:tr w:rsidR="00B15562">
        <w:tc>
          <w:tcPr>
            <w:tcW w:w="162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174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Parameters</w:t>
            </w:r>
          </w:p>
        </w:tc>
        <w:tc>
          <w:tcPr>
            <w:tcW w:w="109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Academic Per</w:t>
            </w:r>
            <w:r>
              <w:rPr>
                <w:rFonts w:ascii="Century" w:eastAsia="Century" w:hAnsi="Century" w:cs="Century"/>
                <w:sz w:val="16"/>
                <w:szCs w:val="16"/>
              </w:rPr>
              <w:t>formance</w:t>
            </w:r>
          </w:p>
        </w:tc>
      </w:tr>
      <w:tr w:rsidR="00B15562">
        <w:tc>
          <w:tcPr>
            <w:tcW w:w="1620" w:type="dxa"/>
            <w:vMerge w:val="restart"/>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Systematic</w:t>
            </w:r>
          </w:p>
        </w:tc>
        <w:tc>
          <w:tcPr>
            <w:tcW w:w="1740"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0.309*</w:t>
            </w:r>
          </w:p>
        </w:tc>
      </w:tr>
      <w:tr w:rsidR="00B15562">
        <w:tc>
          <w:tcPr>
            <w:tcW w:w="1620" w:type="dxa"/>
            <w:vMerge/>
            <w:tcBorders>
              <w:top w:val="nil"/>
              <w:left w:val="nil"/>
              <w:bottom w:val="nil"/>
              <w:right w:val="nil"/>
            </w:tcBorders>
            <w:shd w:val="clear" w:color="auto" w:fill="auto"/>
            <w:tcMar>
              <w:top w:w="0" w:type="dxa"/>
              <w:left w:w="0" w:type="dxa"/>
              <w:bottom w:w="0" w:type="dxa"/>
              <w:right w:w="0" w:type="dxa"/>
            </w:tcMar>
            <w:vAlign w:val="center"/>
          </w:tcPr>
          <w:p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0.0444</w:t>
            </w:r>
          </w:p>
        </w:tc>
      </w:tr>
      <w:tr w:rsidR="00B15562">
        <w:tc>
          <w:tcPr>
            <w:tcW w:w="1620" w:type="dxa"/>
            <w:vMerge/>
            <w:tcBorders>
              <w:top w:val="nil"/>
              <w:left w:val="nil"/>
              <w:bottom w:val="nil"/>
              <w:right w:val="nil"/>
            </w:tcBorders>
            <w:shd w:val="clear" w:color="auto" w:fill="auto"/>
            <w:tcMar>
              <w:top w:w="0" w:type="dxa"/>
              <w:left w:w="0" w:type="dxa"/>
              <w:bottom w:w="0" w:type="dxa"/>
              <w:right w:w="0" w:type="dxa"/>
            </w:tcMar>
            <w:vAlign w:val="center"/>
          </w:tcPr>
          <w:p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r w:rsidR="00B15562">
        <w:tc>
          <w:tcPr>
            <w:tcW w:w="1620" w:type="dxa"/>
            <w:vMerge w:val="restart"/>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Integrated</w:t>
            </w:r>
          </w:p>
        </w:tc>
        <w:tc>
          <w:tcPr>
            <w:tcW w:w="1740" w:type="dxa"/>
            <w:tcBorders>
              <w:top w:val="single" w:sz="4" w:space="0" w:color="000000"/>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single" w:sz="4" w:space="0" w:color="000000"/>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0.501**</w:t>
            </w:r>
          </w:p>
        </w:tc>
      </w:tr>
      <w:tr w:rsidR="00B15562">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0.00</w:t>
            </w:r>
          </w:p>
        </w:tc>
      </w:tr>
      <w:tr w:rsidR="00B15562">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single" w:sz="4" w:space="0" w:color="000000"/>
              <w:right w:val="nil"/>
            </w:tcBorders>
            <w:shd w:val="clear" w:color="auto" w:fill="auto"/>
            <w:tcMar>
              <w:top w:w="0" w:type="dxa"/>
              <w:left w:w="0" w:type="dxa"/>
              <w:bottom w:w="0" w:type="dxa"/>
              <w:right w:w="0" w:type="dxa"/>
            </w:tcMar>
            <w:vAlign w:val="center"/>
          </w:tcPr>
          <w:p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single" w:sz="4" w:space="0" w:color="000000"/>
              <w:right w:val="nil"/>
            </w:tcBorders>
            <w:shd w:val="clear" w:color="auto" w:fill="auto"/>
            <w:tcMar>
              <w:top w:w="0" w:type="dxa"/>
              <w:left w:w="0" w:type="dxa"/>
              <w:bottom w:w="0" w:type="dxa"/>
              <w:right w:w="0" w:type="dxa"/>
            </w:tcMar>
            <w:vAlign w:val="center"/>
          </w:tcPr>
          <w:p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bl>
    <w:p w:rsidR="00B15562" w:rsidRDefault="006373E5">
      <w:pPr>
        <w:spacing w:after="0" w:line="240" w:lineRule="auto"/>
        <w:jc w:val="both"/>
        <w:rPr>
          <w:rFonts w:ascii="Century" w:eastAsia="Century" w:hAnsi="Century" w:cs="Century"/>
          <w:sz w:val="18"/>
          <w:szCs w:val="18"/>
        </w:rPr>
      </w:pPr>
      <w:r>
        <w:rPr>
          <w:rFonts w:ascii="Century" w:eastAsia="Century" w:hAnsi="Century" w:cs="Century"/>
          <w:sz w:val="18"/>
          <w:szCs w:val="18"/>
        </w:rPr>
        <w:t>*. Correlation is significant at the 0.01 level (2-tailed).</w:t>
      </w:r>
    </w:p>
    <w:p w:rsidR="00B15562" w:rsidRDefault="006373E5">
      <w:pPr>
        <w:spacing w:after="0"/>
        <w:jc w:val="both"/>
        <w:rPr>
          <w:rFonts w:ascii="Century" w:eastAsia="Century" w:hAnsi="Century" w:cs="Century"/>
          <w:sz w:val="18"/>
          <w:szCs w:val="18"/>
        </w:rPr>
      </w:pPr>
      <w:r>
        <w:rPr>
          <w:rFonts w:ascii="Century" w:eastAsia="Century" w:hAnsi="Century" w:cs="Century"/>
          <w:sz w:val="18"/>
          <w:szCs w:val="18"/>
        </w:rPr>
        <w:t>Table 9. Relationship between the Senior High Student’s Multiple Intelligence and their Cognitive Styles</w:t>
      </w:r>
    </w:p>
    <w:p w:rsidR="00B15562" w:rsidRDefault="006373E5">
      <w:pPr>
        <w:spacing w:after="0"/>
        <w:rPr>
          <w:rFonts w:ascii="Century" w:eastAsia="Century" w:hAnsi="Century" w:cs="Century"/>
          <w:sz w:val="18"/>
          <w:szCs w:val="18"/>
        </w:rPr>
      </w:pPr>
      <w:r>
        <w:rPr>
          <w:rFonts w:ascii="Century" w:eastAsia="Century" w:hAnsi="Century" w:cs="Century"/>
          <w:noProof/>
          <w:sz w:val="18"/>
          <w:szCs w:val="18"/>
        </w:rPr>
        <w:drawing>
          <wp:inline distT="114300" distB="114300" distL="114300" distR="114300">
            <wp:extent cx="2838450" cy="1816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838450" cy="1816100"/>
                    </a:xfrm>
                    <a:prstGeom prst="rect">
                      <a:avLst/>
                    </a:prstGeom>
                    <a:ln/>
                  </pic:spPr>
                </pic:pic>
              </a:graphicData>
            </a:graphic>
          </wp:inline>
        </w:drawing>
      </w:r>
    </w:p>
    <w:p w:rsidR="00B15562" w:rsidRDefault="00B15562">
      <w:pPr>
        <w:widowControl w:val="0"/>
        <w:spacing w:after="0" w:line="240" w:lineRule="auto"/>
        <w:rPr>
          <w:rFonts w:ascii="Century" w:eastAsia="Century" w:hAnsi="Century" w:cs="Century"/>
          <w:sz w:val="24"/>
          <w:szCs w:val="24"/>
        </w:rPr>
      </w:pPr>
    </w:p>
    <w:p w:rsidR="00B15562" w:rsidRDefault="00B15562">
      <w:pPr>
        <w:widowControl w:val="0"/>
        <w:spacing w:after="0" w:line="240" w:lineRule="auto"/>
        <w:rPr>
          <w:rFonts w:ascii="Century" w:eastAsia="Century" w:hAnsi="Century" w:cs="Century"/>
          <w:sz w:val="24"/>
          <w:szCs w:val="24"/>
        </w:rPr>
      </w:pPr>
    </w:p>
    <w:p w:rsidR="00B15562" w:rsidRDefault="006373E5">
      <w:pPr>
        <w:widowControl w:val="0"/>
        <w:spacing w:after="0" w:line="240" w:lineRule="auto"/>
        <w:rPr>
          <w:rFonts w:ascii="Century" w:eastAsia="Century" w:hAnsi="Century" w:cs="Century"/>
          <w:sz w:val="18"/>
          <w:szCs w:val="18"/>
        </w:rPr>
      </w:pPr>
      <w:r>
        <w:rPr>
          <w:rFonts w:ascii="Century" w:eastAsia="Century" w:hAnsi="Century" w:cs="Century"/>
          <w:sz w:val="24"/>
          <w:szCs w:val="24"/>
        </w:rPr>
        <w:t>4.  DISCUSSION</w:t>
      </w:r>
    </w:p>
    <w:p w:rsidR="00B15562" w:rsidRDefault="006373E5">
      <w:pPr>
        <w:spacing w:before="120" w:after="0"/>
        <w:jc w:val="both"/>
        <w:rPr>
          <w:rFonts w:ascii="Century" w:eastAsia="Century" w:hAnsi="Century" w:cs="Century"/>
          <w:i/>
        </w:rPr>
      </w:pPr>
      <w:r>
        <w:rPr>
          <w:rFonts w:ascii="Century" w:eastAsia="Century" w:hAnsi="Century" w:cs="Century"/>
          <w:i/>
        </w:rPr>
        <w:t>4.1 Cognitive Styles of Senior High School Students</w:t>
      </w:r>
    </w:p>
    <w:p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lastRenderedPageBreak/>
        <w:t>Systematic Style</w:t>
      </w:r>
    </w:p>
    <w:p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Table </w:t>
      </w:r>
      <w:bookmarkStart w:id="0" w:name="_GoBack"/>
      <w:bookmarkEnd w:id="0"/>
      <w:r>
        <w:rPr>
          <w:rFonts w:ascii="Century" w:eastAsia="Century" w:hAnsi="Century" w:cs="Century"/>
          <w:sz w:val="18"/>
          <w:szCs w:val="18"/>
        </w:rPr>
        <w:t xml:space="preserve">1 shows that in Northern Samar, the senior high school students’ cognitive styles have an average mean score of 3.83, which is actually used within the surveyed group. Students showing systematic style analyze the information logically and step by </w:t>
      </w:r>
      <w:r>
        <w:rPr>
          <w:rFonts w:ascii="Century" w:eastAsia="Century" w:hAnsi="Century" w:cs="Century"/>
          <w:sz w:val="18"/>
          <w:szCs w:val="18"/>
        </w:rPr>
        <w:t>step (4.04). They rely on rules and procedures in decision-making (3.96), and problems are solved in a structured way (3.83). Also, they wish to have a systematic approach to learning new things (3.82) and break big problems into components (3.49). This ha</w:t>
      </w:r>
      <w:r>
        <w:rPr>
          <w:rFonts w:ascii="Century" w:eastAsia="Century" w:hAnsi="Century" w:cs="Century"/>
          <w:sz w:val="18"/>
          <w:szCs w:val="18"/>
        </w:rPr>
        <w:t>s been further supported in Sternberg &amp; Zhang (2014) in their study on cognitive style, that the systematic cognitive style for individuals does mean an inclination to emphasize organization, structure, and analytical thinking over their own cognitive proc</w:t>
      </w:r>
      <w:r>
        <w:rPr>
          <w:rFonts w:ascii="Century" w:eastAsia="Century" w:hAnsi="Century" w:cs="Century"/>
          <w:sz w:val="18"/>
          <w:szCs w:val="18"/>
        </w:rPr>
        <w:t>esses.</w:t>
      </w:r>
    </w:p>
    <w:p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 xml:space="preserve">Integrated Style </w:t>
      </w:r>
    </w:p>
    <w:p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Results from the study shows that Integrated style is highly utilized within the surveyed population, revealing an overall mean score of 3.81. Students exhibiting an Integrated Style were found to demonstrate a preference for explo</w:t>
      </w:r>
      <w:r>
        <w:rPr>
          <w:rFonts w:ascii="Century" w:eastAsia="Century" w:hAnsi="Century" w:cs="Century"/>
          <w:sz w:val="18"/>
          <w:szCs w:val="18"/>
        </w:rPr>
        <w:t xml:space="preserve">ring new ideas and possibilities (3.96) and enjoy finding connections between different concepts (3.94). They tend to prioritize understanding the big picture before getting into details (3.89) and use creativity as a means to solve problems (3.72). These </w:t>
      </w:r>
      <w:r>
        <w:rPr>
          <w:rFonts w:ascii="Century" w:eastAsia="Century" w:hAnsi="Century" w:cs="Century"/>
          <w:sz w:val="18"/>
          <w:szCs w:val="18"/>
        </w:rPr>
        <w:t>students show holistic thinking patterns rather than thinking analytically (3.58). These results align with studies on cognitive styles, which suggests that individuals with an Integrated Style tend to perform well in tasks that require creativity, innovat</w:t>
      </w:r>
      <w:r>
        <w:rPr>
          <w:rFonts w:ascii="Century" w:eastAsia="Century" w:hAnsi="Century" w:cs="Century"/>
          <w:sz w:val="18"/>
          <w:szCs w:val="18"/>
        </w:rPr>
        <w:t xml:space="preserve">ion, and a broad understanding of complex concepts (Zhang &amp; Sternberg, 2015). </w:t>
      </w:r>
    </w:p>
    <w:p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The consistently high mean scores on all statements imply a widespread and uniform use of the Integrated Style among the senior high school students in Northern Samar. This cogn</w:t>
      </w:r>
      <w:r>
        <w:rPr>
          <w:rFonts w:ascii="Century" w:eastAsia="Century" w:hAnsi="Century" w:cs="Century"/>
          <w:sz w:val="18"/>
          <w:szCs w:val="18"/>
        </w:rPr>
        <w:t>itive approach likely facilitates their capacity to tackle challenges through creativity, identify links between varied ideas, and understand how ideas fit within the larger picture that further drives their cognitive agility and problem-solving skills.</w:t>
      </w:r>
    </w:p>
    <w:p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Un</w:t>
      </w:r>
      <w:r>
        <w:rPr>
          <w:rFonts w:ascii="Century" w:eastAsia="Century" w:hAnsi="Century" w:cs="Century"/>
          <w:i/>
          <w:sz w:val="20"/>
          <w:szCs w:val="20"/>
        </w:rPr>
        <w:t>differentiated Style</w:t>
      </w:r>
    </w:p>
    <w:p w:rsidR="00B15562" w:rsidRDefault="006373E5">
      <w:pPr>
        <w:widowControl w:val="0"/>
        <w:pBdr>
          <w:top w:val="none" w:sz="0" w:space="0" w:color="E5E7EB"/>
          <w:left w:val="none" w:sz="0" w:space="0" w:color="E5E7EB"/>
          <w:bottom w:val="none" w:sz="0" w:space="0" w:color="E5E7EB"/>
          <w:right w:val="none" w:sz="0" w:space="0" w:color="E5E7EB"/>
          <w:between w:val="none" w:sz="0" w:space="0" w:color="E5E7EB"/>
        </w:pBdr>
        <w:spacing w:after="0"/>
        <w:jc w:val="both"/>
        <w:rPr>
          <w:rFonts w:ascii="Century" w:eastAsia="Century" w:hAnsi="Century" w:cs="Century"/>
          <w:sz w:val="18"/>
          <w:szCs w:val="18"/>
        </w:rPr>
      </w:pPr>
      <w:r>
        <w:rPr>
          <w:rFonts w:ascii="Century" w:eastAsia="Century" w:hAnsi="Century" w:cs="Century"/>
          <w:sz w:val="18"/>
          <w:szCs w:val="18"/>
        </w:rPr>
        <w:tab/>
        <w:t xml:space="preserve">Results from the study shows that Undifferentiated style is highly utilized within the </w:t>
      </w:r>
      <w:r>
        <w:rPr>
          <w:rFonts w:ascii="Century" w:eastAsia="Century" w:hAnsi="Century" w:cs="Century"/>
          <w:sz w:val="18"/>
          <w:szCs w:val="18"/>
        </w:rPr>
        <w:t xml:space="preserve">surveyed population, revealing an overall mean score of 3.51. Students exhibiting an Undifferentiated Style were found to use different methods to </w:t>
      </w:r>
      <w:r>
        <w:rPr>
          <w:rFonts w:ascii="Century" w:eastAsia="Century" w:hAnsi="Century" w:cs="Century"/>
          <w:sz w:val="18"/>
          <w:szCs w:val="18"/>
        </w:rPr>
        <w:t>learn new information (3.84). They can easily adapt their cognitive style according to the demands of the situation (3.52) and can use a combination of cognitive styles for solving problems (3.50). Results from the study shows that they can easily switch b</w:t>
      </w:r>
      <w:r>
        <w:rPr>
          <w:rFonts w:ascii="Century" w:eastAsia="Century" w:hAnsi="Century" w:cs="Century"/>
          <w:sz w:val="18"/>
          <w:szCs w:val="18"/>
        </w:rPr>
        <w:t>etween different cognitive approaches (3.45) and do not have a preferred way of processing information (3.21). These results align with studies on cognitive styles, which suggests that individuals with an Undifferentiated Style are often skilled in adaptin</w:t>
      </w:r>
      <w:r>
        <w:rPr>
          <w:rFonts w:ascii="Century" w:eastAsia="Century" w:hAnsi="Century" w:cs="Century"/>
          <w:sz w:val="18"/>
          <w:szCs w:val="18"/>
        </w:rPr>
        <w:t>g to diverse learning environments (Dunn et al., 1998).</w:t>
      </w:r>
    </w:p>
    <w:p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 xml:space="preserve">Intuitive Style </w:t>
      </w:r>
    </w:p>
    <w:p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Results have shown that students in this cognitive approach are highly utilized with an overall mean score of 3.53. It demonstrates that the students' Intuitive Style </w:t>
      </w:r>
      <w:proofErr w:type="spellStart"/>
      <w:r>
        <w:rPr>
          <w:rFonts w:ascii="Century" w:eastAsia="Century" w:hAnsi="Century" w:cs="Century"/>
          <w:sz w:val="18"/>
          <w:szCs w:val="18"/>
        </w:rPr>
        <w:t>rely</w:t>
      </w:r>
      <w:proofErr w:type="spellEnd"/>
      <w:r>
        <w:rPr>
          <w:rFonts w:ascii="Century" w:eastAsia="Century" w:hAnsi="Century" w:cs="Century"/>
          <w:sz w:val="18"/>
          <w:szCs w:val="18"/>
        </w:rPr>
        <w:t xml:space="preserve"> significant</w:t>
      </w:r>
      <w:r>
        <w:rPr>
          <w:rFonts w:ascii="Century" w:eastAsia="Century" w:hAnsi="Century" w:cs="Century"/>
          <w:sz w:val="18"/>
          <w:szCs w:val="18"/>
        </w:rPr>
        <w:t xml:space="preserve">ly on their instincts and gut feelings when making decisions (3.83). They showed their tendency to trust their initial impressions, considering them often correct (3.48), and prefer using intuition over logic (3.30). Moreover, they indicate an inclination </w:t>
      </w:r>
      <w:r>
        <w:rPr>
          <w:rFonts w:ascii="Century" w:eastAsia="Century" w:hAnsi="Century" w:cs="Century"/>
          <w:sz w:val="18"/>
          <w:szCs w:val="18"/>
        </w:rPr>
        <w:t xml:space="preserve">to make decisions based on limited information (3.47). It </w:t>
      </w:r>
      <w:proofErr w:type="gramStart"/>
      <w:r>
        <w:rPr>
          <w:rFonts w:ascii="Century" w:eastAsia="Century" w:hAnsi="Century" w:cs="Century"/>
          <w:sz w:val="18"/>
          <w:szCs w:val="18"/>
        </w:rPr>
        <w:t>implies  that</w:t>
      </w:r>
      <w:proofErr w:type="gramEnd"/>
      <w:r>
        <w:rPr>
          <w:rFonts w:ascii="Century" w:eastAsia="Century" w:hAnsi="Century" w:cs="Century"/>
          <w:sz w:val="18"/>
          <w:szCs w:val="18"/>
        </w:rPr>
        <w:t xml:space="preserve"> students made their  decision-making according to their instinct behavior  rather than their careful actions . This supports the study of Kahneman &amp; Klein, (2009), that intuition is im</w:t>
      </w:r>
      <w:r>
        <w:rPr>
          <w:rFonts w:ascii="Century" w:eastAsia="Century" w:hAnsi="Century" w:cs="Century"/>
          <w:sz w:val="18"/>
          <w:szCs w:val="18"/>
        </w:rPr>
        <w:t>portant in certain situations, such as time-sensitive scenarios or when faced with ambiguity. It is important to understand the limitations of depending on intuitive procedures, especially in situations needing logical thinking and critical analysis.</w:t>
      </w:r>
    </w:p>
    <w:p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Split</w:t>
      </w:r>
      <w:r>
        <w:rPr>
          <w:rFonts w:ascii="Century" w:eastAsia="Century" w:hAnsi="Century" w:cs="Century"/>
          <w:i/>
          <w:sz w:val="20"/>
          <w:szCs w:val="20"/>
        </w:rPr>
        <w:t xml:space="preserve"> Style</w:t>
      </w:r>
    </w:p>
    <w:p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Results from the study shows that Undifferentiated style is highly utilized within the surveyed population, revealing an overall mean score of 3.60. Students exhibiting an Undifferentiated Style were found to use a mix of styles to make decisions (3</w:t>
      </w:r>
      <w:r>
        <w:rPr>
          <w:rFonts w:ascii="Century" w:eastAsia="Century" w:hAnsi="Century" w:cs="Century"/>
          <w:sz w:val="18"/>
          <w:szCs w:val="18"/>
        </w:rPr>
        <w:t>.75) and prefer to use a combination of structured and creative approaches (3.65). They tend to combine different methods for problem solving (3.56) and can easily adapt their cognitive style based on the task at hand (3.54). Moreover, it was found that th</w:t>
      </w:r>
      <w:r>
        <w:rPr>
          <w:rFonts w:ascii="Century" w:eastAsia="Century" w:hAnsi="Century" w:cs="Century"/>
          <w:sz w:val="18"/>
          <w:szCs w:val="18"/>
        </w:rPr>
        <w:t xml:space="preserve">ey can use both analytical and intuitive cognitive styles (3.48). According </w:t>
      </w:r>
      <w:proofErr w:type="gramStart"/>
      <w:r>
        <w:rPr>
          <w:rFonts w:ascii="Century" w:eastAsia="Century" w:hAnsi="Century" w:cs="Century"/>
          <w:sz w:val="18"/>
          <w:szCs w:val="18"/>
        </w:rPr>
        <w:t>to  O'Reilly</w:t>
      </w:r>
      <w:proofErr w:type="gramEnd"/>
      <w:r>
        <w:rPr>
          <w:rFonts w:ascii="Century" w:eastAsia="Century" w:hAnsi="Century" w:cs="Century"/>
          <w:sz w:val="18"/>
          <w:szCs w:val="18"/>
        </w:rPr>
        <w:t xml:space="preserve"> &amp; Chatman (1996), such flexibility can facilitate a more comprehensive </w:t>
      </w:r>
      <w:r>
        <w:rPr>
          <w:rFonts w:ascii="Century" w:eastAsia="Century" w:hAnsi="Century" w:cs="Century"/>
          <w:sz w:val="18"/>
          <w:szCs w:val="18"/>
        </w:rPr>
        <w:lastRenderedPageBreak/>
        <w:t>understanding of complex issues and contribute to effective decision-making in diverse contexts.</w:t>
      </w:r>
    </w:p>
    <w:p w:rsidR="00B15562" w:rsidRDefault="006373E5">
      <w:pPr>
        <w:widowControl w:val="0"/>
        <w:spacing w:before="200"/>
        <w:jc w:val="both"/>
        <w:rPr>
          <w:rFonts w:ascii="Century" w:eastAsia="Century" w:hAnsi="Century" w:cs="Century"/>
          <w:i/>
          <w:sz w:val="20"/>
          <w:szCs w:val="20"/>
        </w:rPr>
      </w:pPr>
      <w:r>
        <w:rPr>
          <w:rFonts w:ascii="Century" w:eastAsia="Century" w:hAnsi="Century" w:cs="Century"/>
          <w:i/>
          <w:sz w:val="20"/>
          <w:szCs w:val="20"/>
        </w:rPr>
        <w:t>Summary of Cognitive Styles</w:t>
      </w:r>
    </w:p>
    <w:p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The cognitive styles assessment reveals that all styles are highly utilized among </w:t>
      </w:r>
      <w:proofErr w:type="gramStart"/>
      <w:r>
        <w:rPr>
          <w:rFonts w:ascii="Century" w:eastAsia="Century" w:hAnsi="Century" w:cs="Century"/>
          <w:sz w:val="18"/>
          <w:szCs w:val="18"/>
        </w:rPr>
        <w:t>the  surveyed</w:t>
      </w:r>
      <w:proofErr w:type="gramEnd"/>
      <w:r>
        <w:rPr>
          <w:rFonts w:ascii="Century" w:eastAsia="Century" w:hAnsi="Century" w:cs="Century"/>
          <w:sz w:val="18"/>
          <w:szCs w:val="18"/>
        </w:rPr>
        <w:t xml:space="preserve"> population, with a grand mean score of 3.66, indicating a strong preference across the board. Systematic Style (3.83) and Integrate</w:t>
      </w:r>
      <w:r>
        <w:rPr>
          <w:rFonts w:ascii="Century" w:eastAsia="Century" w:hAnsi="Century" w:cs="Century"/>
          <w:sz w:val="18"/>
          <w:szCs w:val="18"/>
        </w:rPr>
        <w:t xml:space="preserve">d Style (3.81) show a great disposition towards structural learning or holistic approaches to problems. This means that students have a tendency towards logical analysis and creative ways of thinking, demonstrating their capacity to approach academic work </w:t>
      </w:r>
      <w:r>
        <w:rPr>
          <w:rFonts w:ascii="Century" w:eastAsia="Century" w:hAnsi="Century" w:cs="Century"/>
          <w:sz w:val="18"/>
          <w:szCs w:val="18"/>
        </w:rPr>
        <w:t>systematically and holistically. Both the Undifferentiated Style (3.51) and Intuitive Style (</w:t>
      </w:r>
      <w:proofErr w:type="gramStart"/>
      <w:r>
        <w:rPr>
          <w:rFonts w:ascii="Century" w:eastAsia="Century" w:hAnsi="Century" w:cs="Century"/>
          <w:sz w:val="18"/>
          <w:szCs w:val="18"/>
        </w:rPr>
        <w:t>3.53)on</w:t>
      </w:r>
      <w:proofErr w:type="gramEnd"/>
      <w:r>
        <w:rPr>
          <w:rFonts w:ascii="Century" w:eastAsia="Century" w:hAnsi="Century" w:cs="Century"/>
          <w:sz w:val="18"/>
          <w:szCs w:val="18"/>
        </w:rPr>
        <w:t xml:space="preserve"> the other hand indicate a form of versatility in the way the students approached the cognitive process, either as an even apparent adaptability to the prev</w:t>
      </w:r>
      <w:r>
        <w:rPr>
          <w:rFonts w:ascii="Century" w:eastAsia="Century" w:hAnsi="Century" w:cs="Century"/>
          <w:sz w:val="18"/>
          <w:szCs w:val="18"/>
        </w:rPr>
        <w:t xml:space="preserve">ious situation or as a gut-feeling way of decision making. </w:t>
      </w:r>
      <w:proofErr w:type="gramStart"/>
      <w:r>
        <w:rPr>
          <w:rFonts w:ascii="Century" w:eastAsia="Century" w:hAnsi="Century" w:cs="Century"/>
          <w:sz w:val="18"/>
          <w:szCs w:val="18"/>
        </w:rPr>
        <w:t>Finally</w:t>
      </w:r>
      <w:proofErr w:type="gramEnd"/>
      <w:r>
        <w:rPr>
          <w:rFonts w:ascii="Century" w:eastAsia="Century" w:hAnsi="Century" w:cs="Century"/>
          <w:sz w:val="18"/>
          <w:szCs w:val="18"/>
        </w:rPr>
        <w:t xml:space="preserve"> the Split Style which has a mean score of 3.60 suggests a balanced use of both structured and creative approaches, revealing a tendency to use a combination of cognitive styles to </w:t>
      </w:r>
      <w:proofErr w:type="spellStart"/>
      <w:r>
        <w:rPr>
          <w:rFonts w:ascii="Century" w:eastAsia="Century" w:hAnsi="Century" w:cs="Century"/>
          <w:sz w:val="18"/>
          <w:szCs w:val="18"/>
        </w:rPr>
        <w:t>optimise</w:t>
      </w:r>
      <w:proofErr w:type="spellEnd"/>
      <w:r>
        <w:rPr>
          <w:rFonts w:ascii="Century" w:eastAsia="Century" w:hAnsi="Century" w:cs="Century"/>
          <w:sz w:val="18"/>
          <w:szCs w:val="18"/>
        </w:rPr>
        <w:t xml:space="preserve"> </w:t>
      </w:r>
      <w:r>
        <w:rPr>
          <w:rFonts w:ascii="Century" w:eastAsia="Century" w:hAnsi="Century" w:cs="Century"/>
          <w:sz w:val="18"/>
          <w:szCs w:val="18"/>
        </w:rPr>
        <w:t xml:space="preserve">problem solving. </w:t>
      </w:r>
      <w:proofErr w:type="spellStart"/>
      <w:proofErr w:type="gramStart"/>
      <w:r>
        <w:rPr>
          <w:rFonts w:ascii="Century" w:eastAsia="Century" w:hAnsi="Century" w:cs="Century"/>
          <w:sz w:val="18"/>
          <w:szCs w:val="18"/>
        </w:rPr>
        <w:t>Overall,Overall</w:t>
      </w:r>
      <w:proofErr w:type="spellEnd"/>
      <w:proofErr w:type="gramEnd"/>
      <w:r>
        <w:rPr>
          <w:rFonts w:ascii="Century" w:eastAsia="Century" w:hAnsi="Century" w:cs="Century"/>
          <w:sz w:val="18"/>
          <w:szCs w:val="18"/>
        </w:rPr>
        <w:t>, the results imply that the surveyed population employs a variety of cognitive styles effectively, demonstrating adaptability and versatility in their learning and problem-solving processes.</w:t>
      </w:r>
    </w:p>
    <w:p w:rsidR="00B15562" w:rsidRDefault="006373E5">
      <w:pPr>
        <w:spacing w:before="200"/>
        <w:jc w:val="both"/>
        <w:rPr>
          <w:rFonts w:ascii="Century" w:eastAsia="Century" w:hAnsi="Century" w:cs="Century"/>
          <w:i/>
        </w:rPr>
      </w:pPr>
      <w:r>
        <w:rPr>
          <w:rFonts w:ascii="Century" w:eastAsia="Century" w:hAnsi="Century" w:cs="Century"/>
          <w:i/>
        </w:rPr>
        <w:t xml:space="preserve">4.2 Academic Performance of the </w:t>
      </w:r>
      <w:r>
        <w:rPr>
          <w:rFonts w:ascii="Century" w:eastAsia="Century" w:hAnsi="Century" w:cs="Century"/>
          <w:i/>
        </w:rPr>
        <w:t xml:space="preserve">Senior High School Students  </w:t>
      </w:r>
    </w:p>
    <w:p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Table 5 shows the academic performance of senior high school pupils, which shows a wide spectrum of success depending on different degrees of proficiency. Of the 366 pupils assessed, most show excellent performance—34.43% earn</w:t>
      </w:r>
      <w:r>
        <w:rPr>
          <w:rFonts w:ascii="Century" w:eastAsia="Century" w:hAnsi="Century" w:cs="Century"/>
          <w:sz w:val="18"/>
          <w:szCs w:val="18"/>
        </w:rPr>
        <w:t>ing honors, followed by 38.80% reaching a very decent level of performance. In the 95%-97% grade level, specifically, 6.56% of the students received high honors, therefore demonstrating extraordinary academic excellence. With grades ranging from 98% to 100</w:t>
      </w:r>
      <w:r>
        <w:rPr>
          <w:rFonts w:ascii="Century" w:eastAsia="Century" w:hAnsi="Century" w:cs="Century"/>
          <w:sz w:val="18"/>
          <w:szCs w:val="18"/>
        </w:rPr>
        <w:t xml:space="preserve">%, 0.55% of students also set themselves apart by attaining the highest honors, therefore reflecting great intellectual ability. Moreover, a good number of students—19.67%—achieved a satisfactory level of performance, which reflects their capacity to meet </w:t>
      </w:r>
      <w:r>
        <w:rPr>
          <w:rFonts w:ascii="Century" w:eastAsia="Century" w:hAnsi="Century" w:cs="Century"/>
          <w:sz w:val="18"/>
          <w:szCs w:val="18"/>
        </w:rPr>
        <w:t xml:space="preserve">academic criteria with competence. Furthermore, 72 students—19.67% of the total—achieved marks falling within the acceptable range, proving competency in all aspects of their academic work. Such diversity underscores the </w:t>
      </w:r>
      <w:r>
        <w:rPr>
          <w:rFonts w:ascii="Century" w:eastAsia="Century" w:hAnsi="Century" w:cs="Century"/>
          <w:sz w:val="18"/>
          <w:szCs w:val="18"/>
        </w:rPr>
        <w:t>importance of recognizing and suppo</w:t>
      </w:r>
      <w:r>
        <w:rPr>
          <w:rFonts w:ascii="Century" w:eastAsia="Century" w:hAnsi="Century" w:cs="Century"/>
          <w:sz w:val="18"/>
          <w:szCs w:val="18"/>
        </w:rPr>
        <w:t>rting individualized learning pathways to foster continued growth and success (Tomlinson, 2014).</w:t>
      </w:r>
    </w:p>
    <w:p w:rsidR="00B15562" w:rsidRDefault="006373E5">
      <w:pPr>
        <w:spacing w:before="200"/>
        <w:jc w:val="both"/>
        <w:rPr>
          <w:rFonts w:ascii="Century" w:eastAsia="Century" w:hAnsi="Century" w:cs="Century"/>
          <w:i/>
        </w:rPr>
      </w:pPr>
      <w:r>
        <w:rPr>
          <w:rFonts w:ascii="Century" w:eastAsia="Century" w:hAnsi="Century" w:cs="Century"/>
          <w:i/>
        </w:rPr>
        <w:t>4.3 Relationship between the Cognitive Styles of the Senior High Students and their Academic Performance</w:t>
      </w:r>
    </w:p>
    <w:p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This section presents a positive correlation between t</w:t>
      </w:r>
      <w:r>
        <w:rPr>
          <w:rFonts w:ascii="Century" w:eastAsia="Century" w:hAnsi="Century" w:cs="Century"/>
          <w:sz w:val="18"/>
          <w:szCs w:val="18"/>
        </w:rPr>
        <w:t xml:space="preserve">he systematic cognitive style and academic success (r = 0.309, p = 0.00444). The study </w:t>
      </w:r>
      <w:proofErr w:type="gramStart"/>
      <w:r>
        <w:rPr>
          <w:rFonts w:ascii="Century" w:eastAsia="Century" w:hAnsi="Century" w:cs="Century"/>
          <w:sz w:val="18"/>
          <w:szCs w:val="18"/>
        </w:rPr>
        <w:t>shows  the</w:t>
      </w:r>
      <w:proofErr w:type="gramEnd"/>
      <w:r>
        <w:rPr>
          <w:rFonts w:ascii="Century" w:eastAsia="Century" w:hAnsi="Century" w:cs="Century"/>
          <w:sz w:val="18"/>
          <w:szCs w:val="18"/>
        </w:rPr>
        <w:t xml:space="preserve"> importance of critical thinking and organizing an approach to education in accordance with the observed positive correlation. This is in line with the results</w:t>
      </w:r>
      <w:r>
        <w:rPr>
          <w:rFonts w:ascii="Century" w:eastAsia="Century" w:hAnsi="Century" w:cs="Century"/>
          <w:sz w:val="18"/>
          <w:szCs w:val="18"/>
        </w:rPr>
        <w:t xml:space="preserve"> of Zhang and Sternberg (2015), who underlined that students who favor </w:t>
      </w:r>
      <w:proofErr w:type="gramStart"/>
      <w:r>
        <w:rPr>
          <w:rFonts w:ascii="Century" w:eastAsia="Century" w:hAnsi="Century" w:cs="Century"/>
          <w:sz w:val="18"/>
          <w:szCs w:val="18"/>
        </w:rPr>
        <w:t>analytical  thinking</w:t>
      </w:r>
      <w:proofErr w:type="gramEnd"/>
      <w:r>
        <w:rPr>
          <w:rFonts w:ascii="Century" w:eastAsia="Century" w:hAnsi="Century" w:cs="Century"/>
          <w:sz w:val="18"/>
          <w:szCs w:val="18"/>
        </w:rPr>
        <w:t xml:space="preserve"> could excel in academic activities requiring logical reasoning, organization, and step-by-step problem-solving strategies, thus contributing to their whole academic</w:t>
      </w:r>
      <w:r>
        <w:rPr>
          <w:rFonts w:ascii="Century" w:eastAsia="Century" w:hAnsi="Century" w:cs="Century"/>
          <w:sz w:val="18"/>
          <w:szCs w:val="18"/>
        </w:rPr>
        <w:t xml:space="preserve"> performance.</w:t>
      </w:r>
    </w:p>
    <w:p w:rsidR="00B15562" w:rsidRDefault="00B15562">
      <w:pPr>
        <w:spacing w:after="0"/>
        <w:ind w:firstLine="720"/>
        <w:jc w:val="both"/>
        <w:rPr>
          <w:rFonts w:ascii="Century" w:eastAsia="Century" w:hAnsi="Century" w:cs="Century"/>
          <w:sz w:val="18"/>
          <w:szCs w:val="18"/>
        </w:rPr>
      </w:pPr>
    </w:p>
    <w:p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Likewise, the strong positive connection seen for the integrated cognitive style and academic performance (r = 0.501, p = 0.001) supports research implying that holistic and creative thinking patterns are fit for academic achievement (Zhang &amp; Sternberg, 20</w:t>
      </w:r>
      <w:r>
        <w:rPr>
          <w:rFonts w:ascii="Century" w:eastAsia="Century" w:hAnsi="Century" w:cs="Century"/>
          <w:sz w:val="18"/>
          <w:szCs w:val="18"/>
        </w:rPr>
        <w:t>15). Students with an integrated cognitive style might excel on assignments requiring creative ideas, multidisciplinary approaches, and the capacity to see links between several ideas, therefore improving their whole academic performance.</w:t>
      </w:r>
    </w:p>
    <w:p w:rsidR="00B15562" w:rsidRDefault="00B15562">
      <w:pPr>
        <w:spacing w:after="0"/>
        <w:ind w:firstLine="720"/>
        <w:jc w:val="both"/>
        <w:rPr>
          <w:rFonts w:ascii="Century" w:eastAsia="Century" w:hAnsi="Century" w:cs="Century"/>
          <w:sz w:val="18"/>
          <w:szCs w:val="18"/>
        </w:rPr>
      </w:pPr>
    </w:p>
    <w:p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On the other han</w:t>
      </w:r>
      <w:r>
        <w:rPr>
          <w:rFonts w:ascii="Century" w:eastAsia="Century" w:hAnsi="Century" w:cs="Century"/>
          <w:sz w:val="18"/>
          <w:szCs w:val="18"/>
        </w:rPr>
        <w:t>d, the non-significant associations seen for the undifferentiated (r = 0.111, p = 0.542), intuitive (r = 0.189, p = 0.724), and split type (r = -0.151, p = 0.724) cognitive styles imply that these preferences may not directly affect academic achievement in</w:t>
      </w:r>
      <w:r>
        <w:rPr>
          <w:rFonts w:ascii="Century" w:eastAsia="Century" w:hAnsi="Century" w:cs="Century"/>
          <w:sz w:val="18"/>
          <w:szCs w:val="18"/>
        </w:rPr>
        <w:t xml:space="preserve"> this situation. Although students might show flexibility in their approach to learning and problem-solving, other elements such as motivation, study habits, and instructional support could affect their academic success (Dunn &amp; Dunn, 2018).</w:t>
      </w:r>
    </w:p>
    <w:p w:rsidR="00B15562" w:rsidRDefault="00B15562">
      <w:pPr>
        <w:spacing w:after="0"/>
        <w:ind w:firstLine="720"/>
        <w:jc w:val="both"/>
        <w:rPr>
          <w:rFonts w:ascii="Century" w:eastAsia="Century" w:hAnsi="Century" w:cs="Century"/>
          <w:sz w:val="18"/>
          <w:szCs w:val="18"/>
        </w:rPr>
      </w:pPr>
    </w:p>
    <w:p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The correlatio</w:t>
      </w:r>
      <w:r>
        <w:rPr>
          <w:rFonts w:ascii="Century" w:eastAsia="Century" w:hAnsi="Century" w:cs="Century"/>
          <w:sz w:val="18"/>
          <w:szCs w:val="18"/>
        </w:rPr>
        <w:t>n study emphasizes overall the complicated interaction between cognitive styles and academic achievement, therefore stressing the need for recognizing individual variations in learning preferences while developing instructional strategies and interventions</w:t>
      </w:r>
      <w:r>
        <w:rPr>
          <w:rFonts w:ascii="Century" w:eastAsia="Century" w:hAnsi="Century" w:cs="Century"/>
          <w:sz w:val="18"/>
          <w:szCs w:val="18"/>
        </w:rPr>
        <w:t xml:space="preserve">. Teachers can establish inclusive learning environments that maximize students' </w:t>
      </w:r>
      <w:r>
        <w:rPr>
          <w:rFonts w:ascii="Century" w:eastAsia="Century" w:hAnsi="Century" w:cs="Century"/>
          <w:sz w:val="18"/>
          <w:szCs w:val="18"/>
        </w:rPr>
        <w:lastRenderedPageBreak/>
        <w:t>potential and support academic success by appreciating and allowing several cognitive styles in their approaches.</w:t>
      </w:r>
    </w:p>
    <w:p w:rsidR="00B15562" w:rsidRDefault="00B15562">
      <w:pPr>
        <w:spacing w:after="0"/>
        <w:ind w:firstLine="720"/>
        <w:rPr>
          <w:rFonts w:ascii="Century" w:eastAsia="Century" w:hAnsi="Century" w:cs="Century"/>
          <w:sz w:val="18"/>
          <w:szCs w:val="18"/>
        </w:rPr>
      </w:pPr>
    </w:p>
    <w:p w:rsidR="00B15562" w:rsidRDefault="006373E5">
      <w:pPr>
        <w:widowControl w:val="0"/>
        <w:spacing w:after="0" w:line="240" w:lineRule="auto"/>
        <w:rPr>
          <w:rFonts w:ascii="Century" w:eastAsia="Century" w:hAnsi="Century" w:cs="Century"/>
          <w:sz w:val="28"/>
          <w:szCs w:val="28"/>
        </w:rPr>
      </w:pPr>
      <w:r>
        <w:rPr>
          <w:rFonts w:ascii="Century" w:eastAsia="Century" w:hAnsi="Century" w:cs="Century"/>
          <w:sz w:val="24"/>
          <w:szCs w:val="24"/>
        </w:rPr>
        <w:t>5.  CONCLUSIONS</w:t>
      </w:r>
    </w:p>
    <w:p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This study investigated the impact of cognitive styles on the academic performance of Grade 12 Senior High School students in Northern Samar during the school year 2023–2024. By utilizing a quantitative approach, correlation analyses were conducted to dete</w:t>
      </w:r>
      <w:r>
        <w:rPr>
          <w:rFonts w:ascii="Century" w:eastAsia="Century" w:hAnsi="Century" w:cs="Century"/>
          <w:sz w:val="18"/>
          <w:szCs w:val="18"/>
        </w:rPr>
        <w:t>rmine the relationship between various cognitive styles and students' academic performance. Findings from this study showed that Northern Samar SHS students show a great variety of cognitive styles. Some students are systematic and structured in their thin</w:t>
      </w:r>
      <w:r>
        <w:rPr>
          <w:rFonts w:ascii="Century" w:eastAsia="Century" w:hAnsi="Century" w:cs="Century"/>
          <w:sz w:val="18"/>
          <w:szCs w:val="18"/>
        </w:rPr>
        <w:t>king while others prefer holistic and intuitive methods. The different academic performance among senior high school students emphasizes the need of recognizing individual strengths and areas for improvement. Although some show good performance, others sho</w:t>
      </w:r>
      <w:r>
        <w:rPr>
          <w:rFonts w:ascii="Century" w:eastAsia="Century" w:hAnsi="Century" w:cs="Century"/>
          <w:sz w:val="18"/>
          <w:szCs w:val="18"/>
        </w:rPr>
        <w:t>w satisfactory performance, showing the need for tailored intervention strategies. The significant positive correlations imply that academic performance is influenced favorably by structured, analytical thinking (systematic) and comprehensive, creative thi</w:t>
      </w:r>
      <w:r>
        <w:rPr>
          <w:rFonts w:ascii="Century" w:eastAsia="Century" w:hAnsi="Century" w:cs="Century"/>
          <w:sz w:val="18"/>
          <w:szCs w:val="18"/>
        </w:rPr>
        <w:t xml:space="preserve">nking (integrated). On the other hand, none of the versatile learning approaches (Undifferentiated, Intuitive, and Split Type) showed significant correlations, which means that cognitive style versatility might not have a direct relationship with academic </w:t>
      </w:r>
      <w:r>
        <w:rPr>
          <w:rFonts w:ascii="Century" w:eastAsia="Century" w:hAnsi="Century" w:cs="Century"/>
          <w:sz w:val="18"/>
          <w:szCs w:val="18"/>
        </w:rPr>
        <w:t>performance. When students engage in both types of thinking, it emphasizes the rationale for combining it in educational environments to broaden the journey of how we learn to provide students with the best opportunities to be academically successful.</w:t>
      </w:r>
    </w:p>
    <w:p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Thes</w:t>
      </w:r>
      <w:r>
        <w:rPr>
          <w:rFonts w:ascii="Century" w:eastAsia="Century" w:hAnsi="Century" w:cs="Century"/>
          <w:sz w:val="18"/>
          <w:szCs w:val="18"/>
        </w:rPr>
        <w:t>e findings highlight the importance of incorporating instructional strategies that accommodate diverse cognitive styles to enhance student learning. By providing a comprehensive analysis of the cognitive styles exhibited by students, this study underscores</w:t>
      </w:r>
      <w:r>
        <w:rPr>
          <w:rFonts w:ascii="Century" w:eastAsia="Century" w:hAnsi="Century" w:cs="Century"/>
          <w:sz w:val="18"/>
          <w:szCs w:val="18"/>
        </w:rPr>
        <w:t xml:space="preserve"> the need for tailored educational practices that support individualized learning. The results contribute to the growing body of research advocating for differentiated instruction to help students maximize their academic potential.</w:t>
      </w:r>
    </w:p>
    <w:p w:rsidR="00B15562" w:rsidRDefault="006373E5">
      <w:pPr>
        <w:widowControl w:val="0"/>
        <w:spacing w:after="0" w:line="240" w:lineRule="auto"/>
        <w:rPr>
          <w:rFonts w:ascii="Century" w:eastAsia="Century" w:hAnsi="Century" w:cs="Century"/>
          <w:sz w:val="24"/>
          <w:szCs w:val="24"/>
        </w:rPr>
      </w:pPr>
      <w:r>
        <w:rPr>
          <w:rFonts w:ascii="Century" w:eastAsia="Century" w:hAnsi="Century" w:cs="Century"/>
          <w:color w:val="000000"/>
          <w:sz w:val="24"/>
          <w:szCs w:val="24"/>
        </w:rPr>
        <w:t xml:space="preserve">6.  REFERENCES </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Albano J</w:t>
      </w:r>
      <w:r>
        <w:rPr>
          <w:rFonts w:ascii="Century" w:eastAsia="Century" w:hAnsi="Century" w:cs="Century"/>
          <w:sz w:val="18"/>
          <w:szCs w:val="18"/>
        </w:rPr>
        <w:t xml:space="preserve">r., E. (2020, November 26). Senior </w:t>
      </w:r>
      <w:r>
        <w:rPr>
          <w:rFonts w:ascii="Century" w:eastAsia="Century" w:hAnsi="Century" w:cs="Century"/>
          <w:sz w:val="18"/>
          <w:szCs w:val="18"/>
        </w:rPr>
        <w:t xml:space="preserve">high students score lowest in national assessment history. </w:t>
      </w:r>
      <w:r>
        <w:rPr>
          <w:rFonts w:ascii="Century" w:eastAsia="Century" w:hAnsi="Century" w:cs="Century"/>
          <w:i/>
          <w:sz w:val="18"/>
          <w:szCs w:val="18"/>
        </w:rPr>
        <w:t>The Manila Times</w:t>
      </w:r>
      <w:r>
        <w:rPr>
          <w:rFonts w:ascii="Century" w:eastAsia="Century" w:hAnsi="Century" w:cs="Century"/>
          <w:sz w:val="18"/>
          <w:szCs w:val="18"/>
        </w:rPr>
        <w:t>. https://www.manilatimes.net/2020/11/26/campus-press/senior-high-students-score-lowest-in-national-assessment-history/801503</w:t>
      </w:r>
    </w:p>
    <w:p w:rsidR="00B15562" w:rsidRDefault="00B15562">
      <w:pPr>
        <w:widowControl w:val="0"/>
        <w:spacing w:after="0" w:line="240" w:lineRule="auto"/>
        <w:ind w:left="720" w:hanging="720"/>
        <w:jc w:val="both"/>
        <w:rPr>
          <w:rFonts w:ascii="Century" w:eastAsia="Century" w:hAnsi="Century" w:cs="Century"/>
          <w:sz w:val="18"/>
          <w:szCs w:val="18"/>
        </w:rPr>
      </w:pPr>
    </w:p>
    <w:p w:rsidR="00B15562" w:rsidRDefault="006373E5">
      <w:pPr>
        <w:widowControl w:val="0"/>
        <w:spacing w:after="0" w:line="240" w:lineRule="auto"/>
        <w:ind w:left="720" w:hanging="720"/>
        <w:jc w:val="both"/>
        <w:rPr>
          <w:rFonts w:ascii="Century" w:eastAsia="Century" w:hAnsi="Century" w:cs="Century"/>
          <w:sz w:val="18"/>
          <w:szCs w:val="18"/>
        </w:rPr>
      </w:pPr>
      <w:proofErr w:type="spellStart"/>
      <w:r>
        <w:rPr>
          <w:rFonts w:ascii="Century" w:eastAsia="Century" w:hAnsi="Century" w:cs="Century"/>
          <w:sz w:val="18"/>
          <w:szCs w:val="18"/>
        </w:rPr>
        <w:t>Bouckenooghe</w:t>
      </w:r>
      <w:proofErr w:type="spellEnd"/>
      <w:r>
        <w:rPr>
          <w:rFonts w:ascii="Century" w:eastAsia="Century" w:hAnsi="Century" w:cs="Century"/>
          <w:sz w:val="18"/>
          <w:szCs w:val="18"/>
        </w:rPr>
        <w:t>, D., C</w:t>
      </w:r>
      <w:r>
        <w:rPr>
          <w:rFonts w:ascii="Century" w:eastAsia="Century" w:hAnsi="Century" w:cs="Century"/>
          <w:sz w:val="18"/>
          <w:szCs w:val="18"/>
        </w:rPr>
        <w:t xml:space="preserve">ools, E., De </w:t>
      </w:r>
      <w:proofErr w:type="spellStart"/>
      <w:r>
        <w:rPr>
          <w:rFonts w:ascii="Century" w:eastAsia="Century" w:hAnsi="Century" w:cs="Century"/>
          <w:sz w:val="18"/>
          <w:szCs w:val="18"/>
        </w:rPr>
        <w:t>Clercq</w:t>
      </w:r>
      <w:proofErr w:type="spellEnd"/>
      <w:r>
        <w:rPr>
          <w:rFonts w:ascii="Century" w:eastAsia="Century" w:hAnsi="Century" w:cs="Century"/>
          <w:sz w:val="18"/>
          <w:szCs w:val="18"/>
        </w:rPr>
        <w:t xml:space="preserve">, D., </w:t>
      </w:r>
      <w:proofErr w:type="spellStart"/>
      <w:r>
        <w:rPr>
          <w:rFonts w:ascii="Century" w:eastAsia="Century" w:hAnsi="Century" w:cs="Century"/>
          <w:sz w:val="18"/>
          <w:szCs w:val="18"/>
        </w:rPr>
        <w:t>Vanderheyden</w:t>
      </w:r>
      <w:proofErr w:type="spellEnd"/>
      <w:r>
        <w:rPr>
          <w:rFonts w:ascii="Century" w:eastAsia="Century" w:hAnsi="Century" w:cs="Century"/>
          <w:sz w:val="18"/>
          <w:szCs w:val="18"/>
        </w:rPr>
        <w:t xml:space="preserve">, K., &amp; Fatima, T. (2016). Exploring the impact of cognitive style profiles on different learning approaches: Empirical evidence for adopting a person-centered perspective. </w:t>
      </w:r>
      <w:r>
        <w:rPr>
          <w:rFonts w:ascii="Century" w:eastAsia="Century" w:hAnsi="Century" w:cs="Century"/>
          <w:i/>
          <w:sz w:val="18"/>
          <w:szCs w:val="18"/>
        </w:rPr>
        <w:t>Learning and Individual Differences, 51</w:t>
      </w:r>
      <w:r>
        <w:rPr>
          <w:rFonts w:ascii="Century" w:eastAsia="Century" w:hAnsi="Century" w:cs="Century"/>
          <w:sz w:val="18"/>
          <w:szCs w:val="18"/>
        </w:rPr>
        <w:t>, 299–3</w:t>
      </w:r>
      <w:r>
        <w:rPr>
          <w:rFonts w:ascii="Century" w:eastAsia="Century" w:hAnsi="Century" w:cs="Century"/>
          <w:sz w:val="18"/>
          <w:szCs w:val="18"/>
        </w:rPr>
        <w:t>06. https://doi.org/10.1016/j.lindif.2016.08.043</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Department of Education (DepEd). (2016).</w:t>
      </w:r>
      <w:r>
        <w:rPr>
          <w:rFonts w:ascii="Century" w:eastAsia="Century" w:hAnsi="Century" w:cs="Century"/>
          <w:i/>
          <w:sz w:val="18"/>
          <w:szCs w:val="18"/>
        </w:rPr>
        <w:t xml:space="preserve"> Senior High School manual of operations: Volume 1, Preparing for the opening of SHS classes (SY 2016-2017) </w:t>
      </w:r>
      <w:r>
        <w:rPr>
          <w:rFonts w:ascii="Century" w:eastAsia="Century" w:hAnsi="Century" w:cs="Century"/>
          <w:sz w:val="18"/>
          <w:szCs w:val="18"/>
        </w:rPr>
        <w:t>[DepEd Memorandum No. 76, s. 2016]. https://www.deped.gov.p</w:t>
      </w:r>
      <w:r>
        <w:rPr>
          <w:rFonts w:ascii="Century" w:eastAsia="Century" w:hAnsi="Century" w:cs="Century"/>
          <w:sz w:val="18"/>
          <w:szCs w:val="18"/>
        </w:rPr>
        <w:t>h/wp-content/upload s/2018/10/DM_s2016_076.pdf</w:t>
      </w:r>
    </w:p>
    <w:p w:rsidR="00B15562" w:rsidRDefault="006373E5">
      <w:pPr>
        <w:widowControl w:val="0"/>
        <w:spacing w:before="200" w:after="0"/>
        <w:ind w:left="720"/>
        <w:jc w:val="both"/>
        <w:rPr>
          <w:rFonts w:ascii="Century" w:eastAsia="Century" w:hAnsi="Century" w:cs="Century"/>
          <w:sz w:val="18"/>
          <w:szCs w:val="18"/>
        </w:rPr>
      </w:pPr>
      <w:proofErr w:type="spellStart"/>
      <w:r>
        <w:rPr>
          <w:rFonts w:ascii="Century" w:eastAsia="Century" w:hAnsi="Century" w:cs="Century"/>
          <w:sz w:val="18"/>
          <w:szCs w:val="18"/>
        </w:rPr>
        <w:t>Deysolong</w:t>
      </w:r>
      <w:proofErr w:type="spellEnd"/>
      <w:r>
        <w:rPr>
          <w:rFonts w:ascii="Century" w:eastAsia="Century" w:hAnsi="Century" w:cs="Century"/>
          <w:sz w:val="18"/>
          <w:szCs w:val="18"/>
        </w:rPr>
        <w:t xml:space="preserve">, J. A. (2023). </w:t>
      </w:r>
      <w:r>
        <w:rPr>
          <w:rFonts w:ascii="Century" w:eastAsia="Century" w:hAnsi="Century" w:cs="Century"/>
          <w:i/>
          <w:sz w:val="18"/>
          <w:szCs w:val="18"/>
        </w:rPr>
        <w:t xml:space="preserve">Assessing the effectiveness of the K to 12 </w:t>
      </w:r>
      <w:proofErr w:type="gramStart"/>
      <w:r>
        <w:rPr>
          <w:rFonts w:ascii="Century" w:eastAsia="Century" w:hAnsi="Century" w:cs="Century"/>
          <w:i/>
          <w:sz w:val="18"/>
          <w:szCs w:val="18"/>
        </w:rPr>
        <w:t>program</w:t>
      </w:r>
      <w:proofErr w:type="gramEnd"/>
      <w:r>
        <w:rPr>
          <w:rFonts w:ascii="Century" w:eastAsia="Century" w:hAnsi="Century" w:cs="Century"/>
          <w:i/>
          <w:sz w:val="18"/>
          <w:szCs w:val="18"/>
        </w:rPr>
        <w:t>: Examining the impact of Senior High School implementation in the Philippines</w:t>
      </w:r>
      <w:r>
        <w:rPr>
          <w:rFonts w:ascii="Century" w:eastAsia="Century" w:hAnsi="Century" w:cs="Century"/>
          <w:sz w:val="18"/>
          <w:szCs w:val="18"/>
        </w:rPr>
        <w:t>. ResearchGate.</w:t>
      </w:r>
      <w:hyperlink r:id="rId13">
        <w:r>
          <w:rPr>
            <w:rFonts w:ascii="Century" w:eastAsia="Century" w:hAnsi="Century" w:cs="Century"/>
            <w:sz w:val="18"/>
            <w:szCs w:val="18"/>
          </w:rPr>
          <w:t xml:space="preserve"> </w:t>
        </w:r>
      </w:hyperlink>
      <w:r>
        <w:rPr>
          <w:rFonts w:ascii="Century" w:eastAsia="Century" w:hAnsi="Century" w:cs="Century"/>
          <w:sz w:val="18"/>
          <w:szCs w:val="18"/>
        </w:rPr>
        <w:t>https://doi.org/10.6084/m9.figshare.23008412</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Dunn, R., Dunn, K., &amp; G, P. (1998). Learning styles i</w:t>
      </w:r>
      <w:r>
        <w:rPr>
          <w:rFonts w:ascii="Century" w:eastAsia="Century" w:hAnsi="Century" w:cs="Century"/>
          <w:sz w:val="18"/>
          <w:szCs w:val="18"/>
        </w:rPr>
        <w:t>nventory. Sciepub.com. https://www.sciepub.com/reference/261420</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Garcia, R. M., &amp; Ramos, J. E. (2017). The relationship of cognitive strategies and academic performance of college students in the Philippines. Journal of Educational and Social Research, 7(2)</w:t>
      </w:r>
      <w:r>
        <w:rPr>
          <w:rFonts w:ascii="Century" w:eastAsia="Century" w:hAnsi="Century" w:cs="Century"/>
          <w:sz w:val="18"/>
          <w:szCs w:val="18"/>
        </w:rPr>
        <w:t>, 67-72.</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Gascon, M. (2023). </w:t>
      </w:r>
      <w:r>
        <w:rPr>
          <w:rFonts w:ascii="Century" w:eastAsia="Century" w:hAnsi="Century" w:cs="Century"/>
          <w:i/>
          <w:sz w:val="18"/>
          <w:szCs w:val="18"/>
        </w:rPr>
        <w:t>Dissatisfaction with senior high program shows DepEd’s failure – Gatchalian</w:t>
      </w:r>
      <w:r>
        <w:rPr>
          <w:rFonts w:ascii="Century" w:eastAsia="Century" w:hAnsi="Century" w:cs="Century"/>
          <w:sz w:val="18"/>
          <w:szCs w:val="18"/>
        </w:rPr>
        <w:t>. PIDS. https://www.pids.gov.ph/details/news/in-the-news/dissatisfaction-with-senior-high-program-shows-deped-s-failure-gatchalian</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Kahneman, D., &amp; Klein,</w:t>
      </w:r>
      <w:r>
        <w:rPr>
          <w:rFonts w:ascii="Century" w:eastAsia="Century" w:hAnsi="Century" w:cs="Century"/>
          <w:sz w:val="18"/>
          <w:szCs w:val="18"/>
        </w:rPr>
        <w:t xml:space="preserve"> G. (2009). Conditions for intuitive expertise: A failure to disagree. </w:t>
      </w:r>
      <w:r>
        <w:rPr>
          <w:rFonts w:ascii="Century" w:eastAsia="Century" w:hAnsi="Century" w:cs="Century"/>
          <w:i/>
          <w:sz w:val="18"/>
          <w:szCs w:val="18"/>
        </w:rPr>
        <w:t>American Psychologist, 64</w:t>
      </w:r>
      <w:r>
        <w:rPr>
          <w:rFonts w:ascii="Century" w:eastAsia="Century" w:hAnsi="Century" w:cs="Century"/>
          <w:sz w:val="18"/>
          <w:szCs w:val="18"/>
        </w:rPr>
        <w:t>(6), 515–526. https://doi.org/10.1037/a0016755</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Manila Times. (2023). </w:t>
      </w:r>
      <w:r>
        <w:rPr>
          <w:rFonts w:ascii="Century" w:eastAsia="Century" w:hAnsi="Century" w:cs="Century"/>
          <w:i/>
          <w:sz w:val="18"/>
          <w:szCs w:val="18"/>
        </w:rPr>
        <w:t xml:space="preserve">Unhappy with senior </w:t>
      </w:r>
      <w:r>
        <w:rPr>
          <w:rFonts w:ascii="Century" w:eastAsia="Century" w:hAnsi="Century" w:cs="Century"/>
          <w:i/>
          <w:sz w:val="18"/>
          <w:szCs w:val="18"/>
        </w:rPr>
        <w:lastRenderedPageBreak/>
        <w:t>high school program</w:t>
      </w:r>
      <w:r>
        <w:rPr>
          <w:rFonts w:ascii="Century" w:eastAsia="Century" w:hAnsi="Century" w:cs="Century"/>
          <w:sz w:val="18"/>
          <w:szCs w:val="18"/>
        </w:rPr>
        <w:t>. PIDS. https://www.pids.gov.ph/details/news/in-the-</w:t>
      </w:r>
      <w:r>
        <w:rPr>
          <w:rFonts w:ascii="Century" w:eastAsia="Century" w:hAnsi="Century" w:cs="Century"/>
          <w:sz w:val="18"/>
          <w:szCs w:val="18"/>
        </w:rPr>
        <w:t>news/unhappy-with-senior-high-school-program</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Martin, L.P. (1998). The Cognitive Style Inventory. The Pfeiffer Library Volume 8, 2nd Edition.</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O'Reilly, C. A., &amp; Chatman, J. A. (1996). Culture as social control: Corporations, cults, and commitment. In B. M. </w:t>
      </w:r>
      <w:proofErr w:type="spellStart"/>
      <w:r>
        <w:rPr>
          <w:rFonts w:ascii="Century" w:eastAsia="Century" w:hAnsi="Century" w:cs="Century"/>
          <w:sz w:val="18"/>
          <w:szCs w:val="18"/>
        </w:rPr>
        <w:t>Staw</w:t>
      </w:r>
      <w:proofErr w:type="spellEnd"/>
      <w:r>
        <w:rPr>
          <w:rFonts w:ascii="Century" w:eastAsia="Century" w:hAnsi="Century" w:cs="Century"/>
          <w:sz w:val="18"/>
          <w:szCs w:val="18"/>
        </w:rPr>
        <w:t xml:space="preserve"> &amp; L. L. Cummings (Eds.), </w:t>
      </w:r>
      <w:r>
        <w:rPr>
          <w:rFonts w:ascii="Century" w:eastAsia="Century" w:hAnsi="Century" w:cs="Century"/>
          <w:i/>
          <w:sz w:val="18"/>
          <w:szCs w:val="18"/>
        </w:rPr>
        <w:t>Research in organizational behavior: An annual series of analytical essays and critical reviews</w:t>
      </w:r>
      <w:r>
        <w:rPr>
          <w:rFonts w:ascii="Century" w:eastAsia="Century" w:hAnsi="Century" w:cs="Century"/>
          <w:sz w:val="18"/>
          <w:szCs w:val="18"/>
        </w:rPr>
        <w:t>, Vol. 18, pp. 1</w:t>
      </w:r>
      <w:r>
        <w:rPr>
          <w:rFonts w:ascii="Century" w:eastAsia="Century" w:hAnsi="Century" w:cs="Century"/>
          <w:sz w:val="18"/>
          <w:szCs w:val="18"/>
        </w:rPr>
        <w:t>57–200). Elsevier Science/JAI Press.</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Peng, P., &amp; </w:t>
      </w:r>
      <w:proofErr w:type="spellStart"/>
      <w:r>
        <w:rPr>
          <w:rFonts w:ascii="Century" w:eastAsia="Century" w:hAnsi="Century" w:cs="Century"/>
          <w:sz w:val="18"/>
          <w:szCs w:val="18"/>
        </w:rPr>
        <w:t>Kievit</w:t>
      </w:r>
      <w:proofErr w:type="spellEnd"/>
      <w:r>
        <w:rPr>
          <w:rFonts w:ascii="Century" w:eastAsia="Century" w:hAnsi="Century" w:cs="Century"/>
          <w:sz w:val="18"/>
          <w:szCs w:val="18"/>
        </w:rPr>
        <w:t xml:space="preserve">, R. A. (2020). The Development of Academic Achievement and Cognitive Abilities: A Bidirectional Perspective. </w:t>
      </w:r>
      <w:r>
        <w:rPr>
          <w:rFonts w:ascii="Century" w:eastAsia="Century" w:hAnsi="Century" w:cs="Century"/>
          <w:i/>
          <w:sz w:val="18"/>
          <w:szCs w:val="18"/>
        </w:rPr>
        <w:t>Child Development Perspectives</w:t>
      </w:r>
      <w:r>
        <w:rPr>
          <w:rFonts w:ascii="Century" w:eastAsia="Century" w:hAnsi="Century" w:cs="Century"/>
          <w:sz w:val="18"/>
          <w:szCs w:val="18"/>
        </w:rPr>
        <w:t xml:space="preserve">, </w:t>
      </w:r>
      <w:r>
        <w:rPr>
          <w:rFonts w:ascii="Century" w:eastAsia="Century" w:hAnsi="Century" w:cs="Century"/>
          <w:i/>
          <w:sz w:val="18"/>
          <w:szCs w:val="18"/>
        </w:rPr>
        <w:t>14</w:t>
      </w:r>
      <w:r>
        <w:rPr>
          <w:rFonts w:ascii="Century" w:eastAsia="Century" w:hAnsi="Century" w:cs="Century"/>
          <w:sz w:val="18"/>
          <w:szCs w:val="18"/>
        </w:rPr>
        <w:t>(1), 15–20. https://doi.org/10.1111/cdep.12352</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Philippine</w:t>
      </w:r>
      <w:r>
        <w:rPr>
          <w:rFonts w:ascii="Century" w:eastAsia="Century" w:hAnsi="Century" w:cs="Century"/>
          <w:sz w:val="18"/>
          <w:szCs w:val="18"/>
        </w:rPr>
        <w:t xml:space="preserve"> Statistics Authority (PSA).  (2022, May). </w:t>
      </w:r>
      <w:r>
        <w:rPr>
          <w:rFonts w:ascii="Century" w:eastAsia="Century" w:hAnsi="Century" w:cs="Century"/>
          <w:i/>
          <w:sz w:val="18"/>
          <w:szCs w:val="18"/>
        </w:rPr>
        <w:t>Goal four: Ensure inclusive and equitable quality education and promote lifelong learning opportunities for all</w:t>
      </w:r>
      <w:r>
        <w:rPr>
          <w:rFonts w:ascii="Century" w:eastAsia="Century" w:hAnsi="Century" w:cs="Century"/>
          <w:sz w:val="18"/>
          <w:szCs w:val="18"/>
        </w:rPr>
        <w:t>. https://rsso03.psa.gov.ph/sites/default/files/content/Goal%20Four.pdf</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(1997). Think</w:t>
      </w:r>
      <w:r>
        <w:rPr>
          <w:rFonts w:ascii="Century" w:eastAsia="Century" w:hAnsi="Century" w:cs="Century"/>
          <w:sz w:val="18"/>
          <w:szCs w:val="18"/>
        </w:rPr>
        <w:t>ing styles. New York: Cambridge University Press</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&amp; Zhang, L. (Eds.). (2014).</w:t>
      </w:r>
      <w:r>
        <w:rPr>
          <w:rFonts w:ascii="Century" w:eastAsia="Century" w:hAnsi="Century" w:cs="Century"/>
          <w:i/>
          <w:sz w:val="18"/>
          <w:szCs w:val="18"/>
        </w:rPr>
        <w:t xml:space="preserve"> Perspectives on Thinking, Learning, and Cognitive Styles. </w:t>
      </w:r>
      <w:r>
        <w:rPr>
          <w:rFonts w:ascii="Century" w:eastAsia="Century" w:hAnsi="Century" w:cs="Century"/>
          <w:sz w:val="18"/>
          <w:szCs w:val="18"/>
        </w:rPr>
        <w:t>Routledge. https://doi.org/10.4324/9781410605986</w:t>
      </w:r>
    </w:p>
    <w:p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‌Tomlinson, C.A. (2014) The Differentiated Classroom: </w:t>
      </w:r>
      <w:r>
        <w:rPr>
          <w:rFonts w:ascii="Century" w:eastAsia="Century" w:hAnsi="Century" w:cs="Century"/>
          <w:sz w:val="18"/>
          <w:szCs w:val="18"/>
        </w:rPr>
        <w:t>Responding to the Needs of All Learners. 2nd Edition, ASCD, Alexandria.</w:t>
      </w:r>
    </w:p>
    <w:p w:rsidR="00B15562" w:rsidRDefault="00B15562">
      <w:pPr>
        <w:widowControl w:val="0"/>
        <w:spacing w:after="0" w:line="240" w:lineRule="auto"/>
        <w:rPr>
          <w:rFonts w:ascii="Century" w:eastAsia="Century" w:hAnsi="Century" w:cs="Century"/>
          <w:sz w:val="18"/>
          <w:szCs w:val="18"/>
        </w:rPr>
      </w:pPr>
    </w:p>
    <w:sectPr w:rsidR="00B15562">
      <w:type w:val="continuous"/>
      <w:pgSz w:w="12240" w:h="15840"/>
      <w:pgMar w:top="1440" w:right="1440" w:bottom="1440" w:left="1440" w:header="0" w:footer="720" w:gutter="0"/>
      <w:cols w:num="2" w:space="720" w:equalWidth="0">
        <w:col w:w="4464" w:space="432"/>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3E5" w:rsidRDefault="006373E5">
      <w:pPr>
        <w:spacing w:after="0" w:line="240" w:lineRule="auto"/>
      </w:pPr>
      <w:r>
        <w:separator/>
      </w:r>
    </w:p>
  </w:endnote>
  <w:endnote w:type="continuationSeparator" w:id="0">
    <w:p w:rsidR="006373E5" w:rsidRDefault="0063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62" w:rsidRDefault="006373E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B15562" w:rsidRDefault="00B15562">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62" w:rsidRDefault="006373E5">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sidR="00383C53">
      <w:rPr>
        <w:rFonts w:ascii="Century" w:eastAsia="Century" w:hAnsi="Century" w:cs="Century"/>
        <w:color w:val="000000"/>
        <w:sz w:val="18"/>
        <w:szCs w:val="18"/>
      </w:rPr>
      <w:fldChar w:fldCharType="separate"/>
    </w:r>
    <w:r w:rsidR="00383C53">
      <w:rPr>
        <w:rFonts w:ascii="Century" w:eastAsia="Century" w:hAnsi="Century" w:cs="Century"/>
        <w:noProof/>
        <w:color w:val="000000"/>
        <w:sz w:val="18"/>
        <w:szCs w:val="18"/>
      </w:rPr>
      <w:t>1</w:t>
    </w:r>
    <w:r>
      <w:rPr>
        <w:rFonts w:ascii="Century" w:eastAsia="Century" w:hAnsi="Century" w:cs="Century"/>
        <w:color w:val="000000"/>
        <w:sz w:val="18"/>
        <w:szCs w:val="18"/>
      </w:rPr>
      <w:fldChar w:fldCharType="end"/>
    </w:r>
  </w:p>
  <w:p w:rsidR="00B15562" w:rsidRDefault="00B15562">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62" w:rsidRDefault="00B1556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3E5" w:rsidRDefault="006373E5">
      <w:pPr>
        <w:spacing w:after="0" w:line="240" w:lineRule="auto"/>
      </w:pPr>
      <w:r>
        <w:separator/>
      </w:r>
    </w:p>
  </w:footnote>
  <w:footnote w:type="continuationSeparator" w:id="0">
    <w:p w:rsidR="006373E5" w:rsidRDefault="0063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62" w:rsidRDefault="00B15562">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62" w:rsidRDefault="006373E5">
    <w:pPr>
      <w:pBdr>
        <w:top w:val="nil"/>
        <w:left w:val="nil"/>
        <w:bottom w:val="nil"/>
        <w:right w:val="nil"/>
        <w:between w:val="nil"/>
      </w:pBdr>
      <w:spacing w:after="0" w:line="240" w:lineRule="auto"/>
      <w:ind w:left="-1350"/>
      <w:rPr>
        <w:rFonts w:ascii="Century" w:eastAsia="Century" w:hAnsi="Century" w:cs="Century"/>
        <w:sz w:val="16"/>
        <w:szCs w:val="16"/>
      </w:rPr>
    </w:pPr>
    <w:r>
      <w:rPr>
        <w:rFonts w:ascii="Times New Roman" w:eastAsia="Times New Roman" w:hAnsi="Times New Roman" w:cs="Times New Roman"/>
        <w:color w:val="000000"/>
        <w:sz w:val="2"/>
        <w:szCs w:val="2"/>
        <w:highlight w:val="black"/>
      </w:rPr>
      <w:t xml:space="preserve"> </w:t>
    </w:r>
  </w:p>
  <w:p w:rsidR="00B15562" w:rsidRDefault="00B15562">
    <w:pPr>
      <w:pBdr>
        <w:top w:val="nil"/>
        <w:left w:val="nil"/>
        <w:bottom w:val="nil"/>
        <w:right w:val="nil"/>
        <w:between w:val="nil"/>
      </w:pBdr>
      <w:spacing w:after="0" w:line="240" w:lineRule="auto"/>
      <w:ind w:left="-1350"/>
      <w:rPr>
        <w:rFonts w:ascii="Times New Roman" w:eastAsia="Times New Roman" w:hAnsi="Times New Roman" w:cs="Times New Roman"/>
        <w:sz w:val="2"/>
        <w:szCs w:val="2"/>
        <w:highlight w:val="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62" w:rsidRDefault="00B15562">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62"/>
    <w:rsid w:val="00383C53"/>
    <w:rsid w:val="005016C1"/>
    <w:rsid w:val="006373E5"/>
    <w:rsid w:val="00B1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2D5B"/>
  <w15:docId w15:val="{27A6B084-99BB-48E6-95BA-2F0550E8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publication/370928231_Assessing_the_Effectiveness_of_the_K_to_12_Program_Examining_the_Impact_of_Senior_High_School_Implementation_in_the_Philippin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5147</Words>
  <Characters>29344</Characters>
  <Application>Microsoft Office Word</Application>
  <DocSecurity>0</DocSecurity>
  <Lines>244</Lines>
  <Paragraphs>68</Paragraphs>
  <ScaleCrop>false</ScaleCrop>
  <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3</cp:revision>
  <dcterms:created xsi:type="dcterms:W3CDTF">2025-03-31T05:44:00Z</dcterms:created>
  <dcterms:modified xsi:type="dcterms:W3CDTF">2025-03-31T05:49:00Z</dcterms:modified>
</cp:coreProperties>
</file>