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AFD5A" w14:textId="15D10F5B" w:rsidR="00193FDB" w:rsidRPr="00CC6E6F" w:rsidRDefault="009C705E" w:rsidP="006F4A31">
      <w:pPr>
        <w:spacing w:after="0" w:line="240" w:lineRule="auto"/>
        <w:jc w:val="center"/>
        <w:rPr>
          <w:rFonts w:ascii="Arial" w:hAnsi="Arial" w:cs="Arial"/>
          <w:color w:val="000000" w:themeColor="text1"/>
        </w:rPr>
      </w:pPr>
      <w:r w:rsidRPr="004F37AE">
        <w:rPr>
          <w:rFonts w:ascii="Arial" w:hAnsi="Arial" w:cs="Arial"/>
          <w:noProof/>
          <w:color w:val="000000" w:themeColor="text1"/>
          <w:highlight w:val="yellow"/>
          <w:lang w:eastAsia="en-PH"/>
        </w:rPr>
        <mc:AlternateContent>
          <mc:Choice Requires="wps">
            <w:drawing>
              <wp:anchor distT="635" distB="635" distL="635" distR="635" simplePos="0" relativeHeight="16" behindDoc="0" locked="0" layoutInCell="1" allowOverlap="1" wp14:anchorId="2D835AB3" wp14:editId="233B5B59">
                <wp:simplePos x="0" y="0"/>
                <wp:positionH relativeFrom="column">
                  <wp:posOffset>5581650</wp:posOffset>
                </wp:positionH>
                <wp:positionV relativeFrom="paragraph">
                  <wp:posOffset>-518795</wp:posOffset>
                </wp:positionV>
                <wp:extent cx="245745" cy="252730"/>
                <wp:effectExtent l="635" t="635" r="635" b="635"/>
                <wp:wrapNone/>
                <wp:docPr id="1" name="Shape1"/>
                <wp:cNvGraphicFramePr/>
                <a:graphic xmlns:a="http://schemas.openxmlformats.org/drawingml/2006/main">
                  <a:graphicData uri="http://schemas.microsoft.com/office/word/2010/wordprocessingShape">
                    <wps:wsp>
                      <wps:cNvSpPr/>
                      <wps:spPr>
                        <a:xfrm>
                          <a:off x="0" y="0"/>
                          <a:ext cx="245880" cy="252720"/>
                        </a:xfrm>
                        <a:prstGeom prst="rect">
                          <a:avLst/>
                        </a:prstGeom>
                        <a:solidFill>
                          <a:srgbClr val="FFFFFF"/>
                        </a:solidFill>
                        <a:ln w="0">
                          <a:solidFill>
                            <a:srgbClr val="FFFFFF"/>
                          </a:solidFill>
                        </a:ln>
                      </wps:spPr>
                      <wps:style>
                        <a:lnRef idx="0">
                          <a:scrgbClr r="0" g="0" b="0"/>
                        </a:lnRef>
                        <a:fillRef idx="0">
                          <a:scrgbClr r="0" g="0" b="0"/>
                        </a:fillRef>
                        <a:effectRef idx="0">
                          <a:scrgbClr r="0" g="0" b="0"/>
                        </a:effectRef>
                        <a:fontRef idx="minor"/>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25E93E0" id="Shape1" o:spid="_x0000_s1026" style="position:absolute;margin-left:439.5pt;margin-top:-40.85pt;width:19.35pt;height:19.9pt;z-index:16;visibility:visible;mso-wrap-style:square;mso-wrap-distance-left:.05pt;mso-wrap-distance-top:.05pt;mso-wrap-distance-right:.05pt;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" strokecolor="white" strokeweight="0"/>
            </w:pict>
          </mc:Fallback>
        </mc:AlternateContent>
      </w:r>
      <w:r w:rsidR="005A427C" w:rsidRPr="004F37AE">
        <w:rPr>
          <w:rFonts w:ascii="Arial" w:hAnsi="Arial" w:cs="Arial"/>
          <w:b/>
          <w:color w:val="000000" w:themeColor="text1"/>
          <w:highlight w:val="yellow"/>
        </w:rPr>
        <w:t>Study Habits of Academic Scholars in A Philippine State University</w:t>
      </w:r>
      <w:r w:rsidR="008124E5">
        <w:rPr>
          <w:rFonts w:ascii="Arial" w:hAnsi="Arial" w:cs="Arial"/>
          <w:b/>
          <w:color w:val="000000" w:themeColor="text1"/>
          <w:highlight w:val="yellow"/>
        </w:rPr>
        <w:t xml:space="preserve">, </w:t>
      </w:r>
      <w:r w:rsidR="008124E5" w:rsidRPr="008124E5">
        <w:rPr>
          <w:rFonts w:ascii="Arial" w:hAnsi="Arial" w:cs="Arial"/>
          <w:b/>
          <w:color w:val="000000" w:themeColor="text1"/>
        </w:rPr>
        <w:t>Philippines</w:t>
      </w:r>
      <w:bookmarkStart w:id="0" w:name="_GoBack"/>
      <w:bookmarkEnd w:id="0"/>
    </w:p>
    <w:p w14:paraId="38763C03" w14:textId="1530297A" w:rsidR="00193FDB" w:rsidRDefault="00193FDB" w:rsidP="006F4A31">
      <w:pPr>
        <w:spacing w:after="0" w:line="240" w:lineRule="auto"/>
        <w:jc w:val="center"/>
        <w:rPr>
          <w:rFonts w:ascii="Arial" w:hAnsi="Arial" w:cs="Arial"/>
          <w:color w:val="000000" w:themeColor="text1"/>
        </w:rPr>
      </w:pPr>
    </w:p>
    <w:p w14:paraId="73B3E524" w14:textId="77777777" w:rsidR="009A3FE9" w:rsidRPr="00CC6E6F" w:rsidRDefault="009A3FE9" w:rsidP="006F4A31">
      <w:pPr>
        <w:spacing w:after="0" w:line="240" w:lineRule="auto"/>
        <w:jc w:val="center"/>
        <w:rPr>
          <w:rFonts w:ascii="Arial" w:hAnsi="Arial" w:cs="Arial"/>
          <w:color w:val="000000" w:themeColor="text1"/>
        </w:rPr>
      </w:pPr>
    </w:p>
    <w:p w14:paraId="09CF9F58" w14:textId="7005A741" w:rsidR="00193FDB" w:rsidRPr="00CC6E6F" w:rsidRDefault="00193FDB" w:rsidP="006F4A31">
      <w:pPr>
        <w:spacing w:after="0" w:line="240" w:lineRule="auto"/>
        <w:rPr>
          <w:rFonts w:ascii="Arial" w:hAnsi="Arial" w:cs="Arial"/>
          <w:color w:val="000000" w:themeColor="text1"/>
        </w:rPr>
      </w:pPr>
    </w:p>
    <w:p w14:paraId="23EE4F0B" w14:textId="77777777" w:rsidR="00525F57" w:rsidRPr="00CC6E6F" w:rsidRDefault="00525F57" w:rsidP="006F4A31">
      <w:pPr>
        <w:spacing w:after="0" w:line="240" w:lineRule="auto"/>
        <w:rPr>
          <w:rFonts w:ascii="Arial" w:hAnsi="Arial" w:cs="Arial"/>
          <w:color w:val="000000" w:themeColor="text1"/>
        </w:rPr>
      </w:pPr>
    </w:p>
    <w:p w14:paraId="7D20AF48" w14:textId="77777777" w:rsidR="00193FDB" w:rsidRPr="00CC6E6F" w:rsidRDefault="00193FDB" w:rsidP="006F4A31">
      <w:pPr>
        <w:spacing w:after="0" w:line="240" w:lineRule="auto"/>
        <w:jc w:val="both"/>
        <w:rPr>
          <w:rFonts w:ascii="Arial" w:hAnsi="Arial" w:cs="Arial"/>
          <w:color w:val="000000" w:themeColor="text1"/>
        </w:rPr>
      </w:pPr>
    </w:p>
    <w:p w14:paraId="69F165D3" w14:textId="77777777" w:rsidR="00193FDB" w:rsidRPr="00CC6E6F" w:rsidRDefault="009C705E" w:rsidP="006F4A31">
      <w:pPr>
        <w:spacing w:after="0" w:line="240" w:lineRule="auto"/>
        <w:jc w:val="both"/>
        <w:rPr>
          <w:rFonts w:ascii="Arial" w:hAnsi="Arial" w:cs="Arial"/>
          <w:color w:val="000000" w:themeColor="text1"/>
        </w:rPr>
      </w:pPr>
      <w:r w:rsidRPr="00CC6E6F">
        <w:rPr>
          <w:rFonts w:ascii="Arial" w:hAnsi="Arial" w:cs="Arial"/>
          <w:b/>
          <w:color w:val="000000" w:themeColor="text1"/>
        </w:rPr>
        <w:t>ABSTRACT</w:t>
      </w:r>
    </w:p>
    <w:p w14:paraId="6CDC357A" w14:textId="77777777" w:rsidR="00193FDB" w:rsidRPr="00CC6E6F" w:rsidRDefault="00193FDB" w:rsidP="006F4A31">
      <w:pPr>
        <w:spacing w:after="0" w:line="240" w:lineRule="auto"/>
        <w:jc w:val="both"/>
        <w:rPr>
          <w:rFonts w:ascii="Arial" w:hAnsi="Arial" w:cs="Arial"/>
          <w:color w:val="000000" w:themeColor="text1"/>
        </w:rPr>
      </w:pPr>
    </w:p>
    <w:p w14:paraId="56FC83C1" w14:textId="1CCD5E87" w:rsidR="00193FDB" w:rsidRPr="00160298" w:rsidRDefault="00160298" w:rsidP="00160298">
      <w:pPr>
        <w:spacing w:after="0" w:line="240" w:lineRule="auto"/>
        <w:ind w:firstLine="720"/>
        <w:jc w:val="both"/>
        <w:rPr>
          <w:i/>
          <w:color w:val="000000" w:themeColor="text1"/>
        </w:rPr>
      </w:pPr>
      <w:r w:rsidRPr="00160298">
        <w:rPr>
          <w:rFonts w:ascii="Arial" w:hAnsi="Arial" w:cs="Arial"/>
          <w:i/>
          <w:color w:val="000000" w:themeColor="text1"/>
          <w:highlight w:val="yellow"/>
        </w:rPr>
        <w:t>Study habits are the most important predictors of academic performance. Students must learn and apply study skills to organize and learn a large amount of information.</w:t>
      </w:r>
      <w:r w:rsidRPr="00160298">
        <w:rPr>
          <w:rFonts w:ascii="Arial" w:hAnsi="Arial" w:cs="Arial"/>
          <w:i/>
          <w:color w:val="000000" w:themeColor="text1"/>
        </w:rPr>
        <w:t xml:space="preserve"> </w:t>
      </w:r>
      <w:r w:rsidR="009C705E" w:rsidRPr="00160298">
        <w:rPr>
          <w:rFonts w:ascii="Arial" w:hAnsi="Arial" w:cs="Arial"/>
          <w:i/>
          <w:color w:val="000000" w:themeColor="text1"/>
        </w:rPr>
        <w:t xml:space="preserve">This study aimed to profile the academic scholars of the University of Eastern Philippines based on sex, monthly family income, parents’ educational attainment, and type of academic scholarship. It also assessed their level of study habits across various categories, including time management, concentration, note-taking, reading </w:t>
      </w:r>
      <w:r w:rsidR="009C705E" w:rsidRPr="00CC6E6F">
        <w:rPr>
          <w:rFonts w:ascii="Arial" w:hAnsi="Arial" w:cs="Arial"/>
          <w:i/>
          <w:color w:val="000000" w:themeColor="text1"/>
        </w:rPr>
        <w:t xml:space="preserve">comprehension, test preparation and test-taking, reading disposition, writing disposition, and test anxiety management. Additionally, the study examined the relationship between the respondents’ profiles and their study habits. A descriptive-correlational research design was employed, involving 560 academic scholars. Results showed that most respondents were female and college-level scholars, with a monthly family income of ₱10,000 or below. In terms of parents’ educational attainment, the majority had parents who were college graduates or had attained some level of college education. Overall, the respondents demonstrated good study habits, and no significant relationship was found between their profile and their study habits, except for parents’ educational attainment. The study concluded that the respondents’ study habits were generally independent of their profile, with the exception of parental educational attainment, which appeared to be a contributing factor to their study habits. </w:t>
      </w:r>
    </w:p>
    <w:p w14:paraId="30575576" w14:textId="77777777" w:rsidR="00193FDB" w:rsidRPr="00CC6E6F" w:rsidRDefault="00193FDB" w:rsidP="006F4A31">
      <w:pPr>
        <w:spacing w:after="0" w:line="240" w:lineRule="auto"/>
        <w:ind w:firstLine="720"/>
        <w:jc w:val="both"/>
        <w:rPr>
          <w:rFonts w:ascii="Arial" w:hAnsi="Arial" w:cs="Arial"/>
          <w:i/>
          <w:color w:val="000000" w:themeColor="text1"/>
        </w:rPr>
      </w:pPr>
    </w:p>
    <w:p w14:paraId="21765B3F" w14:textId="395406FF" w:rsidR="00193FDB" w:rsidRPr="00772D6E" w:rsidRDefault="009C705E" w:rsidP="006F4A31">
      <w:pPr>
        <w:spacing w:after="0" w:line="240" w:lineRule="auto"/>
        <w:rPr>
          <w:rFonts w:ascii="Arial" w:hAnsi="Arial" w:cs="Arial"/>
          <w:color w:val="000000" w:themeColor="text1"/>
        </w:rPr>
      </w:pPr>
      <w:r w:rsidRPr="00CC6E6F">
        <w:rPr>
          <w:rFonts w:ascii="Arial" w:hAnsi="Arial" w:cs="Arial"/>
          <w:b/>
          <w:i/>
          <w:color w:val="000000" w:themeColor="text1"/>
        </w:rPr>
        <w:t xml:space="preserve">Keywords: </w:t>
      </w:r>
      <w:r w:rsidRPr="00772D6E">
        <w:rPr>
          <w:rFonts w:ascii="Arial" w:hAnsi="Arial" w:cs="Arial"/>
          <w:i/>
          <w:color w:val="000000" w:themeColor="text1"/>
        </w:rPr>
        <w:t>study habits, academic scholars</w:t>
      </w:r>
      <w:r w:rsidR="00772D6E">
        <w:rPr>
          <w:rFonts w:ascii="Arial" w:hAnsi="Arial" w:cs="Arial"/>
          <w:i/>
          <w:color w:val="000000" w:themeColor="text1"/>
        </w:rPr>
        <w:t xml:space="preserve">, </w:t>
      </w:r>
      <w:r w:rsidR="00772D6E" w:rsidRPr="00772D6E">
        <w:rPr>
          <w:rFonts w:ascii="Arial" w:hAnsi="Arial" w:cs="Arial"/>
          <w:i/>
          <w:color w:val="000000" w:themeColor="text1"/>
        </w:rPr>
        <w:t>academic performance</w:t>
      </w:r>
      <w:r w:rsidR="00772D6E">
        <w:rPr>
          <w:rFonts w:ascii="Arial" w:hAnsi="Arial" w:cs="Arial"/>
          <w:i/>
          <w:color w:val="000000" w:themeColor="text1"/>
        </w:rPr>
        <w:t>, T</w:t>
      </w:r>
      <w:r w:rsidR="00772D6E" w:rsidRPr="00772D6E">
        <w:rPr>
          <w:rFonts w:ascii="Arial" w:hAnsi="Arial" w:cs="Arial"/>
          <w:i/>
          <w:color w:val="000000" w:themeColor="text1"/>
        </w:rPr>
        <w:t>ime management</w:t>
      </w:r>
      <w:r w:rsidR="00772D6E">
        <w:rPr>
          <w:rFonts w:ascii="Arial" w:hAnsi="Arial" w:cs="Arial"/>
          <w:i/>
          <w:color w:val="000000" w:themeColor="text1"/>
        </w:rPr>
        <w:t xml:space="preserve"> and </w:t>
      </w:r>
      <w:r w:rsidR="00772D6E" w:rsidRPr="00772D6E">
        <w:rPr>
          <w:rFonts w:ascii="Arial" w:hAnsi="Arial" w:cs="Arial"/>
          <w:i/>
          <w:color w:val="000000" w:themeColor="text1"/>
        </w:rPr>
        <w:t>concentration</w:t>
      </w:r>
      <w:r w:rsidR="00772D6E">
        <w:rPr>
          <w:rFonts w:ascii="Arial" w:hAnsi="Arial" w:cs="Arial"/>
          <w:i/>
          <w:color w:val="000000" w:themeColor="text1"/>
        </w:rPr>
        <w:t>.</w:t>
      </w:r>
    </w:p>
    <w:p w14:paraId="54974F62" w14:textId="77777777" w:rsidR="00193FDB" w:rsidRPr="00CC6E6F" w:rsidRDefault="00193FDB" w:rsidP="006F4A31">
      <w:pPr>
        <w:spacing w:after="0" w:line="240" w:lineRule="auto"/>
        <w:rPr>
          <w:rFonts w:ascii="Arial" w:hAnsi="Arial" w:cs="Arial"/>
          <w:color w:val="000000" w:themeColor="text1"/>
        </w:rPr>
      </w:pPr>
    </w:p>
    <w:p w14:paraId="4BCD5817" w14:textId="77777777" w:rsidR="00193FDB" w:rsidRPr="00CC6E6F" w:rsidRDefault="00193FDB" w:rsidP="006F4A31">
      <w:pPr>
        <w:spacing w:after="0" w:line="240" w:lineRule="auto"/>
        <w:rPr>
          <w:rFonts w:ascii="Arial" w:hAnsi="Arial" w:cs="Arial"/>
          <w:color w:val="000000" w:themeColor="text1"/>
        </w:rPr>
      </w:pPr>
    </w:p>
    <w:p w14:paraId="1FB93D01" w14:textId="77777777" w:rsidR="00193FDB" w:rsidRPr="00CC6E6F" w:rsidRDefault="009C705E" w:rsidP="006F4A31">
      <w:pPr>
        <w:spacing w:after="0" w:line="240" w:lineRule="auto"/>
        <w:rPr>
          <w:rFonts w:ascii="Arial" w:hAnsi="Arial" w:cs="Arial"/>
          <w:b/>
          <w:color w:val="000000" w:themeColor="text1"/>
        </w:rPr>
      </w:pPr>
      <w:r w:rsidRPr="00CC6E6F">
        <w:rPr>
          <w:rFonts w:ascii="Arial" w:hAnsi="Arial" w:cs="Arial"/>
          <w:b/>
          <w:color w:val="000000" w:themeColor="text1"/>
        </w:rPr>
        <w:t>INTRODUCTION</w:t>
      </w:r>
    </w:p>
    <w:p w14:paraId="20661041" w14:textId="77777777" w:rsidR="00193FDB" w:rsidRPr="00CC6E6F" w:rsidRDefault="00193FDB" w:rsidP="006F4A31">
      <w:pPr>
        <w:spacing w:after="0" w:line="240" w:lineRule="auto"/>
        <w:jc w:val="both"/>
        <w:rPr>
          <w:rFonts w:ascii="Arial" w:hAnsi="Arial" w:cs="Arial"/>
          <w:color w:val="000000" w:themeColor="text1"/>
        </w:rPr>
      </w:pPr>
    </w:p>
    <w:p w14:paraId="068A4CA2" w14:textId="77777777" w:rsidR="00193FDB" w:rsidRPr="00CC6E6F" w:rsidRDefault="009C705E" w:rsidP="006F4A31">
      <w:pPr>
        <w:pStyle w:val="BodyText"/>
        <w:spacing w:after="0" w:line="240" w:lineRule="auto"/>
        <w:ind w:firstLine="720"/>
        <w:jc w:val="both"/>
        <w:rPr>
          <w:rFonts w:ascii="Arial" w:hAnsi="Arial" w:cs="Arial"/>
          <w:color w:val="000000" w:themeColor="text1"/>
        </w:rPr>
      </w:pPr>
      <w:r w:rsidRPr="00CC6E6F">
        <w:rPr>
          <w:rFonts w:ascii="Arial" w:eastAsia="Times New Roman" w:hAnsi="Arial" w:cs="Arial"/>
          <w:color w:val="000000" w:themeColor="text1"/>
          <w:lang w:eastAsia="en-PH"/>
        </w:rPr>
        <w:t>Throughout human history, each century has brought about various transformations, influencing educational practices and priorities (Mangal, 2001). Education is a process that shapes an individual's behavior, guiding it from instinctive reactions to more refined, human responses (Taneja, 2003). This perspective highlights that education not only uncovers innate talents but also prepares individuals to engage in social activities. Consequently, education is essential for society’s survival, as it ensures the fulfillment of basic needs such as food, shelter, and clothing.</w:t>
      </w:r>
    </w:p>
    <w:p w14:paraId="02AA8D1D" w14:textId="77777777" w:rsidR="00193FDB" w:rsidRPr="00CC6E6F" w:rsidRDefault="00193FDB" w:rsidP="006F4A31">
      <w:pPr>
        <w:pStyle w:val="BodyText"/>
        <w:spacing w:after="0" w:line="240" w:lineRule="auto"/>
        <w:ind w:firstLine="720"/>
        <w:jc w:val="both"/>
        <w:rPr>
          <w:rFonts w:ascii="Arial" w:eastAsia="Times New Roman" w:hAnsi="Arial" w:cs="Arial"/>
          <w:color w:val="000000" w:themeColor="text1"/>
          <w:lang w:eastAsia="en-PH"/>
        </w:rPr>
      </w:pPr>
    </w:p>
    <w:p w14:paraId="63F45618" w14:textId="77777777" w:rsidR="00193FDB" w:rsidRPr="00CC6E6F" w:rsidRDefault="009C705E" w:rsidP="006F4A31">
      <w:pPr>
        <w:pStyle w:val="BodyText"/>
        <w:spacing w:after="0" w:line="240" w:lineRule="auto"/>
        <w:jc w:val="both"/>
        <w:rPr>
          <w:rFonts w:ascii="Arial" w:hAnsi="Arial" w:cs="Arial"/>
          <w:color w:val="000000" w:themeColor="text1"/>
        </w:rPr>
      </w:pPr>
      <w:r w:rsidRPr="00CC6E6F">
        <w:rPr>
          <w:rFonts w:ascii="Arial" w:hAnsi="Arial" w:cs="Arial"/>
          <w:color w:val="000000" w:themeColor="text1"/>
        </w:rPr>
        <w:tab/>
        <w:t>While learning can be deeply satisfying, studying often demands effort and discipline. The first step toward developing effective study habits is recognizing this reality. It’s normal not to feel enthusiastic about studying, but once an individual acknowledges that studying requires effort, it becomes easier to establish a structured plan for success. Mastering study techniques is a gradual process, and as one continues to study, new strategies emerge, enhancing both engagement and achievement. Developing strong study habits paves the way for personal growth and academic success. Even small adjustments in study routines can significantly impact goal-setting and life organization. Ultimately, effective study habits are key to unlocking one’s potential, as education is the means through which this perfection manifests.</w:t>
      </w:r>
    </w:p>
    <w:p w14:paraId="404E1280" w14:textId="77777777" w:rsidR="00CC6E6F" w:rsidRPr="00CC6E6F" w:rsidRDefault="00CC6E6F" w:rsidP="006F4A31">
      <w:pPr>
        <w:pStyle w:val="BodyText"/>
        <w:spacing w:after="0" w:line="240" w:lineRule="auto"/>
        <w:jc w:val="both"/>
        <w:rPr>
          <w:rFonts w:ascii="Arial" w:hAnsi="Arial" w:cs="Arial"/>
          <w:color w:val="000000" w:themeColor="text1"/>
        </w:rPr>
      </w:pPr>
    </w:p>
    <w:p w14:paraId="58E25140" w14:textId="77777777" w:rsidR="00CC6E6F" w:rsidRPr="00CC6E6F" w:rsidRDefault="00CC6E6F" w:rsidP="00CC6E6F">
      <w:pPr>
        <w:spacing w:after="0" w:line="240" w:lineRule="auto"/>
        <w:ind w:firstLine="720"/>
        <w:jc w:val="both"/>
        <w:rPr>
          <w:rFonts w:ascii="Arial" w:hAnsi="Arial" w:cs="Arial"/>
        </w:rPr>
      </w:pPr>
      <w:r w:rsidRPr="004F37AE">
        <w:rPr>
          <w:rFonts w:ascii="Arial" w:hAnsi="Arial" w:cs="Arial"/>
          <w:highlight w:val="yellow"/>
          <w:shd w:val="clear" w:color="auto" w:fill="FFFFFF"/>
        </w:rPr>
        <w:t xml:space="preserve">Academic performance is a common indicator used to measure student achievement (Jafari, et.al., 2019). It is a compound process influenced by many factors, among which is study habits (Abid, et.al., 2023; </w:t>
      </w:r>
      <w:proofErr w:type="spellStart"/>
      <w:r w:rsidRPr="004F37AE">
        <w:rPr>
          <w:rFonts w:ascii="Arial" w:hAnsi="Arial" w:cs="Arial"/>
          <w:highlight w:val="yellow"/>
          <w:shd w:val="clear" w:color="auto" w:fill="FFFFFF"/>
        </w:rPr>
        <w:t>Abdulhgani</w:t>
      </w:r>
      <w:proofErr w:type="spellEnd"/>
      <w:r w:rsidRPr="004F37AE">
        <w:rPr>
          <w:rFonts w:ascii="Arial" w:hAnsi="Arial" w:cs="Arial"/>
          <w:highlight w:val="yellow"/>
          <w:shd w:val="clear" w:color="auto" w:fill="FFFFFF"/>
        </w:rPr>
        <w:t xml:space="preserve">, et.al., 2014). Study habit is defined as different individual behavior in relation to studying, and is a combination of study methods and skills </w:t>
      </w:r>
      <w:r w:rsidRPr="004F37AE">
        <w:rPr>
          <w:rFonts w:ascii="Arial" w:hAnsi="Arial" w:cs="Arial"/>
          <w:highlight w:val="yellow"/>
          <w:shd w:val="clear" w:color="auto" w:fill="FFFFFF"/>
        </w:rPr>
        <w:lastRenderedPageBreak/>
        <w:t>(</w:t>
      </w:r>
      <w:proofErr w:type="spellStart"/>
      <w:r w:rsidRPr="004F37AE">
        <w:rPr>
          <w:rFonts w:ascii="Arial" w:hAnsi="Arial" w:cs="Arial"/>
          <w:highlight w:val="yellow"/>
          <w:shd w:val="clear" w:color="auto" w:fill="FFFFFF"/>
        </w:rPr>
        <w:t>Muntean</w:t>
      </w:r>
      <w:proofErr w:type="spellEnd"/>
      <w:r w:rsidRPr="004F37AE">
        <w:rPr>
          <w:rFonts w:ascii="Arial" w:hAnsi="Arial" w:cs="Arial"/>
          <w:highlight w:val="yellow"/>
          <w:shd w:val="clear" w:color="auto" w:fill="FFFFFF"/>
        </w:rPr>
        <w:t>, et.al., 2022). Put differently, study habits involve various techniques that would increase motivation and transform the study process into an effective one, thus enhancing learning. Students’ perspectives and approaches toward studying were found to be the key factors in predicting their academic success (Pun, et.al., 2023). However, these learning processes vary from one student to another due to variations in the students’ cognitive processing (</w:t>
      </w:r>
      <w:proofErr w:type="spellStart"/>
      <w:r w:rsidRPr="004F37AE">
        <w:rPr>
          <w:rFonts w:ascii="Arial" w:hAnsi="Arial" w:cs="Arial"/>
          <w:highlight w:val="yellow"/>
          <w:shd w:val="clear" w:color="auto" w:fill="FFFFFF"/>
        </w:rPr>
        <w:t>Ilcin</w:t>
      </w:r>
      <w:proofErr w:type="spellEnd"/>
      <w:r w:rsidRPr="004F37AE">
        <w:rPr>
          <w:rFonts w:ascii="Arial" w:hAnsi="Arial" w:cs="Arial"/>
          <w:highlight w:val="yellow"/>
          <w:shd w:val="clear" w:color="auto" w:fill="FFFFFF"/>
        </w:rPr>
        <w:t>, et.al., 2018).</w:t>
      </w:r>
    </w:p>
    <w:p w14:paraId="0E288BD3" w14:textId="77777777" w:rsidR="00CC6E6F" w:rsidRPr="00CC6E6F" w:rsidRDefault="00CC6E6F" w:rsidP="00CC6E6F">
      <w:pPr>
        <w:pStyle w:val="BodyText"/>
        <w:spacing w:after="0" w:line="240" w:lineRule="auto"/>
        <w:jc w:val="both"/>
        <w:rPr>
          <w:rFonts w:ascii="Arial" w:hAnsi="Arial" w:cs="Arial"/>
          <w:color w:val="000000" w:themeColor="text1"/>
        </w:rPr>
      </w:pPr>
    </w:p>
    <w:p w14:paraId="62EA4FA0" w14:textId="340D3550" w:rsidR="005571E5" w:rsidRDefault="009C705E" w:rsidP="005571E5">
      <w:pPr>
        <w:pStyle w:val="NormalWeb"/>
        <w:spacing w:before="0" w:beforeAutospacing="0" w:after="0" w:afterAutospacing="0"/>
        <w:jc w:val="both"/>
        <w:rPr>
          <w:rFonts w:ascii="Arial" w:hAnsi="Arial" w:cs="Arial"/>
          <w:sz w:val="22"/>
          <w:szCs w:val="22"/>
        </w:rPr>
      </w:pPr>
      <w:r w:rsidRPr="00CC6E6F">
        <w:rPr>
          <w:rFonts w:ascii="Arial" w:hAnsi="Arial" w:cs="Arial"/>
          <w:color w:val="000000" w:themeColor="text1"/>
        </w:rPr>
        <w:tab/>
      </w:r>
      <w:r w:rsidR="005571E5" w:rsidRPr="00273101">
        <w:rPr>
          <w:rFonts w:ascii="Arial" w:hAnsi="Arial" w:cs="Arial"/>
          <w:sz w:val="22"/>
          <w:szCs w:val="22"/>
        </w:rPr>
        <w:t xml:space="preserve">Study habits have consistently played a significant role in a student’s daily academic life. These are routines or methods that can help learners develop an interest in their studies without experiencing stress or discomfort. According to Jafari (2019), study habits are crucial factors that influence a student’s academic success. Kumar (2015) further explains that study habits refer to the regular behaviors and approaches students use when acquiring knowledge through learning. </w:t>
      </w:r>
      <w:r w:rsidR="005571E5" w:rsidRPr="00273101">
        <w:rPr>
          <w:rStyle w:val="Emphasis"/>
          <w:rFonts w:ascii="Arial" w:hAnsi="Arial" w:cs="Arial"/>
          <w:i w:val="0"/>
          <w:sz w:val="22"/>
          <w:szCs w:val="22"/>
        </w:rPr>
        <w:t>Building on this understanding,</w:t>
      </w:r>
      <w:r w:rsidR="005571E5" w:rsidRPr="00273101">
        <w:rPr>
          <w:rFonts w:ascii="Arial" w:hAnsi="Arial" w:cs="Arial"/>
          <w:sz w:val="22"/>
          <w:szCs w:val="22"/>
        </w:rPr>
        <w:t xml:space="preserve"> it becomes evident that study habits are foundational to academic achievement.</w:t>
      </w:r>
    </w:p>
    <w:p w14:paraId="51FD9B0B" w14:textId="77777777" w:rsidR="005571E5" w:rsidRPr="00273101" w:rsidRDefault="005571E5" w:rsidP="005571E5">
      <w:pPr>
        <w:pStyle w:val="NormalWeb"/>
        <w:spacing w:before="0" w:beforeAutospacing="0" w:after="0" w:afterAutospacing="0"/>
        <w:jc w:val="both"/>
        <w:rPr>
          <w:rFonts w:ascii="Arial" w:hAnsi="Arial" w:cs="Arial"/>
          <w:sz w:val="22"/>
          <w:szCs w:val="22"/>
        </w:rPr>
      </w:pPr>
    </w:p>
    <w:p w14:paraId="0931E0BF" w14:textId="77777777" w:rsidR="005571E5" w:rsidRDefault="005571E5" w:rsidP="005571E5">
      <w:pPr>
        <w:pStyle w:val="NormalWeb"/>
        <w:spacing w:before="0" w:beforeAutospacing="0" w:after="0" w:afterAutospacing="0"/>
        <w:jc w:val="both"/>
        <w:rPr>
          <w:rFonts w:ascii="Arial" w:hAnsi="Arial" w:cs="Arial"/>
          <w:sz w:val="22"/>
          <w:szCs w:val="22"/>
        </w:rPr>
      </w:pPr>
      <w:r>
        <w:rPr>
          <w:rFonts w:ascii="Arial" w:hAnsi="Arial" w:cs="Arial"/>
          <w:sz w:val="22"/>
          <w:szCs w:val="22"/>
        </w:rPr>
        <w:tab/>
      </w:r>
      <w:r w:rsidRPr="00273101">
        <w:rPr>
          <w:rFonts w:ascii="Arial" w:hAnsi="Arial" w:cs="Arial"/>
          <w:sz w:val="22"/>
          <w:szCs w:val="22"/>
        </w:rPr>
        <w:t xml:space="preserve">Moreover, study habits are the most important predictors of academic performance. Students must learn and apply study skills to organize and process large amounts of information effectively. Evidence suggests that those who lack study strategy knowledge do not achieve stable and effective learning, leading to poorer academic outcomes (Jafari et al., 2019). </w:t>
      </w:r>
      <w:r w:rsidRPr="00273101">
        <w:rPr>
          <w:rStyle w:val="Emphasis"/>
          <w:rFonts w:ascii="Arial" w:hAnsi="Arial" w:cs="Arial"/>
          <w:i w:val="0"/>
          <w:sz w:val="22"/>
          <w:szCs w:val="22"/>
        </w:rPr>
        <w:t>Consequently,</w:t>
      </w:r>
      <w:r w:rsidRPr="00273101">
        <w:rPr>
          <w:rFonts w:ascii="Arial" w:hAnsi="Arial" w:cs="Arial"/>
          <w:sz w:val="22"/>
          <w:szCs w:val="22"/>
        </w:rPr>
        <w:t xml:space="preserve"> higher achievers consistently utilize these skills, underscoring their critical role in academic success.</w:t>
      </w:r>
    </w:p>
    <w:p w14:paraId="5987BA81" w14:textId="77777777" w:rsidR="005571E5" w:rsidRPr="00273101" w:rsidRDefault="005571E5" w:rsidP="005571E5">
      <w:pPr>
        <w:pStyle w:val="NormalWeb"/>
        <w:spacing w:before="0" w:beforeAutospacing="0" w:after="0" w:afterAutospacing="0"/>
        <w:jc w:val="both"/>
        <w:rPr>
          <w:rFonts w:ascii="Arial" w:hAnsi="Arial" w:cs="Arial"/>
          <w:sz w:val="22"/>
          <w:szCs w:val="22"/>
        </w:rPr>
      </w:pPr>
    </w:p>
    <w:p w14:paraId="470ACCC4" w14:textId="77777777" w:rsidR="005571E5" w:rsidRDefault="005571E5" w:rsidP="005571E5">
      <w:pPr>
        <w:pStyle w:val="NormalWeb"/>
        <w:spacing w:before="0" w:beforeAutospacing="0" w:after="0" w:afterAutospacing="0"/>
        <w:jc w:val="both"/>
        <w:rPr>
          <w:rFonts w:ascii="Arial" w:hAnsi="Arial" w:cs="Arial"/>
          <w:sz w:val="22"/>
          <w:szCs w:val="22"/>
        </w:rPr>
      </w:pPr>
      <w:r>
        <w:rPr>
          <w:rStyle w:val="Emphasis"/>
          <w:rFonts w:ascii="Arial" w:hAnsi="Arial" w:cs="Arial"/>
          <w:i w:val="0"/>
          <w:sz w:val="22"/>
          <w:szCs w:val="22"/>
        </w:rPr>
        <w:tab/>
      </w:r>
      <w:r w:rsidRPr="00273101">
        <w:rPr>
          <w:rStyle w:val="Emphasis"/>
          <w:rFonts w:ascii="Arial" w:hAnsi="Arial" w:cs="Arial"/>
          <w:i w:val="0"/>
          <w:sz w:val="22"/>
          <w:szCs w:val="22"/>
        </w:rPr>
        <w:t>Expanding on the significance of study habits,</w:t>
      </w:r>
      <w:r w:rsidRPr="00273101">
        <w:rPr>
          <w:rFonts w:ascii="Arial" w:hAnsi="Arial" w:cs="Arial"/>
          <w:sz w:val="22"/>
          <w:szCs w:val="22"/>
        </w:rPr>
        <w:t xml:space="preserve"> Bin Abdulrahman et al.’s (2021) study of medical students provides valuable insights into effective practices. The top study habits include managing time efficiently, eliminating distractions, setting priorities and goals, studying daily for three to four hours, learning from diverse sources, and studying alone for better retention. Additional methods, such as peer teaching and reviewing lecture slides with notes and previous exam questions, further enhance preparation. </w:t>
      </w:r>
      <w:r w:rsidRPr="00273101">
        <w:rPr>
          <w:rStyle w:val="Emphasis"/>
          <w:rFonts w:ascii="Arial" w:hAnsi="Arial" w:cs="Arial"/>
          <w:i w:val="0"/>
          <w:sz w:val="22"/>
          <w:szCs w:val="22"/>
        </w:rPr>
        <w:t>Notably,</w:t>
      </w:r>
      <w:r w:rsidRPr="00273101">
        <w:rPr>
          <w:rFonts w:ascii="Arial" w:hAnsi="Arial" w:cs="Arial"/>
          <w:sz w:val="22"/>
          <w:szCs w:val="22"/>
        </w:rPr>
        <w:t xml:space="preserve"> these practices inspire learners across disciplines to adopt effective study strategies.</w:t>
      </w:r>
    </w:p>
    <w:p w14:paraId="045E563F" w14:textId="77777777" w:rsidR="005571E5" w:rsidRPr="00273101" w:rsidRDefault="005571E5" w:rsidP="005571E5">
      <w:pPr>
        <w:pStyle w:val="NormalWeb"/>
        <w:spacing w:before="0" w:beforeAutospacing="0" w:after="0" w:afterAutospacing="0"/>
        <w:jc w:val="both"/>
        <w:rPr>
          <w:rFonts w:ascii="Arial" w:hAnsi="Arial" w:cs="Arial"/>
          <w:sz w:val="22"/>
          <w:szCs w:val="22"/>
        </w:rPr>
      </w:pPr>
    </w:p>
    <w:p w14:paraId="321F569A" w14:textId="77777777" w:rsidR="005571E5" w:rsidRDefault="005571E5" w:rsidP="005571E5">
      <w:pPr>
        <w:pStyle w:val="NormalWeb"/>
        <w:spacing w:before="0" w:beforeAutospacing="0" w:after="0" w:afterAutospacing="0"/>
        <w:jc w:val="both"/>
        <w:rPr>
          <w:rFonts w:ascii="Arial" w:hAnsi="Arial" w:cs="Arial"/>
          <w:sz w:val="22"/>
          <w:szCs w:val="22"/>
        </w:rPr>
      </w:pPr>
      <w:r>
        <w:rPr>
          <w:rStyle w:val="Emphasis"/>
          <w:rFonts w:ascii="Arial" w:hAnsi="Arial" w:cs="Arial"/>
          <w:i w:val="0"/>
          <w:sz w:val="22"/>
          <w:szCs w:val="22"/>
        </w:rPr>
        <w:tab/>
      </w:r>
      <w:r w:rsidRPr="00273101">
        <w:rPr>
          <w:rStyle w:val="Emphasis"/>
          <w:rFonts w:ascii="Arial" w:hAnsi="Arial" w:cs="Arial"/>
          <w:i w:val="0"/>
          <w:sz w:val="22"/>
          <w:szCs w:val="22"/>
        </w:rPr>
        <w:t>While effective study habits are vital,</w:t>
      </w:r>
      <w:r w:rsidRPr="00273101">
        <w:rPr>
          <w:rFonts w:ascii="Arial" w:hAnsi="Arial" w:cs="Arial"/>
          <w:sz w:val="22"/>
          <w:szCs w:val="22"/>
        </w:rPr>
        <w:t xml:space="preserve"> distractions often pose significant challenges to learning. From TV and phones to overly quiet environments, interruptions can hinder focus and productivity. According to </w:t>
      </w:r>
      <w:proofErr w:type="spellStart"/>
      <w:r w:rsidRPr="00273101">
        <w:rPr>
          <w:rFonts w:ascii="Arial" w:hAnsi="Arial" w:cs="Arial"/>
          <w:sz w:val="22"/>
          <w:szCs w:val="22"/>
        </w:rPr>
        <w:t>Walck</w:t>
      </w:r>
      <w:proofErr w:type="spellEnd"/>
      <w:r w:rsidRPr="00273101">
        <w:rPr>
          <w:rFonts w:ascii="Arial" w:hAnsi="Arial" w:cs="Arial"/>
          <w:sz w:val="22"/>
          <w:szCs w:val="22"/>
        </w:rPr>
        <w:t xml:space="preserve">-Shannon et al. (2021), students reported being distracted about 20% of their study time, which negatively impacted their exam performance. </w:t>
      </w:r>
      <w:r w:rsidRPr="00273101">
        <w:rPr>
          <w:rStyle w:val="Emphasis"/>
          <w:rFonts w:ascii="Arial" w:hAnsi="Arial" w:cs="Arial"/>
          <w:i w:val="0"/>
          <w:sz w:val="22"/>
          <w:szCs w:val="22"/>
        </w:rPr>
        <w:t>Thus,</w:t>
      </w:r>
      <w:r w:rsidRPr="00273101">
        <w:rPr>
          <w:rFonts w:ascii="Arial" w:hAnsi="Arial" w:cs="Arial"/>
          <w:sz w:val="22"/>
          <w:szCs w:val="22"/>
        </w:rPr>
        <w:t xml:space="preserve"> minimizing distractions is essential for creating a productive study environment.</w:t>
      </w:r>
    </w:p>
    <w:p w14:paraId="774A0FC2" w14:textId="77777777" w:rsidR="005571E5" w:rsidRPr="00273101" w:rsidRDefault="005571E5" w:rsidP="005571E5">
      <w:pPr>
        <w:pStyle w:val="NormalWeb"/>
        <w:spacing w:before="0" w:beforeAutospacing="0" w:after="0" w:afterAutospacing="0"/>
        <w:jc w:val="both"/>
        <w:rPr>
          <w:rFonts w:ascii="Arial" w:hAnsi="Arial" w:cs="Arial"/>
          <w:sz w:val="22"/>
          <w:szCs w:val="22"/>
        </w:rPr>
      </w:pPr>
    </w:p>
    <w:p w14:paraId="6F4B800F" w14:textId="77777777" w:rsidR="005571E5" w:rsidRDefault="005571E5" w:rsidP="005571E5">
      <w:pPr>
        <w:pStyle w:val="NormalWeb"/>
        <w:spacing w:before="0" w:beforeAutospacing="0" w:after="0" w:afterAutospacing="0"/>
        <w:jc w:val="both"/>
        <w:rPr>
          <w:rFonts w:ascii="Arial" w:hAnsi="Arial" w:cs="Arial"/>
          <w:sz w:val="22"/>
          <w:szCs w:val="22"/>
        </w:rPr>
      </w:pPr>
      <w:r>
        <w:rPr>
          <w:rStyle w:val="Emphasis"/>
          <w:rFonts w:ascii="Arial" w:hAnsi="Arial" w:cs="Arial"/>
          <w:i w:val="0"/>
          <w:sz w:val="22"/>
          <w:szCs w:val="22"/>
        </w:rPr>
        <w:tab/>
      </w:r>
      <w:r w:rsidRPr="00273101">
        <w:rPr>
          <w:rStyle w:val="Emphasis"/>
          <w:rFonts w:ascii="Arial" w:hAnsi="Arial" w:cs="Arial"/>
          <w:i w:val="0"/>
          <w:sz w:val="22"/>
          <w:szCs w:val="22"/>
        </w:rPr>
        <w:t>Equally important,</w:t>
      </w:r>
      <w:r w:rsidRPr="00273101">
        <w:rPr>
          <w:rFonts w:ascii="Arial" w:hAnsi="Arial" w:cs="Arial"/>
          <w:sz w:val="22"/>
          <w:szCs w:val="22"/>
        </w:rPr>
        <w:t xml:space="preserve"> goal setting plays a critical role in effective studying. By determining the activities most important at a given time, students can focus on achieving specific objectives. Bin Abdulrahman et al. (2021) emphasizes the need for short-term goals that align with long-term academic aims, such as raising one’s GPA. </w:t>
      </w:r>
      <w:r w:rsidRPr="00273101">
        <w:rPr>
          <w:rStyle w:val="Emphasis"/>
          <w:rFonts w:ascii="Arial" w:hAnsi="Arial" w:cs="Arial"/>
          <w:i w:val="0"/>
          <w:sz w:val="22"/>
          <w:szCs w:val="22"/>
        </w:rPr>
        <w:t>Therefore,</w:t>
      </w:r>
      <w:r w:rsidRPr="00273101">
        <w:rPr>
          <w:rFonts w:ascii="Arial" w:hAnsi="Arial" w:cs="Arial"/>
          <w:sz w:val="22"/>
          <w:szCs w:val="22"/>
        </w:rPr>
        <w:t xml:space="preserve"> clear and purposeful goal setting is key to academic success.</w:t>
      </w:r>
    </w:p>
    <w:p w14:paraId="3E7C9F95" w14:textId="77777777" w:rsidR="005571E5" w:rsidRPr="00273101" w:rsidRDefault="005571E5" w:rsidP="005571E5">
      <w:pPr>
        <w:pStyle w:val="NormalWeb"/>
        <w:spacing w:before="0" w:beforeAutospacing="0" w:after="0" w:afterAutospacing="0"/>
        <w:jc w:val="both"/>
        <w:rPr>
          <w:rFonts w:ascii="Arial" w:hAnsi="Arial" w:cs="Arial"/>
          <w:sz w:val="22"/>
          <w:szCs w:val="22"/>
        </w:rPr>
      </w:pPr>
    </w:p>
    <w:p w14:paraId="4E02F2C4" w14:textId="77777777" w:rsidR="005571E5" w:rsidRDefault="005571E5" w:rsidP="005571E5">
      <w:pPr>
        <w:pStyle w:val="NormalWeb"/>
        <w:spacing w:before="0" w:beforeAutospacing="0" w:after="0" w:afterAutospacing="0"/>
        <w:jc w:val="both"/>
        <w:rPr>
          <w:rFonts w:ascii="Arial" w:hAnsi="Arial" w:cs="Arial"/>
          <w:sz w:val="22"/>
          <w:szCs w:val="22"/>
        </w:rPr>
      </w:pPr>
      <w:r>
        <w:rPr>
          <w:rStyle w:val="Emphasis"/>
          <w:rFonts w:ascii="Arial" w:hAnsi="Arial" w:cs="Arial"/>
          <w:i w:val="0"/>
          <w:sz w:val="22"/>
          <w:szCs w:val="22"/>
        </w:rPr>
        <w:tab/>
      </w:r>
      <w:r w:rsidRPr="00273101">
        <w:rPr>
          <w:rStyle w:val="Emphasis"/>
          <w:rFonts w:ascii="Arial" w:hAnsi="Arial" w:cs="Arial"/>
          <w:i w:val="0"/>
          <w:sz w:val="22"/>
          <w:szCs w:val="22"/>
        </w:rPr>
        <w:t>However,</w:t>
      </w:r>
      <w:r w:rsidRPr="00273101">
        <w:rPr>
          <w:rFonts w:ascii="Arial" w:hAnsi="Arial" w:cs="Arial"/>
          <w:sz w:val="22"/>
          <w:szCs w:val="22"/>
        </w:rPr>
        <w:t xml:space="preserve"> students often struggle with time management, which can hinder their ability to meet goals. Procrastination, particularly with disliked tasks, further complicates the issue. Adams and Blair (2019) highlight that effective time management correlates strongly with better academic outcomes, linking perceived control of time to improved GPA. </w:t>
      </w:r>
      <w:r w:rsidRPr="00273101">
        <w:rPr>
          <w:rStyle w:val="Emphasis"/>
          <w:rFonts w:ascii="Arial" w:hAnsi="Arial" w:cs="Arial"/>
          <w:i w:val="0"/>
          <w:sz w:val="22"/>
          <w:szCs w:val="22"/>
        </w:rPr>
        <w:t>Hence,</w:t>
      </w:r>
      <w:r w:rsidRPr="00273101">
        <w:rPr>
          <w:rFonts w:ascii="Arial" w:hAnsi="Arial" w:cs="Arial"/>
          <w:sz w:val="22"/>
          <w:szCs w:val="22"/>
        </w:rPr>
        <w:t xml:space="preserve"> overcoming procrastination and managing time wisely are essential for maximizing productivity.</w:t>
      </w:r>
    </w:p>
    <w:p w14:paraId="622828A9" w14:textId="77777777" w:rsidR="005571E5" w:rsidRPr="00273101" w:rsidRDefault="005571E5" w:rsidP="005571E5">
      <w:pPr>
        <w:pStyle w:val="NormalWeb"/>
        <w:spacing w:before="0" w:beforeAutospacing="0" w:after="0" w:afterAutospacing="0"/>
        <w:jc w:val="both"/>
        <w:rPr>
          <w:rFonts w:ascii="Arial" w:hAnsi="Arial" w:cs="Arial"/>
          <w:sz w:val="22"/>
          <w:szCs w:val="22"/>
        </w:rPr>
      </w:pPr>
    </w:p>
    <w:p w14:paraId="39ACC4F8" w14:textId="4931705A" w:rsidR="005571E5" w:rsidRPr="00273101" w:rsidRDefault="005571E5" w:rsidP="005571E5">
      <w:pPr>
        <w:pStyle w:val="NormalWeb"/>
        <w:spacing w:before="0" w:beforeAutospacing="0" w:after="0" w:afterAutospacing="0"/>
        <w:jc w:val="both"/>
        <w:rPr>
          <w:rFonts w:ascii="Arial" w:hAnsi="Arial" w:cs="Arial"/>
          <w:sz w:val="22"/>
          <w:szCs w:val="22"/>
        </w:rPr>
      </w:pPr>
      <w:r>
        <w:rPr>
          <w:rStyle w:val="Emphasis"/>
          <w:rFonts w:ascii="Arial" w:hAnsi="Arial" w:cs="Arial"/>
          <w:i w:val="0"/>
          <w:sz w:val="22"/>
          <w:szCs w:val="22"/>
        </w:rPr>
        <w:tab/>
      </w:r>
      <w:r w:rsidRPr="00273101">
        <w:rPr>
          <w:rStyle w:val="Emphasis"/>
          <w:rFonts w:ascii="Arial" w:hAnsi="Arial" w:cs="Arial"/>
          <w:i w:val="0"/>
          <w:sz w:val="22"/>
          <w:szCs w:val="22"/>
        </w:rPr>
        <w:t>Ultimately,</w:t>
      </w:r>
      <w:r w:rsidRPr="00273101">
        <w:rPr>
          <w:rFonts w:ascii="Arial" w:hAnsi="Arial" w:cs="Arial"/>
          <w:sz w:val="22"/>
          <w:szCs w:val="22"/>
        </w:rPr>
        <w:t xml:space="preserve"> studying is more than a skill—it is an art requiring dedication, consistent effort, and practice. </w:t>
      </w:r>
      <w:proofErr w:type="spellStart"/>
      <w:r w:rsidRPr="00273101">
        <w:rPr>
          <w:rFonts w:ascii="Arial" w:hAnsi="Arial" w:cs="Arial"/>
          <w:sz w:val="22"/>
          <w:szCs w:val="22"/>
        </w:rPr>
        <w:t>Arieta</w:t>
      </w:r>
      <w:proofErr w:type="spellEnd"/>
      <w:r w:rsidRPr="00273101">
        <w:rPr>
          <w:rFonts w:ascii="Arial" w:hAnsi="Arial" w:cs="Arial"/>
          <w:sz w:val="22"/>
          <w:szCs w:val="22"/>
        </w:rPr>
        <w:t xml:space="preserve">, </w:t>
      </w:r>
      <w:proofErr w:type="spellStart"/>
      <w:r w:rsidRPr="00273101">
        <w:rPr>
          <w:rFonts w:ascii="Arial" w:hAnsi="Arial" w:cs="Arial"/>
          <w:sz w:val="22"/>
          <w:szCs w:val="22"/>
        </w:rPr>
        <w:t>Gementiza</w:t>
      </w:r>
      <w:proofErr w:type="spellEnd"/>
      <w:r w:rsidRPr="00273101">
        <w:rPr>
          <w:rFonts w:ascii="Arial" w:hAnsi="Arial" w:cs="Arial"/>
          <w:sz w:val="22"/>
          <w:szCs w:val="22"/>
        </w:rPr>
        <w:t xml:space="preserve">, and Saco (2017) argue that success depends not only on intelligence but also on the study habits students develop. Completing assignments, engaging in class, managing time, and maintaining focus are actions positively linked to academic success. Furthermore, Ebele and </w:t>
      </w:r>
      <w:proofErr w:type="spellStart"/>
      <w:r w:rsidRPr="00273101">
        <w:rPr>
          <w:rFonts w:ascii="Arial" w:hAnsi="Arial" w:cs="Arial"/>
          <w:sz w:val="22"/>
          <w:szCs w:val="22"/>
        </w:rPr>
        <w:t>Olofu</w:t>
      </w:r>
      <w:proofErr w:type="spellEnd"/>
      <w:r w:rsidRPr="00273101">
        <w:rPr>
          <w:rFonts w:ascii="Arial" w:hAnsi="Arial" w:cs="Arial"/>
          <w:sz w:val="22"/>
          <w:szCs w:val="22"/>
        </w:rPr>
        <w:t xml:space="preserve"> (2017) emphasize that without developing study habits, students may struggle to overcome learning challenges and improve their performance. </w:t>
      </w:r>
    </w:p>
    <w:p w14:paraId="5D4D4AED" w14:textId="77777777" w:rsidR="00324586" w:rsidRPr="00CC6E6F" w:rsidRDefault="00324586" w:rsidP="006F4A31">
      <w:pPr>
        <w:pStyle w:val="BodyText"/>
        <w:spacing w:after="0" w:line="240" w:lineRule="auto"/>
        <w:jc w:val="both"/>
        <w:rPr>
          <w:rFonts w:ascii="Arial" w:hAnsi="Arial" w:cs="Arial"/>
          <w:color w:val="000000" w:themeColor="text1"/>
        </w:rPr>
      </w:pPr>
    </w:p>
    <w:p w14:paraId="79404B66" w14:textId="78B31020" w:rsidR="00193FDB" w:rsidRPr="00CC6E6F" w:rsidRDefault="009C705E" w:rsidP="006F4A31">
      <w:pPr>
        <w:pStyle w:val="BodyText"/>
        <w:spacing w:after="0" w:line="240" w:lineRule="auto"/>
        <w:jc w:val="both"/>
        <w:rPr>
          <w:rFonts w:ascii="Arial" w:hAnsi="Arial" w:cs="Arial"/>
          <w:color w:val="000000" w:themeColor="text1"/>
        </w:rPr>
      </w:pPr>
      <w:r w:rsidRPr="00CC6E6F">
        <w:rPr>
          <w:rFonts w:ascii="Arial" w:hAnsi="Arial" w:cs="Arial"/>
          <w:color w:val="000000" w:themeColor="text1"/>
        </w:rPr>
        <w:tab/>
        <w:t xml:space="preserve">Numerous studies have explored factors influencing academic performance, with earlier research focusing primarily on cognitive abilities. More recently, attention has shifted to non-cognitive factors, such as study skills (Fazal et al., 2012; Awang &amp; </w:t>
      </w:r>
      <w:proofErr w:type="spellStart"/>
      <w:r w:rsidRPr="00CC6E6F">
        <w:rPr>
          <w:rFonts w:ascii="Arial" w:hAnsi="Arial" w:cs="Arial"/>
          <w:color w:val="000000" w:themeColor="text1"/>
        </w:rPr>
        <w:t>Sinnadurai</w:t>
      </w:r>
      <w:proofErr w:type="spellEnd"/>
      <w:r w:rsidRPr="00CC6E6F">
        <w:rPr>
          <w:rFonts w:ascii="Arial" w:hAnsi="Arial" w:cs="Arial"/>
          <w:color w:val="000000" w:themeColor="text1"/>
        </w:rPr>
        <w:t>, 2011), motivation (</w:t>
      </w:r>
      <w:proofErr w:type="spellStart"/>
      <w:r w:rsidRPr="00CC6E6F">
        <w:rPr>
          <w:rFonts w:ascii="Arial" w:hAnsi="Arial" w:cs="Arial"/>
          <w:color w:val="000000" w:themeColor="text1"/>
        </w:rPr>
        <w:t>Tella</w:t>
      </w:r>
      <w:proofErr w:type="spellEnd"/>
      <w:r w:rsidRPr="00CC6E6F">
        <w:rPr>
          <w:rFonts w:ascii="Arial" w:hAnsi="Arial" w:cs="Arial"/>
          <w:color w:val="000000" w:themeColor="text1"/>
        </w:rPr>
        <w:t xml:space="preserve">, 2007; </w:t>
      </w:r>
      <w:proofErr w:type="spellStart"/>
      <w:r w:rsidRPr="00CC6E6F">
        <w:rPr>
          <w:rFonts w:ascii="Arial" w:hAnsi="Arial" w:cs="Arial"/>
          <w:color w:val="000000" w:themeColor="text1"/>
        </w:rPr>
        <w:t>Nonis</w:t>
      </w:r>
      <w:proofErr w:type="spellEnd"/>
      <w:r w:rsidRPr="00CC6E6F">
        <w:rPr>
          <w:rFonts w:ascii="Arial" w:hAnsi="Arial" w:cs="Arial"/>
          <w:color w:val="000000" w:themeColor="text1"/>
        </w:rPr>
        <w:t xml:space="preserve"> </w:t>
      </w:r>
      <w:r w:rsidR="00692F5E">
        <w:rPr>
          <w:rFonts w:ascii="Arial" w:hAnsi="Arial" w:cs="Arial"/>
          <w:color w:val="000000" w:themeColor="text1"/>
        </w:rPr>
        <w:t>&amp; Hudson, 2008), behavior (</w:t>
      </w:r>
      <w:r w:rsidRPr="00CC6E6F">
        <w:rPr>
          <w:rFonts w:ascii="Arial" w:hAnsi="Arial" w:cs="Arial"/>
          <w:color w:val="000000" w:themeColor="text1"/>
        </w:rPr>
        <w:t>Yang, 2011), and attitude</w:t>
      </w:r>
      <w:r w:rsidR="00692F5E">
        <w:rPr>
          <w:rFonts w:ascii="Arial" w:hAnsi="Arial" w:cs="Arial"/>
          <w:color w:val="000000" w:themeColor="text1"/>
        </w:rPr>
        <w:t>s (Sarwar et al., 2010</w:t>
      </w:r>
      <w:r w:rsidRPr="00CC6E6F">
        <w:rPr>
          <w:rFonts w:ascii="Arial" w:hAnsi="Arial" w:cs="Arial"/>
          <w:color w:val="000000" w:themeColor="text1"/>
        </w:rPr>
        <w:t>). Some researchers argue that these factors significantly impact academic performance, while others suggest that a combination of cognitive and non-cognitive factors offers a more comprehensive explanation.</w:t>
      </w:r>
      <w:r w:rsidR="00981AD3" w:rsidRPr="00CC6E6F">
        <w:rPr>
          <w:rFonts w:ascii="Arial" w:hAnsi="Arial" w:cs="Arial"/>
          <w:color w:val="000000" w:themeColor="text1"/>
        </w:rPr>
        <w:t xml:space="preserve"> </w:t>
      </w:r>
      <w:r w:rsidR="00981AD3" w:rsidRPr="00CC6E6F">
        <w:rPr>
          <w:rStyle w:val="relative"/>
          <w:rFonts w:ascii="Arial" w:hAnsi="Arial" w:cs="Arial"/>
          <w:color w:val="000000" w:themeColor="text1"/>
        </w:rPr>
        <w:t>According to Lucky, et.al. (2018) students who are exposed to peer learning strategies showed significant improvement in their academic achievement compared to those taught using traditional lecture methods.</w:t>
      </w:r>
      <w:r w:rsidR="00981AD3" w:rsidRPr="00CC6E6F">
        <w:rPr>
          <w:rFonts w:ascii="Arial" w:hAnsi="Arial" w:cs="Arial"/>
          <w:color w:val="000000" w:themeColor="text1"/>
        </w:rPr>
        <w:t xml:space="preserve"> </w:t>
      </w:r>
      <w:r w:rsidR="00981AD3" w:rsidRPr="00CC6E6F">
        <w:rPr>
          <w:rStyle w:val="relative"/>
          <w:rFonts w:ascii="Arial" w:hAnsi="Arial" w:cs="Arial"/>
          <w:color w:val="000000" w:themeColor="text1"/>
        </w:rPr>
        <w:t>Additionally, female students benefited more from the peer learning approach than their male counterparts.</w:t>
      </w:r>
    </w:p>
    <w:p w14:paraId="32997813" w14:textId="77777777" w:rsidR="00324586" w:rsidRPr="00CC6E6F" w:rsidRDefault="00324586" w:rsidP="006F4A31">
      <w:pPr>
        <w:pStyle w:val="BodyText"/>
        <w:spacing w:after="0" w:line="240" w:lineRule="auto"/>
        <w:jc w:val="both"/>
        <w:rPr>
          <w:rFonts w:ascii="Arial" w:hAnsi="Arial" w:cs="Arial"/>
          <w:color w:val="000000" w:themeColor="text1"/>
        </w:rPr>
      </w:pPr>
    </w:p>
    <w:p w14:paraId="51E932FB" w14:textId="347D0996" w:rsidR="00193FDB" w:rsidRPr="00CC6E6F" w:rsidRDefault="009C705E" w:rsidP="006F4A31">
      <w:pPr>
        <w:pStyle w:val="BodyText"/>
        <w:spacing w:after="0" w:line="240" w:lineRule="auto"/>
        <w:jc w:val="both"/>
        <w:rPr>
          <w:rFonts w:ascii="Arial" w:hAnsi="Arial" w:cs="Arial"/>
          <w:color w:val="000000" w:themeColor="text1"/>
        </w:rPr>
      </w:pPr>
      <w:r w:rsidRPr="00CC6E6F">
        <w:rPr>
          <w:rFonts w:ascii="Arial" w:hAnsi="Arial" w:cs="Arial"/>
          <w:color w:val="000000" w:themeColor="text1"/>
        </w:rPr>
        <w:tab/>
        <w:t>In essence, study habits reflect the behaviors students adopt in pursuit of their studies, encompassing regular practices like material review and study sessions in a conducive environment. Study attitudes, meanwhile, refer to students’ positive outlook toward studying and their acceptance of educational goals (</w:t>
      </w:r>
      <w:proofErr w:type="spellStart"/>
      <w:r w:rsidRPr="00CC6E6F">
        <w:rPr>
          <w:rFonts w:ascii="Arial" w:hAnsi="Arial" w:cs="Arial"/>
          <w:color w:val="000000" w:themeColor="text1"/>
        </w:rPr>
        <w:t>Crede</w:t>
      </w:r>
      <w:proofErr w:type="spellEnd"/>
      <w:r w:rsidRPr="00CC6E6F">
        <w:rPr>
          <w:rFonts w:ascii="Arial" w:hAnsi="Arial" w:cs="Arial"/>
          <w:color w:val="000000" w:themeColor="text1"/>
        </w:rPr>
        <w:t xml:space="preserve"> &amp; </w:t>
      </w:r>
      <w:proofErr w:type="spellStart"/>
      <w:r w:rsidRPr="00CC6E6F">
        <w:rPr>
          <w:rFonts w:ascii="Arial" w:hAnsi="Arial" w:cs="Arial"/>
          <w:color w:val="000000" w:themeColor="text1"/>
        </w:rPr>
        <w:t>Kuncel</w:t>
      </w:r>
      <w:proofErr w:type="spellEnd"/>
      <w:r w:rsidRPr="00CC6E6F">
        <w:rPr>
          <w:rFonts w:ascii="Arial" w:hAnsi="Arial" w:cs="Arial"/>
          <w:color w:val="000000" w:themeColor="text1"/>
        </w:rPr>
        <w:t>, 2008). Factors like time management, work methods, teacher relations, and the value placed on education shape these habits and attitudes.</w:t>
      </w:r>
      <w:r w:rsidR="005571E5">
        <w:rPr>
          <w:rFonts w:ascii="Arial" w:hAnsi="Arial" w:cs="Arial"/>
          <w:color w:val="000000" w:themeColor="text1"/>
        </w:rPr>
        <w:t xml:space="preserve"> </w:t>
      </w:r>
      <w:r w:rsidR="005571E5" w:rsidRPr="00273101">
        <w:rPr>
          <w:rStyle w:val="Emphasis"/>
          <w:rFonts w:ascii="Arial" w:hAnsi="Arial" w:cs="Arial"/>
          <w:i w:val="0"/>
        </w:rPr>
        <w:t>In conclusion,</w:t>
      </w:r>
      <w:r w:rsidR="005571E5" w:rsidRPr="00273101">
        <w:rPr>
          <w:rFonts w:ascii="Arial" w:hAnsi="Arial" w:cs="Arial"/>
        </w:rPr>
        <w:t xml:space="preserve"> cultivating effective study habits is indispensable for academic excellence.</w:t>
      </w:r>
    </w:p>
    <w:p w14:paraId="7A55B314" w14:textId="77777777" w:rsidR="00324586" w:rsidRPr="00CC6E6F" w:rsidRDefault="00324586" w:rsidP="006F4A31">
      <w:pPr>
        <w:pStyle w:val="BodyText"/>
        <w:spacing w:after="0" w:line="240" w:lineRule="auto"/>
        <w:jc w:val="both"/>
        <w:rPr>
          <w:rFonts w:ascii="Arial" w:hAnsi="Arial" w:cs="Arial"/>
          <w:color w:val="000000" w:themeColor="text1"/>
        </w:rPr>
      </w:pPr>
    </w:p>
    <w:p w14:paraId="44C3F5AF" w14:textId="70BCB49E" w:rsidR="00193FDB" w:rsidRPr="00CC6E6F" w:rsidRDefault="005571E5" w:rsidP="006F4A31">
      <w:pPr>
        <w:pStyle w:val="BodyText"/>
        <w:spacing w:after="0" w:line="240" w:lineRule="auto"/>
        <w:jc w:val="both"/>
        <w:rPr>
          <w:rFonts w:ascii="Arial" w:hAnsi="Arial" w:cs="Arial"/>
          <w:color w:val="000000" w:themeColor="text1"/>
        </w:rPr>
      </w:pPr>
      <w:r>
        <w:rPr>
          <w:rFonts w:ascii="Arial" w:hAnsi="Arial" w:cs="Arial"/>
          <w:color w:val="000000" w:themeColor="text1"/>
        </w:rPr>
        <w:tab/>
        <w:t>This study aimed</w:t>
      </w:r>
      <w:r w:rsidR="009C705E" w:rsidRPr="00CC6E6F">
        <w:rPr>
          <w:rFonts w:ascii="Arial" w:hAnsi="Arial" w:cs="Arial"/>
          <w:color w:val="000000" w:themeColor="text1"/>
        </w:rPr>
        <w:t xml:space="preserve"> to examine the study habits of academic scholars at the University of Eastern Philippines, with the hope that these practices can serve as a model for other students striving to improve their academic performance.</w:t>
      </w:r>
    </w:p>
    <w:p w14:paraId="2CB51850" w14:textId="77777777" w:rsidR="00193FDB" w:rsidRPr="00CC6E6F" w:rsidRDefault="00193FDB" w:rsidP="006F4A31">
      <w:pPr>
        <w:spacing w:after="0" w:line="240" w:lineRule="auto"/>
        <w:ind w:firstLine="720"/>
        <w:jc w:val="both"/>
        <w:rPr>
          <w:rFonts w:ascii="Arial" w:hAnsi="Arial" w:cs="Arial"/>
          <w:b/>
          <w:color w:val="000000" w:themeColor="text1"/>
        </w:rPr>
      </w:pPr>
    </w:p>
    <w:p w14:paraId="3A727175" w14:textId="77777777" w:rsidR="00193FDB" w:rsidRPr="00CC6E6F" w:rsidRDefault="00193FDB" w:rsidP="006F4A31">
      <w:pPr>
        <w:spacing w:after="0" w:line="240" w:lineRule="auto"/>
        <w:jc w:val="both"/>
        <w:rPr>
          <w:rFonts w:ascii="Arial" w:hAnsi="Arial" w:cs="Arial"/>
          <w:b/>
          <w:color w:val="000000" w:themeColor="text1"/>
        </w:rPr>
      </w:pPr>
    </w:p>
    <w:p w14:paraId="5377586A" w14:textId="77777777" w:rsidR="00193FDB" w:rsidRPr="00CC6E6F" w:rsidRDefault="009C705E" w:rsidP="006F4A31">
      <w:pPr>
        <w:spacing w:after="0" w:line="240" w:lineRule="auto"/>
        <w:jc w:val="both"/>
        <w:rPr>
          <w:rFonts w:ascii="Arial" w:hAnsi="Arial" w:cs="Arial"/>
          <w:b/>
          <w:color w:val="000000" w:themeColor="text1"/>
        </w:rPr>
      </w:pPr>
      <w:r w:rsidRPr="00CC6E6F">
        <w:rPr>
          <w:rFonts w:ascii="Arial" w:hAnsi="Arial" w:cs="Arial"/>
          <w:b/>
          <w:color w:val="000000" w:themeColor="text1"/>
        </w:rPr>
        <w:t>OBJECTIVES OF THE STUDY</w:t>
      </w:r>
    </w:p>
    <w:p w14:paraId="2487BC37" w14:textId="77777777" w:rsidR="00193FDB" w:rsidRPr="00CC6E6F" w:rsidRDefault="00193FDB" w:rsidP="006F4A31">
      <w:pPr>
        <w:spacing w:after="0" w:line="240" w:lineRule="auto"/>
        <w:jc w:val="both"/>
        <w:rPr>
          <w:rFonts w:ascii="Arial" w:hAnsi="Arial" w:cs="Arial"/>
          <w:color w:val="000000" w:themeColor="text1"/>
        </w:rPr>
      </w:pPr>
    </w:p>
    <w:p w14:paraId="064C5E6E" w14:textId="77777777" w:rsidR="00193FDB" w:rsidRPr="00CC6E6F" w:rsidRDefault="009C705E" w:rsidP="006F4A31">
      <w:pPr>
        <w:spacing w:after="0" w:line="240" w:lineRule="auto"/>
        <w:ind w:firstLine="720"/>
        <w:jc w:val="both"/>
        <w:rPr>
          <w:rFonts w:ascii="Arial" w:hAnsi="Arial" w:cs="Arial"/>
          <w:color w:val="000000" w:themeColor="text1"/>
        </w:rPr>
      </w:pPr>
      <w:r w:rsidRPr="00CC6E6F">
        <w:rPr>
          <w:rFonts w:ascii="Arial" w:hAnsi="Arial" w:cs="Arial"/>
          <w:color w:val="000000" w:themeColor="text1"/>
        </w:rPr>
        <w:t>The study generally aimed to look into the level of study habits of the academic scholars of the University of Eastern Philippines. It particularly sought to trace the profile of the academic scholars of the University of Eastern Philippines in terms of sex, monthly family income, educational attainment of parents, type of academic scholar, and college where they are enrolled in. It also determined the level of study habits of the academic scholars in the following categories; time management, concentration, note taking, reading comprehension, test preparation and test-taking, reading disposition, writing disposition, and text anxiety management, and looked into the significant relationship between the profile of the respondents and their level of study habits.</w:t>
      </w:r>
    </w:p>
    <w:p w14:paraId="3ACF4A46" w14:textId="77777777" w:rsidR="00193FDB" w:rsidRPr="00CC6E6F" w:rsidRDefault="00193FDB" w:rsidP="006F4A31">
      <w:pPr>
        <w:spacing w:after="0" w:line="240" w:lineRule="auto"/>
        <w:rPr>
          <w:rFonts w:ascii="Arial" w:hAnsi="Arial" w:cs="Arial"/>
          <w:b/>
          <w:color w:val="000000" w:themeColor="text1"/>
        </w:rPr>
      </w:pPr>
    </w:p>
    <w:p w14:paraId="3D612EA1" w14:textId="77777777" w:rsidR="00193FDB" w:rsidRPr="00CC6E6F" w:rsidRDefault="00193FDB" w:rsidP="006F4A31">
      <w:pPr>
        <w:spacing w:after="0" w:line="240" w:lineRule="auto"/>
        <w:rPr>
          <w:rFonts w:ascii="Arial" w:hAnsi="Arial" w:cs="Arial"/>
          <w:b/>
          <w:color w:val="000000" w:themeColor="text1"/>
        </w:rPr>
      </w:pPr>
    </w:p>
    <w:p w14:paraId="5446B01A" w14:textId="77777777" w:rsidR="00193FDB" w:rsidRPr="00CC6E6F" w:rsidRDefault="009C705E" w:rsidP="006F4A31">
      <w:pPr>
        <w:spacing w:after="0" w:line="240" w:lineRule="auto"/>
        <w:rPr>
          <w:rFonts w:ascii="Arial" w:hAnsi="Arial" w:cs="Arial"/>
          <w:b/>
          <w:color w:val="000000" w:themeColor="text1"/>
        </w:rPr>
      </w:pPr>
      <w:r w:rsidRPr="00CC6E6F">
        <w:rPr>
          <w:rFonts w:ascii="Arial" w:hAnsi="Arial" w:cs="Arial"/>
          <w:b/>
          <w:color w:val="000000" w:themeColor="text1"/>
        </w:rPr>
        <w:t>METHODOLOGY</w:t>
      </w:r>
    </w:p>
    <w:p w14:paraId="36DEB894" w14:textId="77777777" w:rsidR="00193FDB" w:rsidRPr="00CC6E6F" w:rsidRDefault="00193FDB" w:rsidP="006F4A31">
      <w:pPr>
        <w:spacing w:after="0" w:line="240" w:lineRule="auto"/>
        <w:jc w:val="both"/>
        <w:rPr>
          <w:rFonts w:ascii="Arial" w:hAnsi="Arial" w:cs="Arial"/>
          <w:color w:val="000000" w:themeColor="text1"/>
        </w:rPr>
      </w:pPr>
    </w:p>
    <w:p w14:paraId="195BC528" w14:textId="77777777" w:rsidR="00193FDB" w:rsidRPr="00CC6E6F" w:rsidRDefault="009C705E" w:rsidP="006F4A31">
      <w:pPr>
        <w:spacing w:after="0" w:line="240" w:lineRule="auto"/>
        <w:ind w:firstLine="720"/>
        <w:jc w:val="both"/>
        <w:rPr>
          <w:rFonts w:ascii="Arial" w:hAnsi="Arial" w:cs="Arial"/>
          <w:color w:val="000000" w:themeColor="text1"/>
        </w:rPr>
      </w:pPr>
      <w:r w:rsidRPr="00CC6E6F">
        <w:rPr>
          <w:rFonts w:ascii="Arial" w:hAnsi="Arial" w:cs="Arial"/>
          <w:color w:val="000000" w:themeColor="text1"/>
        </w:rPr>
        <w:t>The study utilized descriptive-correlational research using 560 academic scholars of the University of Eastern Philippines identified through Slovin’s formula and proportional sampling of the colleges. An adapted survey questionnaire on study habits was used as an instrument to gather data. The data were statistically treated using frequency counts, percentages for the profile of the respondents, means for the level of study habits of the academic scholars, and the multiple regression analysis for the test of significant relationship between variables. The respondents responded for the level of study habits by checking A for Always, O for Often, So for Sometimes, Se for Seldom, and N for Never. The means of the items in the instrument were computed and interpreted using the following; 4:21 – 5.0 Excellent, 3.41 – 4.20 Very Good, 2.61 – 3.40 Good, 1.81 – 2.60 Fair, and 1.00 – 1.80 Poor.</w:t>
      </w:r>
    </w:p>
    <w:p w14:paraId="70A75CA1" w14:textId="77777777" w:rsidR="00193FDB" w:rsidRPr="00CC6E6F" w:rsidRDefault="00193FDB" w:rsidP="006F4A31">
      <w:pPr>
        <w:spacing w:after="0" w:line="240" w:lineRule="auto"/>
        <w:ind w:firstLine="720"/>
        <w:jc w:val="both"/>
        <w:rPr>
          <w:rFonts w:ascii="Arial" w:hAnsi="Arial" w:cs="Arial"/>
          <w:color w:val="000000" w:themeColor="text1"/>
        </w:rPr>
      </w:pPr>
    </w:p>
    <w:p w14:paraId="5F99892B" w14:textId="77777777" w:rsidR="00193FDB" w:rsidRPr="00CC6E6F" w:rsidRDefault="00193FDB" w:rsidP="006F4A31">
      <w:pPr>
        <w:spacing w:after="0" w:line="240" w:lineRule="auto"/>
        <w:ind w:firstLine="720"/>
        <w:jc w:val="both"/>
        <w:rPr>
          <w:rFonts w:ascii="Arial" w:hAnsi="Arial" w:cs="Arial"/>
          <w:color w:val="000000" w:themeColor="text1"/>
        </w:rPr>
      </w:pPr>
    </w:p>
    <w:p w14:paraId="20301A0E" w14:textId="77777777" w:rsidR="00193FDB" w:rsidRPr="00CC6E6F" w:rsidRDefault="009C705E" w:rsidP="006F4A31">
      <w:pPr>
        <w:spacing w:after="0" w:line="240" w:lineRule="auto"/>
        <w:rPr>
          <w:rFonts w:ascii="Arial" w:hAnsi="Arial" w:cs="Arial"/>
          <w:b/>
          <w:color w:val="000000" w:themeColor="text1"/>
        </w:rPr>
      </w:pPr>
      <w:r w:rsidRPr="00CC6E6F">
        <w:rPr>
          <w:rFonts w:ascii="Arial" w:hAnsi="Arial" w:cs="Arial"/>
          <w:b/>
          <w:color w:val="000000" w:themeColor="text1"/>
        </w:rPr>
        <w:t>RESULTS AND DISCUSSION</w:t>
      </w:r>
    </w:p>
    <w:p w14:paraId="70643FFC" w14:textId="77777777" w:rsidR="00193FDB" w:rsidRPr="00CC6E6F" w:rsidRDefault="00193FDB" w:rsidP="006F4A31">
      <w:pPr>
        <w:spacing w:after="0" w:line="240" w:lineRule="auto"/>
        <w:rPr>
          <w:rFonts w:ascii="Arial" w:hAnsi="Arial" w:cs="Arial"/>
          <w:color w:val="000000" w:themeColor="text1"/>
        </w:rPr>
      </w:pPr>
    </w:p>
    <w:p w14:paraId="50F78987" w14:textId="77777777" w:rsidR="00193FDB" w:rsidRPr="00CC6E6F" w:rsidRDefault="00193FDB" w:rsidP="006F4A31">
      <w:pPr>
        <w:spacing w:after="0" w:line="240" w:lineRule="auto"/>
        <w:rPr>
          <w:rFonts w:ascii="Arial" w:hAnsi="Arial" w:cs="Arial"/>
          <w:color w:val="000000" w:themeColor="text1"/>
        </w:rPr>
      </w:pPr>
    </w:p>
    <w:p w14:paraId="4363D7EF"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lastRenderedPageBreak/>
        <w:t>Table 1. Sex of the Respondents</w:t>
      </w:r>
    </w:p>
    <w:p w14:paraId="685FC822" w14:textId="77777777" w:rsidR="00193FDB" w:rsidRPr="00CC6E6F" w:rsidRDefault="00193FDB" w:rsidP="006F4A31">
      <w:pPr>
        <w:spacing w:after="0" w:line="240" w:lineRule="auto"/>
        <w:jc w:val="center"/>
        <w:rPr>
          <w:rFonts w:ascii="Arial" w:hAnsi="Arial" w:cs="Arial"/>
          <w:color w:val="000000" w:themeColor="text1"/>
        </w:rPr>
      </w:pPr>
    </w:p>
    <w:tbl>
      <w:tblPr>
        <w:tblW w:w="4819" w:type="dxa"/>
        <w:jc w:val="center"/>
        <w:tblLayout w:type="fixed"/>
        <w:tblCellMar>
          <w:top w:w="30" w:type="dxa"/>
          <w:left w:w="30" w:type="dxa"/>
          <w:bottom w:w="30" w:type="dxa"/>
          <w:right w:w="30" w:type="dxa"/>
        </w:tblCellMar>
        <w:tblLook w:val="0000" w:firstRow="0" w:lastRow="0" w:firstColumn="0" w:lastColumn="0" w:noHBand="0" w:noVBand="0"/>
      </w:tblPr>
      <w:tblGrid>
        <w:gridCol w:w="2126"/>
        <w:gridCol w:w="1170"/>
        <w:gridCol w:w="1523"/>
      </w:tblGrid>
      <w:tr w:rsidR="00CC6E6F" w:rsidRPr="00CC6E6F" w14:paraId="3407D7AA" w14:textId="77777777" w:rsidTr="003D467D">
        <w:trPr>
          <w:cantSplit/>
          <w:trHeight w:val="104"/>
          <w:tblHeader/>
          <w:jc w:val="center"/>
        </w:trPr>
        <w:tc>
          <w:tcPr>
            <w:tcW w:w="2126" w:type="dxa"/>
            <w:tcBorders>
              <w:top w:val="single" w:sz="4" w:space="0" w:color="000000"/>
              <w:bottom w:val="single" w:sz="4" w:space="0" w:color="000000"/>
            </w:tcBorders>
            <w:shd w:val="clear" w:color="auto" w:fill="D9D9D9" w:themeFill="background1" w:themeFillShade="D9"/>
          </w:tcPr>
          <w:p w14:paraId="3D8DB82A" w14:textId="77777777" w:rsidR="00193FDB" w:rsidRPr="00CC6E6F" w:rsidRDefault="00193FDB" w:rsidP="006F4A31">
            <w:pPr>
              <w:spacing w:after="0" w:line="240" w:lineRule="auto"/>
              <w:rPr>
                <w:rFonts w:ascii="Arial" w:hAnsi="Arial" w:cs="Arial"/>
                <w:color w:val="000000" w:themeColor="text1"/>
              </w:rPr>
            </w:pPr>
          </w:p>
        </w:tc>
        <w:tc>
          <w:tcPr>
            <w:tcW w:w="1170" w:type="dxa"/>
            <w:tcBorders>
              <w:top w:val="single" w:sz="4" w:space="0" w:color="000000"/>
              <w:bottom w:val="single" w:sz="4" w:space="0" w:color="000000"/>
            </w:tcBorders>
            <w:shd w:val="clear" w:color="auto" w:fill="D9D9D9" w:themeFill="background1" w:themeFillShade="D9"/>
            <w:vAlign w:val="center"/>
          </w:tcPr>
          <w:p w14:paraId="00DEE7BF"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Frequency</w:t>
            </w:r>
          </w:p>
        </w:tc>
        <w:tc>
          <w:tcPr>
            <w:tcW w:w="1523" w:type="dxa"/>
            <w:tcBorders>
              <w:top w:val="single" w:sz="4" w:space="0" w:color="000000"/>
              <w:bottom w:val="single" w:sz="4" w:space="0" w:color="000000"/>
            </w:tcBorders>
            <w:shd w:val="clear" w:color="auto" w:fill="D9D9D9" w:themeFill="background1" w:themeFillShade="D9"/>
            <w:vAlign w:val="center"/>
          </w:tcPr>
          <w:p w14:paraId="026D3E9E"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Percent</w:t>
            </w:r>
          </w:p>
        </w:tc>
      </w:tr>
      <w:tr w:rsidR="00CC6E6F" w:rsidRPr="00CC6E6F" w14:paraId="4EF23E52" w14:textId="77777777">
        <w:trPr>
          <w:cantSplit/>
          <w:tblHeader/>
          <w:jc w:val="center"/>
        </w:trPr>
        <w:tc>
          <w:tcPr>
            <w:tcW w:w="2126" w:type="dxa"/>
            <w:tcBorders>
              <w:top w:val="single" w:sz="4" w:space="0" w:color="000000"/>
            </w:tcBorders>
            <w:shd w:val="clear" w:color="auto" w:fill="FFFFFF"/>
          </w:tcPr>
          <w:p w14:paraId="2BE976CD" w14:textId="77777777" w:rsidR="00193FDB" w:rsidRPr="00CC6E6F" w:rsidRDefault="009C705E" w:rsidP="006F4A31">
            <w:pPr>
              <w:spacing w:after="0" w:line="240" w:lineRule="auto"/>
              <w:rPr>
                <w:rFonts w:ascii="Arial" w:hAnsi="Arial" w:cs="Arial"/>
                <w:color w:val="000000" w:themeColor="text1"/>
              </w:rPr>
            </w:pPr>
            <w:r w:rsidRPr="00CC6E6F">
              <w:rPr>
                <w:rFonts w:ascii="Arial" w:hAnsi="Arial" w:cs="Arial"/>
                <w:color w:val="000000" w:themeColor="text1"/>
              </w:rPr>
              <w:t>Male</w:t>
            </w:r>
          </w:p>
        </w:tc>
        <w:tc>
          <w:tcPr>
            <w:tcW w:w="1170" w:type="dxa"/>
            <w:tcBorders>
              <w:top w:val="single" w:sz="4" w:space="0" w:color="000000"/>
            </w:tcBorders>
            <w:shd w:val="clear" w:color="auto" w:fill="FFFFFF"/>
            <w:vAlign w:val="center"/>
          </w:tcPr>
          <w:p w14:paraId="367F6017"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188</w:t>
            </w:r>
          </w:p>
        </w:tc>
        <w:tc>
          <w:tcPr>
            <w:tcW w:w="1523" w:type="dxa"/>
            <w:tcBorders>
              <w:top w:val="single" w:sz="4" w:space="0" w:color="000000"/>
            </w:tcBorders>
            <w:shd w:val="clear" w:color="auto" w:fill="FFFFFF"/>
            <w:vAlign w:val="center"/>
          </w:tcPr>
          <w:p w14:paraId="4F962ABC"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33.6</w:t>
            </w:r>
          </w:p>
        </w:tc>
      </w:tr>
      <w:tr w:rsidR="00CC6E6F" w:rsidRPr="00CC6E6F" w14:paraId="08B912F0" w14:textId="77777777">
        <w:trPr>
          <w:cantSplit/>
          <w:tblHeader/>
          <w:jc w:val="center"/>
        </w:trPr>
        <w:tc>
          <w:tcPr>
            <w:tcW w:w="2126" w:type="dxa"/>
            <w:tcBorders>
              <w:bottom w:val="single" w:sz="4" w:space="0" w:color="000000"/>
            </w:tcBorders>
            <w:shd w:val="clear" w:color="auto" w:fill="FFFFFF"/>
          </w:tcPr>
          <w:p w14:paraId="3E4DA954" w14:textId="77777777" w:rsidR="00193FDB" w:rsidRPr="00CC6E6F" w:rsidRDefault="009C705E" w:rsidP="006F4A31">
            <w:pPr>
              <w:spacing w:after="0" w:line="240" w:lineRule="auto"/>
              <w:rPr>
                <w:rFonts w:ascii="Arial" w:hAnsi="Arial" w:cs="Arial"/>
                <w:color w:val="000000" w:themeColor="text1"/>
              </w:rPr>
            </w:pPr>
            <w:r w:rsidRPr="00CC6E6F">
              <w:rPr>
                <w:rFonts w:ascii="Arial" w:hAnsi="Arial" w:cs="Arial"/>
                <w:color w:val="000000" w:themeColor="text1"/>
              </w:rPr>
              <w:t>Female</w:t>
            </w:r>
          </w:p>
        </w:tc>
        <w:tc>
          <w:tcPr>
            <w:tcW w:w="1170" w:type="dxa"/>
            <w:tcBorders>
              <w:bottom w:val="single" w:sz="4" w:space="0" w:color="000000"/>
            </w:tcBorders>
            <w:shd w:val="clear" w:color="auto" w:fill="FFFFFF"/>
            <w:vAlign w:val="center"/>
          </w:tcPr>
          <w:p w14:paraId="4465D7AD"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372</w:t>
            </w:r>
          </w:p>
        </w:tc>
        <w:tc>
          <w:tcPr>
            <w:tcW w:w="1523" w:type="dxa"/>
            <w:tcBorders>
              <w:bottom w:val="single" w:sz="4" w:space="0" w:color="000000"/>
            </w:tcBorders>
            <w:shd w:val="clear" w:color="auto" w:fill="FFFFFF"/>
            <w:vAlign w:val="center"/>
          </w:tcPr>
          <w:p w14:paraId="120FF1B9"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66.4</w:t>
            </w:r>
          </w:p>
        </w:tc>
      </w:tr>
      <w:tr w:rsidR="00CC6E6F" w:rsidRPr="00CC6E6F" w14:paraId="5AE912EB" w14:textId="77777777">
        <w:trPr>
          <w:cantSplit/>
          <w:tblHeader/>
          <w:jc w:val="center"/>
        </w:trPr>
        <w:tc>
          <w:tcPr>
            <w:tcW w:w="2126" w:type="dxa"/>
            <w:tcBorders>
              <w:top w:val="single" w:sz="4" w:space="0" w:color="000000"/>
              <w:bottom w:val="single" w:sz="4" w:space="0" w:color="000000"/>
            </w:tcBorders>
            <w:shd w:val="clear" w:color="auto" w:fill="D9D9D9" w:themeFill="background1" w:themeFillShade="D9"/>
          </w:tcPr>
          <w:p w14:paraId="3F1834AA" w14:textId="77777777" w:rsidR="00193FDB" w:rsidRPr="00CC6E6F" w:rsidRDefault="009C705E" w:rsidP="006F4A31">
            <w:pPr>
              <w:spacing w:after="0" w:line="240" w:lineRule="auto"/>
              <w:rPr>
                <w:rFonts w:ascii="Arial" w:hAnsi="Arial" w:cs="Arial"/>
                <w:color w:val="000000" w:themeColor="text1"/>
              </w:rPr>
            </w:pPr>
            <w:r w:rsidRPr="00CC6E6F">
              <w:rPr>
                <w:rFonts w:ascii="Arial" w:hAnsi="Arial" w:cs="Arial"/>
                <w:color w:val="000000" w:themeColor="text1"/>
              </w:rPr>
              <w:t>Total</w:t>
            </w:r>
          </w:p>
        </w:tc>
        <w:tc>
          <w:tcPr>
            <w:tcW w:w="1170" w:type="dxa"/>
            <w:tcBorders>
              <w:top w:val="single" w:sz="4" w:space="0" w:color="000000"/>
              <w:bottom w:val="single" w:sz="4" w:space="0" w:color="000000"/>
            </w:tcBorders>
            <w:shd w:val="clear" w:color="auto" w:fill="D9D9D9" w:themeFill="background1" w:themeFillShade="D9"/>
            <w:vAlign w:val="center"/>
          </w:tcPr>
          <w:p w14:paraId="1EA92F6F"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560</w:t>
            </w:r>
          </w:p>
        </w:tc>
        <w:tc>
          <w:tcPr>
            <w:tcW w:w="1523" w:type="dxa"/>
            <w:tcBorders>
              <w:top w:val="single" w:sz="4" w:space="0" w:color="000000"/>
              <w:bottom w:val="single" w:sz="4" w:space="0" w:color="000000"/>
            </w:tcBorders>
            <w:shd w:val="clear" w:color="auto" w:fill="D9D9D9" w:themeFill="background1" w:themeFillShade="D9"/>
            <w:vAlign w:val="center"/>
          </w:tcPr>
          <w:p w14:paraId="5B8D6859"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100</w:t>
            </w:r>
          </w:p>
        </w:tc>
      </w:tr>
    </w:tbl>
    <w:p w14:paraId="3A87B37D" w14:textId="77777777" w:rsidR="00193FDB" w:rsidRPr="00CC6E6F" w:rsidRDefault="00193FDB" w:rsidP="006F4A31">
      <w:pPr>
        <w:spacing w:after="0" w:line="240" w:lineRule="auto"/>
        <w:jc w:val="center"/>
        <w:rPr>
          <w:rFonts w:ascii="Arial" w:hAnsi="Arial" w:cs="Arial"/>
          <w:color w:val="000000" w:themeColor="text1"/>
        </w:rPr>
      </w:pPr>
    </w:p>
    <w:p w14:paraId="02FD8E64" w14:textId="77777777" w:rsidR="00193FDB" w:rsidRPr="00CC6E6F" w:rsidRDefault="00193FDB" w:rsidP="006F4A31">
      <w:pPr>
        <w:spacing w:after="0" w:line="240" w:lineRule="auto"/>
        <w:jc w:val="center"/>
        <w:rPr>
          <w:rFonts w:ascii="Arial" w:hAnsi="Arial" w:cs="Arial"/>
          <w:color w:val="000000" w:themeColor="text1"/>
        </w:rPr>
      </w:pPr>
    </w:p>
    <w:p w14:paraId="544C4CD9" w14:textId="77777777" w:rsidR="00193FDB" w:rsidRPr="00CC6E6F" w:rsidRDefault="009C705E" w:rsidP="006F4A31">
      <w:pPr>
        <w:spacing w:after="0" w:line="240" w:lineRule="auto"/>
        <w:ind w:firstLine="720"/>
        <w:jc w:val="both"/>
        <w:rPr>
          <w:rFonts w:ascii="Arial" w:hAnsi="Arial" w:cs="Arial"/>
          <w:color w:val="000000" w:themeColor="text1"/>
        </w:rPr>
      </w:pPr>
      <w:r w:rsidRPr="00CC6E6F">
        <w:rPr>
          <w:rFonts w:ascii="Arial" w:hAnsi="Arial" w:cs="Arial"/>
          <w:color w:val="000000" w:themeColor="text1"/>
        </w:rPr>
        <w:t>Table 1 presents the sex of the respondents. The table shows that majority of the academic scholars of the University of Eastern Philippines are female.</w:t>
      </w:r>
    </w:p>
    <w:p w14:paraId="0E2CF55B" w14:textId="77777777" w:rsidR="00193FDB" w:rsidRPr="00CC6E6F" w:rsidRDefault="00193FDB" w:rsidP="006F4A31">
      <w:pPr>
        <w:spacing w:after="0" w:line="240" w:lineRule="auto"/>
        <w:jc w:val="both"/>
        <w:rPr>
          <w:rFonts w:ascii="Arial" w:hAnsi="Arial" w:cs="Arial"/>
          <w:color w:val="000000" w:themeColor="text1"/>
        </w:rPr>
      </w:pPr>
    </w:p>
    <w:p w14:paraId="6DCD6A57" w14:textId="77777777" w:rsidR="00193FDB" w:rsidRPr="00CC6E6F" w:rsidRDefault="00193FDB" w:rsidP="006F4A31">
      <w:pPr>
        <w:spacing w:after="0" w:line="240" w:lineRule="auto"/>
        <w:jc w:val="both"/>
        <w:rPr>
          <w:rFonts w:ascii="Arial" w:hAnsi="Arial" w:cs="Arial"/>
          <w:color w:val="000000" w:themeColor="text1"/>
        </w:rPr>
      </w:pPr>
    </w:p>
    <w:p w14:paraId="7C7573FA" w14:textId="77777777" w:rsidR="003D467D" w:rsidRPr="00CC6E6F" w:rsidRDefault="003D467D" w:rsidP="006F4A31">
      <w:pPr>
        <w:spacing w:after="0" w:line="240" w:lineRule="auto"/>
        <w:jc w:val="both"/>
        <w:rPr>
          <w:rFonts w:ascii="Arial" w:hAnsi="Arial" w:cs="Arial"/>
          <w:color w:val="000000" w:themeColor="text1"/>
        </w:rPr>
      </w:pPr>
    </w:p>
    <w:p w14:paraId="40EF3F12" w14:textId="77777777" w:rsidR="003D467D" w:rsidRPr="00CC6E6F" w:rsidRDefault="003D467D" w:rsidP="006F4A31">
      <w:pPr>
        <w:spacing w:after="0" w:line="240" w:lineRule="auto"/>
        <w:jc w:val="both"/>
        <w:rPr>
          <w:rFonts w:ascii="Arial" w:hAnsi="Arial" w:cs="Arial"/>
          <w:color w:val="000000" w:themeColor="text1"/>
        </w:rPr>
      </w:pPr>
    </w:p>
    <w:p w14:paraId="35537C1E" w14:textId="77777777" w:rsidR="003D467D" w:rsidRPr="00CC6E6F" w:rsidRDefault="003D467D" w:rsidP="006F4A31">
      <w:pPr>
        <w:spacing w:after="0" w:line="240" w:lineRule="auto"/>
        <w:jc w:val="both"/>
        <w:rPr>
          <w:rFonts w:ascii="Arial" w:hAnsi="Arial" w:cs="Arial"/>
          <w:color w:val="000000" w:themeColor="text1"/>
        </w:rPr>
      </w:pPr>
    </w:p>
    <w:p w14:paraId="5ECD57EC"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Table 2. Monthly Family Income</w:t>
      </w:r>
    </w:p>
    <w:p w14:paraId="06B2EE73" w14:textId="77777777" w:rsidR="00193FDB" w:rsidRPr="00CC6E6F" w:rsidRDefault="00193FDB" w:rsidP="006F4A31">
      <w:pPr>
        <w:spacing w:after="0" w:line="240" w:lineRule="auto"/>
        <w:jc w:val="center"/>
        <w:rPr>
          <w:rFonts w:ascii="Arial" w:hAnsi="Arial" w:cs="Arial"/>
          <w:color w:val="000000" w:themeColor="text1"/>
        </w:rPr>
      </w:pPr>
    </w:p>
    <w:tbl>
      <w:tblPr>
        <w:tblW w:w="6498" w:type="dxa"/>
        <w:jc w:val="center"/>
        <w:tblLayout w:type="fixed"/>
        <w:tblCellMar>
          <w:top w:w="30" w:type="dxa"/>
          <w:left w:w="30" w:type="dxa"/>
          <w:bottom w:w="30" w:type="dxa"/>
          <w:right w:w="30" w:type="dxa"/>
        </w:tblCellMar>
        <w:tblLook w:val="0000" w:firstRow="0" w:lastRow="0" w:firstColumn="0" w:lastColumn="0" w:noHBand="0" w:noVBand="0"/>
      </w:tblPr>
      <w:tblGrid>
        <w:gridCol w:w="3310"/>
        <w:gridCol w:w="1456"/>
        <w:gridCol w:w="1732"/>
      </w:tblGrid>
      <w:tr w:rsidR="00CC6E6F" w:rsidRPr="00CC6E6F" w14:paraId="10A452FB" w14:textId="77777777">
        <w:trPr>
          <w:cantSplit/>
          <w:tblHeader/>
          <w:jc w:val="center"/>
        </w:trPr>
        <w:tc>
          <w:tcPr>
            <w:tcW w:w="3310" w:type="dxa"/>
            <w:tcBorders>
              <w:top w:val="single" w:sz="4" w:space="0" w:color="000000"/>
              <w:bottom w:val="single" w:sz="4" w:space="0" w:color="000000"/>
            </w:tcBorders>
            <w:shd w:val="clear" w:color="auto" w:fill="D9D9D9" w:themeFill="background1" w:themeFillShade="D9"/>
          </w:tcPr>
          <w:p w14:paraId="197272F8" w14:textId="77777777" w:rsidR="00193FDB" w:rsidRPr="00CC6E6F" w:rsidRDefault="00193FDB" w:rsidP="006F4A31">
            <w:pPr>
              <w:spacing w:after="0" w:line="240" w:lineRule="auto"/>
              <w:rPr>
                <w:rFonts w:ascii="Arial" w:hAnsi="Arial" w:cs="Arial"/>
                <w:color w:val="000000" w:themeColor="text1"/>
              </w:rPr>
            </w:pPr>
          </w:p>
        </w:tc>
        <w:tc>
          <w:tcPr>
            <w:tcW w:w="1456" w:type="dxa"/>
            <w:tcBorders>
              <w:top w:val="single" w:sz="4" w:space="0" w:color="000000"/>
              <w:bottom w:val="single" w:sz="4" w:space="0" w:color="000000"/>
            </w:tcBorders>
            <w:shd w:val="clear" w:color="auto" w:fill="D9D9D9" w:themeFill="background1" w:themeFillShade="D9"/>
            <w:vAlign w:val="bottom"/>
          </w:tcPr>
          <w:p w14:paraId="56B1489E"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Frequency</w:t>
            </w:r>
          </w:p>
        </w:tc>
        <w:tc>
          <w:tcPr>
            <w:tcW w:w="1732" w:type="dxa"/>
            <w:tcBorders>
              <w:top w:val="single" w:sz="4" w:space="0" w:color="000000"/>
              <w:bottom w:val="single" w:sz="4" w:space="0" w:color="000000"/>
            </w:tcBorders>
            <w:shd w:val="clear" w:color="auto" w:fill="D9D9D9" w:themeFill="background1" w:themeFillShade="D9"/>
            <w:vAlign w:val="bottom"/>
          </w:tcPr>
          <w:p w14:paraId="6A3BBBE6"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Percent</w:t>
            </w:r>
          </w:p>
        </w:tc>
      </w:tr>
      <w:tr w:rsidR="00CC6E6F" w:rsidRPr="00CC6E6F" w14:paraId="6F4627AA" w14:textId="77777777">
        <w:trPr>
          <w:cantSplit/>
          <w:tblHeader/>
          <w:jc w:val="center"/>
        </w:trPr>
        <w:tc>
          <w:tcPr>
            <w:tcW w:w="3310" w:type="dxa"/>
            <w:tcBorders>
              <w:top w:val="single" w:sz="4" w:space="0" w:color="000000"/>
            </w:tcBorders>
            <w:shd w:val="clear" w:color="auto" w:fill="FFFFFF"/>
          </w:tcPr>
          <w:p w14:paraId="0B10144B" w14:textId="77777777" w:rsidR="00193FDB" w:rsidRPr="00CC6E6F" w:rsidRDefault="009C705E" w:rsidP="006F4A31">
            <w:pPr>
              <w:spacing w:after="0" w:line="240" w:lineRule="auto"/>
              <w:rPr>
                <w:rFonts w:ascii="Arial" w:hAnsi="Arial" w:cs="Arial"/>
                <w:color w:val="000000" w:themeColor="text1"/>
              </w:rPr>
            </w:pPr>
            <w:r w:rsidRPr="00CC6E6F">
              <w:rPr>
                <w:rFonts w:ascii="Arial" w:hAnsi="Arial" w:cs="Arial"/>
                <w:color w:val="000000" w:themeColor="text1"/>
              </w:rPr>
              <w:t>10 000 – below</w:t>
            </w:r>
          </w:p>
        </w:tc>
        <w:tc>
          <w:tcPr>
            <w:tcW w:w="1456" w:type="dxa"/>
            <w:tcBorders>
              <w:top w:val="single" w:sz="4" w:space="0" w:color="000000"/>
            </w:tcBorders>
            <w:shd w:val="clear" w:color="auto" w:fill="FFFFFF"/>
            <w:vAlign w:val="center"/>
          </w:tcPr>
          <w:p w14:paraId="02E74210"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311</w:t>
            </w:r>
          </w:p>
        </w:tc>
        <w:tc>
          <w:tcPr>
            <w:tcW w:w="1732" w:type="dxa"/>
            <w:tcBorders>
              <w:top w:val="single" w:sz="4" w:space="0" w:color="000000"/>
            </w:tcBorders>
            <w:shd w:val="clear" w:color="auto" w:fill="FFFFFF"/>
            <w:vAlign w:val="center"/>
          </w:tcPr>
          <w:p w14:paraId="7CDE17DB"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55.5</w:t>
            </w:r>
          </w:p>
        </w:tc>
      </w:tr>
      <w:tr w:rsidR="00CC6E6F" w:rsidRPr="00CC6E6F" w14:paraId="169591E5" w14:textId="77777777">
        <w:trPr>
          <w:cantSplit/>
          <w:tblHeader/>
          <w:jc w:val="center"/>
        </w:trPr>
        <w:tc>
          <w:tcPr>
            <w:tcW w:w="3310" w:type="dxa"/>
            <w:shd w:val="clear" w:color="auto" w:fill="FFFFFF"/>
          </w:tcPr>
          <w:p w14:paraId="716CA64E" w14:textId="77777777" w:rsidR="00193FDB" w:rsidRPr="00CC6E6F" w:rsidRDefault="009C705E" w:rsidP="006F4A31">
            <w:pPr>
              <w:spacing w:after="0" w:line="240" w:lineRule="auto"/>
              <w:rPr>
                <w:rFonts w:ascii="Arial" w:hAnsi="Arial" w:cs="Arial"/>
                <w:color w:val="000000" w:themeColor="text1"/>
              </w:rPr>
            </w:pPr>
            <w:r w:rsidRPr="00CC6E6F">
              <w:rPr>
                <w:rFonts w:ascii="Arial" w:hAnsi="Arial" w:cs="Arial"/>
                <w:color w:val="000000" w:themeColor="text1"/>
              </w:rPr>
              <w:t>10 001 – 20 000</w:t>
            </w:r>
          </w:p>
        </w:tc>
        <w:tc>
          <w:tcPr>
            <w:tcW w:w="1456" w:type="dxa"/>
            <w:shd w:val="clear" w:color="auto" w:fill="FFFFFF"/>
            <w:vAlign w:val="center"/>
          </w:tcPr>
          <w:p w14:paraId="703500C9"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127</w:t>
            </w:r>
          </w:p>
        </w:tc>
        <w:tc>
          <w:tcPr>
            <w:tcW w:w="1732" w:type="dxa"/>
            <w:shd w:val="clear" w:color="auto" w:fill="FFFFFF"/>
            <w:vAlign w:val="center"/>
          </w:tcPr>
          <w:p w14:paraId="3C6C0200"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22.7</w:t>
            </w:r>
          </w:p>
        </w:tc>
      </w:tr>
      <w:tr w:rsidR="00CC6E6F" w:rsidRPr="00CC6E6F" w14:paraId="20F7B9A3" w14:textId="77777777">
        <w:trPr>
          <w:cantSplit/>
          <w:tblHeader/>
          <w:jc w:val="center"/>
        </w:trPr>
        <w:tc>
          <w:tcPr>
            <w:tcW w:w="3310" w:type="dxa"/>
            <w:shd w:val="clear" w:color="auto" w:fill="FFFFFF"/>
          </w:tcPr>
          <w:p w14:paraId="030AB425" w14:textId="77777777" w:rsidR="00193FDB" w:rsidRPr="00CC6E6F" w:rsidRDefault="009C705E" w:rsidP="006F4A31">
            <w:pPr>
              <w:spacing w:after="0" w:line="240" w:lineRule="auto"/>
              <w:rPr>
                <w:rFonts w:ascii="Arial" w:hAnsi="Arial" w:cs="Arial"/>
                <w:color w:val="000000" w:themeColor="text1"/>
              </w:rPr>
            </w:pPr>
            <w:r w:rsidRPr="00CC6E6F">
              <w:rPr>
                <w:rFonts w:ascii="Arial" w:hAnsi="Arial" w:cs="Arial"/>
                <w:color w:val="000000" w:themeColor="text1"/>
              </w:rPr>
              <w:t>20 001 – 30 000</w:t>
            </w:r>
          </w:p>
        </w:tc>
        <w:tc>
          <w:tcPr>
            <w:tcW w:w="1456" w:type="dxa"/>
            <w:shd w:val="clear" w:color="auto" w:fill="FFFFFF"/>
            <w:vAlign w:val="center"/>
          </w:tcPr>
          <w:p w14:paraId="4CAD9A86"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80</w:t>
            </w:r>
          </w:p>
        </w:tc>
        <w:tc>
          <w:tcPr>
            <w:tcW w:w="1732" w:type="dxa"/>
            <w:shd w:val="clear" w:color="auto" w:fill="FFFFFF"/>
            <w:vAlign w:val="center"/>
          </w:tcPr>
          <w:p w14:paraId="3B0DF188"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14.3</w:t>
            </w:r>
          </w:p>
        </w:tc>
      </w:tr>
      <w:tr w:rsidR="00CC6E6F" w:rsidRPr="00CC6E6F" w14:paraId="3F0C162D" w14:textId="77777777">
        <w:trPr>
          <w:cantSplit/>
          <w:tblHeader/>
          <w:jc w:val="center"/>
        </w:trPr>
        <w:tc>
          <w:tcPr>
            <w:tcW w:w="3310" w:type="dxa"/>
            <w:shd w:val="clear" w:color="auto" w:fill="FFFFFF"/>
          </w:tcPr>
          <w:p w14:paraId="5A9963C7" w14:textId="77777777" w:rsidR="00193FDB" w:rsidRPr="00CC6E6F" w:rsidRDefault="009C705E" w:rsidP="006F4A31">
            <w:pPr>
              <w:spacing w:after="0" w:line="240" w:lineRule="auto"/>
              <w:rPr>
                <w:rFonts w:ascii="Arial" w:hAnsi="Arial" w:cs="Arial"/>
                <w:color w:val="000000" w:themeColor="text1"/>
              </w:rPr>
            </w:pPr>
            <w:r w:rsidRPr="00CC6E6F">
              <w:rPr>
                <w:rFonts w:ascii="Arial" w:hAnsi="Arial" w:cs="Arial"/>
                <w:color w:val="000000" w:themeColor="text1"/>
              </w:rPr>
              <w:t>30 001 – 40 000</w:t>
            </w:r>
          </w:p>
        </w:tc>
        <w:tc>
          <w:tcPr>
            <w:tcW w:w="1456" w:type="dxa"/>
            <w:shd w:val="clear" w:color="auto" w:fill="FFFFFF"/>
            <w:vAlign w:val="center"/>
          </w:tcPr>
          <w:p w14:paraId="4995A0A9"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19</w:t>
            </w:r>
          </w:p>
        </w:tc>
        <w:tc>
          <w:tcPr>
            <w:tcW w:w="1732" w:type="dxa"/>
            <w:shd w:val="clear" w:color="auto" w:fill="FFFFFF"/>
            <w:vAlign w:val="center"/>
          </w:tcPr>
          <w:p w14:paraId="0C41454B"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3.4</w:t>
            </w:r>
          </w:p>
        </w:tc>
      </w:tr>
      <w:tr w:rsidR="00CC6E6F" w:rsidRPr="00CC6E6F" w14:paraId="6AF8D177" w14:textId="77777777">
        <w:trPr>
          <w:cantSplit/>
          <w:tblHeader/>
          <w:jc w:val="center"/>
        </w:trPr>
        <w:tc>
          <w:tcPr>
            <w:tcW w:w="3310" w:type="dxa"/>
            <w:tcBorders>
              <w:bottom w:val="single" w:sz="4" w:space="0" w:color="000000"/>
            </w:tcBorders>
            <w:shd w:val="clear" w:color="auto" w:fill="FFFFFF"/>
          </w:tcPr>
          <w:p w14:paraId="4DBBA493" w14:textId="77777777" w:rsidR="00193FDB" w:rsidRPr="00CC6E6F" w:rsidRDefault="009C705E" w:rsidP="006F4A31">
            <w:pPr>
              <w:spacing w:after="0" w:line="240" w:lineRule="auto"/>
              <w:rPr>
                <w:rFonts w:ascii="Arial" w:hAnsi="Arial" w:cs="Arial"/>
                <w:color w:val="000000" w:themeColor="text1"/>
              </w:rPr>
            </w:pPr>
            <w:r w:rsidRPr="00CC6E6F">
              <w:rPr>
                <w:rFonts w:ascii="Arial" w:hAnsi="Arial" w:cs="Arial"/>
                <w:color w:val="000000" w:themeColor="text1"/>
              </w:rPr>
              <w:t>40 001 - above</w:t>
            </w:r>
          </w:p>
        </w:tc>
        <w:tc>
          <w:tcPr>
            <w:tcW w:w="1456" w:type="dxa"/>
            <w:tcBorders>
              <w:bottom w:val="single" w:sz="4" w:space="0" w:color="000000"/>
            </w:tcBorders>
            <w:shd w:val="clear" w:color="auto" w:fill="FFFFFF"/>
            <w:vAlign w:val="center"/>
          </w:tcPr>
          <w:p w14:paraId="32A56848"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23</w:t>
            </w:r>
          </w:p>
        </w:tc>
        <w:tc>
          <w:tcPr>
            <w:tcW w:w="1732" w:type="dxa"/>
            <w:tcBorders>
              <w:bottom w:val="single" w:sz="4" w:space="0" w:color="000000"/>
            </w:tcBorders>
            <w:shd w:val="clear" w:color="auto" w:fill="FFFFFF"/>
            <w:vAlign w:val="center"/>
          </w:tcPr>
          <w:p w14:paraId="0E9E5392"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4.1</w:t>
            </w:r>
          </w:p>
        </w:tc>
      </w:tr>
      <w:tr w:rsidR="00CC6E6F" w:rsidRPr="00CC6E6F" w14:paraId="1FB46A79" w14:textId="77777777">
        <w:trPr>
          <w:cantSplit/>
          <w:tblHeader/>
          <w:jc w:val="center"/>
        </w:trPr>
        <w:tc>
          <w:tcPr>
            <w:tcW w:w="3310" w:type="dxa"/>
            <w:tcBorders>
              <w:top w:val="single" w:sz="4" w:space="0" w:color="000000"/>
              <w:bottom w:val="single" w:sz="4" w:space="0" w:color="000000"/>
            </w:tcBorders>
            <w:shd w:val="clear" w:color="auto" w:fill="D9D9D9" w:themeFill="background1" w:themeFillShade="D9"/>
          </w:tcPr>
          <w:p w14:paraId="6688C2BB" w14:textId="77777777" w:rsidR="00193FDB" w:rsidRPr="00CC6E6F" w:rsidRDefault="009C705E" w:rsidP="006F4A31">
            <w:pPr>
              <w:spacing w:after="0" w:line="240" w:lineRule="auto"/>
              <w:rPr>
                <w:rFonts w:ascii="Arial" w:hAnsi="Arial" w:cs="Arial"/>
                <w:color w:val="000000" w:themeColor="text1"/>
              </w:rPr>
            </w:pPr>
            <w:r w:rsidRPr="00CC6E6F">
              <w:rPr>
                <w:rFonts w:ascii="Arial" w:hAnsi="Arial" w:cs="Arial"/>
                <w:color w:val="000000" w:themeColor="text1"/>
              </w:rPr>
              <w:t>Total</w:t>
            </w:r>
          </w:p>
        </w:tc>
        <w:tc>
          <w:tcPr>
            <w:tcW w:w="1456" w:type="dxa"/>
            <w:tcBorders>
              <w:top w:val="single" w:sz="4" w:space="0" w:color="000000"/>
              <w:bottom w:val="single" w:sz="4" w:space="0" w:color="000000"/>
            </w:tcBorders>
            <w:shd w:val="clear" w:color="auto" w:fill="D9D9D9" w:themeFill="background1" w:themeFillShade="D9"/>
            <w:vAlign w:val="center"/>
          </w:tcPr>
          <w:p w14:paraId="27A36D8E"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560</w:t>
            </w:r>
          </w:p>
        </w:tc>
        <w:tc>
          <w:tcPr>
            <w:tcW w:w="1732" w:type="dxa"/>
            <w:tcBorders>
              <w:top w:val="single" w:sz="4" w:space="0" w:color="000000"/>
              <w:bottom w:val="single" w:sz="4" w:space="0" w:color="000000"/>
            </w:tcBorders>
            <w:shd w:val="clear" w:color="auto" w:fill="D9D9D9" w:themeFill="background1" w:themeFillShade="D9"/>
            <w:vAlign w:val="center"/>
          </w:tcPr>
          <w:p w14:paraId="43AEB076"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100</w:t>
            </w:r>
          </w:p>
        </w:tc>
      </w:tr>
    </w:tbl>
    <w:p w14:paraId="676561FF" w14:textId="77777777" w:rsidR="00193FDB" w:rsidRPr="00CC6E6F" w:rsidRDefault="00193FDB" w:rsidP="006F4A31">
      <w:pPr>
        <w:spacing w:after="0" w:line="240" w:lineRule="auto"/>
        <w:jc w:val="center"/>
        <w:rPr>
          <w:rFonts w:ascii="Arial" w:hAnsi="Arial" w:cs="Arial"/>
          <w:color w:val="000000" w:themeColor="text1"/>
        </w:rPr>
      </w:pPr>
    </w:p>
    <w:p w14:paraId="376D5CC3" w14:textId="77777777" w:rsidR="00193FDB" w:rsidRPr="00CC6E6F" w:rsidRDefault="009C705E" w:rsidP="006F4A31">
      <w:pPr>
        <w:spacing w:after="0" w:line="240" w:lineRule="auto"/>
        <w:ind w:firstLine="720"/>
        <w:jc w:val="both"/>
        <w:rPr>
          <w:rFonts w:ascii="Arial" w:hAnsi="Arial" w:cs="Arial"/>
          <w:color w:val="000000" w:themeColor="text1"/>
        </w:rPr>
      </w:pPr>
      <w:r w:rsidRPr="00CC6E6F">
        <w:rPr>
          <w:rFonts w:ascii="Arial" w:hAnsi="Arial" w:cs="Arial"/>
          <w:color w:val="000000" w:themeColor="text1"/>
        </w:rPr>
        <w:t xml:space="preserve">Table 2 presents the monthly family income of the respondents, highlighting that the majority have a monthly family income of ₱10,000 or below. This finding suggests that a significant portion of the respondents come from families with limited financial resources, which may influence their access to educational opportunities and other essential needs. </w:t>
      </w:r>
    </w:p>
    <w:p w14:paraId="798C789B" w14:textId="77777777" w:rsidR="00193FDB" w:rsidRPr="00CC6E6F" w:rsidRDefault="00193FDB" w:rsidP="006F4A31">
      <w:pPr>
        <w:spacing w:after="0" w:line="240" w:lineRule="auto"/>
        <w:rPr>
          <w:rFonts w:ascii="Arial" w:hAnsi="Arial" w:cs="Arial"/>
          <w:color w:val="000000" w:themeColor="text1"/>
        </w:rPr>
      </w:pPr>
    </w:p>
    <w:p w14:paraId="1CFBD55C"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Table 3. Educational Attainment of Parents</w:t>
      </w:r>
    </w:p>
    <w:p w14:paraId="0434F86D" w14:textId="77777777" w:rsidR="00193FDB" w:rsidRPr="00CC6E6F" w:rsidRDefault="00193FDB" w:rsidP="006F4A31">
      <w:pPr>
        <w:spacing w:after="0" w:line="240" w:lineRule="auto"/>
        <w:rPr>
          <w:rFonts w:ascii="Arial" w:hAnsi="Arial" w:cs="Arial"/>
          <w:color w:val="000000" w:themeColor="text1"/>
        </w:rPr>
      </w:pPr>
    </w:p>
    <w:tbl>
      <w:tblPr>
        <w:tblW w:w="8039" w:type="dxa"/>
        <w:jc w:val="center"/>
        <w:tblLayout w:type="fixed"/>
        <w:tblCellMar>
          <w:top w:w="30" w:type="dxa"/>
          <w:left w:w="30" w:type="dxa"/>
          <w:bottom w:w="30" w:type="dxa"/>
          <w:right w:w="30" w:type="dxa"/>
        </w:tblCellMar>
        <w:tblLook w:val="0000" w:firstRow="0" w:lastRow="0" w:firstColumn="0" w:lastColumn="0" w:noHBand="0" w:noVBand="0"/>
      </w:tblPr>
      <w:tblGrid>
        <w:gridCol w:w="2981"/>
        <w:gridCol w:w="1351"/>
        <w:gridCol w:w="1037"/>
        <w:gridCol w:w="1247"/>
        <w:gridCol w:w="1423"/>
      </w:tblGrid>
      <w:tr w:rsidR="00CC6E6F" w:rsidRPr="00CC6E6F" w14:paraId="3EF1B1F8" w14:textId="77777777">
        <w:trPr>
          <w:cantSplit/>
          <w:trHeight w:val="248"/>
          <w:tblHeader/>
          <w:jc w:val="center"/>
        </w:trPr>
        <w:tc>
          <w:tcPr>
            <w:tcW w:w="2981" w:type="dxa"/>
            <w:vMerge w:val="restart"/>
            <w:tcBorders>
              <w:top w:val="single" w:sz="4" w:space="0" w:color="000000"/>
              <w:bottom w:val="single" w:sz="4" w:space="0" w:color="000000"/>
            </w:tcBorders>
            <w:shd w:val="clear" w:color="auto" w:fill="D9D9D9" w:themeFill="background1" w:themeFillShade="D9"/>
          </w:tcPr>
          <w:p w14:paraId="7F2B2471" w14:textId="77777777" w:rsidR="00193FDB" w:rsidRPr="00CC6E6F" w:rsidRDefault="00193FDB" w:rsidP="006F4A31">
            <w:pPr>
              <w:spacing w:after="0" w:line="240" w:lineRule="auto"/>
              <w:rPr>
                <w:rFonts w:ascii="Arial" w:hAnsi="Arial" w:cs="Arial"/>
                <w:color w:val="000000" w:themeColor="text1"/>
              </w:rPr>
            </w:pPr>
          </w:p>
        </w:tc>
        <w:tc>
          <w:tcPr>
            <w:tcW w:w="2388" w:type="dxa"/>
            <w:gridSpan w:val="2"/>
            <w:tcBorders>
              <w:top w:val="single" w:sz="4" w:space="0" w:color="000000"/>
            </w:tcBorders>
            <w:shd w:val="clear" w:color="auto" w:fill="D9D9D9" w:themeFill="background1" w:themeFillShade="D9"/>
            <w:vAlign w:val="center"/>
          </w:tcPr>
          <w:p w14:paraId="352201C1"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Father</w:t>
            </w:r>
          </w:p>
        </w:tc>
        <w:tc>
          <w:tcPr>
            <w:tcW w:w="2670" w:type="dxa"/>
            <w:gridSpan w:val="2"/>
            <w:tcBorders>
              <w:top w:val="single" w:sz="4" w:space="0" w:color="000000"/>
            </w:tcBorders>
            <w:shd w:val="clear" w:color="auto" w:fill="D9D9D9" w:themeFill="background1" w:themeFillShade="D9"/>
            <w:vAlign w:val="center"/>
          </w:tcPr>
          <w:p w14:paraId="74AA28F2"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Mother</w:t>
            </w:r>
          </w:p>
        </w:tc>
      </w:tr>
      <w:tr w:rsidR="00CC6E6F" w:rsidRPr="00CC6E6F" w14:paraId="0060E716" w14:textId="77777777">
        <w:trPr>
          <w:cantSplit/>
          <w:trHeight w:val="122"/>
          <w:tblHeader/>
          <w:jc w:val="center"/>
        </w:trPr>
        <w:tc>
          <w:tcPr>
            <w:tcW w:w="2981" w:type="dxa"/>
            <w:vMerge/>
            <w:tcBorders>
              <w:bottom w:val="single" w:sz="4" w:space="0" w:color="000000"/>
            </w:tcBorders>
            <w:shd w:val="clear" w:color="auto" w:fill="D9D9D9" w:themeFill="background1" w:themeFillShade="D9"/>
          </w:tcPr>
          <w:p w14:paraId="594539DB" w14:textId="77777777" w:rsidR="00193FDB" w:rsidRPr="00CC6E6F" w:rsidRDefault="00193FDB" w:rsidP="006F4A31">
            <w:pPr>
              <w:spacing w:after="0" w:line="240" w:lineRule="auto"/>
              <w:rPr>
                <w:rFonts w:ascii="Arial" w:hAnsi="Arial" w:cs="Arial"/>
                <w:color w:val="000000" w:themeColor="text1"/>
              </w:rPr>
            </w:pPr>
          </w:p>
        </w:tc>
        <w:tc>
          <w:tcPr>
            <w:tcW w:w="1351" w:type="dxa"/>
            <w:tcBorders>
              <w:bottom w:val="single" w:sz="4" w:space="0" w:color="000000"/>
            </w:tcBorders>
            <w:shd w:val="clear" w:color="auto" w:fill="D9D9D9" w:themeFill="background1" w:themeFillShade="D9"/>
            <w:vAlign w:val="center"/>
          </w:tcPr>
          <w:p w14:paraId="4FC95A54" w14:textId="77777777" w:rsidR="00193FDB" w:rsidRPr="00CC6E6F" w:rsidRDefault="009C705E" w:rsidP="006F4A31">
            <w:pPr>
              <w:spacing w:after="0" w:line="240" w:lineRule="auto"/>
              <w:jc w:val="center"/>
              <w:rPr>
                <w:rFonts w:ascii="Arial" w:hAnsi="Arial" w:cs="Arial"/>
                <w:i/>
                <w:color w:val="000000" w:themeColor="text1"/>
              </w:rPr>
            </w:pPr>
            <w:r w:rsidRPr="00CC6E6F">
              <w:rPr>
                <w:rFonts w:ascii="Arial" w:hAnsi="Arial" w:cs="Arial"/>
                <w:i/>
                <w:color w:val="000000" w:themeColor="text1"/>
              </w:rPr>
              <w:t>Frequency</w:t>
            </w:r>
          </w:p>
        </w:tc>
        <w:tc>
          <w:tcPr>
            <w:tcW w:w="1037" w:type="dxa"/>
            <w:tcBorders>
              <w:bottom w:val="single" w:sz="4" w:space="0" w:color="000000"/>
            </w:tcBorders>
            <w:shd w:val="clear" w:color="auto" w:fill="D9D9D9" w:themeFill="background1" w:themeFillShade="D9"/>
            <w:tcMar>
              <w:top w:w="0" w:type="dxa"/>
              <w:bottom w:w="0" w:type="dxa"/>
            </w:tcMar>
            <w:vAlign w:val="center"/>
          </w:tcPr>
          <w:p w14:paraId="7A9B2533" w14:textId="77777777" w:rsidR="00193FDB" w:rsidRPr="00CC6E6F" w:rsidRDefault="009C705E" w:rsidP="006F4A31">
            <w:pPr>
              <w:spacing w:after="0" w:line="240" w:lineRule="auto"/>
              <w:jc w:val="center"/>
              <w:rPr>
                <w:rFonts w:ascii="Arial" w:hAnsi="Arial" w:cs="Arial"/>
                <w:i/>
                <w:color w:val="000000" w:themeColor="text1"/>
              </w:rPr>
            </w:pPr>
            <w:r w:rsidRPr="00CC6E6F">
              <w:rPr>
                <w:rFonts w:ascii="Arial" w:hAnsi="Arial" w:cs="Arial"/>
                <w:i/>
                <w:color w:val="000000" w:themeColor="text1"/>
              </w:rPr>
              <w:t>Percent</w:t>
            </w:r>
          </w:p>
        </w:tc>
        <w:tc>
          <w:tcPr>
            <w:tcW w:w="1247" w:type="dxa"/>
            <w:tcBorders>
              <w:bottom w:val="single" w:sz="4" w:space="0" w:color="000000"/>
            </w:tcBorders>
            <w:shd w:val="clear" w:color="auto" w:fill="D9D9D9" w:themeFill="background1" w:themeFillShade="D9"/>
            <w:vAlign w:val="center"/>
          </w:tcPr>
          <w:p w14:paraId="2CEF09D1" w14:textId="77777777" w:rsidR="00193FDB" w:rsidRPr="00CC6E6F" w:rsidRDefault="009C705E" w:rsidP="006F4A31">
            <w:pPr>
              <w:spacing w:after="0" w:line="240" w:lineRule="auto"/>
              <w:jc w:val="center"/>
              <w:rPr>
                <w:rFonts w:ascii="Arial" w:hAnsi="Arial" w:cs="Arial"/>
                <w:i/>
                <w:color w:val="000000" w:themeColor="text1"/>
              </w:rPr>
            </w:pPr>
            <w:r w:rsidRPr="00CC6E6F">
              <w:rPr>
                <w:rFonts w:ascii="Arial" w:hAnsi="Arial" w:cs="Arial"/>
                <w:i/>
                <w:color w:val="000000" w:themeColor="text1"/>
              </w:rPr>
              <w:t>Frequency</w:t>
            </w:r>
          </w:p>
        </w:tc>
        <w:tc>
          <w:tcPr>
            <w:tcW w:w="1423" w:type="dxa"/>
            <w:tcBorders>
              <w:bottom w:val="single" w:sz="4" w:space="0" w:color="000000"/>
            </w:tcBorders>
            <w:shd w:val="clear" w:color="auto" w:fill="D9D9D9" w:themeFill="background1" w:themeFillShade="D9"/>
            <w:tcMar>
              <w:top w:w="0" w:type="dxa"/>
              <w:bottom w:w="0" w:type="dxa"/>
            </w:tcMar>
            <w:vAlign w:val="center"/>
          </w:tcPr>
          <w:p w14:paraId="69586D2B" w14:textId="77777777" w:rsidR="00193FDB" w:rsidRPr="00CC6E6F" w:rsidRDefault="009C705E" w:rsidP="006F4A31">
            <w:pPr>
              <w:spacing w:after="0" w:line="240" w:lineRule="auto"/>
              <w:jc w:val="center"/>
              <w:rPr>
                <w:rFonts w:ascii="Arial" w:hAnsi="Arial" w:cs="Arial"/>
                <w:i/>
                <w:color w:val="000000" w:themeColor="text1"/>
              </w:rPr>
            </w:pPr>
            <w:r w:rsidRPr="00CC6E6F">
              <w:rPr>
                <w:rFonts w:ascii="Arial" w:hAnsi="Arial" w:cs="Arial"/>
                <w:i/>
                <w:color w:val="000000" w:themeColor="text1"/>
              </w:rPr>
              <w:t>Percent</w:t>
            </w:r>
          </w:p>
        </w:tc>
      </w:tr>
      <w:tr w:rsidR="00CC6E6F" w:rsidRPr="00CC6E6F" w14:paraId="77718B46" w14:textId="77777777">
        <w:trPr>
          <w:cantSplit/>
          <w:tblHeader/>
          <w:jc w:val="center"/>
        </w:trPr>
        <w:tc>
          <w:tcPr>
            <w:tcW w:w="2981" w:type="dxa"/>
            <w:tcBorders>
              <w:top w:val="single" w:sz="4" w:space="0" w:color="000000"/>
            </w:tcBorders>
            <w:shd w:val="clear" w:color="auto" w:fill="FFFFFF"/>
          </w:tcPr>
          <w:p w14:paraId="208DF004" w14:textId="77777777" w:rsidR="00193FDB" w:rsidRPr="00CC6E6F" w:rsidRDefault="009C705E" w:rsidP="006F4A31">
            <w:pPr>
              <w:spacing w:after="0" w:line="240" w:lineRule="auto"/>
              <w:rPr>
                <w:rFonts w:ascii="Arial" w:hAnsi="Arial" w:cs="Arial"/>
                <w:color w:val="000000" w:themeColor="text1"/>
              </w:rPr>
            </w:pPr>
            <w:r w:rsidRPr="00CC6E6F">
              <w:rPr>
                <w:rFonts w:ascii="Arial" w:hAnsi="Arial" w:cs="Arial"/>
                <w:color w:val="000000" w:themeColor="text1"/>
              </w:rPr>
              <w:t>Elementary Level/Graduate</w:t>
            </w:r>
          </w:p>
        </w:tc>
        <w:tc>
          <w:tcPr>
            <w:tcW w:w="1351" w:type="dxa"/>
            <w:tcBorders>
              <w:top w:val="single" w:sz="4" w:space="0" w:color="000000"/>
            </w:tcBorders>
            <w:shd w:val="clear" w:color="auto" w:fill="FFFFFF"/>
            <w:vAlign w:val="center"/>
          </w:tcPr>
          <w:p w14:paraId="003D85B3"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120</w:t>
            </w:r>
          </w:p>
        </w:tc>
        <w:tc>
          <w:tcPr>
            <w:tcW w:w="1037" w:type="dxa"/>
            <w:tcBorders>
              <w:top w:val="single" w:sz="4" w:space="0" w:color="000000"/>
            </w:tcBorders>
            <w:shd w:val="clear" w:color="auto" w:fill="FFFFFF"/>
            <w:tcMar>
              <w:top w:w="0" w:type="dxa"/>
              <w:bottom w:w="0" w:type="dxa"/>
            </w:tcMar>
            <w:vAlign w:val="center"/>
          </w:tcPr>
          <w:p w14:paraId="533EE763"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21.4</w:t>
            </w:r>
          </w:p>
        </w:tc>
        <w:tc>
          <w:tcPr>
            <w:tcW w:w="1247" w:type="dxa"/>
            <w:tcBorders>
              <w:top w:val="single" w:sz="4" w:space="0" w:color="000000"/>
            </w:tcBorders>
            <w:shd w:val="clear" w:color="auto" w:fill="FFFFFF"/>
            <w:vAlign w:val="center"/>
          </w:tcPr>
          <w:p w14:paraId="2F3FA61F"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100</w:t>
            </w:r>
          </w:p>
        </w:tc>
        <w:tc>
          <w:tcPr>
            <w:tcW w:w="1423" w:type="dxa"/>
            <w:tcBorders>
              <w:top w:val="single" w:sz="4" w:space="0" w:color="000000"/>
            </w:tcBorders>
            <w:shd w:val="clear" w:color="auto" w:fill="FFFFFF"/>
            <w:tcMar>
              <w:top w:w="0" w:type="dxa"/>
              <w:bottom w:w="0" w:type="dxa"/>
            </w:tcMar>
            <w:vAlign w:val="center"/>
          </w:tcPr>
          <w:p w14:paraId="37D4BD5E"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17.9</w:t>
            </w:r>
          </w:p>
        </w:tc>
      </w:tr>
      <w:tr w:rsidR="00CC6E6F" w:rsidRPr="00CC6E6F" w14:paraId="4475040E" w14:textId="77777777">
        <w:trPr>
          <w:cantSplit/>
          <w:tblHeader/>
          <w:jc w:val="center"/>
        </w:trPr>
        <w:tc>
          <w:tcPr>
            <w:tcW w:w="2981" w:type="dxa"/>
            <w:shd w:val="clear" w:color="auto" w:fill="FFFFFF"/>
          </w:tcPr>
          <w:p w14:paraId="59F8EB3F" w14:textId="77777777" w:rsidR="00193FDB" w:rsidRPr="00CC6E6F" w:rsidRDefault="009C705E" w:rsidP="006F4A31">
            <w:pPr>
              <w:spacing w:after="0" w:line="240" w:lineRule="auto"/>
              <w:rPr>
                <w:rFonts w:ascii="Arial" w:hAnsi="Arial" w:cs="Arial"/>
                <w:color w:val="000000" w:themeColor="text1"/>
              </w:rPr>
            </w:pPr>
            <w:r w:rsidRPr="00CC6E6F">
              <w:rPr>
                <w:rFonts w:ascii="Arial" w:hAnsi="Arial" w:cs="Arial"/>
                <w:color w:val="000000" w:themeColor="text1"/>
              </w:rPr>
              <w:t>High School Level/Graduate</w:t>
            </w:r>
          </w:p>
        </w:tc>
        <w:tc>
          <w:tcPr>
            <w:tcW w:w="1351" w:type="dxa"/>
            <w:shd w:val="clear" w:color="auto" w:fill="FFFFFF"/>
            <w:vAlign w:val="center"/>
          </w:tcPr>
          <w:p w14:paraId="3D65C29A"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180</w:t>
            </w:r>
          </w:p>
        </w:tc>
        <w:tc>
          <w:tcPr>
            <w:tcW w:w="1037" w:type="dxa"/>
            <w:shd w:val="clear" w:color="auto" w:fill="FFFFFF"/>
            <w:tcMar>
              <w:top w:w="0" w:type="dxa"/>
              <w:bottom w:w="0" w:type="dxa"/>
            </w:tcMar>
            <w:vAlign w:val="center"/>
          </w:tcPr>
          <w:p w14:paraId="03E76B4F"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32.1</w:t>
            </w:r>
          </w:p>
        </w:tc>
        <w:tc>
          <w:tcPr>
            <w:tcW w:w="1247" w:type="dxa"/>
            <w:shd w:val="clear" w:color="auto" w:fill="FFFFFF"/>
            <w:vAlign w:val="center"/>
          </w:tcPr>
          <w:p w14:paraId="600C759D"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175</w:t>
            </w:r>
          </w:p>
        </w:tc>
        <w:tc>
          <w:tcPr>
            <w:tcW w:w="1423" w:type="dxa"/>
            <w:shd w:val="clear" w:color="auto" w:fill="FFFFFF"/>
            <w:tcMar>
              <w:top w:w="0" w:type="dxa"/>
              <w:bottom w:w="0" w:type="dxa"/>
            </w:tcMar>
            <w:vAlign w:val="center"/>
          </w:tcPr>
          <w:p w14:paraId="5908DF8D"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31.2</w:t>
            </w:r>
          </w:p>
        </w:tc>
      </w:tr>
      <w:tr w:rsidR="00CC6E6F" w:rsidRPr="00CC6E6F" w14:paraId="1E78E451" w14:textId="77777777">
        <w:trPr>
          <w:cantSplit/>
          <w:tblHeader/>
          <w:jc w:val="center"/>
        </w:trPr>
        <w:tc>
          <w:tcPr>
            <w:tcW w:w="2981" w:type="dxa"/>
            <w:shd w:val="clear" w:color="auto" w:fill="FFFFFF"/>
          </w:tcPr>
          <w:p w14:paraId="58297323" w14:textId="77777777" w:rsidR="00193FDB" w:rsidRPr="00CC6E6F" w:rsidRDefault="009C705E" w:rsidP="006F4A31">
            <w:pPr>
              <w:spacing w:after="0" w:line="240" w:lineRule="auto"/>
              <w:rPr>
                <w:rFonts w:ascii="Arial" w:hAnsi="Arial" w:cs="Arial"/>
                <w:color w:val="000000" w:themeColor="text1"/>
              </w:rPr>
            </w:pPr>
            <w:r w:rsidRPr="00CC6E6F">
              <w:rPr>
                <w:rFonts w:ascii="Arial" w:hAnsi="Arial" w:cs="Arial"/>
                <w:color w:val="000000" w:themeColor="text1"/>
              </w:rPr>
              <w:t>College Level/Graduate</w:t>
            </w:r>
          </w:p>
        </w:tc>
        <w:tc>
          <w:tcPr>
            <w:tcW w:w="1351" w:type="dxa"/>
            <w:shd w:val="clear" w:color="auto" w:fill="FFFFFF"/>
            <w:vAlign w:val="center"/>
          </w:tcPr>
          <w:p w14:paraId="4932EEB0"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240</w:t>
            </w:r>
          </w:p>
        </w:tc>
        <w:tc>
          <w:tcPr>
            <w:tcW w:w="1037" w:type="dxa"/>
            <w:shd w:val="clear" w:color="auto" w:fill="FFFFFF"/>
            <w:tcMar>
              <w:top w:w="0" w:type="dxa"/>
              <w:bottom w:w="0" w:type="dxa"/>
            </w:tcMar>
            <w:vAlign w:val="center"/>
          </w:tcPr>
          <w:p w14:paraId="41FBC222"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42.9</w:t>
            </w:r>
          </w:p>
        </w:tc>
        <w:tc>
          <w:tcPr>
            <w:tcW w:w="1247" w:type="dxa"/>
            <w:shd w:val="clear" w:color="auto" w:fill="FFFFFF"/>
            <w:vAlign w:val="center"/>
          </w:tcPr>
          <w:p w14:paraId="72537747"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253</w:t>
            </w:r>
          </w:p>
        </w:tc>
        <w:tc>
          <w:tcPr>
            <w:tcW w:w="1423" w:type="dxa"/>
            <w:shd w:val="clear" w:color="auto" w:fill="FFFFFF"/>
            <w:tcMar>
              <w:top w:w="0" w:type="dxa"/>
              <w:bottom w:w="0" w:type="dxa"/>
            </w:tcMar>
            <w:vAlign w:val="center"/>
          </w:tcPr>
          <w:p w14:paraId="0713D256"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45.2</w:t>
            </w:r>
          </w:p>
        </w:tc>
      </w:tr>
      <w:tr w:rsidR="00CC6E6F" w:rsidRPr="00CC6E6F" w14:paraId="4FB281A1" w14:textId="77777777">
        <w:trPr>
          <w:cantSplit/>
          <w:tblHeader/>
          <w:jc w:val="center"/>
        </w:trPr>
        <w:tc>
          <w:tcPr>
            <w:tcW w:w="2981" w:type="dxa"/>
            <w:tcBorders>
              <w:bottom w:val="single" w:sz="4" w:space="0" w:color="000000"/>
            </w:tcBorders>
            <w:shd w:val="clear" w:color="auto" w:fill="FFFFFF"/>
          </w:tcPr>
          <w:p w14:paraId="1EDBBE4F" w14:textId="77777777" w:rsidR="00193FDB" w:rsidRPr="00CC6E6F" w:rsidRDefault="009C705E" w:rsidP="006F4A31">
            <w:pPr>
              <w:spacing w:after="0" w:line="240" w:lineRule="auto"/>
              <w:rPr>
                <w:rFonts w:ascii="Arial" w:hAnsi="Arial" w:cs="Arial"/>
                <w:color w:val="000000" w:themeColor="text1"/>
              </w:rPr>
            </w:pPr>
            <w:r w:rsidRPr="00CC6E6F">
              <w:rPr>
                <w:rFonts w:ascii="Arial" w:hAnsi="Arial" w:cs="Arial"/>
                <w:color w:val="000000" w:themeColor="text1"/>
              </w:rPr>
              <w:t>Post Graduate</w:t>
            </w:r>
          </w:p>
        </w:tc>
        <w:tc>
          <w:tcPr>
            <w:tcW w:w="1351" w:type="dxa"/>
            <w:tcBorders>
              <w:bottom w:val="single" w:sz="4" w:space="0" w:color="000000"/>
            </w:tcBorders>
            <w:shd w:val="clear" w:color="auto" w:fill="FFFFFF"/>
            <w:vAlign w:val="center"/>
          </w:tcPr>
          <w:p w14:paraId="6F20B018"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20</w:t>
            </w:r>
          </w:p>
        </w:tc>
        <w:tc>
          <w:tcPr>
            <w:tcW w:w="1037" w:type="dxa"/>
            <w:tcBorders>
              <w:bottom w:val="single" w:sz="4" w:space="0" w:color="000000"/>
            </w:tcBorders>
            <w:shd w:val="clear" w:color="auto" w:fill="FFFFFF"/>
            <w:tcMar>
              <w:top w:w="0" w:type="dxa"/>
              <w:bottom w:w="0" w:type="dxa"/>
            </w:tcMar>
            <w:vAlign w:val="center"/>
          </w:tcPr>
          <w:p w14:paraId="541068ED"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3.6</w:t>
            </w:r>
          </w:p>
        </w:tc>
        <w:tc>
          <w:tcPr>
            <w:tcW w:w="1247" w:type="dxa"/>
            <w:tcBorders>
              <w:bottom w:val="single" w:sz="4" w:space="0" w:color="000000"/>
            </w:tcBorders>
            <w:shd w:val="clear" w:color="auto" w:fill="FFFFFF"/>
            <w:vAlign w:val="center"/>
          </w:tcPr>
          <w:p w14:paraId="14962EA2"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32</w:t>
            </w:r>
          </w:p>
        </w:tc>
        <w:tc>
          <w:tcPr>
            <w:tcW w:w="1423" w:type="dxa"/>
            <w:tcBorders>
              <w:bottom w:val="single" w:sz="4" w:space="0" w:color="000000"/>
            </w:tcBorders>
            <w:shd w:val="clear" w:color="auto" w:fill="FFFFFF"/>
            <w:tcMar>
              <w:top w:w="0" w:type="dxa"/>
              <w:bottom w:w="0" w:type="dxa"/>
            </w:tcMar>
            <w:vAlign w:val="center"/>
          </w:tcPr>
          <w:p w14:paraId="6087AADB"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5.7</w:t>
            </w:r>
          </w:p>
        </w:tc>
      </w:tr>
      <w:tr w:rsidR="00CC6E6F" w:rsidRPr="00CC6E6F" w14:paraId="5B0340E9" w14:textId="77777777">
        <w:trPr>
          <w:cantSplit/>
          <w:tblHeader/>
          <w:jc w:val="center"/>
        </w:trPr>
        <w:tc>
          <w:tcPr>
            <w:tcW w:w="2981" w:type="dxa"/>
            <w:tcBorders>
              <w:top w:val="single" w:sz="4" w:space="0" w:color="000000"/>
              <w:bottom w:val="single" w:sz="4" w:space="0" w:color="000000"/>
            </w:tcBorders>
            <w:shd w:val="clear" w:color="auto" w:fill="D9D9D9" w:themeFill="background1" w:themeFillShade="D9"/>
          </w:tcPr>
          <w:p w14:paraId="0E23D0D0" w14:textId="77777777" w:rsidR="00193FDB" w:rsidRPr="00CC6E6F" w:rsidRDefault="009C705E" w:rsidP="006F4A31">
            <w:pPr>
              <w:spacing w:after="0" w:line="240" w:lineRule="auto"/>
              <w:rPr>
                <w:rFonts w:ascii="Arial" w:hAnsi="Arial" w:cs="Arial"/>
                <w:color w:val="000000" w:themeColor="text1"/>
              </w:rPr>
            </w:pPr>
            <w:r w:rsidRPr="00CC6E6F">
              <w:rPr>
                <w:rFonts w:ascii="Arial" w:hAnsi="Arial" w:cs="Arial"/>
                <w:color w:val="000000" w:themeColor="text1"/>
              </w:rPr>
              <w:t>Total</w:t>
            </w:r>
          </w:p>
        </w:tc>
        <w:tc>
          <w:tcPr>
            <w:tcW w:w="1351" w:type="dxa"/>
            <w:tcBorders>
              <w:top w:val="single" w:sz="4" w:space="0" w:color="000000"/>
              <w:bottom w:val="single" w:sz="4" w:space="0" w:color="000000"/>
            </w:tcBorders>
            <w:shd w:val="clear" w:color="auto" w:fill="D9D9D9" w:themeFill="background1" w:themeFillShade="D9"/>
            <w:vAlign w:val="center"/>
          </w:tcPr>
          <w:p w14:paraId="0F0E6E71"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560</w:t>
            </w:r>
          </w:p>
        </w:tc>
        <w:tc>
          <w:tcPr>
            <w:tcW w:w="1037" w:type="dxa"/>
            <w:tcBorders>
              <w:top w:val="single" w:sz="4" w:space="0" w:color="000000"/>
              <w:bottom w:val="single" w:sz="4" w:space="0" w:color="000000"/>
            </w:tcBorders>
            <w:shd w:val="clear" w:color="auto" w:fill="D9D9D9" w:themeFill="background1" w:themeFillShade="D9"/>
            <w:tcMar>
              <w:top w:w="0" w:type="dxa"/>
              <w:bottom w:w="0" w:type="dxa"/>
            </w:tcMar>
            <w:vAlign w:val="center"/>
          </w:tcPr>
          <w:p w14:paraId="37AFA557"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100</w:t>
            </w:r>
          </w:p>
        </w:tc>
        <w:tc>
          <w:tcPr>
            <w:tcW w:w="1247" w:type="dxa"/>
            <w:tcBorders>
              <w:top w:val="single" w:sz="4" w:space="0" w:color="000000"/>
              <w:bottom w:val="single" w:sz="4" w:space="0" w:color="000000"/>
            </w:tcBorders>
            <w:shd w:val="clear" w:color="auto" w:fill="D9D9D9" w:themeFill="background1" w:themeFillShade="D9"/>
            <w:vAlign w:val="center"/>
          </w:tcPr>
          <w:p w14:paraId="6866CE99"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560</w:t>
            </w:r>
          </w:p>
        </w:tc>
        <w:tc>
          <w:tcPr>
            <w:tcW w:w="1423" w:type="dxa"/>
            <w:tcBorders>
              <w:top w:val="single" w:sz="4" w:space="0" w:color="000000"/>
              <w:bottom w:val="single" w:sz="4" w:space="0" w:color="000000"/>
            </w:tcBorders>
            <w:shd w:val="clear" w:color="auto" w:fill="D9D9D9" w:themeFill="background1" w:themeFillShade="D9"/>
            <w:tcMar>
              <w:top w:w="0" w:type="dxa"/>
              <w:bottom w:w="0" w:type="dxa"/>
            </w:tcMar>
            <w:vAlign w:val="center"/>
          </w:tcPr>
          <w:p w14:paraId="4B10B52C"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100</w:t>
            </w:r>
          </w:p>
        </w:tc>
      </w:tr>
    </w:tbl>
    <w:p w14:paraId="26DE0203" w14:textId="77777777" w:rsidR="00193FDB" w:rsidRPr="00CC6E6F" w:rsidRDefault="00193FDB" w:rsidP="006F4A31">
      <w:pPr>
        <w:spacing w:after="0" w:line="240" w:lineRule="auto"/>
        <w:rPr>
          <w:rFonts w:ascii="Arial" w:hAnsi="Arial" w:cs="Arial"/>
          <w:color w:val="000000" w:themeColor="text1"/>
        </w:rPr>
      </w:pPr>
    </w:p>
    <w:p w14:paraId="2DFFFEFD" w14:textId="77777777" w:rsidR="00193FDB" w:rsidRPr="00CC6E6F" w:rsidRDefault="009C705E" w:rsidP="006F4A31">
      <w:pPr>
        <w:spacing w:after="0" w:line="240" w:lineRule="auto"/>
        <w:ind w:firstLine="720"/>
        <w:jc w:val="both"/>
        <w:rPr>
          <w:rFonts w:ascii="Arial" w:hAnsi="Arial" w:cs="Arial"/>
          <w:color w:val="000000" w:themeColor="text1"/>
        </w:rPr>
      </w:pPr>
      <w:r w:rsidRPr="00CC6E6F">
        <w:rPr>
          <w:rFonts w:ascii="Arial" w:hAnsi="Arial" w:cs="Arial"/>
          <w:color w:val="000000" w:themeColor="text1"/>
        </w:rPr>
        <w:t xml:space="preserve">Table 3 presents the educational attainment of the respondents' parents, revealing that most of them have reached the college level or have earned a college degree. This indicates that a considerable number of respondents come from families where higher education is valued and pursued. The presence of parents with college-level education or higher may have a positive influence on the academic motivation and performance of the respondents, as these parents are likely to provide support and guidance in navigating their educational journey. Additionally, having parents who have experienced higher education </w:t>
      </w:r>
      <w:r w:rsidR="003D467D" w:rsidRPr="00CC6E6F">
        <w:rPr>
          <w:rFonts w:ascii="Arial" w:hAnsi="Arial" w:cs="Arial"/>
          <w:color w:val="000000" w:themeColor="text1"/>
        </w:rPr>
        <w:t>first-hand</w:t>
      </w:r>
      <w:r w:rsidRPr="00CC6E6F">
        <w:rPr>
          <w:rFonts w:ascii="Arial" w:hAnsi="Arial" w:cs="Arial"/>
          <w:color w:val="000000" w:themeColor="text1"/>
        </w:rPr>
        <w:t xml:space="preserve"> may foster a learning environment at home, encouraging academic achievement. Understanding the educational background of the respondents’ parents offers insight into the family dynamics that may contribute to the respondents’ academic aspirations and success. </w:t>
      </w:r>
    </w:p>
    <w:p w14:paraId="50E5F7D7" w14:textId="77777777" w:rsidR="00193FDB" w:rsidRPr="00CC6E6F" w:rsidRDefault="00193FDB" w:rsidP="006F4A31">
      <w:pPr>
        <w:spacing w:after="0" w:line="240" w:lineRule="auto"/>
        <w:ind w:firstLine="720"/>
        <w:jc w:val="both"/>
        <w:rPr>
          <w:rFonts w:ascii="Arial" w:hAnsi="Arial" w:cs="Arial"/>
          <w:color w:val="000000" w:themeColor="text1"/>
        </w:rPr>
      </w:pPr>
    </w:p>
    <w:p w14:paraId="2161DB55" w14:textId="77777777" w:rsidR="00193FDB" w:rsidRPr="00CC6E6F" w:rsidRDefault="00193FDB" w:rsidP="006F4A31">
      <w:pPr>
        <w:spacing w:after="0" w:line="240" w:lineRule="auto"/>
        <w:ind w:firstLine="720"/>
        <w:jc w:val="both"/>
        <w:rPr>
          <w:rFonts w:ascii="Arial" w:hAnsi="Arial" w:cs="Arial"/>
          <w:color w:val="000000" w:themeColor="text1"/>
        </w:rPr>
      </w:pPr>
    </w:p>
    <w:p w14:paraId="422818C1"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Table 4. Type of Scholar</w:t>
      </w:r>
    </w:p>
    <w:p w14:paraId="174A8BE4" w14:textId="77777777" w:rsidR="00193FDB" w:rsidRPr="00CC6E6F" w:rsidRDefault="00193FDB" w:rsidP="006F4A31">
      <w:pPr>
        <w:spacing w:after="0" w:line="240" w:lineRule="auto"/>
        <w:jc w:val="both"/>
        <w:rPr>
          <w:rFonts w:ascii="Arial" w:hAnsi="Arial" w:cs="Arial"/>
          <w:color w:val="000000" w:themeColor="text1"/>
        </w:rPr>
      </w:pPr>
    </w:p>
    <w:tbl>
      <w:tblPr>
        <w:tblW w:w="5346" w:type="dxa"/>
        <w:jc w:val="center"/>
        <w:tblLayout w:type="fixed"/>
        <w:tblCellMar>
          <w:top w:w="30" w:type="dxa"/>
          <w:left w:w="30" w:type="dxa"/>
          <w:bottom w:w="30" w:type="dxa"/>
          <w:right w:w="30" w:type="dxa"/>
        </w:tblCellMar>
        <w:tblLook w:val="0000" w:firstRow="0" w:lastRow="0" w:firstColumn="0" w:lastColumn="0" w:noHBand="0" w:noVBand="0"/>
      </w:tblPr>
      <w:tblGrid>
        <w:gridCol w:w="2267"/>
        <w:gridCol w:w="1473"/>
        <w:gridCol w:w="1606"/>
      </w:tblGrid>
      <w:tr w:rsidR="00CC6E6F" w:rsidRPr="00CC6E6F" w14:paraId="062EC9B0" w14:textId="77777777">
        <w:trPr>
          <w:cantSplit/>
          <w:tblHeader/>
          <w:jc w:val="center"/>
        </w:trPr>
        <w:tc>
          <w:tcPr>
            <w:tcW w:w="2267" w:type="dxa"/>
            <w:tcBorders>
              <w:top w:val="single" w:sz="4" w:space="0" w:color="000000"/>
              <w:bottom w:val="single" w:sz="4" w:space="0" w:color="000000"/>
            </w:tcBorders>
            <w:shd w:val="clear" w:color="auto" w:fill="D9D9D9" w:themeFill="background1" w:themeFillShade="D9"/>
          </w:tcPr>
          <w:p w14:paraId="21E57343" w14:textId="77777777" w:rsidR="00193FDB" w:rsidRPr="00CC6E6F" w:rsidRDefault="00193FDB" w:rsidP="006F4A31">
            <w:pPr>
              <w:spacing w:after="0" w:line="240" w:lineRule="auto"/>
              <w:rPr>
                <w:rFonts w:ascii="Arial" w:hAnsi="Arial" w:cs="Arial"/>
                <w:color w:val="000000" w:themeColor="text1"/>
              </w:rPr>
            </w:pPr>
          </w:p>
        </w:tc>
        <w:tc>
          <w:tcPr>
            <w:tcW w:w="1473" w:type="dxa"/>
            <w:tcBorders>
              <w:top w:val="single" w:sz="4" w:space="0" w:color="000000"/>
              <w:bottom w:val="single" w:sz="4" w:space="0" w:color="000000"/>
            </w:tcBorders>
            <w:shd w:val="clear" w:color="auto" w:fill="D9D9D9" w:themeFill="background1" w:themeFillShade="D9"/>
            <w:vAlign w:val="bottom"/>
          </w:tcPr>
          <w:p w14:paraId="7A83851D"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Frequency</w:t>
            </w:r>
          </w:p>
        </w:tc>
        <w:tc>
          <w:tcPr>
            <w:tcW w:w="1606" w:type="dxa"/>
            <w:tcBorders>
              <w:top w:val="single" w:sz="4" w:space="0" w:color="000000"/>
              <w:bottom w:val="single" w:sz="4" w:space="0" w:color="000000"/>
            </w:tcBorders>
            <w:shd w:val="clear" w:color="auto" w:fill="D9D9D9" w:themeFill="background1" w:themeFillShade="D9"/>
            <w:vAlign w:val="bottom"/>
          </w:tcPr>
          <w:p w14:paraId="22969715"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Percent</w:t>
            </w:r>
          </w:p>
        </w:tc>
      </w:tr>
      <w:tr w:rsidR="00CC6E6F" w:rsidRPr="00CC6E6F" w14:paraId="04BE8004" w14:textId="77777777">
        <w:trPr>
          <w:cantSplit/>
          <w:tblHeader/>
          <w:jc w:val="center"/>
        </w:trPr>
        <w:tc>
          <w:tcPr>
            <w:tcW w:w="2267" w:type="dxa"/>
            <w:tcBorders>
              <w:top w:val="single" w:sz="4" w:space="0" w:color="000000"/>
            </w:tcBorders>
            <w:shd w:val="clear" w:color="auto" w:fill="FFFFFF"/>
          </w:tcPr>
          <w:p w14:paraId="4BFC1C3C" w14:textId="77777777" w:rsidR="00193FDB" w:rsidRPr="00CC6E6F" w:rsidRDefault="009C705E" w:rsidP="006F4A31">
            <w:pPr>
              <w:spacing w:after="0" w:line="240" w:lineRule="auto"/>
              <w:rPr>
                <w:rFonts w:ascii="Arial" w:hAnsi="Arial" w:cs="Arial"/>
                <w:color w:val="000000" w:themeColor="text1"/>
              </w:rPr>
            </w:pPr>
            <w:r w:rsidRPr="00CC6E6F">
              <w:rPr>
                <w:rFonts w:ascii="Arial" w:hAnsi="Arial" w:cs="Arial"/>
                <w:color w:val="000000" w:themeColor="text1"/>
              </w:rPr>
              <w:t>College Scholar</w:t>
            </w:r>
          </w:p>
        </w:tc>
        <w:tc>
          <w:tcPr>
            <w:tcW w:w="1473" w:type="dxa"/>
            <w:tcBorders>
              <w:top w:val="single" w:sz="4" w:space="0" w:color="000000"/>
            </w:tcBorders>
            <w:shd w:val="clear" w:color="auto" w:fill="FFFFFF"/>
            <w:vAlign w:val="center"/>
          </w:tcPr>
          <w:p w14:paraId="21D40596"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482</w:t>
            </w:r>
          </w:p>
        </w:tc>
        <w:tc>
          <w:tcPr>
            <w:tcW w:w="1606" w:type="dxa"/>
            <w:tcBorders>
              <w:top w:val="single" w:sz="4" w:space="0" w:color="000000"/>
            </w:tcBorders>
            <w:shd w:val="clear" w:color="auto" w:fill="FFFFFF"/>
            <w:vAlign w:val="center"/>
          </w:tcPr>
          <w:p w14:paraId="5DE71286"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86.1</w:t>
            </w:r>
          </w:p>
        </w:tc>
      </w:tr>
      <w:tr w:rsidR="00CC6E6F" w:rsidRPr="00CC6E6F" w14:paraId="0446572F" w14:textId="77777777">
        <w:trPr>
          <w:cantSplit/>
          <w:tblHeader/>
          <w:jc w:val="center"/>
        </w:trPr>
        <w:tc>
          <w:tcPr>
            <w:tcW w:w="2267" w:type="dxa"/>
            <w:tcBorders>
              <w:bottom w:val="single" w:sz="4" w:space="0" w:color="000000"/>
            </w:tcBorders>
            <w:shd w:val="clear" w:color="auto" w:fill="FFFFFF"/>
          </w:tcPr>
          <w:p w14:paraId="1B41CB0F" w14:textId="77777777" w:rsidR="00193FDB" w:rsidRPr="00CC6E6F" w:rsidRDefault="009C705E" w:rsidP="006F4A31">
            <w:pPr>
              <w:spacing w:after="0" w:line="240" w:lineRule="auto"/>
              <w:rPr>
                <w:rFonts w:ascii="Arial" w:hAnsi="Arial" w:cs="Arial"/>
                <w:color w:val="000000" w:themeColor="text1"/>
              </w:rPr>
            </w:pPr>
            <w:r w:rsidRPr="00CC6E6F">
              <w:rPr>
                <w:rFonts w:ascii="Arial" w:hAnsi="Arial" w:cs="Arial"/>
                <w:color w:val="000000" w:themeColor="text1"/>
              </w:rPr>
              <w:t>University Scholar</w:t>
            </w:r>
          </w:p>
        </w:tc>
        <w:tc>
          <w:tcPr>
            <w:tcW w:w="1473" w:type="dxa"/>
            <w:tcBorders>
              <w:bottom w:val="single" w:sz="4" w:space="0" w:color="000000"/>
            </w:tcBorders>
            <w:shd w:val="clear" w:color="auto" w:fill="FFFFFF"/>
            <w:vAlign w:val="center"/>
          </w:tcPr>
          <w:p w14:paraId="4617BB5E"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78</w:t>
            </w:r>
          </w:p>
        </w:tc>
        <w:tc>
          <w:tcPr>
            <w:tcW w:w="1606" w:type="dxa"/>
            <w:tcBorders>
              <w:bottom w:val="single" w:sz="4" w:space="0" w:color="000000"/>
            </w:tcBorders>
            <w:shd w:val="clear" w:color="auto" w:fill="FFFFFF"/>
            <w:vAlign w:val="center"/>
          </w:tcPr>
          <w:p w14:paraId="177BD27A"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13.9</w:t>
            </w:r>
          </w:p>
        </w:tc>
      </w:tr>
      <w:tr w:rsidR="00CC6E6F" w:rsidRPr="00CC6E6F" w14:paraId="250B8BDB" w14:textId="77777777">
        <w:trPr>
          <w:cantSplit/>
          <w:tblHeader/>
          <w:jc w:val="center"/>
        </w:trPr>
        <w:tc>
          <w:tcPr>
            <w:tcW w:w="2267" w:type="dxa"/>
            <w:tcBorders>
              <w:top w:val="single" w:sz="4" w:space="0" w:color="000000"/>
              <w:bottom w:val="single" w:sz="4" w:space="0" w:color="000000"/>
            </w:tcBorders>
            <w:shd w:val="clear" w:color="auto" w:fill="D9D9D9" w:themeFill="background1" w:themeFillShade="D9"/>
          </w:tcPr>
          <w:p w14:paraId="198B56C8" w14:textId="77777777" w:rsidR="00193FDB" w:rsidRPr="00CC6E6F" w:rsidRDefault="009C705E" w:rsidP="006F4A31">
            <w:pPr>
              <w:spacing w:after="0" w:line="240" w:lineRule="auto"/>
              <w:rPr>
                <w:rFonts w:ascii="Arial" w:hAnsi="Arial" w:cs="Arial"/>
                <w:color w:val="000000" w:themeColor="text1"/>
              </w:rPr>
            </w:pPr>
            <w:r w:rsidRPr="00CC6E6F">
              <w:rPr>
                <w:rFonts w:ascii="Arial" w:hAnsi="Arial" w:cs="Arial"/>
                <w:color w:val="000000" w:themeColor="text1"/>
              </w:rPr>
              <w:t>Total</w:t>
            </w:r>
          </w:p>
        </w:tc>
        <w:tc>
          <w:tcPr>
            <w:tcW w:w="1473" w:type="dxa"/>
            <w:tcBorders>
              <w:top w:val="single" w:sz="4" w:space="0" w:color="000000"/>
              <w:bottom w:val="single" w:sz="4" w:space="0" w:color="000000"/>
            </w:tcBorders>
            <w:shd w:val="clear" w:color="auto" w:fill="D9D9D9" w:themeFill="background1" w:themeFillShade="D9"/>
            <w:vAlign w:val="center"/>
          </w:tcPr>
          <w:p w14:paraId="118CECAF"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560</w:t>
            </w:r>
          </w:p>
        </w:tc>
        <w:tc>
          <w:tcPr>
            <w:tcW w:w="1606" w:type="dxa"/>
            <w:tcBorders>
              <w:top w:val="single" w:sz="4" w:space="0" w:color="000000"/>
              <w:bottom w:val="single" w:sz="4" w:space="0" w:color="000000"/>
            </w:tcBorders>
            <w:shd w:val="clear" w:color="auto" w:fill="D9D9D9" w:themeFill="background1" w:themeFillShade="D9"/>
            <w:vAlign w:val="center"/>
          </w:tcPr>
          <w:p w14:paraId="6660A7A0"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100</w:t>
            </w:r>
          </w:p>
        </w:tc>
      </w:tr>
    </w:tbl>
    <w:p w14:paraId="47010528" w14:textId="77777777" w:rsidR="00193FDB" w:rsidRPr="00CC6E6F" w:rsidRDefault="00193FDB" w:rsidP="006F4A31">
      <w:pPr>
        <w:spacing w:after="0" w:line="240" w:lineRule="auto"/>
        <w:jc w:val="both"/>
        <w:rPr>
          <w:rFonts w:ascii="Arial" w:hAnsi="Arial" w:cs="Arial"/>
          <w:color w:val="000000" w:themeColor="text1"/>
        </w:rPr>
      </w:pPr>
    </w:p>
    <w:p w14:paraId="0D2FBD01" w14:textId="77777777" w:rsidR="00193FDB" w:rsidRPr="00CC6E6F" w:rsidRDefault="009C705E" w:rsidP="006F4A31">
      <w:pPr>
        <w:spacing w:after="0" w:line="240" w:lineRule="auto"/>
        <w:jc w:val="both"/>
        <w:rPr>
          <w:rFonts w:ascii="Arial" w:hAnsi="Arial" w:cs="Arial"/>
          <w:color w:val="000000" w:themeColor="text1"/>
        </w:rPr>
      </w:pPr>
      <w:r w:rsidRPr="00CC6E6F">
        <w:rPr>
          <w:rFonts w:ascii="Arial" w:hAnsi="Arial" w:cs="Arial"/>
          <w:color w:val="000000" w:themeColor="text1"/>
        </w:rPr>
        <w:t>Table 4 presents the type of scholarship the respondents belong. The table shows that majority of the academic scholars of the University of Eastern Philippines are college scholars.</w:t>
      </w:r>
    </w:p>
    <w:p w14:paraId="7B72914C" w14:textId="77777777" w:rsidR="00193FDB" w:rsidRPr="00CC6E6F" w:rsidRDefault="00193FDB" w:rsidP="006F4A31">
      <w:pPr>
        <w:spacing w:after="0" w:line="240" w:lineRule="auto"/>
        <w:rPr>
          <w:rFonts w:ascii="Arial" w:hAnsi="Arial" w:cs="Arial"/>
          <w:color w:val="000000" w:themeColor="text1"/>
        </w:rPr>
      </w:pPr>
    </w:p>
    <w:p w14:paraId="753D0AD1"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Table 5. College of the Respondents</w:t>
      </w:r>
    </w:p>
    <w:p w14:paraId="41D4D7A8" w14:textId="77777777" w:rsidR="00193FDB" w:rsidRPr="00CC6E6F" w:rsidRDefault="00193FDB" w:rsidP="006F4A31">
      <w:pPr>
        <w:spacing w:after="0" w:line="240" w:lineRule="auto"/>
        <w:jc w:val="center"/>
        <w:rPr>
          <w:rFonts w:ascii="Arial" w:hAnsi="Arial" w:cs="Arial"/>
          <w:color w:val="000000" w:themeColor="text1"/>
        </w:rPr>
      </w:pPr>
    </w:p>
    <w:tbl>
      <w:tblPr>
        <w:tblW w:w="8551" w:type="dxa"/>
        <w:jc w:val="center"/>
        <w:tblLayout w:type="fixed"/>
        <w:tblCellMar>
          <w:top w:w="30" w:type="dxa"/>
          <w:left w:w="30" w:type="dxa"/>
          <w:bottom w:w="30" w:type="dxa"/>
          <w:right w:w="30" w:type="dxa"/>
        </w:tblCellMar>
        <w:tblLook w:val="0000" w:firstRow="0" w:lastRow="0" w:firstColumn="0" w:lastColumn="0" w:noHBand="0" w:noVBand="0"/>
      </w:tblPr>
      <w:tblGrid>
        <w:gridCol w:w="5696"/>
        <w:gridCol w:w="1434"/>
        <w:gridCol w:w="1421"/>
      </w:tblGrid>
      <w:tr w:rsidR="00CC6E6F" w:rsidRPr="00CC6E6F" w14:paraId="6695849F" w14:textId="77777777">
        <w:trPr>
          <w:cantSplit/>
          <w:trHeight w:val="221"/>
          <w:tblHeader/>
          <w:jc w:val="center"/>
        </w:trPr>
        <w:tc>
          <w:tcPr>
            <w:tcW w:w="5696" w:type="dxa"/>
            <w:tcBorders>
              <w:top w:val="single" w:sz="4" w:space="0" w:color="000000"/>
              <w:bottom w:val="single" w:sz="4" w:space="0" w:color="000000"/>
            </w:tcBorders>
            <w:shd w:val="clear" w:color="auto" w:fill="D9D9D9" w:themeFill="background1" w:themeFillShade="D9"/>
          </w:tcPr>
          <w:p w14:paraId="1D6218E2" w14:textId="77777777" w:rsidR="00193FDB" w:rsidRPr="00CC6E6F" w:rsidRDefault="00193FDB" w:rsidP="006F4A31">
            <w:pPr>
              <w:spacing w:after="0" w:line="240" w:lineRule="auto"/>
              <w:jc w:val="center"/>
              <w:rPr>
                <w:rFonts w:ascii="Arial" w:hAnsi="Arial" w:cs="Arial"/>
                <w:color w:val="000000" w:themeColor="text1"/>
                <w:sz w:val="12"/>
              </w:rPr>
            </w:pPr>
          </w:p>
        </w:tc>
        <w:tc>
          <w:tcPr>
            <w:tcW w:w="1434" w:type="dxa"/>
            <w:tcBorders>
              <w:top w:val="single" w:sz="4" w:space="0" w:color="000000"/>
              <w:bottom w:val="single" w:sz="4" w:space="0" w:color="000000"/>
            </w:tcBorders>
            <w:shd w:val="clear" w:color="auto" w:fill="D9D9D9" w:themeFill="background1" w:themeFillShade="D9"/>
            <w:vAlign w:val="center"/>
          </w:tcPr>
          <w:p w14:paraId="57614934"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hAnsi="Arial" w:cs="Arial"/>
                <w:color w:val="000000" w:themeColor="text1"/>
                <w:sz w:val="20"/>
              </w:rPr>
              <w:t>Frequency</w:t>
            </w:r>
          </w:p>
        </w:tc>
        <w:tc>
          <w:tcPr>
            <w:tcW w:w="1421" w:type="dxa"/>
            <w:tcBorders>
              <w:top w:val="single" w:sz="4" w:space="0" w:color="000000"/>
              <w:bottom w:val="single" w:sz="4" w:space="0" w:color="000000"/>
            </w:tcBorders>
            <w:shd w:val="clear" w:color="auto" w:fill="D9D9D9" w:themeFill="background1" w:themeFillShade="D9"/>
            <w:vAlign w:val="center"/>
          </w:tcPr>
          <w:p w14:paraId="4A422515"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hAnsi="Arial" w:cs="Arial"/>
                <w:color w:val="000000" w:themeColor="text1"/>
                <w:sz w:val="20"/>
              </w:rPr>
              <w:t>Percent</w:t>
            </w:r>
          </w:p>
        </w:tc>
      </w:tr>
      <w:tr w:rsidR="00CC6E6F" w:rsidRPr="00CC6E6F" w14:paraId="0297B6EE" w14:textId="77777777">
        <w:trPr>
          <w:cantSplit/>
          <w:trHeight w:val="208"/>
          <w:tblHeader/>
          <w:jc w:val="center"/>
        </w:trPr>
        <w:tc>
          <w:tcPr>
            <w:tcW w:w="5696" w:type="dxa"/>
            <w:tcBorders>
              <w:top w:val="single" w:sz="4" w:space="0" w:color="000000"/>
            </w:tcBorders>
            <w:shd w:val="clear" w:color="auto" w:fill="FFFFFF"/>
          </w:tcPr>
          <w:p w14:paraId="110DBA7B" w14:textId="77777777" w:rsidR="00193FDB" w:rsidRPr="00CC6E6F" w:rsidRDefault="009C705E" w:rsidP="006F4A31">
            <w:pPr>
              <w:spacing w:after="0" w:line="240" w:lineRule="auto"/>
              <w:rPr>
                <w:rFonts w:ascii="Arial" w:hAnsi="Arial" w:cs="Arial"/>
                <w:color w:val="000000" w:themeColor="text1"/>
                <w:sz w:val="20"/>
              </w:rPr>
            </w:pPr>
            <w:r w:rsidRPr="00CC6E6F">
              <w:rPr>
                <w:rFonts w:ascii="Arial" w:hAnsi="Arial" w:cs="Arial"/>
                <w:color w:val="000000" w:themeColor="text1"/>
                <w:sz w:val="20"/>
              </w:rPr>
              <w:t>College of Agriculture, Fisheries, and Natural Resources</w:t>
            </w:r>
          </w:p>
        </w:tc>
        <w:tc>
          <w:tcPr>
            <w:tcW w:w="1434" w:type="dxa"/>
            <w:tcBorders>
              <w:top w:val="single" w:sz="4" w:space="0" w:color="000000"/>
            </w:tcBorders>
            <w:shd w:val="clear" w:color="auto" w:fill="FFFFFF"/>
            <w:vAlign w:val="center"/>
          </w:tcPr>
          <w:p w14:paraId="56B7B7AE"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hAnsi="Arial" w:cs="Arial"/>
                <w:color w:val="000000" w:themeColor="text1"/>
                <w:sz w:val="20"/>
              </w:rPr>
              <w:t>20</w:t>
            </w:r>
          </w:p>
        </w:tc>
        <w:tc>
          <w:tcPr>
            <w:tcW w:w="1421" w:type="dxa"/>
            <w:tcBorders>
              <w:top w:val="single" w:sz="4" w:space="0" w:color="000000"/>
            </w:tcBorders>
            <w:shd w:val="clear" w:color="auto" w:fill="FFFFFF"/>
            <w:vAlign w:val="center"/>
          </w:tcPr>
          <w:p w14:paraId="610E747D"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hAnsi="Arial" w:cs="Arial"/>
                <w:color w:val="000000" w:themeColor="text1"/>
                <w:sz w:val="20"/>
              </w:rPr>
              <w:t>3.6</w:t>
            </w:r>
          </w:p>
        </w:tc>
      </w:tr>
      <w:tr w:rsidR="00CC6E6F" w:rsidRPr="00CC6E6F" w14:paraId="47B3AFCE" w14:textId="77777777">
        <w:trPr>
          <w:cantSplit/>
          <w:trHeight w:val="208"/>
          <w:tblHeader/>
          <w:jc w:val="center"/>
        </w:trPr>
        <w:tc>
          <w:tcPr>
            <w:tcW w:w="5696" w:type="dxa"/>
            <w:shd w:val="clear" w:color="auto" w:fill="FFFFFF"/>
          </w:tcPr>
          <w:p w14:paraId="115181EF" w14:textId="77777777" w:rsidR="00193FDB" w:rsidRPr="00CC6E6F" w:rsidRDefault="009C705E" w:rsidP="006F4A31">
            <w:pPr>
              <w:spacing w:after="0" w:line="240" w:lineRule="auto"/>
              <w:rPr>
                <w:rFonts w:ascii="Arial" w:hAnsi="Arial" w:cs="Arial"/>
                <w:color w:val="000000" w:themeColor="text1"/>
                <w:sz w:val="20"/>
              </w:rPr>
            </w:pPr>
            <w:r w:rsidRPr="00CC6E6F">
              <w:rPr>
                <w:rFonts w:ascii="Arial" w:hAnsi="Arial" w:cs="Arial"/>
                <w:color w:val="000000" w:themeColor="text1"/>
                <w:sz w:val="20"/>
              </w:rPr>
              <w:t>College of Arts and Communication</w:t>
            </w:r>
          </w:p>
        </w:tc>
        <w:tc>
          <w:tcPr>
            <w:tcW w:w="1434" w:type="dxa"/>
            <w:shd w:val="clear" w:color="auto" w:fill="FFFFFF"/>
            <w:vAlign w:val="center"/>
          </w:tcPr>
          <w:p w14:paraId="7EF26D83"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hAnsi="Arial" w:cs="Arial"/>
                <w:color w:val="000000" w:themeColor="text1"/>
                <w:sz w:val="20"/>
              </w:rPr>
              <w:t>74</w:t>
            </w:r>
          </w:p>
        </w:tc>
        <w:tc>
          <w:tcPr>
            <w:tcW w:w="1421" w:type="dxa"/>
            <w:shd w:val="clear" w:color="auto" w:fill="FFFFFF"/>
            <w:vAlign w:val="center"/>
          </w:tcPr>
          <w:p w14:paraId="35603A91"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hAnsi="Arial" w:cs="Arial"/>
                <w:color w:val="000000" w:themeColor="text1"/>
                <w:sz w:val="20"/>
              </w:rPr>
              <w:t>13.2</w:t>
            </w:r>
          </w:p>
        </w:tc>
      </w:tr>
      <w:tr w:rsidR="00CC6E6F" w:rsidRPr="00CC6E6F" w14:paraId="1A66AE39" w14:textId="77777777">
        <w:trPr>
          <w:cantSplit/>
          <w:trHeight w:val="208"/>
          <w:tblHeader/>
          <w:jc w:val="center"/>
        </w:trPr>
        <w:tc>
          <w:tcPr>
            <w:tcW w:w="5696" w:type="dxa"/>
            <w:shd w:val="clear" w:color="auto" w:fill="FFFFFF"/>
          </w:tcPr>
          <w:p w14:paraId="536C5796" w14:textId="77777777" w:rsidR="00193FDB" w:rsidRPr="00CC6E6F" w:rsidRDefault="009C705E" w:rsidP="006F4A31">
            <w:pPr>
              <w:spacing w:after="0" w:line="240" w:lineRule="auto"/>
              <w:rPr>
                <w:rFonts w:ascii="Arial" w:hAnsi="Arial" w:cs="Arial"/>
                <w:color w:val="000000" w:themeColor="text1"/>
                <w:sz w:val="20"/>
              </w:rPr>
            </w:pPr>
            <w:r w:rsidRPr="00CC6E6F">
              <w:rPr>
                <w:rFonts w:ascii="Arial" w:hAnsi="Arial" w:cs="Arial"/>
                <w:color w:val="000000" w:themeColor="text1"/>
                <w:sz w:val="20"/>
              </w:rPr>
              <w:t>College of Business Administration</w:t>
            </w:r>
          </w:p>
        </w:tc>
        <w:tc>
          <w:tcPr>
            <w:tcW w:w="1434" w:type="dxa"/>
            <w:shd w:val="clear" w:color="auto" w:fill="FFFFFF"/>
            <w:vAlign w:val="center"/>
          </w:tcPr>
          <w:p w14:paraId="7E6908F4"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hAnsi="Arial" w:cs="Arial"/>
                <w:color w:val="000000" w:themeColor="text1"/>
                <w:sz w:val="20"/>
              </w:rPr>
              <w:t>117</w:t>
            </w:r>
          </w:p>
        </w:tc>
        <w:tc>
          <w:tcPr>
            <w:tcW w:w="1421" w:type="dxa"/>
            <w:shd w:val="clear" w:color="auto" w:fill="FFFFFF"/>
            <w:vAlign w:val="center"/>
          </w:tcPr>
          <w:p w14:paraId="1E897553"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hAnsi="Arial" w:cs="Arial"/>
                <w:color w:val="000000" w:themeColor="text1"/>
                <w:sz w:val="20"/>
              </w:rPr>
              <w:t>20.9</w:t>
            </w:r>
          </w:p>
        </w:tc>
      </w:tr>
      <w:tr w:rsidR="00CC6E6F" w:rsidRPr="00CC6E6F" w14:paraId="476C0C51" w14:textId="77777777">
        <w:trPr>
          <w:cantSplit/>
          <w:trHeight w:val="208"/>
          <w:tblHeader/>
          <w:jc w:val="center"/>
        </w:trPr>
        <w:tc>
          <w:tcPr>
            <w:tcW w:w="5696" w:type="dxa"/>
            <w:shd w:val="clear" w:color="auto" w:fill="FFFFFF"/>
          </w:tcPr>
          <w:p w14:paraId="7036759B" w14:textId="77777777" w:rsidR="00193FDB" w:rsidRPr="00CC6E6F" w:rsidRDefault="009C705E" w:rsidP="006F4A31">
            <w:pPr>
              <w:spacing w:after="0" w:line="240" w:lineRule="auto"/>
              <w:rPr>
                <w:rFonts w:ascii="Arial" w:hAnsi="Arial" w:cs="Arial"/>
                <w:color w:val="000000" w:themeColor="text1"/>
                <w:sz w:val="20"/>
              </w:rPr>
            </w:pPr>
            <w:r w:rsidRPr="00CC6E6F">
              <w:rPr>
                <w:rFonts w:ascii="Arial" w:hAnsi="Arial" w:cs="Arial"/>
                <w:color w:val="000000" w:themeColor="text1"/>
                <w:sz w:val="20"/>
              </w:rPr>
              <w:t>College of Education</w:t>
            </w:r>
          </w:p>
        </w:tc>
        <w:tc>
          <w:tcPr>
            <w:tcW w:w="1434" w:type="dxa"/>
            <w:shd w:val="clear" w:color="auto" w:fill="FFFFFF"/>
            <w:vAlign w:val="center"/>
          </w:tcPr>
          <w:p w14:paraId="744A9E49"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hAnsi="Arial" w:cs="Arial"/>
                <w:color w:val="000000" w:themeColor="text1"/>
                <w:sz w:val="20"/>
              </w:rPr>
              <w:t>293</w:t>
            </w:r>
          </w:p>
        </w:tc>
        <w:tc>
          <w:tcPr>
            <w:tcW w:w="1421" w:type="dxa"/>
            <w:shd w:val="clear" w:color="auto" w:fill="FFFFFF"/>
            <w:vAlign w:val="center"/>
          </w:tcPr>
          <w:p w14:paraId="6DA754C5"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hAnsi="Arial" w:cs="Arial"/>
                <w:color w:val="000000" w:themeColor="text1"/>
                <w:sz w:val="20"/>
              </w:rPr>
              <w:t>52.3</w:t>
            </w:r>
          </w:p>
        </w:tc>
      </w:tr>
      <w:tr w:rsidR="00CC6E6F" w:rsidRPr="00CC6E6F" w14:paraId="5F3F765A" w14:textId="77777777">
        <w:trPr>
          <w:cantSplit/>
          <w:trHeight w:val="208"/>
          <w:tblHeader/>
          <w:jc w:val="center"/>
        </w:trPr>
        <w:tc>
          <w:tcPr>
            <w:tcW w:w="5696" w:type="dxa"/>
            <w:shd w:val="clear" w:color="auto" w:fill="FFFFFF"/>
          </w:tcPr>
          <w:p w14:paraId="172157EB" w14:textId="77777777" w:rsidR="00193FDB" w:rsidRPr="00CC6E6F" w:rsidRDefault="009C705E" w:rsidP="006F4A31">
            <w:pPr>
              <w:spacing w:after="0" w:line="240" w:lineRule="auto"/>
              <w:rPr>
                <w:rFonts w:ascii="Arial" w:hAnsi="Arial" w:cs="Arial"/>
                <w:color w:val="000000" w:themeColor="text1"/>
                <w:sz w:val="20"/>
              </w:rPr>
            </w:pPr>
            <w:r w:rsidRPr="00CC6E6F">
              <w:rPr>
                <w:rFonts w:ascii="Arial" w:hAnsi="Arial" w:cs="Arial"/>
                <w:color w:val="000000" w:themeColor="text1"/>
                <w:sz w:val="20"/>
              </w:rPr>
              <w:t>College of Engineering</w:t>
            </w:r>
          </w:p>
        </w:tc>
        <w:tc>
          <w:tcPr>
            <w:tcW w:w="1434" w:type="dxa"/>
            <w:shd w:val="clear" w:color="auto" w:fill="FFFFFF"/>
            <w:vAlign w:val="center"/>
          </w:tcPr>
          <w:p w14:paraId="753699B3"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hAnsi="Arial" w:cs="Arial"/>
                <w:color w:val="000000" w:themeColor="text1"/>
                <w:sz w:val="20"/>
              </w:rPr>
              <w:t>30</w:t>
            </w:r>
          </w:p>
        </w:tc>
        <w:tc>
          <w:tcPr>
            <w:tcW w:w="1421" w:type="dxa"/>
            <w:shd w:val="clear" w:color="auto" w:fill="FFFFFF"/>
            <w:vAlign w:val="center"/>
          </w:tcPr>
          <w:p w14:paraId="4AB3653B"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hAnsi="Arial" w:cs="Arial"/>
                <w:color w:val="000000" w:themeColor="text1"/>
                <w:sz w:val="20"/>
              </w:rPr>
              <w:t>5.4</w:t>
            </w:r>
          </w:p>
        </w:tc>
      </w:tr>
      <w:tr w:rsidR="00CC6E6F" w:rsidRPr="00CC6E6F" w14:paraId="4FBF2ABD" w14:textId="77777777">
        <w:trPr>
          <w:cantSplit/>
          <w:trHeight w:val="208"/>
          <w:tblHeader/>
          <w:jc w:val="center"/>
        </w:trPr>
        <w:tc>
          <w:tcPr>
            <w:tcW w:w="5696" w:type="dxa"/>
            <w:shd w:val="clear" w:color="auto" w:fill="FFFFFF"/>
          </w:tcPr>
          <w:p w14:paraId="20AC4672" w14:textId="77777777" w:rsidR="00193FDB" w:rsidRPr="00CC6E6F" w:rsidRDefault="009C705E" w:rsidP="006F4A31">
            <w:pPr>
              <w:spacing w:after="0" w:line="240" w:lineRule="auto"/>
              <w:rPr>
                <w:rFonts w:ascii="Arial" w:hAnsi="Arial" w:cs="Arial"/>
                <w:color w:val="000000" w:themeColor="text1"/>
                <w:sz w:val="20"/>
              </w:rPr>
            </w:pPr>
            <w:r w:rsidRPr="00CC6E6F">
              <w:rPr>
                <w:rFonts w:ascii="Arial" w:hAnsi="Arial" w:cs="Arial"/>
                <w:color w:val="000000" w:themeColor="text1"/>
                <w:sz w:val="20"/>
              </w:rPr>
              <w:t>College of Nursing and Allied Health Sciences</w:t>
            </w:r>
          </w:p>
        </w:tc>
        <w:tc>
          <w:tcPr>
            <w:tcW w:w="1434" w:type="dxa"/>
            <w:shd w:val="clear" w:color="auto" w:fill="FFFFFF"/>
            <w:vAlign w:val="center"/>
          </w:tcPr>
          <w:p w14:paraId="0C173E89"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hAnsi="Arial" w:cs="Arial"/>
                <w:color w:val="000000" w:themeColor="text1"/>
                <w:sz w:val="20"/>
              </w:rPr>
              <w:t>12</w:t>
            </w:r>
          </w:p>
        </w:tc>
        <w:tc>
          <w:tcPr>
            <w:tcW w:w="1421" w:type="dxa"/>
            <w:shd w:val="clear" w:color="auto" w:fill="FFFFFF"/>
            <w:vAlign w:val="center"/>
          </w:tcPr>
          <w:p w14:paraId="72C6CD4E"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hAnsi="Arial" w:cs="Arial"/>
                <w:color w:val="000000" w:themeColor="text1"/>
                <w:sz w:val="20"/>
              </w:rPr>
              <w:t>2.1</w:t>
            </w:r>
          </w:p>
        </w:tc>
      </w:tr>
      <w:tr w:rsidR="00CC6E6F" w:rsidRPr="00CC6E6F" w14:paraId="78BB4435" w14:textId="77777777">
        <w:trPr>
          <w:cantSplit/>
          <w:trHeight w:val="208"/>
          <w:tblHeader/>
          <w:jc w:val="center"/>
        </w:trPr>
        <w:tc>
          <w:tcPr>
            <w:tcW w:w="5696" w:type="dxa"/>
            <w:shd w:val="clear" w:color="auto" w:fill="FFFFFF"/>
          </w:tcPr>
          <w:p w14:paraId="73D762CF" w14:textId="77777777" w:rsidR="00193FDB" w:rsidRPr="00CC6E6F" w:rsidRDefault="009C705E" w:rsidP="006F4A31">
            <w:pPr>
              <w:spacing w:after="0" w:line="240" w:lineRule="auto"/>
              <w:rPr>
                <w:rFonts w:ascii="Arial" w:hAnsi="Arial" w:cs="Arial"/>
                <w:color w:val="000000" w:themeColor="text1"/>
                <w:sz w:val="20"/>
              </w:rPr>
            </w:pPr>
            <w:r w:rsidRPr="00CC6E6F">
              <w:rPr>
                <w:rFonts w:ascii="Arial" w:hAnsi="Arial" w:cs="Arial"/>
                <w:color w:val="000000" w:themeColor="text1"/>
                <w:sz w:val="20"/>
              </w:rPr>
              <w:t>College of Science</w:t>
            </w:r>
          </w:p>
        </w:tc>
        <w:tc>
          <w:tcPr>
            <w:tcW w:w="1434" w:type="dxa"/>
            <w:shd w:val="clear" w:color="auto" w:fill="FFFFFF"/>
            <w:vAlign w:val="center"/>
          </w:tcPr>
          <w:p w14:paraId="28F68A59"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hAnsi="Arial" w:cs="Arial"/>
                <w:color w:val="000000" w:themeColor="text1"/>
                <w:sz w:val="20"/>
              </w:rPr>
              <w:t>10</w:t>
            </w:r>
          </w:p>
        </w:tc>
        <w:tc>
          <w:tcPr>
            <w:tcW w:w="1421" w:type="dxa"/>
            <w:shd w:val="clear" w:color="auto" w:fill="FFFFFF"/>
            <w:vAlign w:val="center"/>
          </w:tcPr>
          <w:p w14:paraId="15264895"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hAnsi="Arial" w:cs="Arial"/>
                <w:color w:val="000000" w:themeColor="text1"/>
                <w:sz w:val="20"/>
              </w:rPr>
              <w:t>1.8</w:t>
            </w:r>
          </w:p>
        </w:tc>
      </w:tr>
      <w:tr w:rsidR="00CC6E6F" w:rsidRPr="00CC6E6F" w14:paraId="573B4D9B" w14:textId="77777777">
        <w:trPr>
          <w:cantSplit/>
          <w:trHeight w:val="208"/>
          <w:tblHeader/>
          <w:jc w:val="center"/>
        </w:trPr>
        <w:tc>
          <w:tcPr>
            <w:tcW w:w="5696" w:type="dxa"/>
            <w:tcBorders>
              <w:bottom w:val="single" w:sz="4" w:space="0" w:color="000000"/>
            </w:tcBorders>
            <w:shd w:val="clear" w:color="auto" w:fill="FFFFFF"/>
          </w:tcPr>
          <w:p w14:paraId="43349B6A" w14:textId="77777777" w:rsidR="00193FDB" w:rsidRPr="00CC6E6F" w:rsidRDefault="009C705E" w:rsidP="006F4A31">
            <w:pPr>
              <w:spacing w:after="0" w:line="240" w:lineRule="auto"/>
              <w:rPr>
                <w:rFonts w:ascii="Arial" w:hAnsi="Arial" w:cs="Arial"/>
                <w:color w:val="000000" w:themeColor="text1"/>
                <w:sz w:val="20"/>
              </w:rPr>
            </w:pPr>
            <w:r w:rsidRPr="00CC6E6F">
              <w:rPr>
                <w:rFonts w:ascii="Arial" w:hAnsi="Arial" w:cs="Arial"/>
                <w:color w:val="000000" w:themeColor="text1"/>
                <w:sz w:val="20"/>
              </w:rPr>
              <w:t>College of Veterinary Medicine</w:t>
            </w:r>
          </w:p>
        </w:tc>
        <w:tc>
          <w:tcPr>
            <w:tcW w:w="1434" w:type="dxa"/>
            <w:tcBorders>
              <w:bottom w:val="single" w:sz="4" w:space="0" w:color="000000"/>
            </w:tcBorders>
            <w:shd w:val="clear" w:color="auto" w:fill="FFFFFF"/>
            <w:vAlign w:val="center"/>
          </w:tcPr>
          <w:p w14:paraId="543B1C94"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hAnsi="Arial" w:cs="Arial"/>
                <w:color w:val="000000" w:themeColor="text1"/>
                <w:sz w:val="20"/>
              </w:rPr>
              <w:t>4</w:t>
            </w:r>
          </w:p>
        </w:tc>
        <w:tc>
          <w:tcPr>
            <w:tcW w:w="1421" w:type="dxa"/>
            <w:tcBorders>
              <w:bottom w:val="single" w:sz="4" w:space="0" w:color="000000"/>
            </w:tcBorders>
            <w:shd w:val="clear" w:color="auto" w:fill="FFFFFF"/>
            <w:vAlign w:val="center"/>
          </w:tcPr>
          <w:p w14:paraId="7AC44941"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hAnsi="Arial" w:cs="Arial"/>
                <w:color w:val="000000" w:themeColor="text1"/>
                <w:sz w:val="20"/>
              </w:rPr>
              <w:t>0.7</w:t>
            </w:r>
          </w:p>
        </w:tc>
      </w:tr>
      <w:tr w:rsidR="00CC6E6F" w:rsidRPr="00CC6E6F" w14:paraId="47FD67AA" w14:textId="77777777">
        <w:trPr>
          <w:cantSplit/>
          <w:trHeight w:val="201"/>
          <w:tblHeader/>
          <w:jc w:val="center"/>
        </w:trPr>
        <w:tc>
          <w:tcPr>
            <w:tcW w:w="5696" w:type="dxa"/>
            <w:tcBorders>
              <w:top w:val="single" w:sz="4" w:space="0" w:color="000000"/>
              <w:bottom w:val="single" w:sz="4" w:space="0" w:color="000000"/>
            </w:tcBorders>
            <w:shd w:val="clear" w:color="auto" w:fill="D9D9D9" w:themeFill="background1" w:themeFillShade="D9"/>
          </w:tcPr>
          <w:p w14:paraId="191D0B0D"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hAnsi="Arial" w:cs="Arial"/>
                <w:color w:val="000000" w:themeColor="text1"/>
                <w:sz w:val="20"/>
              </w:rPr>
              <w:t>Total</w:t>
            </w:r>
          </w:p>
        </w:tc>
        <w:tc>
          <w:tcPr>
            <w:tcW w:w="1434" w:type="dxa"/>
            <w:tcBorders>
              <w:top w:val="single" w:sz="4" w:space="0" w:color="000000"/>
              <w:bottom w:val="single" w:sz="4" w:space="0" w:color="000000"/>
            </w:tcBorders>
            <w:shd w:val="clear" w:color="auto" w:fill="D9D9D9" w:themeFill="background1" w:themeFillShade="D9"/>
            <w:vAlign w:val="center"/>
          </w:tcPr>
          <w:p w14:paraId="0A3DC01A"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hAnsi="Arial" w:cs="Arial"/>
                <w:color w:val="000000" w:themeColor="text1"/>
                <w:sz w:val="20"/>
              </w:rPr>
              <w:t>560</w:t>
            </w:r>
          </w:p>
        </w:tc>
        <w:tc>
          <w:tcPr>
            <w:tcW w:w="1421" w:type="dxa"/>
            <w:tcBorders>
              <w:top w:val="single" w:sz="4" w:space="0" w:color="000000"/>
              <w:bottom w:val="single" w:sz="4" w:space="0" w:color="000000"/>
            </w:tcBorders>
            <w:shd w:val="clear" w:color="auto" w:fill="D9D9D9" w:themeFill="background1" w:themeFillShade="D9"/>
            <w:vAlign w:val="center"/>
          </w:tcPr>
          <w:p w14:paraId="7DFF58C5"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hAnsi="Arial" w:cs="Arial"/>
                <w:color w:val="000000" w:themeColor="text1"/>
                <w:sz w:val="20"/>
              </w:rPr>
              <w:t>100</w:t>
            </w:r>
          </w:p>
        </w:tc>
      </w:tr>
    </w:tbl>
    <w:p w14:paraId="5F7EC663" w14:textId="77777777" w:rsidR="00193FDB" w:rsidRPr="00CC6E6F" w:rsidRDefault="00193FDB" w:rsidP="006F4A31">
      <w:pPr>
        <w:spacing w:after="0" w:line="240" w:lineRule="auto"/>
        <w:rPr>
          <w:rFonts w:ascii="Arial" w:hAnsi="Arial" w:cs="Arial"/>
          <w:color w:val="000000" w:themeColor="text1"/>
        </w:rPr>
      </w:pPr>
    </w:p>
    <w:p w14:paraId="1D8DB7CE" w14:textId="77777777" w:rsidR="00193FDB" w:rsidRPr="00CC6E6F" w:rsidRDefault="00193FDB" w:rsidP="006F4A31">
      <w:pPr>
        <w:spacing w:after="0" w:line="240" w:lineRule="auto"/>
        <w:rPr>
          <w:rFonts w:ascii="Arial" w:hAnsi="Arial" w:cs="Arial"/>
          <w:color w:val="000000" w:themeColor="text1"/>
        </w:rPr>
      </w:pPr>
    </w:p>
    <w:p w14:paraId="60D12CA1" w14:textId="77777777" w:rsidR="00193FDB" w:rsidRPr="00CC6E6F" w:rsidRDefault="009C705E" w:rsidP="006F4A31">
      <w:pPr>
        <w:spacing w:after="0" w:line="240" w:lineRule="auto"/>
        <w:ind w:firstLine="720"/>
        <w:jc w:val="both"/>
        <w:rPr>
          <w:rFonts w:ascii="Arial" w:hAnsi="Arial" w:cs="Arial"/>
          <w:color w:val="000000" w:themeColor="text1"/>
        </w:rPr>
      </w:pPr>
      <w:r w:rsidRPr="00CC6E6F">
        <w:rPr>
          <w:rFonts w:ascii="Arial" w:hAnsi="Arial" w:cs="Arial"/>
          <w:color w:val="000000" w:themeColor="text1"/>
        </w:rPr>
        <w:t>Table 5 presents the college of the respondents where they are enrolled in. The table shows that majority of the academic scholars of the University of Eastern Philippines are from the College of Education.</w:t>
      </w:r>
    </w:p>
    <w:p w14:paraId="53AA11AD" w14:textId="77777777" w:rsidR="00193FDB" w:rsidRPr="00CC6E6F" w:rsidRDefault="00193FDB" w:rsidP="006F4A31">
      <w:pPr>
        <w:spacing w:after="0" w:line="240" w:lineRule="auto"/>
        <w:rPr>
          <w:rFonts w:ascii="Arial" w:hAnsi="Arial" w:cs="Arial"/>
          <w:color w:val="000000" w:themeColor="text1"/>
        </w:rPr>
      </w:pPr>
    </w:p>
    <w:p w14:paraId="3E74F6FC" w14:textId="77777777" w:rsidR="00193FDB" w:rsidRPr="00CC6E6F" w:rsidRDefault="00193FDB" w:rsidP="006F4A31">
      <w:pPr>
        <w:spacing w:after="0" w:line="240" w:lineRule="auto"/>
        <w:rPr>
          <w:rFonts w:ascii="Arial" w:hAnsi="Arial" w:cs="Arial"/>
          <w:color w:val="000000" w:themeColor="text1"/>
        </w:rPr>
      </w:pPr>
    </w:p>
    <w:p w14:paraId="2833F2EC"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Table 6. Study Habits of Respondents in Terms of Time Management</w:t>
      </w:r>
    </w:p>
    <w:p w14:paraId="6BFB0540" w14:textId="77777777" w:rsidR="00193FDB" w:rsidRPr="00CC6E6F" w:rsidRDefault="00193FDB" w:rsidP="006F4A31">
      <w:pPr>
        <w:spacing w:after="0" w:line="240" w:lineRule="auto"/>
        <w:rPr>
          <w:rFonts w:ascii="Arial" w:hAnsi="Arial" w:cs="Arial"/>
          <w:color w:val="000000" w:themeColor="text1"/>
        </w:rPr>
      </w:pPr>
    </w:p>
    <w:tbl>
      <w:tblPr>
        <w:tblW w:w="5000" w:type="pct"/>
        <w:tblInd w:w="108" w:type="dxa"/>
        <w:tblLayout w:type="fixed"/>
        <w:tblLook w:val="04A0" w:firstRow="1" w:lastRow="0" w:firstColumn="1" w:lastColumn="0" w:noHBand="0" w:noVBand="1"/>
      </w:tblPr>
      <w:tblGrid>
        <w:gridCol w:w="5662"/>
        <w:gridCol w:w="1551"/>
        <w:gridCol w:w="1813"/>
      </w:tblGrid>
      <w:tr w:rsidR="00CC6E6F" w:rsidRPr="00CC6E6F" w14:paraId="4D3EDB3B" w14:textId="77777777">
        <w:trPr>
          <w:trHeight w:val="242"/>
        </w:trPr>
        <w:tc>
          <w:tcPr>
            <w:tcW w:w="5662" w:type="dxa"/>
            <w:tcBorders>
              <w:top w:val="single" w:sz="4" w:space="0" w:color="000000"/>
              <w:bottom w:val="single" w:sz="4" w:space="0" w:color="000000"/>
            </w:tcBorders>
            <w:shd w:val="clear" w:color="auto" w:fill="D9D9D9" w:themeFill="background1" w:themeFillShade="D9"/>
            <w:vAlign w:val="center"/>
          </w:tcPr>
          <w:p w14:paraId="180546F6" w14:textId="77777777" w:rsidR="00193FDB" w:rsidRPr="00CC6E6F" w:rsidRDefault="009C705E" w:rsidP="006F4A31">
            <w:pPr>
              <w:spacing w:after="0" w:line="240" w:lineRule="auto"/>
              <w:rPr>
                <w:rFonts w:ascii="Arial" w:eastAsia="Times New Roman" w:hAnsi="Arial" w:cs="Arial"/>
                <w:b/>
                <w:bCs/>
                <w:color w:val="000000" w:themeColor="text1"/>
                <w:sz w:val="20"/>
                <w:lang w:eastAsia="en-PH"/>
              </w:rPr>
            </w:pPr>
            <w:r w:rsidRPr="00CC6E6F">
              <w:rPr>
                <w:rFonts w:ascii="Arial" w:eastAsia="Times New Roman" w:hAnsi="Arial" w:cs="Arial"/>
                <w:b/>
                <w:bCs/>
                <w:color w:val="000000" w:themeColor="text1"/>
                <w:sz w:val="20"/>
                <w:lang w:eastAsia="en-PH"/>
              </w:rPr>
              <w:t>TIME MANAGEMENT</w:t>
            </w:r>
          </w:p>
        </w:tc>
        <w:tc>
          <w:tcPr>
            <w:tcW w:w="1551" w:type="dxa"/>
            <w:tcBorders>
              <w:top w:val="single" w:sz="4" w:space="0" w:color="000000"/>
              <w:bottom w:val="single" w:sz="4" w:space="0" w:color="000000"/>
            </w:tcBorders>
            <w:shd w:val="clear" w:color="auto" w:fill="D9D9D9" w:themeFill="background1" w:themeFillShade="D9"/>
            <w:vAlign w:val="bottom"/>
          </w:tcPr>
          <w:p w14:paraId="1D8015A0" w14:textId="77777777" w:rsidR="00193FDB" w:rsidRPr="00CC6E6F" w:rsidRDefault="009C705E" w:rsidP="006F4A31">
            <w:pPr>
              <w:spacing w:after="0" w:line="240" w:lineRule="auto"/>
              <w:jc w:val="center"/>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Mean</w:t>
            </w:r>
          </w:p>
        </w:tc>
        <w:tc>
          <w:tcPr>
            <w:tcW w:w="1813" w:type="dxa"/>
            <w:tcBorders>
              <w:top w:val="single" w:sz="4" w:space="0" w:color="000000"/>
              <w:bottom w:val="single" w:sz="4" w:space="0" w:color="000000"/>
            </w:tcBorders>
            <w:shd w:val="clear" w:color="auto" w:fill="D9D9D9" w:themeFill="background1" w:themeFillShade="D9"/>
            <w:vAlign w:val="bottom"/>
          </w:tcPr>
          <w:p w14:paraId="55CA4ED3" w14:textId="77777777" w:rsidR="00193FDB" w:rsidRPr="00CC6E6F" w:rsidRDefault="009C705E" w:rsidP="006F4A31">
            <w:pPr>
              <w:spacing w:after="0" w:line="240" w:lineRule="auto"/>
              <w:jc w:val="center"/>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Interpretation</w:t>
            </w:r>
          </w:p>
        </w:tc>
      </w:tr>
      <w:tr w:rsidR="00CC6E6F" w:rsidRPr="00CC6E6F" w14:paraId="3B417A2A" w14:textId="77777777">
        <w:trPr>
          <w:trHeight w:val="260"/>
        </w:trPr>
        <w:tc>
          <w:tcPr>
            <w:tcW w:w="5662" w:type="dxa"/>
            <w:tcBorders>
              <w:top w:val="single" w:sz="4" w:space="0" w:color="000000"/>
            </w:tcBorders>
            <w:shd w:val="clear" w:color="auto" w:fill="auto"/>
            <w:vAlign w:val="center"/>
          </w:tcPr>
          <w:p w14:paraId="7F6D3375" w14:textId="77777777" w:rsidR="00193FDB" w:rsidRPr="00CC6E6F" w:rsidRDefault="009C705E" w:rsidP="006F4A31">
            <w:pPr>
              <w:spacing w:after="0" w:line="240" w:lineRule="auto"/>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I spend hours cramming the night before an exam.</w:t>
            </w:r>
          </w:p>
        </w:tc>
        <w:tc>
          <w:tcPr>
            <w:tcW w:w="1551" w:type="dxa"/>
            <w:tcBorders>
              <w:top w:val="single" w:sz="4" w:space="0" w:color="000000"/>
            </w:tcBorders>
            <w:shd w:val="clear" w:color="auto" w:fill="auto"/>
            <w:vAlign w:val="center"/>
          </w:tcPr>
          <w:p w14:paraId="1B5C0538"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2.24</w:t>
            </w:r>
          </w:p>
        </w:tc>
        <w:tc>
          <w:tcPr>
            <w:tcW w:w="1813" w:type="dxa"/>
            <w:tcBorders>
              <w:top w:val="single" w:sz="4" w:space="0" w:color="000000"/>
            </w:tcBorders>
            <w:shd w:val="clear" w:color="auto" w:fill="auto"/>
            <w:vAlign w:val="center"/>
          </w:tcPr>
          <w:p w14:paraId="3440F69B" w14:textId="77777777" w:rsidR="00193FDB" w:rsidRPr="00CC6E6F" w:rsidRDefault="009C705E" w:rsidP="006F4A31">
            <w:pPr>
              <w:spacing w:after="0" w:line="240" w:lineRule="auto"/>
              <w:jc w:val="center"/>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Fair</w:t>
            </w:r>
          </w:p>
        </w:tc>
      </w:tr>
      <w:tr w:rsidR="00CC6E6F" w:rsidRPr="00CC6E6F" w14:paraId="02A9CE35" w14:textId="77777777">
        <w:trPr>
          <w:trHeight w:val="315"/>
        </w:trPr>
        <w:tc>
          <w:tcPr>
            <w:tcW w:w="5662" w:type="dxa"/>
            <w:shd w:val="clear" w:color="auto" w:fill="auto"/>
            <w:vAlign w:val="center"/>
          </w:tcPr>
          <w:p w14:paraId="59F87FA3" w14:textId="77777777" w:rsidR="00193FDB" w:rsidRPr="00CC6E6F" w:rsidRDefault="009C705E" w:rsidP="006F4A31">
            <w:pPr>
              <w:spacing w:after="0" w:line="240" w:lineRule="auto"/>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My work gets turned in late because I don’t have enough time to finish it.</w:t>
            </w:r>
          </w:p>
        </w:tc>
        <w:tc>
          <w:tcPr>
            <w:tcW w:w="1551" w:type="dxa"/>
            <w:shd w:val="clear" w:color="auto" w:fill="auto"/>
            <w:vAlign w:val="center"/>
          </w:tcPr>
          <w:p w14:paraId="2D457D03"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2.48</w:t>
            </w:r>
          </w:p>
        </w:tc>
        <w:tc>
          <w:tcPr>
            <w:tcW w:w="1813" w:type="dxa"/>
            <w:shd w:val="clear" w:color="auto" w:fill="auto"/>
            <w:vAlign w:val="center"/>
          </w:tcPr>
          <w:p w14:paraId="5DD9AC09" w14:textId="77777777" w:rsidR="00193FDB" w:rsidRPr="00CC6E6F" w:rsidRDefault="009C705E" w:rsidP="006F4A31">
            <w:pPr>
              <w:spacing w:after="0" w:line="240" w:lineRule="auto"/>
              <w:jc w:val="center"/>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Fair</w:t>
            </w:r>
          </w:p>
        </w:tc>
      </w:tr>
      <w:tr w:rsidR="00CC6E6F" w:rsidRPr="00CC6E6F" w14:paraId="660022FC" w14:textId="77777777">
        <w:trPr>
          <w:trHeight w:val="692"/>
        </w:trPr>
        <w:tc>
          <w:tcPr>
            <w:tcW w:w="5662" w:type="dxa"/>
            <w:shd w:val="clear" w:color="auto" w:fill="auto"/>
            <w:vAlign w:val="center"/>
          </w:tcPr>
          <w:p w14:paraId="4758812C" w14:textId="77777777" w:rsidR="00193FDB" w:rsidRPr="00CC6E6F" w:rsidRDefault="009C705E" w:rsidP="006F4A31">
            <w:pPr>
              <w:spacing w:after="0" w:line="240" w:lineRule="auto"/>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If I spend as much time on my social activities as I want to, I don't have enough time left to study, or when I study enough, I don't have time for a social life.</w:t>
            </w:r>
          </w:p>
        </w:tc>
        <w:tc>
          <w:tcPr>
            <w:tcW w:w="1551" w:type="dxa"/>
            <w:shd w:val="clear" w:color="auto" w:fill="auto"/>
            <w:vAlign w:val="center"/>
          </w:tcPr>
          <w:p w14:paraId="29605E7D"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2.80</w:t>
            </w:r>
          </w:p>
        </w:tc>
        <w:tc>
          <w:tcPr>
            <w:tcW w:w="1813" w:type="dxa"/>
            <w:shd w:val="clear" w:color="auto" w:fill="auto"/>
            <w:vAlign w:val="center"/>
          </w:tcPr>
          <w:p w14:paraId="7115A24C" w14:textId="77777777" w:rsidR="00193FDB" w:rsidRPr="00CC6E6F" w:rsidRDefault="009C705E" w:rsidP="006F4A31">
            <w:pPr>
              <w:spacing w:after="0" w:line="240" w:lineRule="auto"/>
              <w:jc w:val="center"/>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Good</w:t>
            </w:r>
          </w:p>
        </w:tc>
      </w:tr>
      <w:tr w:rsidR="00CC6E6F" w:rsidRPr="00CC6E6F" w14:paraId="5FC4979C" w14:textId="77777777">
        <w:trPr>
          <w:trHeight w:val="260"/>
        </w:trPr>
        <w:tc>
          <w:tcPr>
            <w:tcW w:w="5662" w:type="dxa"/>
            <w:tcBorders>
              <w:bottom w:val="single" w:sz="4" w:space="0" w:color="000000"/>
            </w:tcBorders>
            <w:shd w:val="clear" w:color="auto" w:fill="auto"/>
            <w:vAlign w:val="center"/>
          </w:tcPr>
          <w:p w14:paraId="2E4B149C" w14:textId="77777777" w:rsidR="00193FDB" w:rsidRPr="00CC6E6F" w:rsidRDefault="009C705E" w:rsidP="006F4A31">
            <w:pPr>
              <w:spacing w:after="0" w:line="240" w:lineRule="auto"/>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I spend too much time studying for what I am learning.</w:t>
            </w:r>
          </w:p>
        </w:tc>
        <w:tc>
          <w:tcPr>
            <w:tcW w:w="1551" w:type="dxa"/>
            <w:tcBorders>
              <w:bottom w:val="single" w:sz="4" w:space="0" w:color="000000"/>
            </w:tcBorders>
            <w:shd w:val="clear" w:color="auto" w:fill="auto"/>
            <w:vAlign w:val="center"/>
          </w:tcPr>
          <w:p w14:paraId="11627034"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3.54</w:t>
            </w:r>
          </w:p>
        </w:tc>
        <w:tc>
          <w:tcPr>
            <w:tcW w:w="1813" w:type="dxa"/>
            <w:tcBorders>
              <w:bottom w:val="single" w:sz="4" w:space="0" w:color="000000"/>
            </w:tcBorders>
            <w:shd w:val="clear" w:color="auto" w:fill="auto"/>
            <w:vAlign w:val="center"/>
          </w:tcPr>
          <w:p w14:paraId="087731F7" w14:textId="77777777" w:rsidR="00193FDB" w:rsidRPr="00CC6E6F" w:rsidRDefault="009C705E" w:rsidP="006F4A31">
            <w:pPr>
              <w:spacing w:after="0" w:line="240" w:lineRule="auto"/>
              <w:jc w:val="center"/>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Very Good</w:t>
            </w:r>
          </w:p>
        </w:tc>
      </w:tr>
      <w:tr w:rsidR="00CC6E6F" w:rsidRPr="00CC6E6F" w14:paraId="2ECF758A" w14:textId="77777777">
        <w:trPr>
          <w:trHeight w:val="170"/>
        </w:trPr>
        <w:tc>
          <w:tcPr>
            <w:tcW w:w="5662" w:type="dxa"/>
            <w:tcBorders>
              <w:top w:val="single" w:sz="4" w:space="0" w:color="000000"/>
              <w:bottom w:val="single" w:sz="4" w:space="0" w:color="000000"/>
            </w:tcBorders>
            <w:shd w:val="clear" w:color="auto" w:fill="D9D9D9" w:themeFill="background1" w:themeFillShade="D9"/>
            <w:vAlign w:val="center"/>
          </w:tcPr>
          <w:p w14:paraId="13F9356F" w14:textId="77777777" w:rsidR="00193FDB" w:rsidRPr="00CC6E6F" w:rsidRDefault="009C705E" w:rsidP="006F4A31">
            <w:pPr>
              <w:spacing w:after="0" w:line="240" w:lineRule="auto"/>
              <w:jc w:val="both"/>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 </w:t>
            </w:r>
          </w:p>
        </w:tc>
        <w:tc>
          <w:tcPr>
            <w:tcW w:w="1551" w:type="dxa"/>
            <w:tcBorders>
              <w:top w:val="single" w:sz="4" w:space="0" w:color="000000"/>
              <w:bottom w:val="single" w:sz="4" w:space="0" w:color="000000"/>
            </w:tcBorders>
            <w:shd w:val="clear" w:color="auto" w:fill="D9D9D9" w:themeFill="background1" w:themeFillShade="D9"/>
            <w:vAlign w:val="center"/>
          </w:tcPr>
          <w:p w14:paraId="5A839D2B" w14:textId="77777777" w:rsidR="00193FDB" w:rsidRPr="00CC6E6F" w:rsidRDefault="009C705E" w:rsidP="006F4A31">
            <w:pPr>
              <w:spacing w:after="0" w:line="240" w:lineRule="auto"/>
              <w:jc w:val="center"/>
              <w:rPr>
                <w:rFonts w:ascii="Arial" w:hAnsi="Arial" w:cs="Arial"/>
                <w:b/>
                <w:bCs/>
                <w:color w:val="000000" w:themeColor="text1"/>
                <w:sz w:val="20"/>
                <w:szCs w:val="20"/>
              </w:rPr>
            </w:pPr>
            <w:r w:rsidRPr="00CC6E6F">
              <w:rPr>
                <w:rFonts w:ascii="Arial" w:hAnsi="Arial" w:cs="Arial"/>
                <w:b/>
                <w:bCs/>
                <w:color w:val="000000" w:themeColor="text1"/>
                <w:sz w:val="20"/>
                <w:szCs w:val="20"/>
              </w:rPr>
              <w:t>2.77</w:t>
            </w:r>
          </w:p>
        </w:tc>
        <w:tc>
          <w:tcPr>
            <w:tcW w:w="1813" w:type="dxa"/>
            <w:tcBorders>
              <w:top w:val="single" w:sz="4" w:space="0" w:color="000000"/>
              <w:bottom w:val="single" w:sz="4" w:space="0" w:color="000000"/>
            </w:tcBorders>
            <w:shd w:val="clear" w:color="auto" w:fill="D9D9D9" w:themeFill="background1" w:themeFillShade="D9"/>
            <w:vAlign w:val="center"/>
          </w:tcPr>
          <w:p w14:paraId="06315D28" w14:textId="77777777" w:rsidR="00193FDB" w:rsidRPr="00CC6E6F" w:rsidRDefault="009C705E" w:rsidP="006F4A31">
            <w:pPr>
              <w:spacing w:after="0" w:line="240" w:lineRule="auto"/>
              <w:jc w:val="center"/>
              <w:rPr>
                <w:rFonts w:ascii="Arial" w:eastAsia="Times New Roman" w:hAnsi="Arial" w:cs="Arial"/>
                <w:b/>
                <w:bCs/>
                <w:color w:val="000000" w:themeColor="text1"/>
                <w:sz w:val="20"/>
                <w:lang w:eastAsia="en-PH"/>
              </w:rPr>
            </w:pPr>
            <w:r w:rsidRPr="00CC6E6F">
              <w:rPr>
                <w:rFonts w:ascii="Arial" w:eastAsia="Times New Roman" w:hAnsi="Arial" w:cs="Arial"/>
                <w:b/>
                <w:bCs/>
                <w:color w:val="000000" w:themeColor="text1"/>
                <w:sz w:val="20"/>
                <w:lang w:eastAsia="en-PH"/>
              </w:rPr>
              <w:t>Good</w:t>
            </w:r>
          </w:p>
        </w:tc>
      </w:tr>
    </w:tbl>
    <w:p w14:paraId="67DCF6D6" w14:textId="77777777" w:rsidR="00193FDB" w:rsidRPr="00CC6E6F" w:rsidRDefault="00193FDB" w:rsidP="006F4A31">
      <w:pPr>
        <w:spacing w:after="0" w:line="240" w:lineRule="auto"/>
        <w:jc w:val="both"/>
        <w:rPr>
          <w:rFonts w:ascii="Arial" w:hAnsi="Arial" w:cs="Arial"/>
          <w:color w:val="000000" w:themeColor="text1"/>
        </w:rPr>
      </w:pPr>
    </w:p>
    <w:p w14:paraId="22F6696E" w14:textId="77777777" w:rsidR="00193FDB" w:rsidRPr="00CC6E6F" w:rsidRDefault="00B35B21" w:rsidP="006F4A31">
      <w:pPr>
        <w:pStyle w:val="BodyText"/>
        <w:spacing w:after="0" w:line="240" w:lineRule="auto"/>
        <w:ind w:firstLine="720"/>
        <w:jc w:val="both"/>
        <w:rPr>
          <w:rFonts w:ascii="Arial" w:hAnsi="Arial" w:cs="Arial"/>
          <w:color w:val="000000" w:themeColor="text1"/>
        </w:rPr>
      </w:pPr>
      <w:r w:rsidRPr="00CC6E6F">
        <w:rPr>
          <w:rFonts w:ascii="Arial" w:hAnsi="Arial" w:cs="Arial"/>
          <w:color w:val="000000" w:themeColor="text1"/>
        </w:rPr>
        <w:t>Table 6</w:t>
      </w:r>
      <w:r w:rsidR="009C705E" w:rsidRPr="00CC6E6F">
        <w:rPr>
          <w:rFonts w:ascii="Arial" w:hAnsi="Arial" w:cs="Arial"/>
          <w:color w:val="000000" w:themeColor="text1"/>
        </w:rPr>
        <w:t xml:space="preserve"> on the study habits of respondents in </w:t>
      </w:r>
      <w:r w:rsidRPr="00CC6E6F">
        <w:rPr>
          <w:rFonts w:ascii="Arial" w:hAnsi="Arial" w:cs="Arial"/>
          <w:color w:val="000000" w:themeColor="text1"/>
        </w:rPr>
        <w:t>terms of time management revealed</w:t>
      </w:r>
      <w:r w:rsidR="009C705E" w:rsidRPr="00CC6E6F">
        <w:rPr>
          <w:rFonts w:ascii="Arial" w:hAnsi="Arial" w:cs="Arial"/>
          <w:color w:val="000000" w:themeColor="text1"/>
        </w:rPr>
        <w:t xml:space="preserve"> a mixed approach to handling academic responsibilities. The overall mean of 2.77, interpreted as "Good," indicates that students exhibit moderate time management skills, with strengths and areas for improvement. Notably, the lowest-rated item is cramming the night before exams, with a mean of 2.24, classified as "Fair." This suggests that many students resort to last-minute studying, reflecting a lack of consistent study routines. Similarly, the tendency to submit </w:t>
      </w:r>
      <w:r w:rsidRPr="00CC6E6F">
        <w:rPr>
          <w:rFonts w:ascii="Arial" w:hAnsi="Arial" w:cs="Arial"/>
          <w:color w:val="000000" w:themeColor="text1"/>
        </w:rPr>
        <w:t>work late, with a mean of 2.48 "Fair"</w:t>
      </w:r>
      <w:r w:rsidR="009C705E" w:rsidRPr="00CC6E6F">
        <w:rPr>
          <w:rFonts w:ascii="Arial" w:hAnsi="Arial" w:cs="Arial"/>
          <w:color w:val="000000" w:themeColor="text1"/>
        </w:rPr>
        <w:t>, implies that time management challenges sometimes result in missed deadlines, possibly due to procrastination or inadequate planning.</w:t>
      </w:r>
    </w:p>
    <w:p w14:paraId="623753D6" w14:textId="77777777" w:rsidR="00193FDB" w:rsidRPr="00CC6E6F" w:rsidRDefault="00193FDB" w:rsidP="006F4A31">
      <w:pPr>
        <w:pStyle w:val="BodyText"/>
        <w:spacing w:after="0" w:line="240" w:lineRule="auto"/>
        <w:ind w:firstLine="720"/>
        <w:jc w:val="both"/>
        <w:rPr>
          <w:rFonts w:ascii="Arial" w:hAnsi="Arial" w:cs="Arial"/>
          <w:color w:val="000000" w:themeColor="text1"/>
        </w:rPr>
      </w:pPr>
    </w:p>
    <w:p w14:paraId="7F981F64" w14:textId="77777777" w:rsidR="00193FDB" w:rsidRDefault="009C705E" w:rsidP="006F4A31">
      <w:pPr>
        <w:pStyle w:val="BodyText"/>
        <w:spacing w:after="0" w:line="240" w:lineRule="auto"/>
        <w:jc w:val="both"/>
        <w:rPr>
          <w:rFonts w:ascii="Arial" w:hAnsi="Arial" w:cs="Arial"/>
          <w:color w:val="000000" w:themeColor="text1"/>
        </w:rPr>
      </w:pPr>
      <w:r w:rsidRPr="00CC6E6F">
        <w:rPr>
          <w:rFonts w:ascii="Arial" w:hAnsi="Arial" w:cs="Arial"/>
          <w:color w:val="000000" w:themeColor="text1"/>
        </w:rPr>
        <w:lastRenderedPageBreak/>
        <w:tab/>
        <w:t>On the other hand, students demonstrate better control when balancing social life and study time, as reflected in the mean score of 2.80, interpreted as "Good." While occasional conflicts arise between these priorities, the respondents generally manage to allocate time for both academic and social activities. The highest-rated item is the perception of spending a productive amount of time studying relative to what they learn, with a mean of 3.54, classified as "Very Good." This indicates that students feel their study sessions are effective and contribute meaningfully to their learning.</w:t>
      </w:r>
    </w:p>
    <w:p w14:paraId="176D0198" w14:textId="77777777" w:rsidR="007154AA" w:rsidRPr="00CC6E6F" w:rsidRDefault="007154AA" w:rsidP="006F4A31">
      <w:pPr>
        <w:pStyle w:val="BodyText"/>
        <w:spacing w:after="0" w:line="240" w:lineRule="auto"/>
        <w:jc w:val="both"/>
        <w:rPr>
          <w:rFonts w:ascii="Arial" w:hAnsi="Arial" w:cs="Arial"/>
          <w:color w:val="000000" w:themeColor="text1"/>
        </w:rPr>
      </w:pPr>
    </w:p>
    <w:p w14:paraId="09F939B1" w14:textId="77777777" w:rsidR="00193FDB" w:rsidRPr="00CC6E6F" w:rsidRDefault="009C705E" w:rsidP="006F4A31">
      <w:pPr>
        <w:pStyle w:val="BodyText"/>
        <w:spacing w:after="0" w:line="240" w:lineRule="auto"/>
        <w:jc w:val="both"/>
        <w:rPr>
          <w:rFonts w:ascii="Arial" w:hAnsi="Arial" w:cs="Arial"/>
          <w:color w:val="000000" w:themeColor="text1"/>
        </w:rPr>
      </w:pPr>
      <w:r w:rsidRPr="00CC6E6F">
        <w:rPr>
          <w:rFonts w:ascii="Arial" w:hAnsi="Arial" w:cs="Arial"/>
          <w:color w:val="000000" w:themeColor="text1"/>
        </w:rPr>
        <w:tab/>
        <w:t>Overall, the findings suggest that while students show promising time management abilities, there is room for growth in establishing consistent study habits and meeting deadlines. Developing strategies such as setting study schedules, breaking tasks into manageable portions, and minimizing distractions could further enhance their time management skills and academic performance.</w:t>
      </w:r>
    </w:p>
    <w:p w14:paraId="3926E03E" w14:textId="77777777" w:rsidR="00193FDB" w:rsidRPr="00CC6E6F" w:rsidRDefault="00193FDB" w:rsidP="006F4A31">
      <w:pPr>
        <w:spacing w:after="0" w:line="240" w:lineRule="auto"/>
        <w:jc w:val="center"/>
        <w:rPr>
          <w:rFonts w:ascii="Arial" w:hAnsi="Arial" w:cs="Arial"/>
          <w:color w:val="000000" w:themeColor="text1"/>
        </w:rPr>
      </w:pPr>
    </w:p>
    <w:p w14:paraId="2375730E"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Table 7. Study Habits of Respondents in Terms of Concentration</w:t>
      </w:r>
    </w:p>
    <w:p w14:paraId="6BCBB354" w14:textId="77777777" w:rsidR="00193FDB" w:rsidRPr="00CC6E6F" w:rsidRDefault="00193FDB" w:rsidP="006F4A31">
      <w:pPr>
        <w:spacing w:after="0" w:line="240" w:lineRule="auto"/>
        <w:ind w:firstLine="720"/>
        <w:jc w:val="both"/>
        <w:rPr>
          <w:rFonts w:ascii="Arial" w:hAnsi="Arial" w:cs="Arial"/>
          <w:color w:val="000000" w:themeColor="text1"/>
        </w:rPr>
      </w:pPr>
    </w:p>
    <w:tbl>
      <w:tblPr>
        <w:tblW w:w="5000" w:type="pct"/>
        <w:tblInd w:w="108" w:type="dxa"/>
        <w:tblLayout w:type="fixed"/>
        <w:tblLook w:val="04A0" w:firstRow="1" w:lastRow="0" w:firstColumn="1" w:lastColumn="0" w:noHBand="0" w:noVBand="1"/>
      </w:tblPr>
      <w:tblGrid>
        <w:gridCol w:w="5662"/>
        <w:gridCol w:w="1551"/>
        <w:gridCol w:w="1813"/>
      </w:tblGrid>
      <w:tr w:rsidR="00CC6E6F" w:rsidRPr="00CC6E6F" w14:paraId="1AD84AF6" w14:textId="77777777">
        <w:trPr>
          <w:trHeight w:val="315"/>
        </w:trPr>
        <w:tc>
          <w:tcPr>
            <w:tcW w:w="5662" w:type="dxa"/>
            <w:tcBorders>
              <w:top w:val="single" w:sz="4" w:space="0" w:color="000000"/>
              <w:bottom w:val="single" w:sz="4" w:space="0" w:color="000000"/>
            </w:tcBorders>
            <w:shd w:val="clear" w:color="auto" w:fill="D9D9D9" w:themeFill="background1" w:themeFillShade="D9"/>
            <w:vAlign w:val="center"/>
          </w:tcPr>
          <w:p w14:paraId="00AB9628" w14:textId="77777777" w:rsidR="00193FDB" w:rsidRPr="00CC6E6F" w:rsidRDefault="009C705E" w:rsidP="006F4A31">
            <w:pPr>
              <w:spacing w:after="0" w:line="240" w:lineRule="auto"/>
              <w:jc w:val="both"/>
              <w:rPr>
                <w:rFonts w:ascii="Arial" w:eastAsia="Times New Roman" w:hAnsi="Arial" w:cs="Arial"/>
                <w:b/>
                <w:bCs/>
                <w:color w:val="000000" w:themeColor="text1"/>
                <w:sz w:val="20"/>
                <w:szCs w:val="20"/>
                <w:lang w:eastAsia="en-PH"/>
              </w:rPr>
            </w:pPr>
            <w:r w:rsidRPr="00CC6E6F">
              <w:rPr>
                <w:rFonts w:ascii="Arial" w:eastAsia="Times New Roman" w:hAnsi="Arial" w:cs="Arial"/>
                <w:b/>
                <w:bCs/>
                <w:color w:val="000000" w:themeColor="text1"/>
                <w:sz w:val="20"/>
                <w:szCs w:val="20"/>
                <w:lang w:eastAsia="en-PH"/>
              </w:rPr>
              <w:t>CONCENTRATION</w:t>
            </w:r>
          </w:p>
        </w:tc>
        <w:tc>
          <w:tcPr>
            <w:tcW w:w="1551" w:type="dxa"/>
            <w:tcBorders>
              <w:top w:val="single" w:sz="4" w:space="0" w:color="000000"/>
              <w:bottom w:val="single" w:sz="4" w:space="0" w:color="000000"/>
            </w:tcBorders>
            <w:shd w:val="clear" w:color="auto" w:fill="D9D9D9" w:themeFill="background1" w:themeFillShade="D9"/>
            <w:vAlign w:val="center"/>
          </w:tcPr>
          <w:p w14:paraId="51AC1ABA" w14:textId="77777777" w:rsidR="00193FDB" w:rsidRPr="00CC6E6F" w:rsidRDefault="009C705E" w:rsidP="006F4A31">
            <w:pPr>
              <w:spacing w:after="0" w:line="240" w:lineRule="auto"/>
              <w:jc w:val="center"/>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Mean</w:t>
            </w:r>
          </w:p>
        </w:tc>
        <w:tc>
          <w:tcPr>
            <w:tcW w:w="1813" w:type="dxa"/>
            <w:tcBorders>
              <w:top w:val="single" w:sz="4" w:space="0" w:color="000000"/>
              <w:bottom w:val="single" w:sz="4" w:space="0" w:color="000000"/>
            </w:tcBorders>
            <w:shd w:val="clear" w:color="auto" w:fill="D9D9D9" w:themeFill="background1" w:themeFillShade="D9"/>
            <w:vAlign w:val="center"/>
          </w:tcPr>
          <w:p w14:paraId="528A3321" w14:textId="77777777" w:rsidR="00193FDB" w:rsidRPr="00CC6E6F" w:rsidRDefault="009C705E" w:rsidP="006F4A31">
            <w:pPr>
              <w:spacing w:after="0" w:line="240" w:lineRule="auto"/>
              <w:jc w:val="center"/>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Interpretation</w:t>
            </w:r>
          </w:p>
        </w:tc>
      </w:tr>
      <w:tr w:rsidR="00CC6E6F" w:rsidRPr="00CC6E6F" w14:paraId="00CAE409" w14:textId="77777777">
        <w:trPr>
          <w:trHeight w:val="315"/>
        </w:trPr>
        <w:tc>
          <w:tcPr>
            <w:tcW w:w="5662" w:type="dxa"/>
            <w:tcBorders>
              <w:top w:val="single" w:sz="4" w:space="0" w:color="000000"/>
            </w:tcBorders>
            <w:shd w:val="clear" w:color="auto" w:fill="auto"/>
            <w:vAlign w:val="center"/>
          </w:tcPr>
          <w:p w14:paraId="76C08E43"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doodle, daydream, or fall asleep in class.</w:t>
            </w:r>
          </w:p>
        </w:tc>
        <w:tc>
          <w:tcPr>
            <w:tcW w:w="1551" w:type="dxa"/>
            <w:tcBorders>
              <w:top w:val="single" w:sz="4" w:space="0" w:color="000000"/>
            </w:tcBorders>
            <w:shd w:val="clear" w:color="auto" w:fill="auto"/>
            <w:vAlign w:val="center"/>
          </w:tcPr>
          <w:p w14:paraId="541EAACE"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2.48</w:t>
            </w:r>
          </w:p>
        </w:tc>
        <w:tc>
          <w:tcPr>
            <w:tcW w:w="1813" w:type="dxa"/>
            <w:tcBorders>
              <w:top w:val="single" w:sz="4" w:space="0" w:color="000000"/>
            </w:tcBorders>
            <w:shd w:val="clear" w:color="auto" w:fill="auto"/>
            <w:vAlign w:val="center"/>
          </w:tcPr>
          <w:p w14:paraId="378B9473"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Fair</w:t>
            </w:r>
          </w:p>
        </w:tc>
      </w:tr>
      <w:tr w:rsidR="00CC6E6F" w:rsidRPr="00CC6E6F" w14:paraId="514CA022" w14:textId="77777777">
        <w:trPr>
          <w:trHeight w:val="315"/>
        </w:trPr>
        <w:tc>
          <w:tcPr>
            <w:tcW w:w="5662" w:type="dxa"/>
            <w:shd w:val="clear" w:color="auto" w:fill="auto"/>
            <w:vAlign w:val="center"/>
          </w:tcPr>
          <w:p w14:paraId="029AE219"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get tired or distracted while studying for a long period of time.</w:t>
            </w:r>
          </w:p>
        </w:tc>
        <w:tc>
          <w:tcPr>
            <w:tcW w:w="1551" w:type="dxa"/>
            <w:shd w:val="clear" w:color="auto" w:fill="auto"/>
            <w:vAlign w:val="center"/>
          </w:tcPr>
          <w:p w14:paraId="0AE08EBC"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2.24</w:t>
            </w:r>
          </w:p>
        </w:tc>
        <w:tc>
          <w:tcPr>
            <w:tcW w:w="1813" w:type="dxa"/>
            <w:shd w:val="clear" w:color="auto" w:fill="auto"/>
            <w:vAlign w:val="center"/>
          </w:tcPr>
          <w:p w14:paraId="63D0835E"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Fair</w:t>
            </w:r>
          </w:p>
        </w:tc>
      </w:tr>
      <w:tr w:rsidR="00CC6E6F" w:rsidRPr="00CC6E6F" w14:paraId="20731F72" w14:textId="77777777">
        <w:trPr>
          <w:trHeight w:val="315"/>
        </w:trPr>
        <w:tc>
          <w:tcPr>
            <w:tcW w:w="5662" w:type="dxa"/>
            <w:shd w:val="clear" w:color="auto" w:fill="auto"/>
            <w:vAlign w:val="center"/>
          </w:tcPr>
          <w:p w14:paraId="03A82A2C"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study with the radio or TV on.</w:t>
            </w:r>
          </w:p>
        </w:tc>
        <w:tc>
          <w:tcPr>
            <w:tcW w:w="1551" w:type="dxa"/>
            <w:shd w:val="clear" w:color="auto" w:fill="auto"/>
            <w:vAlign w:val="center"/>
          </w:tcPr>
          <w:p w14:paraId="65668A16"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1.85</w:t>
            </w:r>
          </w:p>
        </w:tc>
        <w:tc>
          <w:tcPr>
            <w:tcW w:w="1813" w:type="dxa"/>
            <w:shd w:val="clear" w:color="auto" w:fill="auto"/>
            <w:vAlign w:val="center"/>
          </w:tcPr>
          <w:p w14:paraId="29CC5F5C"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Fair</w:t>
            </w:r>
          </w:p>
        </w:tc>
      </w:tr>
      <w:tr w:rsidR="00CC6E6F" w:rsidRPr="00CC6E6F" w14:paraId="4974B1A2" w14:textId="77777777">
        <w:trPr>
          <w:trHeight w:val="315"/>
        </w:trPr>
        <w:tc>
          <w:tcPr>
            <w:tcW w:w="5662" w:type="dxa"/>
            <w:tcBorders>
              <w:bottom w:val="single" w:sz="4" w:space="0" w:color="000000"/>
            </w:tcBorders>
            <w:shd w:val="clear" w:color="auto" w:fill="auto"/>
            <w:vAlign w:val="center"/>
          </w:tcPr>
          <w:p w14:paraId="7B8A15C7"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need to improve my concentration when I am studying</w:t>
            </w:r>
          </w:p>
        </w:tc>
        <w:tc>
          <w:tcPr>
            <w:tcW w:w="1551" w:type="dxa"/>
            <w:tcBorders>
              <w:bottom w:val="single" w:sz="4" w:space="0" w:color="000000"/>
            </w:tcBorders>
            <w:shd w:val="clear" w:color="auto" w:fill="auto"/>
            <w:vAlign w:val="center"/>
          </w:tcPr>
          <w:p w14:paraId="7B726A6D"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3.75</w:t>
            </w:r>
          </w:p>
        </w:tc>
        <w:tc>
          <w:tcPr>
            <w:tcW w:w="1813" w:type="dxa"/>
            <w:tcBorders>
              <w:bottom w:val="single" w:sz="4" w:space="0" w:color="000000"/>
            </w:tcBorders>
            <w:shd w:val="clear" w:color="auto" w:fill="auto"/>
            <w:vAlign w:val="center"/>
          </w:tcPr>
          <w:p w14:paraId="6F69D09B"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Very Good</w:t>
            </w:r>
          </w:p>
        </w:tc>
      </w:tr>
      <w:tr w:rsidR="00CC6E6F" w:rsidRPr="00CC6E6F" w14:paraId="5ABD5A58" w14:textId="77777777">
        <w:trPr>
          <w:trHeight w:val="315"/>
        </w:trPr>
        <w:tc>
          <w:tcPr>
            <w:tcW w:w="5662" w:type="dxa"/>
            <w:tcBorders>
              <w:top w:val="single" w:sz="4" w:space="0" w:color="000000"/>
              <w:bottom w:val="single" w:sz="4" w:space="0" w:color="000000"/>
            </w:tcBorders>
            <w:shd w:val="clear" w:color="auto" w:fill="D9D9D9" w:themeFill="background1" w:themeFillShade="D9"/>
            <w:vAlign w:val="center"/>
          </w:tcPr>
          <w:p w14:paraId="1CCF8046"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 </w:t>
            </w:r>
          </w:p>
        </w:tc>
        <w:tc>
          <w:tcPr>
            <w:tcW w:w="1551" w:type="dxa"/>
            <w:tcBorders>
              <w:top w:val="single" w:sz="4" w:space="0" w:color="000000"/>
              <w:bottom w:val="single" w:sz="4" w:space="0" w:color="000000"/>
            </w:tcBorders>
            <w:shd w:val="clear" w:color="auto" w:fill="D9D9D9" w:themeFill="background1" w:themeFillShade="D9"/>
            <w:vAlign w:val="center"/>
          </w:tcPr>
          <w:p w14:paraId="5F78D0E6" w14:textId="77777777" w:rsidR="00193FDB" w:rsidRPr="00CC6E6F" w:rsidRDefault="009C705E" w:rsidP="006F4A31">
            <w:pPr>
              <w:spacing w:after="0" w:line="240" w:lineRule="auto"/>
              <w:jc w:val="center"/>
              <w:rPr>
                <w:rFonts w:ascii="Arial" w:hAnsi="Arial" w:cs="Arial"/>
                <w:b/>
                <w:bCs/>
                <w:color w:val="000000" w:themeColor="text1"/>
                <w:sz w:val="20"/>
                <w:szCs w:val="20"/>
              </w:rPr>
            </w:pPr>
            <w:r w:rsidRPr="00CC6E6F">
              <w:rPr>
                <w:rFonts w:ascii="Arial" w:hAnsi="Arial" w:cs="Arial"/>
                <w:b/>
                <w:bCs/>
                <w:color w:val="000000" w:themeColor="text1"/>
                <w:sz w:val="20"/>
                <w:szCs w:val="20"/>
              </w:rPr>
              <w:t>2.58</w:t>
            </w:r>
          </w:p>
        </w:tc>
        <w:tc>
          <w:tcPr>
            <w:tcW w:w="1813" w:type="dxa"/>
            <w:tcBorders>
              <w:top w:val="single" w:sz="4" w:space="0" w:color="000000"/>
              <w:bottom w:val="single" w:sz="4" w:space="0" w:color="000000"/>
            </w:tcBorders>
            <w:shd w:val="clear" w:color="auto" w:fill="D9D9D9" w:themeFill="background1" w:themeFillShade="D9"/>
            <w:vAlign w:val="center"/>
          </w:tcPr>
          <w:p w14:paraId="38F2EEBB" w14:textId="77777777" w:rsidR="00193FDB" w:rsidRPr="00CC6E6F" w:rsidRDefault="009C705E" w:rsidP="006F4A31">
            <w:pPr>
              <w:spacing w:after="0" w:line="240" w:lineRule="auto"/>
              <w:jc w:val="center"/>
              <w:rPr>
                <w:rFonts w:ascii="Arial" w:eastAsia="Times New Roman" w:hAnsi="Arial" w:cs="Arial"/>
                <w:b/>
                <w:bCs/>
                <w:color w:val="000000" w:themeColor="text1"/>
                <w:sz w:val="20"/>
                <w:szCs w:val="20"/>
                <w:lang w:eastAsia="en-PH"/>
              </w:rPr>
            </w:pPr>
            <w:r w:rsidRPr="00CC6E6F">
              <w:rPr>
                <w:rFonts w:ascii="Arial" w:eastAsia="Times New Roman" w:hAnsi="Arial" w:cs="Arial"/>
                <w:b/>
                <w:bCs/>
                <w:color w:val="000000" w:themeColor="text1"/>
                <w:sz w:val="20"/>
                <w:szCs w:val="20"/>
                <w:lang w:eastAsia="en-PH"/>
              </w:rPr>
              <w:t>Fair</w:t>
            </w:r>
          </w:p>
        </w:tc>
      </w:tr>
    </w:tbl>
    <w:p w14:paraId="2D3FB6B7" w14:textId="77777777" w:rsidR="00193FDB" w:rsidRPr="00CC6E6F" w:rsidRDefault="00193FDB" w:rsidP="006F4A31">
      <w:pPr>
        <w:spacing w:after="0" w:line="240" w:lineRule="auto"/>
        <w:rPr>
          <w:rFonts w:ascii="Arial" w:hAnsi="Arial" w:cs="Arial"/>
          <w:color w:val="000000" w:themeColor="text1"/>
        </w:rPr>
      </w:pPr>
    </w:p>
    <w:p w14:paraId="00514EAB" w14:textId="77777777" w:rsidR="00193FDB" w:rsidRPr="00CC6E6F" w:rsidRDefault="006F4A31" w:rsidP="006F4A31">
      <w:pPr>
        <w:pStyle w:val="BodyText"/>
        <w:spacing w:after="0" w:line="240" w:lineRule="auto"/>
        <w:ind w:firstLine="720"/>
        <w:jc w:val="both"/>
        <w:rPr>
          <w:rFonts w:ascii="Arial" w:hAnsi="Arial" w:cs="Arial"/>
          <w:color w:val="000000" w:themeColor="text1"/>
        </w:rPr>
      </w:pPr>
      <w:r w:rsidRPr="00CC6E6F">
        <w:rPr>
          <w:rFonts w:ascii="Arial" w:hAnsi="Arial" w:cs="Arial"/>
          <w:color w:val="000000" w:themeColor="text1"/>
        </w:rPr>
        <w:t>The Table 7 revealed</w:t>
      </w:r>
      <w:r w:rsidR="009C705E" w:rsidRPr="00CC6E6F">
        <w:rPr>
          <w:rFonts w:ascii="Arial" w:hAnsi="Arial" w:cs="Arial"/>
          <w:color w:val="000000" w:themeColor="text1"/>
        </w:rPr>
        <w:t xml:space="preserve"> that students face challenges maintaining focus during their academic activities, with an overall mean of 2.58, interpreted as "Fair." Several factors contribute to this outcome. The tendency to doodle, daydream, or fall asleep in class has a mean score of 2.48, suggesting that students occasionally lose attention during lessons, which may hinder their understanding of the material being taught. Similarly, the respondents reported getting tired or distracted when studying for long periods, with a mean of 2.24, indicating that prolonged study sessions may reduce their ability to concentrate effectively.</w:t>
      </w:r>
    </w:p>
    <w:p w14:paraId="4A43B4D6" w14:textId="77777777" w:rsidR="006F4A31" w:rsidRPr="00CC6E6F" w:rsidRDefault="006F4A31" w:rsidP="006F4A31">
      <w:pPr>
        <w:pStyle w:val="BodyText"/>
        <w:spacing w:after="0" w:line="240" w:lineRule="auto"/>
        <w:ind w:firstLine="720"/>
        <w:jc w:val="both"/>
        <w:rPr>
          <w:rFonts w:ascii="Arial" w:hAnsi="Arial" w:cs="Arial"/>
          <w:color w:val="000000" w:themeColor="text1"/>
        </w:rPr>
      </w:pPr>
    </w:p>
    <w:p w14:paraId="227D50DC" w14:textId="77777777" w:rsidR="00193FDB" w:rsidRPr="00CC6E6F" w:rsidRDefault="009C705E" w:rsidP="006F4A31">
      <w:pPr>
        <w:pStyle w:val="BodyText"/>
        <w:spacing w:after="0" w:line="240" w:lineRule="auto"/>
        <w:ind w:firstLine="720"/>
        <w:jc w:val="both"/>
        <w:rPr>
          <w:rFonts w:ascii="Arial" w:hAnsi="Arial" w:cs="Arial"/>
          <w:color w:val="000000" w:themeColor="text1"/>
        </w:rPr>
      </w:pPr>
      <w:r w:rsidRPr="00CC6E6F">
        <w:rPr>
          <w:rFonts w:ascii="Arial" w:hAnsi="Arial" w:cs="Arial"/>
          <w:color w:val="000000" w:themeColor="text1"/>
        </w:rPr>
        <w:t>Another factor affecting concentration is the habit of studying with background distractions, such as the radio or TV, which scored a mean of 1.85 — also interpreted as "Fair." This behavior likely divides their attention and reduces their learning efficiency. On a more positive note, the highest-rated item is the acknowledgment of the need to improve concentration while studying, with a mean of 3.75, classified as "Very Good." This shows that students are aware of their difficulties and recognize the importance of enhancing their focus.</w:t>
      </w:r>
    </w:p>
    <w:p w14:paraId="3C93C4FD" w14:textId="77777777" w:rsidR="006F4A31" w:rsidRPr="00CC6E6F" w:rsidRDefault="006F4A31" w:rsidP="006F4A31">
      <w:pPr>
        <w:pStyle w:val="BodyText"/>
        <w:spacing w:after="0" w:line="240" w:lineRule="auto"/>
        <w:jc w:val="both"/>
        <w:rPr>
          <w:rFonts w:ascii="Arial" w:hAnsi="Arial" w:cs="Arial"/>
          <w:color w:val="000000" w:themeColor="text1"/>
        </w:rPr>
      </w:pPr>
    </w:p>
    <w:p w14:paraId="0BF8F92D" w14:textId="77777777" w:rsidR="00193FDB" w:rsidRPr="00CC6E6F" w:rsidRDefault="006F4A31" w:rsidP="006F4A31">
      <w:pPr>
        <w:pStyle w:val="BodyText"/>
        <w:spacing w:after="0" w:line="240" w:lineRule="auto"/>
        <w:ind w:firstLine="720"/>
        <w:jc w:val="both"/>
        <w:rPr>
          <w:rFonts w:ascii="Arial" w:hAnsi="Arial" w:cs="Arial"/>
          <w:color w:val="000000" w:themeColor="text1"/>
        </w:rPr>
      </w:pPr>
      <w:r w:rsidRPr="00CC6E6F">
        <w:rPr>
          <w:rFonts w:ascii="Arial" w:hAnsi="Arial" w:cs="Arial"/>
          <w:color w:val="000000" w:themeColor="text1"/>
        </w:rPr>
        <w:t>In this category</w:t>
      </w:r>
      <w:r w:rsidR="009C705E" w:rsidRPr="00CC6E6F">
        <w:rPr>
          <w:rFonts w:ascii="Arial" w:hAnsi="Arial" w:cs="Arial"/>
          <w:color w:val="000000" w:themeColor="text1"/>
        </w:rPr>
        <w:t>, the findings suggest that while students struggle with maintaining concentration, they show a commendable level of self-awareness regarding the need for improvement. Addressing these issues could involve adopting strategies such as taking regular breaks during study sessions, minimizing distractions, and using techniques like mindfulness or active learning to sustain attention. These adjustments could significantly boost their academic performance by enhancing focus and retention.</w:t>
      </w:r>
    </w:p>
    <w:p w14:paraId="697BEFF6" w14:textId="77777777" w:rsidR="00193FDB" w:rsidRPr="00CC6E6F" w:rsidRDefault="00193FDB" w:rsidP="006F4A31">
      <w:pPr>
        <w:spacing w:after="0" w:line="240" w:lineRule="auto"/>
        <w:ind w:firstLine="720"/>
        <w:jc w:val="both"/>
        <w:rPr>
          <w:rFonts w:ascii="Arial" w:hAnsi="Arial" w:cs="Arial"/>
          <w:color w:val="000000" w:themeColor="text1"/>
        </w:rPr>
      </w:pPr>
    </w:p>
    <w:p w14:paraId="52B1AE8C" w14:textId="77777777" w:rsidR="006F4A31" w:rsidRPr="00CC6E6F" w:rsidRDefault="006F4A31" w:rsidP="006F4A31">
      <w:pPr>
        <w:spacing w:after="0" w:line="240" w:lineRule="auto"/>
        <w:jc w:val="center"/>
        <w:rPr>
          <w:rFonts w:ascii="Arial" w:hAnsi="Arial" w:cs="Arial"/>
          <w:color w:val="000000" w:themeColor="text1"/>
        </w:rPr>
      </w:pPr>
    </w:p>
    <w:p w14:paraId="05820635"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Table 8. Study Habits of Respondents in Terms of Note Taking</w:t>
      </w:r>
    </w:p>
    <w:p w14:paraId="6834CE75" w14:textId="77777777" w:rsidR="00193FDB" w:rsidRPr="00CC6E6F" w:rsidRDefault="00193FDB" w:rsidP="006F4A31">
      <w:pPr>
        <w:spacing w:after="0" w:line="240" w:lineRule="auto"/>
        <w:rPr>
          <w:rFonts w:ascii="Arial" w:hAnsi="Arial" w:cs="Arial"/>
          <w:color w:val="000000" w:themeColor="text1"/>
        </w:rPr>
      </w:pPr>
    </w:p>
    <w:tbl>
      <w:tblPr>
        <w:tblW w:w="5000" w:type="pct"/>
        <w:tblInd w:w="108" w:type="dxa"/>
        <w:tblLayout w:type="fixed"/>
        <w:tblLook w:val="04A0" w:firstRow="1" w:lastRow="0" w:firstColumn="1" w:lastColumn="0" w:noHBand="0" w:noVBand="1"/>
      </w:tblPr>
      <w:tblGrid>
        <w:gridCol w:w="5662"/>
        <w:gridCol w:w="1551"/>
        <w:gridCol w:w="1813"/>
      </w:tblGrid>
      <w:tr w:rsidR="00CC6E6F" w:rsidRPr="00CC6E6F" w14:paraId="374DA269" w14:textId="77777777">
        <w:trPr>
          <w:trHeight w:val="315"/>
        </w:trPr>
        <w:tc>
          <w:tcPr>
            <w:tcW w:w="5662" w:type="dxa"/>
            <w:tcBorders>
              <w:top w:val="single" w:sz="4" w:space="0" w:color="000000"/>
              <w:bottom w:val="single" w:sz="4" w:space="0" w:color="000000"/>
            </w:tcBorders>
            <w:shd w:val="clear" w:color="auto" w:fill="D9D9D9" w:themeFill="background1" w:themeFillShade="D9"/>
            <w:vAlign w:val="center"/>
          </w:tcPr>
          <w:p w14:paraId="4CE148FA" w14:textId="77777777" w:rsidR="00193FDB" w:rsidRPr="00CC6E6F" w:rsidRDefault="009C705E" w:rsidP="006F4A31">
            <w:pPr>
              <w:spacing w:after="0" w:line="240" w:lineRule="auto"/>
              <w:jc w:val="both"/>
              <w:rPr>
                <w:rFonts w:ascii="Arial" w:eastAsia="Times New Roman" w:hAnsi="Arial" w:cs="Arial"/>
                <w:b/>
                <w:bCs/>
                <w:color w:val="000000" w:themeColor="text1"/>
                <w:sz w:val="20"/>
                <w:szCs w:val="20"/>
                <w:lang w:eastAsia="en-PH"/>
              </w:rPr>
            </w:pPr>
            <w:r w:rsidRPr="00CC6E6F">
              <w:rPr>
                <w:rFonts w:ascii="Arial" w:eastAsia="Times New Roman" w:hAnsi="Arial" w:cs="Arial"/>
                <w:b/>
                <w:bCs/>
                <w:color w:val="000000" w:themeColor="text1"/>
                <w:sz w:val="20"/>
                <w:szCs w:val="20"/>
                <w:lang w:eastAsia="en-PH"/>
              </w:rPr>
              <w:t>NOTE TAKING</w:t>
            </w:r>
          </w:p>
        </w:tc>
        <w:tc>
          <w:tcPr>
            <w:tcW w:w="1551" w:type="dxa"/>
            <w:tcBorders>
              <w:top w:val="single" w:sz="4" w:space="0" w:color="000000"/>
              <w:bottom w:val="single" w:sz="4" w:space="0" w:color="000000"/>
            </w:tcBorders>
            <w:shd w:val="clear" w:color="auto" w:fill="D9D9D9" w:themeFill="background1" w:themeFillShade="D9"/>
            <w:vAlign w:val="center"/>
          </w:tcPr>
          <w:p w14:paraId="79B97CED" w14:textId="77777777" w:rsidR="00193FDB" w:rsidRPr="00CC6E6F" w:rsidRDefault="009C705E" w:rsidP="006F4A31">
            <w:pPr>
              <w:spacing w:after="0" w:line="240" w:lineRule="auto"/>
              <w:jc w:val="center"/>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Mean</w:t>
            </w:r>
          </w:p>
        </w:tc>
        <w:tc>
          <w:tcPr>
            <w:tcW w:w="1813" w:type="dxa"/>
            <w:tcBorders>
              <w:top w:val="single" w:sz="4" w:space="0" w:color="000000"/>
              <w:bottom w:val="single" w:sz="4" w:space="0" w:color="000000"/>
            </w:tcBorders>
            <w:shd w:val="clear" w:color="auto" w:fill="D9D9D9" w:themeFill="background1" w:themeFillShade="D9"/>
            <w:vAlign w:val="center"/>
          </w:tcPr>
          <w:p w14:paraId="5BFA95B2" w14:textId="77777777" w:rsidR="00193FDB" w:rsidRPr="00CC6E6F" w:rsidRDefault="009C705E" w:rsidP="006F4A31">
            <w:pPr>
              <w:spacing w:after="0" w:line="240" w:lineRule="auto"/>
              <w:jc w:val="center"/>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Interpretation</w:t>
            </w:r>
          </w:p>
        </w:tc>
      </w:tr>
      <w:tr w:rsidR="00CC6E6F" w:rsidRPr="00CC6E6F" w14:paraId="0B05C0ED" w14:textId="77777777">
        <w:trPr>
          <w:trHeight w:val="315"/>
        </w:trPr>
        <w:tc>
          <w:tcPr>
            <w:tcW w:w="5662" w:type="dxa"/>
            <w:tcBorders>
              <w:top w:val="single" w:sz="4" w:space="0" w:color="000000"/>
            </w:tcBorders>
            <w:shd w:val="clear" w:color="auto" w:fill="auto"/>
            <w:vAlign w:val="center"/>
          </w:tcPr>
          <w:p w14:paraId="385C5A54"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seem to get the wrong material into my class notes.</w:t>
            </w:r>
          </w:p>
        </w:tc>
        <w:tc>
          <w:tcPr>
            <w:tcW w:w="1551" w:type="dxa"/>
            <w:tcBorders>
              <w:top w:val="single" w:sz="4" w:space="0" w:color="000000"/>
            </w:tcBorders>
            <w:shd w:val="clear" w:color="auto" w:fill="auto"/>
            <w:vAlign w:val="center"/>
          </w:tcPr>
          <w:p w14:paraId="4A022D98"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2.31</w:t>
            </w:r>
          </w:p>
        </w:tc>
        <w:tc>
          <w:tcPr>
            <w:tcW w:w="1813" w:type="dxa"/>
            <w:tcBorders>
              <w:top w:val="single" w:sz="4" w:space="0" w:color="000000"/>
            </w:tcBorders>
            <w:shd w:val="clear" w:color="auto" w:fill="auto"/>
            <w:vAlign w:val="center"/>
          </w:tcPr>
          <w:p w14:paraId="509BFB55"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Fair</w:t>
            </w:r>
          </w:p>
        </w:tc>
      </w:tr>
      <w:tr w:rsidR="00CC6E6F" w:rsidRPr="00CC6E6F" w14:paraId="1D64CA2D" w14:textId="77777777">
        <w:trPr>
          <w:trHeight w:val="315"/>
        </w:trPr>
        <w:tc>
          <w:tcPr>
            <w:tcW w:w="5662" w:type="dxa"/>
            <w:shd w:val="clear" w:color="auto" w:fill="auto"/>
            <w:vAlign w:val="center"/>
          </w:tcPr>
          <w:p w14:paraId="76C6FDCA"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don’t take another look at my class notes for days after they are taken.</w:t>
            </w:r>
          </w:p>
        </w:tc>
        <w:tc>
          <w:tcPr>
            <w:tcW w:w="1551" w:type="dxa"/>
            <w:shd w:val="clear" w:color="auto" w:fill="auto"/>
            <w:vAlign w:val="center"/>
          </w:tcPr>
          <w:p w14:paraId="4B032957"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2.24</w:t>
            </w:r>
          </w:p>
        </w:tc>
        <w:tc>
          <w:tcPr>
            <w:tcW w:w="1813" w:type="dxa"/>
            <w:shd w:val="clear" w:color="auto" w:fill="auto"/>
            <w:vAlign w:val="center"/>
          </w:tcPr>
          <w:p w14:paraId="5355CB4A"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Fair</w:t>
            </w:r>
          </w:p>
        </w:tc>
      </w:tr>
      <w:tr w:rsidR="00CC6E6F" w:rsidRPr="00CC6E6F" w14:paraId="71A42CFC" w14:textId="77777777">
        <w:trPr>
          <w:trHeight w:val="315"/>
        </w:trPr>
        <w:tc>
          <w:tcPr>
            <w:tcW w:w="5662" w:type="dxa"/>
            <w:shd w:val="clear" w:color="auto" w:fill="auto"/>
            <w:vAlign w:val="center"/>
          </w:tcPr>
          <w:p w14:paraId="3EACD03A"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lastRenderedPageBreak/>
              <w:t>I can’t keep up with the professor’s lectures while taking notes.</w:t>
            </w:r>
          </w:p>
        </w:tc>
        <w:tc>
          <w:tcPr>
            <w:tcW w:w="1551" w:type="dxa"/>
            <w:shd w:val="clear" w:color="auto" w:fill="auto"/>
            <w:vAlign w:val="center"/>
          </w:tcPr>
          <w:p w14:paraId="06BD1D89"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2.48</w:t>
            </w:r>
          </w:p>
        </w:tc>
        <w:tc>
          <w:tcPr>
            <w:tcW w:w="1813" w:type="dxa"/>
            <w:shd w:val="clear" w:color="auto" w:fill="auto"/>
            <w:vAlign w:val="center"/>
          </w:tcPr>
          <w:p w14:paraId="2022C9CB"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Fair</w:t>
            </w:r>
          </w:p>
        </w:tc>
      </w:tr>
      <w:tr w:rsidR="00CC6E6F" w:rsidRPr="00CC6E6F" w14:paraId="6351A84B" w14:textId="77777777">
        <w:trPr>
          <w:trHeight w:val="315"/>
        </w:trPr>
        <w:tc>
          <w:tcPr>
            <w:tcW w:w="5662" w:type="dxa"/>
            <w:tcBorders>
              <w:bottom w:val="single" w:sz="4" w:space="0" w:color="000000"/>
            </w:tcBorders>
            <w:shd w:val="clear" w:color="auto" w:fill="auto"/>
            <w:vAlign w:val="center"/>
          </w:tcPr>
          <w:p w14:paraId="425EC13F"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My class notes are difficult to understand later.</w:t>
            </w:r>
          </w:p>
        </w:tc>
        <w:tc>
          <w:tcPr>
            <w:tcW w:w="1551" w:type="dxa"/>
            <w:tcBorders>
              <w:bottom w:val="single" w:sz="4" w:space="0" w:color="000000"/>
            </w:tcBorders>
            <w:shd w:val="clear" w:color="auto" w:fill="auto"/>
            <w:vAlign w:val="center"/>
          </w:tcPr>
          <w:p w14:paraId="482877E9"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2.36</w:t>
            </w:r>
          </w:p>
        </w:tc>
        <w:tc>
          <w:tcPr>
            <w:tcW w:w="1813" w:type="dxa"/>
            <w:tcBorders>
              <w:bottom w:val="single" w:sz="4" w:space="0" w:color="000000"/>
            </w:tcBorders>
            <w:shd w:val="clear" w:color="auto" w:fill="auto"/>
            <w:vAlign w:val="center"/>
          </w:tcPr>
          <w:p w14:paraId="538D004F"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Fair</w:t>
            </w:r>
          </w:p>
        </w:tc>
      </w:tr>
      <w:tr w:rsidR="00CC6E6F" w:rsidRPr="00CC6E6F" w14:paraId="01306AC7" w14:textId="77777777">
        <w:trPr>
          <w:trHeight w:val="315"/>
        </w:trPr>
        <w:tc>
          <w:tcPr>
            <w:tcW w:w="5662" w:type="dxa"/>
            <w:tcBorders>
              <w:top w:val="single" w:sz="4" w:space="0" w:color="000000"/>
              <w:bottom w:val="single" w:sz="4" w:space="0" w:color="000000"/>
            </w:tcBorders>
            <w:shd w:val="clear" w:color="auto" w:fill="D9D9D9" w:themeFill="background1" w:themeFillShade="D9"/>
            <w:vAlign w:val="center"/>
          </w:tcPr>
          <w:p w14:paraId="4EB23E08"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 </w:t>
            </w:r>
          </w:p>
        </w:tc>
        <w:tc>
          <w:tcPr>
            <w:tcW w:w="1551" w:type="dxa"/>
            <w:tcBorders>
              <w:top w:val="single" w:sz="4" w:space="0" w:color="000000"/>
              <w:bottom w:val="single" w:sz="4" w:space="0" w:color="000000"/>
            </w:tcBorders>
            <w:shd w:val="clear" w:color="auto" w:fill="D9D9D9" w:themeFill="background1" w:themeFillShade="D9"/>
            <w:vAlign w:val="center"/>
          </w:tcPr>
          <w:p w14:paraId="27028B41" w14:textId="77777777" w:rsidR="00193FDB" w:rsidRPr="00CC6E6F" w:rsidRDefault="009C705E" w:rsidP="006F4A31">
            <w:pPr>
              <w:spacing w:after="0" w:line="240" w:lineRule="auto"/>
              <w:jc w:val="center"/>
              <w:rPr>
                <w:rFonts w:ascii="Arial" w:hAnsi="Arial" w:cs="Arial"/>
                <w:b/>
                <w:bCs/>
                <w:color w:val="000000" w:themeColor="text1"/>
                <w:sz w:val="20"/>
                <w:szCs w:val="20"/>
              </w:rPr>
            </w:pPr>
            <w:r w:rsidRPr="00CC6E6F">
              <w:rPr>
                <w:rFonts w:ascii="Arial" w:hAnsi="Arial" w:cs="Arial"/>
                <w:b/>
                <w:bCs/>
                <w:color w:val="000000" w:themeColor="text1"/>
                <w:sz w:val="20"/>
                <w:szCs w:val="20"/>
              </w:rPr>
              <w:t>2.35</w:t>
            </w:r>
          </w:p>
        </w:tc>
        <w:tc>
          <w:tcPr>
            <w:tcW w:w="1813" w:type="dxa"/>
            <w:tcBorders>
              <w:top w:val="single" w:sz="4" w:space="0" w:color="000000"/>
              <w:bottom w:val="single" w:sz="4" w:space="0" w:color="000000"/>
            </w:tcBorders>
            <w:shd w:val="clear" w:color="auto" w:fill="D9D9D9" w:themeFill="background1" w:themeFillShade="D9"/>
            <w:vAlign w:val="center"/>
          </w:tcPr>
          <w:p w14:paraId="27A507FE" w14:textId="77777777" w:rsidR="00193FDB" w:rsidRPr="00CC6E6F" w:rsidRDefault="009C705E" w:rsidP="006F4A31">
            <w:pPr>
              <w:spacing w:after="0" w:line="240" w:lineRule="auto"/>
              <w:jc w:val="center"/>
              <w:rPr>
                <w:rFonts w:ascii="Arial" w:eastAsia="Times New Roman" w:hAnsi="Arial" w:cs="Arial"/>
                <w:b/>
                <w:bCs/>
                <w:color w:val="000000" w:themeColor="text1"/>
                <w:sz w:val="20"/>
                <w:szCs w:val="20"/>
                <w:lang w:eastAsia="en-PH"/>
              </w:rPr>
            </w:pPr>
            <w:r w:rsidRPr="00CC6E6F">
              <w:rPr>
                <w:rFonts w:ascii="Arial" w:eastAsia="Times New Roman" w:hAnsi="Arial" w:cs="Arial"/>
                <w:b/>
                <w:bCs/>
                <w:color w:val="000000" w:themeColor="text1"/>
                <w:sz w:val="20"/>
                <w:szCs w:val="20"/>
                <w:lang w:eastAsia="en-PH"/>
              </w:rPr>
              <w:t>Fair</w:t>
            </w:r>
          </w:p>
        </w:tc>
      </w:tr>
    </w:tbl>
    <w:p w14:paraId="397CFD0E" w14:textId="77777777" w:rsidR="00193FDB" w:rsidRPr="00CC6E6F" w:rsidRDefault="00193FDB" w:rsidP="006F4A31">
      <w:pPr>
        <w:spacing w:after="0" w:line="240" w:lineRule="auto"/>
        <w:rPr>
          <w:rFonts w:ascii="Arial" w:hAnsi="Arial" w:cs="Arial"/>
          <w:color w:val="000000" w:themeColor="text1"/>
        </w:rPr>
      </w:pPr>
    </w:p>
    <w:p w14:paraId="0B04D4BD" w14:textId="77777777" w:rsidR="00193FDB" w:rsidRPr="00CC6E6F" w:rsidRDefault="00B82ED1" w:rsidP="006F4A31">
      <w:pPr>
        <w:pStyle w:val="BodyText"/>
        <w:spacing w:after="0" w:line="240" w:lineRule="auto"/>
        <w:ind w:firstLine="720"/>
        <w:jc w:val="both"/>
        <w:rPr>
          <w:rFonts w:ascii="Arial" w:hAnsi="Arial" w:cs="Arial"/>
          <w:color w:val="000000" w:themeColor="text1"/>
        </w:rPr>
      </w:pPr>
      <w:r w:rsidRPr="00CC6E6F">
        <w:rPr>
          <w:rFonts w:ascii="Arial" w:hAnsi="Arial" w:cs="Arial"/>
          <w:color w:val="000000" w:themeColor="text1"/>
        </w:rPr>
        <w:t xml:space="preserve">The </w:t>
      </w:r>
      <w:r w:rsidR="006F4A31" w:rsidRPr="00CC6E6F">
        <w:rPr>
          <w:rFonts w:ascii="Arial" w:hAnsi="Arial" w:cs="Arial"/>
          <w:color w:val="000000" w:themeColor="text1"/>
        </w:rPr>
        <w:t>Table 8</w:t>
      </w:r>
      <w:r w:rsidR="009C705E" w:rsidRPr="00CC6E6F">
        <w:rPr>
          <w:rFonts w:ascii="Arial" w:hAnsi="Arial" w:cs="Arial"/>
          <w:color w:val="000000" w:themeColor="text1"/>
        </w:rPr>
        <w:t xml:space="preserve"> in terms of note-taking shows that students face considerable challenges in this area, with an overall mean of 2.35, interpreted as "Fair." Several factors contribute to these difficulties. First, the tendency to capture incorrect material in their class notes has a mean score of 2.31, suggesting that students often struggle to identify key points during lectures. Additionally, the habit of not reviewing notes for days after taking them, with a mean of 2.24, implies a lack of reinforcement, which may weaken their retention and understanding of the material.</w:t>
      </w:r>
    </w:p>
    <w:p w14:paraId="5361FCA6" w14:textId="77777777" w:rsidR="006F4A31" w:rsidRPr="00CC6E6F" w:rsidRDefault="006F4A31" w:rsidP="006F4A31">
      <w:pPr>
        <w:pStyle w:val="BodyText"/>
        <w:spacing w:after="0" w:line="240" w:lineRule="auto"/>
        <w:ind w:firstLine="720"/>
        <w:jc w:val="both"/>
        <w:rPr>
          <w:rFonts w:ascii="Arial" w:hAnsi="Arial" w:cs="Arial"/>
          <w:color w:val="000000" w:themeColor="text1"/>
        </w:rPr>
      </w:pPr>
    </w:p>
    <w:p w14:paraId="712649AA" w14:textId="77777777" w:rsidR="00193FDB" w:rsidRPr="00CC6E6F" w:rsidRDefault="009C705E" w:rsidP="006F4A31">
      <w:pPr>
        <w:pStyle w:val="BodyText"/>
        <w:spacing w:after="0" w:line="240" w:lineRule="auto"/>
        <w:ind w:firstLine="720"/>
        <w:jc w:val="both"/>
        <w:rPr>
          <w:rFonts w:ascii="Arial" w:hAnsi="Arial" w:cs="Arial"/>
          <w:color w:val="000000" w:themeColor="text1"/>
        </w:rPr>
      </w:pPr>
      <w:r w:rsidRPr="00CC6E6F">
        <w:rPr>
          <w:rFonts w:ascii="Arial" w:hAnsi="Arial" w:cs="Arial"/>
          <w:color w:val="000000" w:themeColor="text1"/>
        </w:rPr>
        <w:t>Another notable challenge is keeping pace with the professor’s lectures while taking notes, with a mean of 2.48 — the highest score among the indicators, though still interpreted as "Fair." This indicates that students frequently find it difficult to listen and write simultaneously, leading to incomplete or inaccurate notes. Moreover, the clarity of their notes poses another concern, as reflected by the mean score of 2.36, meaning that students often find their notes hard to understand when revisiting them, potentially hindering effective study sessions.</w:t>
      </w:r>
    </w:p>
    <w:p w14:paraId="64E4E508" w14:textId="77777777" w:rsidR="006F4A31" w:rsidRPr="00CC6E6F" w:rsidRDefault="006F4A31" w:rsidP="006F4A31">
      <w:pPr>
        <w:pStyle w:val="BodyText"/>
        <w:spacing w:after="0" w:line="240" w:lineRule="auto"/>
        <w:jc w:val="both"/>
        <w:rPr>
          <w:rFonts w:ascii="Arial" w:hAnsi="Arial" w:cs="Arial"/>
          <w:color w:val="000000" w:themeColor="text1"/>
        </w:rPr>
      </w:pPr>
    </w:p>
    <w:p w14:paraId="3C3361DC" w14:textId="77777777" w:rsidR="00193FDB" w:rsidRPr="00CC6E6F" w:rsidRDefault="006F4A31" w:rsidP="006F4A31">
      <w:pPr>
        <w:pStyle w:val="BodyText"/>
        <w:spacing w:after="0" w:line="240" w:lineRule="auto"/>
        <w:ind w:firstLine="720"/>
        <w:jc w:val="both"/>
        <w:rPr>
          <w:rFonts w:ascii="Arial" w:hAnsi="Arial" w:cs="Arial"/>
          <w:color w:val="000000" w:themeColor="text1"/>
        </w:rPr>
      </w:pPr>
      <w:r w:rsidRPr="00CC6E6F">
        <w:rPr>
          <w:rFonts w:ascii="Arial" w:hAnsi="Arial" w:cs="Arial"/>
          <w:color w:val="000000" w:themeColor="text1"/>
        </w:rPr>
        <w:t>T</w:t>
      </w:r>
      <w:r w:rsidR="009C705E" w:rsidRPr="00CC6E6F">
        <w:rPr>
          <w:rFonts w:ascii="Arial" w:hAnsi="Arial" w:cs="Arial"/>
          <w:color w:val="000000" w:themeColor="text1"/>
        </w:rPr>
        <w:t>hese findings suggest that students’ note-taking habits require significant improvement. Strategies such as learning shorthand techniques, using structured note-taking methods like the Cornell system, and regularly reviewing notes shortly after class could greatly enhance their ability to capture and process lecture material. Developing these skills would not only improve note quality but also strengthen students' comprehension and long-term retention of the lessons.</w:t>
      </w:r>
    </w:p>
    <w:p w14:paraId="1A3E1BBA" w14:textId="77777777" w:rsidR="00193FDB" w:rsidRPr="00CC6E6F" w:rsidRDefault="00193FDB" w:rsidP="006F4A31">
      <w:pPr>
        <w:spacing w:after="0" w:line="240" w:lineRule="auto"/>
        <w:rPr>
          <w:rFonts w:ascii="Arial" w:hAnsi="Arial" w:cs="Arial"/>
          <w:color w:val="000000" w:themeColor="text1"/>
        </w:rPr>
      </w:pPr>
    </w:p>
    <w:p w14:paraId="5BBA6A23" w14:textId="77777777" w:rsidR="00B82ED1" w:rsidRPr="00CC6E6F" w:rsidRDefault="00B82ED1" w:rsidP="006F4A31">
      <w:pPr>
        <w:spacing w:after="0" w:line="240" w:lineRule="auto"/>
        <w:rPr>
          <w:rFonts w:ascii="Arial" w:hAnsi="Arial" w:cs="Arial"/>
          <w:color w:val="000000" w:themeColor="text1"/>
        </w:rPr>
      </w:pPr>
    </w:p>
    <w:p w14:paraId="1986AA11"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Table 9. Study Habits of Respondents in Terms of Reading Comprehension</w:t>
      </w:r>
    </w:p>
    <w:p w14:paraId="5E37107C" w14:textId="77777777" w:rsidR="00193FDB" w:rsidRPr="00CC6E6F" w:rsidRDefault="00193FDB" w:rsidP="006F4A31">
      <w:pPr>
        <w:spacing w:after="0" w:line="240" w:lineRule="auto"/>
        <w:rPr>
          <w:rFonts w:ascii="Arial" w:hAnsi="Arial" w:cs="Arial"/>
          <w:color w:val="000000" w:themeColor="text1"/>
        </w:rPr>
      </w:pPr>
    </w:p>
    <w:tbl>
      <w:tblPr>
        <w:tblW w:w="5000" w:type="pct"/>
        <w:tblInd w:w="108" w:type="dxa"/>
        <w:tblLayout w:type="fixed"/>
        <w:tblLook w:val="04A0" w:firstRow="1" w:lastRow="0" w:firstColumn="1" w:lastColumn="0" w:noHBand="0" w:noVBand="1"/>
      </w:tblPr>
      <w:tblGrid>
        <w:gridCol w:w="5662"/>
        <w:gridCol w:w="1551"/>
        <w:gridCol w:w="1813"/>
      </w:tblGrid>
      <w:tr w:rsidR="00CC6E6F" w:rsidRPr="00CC6E6F" w14:paraId="7DAD7799" w14:textId="77777777">
        <w:trPr>
          <w:trHeight w:val="315"/>
        </w:trPr>
        <w:tc>
          <w:tcPr>
            <w:tcW w:w="5662" w:type="dxa"/>
            <w:tcBorders>
              <w:top w:val="single" w:sz="4" w:space="0" w:color="000000"/>
              <w:bottom w:val="single" w:sz="4" w:space="0" w:color="000000"/>
            </w:tcBorders>
            <w:shd w:val="clear" w:color="auto" w:fill="D9D9D9" w:themeFill="background1" w:themeFillShade="D9"/>
            <w:vAlign w:val="center"/>
          </w:tcPr>
          <w:p w14:paraId="01805BBD" w14:textId="77777777" w:rsidR="00193FDB" w:rsidRPr="00CC6E6F" w:rsidRDefault="009C705E" w:rsidP="006F4A31">
            <w:pPr>
              <w:spacing w:after="0" w:line="240" w:lineRule="auto"/>
              <w:jc w:val="both"/>
              <w:rPr>
                <w:rFonts w:ascii="Arial" w:eastAsia="Times New Roman" w:hAnsi="Arial" w:cs="Arial"/>
                <w:b/>
                <w:bCs/>
                <w:color w:val="000000" w:themeColor="text1"/>
                <w:sz w:val="20"/>
                <w:szCs w:val="20"/>
                <w:lang w:eastAsia="en-PH"/>
              </w:rPr>
            </w:pPr>
            <w:r w:rsidRPr="00CC6E6F">
              <w:rPr>
                <w:rFonts w:ascii="Arial" w:eastAsia="Times New Roman" w:hAnsi="Arial" w:cs="Arial"/>
                <w:b/>
                <w:bCs/>
                <w:color w:val="000000" w:themeColor="text1"/>
                <w:sz w:val="20"/>
                <w:szCs w:val="20"/>
                <w:lang w:eastAsia="en-PH"/>
              </w:rPr>
              <w:t>READING COMPREHENSION</w:t>
            </w:r>
          </w:p>
        </w:tc>
        <w:tc>
          <w:tcPr>
            <w:tcW w:w="1551" w:type="dxa"/>
            <w:tcBorders>
              <w:top w:val="single" w:sz="4" w:space="0" w:color="000000"/>
              <w:bottom w:val="single" w:sz="4" w:space="0" w:color="000000"/>
            </w:tcBorders>
            <w:shd w:val="clear" w:color="auto" w:fill="D9D9D9" w:themeFill="background1" w:themeFillShade="D9"/>
            <w:vAlign w:val="center"/>
          </w:tcPr>
          <w:p w14:paraId="344C0A59" w14:textId="77777777" w:rsidR="00193FDB" w:rsidRPr="00CC6E6F" w:rsidRDefault="009C705E" w:rsidP="006F4A31">
            <w:pPr>
              <w:spacing w:after="0" w:line="240" w:lineRule="auto"/>
              <w:jc w:val="center"/>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Mean</w:t>
            </w:r>
          </w:p>
        </w:tc>
        <w:tc>
          <w:tcPr>
            <w:tcW w:w="1813" w:type="dxa"/>
            <w:tcBorders>
              <w:top w:val="single" w:sz="4" w:space="0" w:color="000000"/>
              <w:bottom w:val="single" w:sz="4" w:space="0" w:color="000000"/>
            </w:tcBorders>
            <w:shd w:val="clear" w:color="auto" w:fill="D9D9D9" w:themeFill="background1" w:themeFillShade="D9"/>
            <w:vAlign w:val="center"/>
          </w:tcPr>
          <w:p w14:paraId="6435C402" w14:textId="77777777" w:rsidR="00193FDB" w:rsidRPr="00CC6E6F" w:rsidRDefault="009C705E" w:rsidP="006F4A31">
            <w:pPr>
              <w:spacing w:after="0" w:line="240" w:lineRule="auto"/>
              <w:jc w:val="center"/>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Interpretation</w:t>
            </w:r>
          </w:p>
        </w:tc>
      </w:tr>
      <w:tr w:rsidR="00CC6E6F" w:rsidRPr="00CC6E6F" w14:paraId="7707D4AA" w14:textId="77777777">
        <w:trPr>
          <w:trHeight w:val="315"/>
        </w:trPr>
        <w:tc>
          <w:tcPr>
            <w:tcW w:w="5662" w:type="dxa"/>
            <w:tcBorders>
              <w:top w:val="single" w:sz="4" w:space="0" w:color="000000"/>
            </w:tcBorders>
            <w:shd w:val="clear" w:color="auto" w:fill="auto"/>
            <w:vAlign w:val="center"/>
          </w:tcPr>
          <w:p w14:paraId="02D21C46"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overlook the important points in the text when I read.</w:t>
            </w:r>
          </w:p>
        </w:tc>
        <w:tc>
          <w:tcPr>
            <w:tcW w:w="1551" w:type="dxa"/>
            <w:tcBorders>
              <w:top w:val="single" w:sz="4" w:space="0" w:color="000000"/>
            </w:tcBorders>
            <w:shd w:val="clear" w:color="auto" w:fill="auto"/>
            <w:vAlign w:val="center"/>
          </w:tcPr>
          <w:p w14:paraId="51936E4A"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2.48</w:t>
            </w:r>
          </w:p>
        </w:tc>
        <w:tc>
          <w:tcPr>
            <w:tcW w:w="1813" w:type="dxa"/>
            <w:tcBorders>
              <w:top w:val="single" w:sz="4" w:space="0" w:color="000000"/>
            </w:tcBorders>
            <w:shd w:val="clear" w:color="auto" w:fill="auto"/>
            <w:vAlign w:val="center"/>
          </w:tcPr>
          <w:p w14:paraId="1FFAE3F4"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Fair</w:t>
            </w:r>
          </w:p>
        </w:tc>
      </w:tr>
      <w:tr w:rsidR="00CC6E6F" w:rsidRPr="00CC6E6F" w14:paraId="6F3285E9" w14:textId="77777777">
        <w:trPr>
          <w:trHeight w:val="630"/>
        </w:trPr>
        <w:tc>
          <w:tcPr>
            <w:tcW w:w="5662" w:type="dxa"/>
            <w:shd w:val="clear" w:color="auto" w:fill="auto"/>
            <w:vAlign w:val="center"/>
          </w:tcPr>
          <w:p w14:paraId="02767379"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get lost in the details of reading and have trouble identifying the main ideas.</w:t>
            </w:r>
          </w:p>
        </w:tc>
        <w:tc>
          <w:tcPr>
            <w:tcW w:w="1551" w:type="dxa"/>
            <w:shd w:val="clear" w:color="auto" w:fill="auto"/>
            <w:vAlign w:val="center"/>
          </w:tcPr>
          <w:p w14:paraId="1538AA39"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2.24</w:t>
            </w:r>
          </w:p>
        </w:tc>
        <w:tc>
          <w:tcPr>
            <w:tcW w:w="1813" w:type="dxa"/>
            <w:shd w:val="clear" w:color="auto" w:fill="auto"/>
            <w:vAlign w:val="center"/>
          </w:tcPr>
          <w:p w14:paraId="39E70834"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Fair</w:t>
            </w:r>
          </w:p>
        </w:tc>
      </w:tr>
      <w:tr w:rsidR="00CC6E6F" w:rsidRPr="00CC6E6F" w14:paraId="4F325A10" w14:textId="77777777">
        <w:trPr>
          <w:trHeight w:val="315"/>
        </w:trPr>
        <w:tc>
          <w:tcPr>
            <w:tcW w:w="5662" w:type="dxa"/>
            <w:shd w:val="clear" w:color="auto" w:fill="auto"/>
            <w:vAlign w:val="center"/>
          </w:tcPr>
          <w:p w14:paraId="00481F61"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When I get to the end of a chapter, I can't remember what I've just read.</w:t>
            </w:r>
          </w:p>
        </w:tc>
        <w:tc>
          <w:tcPr>
            <w:tcW w:w="1551" w:type="dxa"/>
            <w:shd w:val="clear" w:color="auto" w:fill="auto"/>
            <w:vAlign w:val="center"/>
          </w:tcPr>
          <w:p w14:paraId="69E876B8"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2.58</w:t>
            </w:r>
          </w:p>
        </w:tc>
        <w:tc>
          <w:tcPr>
            <w:tcW w:w="1813" w:type="dxa"/>
            <w:shd w:val="clear" w:color="auto" w:fill="auto"/>
            <w:vAlign w:val="center"/>
          </w:tcPr>
          <w:p w14:paraId="161F70AD"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Fair</w:t>
            </w:r>
          </w:p>
        </w:tc>
      </w:tr>
      <w:tr w:rsidR="00CC6E6F" w:rsidRPr="00CC6E6F" w14:paraId="6046A56D" w14:textId="77777777">
        <w:trPr>
          <w:trHeight w:val="315"/>
        </w:trPr>
        <w:tc>
          <w:tcPr>
            <w:tcW w:w="5662" w:type="dxa"/>
            <w:tcBorders>
              <w:bottom w:val="single" w:sz="4" w:space="0" w:color="000000"/>
            </w:tcBorders>
            <w:shd w:val="clear" w:color="auto" w:fill="auto"/>
            <w:vAlign w:val="center"/>
          </w:tcPr>
          <w:p w14:paraId="59B60103"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don’t understand what I read for class.</w:t>
            </w:r>
          </w:p>
        </w:tc>
        <w:tc>
          <w:tcPr>
            <w:tcW w:w="1551" w:type="dxa"/>
            <w:tcBorders>
              <w:bottom w:val="single" w:sz="4" w:space="0" w:color="000000"/>
            </w:tcBorders>
            <w:shd w:val="clear" w:color="auto" w:fill="auto"/>
            <w:vAlign w:val="center"/>
          </w:tcPr>
          <w:p w14:paraId="3651AAD4"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2.09</w:t>
            </w:r>
          </w:p>
        </w:tc>
        <w:tc>
          <w:tcPr>
            <w:tcW w:w="1813" w:type="dxa"/>
            <w:tcBorders>
              <w:bottom w:val="single" w:sz="4" w:space="0" w:color="000000"/>
            </w:tcBorders>
            <w:shd w:val="clear" w:color="auto" w:fill="auto"/>
            <w:vAlign w:val="center"/>
          </w:tcPr>
          <w:p w14:paraId="76135F94"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Fair</w:t>
            </w:r>
          </w:p>
        </w:tc>
      </w:tr>
      <w:tr w:rsidR="00CC6E6F" w:rsidRPr="00CC6E6F" w14:paraId="0CC9528C" w14:textId="77777777">
        <w:trPr>
          <w:trHeight w:val="315"/>
        </w:trPr>
        <w:tc>
          <w:tcPr>
            <w:tcW w:w="5662" w:type="dxa"/>
            <w:tcBorders>
              <w:top w:val="single" w:sz="4" w:space="0" w:color="000000"/>
              <w:bottom w:val="single" w:sz="4" w:space="0" w:color="000000"/>
            </w:tcBorders>
            <w:shd w:val="clear" w:color="auto" w:fill="D9D9D9" w:themeFill="background1" w:themeFillShade="D9"/>
            <w:vAlign w:val="center"/>
          </w:tcPr>
          <w:p w14:paraId="11453FC3"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 </w:t>
            </w:r>
          </w:p>
        </w:tc>
        <w:tc>
          <w:tcPr>
            <w:tcW w:w="1551" w:type="dxa"/>
            <w:tcBorders>
              <w:top w:val="single" w:sz="4" w:space="0" w:color="000000"/>
              <w:bottom w:val="single" w:sz="4" w:space="0" w:color="000000"/>
            </w:tcBorders>
            <w:shd w:val="clear" w:color="auto" w:fill="D9D9D9" w:themeFill="background1" w:themeFillShade="D9"/>
            <w:vAlign w:val="center"/>
          </w:tcPr>
          <w:p w14:paraId="28ABC44E" w14:textId="77777777" w:rsidR="00193FDB" w:rsidRPr="00CC6E6F" w:rsidRDefault="009C705E" w:rsidP="006F4A31">
            <w:pPr>
              <w:spacing w:after="0" w:line="240" w:lineRule="auto"/>
              <w:jc w:val="center"/>
              <w:rPr>
                <w:rFonts w:ascii="Arial" w:hAnsi="Arial" w:cs="Arial"/>
                <w:b/>
                <w:bCs/>
                <w:color w:val="000000" w:themeColor="text1"/>
                <w:sz w:val="20"/>
                <w:szCs w:val="20"/>
              </w:rPr>
            </w:pPr>
            <w:r w:rsidRPr="00CC6E6F">
              <w:rPr>
                <w:rFonts w:ascii="Arial" w:hAnsi="Arial" w:cs="Arial"/>
                <w:b/>
                <w:bCs/>
                <w:color w:val="000000" w:themeColor="text1"/>
                <w:sz w:val="20"/>
                <w:szCs w:val="20"/>
              </w:rPr>
              <w:t>2.35</w:t>
            </w:r>
          </w:p>
        </w:tc>
        <w:tc>
          <w:tcPr>
            <w:tcW w:w="1813" w:type="dxa"/>
            <w:tcBorders>
              <w:top w:val="single" w:sz="4" w:space="0" w:color="000000"/>
              <w:bottom w:val="single" w:sz="4" w:space="0" w:color="000000"/>
            </w:tcBorders>
            <w:shd w:val="clear" w:color="auto" w:fill="D9D9D9" w:themeFill="background1" w:themeFillShade="D9"/>
            <w:vAlign w:val="center"/>
          </w:tcPr>
          <w:p w14:paraId="60969B1B" w14:textId="77777777" w:rsidR="00193FDB" w:rsidRPr="00CC6E6F" w:rsidRDefault="009C705E" w:rsidP="006F4A31">
            <w:pPr>
              <w:spacing w:after="0" w:line="240" w:lineRule="auto"/>
              <w:jc w:val="center"/>
              <w:rPr>
                <w:rFonts w:ascii="Arial" w:eastAsia="Times New Roman" w:hAnsi="Arial" w:cs="Arial"/>
                <w:b/>
                <w:bCs/>
                <w:color w:val="000000" w:themeColor="text1"/>
                <w:sz w:val="20"/>
                <w:szCs w:val="20"/>
                <w:lang w:eastAsia="en-PH"/>
              </w:rPr>
            </w:pPr>
            <w:r w:rsidRPr="00CC6E6F">
              <w:rPr>
                <w:rFonts w:ascii="Arial" w:eastAsia="Times New Roman" w:hAnsi="Arial" w:cs="Arial"/>
                <w:b/>
                <w:bCs/>
                <w:color w:val="000000" w:themeColor="text1"/>
                <w:sz w:val="20"/>
                <w:szCs w:val="20"/>
                <w:lang w:eastAsia="en-PH"/>
              </w:rPr>
              <w:t>Good</w:t>
            </w:r>
          </w:p>
        </w:tc>
      </w:tr>
    </w:tbl>
    <w:p w14:paraId="22708261" w14:textId="77777777" w:rsidR="00193FDB" w:rsidRPr="00CC6E6F" w:rsidRDefault="00193FDB" w:rsidP="006F4A31">
      <w:pPr>
        <w:spacing w:after="0" w:line="240" w:lineRule="auto"/>
        <w:rPr>
          <w:rFonts w:ascii="Arial" w:hAnsi="Arial" w:cs="Arial"/>
          <w:color w:val="000000" w:themeColor="text1"/>
        </w:rPr>
      </w:pPr>
    </w:p>
    <w:p w14:paraId="51467B95" w14:textId="77777777" w:rsidR="00193FDB" w:rsidRPr="00CC6E6F" w:rsidRDefault="009C705E" w:rsidP="00B82ED1">
      <w:pPr>
        <w:pStyle w:val="BodyText"/>
        <w:spacing w:after="0" w:line="240" w:lineRule="auto"/>
        <w:ind w:firstLine="720"/>
        <w:jc w:val="both"/>
        <w:rPr>
          <w:rFonts w:ascii="Arial" w:hAnsi="Arial" w:cs="Arial"/>
          <w:color w:val="000000" w:themeColor="text1"/>
        </w:rPr>
      </w:pPr>
      <w:r w:rsidRPr="00CC6E6F">
        <w:rPr>
          <w:rFonts w:ascii="Arial" w:hAnsi="Arial" w:cs="Arial"/>
          <w:color w:val="000000" w:themeColor="text1"/>
        </w:rPr>
        <w:t>The table on the study habits of respondents in terms of reading comprehension rev</w:t>
      </w:r>
      <w:r w:rsidR="009E3679" w:rsidRPr="00CC6E6F">
        <w:rPr>
          <w:rFonts w:ascii="Arial" w:hAnsi="Arial" w:cs="Arial"/>
          <w:color w:val="000000" w:themeColor="text1"/>
        </w:rPr>
        <w:t>ealed</w:t>
      </w:r>
      <w:r w:rsidRPr="00CC6E6F">
        <w:rPr>
          <w:rFonts w:ascii="Arial" w:hAnsi="Arial" w:cs="Arial"/>
          <w:color w:val="000000" w:themeColor="text1"/>
        </w:rPr>
        <w:t xml:space="preserve"> that students experience notable challenges in understanding and retaining information from their readings, with an overall mean of 2.35, interpreted as "Fair." Several factors contribute to this assessment. One key issue is the tendency to overlook important points while reading, with a mean score of 2.48, suggesting that students struggle to identify key concepts, which may affect their ability to grasp the overall meaning of the text. Additionally, the difficulty in distinguishing main ideas from details, reflected by a mean of 2.24, indicates that students often get lost in the finer points, further hindering their comprehension.</w:t>
      </w:r>
    </w:p>
    <w:p w14:paraId="17FFF3C0" w14:textId="77777777" w:rsidR="00193FDB" w:rsidRPr="00CC6E6F" w:rsidRDefault="009C705E" w:rsidP="00B82ED1">
      <w:pPr>
        <w:pStyle w:val="BodyText"/>
        <w:spacing w:after="0" w:line="240" w:lineRule="auto"/>
        <w:jc w:val="both"/>
        <w:rPr>
          <w:rFonts w:ascii="Arial" w:hAnsi="Arial" w:cs="Arial"/>
          <w:color w:val="000000" w:themeColor="text1"/>
        </w:rPr>
      </w:pPr>
      <w:r w:rsidRPr="00CC6E6F">
        <w:rPr>
          <w:rFonts w:ascii="Arial" w:hAnsi="Arial" w:cs="Arial"/>
          <w:color w:val="000000" w:themeColor="text1"/>
        </w:rPr>
        <w:t xml:space="preserve">Another common problem is the inability to recall what has been read once reaching the end of a chapter, scoring 2.58 — the highest among the indicators, though still classified as "Fair." This implies that students may not be using effective reading strategies, such as summarizing or note-taking, to reinforce understanding. Furthermore, the mean score of 2.09 for not understanding what is read for class highlights that some students struggle significantly with </w:t>
      </w:r>
      <w:r w:rsidRPr="00CC6E6F">
        <w:rPr>
          <w:rFonts w:ascii="Arial" w:hAnsi="Arial" w:cs="Arial"/>
          <w:color w:val="000000" w:themeColor="text1"/>
        </w:rPr>
        <w:lastRenderedPageBreak/>
        <w:t>comprehension, possibly due to unfamiliarity with academic texts or insufficient reading strategies.</w:t>
      </w:r>
    </w:p>
    <w:p w14:paraId="5136C073" w14:textId="77777777" w:rsidR="00B82ED1" w:rsidRPr="00CC6E6F" w:rsidRDefault="00B82ED1" w:rsidP="00B82ED1">
      <w:pPr>
        <w:pStyle w:val="BodyText"/>
        <w:spacing w:after="0" w:line="240" w:lineRule="auto"/>
        <w:jc w:val="both"/>
        <w:rPr>
          <w:rFonts w:ascii="Arial" w:hAnsi="Arial" w:cs="Arial"/>
          <w:color w:val="000000" w:themeColor="text1"/>
        </w:rPr>
      </w:pPr>
    </w:p>
    <w:p w14:paraId="3C81E25B" w14:textId="77777777" w:rsidR="00193FDB" w:rsidRPr="00CC6E6F" w:rsidRDefault="009E3679" w:rsidP="00B82ED1">
      <w:pPr>
        <w:pStyle w:val="BodyText"/>
        <w:spacing w:after="0" w:line="240" w:lineRule="auto"/>
        <w:ind w:firstLine="720"/>
        <w:jc w:val="both"/>
        <w:rPr>
          <w:rFonts w:ascii="Arial" w:hAnsi="Arial" w:cs="Arial"/>
          <w:color w:val="000000" w:themeColor="text1"/>
        </w:rPr>
      </w:pPr>
      <w:r w:rsidRPr="00CC6E6F">
        <w:rPr>
          <w:rFonts w:ascii="Arial" w:hAnsi="Arial" w:cs="Arial"/>
          <w:color w:val="000000" w:themeColor="text1"/>
        </w:rPr>
        <w:t>T</w:t>
      </w:r>
      <w:r w:rsidR="009C705E" w:rsidRPr="00CC6E6F">
        <w:rPr>
          <w:rFonts w:ascii="Arial" w:hAnsi="Arial" w:cs="Arial"/>
          <w:color w:val="000000" w:themeColor="text1"/>
        </w:rPr>
        <w:t>hese findings suggest that students could benefit from interventions aimed at improving reading skills, such as skimming for main ideas before reading in detail, using graphic organizers to map out concepts, and summarizing content after each section. Enhancing these strategies would help students process information more effectively, leading to improved comprehension and retention.</w:t>
      </w:r>
    </w:p>
    <w:p w14:paraId="5DD58A15" w14:textId="77777777" w:rsidR="00B82ED1" w:rsidRPr="00CC6E6F" w:rsidRDefault="00B82ED1" w:rsidP="00B82ED1">
      <w:pPr>
        <w:pStyle w:val="BodyText"/>
        <w:spacing w:after="0" w:line="240" w:lineRule="auto"/>
        <w:jc w:val="both"/>
        <w:rPr>
          <w:rFonts w:ascii="Arial" w:hAnsi="Arial" w:cs="Arial"/>
          <w:color w:val="000000" w:themeColor="text1"/>
        </w:rPr>
      </w:pPr>
    </w:p>
    <w:p w14:paraId="641F3D57" w14:textId="77777777" w:rsidR="009E3679" w:rsidRPr="00CC6E6F" w:rsidRDefault="009E3679" w:rsidP="00B82ED1">
      <w:pPr>
        <w:pStyle w:val="BodyText"/>
        <w:spacing w:after="0" w:line="240" w:lineRule="auto"/>
        <w:jc w:val="both"/>
        <w:rPr>
          <w:rFonts w:ascii="Arial" w:hAnsi="Arial" w:cs="Arial"/>
          <w:color w:val="000000" w:themeColor="text1"/>
        </w:rPr>
      </w:pPr>
    </w:p>
    <w:p w14:paraId="1D811A29"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Table 10. Study Habits of Respondents in Terms of Test Preparation and Test-Taking</w:t>
      </w:r>
    </w:p>
    <w:p w14:paraId="7CD54B6A" w14:textId="77777777" w:rsidR="00193FDB" w:rsidRPr="00CC6E6F" w:rsidRDefault="00193FDB" w:rsidP="006F4A31">
      <w:pPr>
        <w:spacing w:after="0" w:line="240" w:lineRule="auto"/>
        <w:rPr>
          <w:rFonts w:ascii="Arial" w:hAnsi="Arial" w:cs="Arial"/>
          <w:color w:val="000000" w:themeColor="text1"/>
        </w:rPr>
      </w:pPr>
    </w:p>
    <w:tbl>
      <w:tblPr>
        <w:tblW w:w="5000" w:type="pct"/>
        <w:tblInd w:w="108" w:type="dxa"/>
        <w:tblLayout w:type="fixed"/>
        <w:tblLook w:val="04A0" w:firstRow="1" w:lastRow="0" w:firstColumn="1" w:lastColumn="0" w:noHBand="0" w:noVBand="1"/>
      </w:tblPr>
      <w:tblGrid>
        <w:gridCol w:w="5662"/>
        <w:gridCol w:w="1551"/>
        <w:gridCol w:w="1813"/>
      </w:tblGrid>
      <w:tr w:rsidR="00CC6E6F" w:rsidRPr="00CC6E6F" w14:paraId="1B8E066D" w14:textId="77777777">
        <w:trPr>
          <w:trHeight w:val="315"/>
        </w:trPr>
        <w:tc>
          <w:tcPr>
            <w:tcW w:w="5662" w:type="dxa"/>
            <w:tcBorders>
              <w:top w:val="single" w:sz="4" w:space="0" w:color="000000"/>
              <w:bottom w:val="single" w:sz="4" w:space="0" w:color="000000"/>
            </w:tcBorders>
            <w:shd w:val="clear" w:color="auto" w:fill="D9D9D9" w:themeFill="background1" w:themeFillShade="D9"/>
            <w:vAlign w:val="center"/>
          </w:tcPr>
          <w:p w14:paraId="1DBB2E60" w14:textId="77777777" w:rsidR="00193FDB" w:rsidRPr="00CC6E6F" w:rsidRDefault="009C705E" w:rsidP="006F4A31">
            <w:pPr>
              <w:spacing w:after="0" w:line="240" w:lineRule="auto"/>
              <w:jc w:val="both"/>
              <w:rPr>
                <w:rFonts w:ascii="Arial" w:eastAsia="Times New Roman" w:hAnsi="Arial" w:cs="Arial"/>
                <w:b/>
                <w:bCs/>
                <w:color w:val="000000" w:themeColor="text1"/>
                <w:sz w:val="20"/>
                <w:szCs w:val="20"/>
                <w:lang w:eastAsia="en-PH"/>
              </w:rPr>
            </w:pPr>
            <w:r w:rsidRPr="00CC6E6F">
              <w:rPr>
                <w:rFonts w:ascii="Arial" w:eastAsia="Times New Roman" w:hAnsi="Arial" w:cs="Arial"/>
                <w:b/>
                <w:bCs/>
                <w:color w:val="000000" w:themeColor="text1"/>
                <w:sz w:val="20"/>
                <w:szCs w:val="20"/>
                <w:lang w:eastAsia="en-PH"/>
              </w:rPr>
              <w:t>TEST PREPARATION AND TEST-TAKING</w:t>
            </w:r>
          </w:p>
        </w:tc>
        <w:tc>
          <w:tcPr>
            <w:tcW w:w="1551" w:type="dxa"/>
            <w:tcBorders>
              <w:top w:val="single" w:sz="4" w:space="0" w:color="000000"/>
              <w:bottom w:val="single" w:sz="4" w:space="0" w:color="000000"/>
            </w:tcBorders>
            <w:shd w:val="clear" w:color="auto" w:fill="D9D9D9" w:themeFill="background1" w:themeFillShade="D9"/>
            <w:vAlign w:val="center"/>
          </w:tcPr>
          <w:p w14:paraId="30EEDEEF" w14:textId="77777777" w:rsidR="00193FDB" w:rsidRPr="00CC6E6F" w:rsidRDefault="009C705E" w:rsidP="006F4A31">
            <w:pPr>
              <w:spacing w:after="0" w:line="240" w:lineRule="auto"/>
              <w:jc w:val="center"/>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Mean</w:t>
            </w:r>
          </w:p>
        </w:tc>
        <w:tc>
          <w:tcPr>
            <w:tcW w:w="1813" w:type="dxa"/>
            <w:tcBorders>
              <w:top w:val="single" w:sz="4" w:space="0" w:color="000000"/>
              <w:bottom w:val="single" w:sz="4" w:space="0" w:color="000000"/>
            </w:tcBorders>
            <w:shd w:val="clear" w:color="auto" w:fill="D9D9D9" w:themeFill="background1" w:themeFillShade="D9"/>
            <w:vAlign w:val="center"/>
          </w:tcPr>
          <w:p w14:paraId="56EB4A4B" w14:textId="77777777" w:rsidR="00193FDB" w:rsidRPr="00CC6E6F" w:rsidRDefault="009C705E" w:rsidP="006F4A31">
            <w:pPr>
              <w:spacing w:after="0" w:line="240" w:lineRule="auto"/>
              <w:jc w:val="center"/>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Interpretation</w:t>
            </w:r>
          </w:p>
        </w:tc>
      </w:tr>
      <w:tr w:rsidR="00CC6E6F" w:rsidRPr="00CC6E6F" w14:paraId="180A4358" w14:textId="77777777">
        <w:trPr>
          <w:trHeight w:val="315"/>
        </w:trPr>
        <w:tc>
          <w:tcPr>
            <w:tcW w:w="5662" w:type="dxa"/>
            <w:tcBorders>
              <w:top w:val="single" w:sz="4" w:space="0" w:color="000000"/>
            </w:tcBorders>
            <w:shd w:val="clear" w:color="auto" w:fill="auto"/>
            <w:vAlign w:val="center"/>
          </w:tcPr>
          <w:p w14:paraId="32993BA5"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study enough for my test, but when I get there my mind goes blank.</w:t>
            </w:r>
          </w:p>
        </w:tc>
        <w:tc>
          <w:tcPr>
            <w:tcW w:w="1551" w:type="dxa"/>
            <w:tcBorders>
              <w:top w:val="single" w:sz="4" w:space="0" w:color="000000"/>
            </w:tcBorders>
            <w:shd w:val="clear" w:color="auto" w:fill="auto"/>
            <w:vAlign w:val="center"/>
          </w:tcPr>
          <w:p w14:paraId="3B91FDB0"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2.52</w:t>
            </w:r>
          </w:p>
        </w:tc>
        <w:tc>
          <w:tcPr>
            <w:tcW w:w="1813" w:type="dxa"/>
            <w:tcBorders>
              <w:top w:val="single" w:sz="4" w:space="0" w:color="000000"/>
            </w:tcBorders>
            <w:shd w:val="clear" w:color="auto" w:fill="auto"/>
            <w:vAlign w:val="center"/>
          </w:tcPr>
          <w:p w14:paraId="6ABE0D1F"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Fair</w:t>
            </w:r>
          </w:p>
        </w:tc>
      </w:tr>
      <w:tr w:rsidR="00CC6E6F" w:rsidRPr="00CC6E6F" w14:paraId="3FBCC346" w14:textId="77777777">
        <w:trPr>
          <w:trHeight w:val="315"/>
        </w:trPr>
        <w:tc>
          <w:tcPr>
            <w:tcW w:w="5662" w:type="dxa"/>
            <w:shd w:val="clear" w:color="auto" w:fill="auto"/>
            <w:vAlign w:val="center"/>
          </w:tcPr>
          <w:p w14:paraId="5CC63BB8"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feel unprepared for tests.</w:t>
            </w:r>
          </w:p>
        </w:tc>
        <w:tc>
          <w:tcPr>
            <w:tcW w:w="1551" w:type="dxa"/>
            <w:shd w:val="clear" w:color="auto" w:fill="auto"/>
            <w:vAlign w:val="center"/>
          </w:tcPr>
          <w:p w14:paraId="3BEDD6E3"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2.24</w:t>
            </w:r>
          </w:p>
        </w:tc>
        <w:tc>
          <w:tcPr>
            <w:tcW w:w="1813" w:type="dxa"/>
            <w:shd w:val="clear" w:color="auto" w:fill="auto"/>
            <w:vAlign w:val="center"/>
          </w:tcPr>
          <w:p w14:paraId="2E59A286"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Fair</w:t>
            </w:r>
          </w:p>
        </w:tc>
      </w:tr>
      <w:tr w:rsidR="00CC6E6F" w:rsidRPr="00CC6E6F" w14:paraId="1946A274" w14:textId="77777777">
        <w:trPr>
          <w:trHeight w:val="315"/>
        </w:trPr>
        <w:tc>
          <w:tcPr>
            <w:tcW w:w="5662" w:type="dxa"/>
            <w:shd w:val="clear" w:color="auto" w:fill="auto"/>
            <w:vAlign w:val="center"/>
          </w:tcPr>
          <w:p w14:paraId="479C310A"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lose a lot of points on tests even when I think I know the material well.</w:t>
            </w:r>
          </w:p>
        </w:tc>
        <w:tc>
          <w:tcPr>
            <w:tcW w:w="1551" w:type="dxa"/>
            <w:shd w:val="clear" w:color="auto" w:fill="auto"/>
            <w:vAlign w:val="center"/>
          </w:tcPr>
          <w:p w14:paraId="4E1239F4"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2.36</w:t>
            </w:r>
          </w:p>
        </w:tc>
        <w:tc>
          <w:tcPr>
            <w:tcW w:w="1813" w:type="dxa"/>
            <w:shd w:val="clear" w:color="auto" w:fill="auto"/>
            <w:vAlign w:val="center"/>
          </w:tcPr>
          <w:p w14:paraId="2C462001"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Fair</w:t>
            </w:r>
          </w:p>
        </w:tc>
      </w:tr>
      <w:tr w:rsidR="00CC6E6F" w:rsidRPr="00CC6E6F" w14:paraId="74CB4238" w14:textId="77777777">
        <w:trPr>
          <w:trHeight w:val="315"/>
        </w:trPr>
        <w:tc>
          <w:tcPr>
            <w:tcW w:w="5662" w:type="dxa"/>
            <w:tcBorders>
              <w:bottom w:val="single" w:sz="4" w:space="0" w:color="000000"/>
            </w:tcBorders>
            <w:shd w:val="clear" w:color="auto" w:fill="auto"/>
            <w:vAlign w:val="center"/>
          </w:tcPr>
          <w:p w14:paraId="45D2F8AF"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study in a haphazard, disorganized way shortly before the test.</w:t>
            </w:r>
          </w:p>
        </w:tc>
        <w:tc>
          <w:tcPr>
            <w:tcW w:w="1551" w:type="dxa"/>
            <w:tcBorders>
              <w:bottom w:val="single" w:sz="4" w:space="0" w:color="000000"/>
            </w:tcBorders>
            <w:shd w:val="clear" w:color="auto" w:fill="auto"/>
            <w:vAlign w:val="center"/>
          </w:tcPr>
          <w:p w14:paraId="499B226C"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2.20</w:t>
            </w:r>
          </w:p>
        </w:tc>
        <w:tc>
          <w:tcPr>
            <w:tcW w:w="1813" w:type="dxa"/>
            <w:tcBorders>
              <w:bottom w:val="single" w:sz="4" w:space="0" w:color="000000"/>
            </w:tcBorders>
            <w:shd w:val="clear" w:color="auto" w:fill="auto"/>
            <w:vAlign w:val="center"/>
          </w:tcPr>
          <w:p w14:paraId="5F8462B2"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Fair</w:t>
            </w:r>
          </w:p>
        </w:tc>
      </w:tr>
      <w:tr w:rsidR="00CC6E6F" w:rsidRPr="00CC6E6F" w14:paraId="43985310" w14:textId="77777777">
        <w:trPr>
          <w:trHeight w:val="315"/>
        </w:trPr>
        <w:tc>
          <w:tcPr>
            <w:tcW w:w="5662" w:type="dxa"/>
            <w:tcBorders>
              <w:top w:val="single" w:sz="4" w:space="0" w:color="000000"/>
              <w:bottom w:val="single" w:sz="4" w:space="0" w:color="000000"/>
            </w:tcBorders>
            <w:shd w:val="clear" w:color="auto" w:fill="D9D9D9" w:themeFill="background1" w:themeFillShade="D9"/>
            <w:vAlign w:val="center"/>
          </w:tcPr>
          <w:p w14:paraId="34B84C57"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 </w:t>
            </w:r>
          </w:p>
        </w:tc>
        <w:tc>
          <w:tcPr>
            <w:tcW w:w="1551" w:type="dxa"/>
            <w:tcBorders>
              <w:top w:val="single" w:sz="4" w:space="0" w:color="000000"/>
              <w:bottom w:val="single" w:sz="4" w:space="0" w:color="000000"/>
            </w:tcBorders>
            <w:shd w:val="clear" w:color="auto" w:fill="D9D9D9" w:themeFill="background1" w:themeFillShade="D9"/>
            <w:vAlign w:val="center"/>
          </w:tcPr>
          <w:p w14:paraId="1D5571F6" w14:textId="77777777" w:rsidR="00193FDB" w:rsidRPr="00CC6E6F" w:rsidRDefault="009C705E" w:rsidP="006F4A31">
            <w:pPr>
              <w:spacing w:after="0" w:line="240" w:lineRule="auto"/>
              <w:jc w:val="center"/>
              <w:rPr>
                <w:rFonts w:ascii="Arial" w:hAnsi="Arial" w:cs="Arial"/>
                <w:b/>
                <w:bCs/>
                <w:color w:val="000000" w:themeColor="text1"/>
                <w:sz w:val="20"/>
                <w:szCs w:val="20"/>
              </w:rPr>
            </w:pPr>
            <w:r w:rsidRPr="00CC6E6F">
              <w:rPr>
                <w:rFonts w:ascii="Arial" w:hAnsi="Arial" w:cs="Arial"/>
                <w:b/>
                <w:bCs/>
                <w:color w:val="000000" w:themeColor="text1"/>
                <w:sz w:val="20"/>
                <w:szCs w:val="20"/>
              </w:rPr>
              <w:t>2.33</w:t>
            </w:r>
          </w:p>
        </w:tc>
        <w:tc>
          <w:tcPr>
            <w:tcW w:w="1813" w:type="dxa"/>
            <w:tcBorders>
              <w:top w:val="single" w:sz="4" w:space="0" w:color="000000"/>
              <w:bottom w:val="single" w:sz="4" w:space="0" w:color="000000"/>
            </w:tcBorders>
            <w:shd w:val="clear" w:color="auto" w:fill="D9D9D9" w:themeFill="background1" w:themeFillShade="D9"/>
            <w:vAlign w:val="center"/>
          </w:tcPr>
          <w:p w14:paraId="7201A15D" w14:textId="77777777" w:rsidR="00193FDB" w:rsidRPr="00CC6E6F" w:rsidRDefault="009C705E" w:rsidP="006F4A31">
            <w:pPr>
              <w:spacing w:after="0" w:line="240" w:lineRule="auto"/>
              <w:jc w:val="center"/>
              <w:rPr>
                <w:rFonts w:ascii="Arial" w:eastAsia="Times New Roman" w:hAnsi="Arial" w:cs="Arial"/>
                <w:b/>
                <w:bCs/>
                <w:color w:val="000000" w:themeColor="text1"/>
                <w:sz w:val="20"/>
                <w:szCs w:val="20"/>
                <w:lang w:eastAsia="en-PH"/>
              </w:rPr>
            </w:pPr>
            <w:r w:rsidRPr="00CC6E6F">
              <w:rPr>
                <w:rFonts w:ascii="Arial" w:eastAsia="Times New Roman" w:hAnsi="Arial" w:cs="Arial"/>
                <w:b/>
                <w:bCs/>
                <w:color w:val="000000" w:themeColor="text1"/>
                <w:sz w:val="20"/>
                <w:szCs w:val="20"/>
                <w:lang w:eastAsia="en-PH"/>
              </w:rPr>
              <w:t>Fair</w:t>
            </w:r>
          </w:p>
        </w:tc>
      </w:tr>
    </w:tbl>
    <w:p w14:paraId="45B76467" w14:textId="77777777" w:rsidR="00193FDB" w:rsidRPr="00CC6E6F" w:rsidRDefault="00193FDB" w:rsidP="006F4A31">
      <w:pPr>
        <w:spacing w:after="0" w:line="240" w:lineRule="auto"/>
        <w:rPr>
          <w:rFonts w:ascii="Arial" w:hAnsi="Arial" w:cs="Arial"/>
          <w:color w:val="000000" w:themeColor="text1"/>
        </w:rPr>
      </w:pPr>
    </w:p>
    <w:p w14:paraId="2793AA39" w14:textId="77777777" w:rsidR="00193FDB" w:rsidRPr="00CC6E6F" w:rsidRDefault="008B26BF" w:rsidP="008B26BF">
      <w:pPr>
        <w:spacing w:after="0" w:line="240" w:lineRule="auto"/>
        <w:jc w:val="both"/>
        <w:rPr>
          <w:rFonts w:ascii="Arial" w:hAnsi="Arial" w:cs="Arial"/>
          <w:color w:val="000000" w:themeColor="text1"/>
        </w:rPr>
      </w:pPr>
      <w:r w:rsidRPr="00CC6E6F">
        <w:rPr>
          <w:rFonts w:ascii="Arial" w:hAnsi="Arial" w:cs="Arial"/>
          <w:color w:val="000000" w:themeColor="text1"/>
        </w:rPr>
        <w:tab/>
      </w:r>
      <w:r w:rsidR="009C705E" w:rsidRPr="00CC6E6F">
        <w:rPr>
          <w:rFonts w:ascii="Arial" w:hAnsi="Arial" w:cs="Arial"/>
          <w:color w:val="000000" w:themeColor="text1"/>
        </w:rPr>
        <w:t>The table on the study habits of respondents in terms of test preparation and test-taking shows that students face several challenges in effectively preparing for and taking tests, with an overall mean of 2.33, interpreted as "Fair." One notable issue is the experience of studying adequately but going blank during the test, with a mean score of 2.52. This suggests that test anxiety or a lack of confidence may hinder students’ ability to recall information under pressure. Similarly, the feeling of being unprepared for tests, reflected by a mean of 2.24, indicates that students often approach exams without a solid sense of readiness, possibly due to ineffective study strategies or insufficient review time.</w:t>
      </w:r>
    </w:p>
    <w:p w14:paraId="66F60846" w14:textId="77777777" w:rsidR="008B26BF" w:rsidRPr="00CC6E6F" w:rsidRDefault="008B26BF" w:rsidP="008B26BF">
      <w:pPr>
        <w:spacing w:after="0" w:line="240" w:lineRule="auto"/>
        <w:jc w:val="both"/>
        <w:rPr>
          <w:rFonts w:ascii="Arial" w:hAnsi="Arial" w:cs="Arial"/>
          <w:color w:val="000000" w:themeColor="text1"/>
        </w:rPr>
      </w:pPr>
    </w:p>
    <w:p w14:paraId="07A84EC8" w14:textId="77777777" w:rsidR="00193FDB" w:rsidRPr="00CC6E6F" w:rsidRDefault="009C705E" w:rsidP="008B26BF">
      <w:pPr>
        <w:pStyle w:val="BodyText"/>
        <w:spacing w:after="0" w:line="240" w:lineRule="auto"/>
        <w:ind w:firstLine="720"/>
        <w:jc w:val="both"/>
        <w:rPr>
          <w:rFonts w:ascii="Arial" w:hAnsi="Arial" w:cs="Arial"/>
          <w:color w:val="000000" w:themeColor="text1"/>
        </w:rPr>
      </w:pPr>
      <w:r w:rsidRPr="00CC6E6F">
        <w:rPr>
          <w:rFonts w:ascii="Arial" w:hAnsi="Arial" w:cs="Arial"/>
          <w:color w:val="000000" w:themeColor="text1"/>
        </w:rPr>
        <w:t>Another challenge is the loss of points on tests despite feeling familiar with the material, with a mean of 2.36. This implies that students may struggle with applying knowledge during exams or encounter difficulties in interpreting test questions accurately. Additionally, the lowest-rated item is the tendency to study in a haphazard, disorganized manner shortly before the test, with a mean score of 2.20, further highlighting a lack of structured review practices.</w:t>
      </w:r>
    </w:p>
    <w:p w14:paraId="5EE310F7" w14:textId="77777777" w:rsidR="008B26BF" w:rsidRPr="00CC6E6F" w:rsidRDefault="008B26BF" w:rsidP="008B26BF">
      <w:pPr>
        <w:pStyle w:val="BodyText"/>
        <w:spacing w:after="0" w:line="240" w:lineRule="auto"/>
        <w:jc w:val="both"/>
        <w:rPr>
          <w:rFonts w:ascii="Arial" w:hAnsi="Arial" w:cs="Arial"/>
          <w:color w:val="000000" w:themeColor="text1"/>
        </w:rPr>
      </w:pPr>
    </w:p>
    <w:p w14:paraId="480ECA6B" w14:textId="77777777" w:rsidR="00193FDB" w:rsidRPr="00CC6E6F" w:rsidRDefault="008B26BF" w:rsidP="008B26BF">
      <w:pPr>
        <w:pStyle w:val="BodyText"/>
        <w:spacing w:after="0" w:line="240" w:lineRule="auto"/>
        <w:ind w:firstLine="720"/>
        <w:jc w:val="both"/>
        <w:rPr>
          <w:rFonts w:ascii="Arial" w:hAnsi="Arial" w:cs="Arial"/>
          <w:color w:val="000000" w:themeColor="text1"/>
        </w:rPr>
      </w:pPr>
      <w:r w:rsidRPr="00CC6E6F">
        <w:rPr>
          <w:rFonts w:ascii="Arial" w:hAnsi="Arial" w:cs="Arial"/>
          <w:color w:val="000000" w:themeColor="text1"/>
        </w:rPr>
        <w:t>T</w:t>
      </w:r>
      <w:r w:rsidR="009C705E" w:rsidRPr="00CC6E6F">
        <w:rPr>
          <w:rFonts w:ascii="Arial" w:hAnsi="Arial" w:cs="Arial"/>
          <w:color w:val="000000" w:themeColor="text1"/>
        </w:rPr>
        <w:t>hese findings suggest that students would benefit from improving their test preparation strategies by adopting techniques such as creating study schedules, practicing retrieval through mock tests, and employing relaxation methods to reduce anxiety. Enhancing these skills could help students feel more confident and prepared, ultimately improving their performance during exams.</w:t>
      </w:r>
    </w:p>
    <w:p w14:paraId="7A7839EB" w14:textId="77777777" w:rsidR="00193FDB" w:rsidRPr="00CC6E6F" w:rsidRDefault="00193FDB" w:rsidP="006F4A31">
      <w:pPr>
        <w:spacing w:after="0" w:line="240" w:lineRule="auto"/>
        <w:jc w:val="both"/>
        <w:rPr>
          <w:rFonts w:ascii="Arial" w:hAnsi="Arial" w:cs="Arial"/>
          <w:color w:val="000000" w:themeColor="text1"/>
        </w:rPr>
      </w:pPr>
    </w:p>
    <w:p w14:paraId="7152DE69" w14:textId="77777777" w:rsidR="00193FDB" w:rsidRPr="00CC6E6F" w:rsidRDefault="00193FDB" w:rsidP="006F4A31">
      <w:pPr>
        <w:spacing w:after="0" w:line="240" w:lineRule="auto"/>
        <w:rPr>
          <w:rFonts w:ascii="Arial" w:hAnsi="Arial" w:cs="Arial"/>
          <w:color w:val="000000" w:themeColor="text1"/>
        </w:rPr>
      </w:pPr>
    </w:p>
    <w:p w14:paraId="132B4DAB"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Table 11. Study Habits of Respondents in Terms of Reading Speed</w:t>
      </w:r>
    </w:p>
    <w:p w14:paraId="7F4F65C5" w14:textId="77777777" w:rsidR="00193FDB" w:rsidRPr="00CC6E6F" w:rsidRDefault="00193FDB" w:rsidP="006F4A31">
      <w:pPr>
        <w:spacing w:after="0" w:line="240" w:lineRule="auto"/>
        <w:rPr>
          <w:rFonts w:ascii="Arial" w:hAnsi="Arial" w:cs="Arial"/>
          <w:color w:val="000000" w:themeColor="text1"/>
        </w:rPr>
      </w:pPr>
    </w:p>
    <w:tbl>
      <w:tblPr>
        <w:tblW w:w="5000" w:type="pct"/>
        <w:tblInd w:w="108" w:type="dxa"/>
        <w:tblLayout w:type="fixed"/>
        <w:tblLook w:val="04A0" w:firstRow="1" w:lastRow="0" w:firstColumn="1" w:lastColumn="0" w:noHBand="0" w:noVBand="1"/>
      </w:tblPr>
      <w:tblGrid>
        <w:gridCol w:w="5662"/>
        <w:gridCol w:w="1551"/>
        <w:gridCol w:w="1813"/>
      </w:tblGrid>
      <w:tr w:rsidR="00CC6E6F" w:rsidRPr="00CC6E6F" w14:paraId="3F2AE65F" w14:textId="77777777">
        <w:trPr>
          <w:trHeight w:val="315"/>
        </w:trPr>
        <w:tc>
          <w:tcPr>
            <w:tcW w:w="5662" w:type="dxa"/>
            <w:tcBorders>
              <w:top w:val="single" w:sz="4" w:space="0" w:color="000000"/>
              <w:bottom w:val="single" w:sz="4" w:space="0" w:color="000000"/>
            </w:tcBorders>
            <w:shd w:val="clear" w:color="auto" w:fill="D9D9D9" w:themeFill="background1" w:themeFillShade="D9"/>
            <w:vAlign w:val="center"/>
          </w:tcPr>
          <w:p w14:paraId="24002FCD" w14:textId="77777777" w:rsidR="00193FDB" w:rsidRPr="00CC6E6F" w:rsidRDefault="009C705E" w:rsidP="006F4A31">
            <w:pPr>
              <w:spacing w:after="0" w:line="240" w:lineRule="auto"/>
              <w:jc w:val="both"/>
              <w:rPr>
                <w:rFonts w:ascii="Arial" w:eastAsia="Times New Roman" w:hAnsi="Arial" w:cs="Arial"/>
                <w:b/>
                <w:bCs/>
                <w:color w:val="000000" w:themeColor="text1"/>
                <w:sz w:val="20"/>
                <w:szCs w:val="20"/>
                <w:lang w:eastAsia="en-PH"/>
              </w:rPr>
            </w:pPr>
            <w:r w:rsidRPr="00CC6E6F">
              <w:rPr>
                <w:rFonts w:ascii="Arial" w:eastAsia="Times New Roman" w:hAnsi="Arial" w:cs="Arial"/>
                <w:b/>
                <w:bCs/>
                <w:color w:val="000000" w:themeColor="text1"/>
                <w:sz w:val="20"/>
                <w:szCs w:val="20"/>
                <w:lang w:eastAsia="en-PH"/>
              </w:rPr>
              <w:t>READING SPEED</w:t>
            </w:r>
          </w:p>
        </w:tc>
        <w:tc>
          <w:tcPr>
            <w:tcW w:w="1551" w:type="dxa"/>
            <w:tcBorders>
              <w:top w:val="single" w:sz="4" w:space="0" w:color="000000"/>
              <w:bottom w:val="single" w:sz="4" w:space="0" w:color="000000"/>
            </w:tcBorders>
            <w:shd w:val="clear" w:color="auto" w:fill="D9D9D9" w:themeFill="background1" w:themeFillShade="D9"/>
            <w:vAlign w:val="center"/>
          </w:tcPr>
          <w:p w14:paraId="3636A16B" w14:textId="77777777" w:rsidR="00193FDB" w:rsidRPr="00CC6E6F" w:rsidRDefault="009C705E" w:rsidP="006F4A31">
            <w:pPr>
              <w:spacing w:after="0" w:line="240" w:lineRule="auto"/>
              <w:jc w:val="center"/>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Mean</w:t>
            </w:r>
          </w:p>
        </w:tc>
        <w:tc>
          <w:tcPr>
            <w:tcW w:w="1813" w:type="dxa"/>
            <w:tcBorders>
              <w:top w:val="single" w:sz="4" w:space="0" w:color="000000"/>
              <w:bottom w:val="single" w:sz="4" w:space="0" w:color="000000"/>
            </w:tcBorders>
            <w:shd w:val="clear" w:color="auto" w:fill="D9D9D9" w:themeFill="background1" w:themeFillShade="D9"/>
            <w:vAlign w:val="center"/>
          </w:tcPr>
          <w:p w14:paraId="68DB4675" w14:textId="77777777" w:rsidR="00193FDB" w:rsidRPr="00CC6E6F" w:rsidRDefault="009C705E" w:rsidP="006F4A31">
            <w:pPr>
              <w:spacing w:after="0" w:line="240" w:lineRule="auto"/>
              <w:jc w:val="center"/>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Interpretation</w:t>
            </w:r>
          </w:p>
        </w:tc>
      </w:tr>
      <w:tr w:rsidR="00CC6E6F" w:rsidRPr="00CC6E6F" w14:paraId="7FD604E5" w14:textId="77777777">
        <w:trPr>
          <w:trHeight w:val="315"/>
        </w:trPr>
        <w:tc>
          <w:tcPr>
            <w:tcW w:w="5662" w:type="dxa"/>
            <w:tcBorders>
              <w:top w:val="single" w:sz="4" w:space="0" w:color="000000"/>
            </w:tcBorders>
            <w:shd w:val="clear" w:color="auto" w:fill="auto"/>
            <w:vAlign w:val="center"/>
          </w:tcPr>
          <w:p w14:paraId="6BD4AB9E"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read at the same speed whether the selection is difficult or easy.</w:t>
            </w:r>
          </w:p>
        </w:tc>
        <w:tc>
          <w:tcPr>
            <w:tcW w:w="1551" w:type="dxa"/>
            <w:tcBorders>
              <w:top w:val="single" w:sz="4" w:space="0" w:color="000000"/>
            </w:tcBorders>
            <w:shd w:val="clear" w:color="auto" w:fill="auto"/>
            <w:vAlign w:val="center"/>
          </w:tcPr>
          <w:p w14:paraId="58C8B5D2"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2.77</w:t>
            </w:r>
          </w:p>
        </w:tc>
        <w:tc>
          <w:tcPr>
            <w:tcW w:w="1813" w:type="dxa"/>
            <w:tcBorders>
              <w:top w:val="single" w:sz="4" w:space="0" w:color="000000"/>
            </w:tcBorders>
            <w:shd w:val="clear" w:color="auto" w:fill="auto"/>
            <w:vAlign w:val="center"/>
          </w:tcPr>
          <w:p w14:paraId="26F42902"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Good</w:t>
            </w:r>
          </w:p>
        </w:tc>
      </w:tr>
      <w:tr w:rsidR="00CC6E6F" w:rsidRPr="00CC6E6F" w14:paraId="0FB6A121" w14:textId="77777777">
        <w:trPr>
          <w:trHeight w:val="315"/>
        </w:trPr>
        <w:tc>
          <w:tcPr>
            <w:tcW w:w="5662" w:type="dxa"/>
            <w:shd w:val="clear" w:color="auto" w:fill="auto"/>
            <w:vAlign w:val="center"/>
          </w:tcPr>
          <w:p w14:paraId="5086B6DB"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need to improve my reading speed.</w:t>
            </w:r>
          </w:p>
        </w:tc>
        <w:tc>
          <w:tcPr>
            <w:tcW w:w="1551" w:type="dxa"/>
            <w:shd w:val="clear" w:color="auto" w:fill="auto"/>
            <w:vAlign w:val="center"/>
          </w:tcPr>
          <w:p w14:paraId="5B21DE87"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2.72</w:t>
            </w:r>
          </w:p>
        </w:tc>
        <w:tc>
          <w:tcPr>
            <w:tcW w:w="1813" w:type="dxa"/>
            <w:shd w:val="clear" w:color="auto" w:fill="auto"/>
            <w:vAlign w:val="center"/>
          </w:tcPr>
          <w:p w14:paraId="3D62BB42"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Good</w:t>
            </w:r>
          </w:p>
        </w:tc>
      </w:tr>
      <w:tr w:rsidR="00CC6E6F" w:rsidRPr="00CC6E6F" w14:paraId="049F1EA3" w14:textId="77777777">
        <w:trPr>
          <w:trHeight w:val="630"/>
        </w:trPr>
        <w:tc>
          <w:tcPr>
            <w:tcW w:w="5662" w:type="dxa"/>
            <w:shd w:val="clear" w:color="auto" w:fill="auto"/>
            <w:vAlign w:val="center"/>
          </w:tcPr>
          <w:p w14:paraId="6C5033C5"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feel like I spend too much time on reading compared to the rest of my homework.</w:t>
            </w:r>
          </w:p>
        </w:tc>
        <w:tc>
          <w:tcPr>
            <w:tcW w:w="1551" w:type="dxa"/>
            <w:shd w:val="clear" w:color="auto" w:fill="auto"/>
            <w:vAlign w:val="center"/>
          </w:tcPr>
          <w:p w14:paraId="5BDF0307"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2.87</w:t>
            </w:r>
          </w:p>
        </w:tc>
        <w:tc>
          <w:tcPr>
            <w:tcW w:w="1813" w:type="dxa"/>
            <w:shd w:val="clear" w:color="auto" w:fill="auto"/>
            <w:vAlign w:val="center"/>
          </w:tcPr>
          <w:p w14:paraId="15840421"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Good</w:t>
            </w:r>
          </w:p>
        </w:tc>
      </w:tr>
      <w:tr w:rsidR="00CC6E6F" w:rsidRPr="00CC6E6F" w14:paraId="45310663" w14:textId="77777777">
        <w:trPr>
          <w:trHeight w:val="630"/>
        </w:trPr>
        <w:tc>
          <w:tcPr>
            <w:tcW w:w="5662" w:type="dxa"/>
            <w:tcBorders>
              <w:bottom w:val="single" w:sz="4" w:space="0" w:color="000000"/>
            </w:tcBorders>
            <w:shd w:val="clear" w:color="auto" w:fill="auto"/>
            <w:vAlign w:val="center"/>
          </w:tcPr>
          <w:p w14:paraId="676712FA"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lastRenderedPageBreak/>
              <w:t>I try to read the whole textbook the night before an exam or reading statement.</w:t>
            </w:r>
          </w:p>
        </w:tc>
        <w:tc>
          <w:tcPr>
            <w:tcW w:w="1551" w:type="dxa"/>
            <w:tcBorders>
              <w:bottom w:val="single" w:sz="4" w:space="0" w:color="000000"/>
            </w:tcBorders>
            <w:shd w:val="clear" w:color="auto" w:fill="auto"/>
            <w:vAlign w:val="center"/>
          </w:tcPr>
          <w:p w14:paraId="784FF0C3"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3.14</w:t>
            </w:r>
          </w:p>
        </w:tc>
        <w:tc>
          <w:tcPr>
            <w:tcW w:w="1813" w:type="dxa"/>
            <w:tcBorders>
              <w:bottom w:val="single" w:sz="4" w:space="0" w:color="000000"/>
            </w:tcBorders>
            <w:shd w:val="clear" w:color="auto" w:fill="auto"/>
            <w:vAlign w:val="center"/>
          </w:tcPr>
          <w:p w14:paraId="2DD450EB"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Good</w:t>
            </w:r>
          </w:p>
        </w:tc>
      </w:tr>
      <w:tr w:rsidR="00CC6E6F" w:rsidRPr="00CC6E6F" w14:paraId="6E9FF7AE" w14:textId="77777777">
        <w:trPr>
          <w:trHeight w:val="315"/>
        </w:trPr>
        <w:tc>
          <w:tcPr>
            <w:tcW w:w="5662" w:type="dxa"/>
            <w:tcBorders>
              <w:top w:val="single" w:sz="4" w:space="0" w:color="000000"/>
              <w:bottom w:val="single" w:sz="4" w:space="0" w:color="000000"/>
            </w:tcBorders>
            <w:shd w:val="clear" w:color="auto" w:fill="D9D9D9" w:themeFill="background1" w:themeFillShade="D9"/>
            <w:vAlign w:val="center"/>
          </w:tcPr>
          <w:p w14:paraId="04CED497"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 </w:t>
            </w:r>
          </w:p>
        </w:tc>
        <w:tc>
          <w:tcPr>
            <w:tcW w:w="1551" w:type="dxa"/>
            <w:tcBorders>
              <w:top w:val="single" w:sz="4" w:space="0" w:color="000000"/>
              <w:bottom w:val="single" w:sz="4" w:space="0" w:color="000000"/>
            </w:tcBorders>
            <w:shd w:val="clear" w:color="auto" w:fill="D9D9D9" w:themeFill="background1" w:themeFillShade="D9"/>
            <w:vAlign w:val="center"/>
          </w:tcPr>
          <w:p w14:paraId="0DBE696B" w14:textId="77777777" w:rsidR="00193FDB" w:rsidRPr="00CC6E6F" w:rsidRDefault="009C705E" w:rsidP="006F4A31">
            <w:pPr>
              <w:spacing w:after="0" w:line="240" w:lineRule="auto"/>
              <w:jc w:val="center"/>
              <w:rPr>
                <w:rFonts w:ascii="Arial" w:hAnsi="Arial" w:cs="Arial"/>
                <w:b/>
                <w:bCs/>
                <w:color w:val="000000" w:themeColor="text1"/>
                <w:sz w:val="20"/>
                <w:szCs w:val="20"/>
              </w:rPr>
            </w:pPr>
            <w:r w:rsidRPr="00CC6E6F">
              <w:rPr>
                <w:rFonts w:ascii="Arial" w:hAnsi="Arial" w:cs="Arial"/>
                <w:b/>
                <w:bCs/>
                <w:color w:val="000000" w:themeColor="text1"/>
                <w:sz w:val="20"/>
                <w:szCs w:val="20"/>
              </w:rPr>
              <w:t>2.88</w:t>
            </w:r>
          </w:p>
        </w:tc>
        <w:tc>
          <w:tcPr>
            <w:tcW w:w="1813" w:type="dxa"/>
            <w:tcBorders>
              <w:top w:val="single" w:sz="4" w:space="0" w:color="000000"/>
              <w:bottom w:val="single" w:sz="4" w:space="0" w:color="000000"/>
            </w:tcBorders>
            <w:shd w:val="clear" w:color="auto" w:fill="D9D9D9" w:themeFill="background1" w:themeFillShade="D9"/>
            <w:vAlign w:val="center"/>
          </w:tcPr>
          <w:p w14:paraId="5CDEE910" w14:textId="77777777" w:rsidR="00193FDB" w:rsidRPr="00CC6E6F" w:rsidRDefault="009C705E" w:rsidP="006F4A31">
            <w:pPr>
              <w:spacing w:after="0" w:line="240" w:lineRule="auto"/>
              <w:jc w:val="center"/>
              <w:rPr>
                <w:rFonts w:ascii="Arial" w:eastAsia="Times New Roman" w:hAnsi="Arial" w:cs="Arial"/>
                <w:b/>
                <w:bCs/>
                <w:color w:val="000000" w:themeColor="text1"/>
                <w:sz w:val="20"/>
                <w:szCs w:val="20"/>
                <w:lang w:eastAsia="en-PH"/>
              </w:rPr>
            </w:pPr>
            <w:r w:rsidRPr="00CC6E6F">
              <w:rPr>
                <w:rFonts w:ascii="Arial" w:eastAsia="Times New Roman" w:hAnsi="Arial" w:cs="Arial"/>
                <w:b/>
                <w:bCs/>
                <w:color w:val="000000" w:themeColor="text1"/>
                <w:sz w:val="20"/>
                <w:szCs w:val="20"/>
                <w:lang w:eastAsia="en-PH"/>
              </w:rPr>
              <w:t>Good</w:t>
            </w:r>
          </w:p>
        </w:tc>
      </w:tr>
    </w:tbl>
    <w:p w14:paraId="09EDCB7F" w14:textId="77777777" w:rsidR="00193FDB" w:rsidRPr="00CC6E6F" w:rsidRDefault="00193FDB" w:rsidP="006F4A31">
      <w:pPr>
        <w:spacing w:after="0" w:line="240" w:lineRule="auto"/>
        <w:rPr>
          <w:rFonts w:ascii="Arial" w:hAnsi="Arial" w:cs="Arial"/>
          <w:color w:val="000000" w:themeColor="text1"/>
        </w:rPr>
      </w:pPr>
    </w:p>
    <w:p w14:paraId="02A46F3A" w14:textId="77777777" w:rsidR="00193FDB" w:rsidRPr="00CC6E6F" w:rsidRDefault="009C705E" w:rsidP="008A0107">
      <w:pPr>
        <w:spacing w:after="0" w:line="240" w:lineRule="auto"/>
        <w:jc w:val="both"/>
        <w:rPr>
          <w:rFonts w:ascii="Arial" w:hAnsi="Arial" w:cs="Arial"/>
          <w:color w:val="000000" w:themeColor="text1"/>
        </w:rPr>
      </w:pPr>
      <w:r w:rsidRPr="00CC6E6F">
        <w:rPr>
          <w:rFonts w:ascii="Arial" w:hAnsi="Arial" w:cs="Arial"/>
          <w:color w:val="000000" w:themeColor="text1"/>
        </w:rPr>
        <w:tab/>
        <w:t>The table on the study habits of respondents in terms of reading speed shows that students have a generally positive perception of their reading pace, with an overall mean of 2.88, interpreted as "Good." This suggests that while students recognize the importance of reading efficiently, there is still room for improvement. Notably, the highest-rated item is the tendency to read the entire textbook the night before an exam or reading assignment, with a mean of 3.14. This indicates that some students rely on last-minute reading strategies, which might not be the most effective approach for long-term retention or comprehension.</w:t>
      </w:r>
    </w:p>
    <w:p w14:paraId="794BBE5D" w14:textId="77777777" w:rsidR="008A0107" w:rsidRPr="00CC6E6F" w:rsidRDefault="008A0107" w:rsidP="008A0107">
      <w:pPr>
        <w:spacing w:after="0" w:line="240" w:lineRule="auto"/>
        <w:jc w:val="both"/>
        <w:rPr>
          <w:rFonts w:ascii="Arial" w:hAnsi="Arial" w:cs="Arial"/>
          <w:color w:val="000000" w:themeColor="text1"/>
        </w:rPr>
      </w:pPr>
    </w:p>
    <w:p w14:paraId="69D2DBC3" w14:textId="77777777" w:rsidR="00193FDB" w:rsidRPr="00CC6E6F" w:rsidRDefault="009C705E" w:rsidP="008A0107">
      <w:pPr>
        <w:pStyle w:val="BodyText"/>
        <w:spacing w:after="0" w:line="240" w:lineRule="auto"/>
        <w:ind w:firstLine="720"/>
        <w:jc w:val="both"/>
        <w:rPr>
          <w:rFonts w:ascii="Arial" w:hAnsi="Arial" w:cs="Arial"/>
          <w:color w:val="000000" w:themeColor="text1"/>
        </w:rPr>
      </w:pPr>
      <w:r w:rsidRPr="00CC6E6F">
        <w:rPr>
          <w:rFonts w:ascii="Arial" w:hAnsi="Arial" w:cs="Arial"/>
          <w:color w:val="000000" w:themeColor="text1"/>
        </w:rPr>
        <w:t>The respondents also acknowledged that they spend a considerable amount of time reading compared to other homework tasks, reflected by a mean of 2.87. This implies that students may lack strategies to streamline their reading process, potentially leading to inefficiency. Moreover, the statement about needing to improve reading speed scored a mean of 2.72, reinforcing the idea that students are aware of their limitations and recognize the need to enhance this skill.</w:t>
      </w:r>
    </w:p>
    <w:p w14:paraId="5945C0D9" w14:textId="77777777" w:rsidR="008A0107" w:rsidRPr="00CC6E6F" w:rsidRDefault="008A0107" w:rsidP="008A0107">
      <w:pPr>
        <w:pStyle w:val="BodyText"/>
        <w:spacing w:after="0" w:line="240" w:lineRule="auto"/>
        <w:ind w:firstLine="720"/>
        <w:jc w:val="both"/>
        <w:rPr>
          <w:rFonts w:ascii="Arial" w:hAnsi="Arial" w:cs="Arial"/>
          <w:color w:val="000000" w:themeColor="text1"/>
        </w:rPr>
      </w:pPr>
    </w:p>
    <w:p w14:paraId="64042C15" w14:textId="77777777" w:rsidR="00193FDB" w:rsidRPr="00CC6E6F" w:rsidRDefault="009C705E" w:rsidP="008A0107">
      <w:pPr>
        <w:pStyle w:val="BodyText"/>
        <w:spacing w:after="0" w:line="240" w:lineRule="auto"/>
        <w:ind w:firstLine="720"/>
        <w:jc w:val="both"/>
        <w:rPr>
          <w:rFonts w:ascii="Arial" w:hAnsi="Arial" w:cs="Arial"/>
          <w:color w:val="000000" w:themeColor="text1"/>
        </w:rPr>
      </w:pPr>
      <w:r w:rsidRPr="00CC6E6F">
        <w:rPr>
          <w:rFonts w:ascii="Arial" w:hAnsi="Arial" w:cs="Arial"/>
          <w:color w:val="000000" w:themeColor="text1"/>
        </w:rPr>
        <w:t>Another interesting finding is that students tend to read at the same speed, regardless of the difficulty of the material, with a mean of 2.77. This suggests that they may not be adjusting their reading pace based on content complexity, which could affect comprehension and efficiency. Overall, the results imply that while students have developed adequate reading habits, they would benefit from adopting techniques such as skimming, scanning, and adjusting reading speed according to content difficulty. Implementing these strategies could help students optimize their study time and improve academic performance.</w:t>
      </w:r>
    </w:p>
    <w:p w14:paraId="0F1C0703" w14:textId="77777777" w:rsidR="00193FDB" w:rsidRPr="00CC6E6F" w:rsidRDefault="00193FDB" w:rsidP="008A0107">
      <w:pPr>
        <w:spacing w:after="0" w:line="240" w:lineRule="auto"/>
        <w:jc w:val="both"/>
        <w:rPr>
          <w:rFonts w:ascii="Arial" w:hAnsi="Arial" w:cs="Arial"/>
          <w:color w:val="000000" w:themeColor="text1"/>
        </w:rPr>
      </w:pPr>
    </w:p>
    <w:p w14:paraId="4145A85A" w14:textId="77777777" w:rsidR="00193FDB" w:rsidRPr="00CC6E6F" w:rsidRDefault="00193FDB" w:rsidP="006F4A31">
      <w:pPr>
        <w:spacing w:after="0" w:line="240" w:lineRule="auto"/>
        <w:rPr>
          <w:rFonts w:ascii="Arial" w:hAnsi="Arial" w:cs="Arial"/>
          <w:color w:val="000000" w:themeColor="text1"/>
        </w:rPr>
      </w:pPr>
    </w:p>
    <w:p w14:paraId="28584942"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Table 12. Study Habits of Respondents in Terms of Writing Skills</w:t>
      </w:r>
    </w:p>
    <w:p w14:paraId="5DFF242B" w14:textId="77777777" w:rsidR="00193FDB" w:rsidRPr="00CC6E6F" w:rsidRDefault="00193FDB" w:rsidP="006F4A31">
      <w:pPr>
        <w:spacing w:after="0" w:line="240" w:lineRule="auto"/>
        <w:rPr>
          <w:rFonts w:ascii="Arial" w:hAnsi="Arial" w:cs="Arial"/>
          <w:color w:val="000000" w:themeColor="text1"/>
        </w:rPr>
      </w:pPr>
    </w:p>
    <w:tbl>
      <w:tblPr>
        <w:tblW w:w="5000" w:type="pct"/>
        <w:tblInd w:w="108" w:type="dxa"/>
        <w:tblLayout w:type="fixed"/>
        <w:tblLook w:val="04A0" w:firstRow="1" w:lastRow="0" w:firstColumn="1" w:lastColumn="0" w:noHBand="0" w:noVBand="1"/>
      </w:tblPr>
      <w:tblGrid>
        <w:gridCol w:w="5662"/>
        <w:gridCol w:w="1551"/>
        <w:gridCol w:w="1813"/>
      </w:tblGrid>
      <w:tr w:rsidR="00CC6E6F" w:rsidRPr="00CC6E6F" w14:paraId="5543DC68" w14:textId="77777777">
        <w:trPr>
          <w:trHeight w:val="315"/>
        </w:trPr>
        <w:tc>
          <w:tcPr>
            <w:tcW w:w="5662" w:type="dxa"/>
            <w:tcBorders>
              <w:top w:val="single" w:sz="4" w:space="0" w:color="000000"/>
              <w:bottom w:val="single" w:sz="4" w:space="0" w:color="000000"/>
            </w:tcBorders>
            <w:shd w:val="clear" w:color="auto" w:fill="D9D9D9" w:themeFill="background1" w:themeFillShade="D9"/>
            <w:vAlign w:val="center"/>
          </w:tcPr>
          <w:p w14:paraId="201B727F" w14:textId="77777777" w:rsidR="00193FDB" w:rsidRPr="00CC6E6F" w:rsidRDefault="009C705E" w:rsidP="006F4A31">
            <w:pPr>
              <w:spacing w:after="0" w:line="240" w:lineRule="auto"/>
              <w:jc w:val="both"/>
              <w:rPr>
                <w:rFonts w:ascii="Arial" w:eastAsia="Times New Roman" w:hAnsi="Arial" w:cs="Arial"/>
                <w:b/>
                <w:bCs/>
                <w:color w:val="000000" w:themeColor="text1"/>
                <w:sz w:val="20"/>
                <w:szCs w:val="20"/>
                <w:lang w:eastAsia="en-PH"/>
              </w:rPr>
            </w:pPr>
            <w:r w:rsidRPr="00CC6E6F">
              <w:rPr>
                <w:rFonts w:ascii="Arial" w:eastAsia="Times New Roman" w:hAnsi="Arial" w:cs="Arial"/>
                <w:b/>
                <w:bCs/>
                <w:color w:val="000000" w:themeColor="text1"/>
                <w:sz w:val="20"/>
                <w:szCs w:val="20"/>
                <w:lang w:eastAsia="en-PH"/>
              </w:rPr>
              <w:t>WRITING SKILLS</w:t>
            </w:r>
          </w:p>
        </w:tc>
        <w:tc>
          <w:tcPr>
            <w:tcW w:w="1551" w:type="dxa"/>
            <w:tcBorders>
              <w:top w:val="single" w:sz="4" w:space="0" w:color="000000"/>
              <w:bottom w:val="single" w:sz="4" w:space="0" w:color="000000"/>
            </w:tcBorders>
            <w:shd w:val="clear" w:color="auto" w:fill="D9D9D9" w:themeFill="background1" w:themeFillShade="D9"/>
            <w:vAlign w:val="center"/>
          </w:tcPr>
          <w:p w14:paraId="580422B0" w14:textId="77777777" w:rsidR="00193FDB" w:rsidRPr="00CC6E6F" w:rsidRDefault="009C705E" w:rsidP="006F4A31">
            <w:pPr>
              <w:spacing w:after="0" w:line="240" w:lineRule="auto"/>
              <w:jc w:val="center"/>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Mean</w:t>
            </w:r>
          </w:p>
        </w:tc>
        <w:tc>
          <w:tcPr>
            <w:tcW w:w="1813" w:type="dxa"/>
            <w:tcBorders>
              <w:top w:val="single" w:sz="4" w:space="0" w:color="000000"/>
              <w:bottom w:val="single" w:sz="4" w:space="0" w:color="000000"/>
            </w:tcBorders>
            <w:shd w:val="clear" w:color="auto" w:fill="D9D9D9" w:themeFill="background1" w:themeFillShade="D9"/>
            <w:vAlign w:val="center"/>
          </w:tcPr>
          <w:p w14:paraId="31B3AEC0" w14:textId="77777777" w:rsidR="00193FDB" w:rsidRPr="00CC6E6F" w:rsidRDefault="009C705E" w:rsidP="006F4A31">
            <w:pPr>
              <w:spacing w:after="0" w:line="240" w:lineRule="auto"/>
              <w:jc w:val="center"/>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Interpretation</w:t>
            </w:r>
          </w:p>
        </w:tc>
      </w:tr>
      <w:tr w:rsidR="00CC6E6F" w:rsidRPr="00CC6E6F" w14:paraId="0931FE8F" w14:textId="77777777">
        <w:trPr>
          <w:trHeight w:val="630"/>
        </w:trPr>
        <w:tc>
          <w:tcPr>
            <w:tcW w:w="5662" w:type="dxa"/>
            <w:tcBorders>
              <w:top w:val="single" w:sz="4" w:space="0" w:color="000000"/>
            </w:tcBorders>
            <w:shd w:val="clear" w:color="auto" w:fill="auto"/>
            <w:vAlign w:val="center"/>
          </w:tcPr>
          <w:p w14:paraId="276B67C3"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lose a lot of points on essays and papers due to grammar, punctuation, or spelling.</w:t>
            </w:r>
          </w:p>
        </w:tc>
        <w:tc>
          <w:tcPr>
            <w:tcW w:w="1551" w:type="dxa"/>
            <w:tcBorders>
              <w:top w:val="single" w:sz="4" w:space="0" w:color="000000"/>
            </w:tcBorders>
            <w:shd w:val="clear" w:color="auto" w:fill="auto"/>
            <w:vAlign w:val="center"/>
          </w:tcPr>
          <w:p w14:paraId="5E785F7B"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2.59</w:t>
            </w:r>
          </w:p>
        </w:tc>
        <w:tc>
          <w:tcPr>
            <w:tcW w:w="1813" w:type="dxa"/>
            <w:tcBorders>
              <w:top w:val="single" w:sz="4" w:space="0" w:color="000000"/>
            </w:tcBorders>
            <w:shd w:val="clear" w:color="auto" w:fill="auto"/>
            <w:vAlign w:val="center"/>
          </w:tcPr>
          <w:p w14:paraId="4AF3E200"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Fair</w:t>
            </w:r>
          </w:p>
        </w:tc>
      </w:tr>
      <w:tr w:rsidR="00CC6E6F" w:rsidRPr="00CC6E6F" w14:paraId="7D702FFD" w14:textId="77777777">
        <w:trPr>
          <w:trHeight w:val="315"/>
        </w:trPr>
        <w:tc>
          <w:tcPr>
            <w:tcW w:w="5662" w:type="dxa"/>
            <w:shd w:val="clear" w:color="auto" w:fill="auto"/>
            <w:vAlign w:val="center"/>
          </w:tcPr>
          <w:p w14:paraId="5DFF5E48"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write my papers the night before they are due.</w:t>
            </w:r>
          </w:p>
        </w:tc>
        <w:tc>
          <w:tcPr>
            <w:tcW w:w="1551" w:type="dxa"/>
            <w:shd w:val="clear" w:color="auto" w:fill="auto"/>
            <w:vAlign w:val="center"/>
          </w:tcPr>
          <w:p w14:paraId="28D0E20D"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2.24</w:t>
            </w:r>
          </w:p>
        </w:tc>
        <w:tc>
          <w:tcPr>
            <w:tcW w:w="1813" w:type="dxa"/>
            <w:shd w:val="clear" w:color="auto" w:fill="auto"/>
            <w:vAlign w:val="center"/>
          </w:tcPr>
          <w:p w14:paraId="707CC3CB"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Fair</w:t>
            </w:r>
          </w:p>
        </w:tc>
      </w:tr>
      <w:tr w:rsidR="00CC6E6F" w:rsidRPr="00CC6E6F" w14:paraId="3BB4EE2D" w14:textId="77777777">
        <w:trPr>
          <w:trHeight w:val="630"/>
        </w:trPr>
        <w:tc>
          <w:tcPr>
            <w:tcW w:w="5662" w:type="dxa"/>
            <w:shd w:val="clear" w:color="auto" w:fill="auto"/>
            <w:vAlign w:val="center"/>
          </w:tcPr>
          <w:p w14:paraId="53EDF6D1"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When my professors assign papers I feel so overwhelmed that I can’t get started.</w:t>
            </w:r>
          </w:p>
        </w:tc>
        <w:tc>
          <w:tcPr>
            <w:tcW w:w="1551" w:type="dxa"/>
            <w:shd w:val="clear" w:color="auto" w:fill="auto"/>
            <w:vAlign w:val="center"/>
          </w:tcPr>
          <w:p w14:paraId="6B229E25"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2.48</w:t>
            </w:r>
          </w:p>
        </w:tc>
        <w:tc>
          <w:tcPr>
            <w:tcW w:w="1813" w:type="dxa"/>
            <w:shd w:val="clear" w:color="auto" w:fill="auto"/>
            <w:vAlign w:val="center"/>
          </w:tcPr>
          <w:p w14:paraId="2A19D2B3"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Fair</w:t>
            </w:r>
          </w:p>
        </w:tc>
      </w:tr>
      <w:tr w:rsidR="00CC6E6F" w:rsidRPr="00CC6E6F" w14:paraId="48439523" w14:textId="77777777">
        <w:trPr>
          <w:trHeight w:val="315"/>
        </w:trPr>
        <w:tc>
          <w:tcPr>
            <w:tcW w:w="5662" w:type="dxa"/>
            <w:tcBorders>
              <w:bottom w:val="single" w:sz="4" w:space="0" w:color="000000"/>
            </w:tcBorders>
            <w:shd w:val="clear" w:color="auto" w:fill="auto"/>
            <w:vAlign w:val="center"/>
          </w:tcPr>
          <w:p w14:paraId="27220353"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have a hard time organizing my thoughts into a paper that makes sense.</w:t>
            </w:r>
          </w:p>
        </w:tc>
        <w:tc>
          <w:tcPr>
            <w:tcW w:w="1551" w:type="dxa"/>
            <w:tcBorders>
              <w:bottom w:val="single" w:sz="4" w:space="0" w:color="000000"/>
            </w:tcBorders>
            <w:shd w:val="clear" w:color="auto" w:fill="auto"/>
            <w:vAlign w:val="center"/>
          </w:tcPr>
          <w:p w14:paraId="5EE64BDC"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2.51</w:t>
            </w:r>
          </w:p>
        </w:tc>
        <w:tc>
          <w:tcPr>
            <w:tcW w:w="1813" w:type="dxa"/>
            <w:tcBorders>
              <w:bottom w:val="single" w:sz="4" w:space="0" w:color="000000"/>
            </w:tcBorders>
            <w:shd w:val="clear" w:color="auto" w:fill="auto"/>
            <w:vAlign w:val="center"/>
          </w:tcPr>
          <w:p w14:paraId="43F9266A"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Fair</w:t>
            </w:r>
          </w:p>
        </w:tc>
      </w:tr>
      <w:tr w:rsidR="00CC6E6F" w:rsidRPr="00CC6E6F" w14:paraId="563B357E" w14:textId="77777777">
        <w:trPr>
          <w:trHeight w:val="315"/>
        </w:trPr>
        <w:tc>
          <w:tcPr>
            <w:tcW w:w="5662" w:type="dxa"/>
            <w:tcBorders>
              <w:top w:val="single" w:sz="4" w:space="0" w:color="000000"/>
              <w:bottom w:val="single" w:sz="4" w:space="0" w:color="000000"/>
            </w:tcBorders>
            <w:shd w:val="clear" w:color="auto" w:fill="D9D9D9" w:themeFill="background1" w:themeFillShade="D9"/>
            <w:vAlign w:val="center"/>
          </w:tcPr>
          <w:p w14:paraId="63BD3761"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 </w:t>
            </w:r>
          </w:p>
        </w:tc>
        <w:tc>
          <w:tcPr>
            <w:tcW w:w="1551" w:type="dxa"/>
            <w:tcBorders>
              <w:top w:val="single" w:sz="4" w:space="0" w:color="000000"/>
              <w:bottom w:val="single" w:sz="4" w:space="0" w:color="000000"/>
            </w:tcBorders>
            <w:shd w:val="clear" w:color="auto" w:fill="D9D9D9" w:themeFill="background1" w:themeFillShade="D9"/>
            <w:vAlign w:val="center"/>
          </w:tcPr>
          <w:p w14:paraId="6D027201" w14:textId="77777777" w:rsidR="00193FDB" w:rsidRPr="00CC6E6F" w:rsidRDefault="009C705E" w:rsidP="006F4A31">
            <w:pPr>
              <w:spacing w:after="0" w:line="240" w:lineRule="auto"/>
              <w:jc w:val="center"/>
              <w:rPr>
                <w:rFonts w:ascii="Arial" w:hAnsi="Arial" w:cs="Arial"/>
                <w:b/>
                <w:bCs/>
                <w:color w:val="000000" w:themeColor="text1"/>
                <w:sz w:val="20"/>
                <w:szCs w:val="20"/>
              </w:rPr>
            </w:pPr>
            <w:r w:rsidRPr="00CC6E6F">
              <w:rPr>
                <w:rFonts w:ascii="Arial" w:hAnsi="Arial" w:cs="Arial"/>
                <w:b/>
                <w:bCs/>
                <w:color w:val="000000" w:themeColor="text1"/>
                <w:sz w:val="20"/>
                <w:szCs w:val="20"/>
              </w:rPr>
              <w:t>2.46</w:t>
            </w:r>
          </w:p>
        </w:tc>
        <w:tc>
          <w:tcPr>
            <w:tcW w:w="1813" w:type="dxa"/>
            <w:tcBorders>
              <w:top w:val="single" w:sz="4" w:space="0" w:color="000000"/>
              <w:bottom w:val="single" w:sz="4" w:space="0" w:color="000000"/>
            </w:tcBorders>
            <w:shd w:val="clear" w:color="auto" w:fill="D9D9D9" w:themeFill="background1" w:themeFillShade="D9"/>
            <w:vAlign w:val="center"/>
          </w:tcPr>
          <w:p w14:paraId="11DC948A" w14:textId="77777777" w:rsidR="00193FDB" w:rsidRPr="00CC6E6F" w:rsidRDefault="009C705E" w:rsidP="006F4A31">
            <w:pPr>
              <w:spacing w:after="0" w:line="240" w:lineRule="auto"/>
              <w:jc w:val="center"/>
              <w:rPr>
                <w:rFonts w:ascii="Arial" w:eastAsia="Times New Roman" w:hAnsi="Arial" w:cs="Arial"/>
                <w:b/>
                <w:bCs/>
                <w:color w:val="000000" w:themeColor="text1"/>
                <w:sz w:val="20"/>
                <w:szCs w:val="20"/>
                <w:lang w:eastAsia="en-PH"/>
              </w:rPr>
            </w:pPr>
            <w:r w:rsidRPr="00CC6E6F">
              <w:rPr>
                <w:rFonts w:ascii="Arial" w:eastAsia="Times New Roman" w:hAnsi="Arial" w:cs="Arial"/>
                <w:b/>
                <w:color w:val="000000" w:themeColor="text1"/>
                <w:sz w:val="20"/>
                <w:szCs w:val="20"/>
                <w:lang w:eastAsia="en-PH"/>
              </w:rPr>
              <w:t>Fair</w:t>
            </w:r>
          </w:p>
        </w:tc>
      </w:tr>
    </w:tbl>
    <w:p w14:paraId="388007ED" w14:textId="77777777" w:rsidR="00193FDB" w:rsidRPr="00CC6E6F" w:rsidRDefault="00193FDB" w:rsidP="006F4A31">
      <w:pPr>
        <w:spacing w:after="0" w:line="240" w:lineRule="auto"/>
        <w:rPr>
          <w:rFonts w:ascii="Arial" w:hAnsi="Arial" w:cs="Arial"/>
          <w:color w:val="000000" w:themeColor="text1"/>
        </w:rPr>
      </w:pPr>
    </w:p>
    <w:p w14:paraId="22BCF12E" w14:textId="77777777" w:rsidR="00193FDB" w:rsidRPr="00CC6E6F" w:rsidRDefault="009C705E" w:rsidP="008A0107">
      <w:pPr>
        <w:spacing w:after="0" w:line="240" w:lineRule="auto"/>
        <w:jc w:val="both"/>
        <w:rPr>
          <w:rFonts w:ascii="Arial" w:hAnsi="Arial" w:cs="Arial"/>
          <w:color w:val="000000" w:themeColor="text1"/>
        </w:rPr>
      </w:pPr>
      <w:r w:rsidRPr="00CC6E6F">
        <w:rPr>
          <w:rFonts w:ascii="Arial" w:hAnsi="Arial" w:cs="Arial"/>
          <w:color w:val="000000" w:themeColor="text1"/>
        </w:rPr>
        <w:tab/>
        <w:t>The table on the study habits of respondents in terms of writing skills reveals that students face notable challenges in this area, with an overall mean of 2.46, interpreted as "Fair." Several factors contribute to these difficulties. One major concern is losing points on essays and papers due to grammar, punctuation, or spelling errors, reflected by a mean score of 2.59. This suggests that students may lack proficiency in basic writing conventions, leading to avoidable mistakes that affect their performance.</w:t>
      </w:r>
    </w:p>
    <w:p w14:paraId="457D42A2" w14:textId="77777777" w:rsidR="008A0107" w:rsidRPr="00CC6E6F" w:rsidRDefault="008A0107" w:rsidP="008A0107">
      <w:pPr>
        <w:spacing w:after="0" w:line="240" w:lineRule="auto"/>
        <w:jc w:val="both"/>
        <w:rPr>
          <w:rFonts w:ascii="Arial" w:hAnsi="Arial" w:cs="Arial"/>
          <w:color w:val="000000" w:themeColor="text1"/>
        </w:rPr>
      </w:pPr>
    </w:p>
    <w:p w14:paraId="71722148" w14:textId="77777777" w:rsidR="00193FDB" w:rsidRPr="00CC6E6F" w:rsidRDefault="009C705E" w:rsidP="008A0107">
      <w:pPr>
        <w:pStyle w:val="BodyText"/>
        <w:spacing w:after="0" w:line="240" w:lineRule="auto"/>
        <w:ind w:firstLine="720"/>
        <w:jc w:val="both"/>
        <w:rPr>
          <w:rFonts w:ascii="Arial" w:hAnsi="Arial" w:cs="Arial"/>
          <w:color w:val="000000" w:themeColor="text1"/>
        </w:rPr>
      </w:pPr>
      <w:r w:rsidRPr="00CC6E6F">
        <w:rPr>
          <w:rFonts w:ascii="Arial" w:hAnsi="Arial" w:cs="Arial"/>
          <w:color w:val="000000" w:themeColor="text1"/>
        </w:rPr>
        <w:t>Another key issue is procrastination, as indicated by the mean score of 2.24 for writing papers the night before they are due. This habit likely results in rushed work, leaving little time for revision and improvement. Additionally, students report feeling overwhelmed when assigned papers, with a mean of 2.48, suggesting that the pressure to produce written work may lead to anxiety or mental blocks that delay the writing process.</w:t>
      </w:r>
    </w:p>
    <w:p w14:paraId="4273BE98" w14:textId="77777777" w:rsidR="008A0107" w:rsidRPr="00CC6E6F" w:rsidRDefault="008A0107" w:rsidP="008A0107">
      <w:pPr>
        <w:pStyle w:val="BodyText"/>
        <w:spacing w:after="0" w:line="240" w:lineRule="auto"/>
        <w:jc w:val="both"/>
        <w:rPr>
          <w:rFonts w:ascii="Arial" w:hAnsi="Arial" w:cs="Arial"/>
          <w:color w:val="000000" w:themeColor="text1"/>
        </w:rPr>
      </w:pPr>
    </w:p>
    <w:p w14:paraId="6D63955F" w14:textId="77777777" w:rsidR="00193FDB" w:rsidRPr="00CC6E6F" w:rsidRDefault="009C705E" w:rsidP="008A0107">
      <w:pPr>
        <w:pStyle w:val="BodyText"/>
        <w:spacing w:after="0" w:line="240" w:lineRule="auto"/>
        <w:ind w:firstLine="720"/>
        <w:jc w:val="both"/>
        <w:rPr>
          <w:rFonts w:ascii="Arial" w:hAnsi="Arial" w:cs="Arial"/>
          <w:color w:val="000000" w:themeColor="text1"/>
        </w:rPr>
      </w:pPr>
      <w:r w:rsidRPr="00CC6E6F">
        <w:rPr>
          <w:rFonts w:ascii="Arial" w:hAnsi="Arial" w:cs="Arial"/>
          <w:color w:val="000000" w:themeColor="text1"/>
        </w:rPr>
        <w:t>Organizing thoughts into coherent papers is also a challenge, as shown by a mean score of 2.51. This implies that students may struggle with structuring their ideas, possibly due to a lack of planning or familiarity with outlining techniques. Overall, the findings indicate that students would benefit from improving their writing process by adopting strategies such as drafting outlines, managing time more effectively, and practicing grammar and punctuation skills. Providing workshops on academic writing and offering personalized feedback could further support students in developing stronger writing habits.</w:t>
      </w:r>
    </w:p>
    <w:p w14:paraId="20665AA5" w14:textId="77777777" w:rsidR="00193FDB" w:rsidRPr="00CC6E6F" w:rsidRDefault="00193FDB" w:rsidP="006F4A31">
      <w:pPr>
        <w:spacing w:after="0" w:line="240" w:lineRule="auto"/>
        <w:jc w:val="both"/>
        <w:rPr>
          <w:rFonts w:ascii="Arial" w:hAnsi="Arial" w:cs="Arial"/>
          <w:color w:val="000000" w:themeColor="text1"/>
        </w:rPr>
      </w:pPr>
    </w:p>
    <w:p w14:paraId="11B02C9C" w14:textId="77777777" w:rsidR="00193FDB" w:rsidRPr="00CC6E6F" w:rsidRDefault="00193FDB" w:rsidP="006F4A31">
      <w:pPr>
        <w:spacing w:after="0" w:line="240" w:lineRule="auto"/>
        <w:rPr>
          <w:rFonts w:ascii="Arial" w:hAnsi="Arial" w:cs="Arial"/>
          <w:color w:val="000000" w:themeColor="text1"/>
        </w:rPr>
      </w:pPr>
    </w:p>
    <w:p w14:paraId="2EAC06C8"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Table 13. Study Habits of Respondents in Terms of Test Anxiety Management</w:t>
      </w:r>
    </w:p>
    <w:p w14:paraId="188D03A5" w14:textId="77777777" w:rsidR="00193FDB" w:rsidRPr="00CC6E6F" w:rsidRDefault="00193FDB" w:rsidP="006F4A31">
      <w:pPr>
        <w:spacing w:after="0" w:line="240" w:lineRule="auto"/>
        <w:rPr>
          <w:rFonts w:ascii="Arial" w:hAnsi="Arial" w:cs="Arial"/>
          <w:color w:val="000000" w:themeColor="text1"/>
        </w:rPr>
      </w:pPr>
    </w:p>
    <w:tbl>
      <w:tblPr>
        <w:tblW w:w="5000" w:type="pct"/>
        <w:tblInd w:w="108" w:type="dxa"/>
        <w:tblLayout w:type="fixed"/>
        <w:tblLook w:val="04A0" w:firstRow="1" w:lastRow="0" w:firstColumn="1" w:lastColumn="0" w:noHBand="0" w:noVBand="1"/>
      </w:tblPr>
      <w:tblGrid>
        <w:gridCol w:w="5662"/>
        <w:gridCol w:w="1551"/>
        <w:gridCol w:w="1813"/>
      </w:tblGrid>
      <w:tr w:rsidR="00CC6E6F" w:rsidRPr="00CC6E6F" w14:paraId="346B04C0" w14:textId="77777777">
        <w:trPr>
          <w:trHeight w:val="315"/>
        </w:trPr>
        <w:tc>
          <w:tcPr>
            <w:tcW w:w="5662" w:type="dxa"/>
            <w:tcBorders>
              <w:top w:val="single" w:sz="4" w:space="0" w:color="000000"/>
              <w:bottom w:val="single" w:sz="4" w:space="0" w:color="000000"/>
            </w:tcBorders>
            <w:shd w:val="clear" w:color="auto" w:fill="D9D9D9" w:themeFill="background1" w:themeFillShade="D9"/>
            <w:vAlign w:val="center"/>
          </w:tcPr>
          <w:p w14:paraId="74D19460" w14:textId="77777777" w:rsidR="00193FDB" w:rsidRPr="00CC6E6F" w:rsidRDefault="009C705E" w:rsidP="006F4A31">
            <w:pPr>
              <w:spacing w:after="0" w:line="240" w:lineRule="auto"/>
              <w:jc w:val="both"/>
              <w:rPr>
                <w:rFonts w:ascii="Arial" w:eastAsia="Times New Roman" w:hAnsi="Arial" w:cs="Arial"/>
                <w:b/>
                <w:bCs/>
                <w:color w:val="000000" w:themeColor="text1"/>
                <w:sz w:val="20"/>
                <w:szCs w:val="20"/>
                <w:lang w:eastAsia="en-PH"/>
              </w:rPr>
            </w:pPr>
            <w:r w:rsidRPr="00CC6E6F">
              <w:rPr>
                <w:rFonts w:ascii="Arial" w:eastAsia="Times New Roman" w:hAnsi="Arial" w:cs="Arial"/>
                <w:b/>
                <w:bCs/>
                <w:color w:val="000000" w:themeColor="text1"/>
                <w:sz w:val="20"/>
                <w:szCs w:val="20"/>
                <w:lang w:eastAsia="en-PH"/>
              </w:rPr>
              <w:t>TEST ANXIETY MANAGEMENT</w:t>
            </w:r>
          </w:p>
        </w:tc>
        <w:tc>
          <w:tcPr>
            <w:tcW w:w="1551" w:type="dxa"/>
            <w:tcBorders>
              <w:top w:val="single" w:sz="4" w:space="0" w:color="000000"/>
              <w:bottom w:val="single" w:sz="4" w:space="0" w:color="000000"/>
            </w:tcBorders>
            <w:shd w:val="clear" w:color="auto" w:fill="D9D9D9" w:themeFill="background1" w:themeFillShade="D9"/>
            <w:vAlign w:val="center"/>
          </w:tcPr>
          <w:p w14:paraId="27361300" w14:textId="77777777" w:rsidR="00193FDB" w:rsidRPr="00CC6E6F" w:rsidRDefault="009C705E" w:rsidP="006F4A31">
            <w:pPr>
              <w:spacing w:after="0" w:line="240" w:lineRule="auto"/>
              <w:jc w:val="center"/>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Mean</w:t>
            </w:r>
          </w:p>
        </w:tc>
        <w:tc>
          <w:tcPr>
            <w:tcW w:w="1813" w:type="dxa"/>
            <w:tcBorders>
              <w:top w:val="single" w:sz="4" w:space="0" w:color="000000"/>
              <w:bottom w:val="single" w:sz="4" w:space="0" w:color="000000"/>
            </w:tcBorders>
            <w:shd w:val="clear" w:color="auto" w:fill="D9D9D9" w:themeFill="background1" w:themeFillShade="D9"/>
            <w:vAlign w:val="center"/>
          </w:tcPr>
          <w:p w14:paraId="60839EAC" w14:textId="77777777" w:rsidR="00193FDB" w:rsidRPr="00CC6E6F" w:rsidRDefault="009C705E" w:rsidP="006F4A31">
            <w:pPr>
              <w:spacing w:after="0" w:line="240" w:lineRule="auto"/>
              <w:jc w:val="center"/>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Interpretation</w:t>
            </w:r>
          </w:p>
        </w:tc>
      </w:tr>
      <w:tr w:rsidR="00CC6E6F" w:rsidRPr="00CC6E6F" w14:paraId="2BEE32B6" w14:textId="77777777">
        <w:trPr>
          <w:trHeight w:val="630"/>
        </w:trPr>
        <w:tc>
          <w:tcPr>
            <w:tcW w:w="5662" w:type="dxa"/>
            <w:tcBorders>
              <w:top w:val="single" w:sz="4" w:space="0" w:color="000000"/>
            </w:tcBorders>
            <w:shd w:val="clear" w:color="auto" w:fill="auto"/>
            <w:vAlign w:val="center"/>
          </w:tcPr>
          <w:p w14:paraId="08A2128B"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worry so much about doing well on tests that it interferes with my studying.</w:t>
            </w:r>
          </w:p>
        </w:tc>
        <w:tc>
          <w:tcPr>
            <w:tcW w:w="1551" w:type="dxa"/>
            <w:tcBorders>
              <w:top w:val="single" w:sz="4" w:space="0" w:color="000000"/>
            </w:tcBorders>
            <w:shd w:val="clear" w:color="auto" w:fill="auto"/>
            <w:vAlign w:val="center"/>
          </w:tcPr>
          <w:p w14:paraId="4CAE1B56"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2.24</w:t>
            </w:r>
          </w:p>
        </w:tc>
        <w:tc>
          <w:tcPr>
            <w:tcW w:w="1813" w:type="dxa"/>
            <w:tcBorders>
              <w:top w:val="single" w:sz="4" w:space="0" w:color="000000"/>
            </w:tcBorders>
            <w:shd w:val="clear" w:color="auto" w:fill="auto"/>
            <w:vAlign w:val="center"/>
          </w:tcPr>
          <w:p w14:paraId="4E5B9EF6"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Fair</w:t>
            </w:r>
          </w:p>
        </w:tc>
      </w:tr>
      <w:tr w:rsidR="00CC6E6F" w:rsidRPr="00CC6E6F" w14:paraId="72EBECDE" w14:textId="77777777">
        <w:trPr>
          <w:trHeight w:val="630"/>
        </w:trPr>
        <w:tc>
          <w:tcPr>
            <w:tcW w:w="5662" w:type="dxa"/>
            <w:shd w:val="clear" w:color="auto" w:fill="auto"/>
            <w:vAlign w:val="center"/>
          </w:tcPr>
          <w:p w14:paraId="6C1C46CF"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have done poorly on a test because I was upset about the test when I took it.</w:t>
            </w:r>
          </w:p>
        </w:tc>
        <w:tc>
          <w:tcPr>
            <w:tcW w:w="1551" w:type="dxa"/>
            <w:shd w:val="clear" w:color="auto" w:fill="auto"/>
            <w:vAlign w:val="center"/>
          </w:tcPr>
          <w:p w14:paraId="13D5531C"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2.37</w:t>
            </w:r>
          </w:p>
        </w:tc>
        <w:tc>
          <w:tcPr>
            <w:tcW w:w="1813" w:type="dxa"/>
            <w:shd w:val="clear" w:color="auto" w:fill="auto"/>
            <w:vAlign w:val="center"/>
          </w:tcPr>
          <w:p w14:paraId="79E21FD3"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Fair</w:t>
            </w:r>
          </w:p>
        </w:tc>
      </w:tr>
      <w:tr w:rsidR="00CC6E6F" w:rsidRPr="00CC6E6F" w14:paraId="4EE18507" w14:textId="77777777">
        <w:trPr>
          <w:trHeight w:val="315"/>
        </w:trPr>
        <w:tc>
          <w:tcPr>
            <w:tcW w:w="5662" w:type="dxa"/>
            <w:shd w:val="clear" w:color="auto" w:fill="auto"/>
            <w:vAlign w:val="center"/>
          </w:tcPr>
          <w:p w14:paraId="5FEAED5E"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need to reduce my anxiety about taking tests.</w:t>
            </w:r>
          </w:p>
        </w:tc>
        <w:tc>
          <w:tcPr>
            <w:tcW w:w="1551" w:type="dxa"/>
            <w:shd w:val="clear" w:color="auto" w:fill="auto"/>
            <w:vAlign w:val="center"/>
          </w:tcPr>
          <w:p w14:paraId="52A11E91"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2.91</w:t>
            </w:r>
          </w:p>
        </w:tc>
        <w:tc>
          <w:tcPr>
            <w:tcW w:w="1813" w:type="dxa"/>
            <w:shd w:val="clear" w:color="auto" w:fill="auto"/>
            <w:vAlign w:val="center"/>
          </w:tcPr>
          <w:p w14:paraId="0A1E7E57"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Good</w:t>
            </w:r>
          </w:p>
        </w:tc>
      </w:tr>
      <w:tr w:rsidR="00CC6E6F" w:rsidRPr="00CC6E6F" w14:paraId="53A3A56F" w14:textId="77777777">
        <w:trPr>
          <w:trHeight w:val="315"/>
        </w:trPr>
        <w:tc>
          <w:tcPr>
            <w:tcW w:w="5662" w:type="dxa"/>
            <w:tcBorders>
              <w:bottom w:val="single" w:sz="4" w:space="0" w:color="000000"/>
            </w:tcBorders>
            <w:shd w:val="clear" w:color="auto" w:fill="auto"/>
            <w:vAlign w:val="center"/>
          </w:tcPr>
          <w:p w14:paraId="3CB94AF0"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get way too nervous when my professors announce a test date.</w:t>
            </w:r>
          </w:p>
        </w:tc>
        <w:tc>
          <w:tcPr>
            <w:tcW w:w="1551" w:type="dxa"/>
            <w:tcBorders>
              <w:bottom w:val="single" w:sz="4" w:space="0" w:color="000000"/>
            </w:tcBorders>
            <w:shd w:val="clear" w:color="auto" w:fill="auto"/>
            <w:vAlign w:val="center"/>
          </w:tcPr>
          <w:p w14:paraId="2B7CBA85"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2.48</w:t>
            </w:r>
          </w:p>
        </w:tc>
        <w:tc>
          <w:tcPr>
            <w:tcW w:w="1813" w:type="dxa"/>
            <w:tcBorders>
              <w:bottom w:val="single" w:sz="4" w:space="0" w:color="000000"/>
            </w:tcBorders>
            <w:shd w:val="clear" w:color="auto" w:fill="auto"/>
            <w:vAlign w:val="center"/>
          </w:tcPr>
          <w:p w14:paraId="6B0C5848"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Fair</w:t>
            </w:r>
          </w:p>
        </w:tc>
      </w:tr>
      <w:tr w:rsidR="00CC6E6F" w:rsidRPr="00CC6E6F" w14:paraId="6A8093A6" w14:textId="77777777">
        <w:trPr>
          <w:trHeight w:val="315"/>
        </w:trPr>
        <w:tc>
          <w:tcPr>
            <w:tcW w:w="5662" w:type="dxa"/>
            <w:tcBorders>
              <w:top w:val="single" w:sz="4" w:space="0" w:color="000000"/>
              <w:bottom w:val="single" w:sz="4" w:space="0" w:color="000000"/>
            </w:tcBorders>
            <w:shd w:val="clear" w:color="auto" w:fill="D9D9D9" w:themeFill="background1" w:themeFillShade="D9"/>
            <w:vAlign w:val="center"/>
          </w:tcPr>
          <w:p w14:paraId="480E8717"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 </w:t>
            </w:r>
          </w:p>
        </w:tc>
        <w:tc>
          <w:tcPr>
            <w:tcW w:w="1551" w:type="dxa"/>
            <w:tcBorders>
              <w:top w:val="single" w:sz="4" w:space="0" w:color="000000"/>
              <w:bottom w:val="single" w:sz="4" w:space="0" w:color="000000"/>
            </w:tcBorders>
            <w:shd w:val="clear" w:color="auto" w:fill="D9D9D9" w:themeFill="background1" w:themeFillShade="D9"/>
            <w:vAlign w:val="center"/>
          </w:tcPr>
          <w:p w14:paraId="7061492E" w14:textId="77777777" w:rsidR="00193FDB" w:rsidRPr="00CC6E6F" w:rsidRDefault="009C705E" w:rsidP="006F4A31">
            <w:pPr>
              <w:spacing w:after="0" w:line="240" w:lineRule="auto"/>
              <w:jc w:val="center"/>
              <w:rPr>
                <w:rFonts w:ascii="Arial" w:hAnsi="Arial" w:cs="Arial"/>
                <w:b/>
                <w:bCs/>
                <w:color w:val="000000" w:themeColor="text1"/>
                <w:sz w:val="20"/>
                <w:szCs w:val="20"/>
              </w:rPr>
            </w:pPr>
            <w:r w:rsidRPr="00CC6E6F">
              <w:rPr>
                <w:rFonts w:ascii="Arial" w:hAnsi="Arial" w:cs="Arial"/>
                <w:b/>
                <w:bCs/>
                <w:color w:val="000000" w:themeColor="text1"/>
                <w:sz w:val="20"/>
                <w:szCs w:val="20"/>
              </w:rPr>
              <w:t>2.50</w:t>
            </w:r>
          </w:p>
        </w:tc>
        <w:tc>
          <w:tcPr>
            <w:tcW w:w="1813" w:type="dxa"/>
            <w:tcBorders>
              <w:top w:val="single" w:sz="4" w:space="0" w:color="000000"/>
              <w:bottom w:val="single" w:sz="4" w:space="0" w:color="000000"/>
            </w:tcBorders>
            <w:shd w:val="clear" w:color="auto" w:fill="D9D9D9" w:themeFill="background1" w:themeFillShade="D9"/>
            <w:vAlign w:val="center"/>
          </w:tcPr>
          <w:p w14:paraId="5F416305" w14:textId="77777777" w:rsidR="00193FDB" w:rsidRPr="00CC6E6F" w:rsidRDefault="009C705E" w:rsidP="006F4A31">
            <w:pPr>
              <w:spacing w:after="0" w:line="240" w:lineRule="auto"/>
              <w:jc w:val="center"/>
              <w:rPr>
                <w:rFonts w:ascii="Arial" w:eastAsia="Times New Roman" w:hAnsi="Arial" w:cs="Arial"/>
                <w:b/>
                <w:bCs/>
                <w:color w:val="000000" w:themeColor="text1"/>
                <w:sz w:val="20"/>
                <w:szCs w:val="20"/>
                <w:lang w:eastAsia="en-PH"/>
              </w:rPr>
            </w:pPr>
            <w:r w:rsidRPr="00CC6E6F">
              <w:rPr>
                <w:rFonts w:ascii="Arial" w:eastAsia="Times New Roman" w:hAnsi="Arial" w:cs="Arial"/>
                <w:b/>
                <w:bCs/>
                <w:color w:val="000000" w:themeColor="text1"/>
                <w:sz w:val="20"/>
                <w:szCs w:val="20"/>
                <w:lang w:eastAsia="en-PH"/>
              </w:rPr>
              <w:t>Fair</w:t>
            </w:r>
          </w:p>
        </w:tc>
      </w:tr>
    </w:tbl>
    <w:p w14:paraId="61AD4987" w14:textId="77777777" w:rsidR="00193FDB" w:rsidRPr="00CC6E6F" w:rsidRDefault="00193FDB" w:rsidP="006F4A31">
      <w:pPr>
        <w:spacing w:after="0" w:line="240" w:lineRule="auto"/>
        <w:rPr>
          <w:rFonts w:ascii="Arial" w:hAnsi="Arial" w:cs="Arial"/>
          <w:color w:val="000000" w:themeColor="text1"/>
        </w:rPr>
      </w:pPr>
    </w:p>
    <w:p w14:paraId="4FEAB468" w14:textId="77777777" w:rsidR="00193FDB" w:rsidRPr="00CC6E6F" w:rsidRDefault="009C705E" w:rsidP="008A0107">
      <w:pPr>
        <w:spacing w:after="0" w:line="240" w:lineRule="auto"/>
        <w:jc w:val="both"/>
        <w:rPr>
          <w:rFonts w:ascii="Arial" w:hAnsi="Arial" w:cs="Arial"/>
          <w:color w:val="000000" w:themeColor="text1"/>
        </w:rPr>
      </w:pPr>
      <w:r w:rsidRPr="00CC6E6F">
        <w:rPr>
          <w:rFonts w:ascii="Arial" w:hAnsi="Arial" w:cs="Arial"/>
          <w:color w:val="000000" w:themeColor="text1"/>
        </w:rPr>
        <w:tab/>
        <w:t>The table on the study habits of respondents in terms of test anxiety management highlights that students experience notable anxiety when it comes to test-taking, with an overall mean of 2.50, interpreted as "Fair." Several factors contribute to this finding. One significant issue is that students worry so much about performing well on tests that it interferes with their ability to study effectively, as reflected by a mean score of 2.24. This suggests that anxiety may cloud their focus during the preparation phase, preventing them from fully absorbing the material.</w:t>
      </w:r>
    </w:p>
    <w:p w14:paraId="7A17D6FD" w14:textId="77777777" w:rsidR="008A0107" w:rsidRPr="00CC6E6F" w:rsidRDefault="008A0107" w:rsidP="008A0107">
      <w:pPr>
        <w:spacing w:after="0" w:line="240" w:lineRule="auto"/>
        <w:jc w:val="both"/>
        <w:rPr>
          <w:rFonts w:ascii="Arial" w:hAnsi="Arial" w:cs="Arial"/>
          <w:color w:val="000000" w:themeColor="text1"/>
        </w:rPr>
      </w:pPr>
    </w:p>
    <w:p w14:paraId="7F9FA69C" w14:textId="77777777" w:rsidR="00193FDB" w:rsidRPr="00CC6E6F" w:rsidRDefault="009C705E" w:rsidP="008A0107">
      <w:pPr>
        <w:pStyle w:val="BodyText"/>
        <w:spacing w:after="0" w:line="240" w:lineRule="auto"/>
        <w:ind w:firstLine="720"/>
        <w:jc w:val="both"/>
        <w:rPr>
          <w:rFonts w:ascii="Arial" w:hAnsi="Arial" w:cs="Arial"/>
          <w:color w:val="000000" w:themeColor="text1"/>
        </w:rPr>
      </w:pPr>
      <w:r w:rsidRPr="00CC6E6F">
        <w:rPr>
          <w:rFonts w:ascii="Arial" w:hAnsi="Arial" w:cs="Arial"/>
          <w:color w:val="000000" w:themeColor="text1"/>
        </w:rPr>
        <w:t>Additionally, students report having performed poorly on tests because they were upset during the exam, with a mean of 2.37. This indicates that heightened emotions during test-taking may negatively impact their performance. Another area of concern is the nervousness students feel when professors announce test dates, scoring 2.48. This anticipatory anxiety could contribute to feelings of pressure and hinder their ability to prepare calmly and systematically.</w:t>
      </w:r>
    </w:p>
    <w:p w14:paraId="2AC7B4DF" w14:textId="77777777" w:rsidR="008A0107" w:rsidRPr="00CC6E6F" w:rsidRDefault="008A0107" w:rsidP="008A0107">
      <w:pPr>
        <w:pStyle w:val="BodyText"/>
        <w:spacing w:after="0" w:line="240" w:lineRule="auto"/>
        <w:jc w:val="both"/>
        <w:rPr>
          <w:rFonts w:ascii="Arial" w:hAnsi="Arial" w:cs="Arial"/>
          <w:color w:val="000000" w:themeColor="text1"/>
        </w:rPr>
      </w:pPr>
    </w:p>
    <w:p w14:paraId="4A728EC6" w14:textId="77777777" w:rsidR="00193FDB" w:rsidRPr="00CC6E6F" w:rsidRDefault="009C705E" w:rsidP="008A0107">
      <w:pPr>
        <w:pStyle w:val="BodyText"/>
        <w:spacing w:after="0" w:line="240" w:lineRule="auto"/>
        <w:ind w:firstLine="720"/>
        <w:jc w:val="both"/>
        <w:rPr>
          <w:rFonts w:ascii="Arial" w:hAnsi="Arial" w:cs="Arial"/>
          <w:color w:val="000000" w:themeColor="text1"/>
        </w:rPr>
      </w:pPr>
      <w:r w:rsidRPr="00CC6E6F">
        <w:rPr>
          <w:rFonts w:ascii="Arial" w:hAnsi="Arial" w:cs="Arial"/>
          <w:color w:val="000000" w:themeColor="text1"/>
        </w:rPr>
        <w:t>On a positive note, the highest-rated item is the recognition of the need to reduce test anxiety, with a mean score of 2.91, interpreted as "Good." This shows that students are aware of their struggles with test-related stress and are open to finding ways to manage it. Overall, the results suggest that students would benefit from adopting techniques to handle test anxiety more effectively, such as relaxation exercises, time management strategies, and positive self-talk. Providing workshops focused on stress management and offering guidance on test preparation techniques could also help reduce anxiety levels and improve academic performance.</w:t>
      </w:r>
    </w:p>
    <w:p w14:paraId="27DC31E0" w14:textId="77777777" w:rsidR="00193FDB" w:rsidRPr="00CC6E6F" w:rsidRDefault="00193FDB" w:rsidP="006F4A31">
      <w:pPr>
        <w:spacing w:after="0" w:line="240" w:lineRule="auto"/>
        <w:jc w:val="both"/>
        <w:rPr>
          <w:rFonts w:ascii="Arial" w:hAnsi="Arial" w:cs="Arial"/>
          <w:color w:val="000000" w:themeColor="text1"/>
        </w:rPr>
      </w:pPr>
    </w:p>
    <w:p w14:paraId="45722016" w14:textId="77777777" w:rsidR="00193FDB" w:rsidRPr="00CC6E6F" w:rsidRDefault="00193FDB" w:rsidP="006F4A31">
      <w:pPr>
        <w:spacing w:after="0" w:line="240" w:lineRule="auto"/>
        <w:jc w:val="center"/>
        <w:rPr>
          <w:rFonts w:ascii="Arial" w:hAnsi="Arial" w:cs="Arial"/>
          <w:color w:val="000000" w:themeColor="text1"/>
        </w:rPr>
      </w:pPr>
    </w:p>
    <w:p w14:paraId="4645D14C"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 xml:space="preserve">Test 14. Test of Relationship between the Profile and the </w:t>
      </w:r>
    </w:p>
    <w:p w14:paraId="7F7B1A43"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Level of Study Habits of the Respondents</w:t>
      </w:r>
    </w:p>
    <w:p w14:paraId="30AB6B63" w14:textId="77777777" w:rsidR="00193FDB" w:rsidRPr="00CC6E6F" w:rsidRDefault="00193FDB" w:rsidP="006F4A31">
      <w:pPr>
        <w:spacing w:after="0" w:line="240" w:lineRule="auto"/>
        <w:jc w:val="center"/>
        <w:rPr>
          <w:rFonts w:ascii="Arial" w:hAnsi="Arial" w:cs="Arial"/>
          <w:color w:val="000000" w:themeColor="text1"/>
        </w:rPr>
      </w:pPr>
    </w:p>
    <w:tbl>
      <w:tblPr>
        <w:tblStyle w:val="TableGrid"/>
        <w:tblW w:w="9267" w:type="dxa"/>
        <w:tblInd w:w="108" w:type="dxa"/>
        <w:tblLayout w:type="fixed"/>
        <w:tblLook w:val="04A0" w:firstRow="1" w:lastRow="0" w:firstColumn="1" w:lastColumn="0" w:noHBand="0" w:noVBand="1"/>
      </w:tblPr>
      <w:tblGrid>
        <w:gridCol w:w="3527"/>
        <w:gridCol w:w="2651"/>
        <w:gridCol w:w="3089"/>
      </w:tblGrid>
      <w:tr w:rsidR="00CC6E6F" w:rsidRPr="00CC6E6F" w14:paraId="5308E215" w14:textId="77777777">
        <w:trPr>
          <w:trHeight w:val="323"/>
        </w:trPr>
        <w:tc>
          <w:tcPr>
            <w:tcW w:w="3527" w:type="dxa"/>
            <w:tcBorders>
              <w:left w:val="nil"/>
              <w:right w:val="nil"/>
            </w:tcBorders>
            <w:shd w:val="clear" w:color="auto" w:fill="D9D9D9" w:themeFill="background1" w:themeFillShade="D9"/>
            <w:vAlign w:val="center"/>
          </w:tcPr>
          <w:p w14:paraId="3B436FEF" w14:textId="77777777" w:rsidR="00193FDB" w:rsidRPr="00CC6E6F" w:rsidRDefault="009C705E" w:rsidP="006F4A31">
            <w:pPr>
              <w:spacing w:after="0" w:line="240" w:lineRule="auto"/>
              <w:rPr>
                <w:rFonts w:ascii="Arial" w:hAnsi="Arial" w:cs="Arial"/>
                <w:color w:val="000000" w:themeColor="text1"/>
                <w:sz w:val="20"/>
                <w:szCs w:val="20"/>
              </w:rPr>
            </w:pPr>
            <w:r w:rsidRPr="00CC6E6F">
              <w:rPr>
                <w:rFonts w:ascii="Arial" w:eastAsia="Calibri" w:hAnsi="Arial" w:cs="Arial"/>
                <w:color w:val="000000" w:themeColor="text1"/>
                <w:sz w:val="20"/>
                <w:szCs w:val="20"/>
              </w:rPr>
              <w:t>Independent Variables:</w:t>
            </w:r>
          </w:p>
        </w:tc>
        <w:tc>
          <w:tcPr>
            <w:tcW w:w="2651" w:type="dxa"/>
            <w:tcBorders>
              <w:left w:val="nil"/>
              <w:right w:val="nil"/>
            </w:tcBorders>
            <w:shd w:val="clear" w:color="auto" w:fill="D9D9D9" w:themeFill="background1" w:themeFillShade="D9"/>
            <w:vAlign w:val="center"/>
          </w:tcPr>
          <w:p w14:paraId="2529FBCB"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eastAsia="Calibri" w:hAnsi="Arial" w:cs="Arial"/>
                <w:color w:val="000000" w:themeColor="text1"/>
                <w:sz w:val="20"/>
                <w:szCs w:val="20"/>
              </w:rPr>
              <w:t>Level of Significance</w:t>
            </w:r>
          </w:p>
        </w:tc>
        <w:tc>
          <w:tcPr>
            <w:tcW w:w="3089" w:type="dxa"/>
            <w:tcBorders>
              <w:left w:val="nil"/>
              <w:right w:val="nil"/>
            </w:tcBorders>
            <w:shd w:val="clear" w:color="auto" w:fill="D9D9D9" w:themeFill="background1" w:themeFillShade="D9"/>
            <w:vAlign w:val="center"/>
          </w:tcPr>
          <w:p w14:paraId="56AD57A9"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eastAsia="Calibri" w:hAnsi="Arial" w:cs="Arial"/>
                <w:color w:val="000000" w:themeColor="text1"/>
                <w:sz w:val="20"/>
                <w:szCs w:val="20"/>
              </w:rPr>
              <w:t>Interpretation</w:t>
            </w:r>
          </w:p>
        </w:tc>
      </w:tr>
      <w:tr w:rsidR="00CC6E6F" w:rsidRPr="00CC6E6F" w14:paraId="275229FD" w14:textId="77777777">
        <w:trPr>
          <w:trHeight w:val="242"/>
        </w:trPr>
        <w:tc>
          <w:tcPr>
            <w:tcW w:w="3527" w:type="dxa"/>
            <w:tcBorders>
              <w:left w:val="nil"/>
              <w:bottom w:val="nil"/>
              <w:right w:val="nil"/>
            </w:tcBorders>
            <w:vAlign w:val="center"/>
          </w:tcPr>
          <w:p w14:paraId="16D62ADB" w14:textId="77777777" w:rsidR="00193FDB" w:rsidRPr="00CC6E6F" w:rsidRDefault="009C705E" w:rsidP="006F4A31">
            <w:pPr>
              <w:spacing w:after="0" w:line="240" w:lineRule="auto"/>
              <w:rPr>
                <w:rFonts w:ascii="Arial" w:hAnsi="Arial" w:cs="Arial"/>
                <w:color w:val="000000" w:themeColor="text1"/>
                <w:sz w:val="20"/>
              </w:rPr>
            </w:pPr>
            <w:r w:rsidRPr="00CC6E6F">
              <w:rPr>
                <w:rFonts w:ascii="Arial" w:eastAsia="Calibri" w:hAnsi="Arial" w:cs="Arial"/>
                <w:color w:val="000000" w:themeColor="text1"/>
                <w:sz w:val="20"/>
              </w:rPr>
              <w:t>Sex</w:t>
            </w:r>
          </w:p>
        </w:tc>
        <w:tc>
          <w:tcPr>
            <w:tcW w:w="2651" w:type="dxa"/>
            <w:tcBorders>
              <w:left w:val="nil"/>
              <w:bottom w:val="nil"/>
              <w:right w:val="nil"/>
            </w:tcBorders>
            <w:vAlign w:val="center"/>
          </w:tcPr>
          <w:p w14:paraId="3136C443" w14:textId="77777777" w:rsidR="00193FDB" w:rsidRPr="00CC6E6F" w:rsidRDefault="009C705E" w:rsidP="006F4A31">
            <w:pPr>
              <w:spacing w:after="0" w:line="240" w:lineRule="auto"/>
              <w:jc w:val="center"/>
              <w:rPr>
                <w:rFonts w:ascii="Arial" w:hAnsi="Arial" w:cs="Arial"/>
                <w:color w:val="000000" w:themeColor="text1"/>
                <w:sz w:val="20"/>
                <w:szCs w:val="18"/>
              </w:rPr>
            </w:pPr>
            <w:r w:rsidRPr="00CC6E6F">
              <w:rPr>
                <w:rFonts w:ascii="Arial" w:eastAsia="Calibri" w:hAnsi="Arial" w:cs="Arial"/>
                <w:color w:val="000000" w:themeColor="text1"/>
                <w:sz w:val="20"/>
                <w:szCs w:val="18"/>
              </w:rPr>
              <w:t>.301</w:t>
            </w:r>
          </w:p>
        </w:tc>
        <w:tc>
          <w:tcPr>
            <w:tcW w:w="3089" w:type="dxa"/>
            <w:tcBorders>
              <w:left w:val="nil"/>
              <w:bottom w:val="nil"/>
              <w:right w:val="nil"/>
            </w:tcBorders>
            <w:vAlign w:val="center"/>
          </w:tcPr>
          <w:p w14:paraId="1D141ABB"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eastAsia="Calibri" w:hAnsi="Arial" w:cs="Arial"/>
                <w:color w:val="000000" w:themeColor="text1"/>
                <w:sz w:val="20"/>
              </w:rPr>
              <w:t>Not Significant</w:t>
            </w:r>
          </w:p>
        </w:tc>
      </w:tr>
      <w:tr w:rsidR="00CC6E6F" w:rsidRPr="00CC6E6F" w14:paraId="45910269" w14:textId="77777777">
        <w:trPr>
          <w:trHeight w:val="342"/>
        </w:trPr>
        <w:tc>
          <w:tcPr>
            <w:tcW w:w="3527" w:type="dxa"/>
            <w:tcBorders>
              <w:top w:val="nil"/>
              <w:left w:val="nil"/>
              <w:bottom w:val="nil"/>
              <w:right w:val="nil"/>
            </w:tcBorders>
            <w:vAlign w:val="center"/>
          </w:tcPr>
          <w:p w14:paraId="16218F47" w14:textId="77777777" w:rsidR="00193FDB" w:rsidRPr="00CC6E6F" w:rsidRDefault="009C705E" w:rsidP="006F4A31">
            <w:pPr>
              <w:spacing w:after="0" w:line="240" w:lineRule="auto"/>
              <w:rPr>
                <w:rFonts w:ascii="Arial" w:hAnsi="Arial" w:cs="Arial"/>
                <w:color w:val="000000" w:themeColor="text1"/>
                <w:sz w:val="20"/>
              </w:rPr>
            </w:pPr>
            <w:r w:rsidRPr="00CC6E6F">
              <w:rPr>
                <w:rFonts w:ascii="Arial" w:eastAsia="Calibri" w:hAnsi="Arial" w:cs="Arial"/>
                <w:color w:val="000000" w:themeColor="text1"/>
                <w:sz w:val="20"/>
              </w:rPr>
              <w:lastRenderedPageBreak/>
              <w:t>Type of Scholar</w:t>
            </w:r>
          </w:p>
        </w:tc>
        <w:tc>
          <w:tcPr>
            <w:tcW w:w="2651" w:type="dxa"/>
            <w:tcBorders>
              <w:top w:val="nil"/>
              <w:left w:val="nil"/>
              <w:bottom w:val="nil"/>
              <w:right w:val="nil"/>
            </w:tcBorders>
            <w:vAlign w:val="center"/>
          </w:tcPr>
          <w:p w14:paraId="20824B65" w14:textId="77777777" w:rsidR="00193FDB" w:rsidRPr="00CC6E6F" w:rsidRDefault="009C705E" w:rsidP="006F4A31">
            <w:pPr>
              <w:spacing w:after="0" w:line="240" w:lineRule="auto"/>
              <w:jc w:val="center"/>
              <w:rPr>
                <w:rFonts w:ascii="Arial" w:hAnsi="Arial" w:cs="Arial"/>
                <w:color w:val="000000" w:themeColor="text1"/>
                <w:sz w:val="20"/>
                <w:szCs w:val="18"/>
              </w:rPr>
            </w:pPr>
            <w:r w:rsidRPr="00CC6E6F">
              <w:rPr>
                <w:rFonts w:ascii="Arial" w:eastAsia="Calibri" w:hAnsi="Arial" w:cs="Arial"/>
                <w:color w:val="000000" w:themeColor="text1"/>
                <w:sz w:val="20"/>
                <w:szCs w:val="18"/>
              </w:rPr>
              <w:t>.450</w:t>
            </w:r>
          </w:p>
        </w:tc>
        <w:tc>
          <w:tcPr>
            <w:tcW w:w="3089" w:type="dxa"/>
            <w:tcBorders>
              <w:top w:val="nil"/>
              <w:left w:val="nil"/>
              <w:bottom w:val="nil"/>
              <w:right w:val="nil"/>
            </w:tcBorders>
            <w:vAlign w:val="center"/>
          </w:tcPr>
          <w:p w14:paraId="419328CC"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eastAsia="Calibri" w:hAnsi="Arial" w:cs="Arial"/>
                <w:color w:val="000000" w:themeColor="text1"/>
                <w:sz w:val="20"/>
              </w:rPr>
              <w:t>Not Significant</w:t>
            </w:r>
          </w:p>
        </w:tc>
      </w:tr>
      <w:tr w:rsidR="00CC6E6F" w:rsidRPr="00CC6E6F" w14:paraId="7CF49B4C" w14:textId="77777777">
        <w:trPr>
          <w:trHeight w:val="315"/>
        </w:trPr>
        <w:tc>
          <w:tcPr>
            <w:tcW w:w="3527" w:type="dxa"/>
            <w:tcBorders>
              <w:top w:val="nil"/>
              <w:left w:val="nil"/>
              <w:bottom w:val="nil"/>
              <w:right w:val="nil"/>
            </w:tcBorders>
            <w:vAlign w:val="center"/>
          </w:tcPr>
          <w:p w14:paraId="671649FD" w14:textId="77777777" w:rsidR="00193FDB" w:rsidRPr="00CC6E6F" w:rsidRDefault="009C705E" w:rsidP="006F4A31">
            <w:pPr>
              <w:spacing w:after="0" w:line="240" w:lineRule="auto"/>
              <w:rPr>
                <w:rFonts w:ascii="Arial" w:hAnsi="Arial" w:cs="Arial"/>
                <w:color w:val="000000" w:themeColor="text1"/>
                <w:sz w:val="20"/>
              </w:rPr>
            </w:pPr>
            <w:r w:rsidRPr="00CC6E6F">
              <w:rPr>
                <w:rFonts w:ascii="Arial" w:eastAsia="Calibri" w:hAnsi="Arial" w:cs="Arial"/>
                <w:color w:val="000000" w:themeColor="text1"/>
                <w:sz w:val="20"/>
              </w:rPr>
              <w:t>College Enrolled in</w:t>
            </w:r>
          </w:p>
        </w:tc>
        <w:tc>
          <w:tcPr>
            <w:tcW w:w="2651" w:type="dxa"/>
            <w:tcBorders>
              <w:top w:val="nil"/>
              <w:left w:val="nil"/>
              <w:bottom w:val="nil"/>
              <w:right w:val="nil"/>
            </w:tcBorders>
            <w:vAlign w:val="center"/>
          </w:tcPr>
          <w:p w14:paraId="5D215290" w14:textId="77777777" w:rsidR="00193FDB" w:rsidRPr="00CC6E6F" w:rsidRDefault="009C705E" w:rsidP="006F4A31">
            <w:pPr>
              <w:spacing w:after="0" w:line="240" w:lineRule="auto"/>
              <w:jc w:val="center"/>
              <w:rPr>
                <w:rFonts w:ascii="Arial" w:hAnsi="Arial" w:cs="Arial"/>
                <w:color w:val="000000" w:themeColor="text1"/>
                <w:sz w:val="20"/>
                <w:szCs w:val="18"/>
              </w:rPr>
            </w:pPr>
            <w:r w:rsidRPr="00CC6E6F">
              <w:rPr>
                <w:rFonts w:ascii="Arial" w:eastAsia="Calibri" w:hAnsi="Arial" w:cs="Arial"/>
                <w:color w:val="000000" w:themeColor="text1"/>
                <w:sz w:val="20"/>
                <w:szCs w:val="18"/>
              </w:rPr>
              <w:t>.007</w:t>
            </w:r>
          </w:p>
        </w:tc>
        <w:tc>
          <w:tcPr>
            <w:tcW w:w="3089" w:type="dxa"/>
            <w:tcBorders>
              <w:top w:val="nil"/>
              <w:left w:val="nil"/>
              <w:bottom w:val="nil"/>
              <w:right w:val="nil"/>
            </w:tcBorders>
            <w:vAlign w:val="center"/>
          </w:tcPr>
          <w:p w14:paraId="62694E7A"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eastAsia="Calibri" w:hAnsi="Arial" w:cs="Arial"/>
                <w:color w:val="000000" w:themeColor="text1"/>
                <w:sz w:val="20"/>
              </w:rPr>
              <w:t>Significant</w:t>
            </w:r>
          </w:p>
        </w:tc>
      </w:tr>
      <w:tr w:rsidR="00CC6E6F" w:rsidRPr="00CC6E6F" w14:paraId="04D3E120" w14:textId="77777777">
        <w:trPr>
          <w:trHeight w:val="256"/>
        </w:trPr>
        <w:tc>
          <w:tcPr>
            <w:tcW w:w="3527" w:type="dxa"/>
            <w:tcBorders>
              <w:top w:val="nil"/>
              <w:left w:val="nil"/>
              <w:bottom w:val="nil"/>
              <w:right w:val="nil"/>
            </w:tcBorders>
            <w:vAlign w:val="center"/>
          </w:tcPr>
          <w:p w14:paraId="4EF6B1E9" w14:textId="77777777" w:rsidR="00193FDB" w:rsidRPr="00CC6E6F" w:rsidRDefault="009C705E" w:rsidP="006F4A31">
            <w:pPr>
              <w:spacing w:after="0" w:line="240" w:lineRule="auto"/>
              <w:rPr>
                <w:rFonts w:ascii="Arial" w:hAnsi="Arial" w:cs="Arial"/>
                <w:color w:val="000000" w:themeColor="text1"/>
                <w:sz w:val="20"/>
              </w:rPr>
            </w:pPr>
            <w:r w:rsidRPr="00CC6E6F">
              <w:rPr>
                <w:rFonts w:ascii="Arial" w:eastAsia="Calibri" w:hAnsi="Arial" w:cs="Arial"/>
                <w:color w:val="000000" w:themeColor="text1"/>
                <w:sz w:val="20"/>
              </w:rPr>
              <w:t>Monthly Family Income</w:t>
            </w:r>
          </w:p>
        </w:tc>
        <w:tc>
          <w:tcPr>
            <w:tcW w:w="2651" w:type="dxa"/>
            <w:tcBorders>
              <w:top w:val="nil"/>
              <w:left w:val="nil"/>
              <w:bottom w:val="nil"/>
              <w:right w:val="nil"/>
            </w:tcBorders>
            <w:vAlign w:val="center"/>
          </w:tcPr>
          <w:p w14:paraId="691428DC" w14:textId="77777777" w:rsidR="00193FDB" w:rsidRPr="00CC6E6F" w:rsidRDefault="009C705E" w:rsidP="006F4A31">
            <w:pPr>
              <w:spacing w:after="0" w:line="240" w:lineRule="auto"/>
              <w:jc w:val="center"/>
              <w:rPr>
                <w:rFonts w:ascii="Arial" w:hAnsi="Arial" w:cs="Arial"/>
                <w:color w:val="000000" w:themeColor="text1"/>
                <w:sz w:val="20"/>
                <w:szCs w:val="18"/>
              </w:rPr>
            </w:pPr>
            <w:r w:rsidRPr="00CC6E6F">
              <w:rPr>
                <w:rFonts w:ascii="Arial" w:eastAsia="Calibri" w:hAnsi="Arial" w:cs="Arial"/>
                <w:color w:val="000000" w:themeColor="text1"/>
                <w:sz w:val="20"/>
                <w:szCs w:val="18"/>
              </w:rPr>
              <w:t>.223</w:t>
            </w:r>
          </w:p>
        </w:tc>
        <w:tc>
          <w:tcPr>
            <w:tcW w:w="3089" w:type="dxa"/>
            <w:tcBorders>
              <w:top w:val="nil"/>
              <w:left w:val="nil"/>
              <w:bottom w:val="nil"/>
              <w:right w:val="nil"/>
            </w:tcBorders>
            <w:vAlign w:val="center"/>
          </w:tcPr>
          <w:p w14:paraId="45706B5E"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eastAsia="Calibri" w:hAnsi="Arial" w:cs="Arial"/>
                <w:color w:val="000000" w:themeColor="text1"/>
                <w:sz w:val="20"/>
              </w:rPr>
              <w:t>Not Significant</w:t>
            </w:r>
          </w:p>
        </w:tc>
      </w:tr>
      <w:tr w:rsidR="00CC6E6F" w:rsidRPr="00CC6E6F" w14:paraId="23B3AD8C" w14:textId="77777777">
        <w:trPr>
          <w:trHeight w:val="387"/>
        </w:trPr>
        <w:tc>
          <w:tcPr>
            <w:tcW w:w="3527" w:type="dxa"/>
            <w:tcBorders>
              <w:top w:val="nil"/>
              <w:left w:val="nil"/>
              <w:bottom w:val="nil"/>
              <w:right w:val="nil"/>
            </w:tcBorders>
            <w:vAlign w:val="center"/>
          </w:tcPr>
          <w:p w14:paraId="4F703249" w14:textId="77777777" w:rsidR="00193FDB" w:rsidRPr="00CC6E6F" w:rsidRDefault="009C705E" w:rsidP="006F4A31">
            <w:pPr>
              <w:spacing w:after="0" w:line="240" w:lineRule="auto"/>
              <w:rPr>
                <w:rFonts w:ascii="Arial" w:hAnsi="Arial" w:cs="Arial"/>
                <w:color w:val="000000" w:themeColor="text1"/>
                <w:sz w:val="20"/>
              </w:rPr>
            </w:pPr>
            <w:r w:rsidRPr="00CC6E6F">
              <w:rPr>
                <w:rFonts w:ascii="Arial" w:eastAsia="Calibri" w:hAnsi="Arial" w:cs="Arial"/>
                <w:color w:val="000000" w:themeColor="text1"/>
                <w:sz w:val="20"/>
              </w:rPr>
              <w:t>Educational Attainment of Father</w:t>
            </w:r>
          </w:p>
        </w:tc>
        <w:tc>
          <w:tcPr>
            <w:tcW w:w="2651" w:type="dxa"/>
            <w:tcBorders>
              <w:top w:val="nil"/>
              <w:left w:val="nil"/>
              <w:bottom w:val="nil"/>
              <w:right w:val="nil"/>
            </w:tcBorders>
            <w:vAlign w:val="center"/>
          </w:tcPr>
          <w:p w14:paraId="1E45F410" w14:textId="77777777" w:rsidR="00193FDB" w:rsidRPr="00CC6E6F" w:rsidRDefault="009C705E" w:rsidP="006F4A31">
            <w:pPr>
              <w:spacing w:after="0" w:line="240" w:lineRule="auto"/>
              <w:jc w:val="center"/>
              <w:rPr>
                <w:rFonts w:ascii="Arial" w:hAnsi="Arial" w:cs="Arial"/>
                <w:color w:val="000000" w:themeColor="text1"/>
                <w:sz w:val="20"/>
                <w:szCs w:val="18"/>
              </w:rPr>
            </w:pPr>
            <w:r w:rsidRPr="00CC6E6F">
              <w:rPr>
                <w:rFonts w:ascii="Arial" w:eastAsia="Calibri" w:hAnsi="Arial" w:cs="Arial"/>
                <w:color w:val="000000" w:themeColor="text1"/>
                <w:sz w:val="20"/>
                <w:szCs w:val="18"/>
              </w:rPr>
              <w:t>.003</w:t>
            </w:r>
          </w:p>
        </w:tc>
        <w:tc>
          <w:tcPr>
            <w:tcW w:w="3089" w:type="dxa"/>
            <w:tcBorders>
              <w:top w:val="nil"/>
              <w:left w:val="nil"/>
              <w:bottom w:val="nil"/>
              <w:right w:val="nil"/>
            </w:tcBorders>
            <w:vAlign w:val="center"/>
          </w:tcPr>
          <w:p w14:paraId="7CB0BF9C"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eastAsia="Calibri" w:hAnsi="Arial" w:cs="Arial"/>
                <w:color w:val="000000" w:themeColor="text1"/>
                <w:sz w:val="20"/>
              </w:rPr>
              <w:t>Significant</w:t>
            </w:r>
          </w:p>
        </w:tc>
      </w:tr>
      <w:tr w:rsidR="00CC6E6F" w:rsidRPr="00CC6E6F" w14:paraId="51F7F4D0" w14:textId="77777777">
        <w:trPr>
          <w:trHeight w:val="256"/>
        </w:trPr>
        <w:tc>
          <w:tcPr>
            <w:tcW w:w="3527" w:type="dxa"/>
            <w:tcBorders>
              <w:top w:val="nil"/>
              <w:left w:val="nil"/>
              <w:right w:val="nil"/>
            </w:tcBorders>
            <w:vAlign w:val="center"/>
          </w:tcPr>
          <w:p w14:paraId="3F15A0A9" w14:textId="77777777" w:rsidR="00193FDB" w:rsidRPr="00CC6E6F" w:rsidRDefault="009C705E" w:rsidP="006F4A31">
            <w:pPr>
              <w:spacing w:after="0" w:line="240" w:lineRule="auto"/>
              <w:rPr>
                <w:rFonts w:ascii="Arial" w:hAnsi="Arial" w:cs="Arial"/>
                <w:color w:val="000000" w:themeColor="text1"/>
                <w:sz w:val="20"/>
              </w:rPr>
            </w:pPr>
            <w:r w:rsidRPr="00CC6E6F">
              <w:rPr>
                <w:rFonts w:ascii="Arial" w:eastAsia="Calibri" w:hAnsi="Arial" w:cs="Arial"/>
                <w:color w:val="000000" w:themeColor="text1"/>
                <w:sz w:val="20"/>
              </w:rPr>
              <w:t>Education Attainment of Mother</w:t>
            </w:r>
          </w:p>
        </w:tc>
        <w:tc>
          <w:tcPr>
            <w:tcW w:w="2651" w:type="dxa"/>
            <w:tcBorders>
              <w:top w:val="nil"/>
              <w:left w:val="nil"/>
              <w:right w:val="nil"/>
            </w:tcBorders>
            <w:vAlign w:val="center"/>
          </w:tcPr>
          <w:p w14:paraId="3BC15434" w14:textId="77777777" w:rsidR="00193FDB" w:rsidRPr="00CC6E6F" w:rsidRDefault="009C705E" w:rsidP="006F4A31">
            <w:pPr>
              <w:spacing w:after="0" w:line="240" w:lineRule="auto"/>
              <w:jc w:val="center"/>
              <w:rPr>
                <w:rFonts w:ascii="Arial" w:hAnsi="Arial" w:cs="Arial"/>
                <w:color w:val="000000" w:themeColor="text1"/>
                <w:sz w:val="20"/>
                <w:szCs w:val="18"/>
              </w:rPr>
            </w:pPr>
            <w:r w:rsidRPr="00CC6E6F">
              <w:rPr>
                <w:rFonts w:ascii="Arial" w:eastAsia="Calibri" w:hAnsi="Arial" w:cs="Arial"/>
                <w:color w:val="000000" w:themeColor="text1"/>
                <w:sz w:val="20"/>
                <w:szCs w:val="18"/>
              </w:rPr>
              <w:t>.009</w:t>
            </w:r>
          </w:p>
        </w:tc>
        <w:tc>
          <w:tcPr>
            <w:tcW w:w="3089" w:type="dxa"/>
            <w:tcBorders>
              <w:top w:val="nil"/>
              <w:left w:val="nil"/>
              <w:right w:val="nil"/>
            </w:tcBorders>
            <w:vAlign w:val="center"/>
          </w:tcPr>
          <w:p w14:paraId="02C81C72"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eastAsia="Calibri" w:hAnsi="Arial" w:cs="Arial"/>
                <w:color w:val="000000" w:themeColor="text1"/>
                <w:sz w:val="20"/>
              </w:rPr>
              <w:t>Significant</w:t>
            </w:r>
          </w:p>
        </w:tc>
      </w:tr>
      <w:tr w:rsidR="00CC6E6F" w:rsidRPr="00CC6E6F" w14:paraId="7D25D500" w14:textId="77777777">
        <w:trPr>
          <w:trHeight w:val="470"/>
        </w:trPr>
        <w:tc>
          <w:tcPr>
            <w:tcW w:w="9267" w:type="dxa"/>
            <w:gridSpan w:val="3"/>
            <w:tcBorders>
              <w:left w:val="nil"/>
              <w:right w:val="nil"/>
            </w:tcBorders>
            <w:shd w:val="clear" w:color="auto" w:fill="D9D9D9" w:themeFill="background1" w:themeFillShade="D9"/>
            <w:vAlign w:val="center"/>
          </w:tcPr>
          <w:p w14:paraId="3077C0A2" w14:textId="77777777" w:rsidR="00193FDB" w:rsidRPr="00CC6E6F" w:rsidRDefault="009C705E" w:rsidP="006F4A31">
            <w:pPr>
              <w:spacing w:after="0" w:line="240" w:lineRule="auto"/>
              <w:rPr>
                <w:rFonts w:ascii="Arial" w:hAnsi="Arial" w:cs="Arial"/>
                <w:color w:val="000000" w:themeColor="text1"/>
              </w:rPr>
            </w:pPr>
            <w:r w:rsidRPr="00CC6E6F">
              <w:rPr>
                <w:rFonts w:ascii="Arial" w:eastAsia="Calibri" w:hAnsi="Arial" w:cs="Arial"/>
                <w:color w:val="000000" w:themeColor="text1"/>
                <w:sz w:val="20"/>
              </w:rPr>
              <w:t>Dependent Variable: Level of Study Habits of the Respondents</w:t>
            </w:r>
          </w:p>
        </w:tc>
      </w:tr>
    </w:tbl>
    <w:p w14:paraId="2F694C26" w14:textId="77777777" w:rsidR="008A0107" w:rsidRPr="00CC6E6F" w:rsidRDefault="008A0107" w:rsidP="008A0107">
      <w:pPr>
        <w:pStyle w:val="BodyText"/>
        <w:spacing w:after="0" w:line="240" w:lineRule="auto"/>
        <w:jc w:val="both"/>
        <w:rPr>
          <w:rFonts w:ascii="Arial" w:hAnsi="Arial" w:cs="Arial"/>
          <w:color w:val="000000" w:themeColor="text1"/>
        </w:rPr>
      </w:pPr>
    </w:p>
    <w:p w14:paraId="759B1E0D" w14:textId="77777777" w:rsidR="00193FDB" w:rsidRPr="00CC6E6F" w:rsidRDefault="009C705E" w:rsidP="008A0107">
      <w:pPr>
        <w:pStyle w:val="BodyText"/>
        <w:spacing w:after="0" w:line="240" w:lineRule="auto"/>
        <w:ind w:firstLine="720"/>
        <w:jc w:val="both"/>
        <w:rPr>
          <w:rStyle w:val="apple-converted-space"/>
          <w:rFonts w:ascii="Arial" w:hAnsi="Arial" w:cs="Arial"/>
          <w:color w:val="000000" w:themeColor="text1"/>
          <w:shd w:val="clear" w:color="auto" w:fill="FFFFFF"/>
        </w:rPr>
      </w:pPr>
      <w:r w:rsidRPr="00CC6E6F">
        <w:rPr>
          <w:rStyle w:val="apple-converted-space"/>
          <w:rFonts w:ascii="Arial" w:hAnsi="Arial" w:cs="Arial"/>
          <w:color w:val="000000" w:themeColor="text1"/>
          <w:shd w:val="clear" w:color="auto" w:fill="FFFFFF"/>
        </w:rPr>
        <w:t>Table 14 presents the test of significant relationship between the respondents' profile and their level of study habits, revealing key insights into the factors that influence students’ academic behaviors. The analysis shows that sex, type of scholar, college where the respondents belong, monthly family income, and educational attainment of the father are not significantly related to the respondents' level of study habits. This suggests that these demographic factors do not play a major role in shaping the study practices of academic scholars at the University of Eastern Philippines. Regardless of gender, financial background, or paternal educational attainment, students' study habits appear to be influenced by other factors.</w:t>
      </w:r>
    </w:p>
    <w:p w14:paraId="5ADCC72A" w14:textId="77777777" w:rsidR="008A0107" w:rsidRPr="00CC6E6F" w:rsidRDefault="008A0107" w:rsidP="008A0107">
      <w:pPr>
        <w:pStyle w:val="BodyText"/>
        <w:spacing w:after="0" w:line="240" w:lineRule="auto"/>
        <w:jc w:val="both"/>
        <w:rPr>
          <w:rFonts w:ascii="Arial" w:hAnsi="Arial" w:cs="Arial"/>
          <w:color w:val="000000" w:themeColor="text1"/>
        </w:rPr>
      </w:pPr>
    </w:p>
    <w:p w14:paraId="62D18C91" w14:textId="77777777" w:rsidR="008A0107" w:rsidRPr="00CC6E6F" w:rsidRDefault="009C705E" w:rsidP="008A0107">
      <w:pPr>
        <w:spacing w:after="0" w:line="240" w:lineRule="auto"/>
        <w:jc w:val="both"/>
        <w:rPr>
          <w:rFonts w:ascii="Arial" w:hAnsi="Arial" w:cs="Arial"/>
          <w:color w:val="000000" w:themeColor="text1"/>
          <w:shd w:val="clear" w:color="auto" w:fill="FFFFFF"/>
        </w:rPr>
      </w:pPr>
      <w:r w:rsidRPr="00CC6E6F">
        <w:rPr>
          <w:rFonts w:ascii="Arial" w:hAnsi="Arial" w:cs="Arial"/>
          <w:color w:val="000000" w:themeColor="text1"/>
        </w:rPr>
        <w:t>Interestingly, the educational attainment of the mother is found to be significantly related to the respondents' level of study habits. This finding aligns with existing research, which highlights the unique impact that a mother's education can have on her children’s learning process. According to Benjamin Ann (1993), a mother's educational background is one of the most important factors influencing children’s reading levels and overall school achievement. More highly educated mothers are often more successful in providing their children with the cognitive and language skills that contribute to early academic success.</w:t>
      </w:r>
      <w:r w:rsidR="008A0107" w:rsidRPr="00CC6E6F">
        <w:rPr>
          <w:rFonts w:ascii="Arial" w:hAnsi="Arial" w:cs="Arial"/>
          <w:color w:val="000000" w:themeColor="text1"/>
        </w:rPr>
        <w:t xml:space="preserve"> This is also supported with the study of </w:t>
      </w:r>
      <w:proofErr w:type="spellStart"/>
      <w:r w:rsidR="008A0107" w:rsidRPr="00CC6E6F">
        <w:rPr>
          <w:rFonts w:ascii="Arial" w:hAnsi="Arial" w:cs="Arial"/>
          <w:color w:val="000000" w:themeColor="text1"/>
        </w:rPr>
        <w:t>Eljo</w:t>
      </w:r>
      <w:proofErr w:type="spellEnd"/>
      <w:r w:rsidR="008A0107" w:rsidRPr="00CC6E6F">
        <w:rPr>
          <w:rFonts w:ascii="Arial" w:hAnsi="Arial" w:cs="Arial"/>
          <w:color w:val="000000" w:themeColor="text1"/>
        </w:rPr>
        <w:t xml:space="preserve">, et.al. (2022) </w:t>
      </w:r>
      <w:r w:rsidR="008A0107" w:rsidRPr="00CC6E6F">
        <w:rPr>
          <w:rFonts w:ascii="Arial" w:hAnsi="Arial" w:cs="Arial"/>
          <w:color w:val="000000" w:themeColor="text1"/>
          <w:shd w:val="clear" w:color="auto" w:fill="FFFFFF"/>
        </w:rPr>
        <w:t xml:space="preserve">that emphasized the importance of continuing education programs in raising mothers' levels of self-education and the significant impact that mothers' education levels have on their school children's study habits. </w:t>
      </w:r>
    </w:p>
    <w:p w14:paraId="1C0A8F9D" w14:textId="77777777" w:rsidR="008A0107" w:rsidRPr="00CC6E6F" w:rsidRDefault="008A0107" w:rsidP="008A0107">
      <w:pPr>
        <w:pStyle w:val="BodyText"/>
        <w:spacing w:after="0" w:line="240" w:lineRule="auto"/>
        <w:jc w:val="both"/>
        <w:rPr>
          <w:rFonts w:ascii="Arial" w:hAnsi="Arial" w:cs="Arial"/>
          <w:color w:val="000000" w:themeColor="text1"/>
        </w:rPr>
      </w:pPr>
    </w:p>
    <w:p w14:paraId="5C3433F4" w14:textId="77777777" w:rsidR="00193FDB" w:rsidRPr="00CC6E6F" w:rsidRDefault="009C705E" w:rsidP="008A0107">
      <w:pPr>
        <w:pStyle w:val="BodyText"/>
        <w:spacing w:after="0" w:line="240" w:lineRule="auto"/>
        <w:ind w:firstLine="720"/>
        <w:jc w:val="both"/>
        <w:rPr>
          <w:rFonts w:ascii="Arial" w:hAnsi="Arial" w:cs="Arial"/>
          <w:color w:val="000000" w:themeColor="text1"/>
        </w:rPr>
      </w:pPr>
      <w:r w:rsidRPr="00CC6E6F">
        <w:rPr>
          <w:rFonts w:ascii="Arial" w:hAnsi="Arial" w:cs="Arial"/>
          <w:color w:val="000000" w:themeColor="text1"/>
        </w:rPr>
        <w:t>Additionally, research consistently shows that mothers tend to be more involved in their children’s education, thereby having a stronger influence on their academic habits. Children of mothers with higher educational attainment are more likely to stay in school longer and develop better study skills. This conclusion is further supported by studies that emphasize the positive impact of parental involvement on academic performance and study habits (Hara &amp; Burke, 1998; Hill &amp; Craft, 2003; Marcon, 1999; Stevenson &amp; Baker, 1987).</w:t>
      </w:r>
    </w:p>
    <w:p w14:paraId="59BA0123" w14:textId="77777777" w:rsidR="008A0107" w:rsidRPr="00CC6E6F" w:rsidRDefault="008A0107" w:rsidP="008A0107">
      <w:pPr>
        <w:pStyle w:val="BodyText"/>
        <w:spacing w:after="0" w:line="240" w:lineRule="auto"/>
        <w:jc w:val="both"/>
        <w:rPr>
          <w:rFonts w:ascii="Arial" w:hAnsi="Arial" w:cs="Arial"/>
          <w:color w:val="000000" w:themeColor="text1"/>
        </w:rPr>
      </w:pPr>
    </w:p>
    <w:p w14:paraId="4FCA9253" w14:textId="77777777" w:rsidR="00193FDB" w:rsidRPr="00CC6E6F" w:rsidRDefault="009C705E" w:rsidP="008A0107">
      <w:pPr>
        <w:pStyle w:val="BodyText"/>
        <w:spacing w:after="0" w:line="240" w:lineRule="auto"/>
        <w:ind w:firstLine="720"/>
        <w:jc w:val="both"/>
        <w:rPr>
          <w:rFonts w:ascii="Arial" w:hAnsi="Arial" w:cs="Arial"/>
          <w:color w:val="000000" w:themeColor="text1"/>
        </w:rPr>
      </w:pPr>
      <w:r w:rsidRPr="00CC6E6F">
        <w:rPr>
          <w:rFonts w:ascii="Arial" w:hAnsi="Arial" w:cs="Arial"/>
          <w:color w:val="000000" w:themeColor="text1"/>
        </w:rPr>
        <w:t>Overall, the results suggest that while various personal and demographic factors do not significantly influence study habits, the mother’s educational background plays a crucial role in shaping students' academic practices. This underscores the importance of encouraging parental engagement, particularly from mothers, to foster better study habits and academic outcomes among students.</w:t>
      </w:r>
    </w:p>
    <w:p w14:paraId="295C6899" w14:textId="77777777" w:rsidR="00193FDB" w:rsidRPr="00CC6E6F" w:rsidRDefault="00193FDB" w:rsidP="006F4A31">
      <w:pPr>
        <w:spacing w:after="0" w:line="240" w:lineRule="auto"/>
        <w:jc w:val="both"/>
        <w:rPr>
          <w:rFonts w:ascii="Arial" w:hAnsi="Arial" w:cs="Arial"/>
          <w:color w:val="000000" w:themeColor="text1"/>
        </w:rPr>
      </w:pPr>
    </w:p>
    <w:p w14:paraId="59258561" w14:textId="77777777" w:rsidR="00193FDB" w:rsidRPr="00CC6E6F" w:rsidRDefault="00193FDB" w:rsidP="006F4A31">
      <w:pPr>
        <w:spacing w:after="0" w:line="240" w:lineRule="auto"/>
        <w:rPr>
          <w:rFonts w:ascii="Arial" w:hAnsi="Arial" w:cs="Arial"/>
          <w:color w:val="000000" w:themeColor="text1"/>
        </w:rPr>
      </w:pPr>
    </w:p>
    <w:p w14:paraId="0F7AC53D" w14:textId="77777777" w:rsidR="00193FDB" w:rsidRPr="00CC6E6F" w:rsidRDefault="009C705E" w:rsidP="006F4A31">
      <w:pPr>
        <w:spacing w:after="0" w:line="240" w:lineRule="auto"/>
        <w:rPr>
          <w:rFonts w:ascii="Arial" w:hAnsi="Arial" w:cs="Arial"/>
          <w:b/>
          <w:color w:val="000000" w:themeColor="text1"/>
        </w:rPr>
      </w:pPr>
      <w:r w:rsidRPr="00CC6E6F">
        <w:rPr>
          <w:rFonts w:ascii="Arial" w:hAnsi="Arial" w:cs="Arial"/>
          <w:b/>
          <w:color w:val="000000" w:themeColor="text1"/>
        </w:rPr>
        <w:t>CONCLUSIONS</w:t>
      </w:r>
    </w:p>
    <w:p w14:paraId="73ED7752" w14:textId="77777777" w:rsidR="00193FDB" w:rsidRPr="00CC6E6F" w:rsidRDefault="00193FDB" w:rsidP="006F4A31">
      <w:pPr>
        <w:spacing w:after="0" w:line="240" w:lineRule="auto"/>
        <w:rPr>
          <w:rFonts w:ascii="Arial" w:hAnsi="Arial" w:cs="Arial"/>
          <w:color w:val="000000" w:themeColor="text1"/>
        </w:rPr>
      </w:pPr>
    </w:p>
    <w:p w14:paraId="78076D89" w14:textId="77777777" w:rsidR="00193FDB" w:rsidRPr="00CC6E6F" w:rsidRDefault="009C705E" w:rsidP="006F4A31">
      <w:pPr>
        <w:shd w:val="clear" w:color="auto" w:fill="FFFFFF"/>
        <w:spacing w:after="0" w:line="240" w:lineRule="auto"/>
        <w:jc w:val="both"/>
        <w:rPr>
          <w:rFonts w:ascii="Arial" w:eastAsia="Times New Roman" w:hAnsi="Arial" w:cs="Arial"/>
          <w:color w:val="000000" w:themeColor="text1"/>
          <w:lang w:eastAsia="en-PH"/>
        </w:rPr>
      </w:pPr>
      <w:r w:rsidRPr="00CC6E6F">
        <w:rPr>
          <w:rFonts w:ascii="Arial" w:hAnsi="Arial" w:cs="Arial"/>
          <w:color w:val="000000" w:themeColor="text1"/>
        </w:rPr>
        <w:tab/>
      </w:r>
      <w:r w:rsidRPr="00CC6E6F">
        <w:rPr>
          <w:rFonts w:ascii="Arial" w:eastAsia="Times New Roman" w:hAnsi="Arial" w:cs="Arial"/>
          <w:color w:val="000000" w:themeColor="text1"/>
          <w:lang w:eastAsia="en-PH"/>
        </w:rPr>
        <w:t xml:space="preserve">The findings of the study confirmed that academic success is influenced not only by cognitive ability but also by the development of sound study habits. It was observed that academic scholars at the University of Eastern Philippines generally possess good study habits, which may contribute to their academic achievements. Additionally, the educational attainment of the respondents' mothers appeared to have a significant impact on their level of study habits, highlighting the role of parental background in shaping students' learning behaviors. These findings underscore the need for initiatives aimed at enhancing students' study habits to further improve academic performance. Implementing developmental programs that equip students with effective study strategies and foster positive attitudes </w:t>
      </w:r>
      <w:r w:rsidRPr="00CC6E6F">
        <w:rPr>
          <w:rFonts w:ascii="Arial" w:eastAsia="Times New Roman" w:hAnsi="Arial" w:cs="Arial"/>
          <w:color w:val="000000" w:themeColor="text1"/>
          <w:lang w:eastAsia="en-PH"/>
        </w:rPr>
        <w:lastRenderedPageBreak/>
        <w:t xml:space="preserve">toward learning at an early stage can be instrumental in this regard. Moreover, engaging students in educationally meaningful activities can promote personal growth and deeper learning, ultimately leading to better academic outcomes. </w:t>
      </w:r>
    </w:p>
    <w:p w14:paraId="50021E93" w14:textId="77777777" w:rsidR="00193FDB" w:rsidRPr="00CC6E6F" w:rsidRDefault="00193FDB" w:rsidP="006F4A31">
      <w:pPr>
        <w:spacing w:after="0" w:line="240" w:lineRule="auto"/>
        <w:rPr>
          <w:rFonts w:ascii="Arial" w:hAnsi="Arial" w:cs="Arial"/>
          <w:color w:val="000000" w:themeColor="text1"/>
        </w:rPr>
      </w:pPr>
    </w:p>
    <w:p w14:paraId="7C5BC657" w14:textId="77777777" w:rsidR="00193FDB" w:rsidRPr="00CC6E6F" w:rsidRDefault="009C705E" w:rsidP="006F4A31">
      <w:pPr>
        <w:spacing w:after="0" w:line="240" w:lineRule="auto"/>
        <w:rPr>
          <w:rFonts w:ascii="Arial" w:hAnsi="Arial" w:cs="Arial"/>
          <w:b/>
          <w:color w:val="000000" w:themeColor="text1"/>
        </w:rPr>
      </w:pPr>
      <w:r w:rsidRPr="00CC6E6F">
        <w:rPr>
          <w:rFonts w:ascii="Arial" w:hAnsi="Arial" w:cs="Arial"/>
          <w:b/>
          <w:color w:val="000000" w:themeColor="text1"/>
        </w:rPr>
        <w:t>RECOMMENDATIONS</w:t>
      </w:r>
    </w:p>
    <w:p w14:paraId="67D4E8BF" w14:textId="77777777" w:rsidR="00193FDB" w:rsidRPr="00CC6E6F" w:rsidRDefault="00193FDB" w:rsidP="006F4A31">
      <w:pPr>
        <w:spacing w:after="0" w:line="240" w:lineRule="auto"/>
        <w:rPr>
          <w:rFonts w:ascii="Arial" w:hAnsi="Arial" w:cs="Arial"/>
          <w:color w:val="000000" w:themeColor="text1"/>
        </w:rPr>
      </w:pPr>
    </w:p>
    <w:p w14:paraId="6DF1CC03" w14:textId="77777777" w:rsidR="00193FDB" w:rsidRPr="00CC6E6F" w:rsidRDefault="009C705E" w:rsidP="004250B0">
      <w:pPr>
        <w:spacing w:after="0" w:line="240" w:lineRule="auto"/>
        <w:ind w:firstLine="720"/>
        <w:jc w:val="both"/>
        <w:rPr>
          <w:rFonts w:ascii="Arial" w:hAnsi="Arial" w:cs="Arial"/>
          <w:color w:val="000000" w:themeColor="text1"/>
        </w:rPr>
      </w:pPr>
      <w:r w:rsidRPr="00CC6E6F">
        <w:rPr>
          <w:rFonts w:ascii="Arial" w:hAnsi="Arial" w:cs="Arial"/>
          <w:color w:val="000000" w:themeColor="text1"/>
        </w:rPr>
        <w:t>Based on the findings of this study, the following recommendations are proposed:</w:t>
      </w:r>
    </w:p>
    <w:p w14:paraId="702C8D1E" w14:textId="77777777" w:rsidR="00193FDB" w:rsidRPr="00CC6E6F" w:rsidRDefault="00193FDB" w:rsidP="004250B0">
      <w:pPr>
        <w:spacing w:after="0" w:line="240" w:lineRule="auto"/>
        <w:jc w:val="both"/>
        <w:rPr>
          <w:rFonts w:ascii="Arial" w:hAnsi="Arial" w:cs="Arial"/>
          <w:color w:val="000000" w:themeColor="text1"/>
        </w:rPr>
      </w:pPr>
    </w:p>
    <w:p w14:paraId="782EA5D1" w14:textId="77777777" w:rsidR="00193FDB" w:rsidRPr="00CC6E6F" w:rsidRDefault="004250B0" w:rsidP="004250B0">
      <w:pPr>
        <w:pStyle w:val="BodyText"/>
        <w:tabs>
          <w:tab w:val="left" w:pos="0"/>
        </w:tabs>
        <w:spacing w:after="0" w:line="240" w:lineRule="auto"/>
        <w:jc w:val="both"/>
        <w:rPr>
          <w:rFonts w:ascii="Arial" w:hAnsi="Arial" w:cs="Arial"/>
          <w:color w:val="000000" w:themeColor="text1"/>
        </w:rPr>
      </w:pPr>
      <w:r w:rsidRPr="00CC6E6F">
        <w:rPr>
          <w:rFonts w:ascii="Arial" w:hAnsi="Arial" w:cs="Arial"/>
          <w:color w:val="000000" w:themeColor="text1"/>
        </w:rPr>
        <w:tab/>
      </w:r>
      <w:r w:rsidR="009C705E" w:rsidRPr="00CC6E6F">
        <w:rPr>
          <w:rFonts w:ascii="Arial" w:hAnsi="Arial" w:cs="Arial"/>
          <w:color w:val="000000" w:themeColor="text1"/>
        </w:rPr>
        <w:t>Teachers and parents should work collaboratively to identify and reinforce effective study habits among students. They should explore various strategies to cultivate these habits early, creating an environment that fosters consistent and disciplined learning.</w:t>
      </w:r>
    </w:p>
    <w:p w14:paraId="309C2EC0" w14:textId="77777777" w:rsidR="004250B0" w:rsidRPr="00CC6E6F" w:rsidRDefault="004250B0" w:rsidP="004250B0">
      <w:pPr>
        <w:pStyle w:val="BodyText"/>
        <w:tabs>
          <w:tab w:val="left" w:pos="0"/>
        </w:tabs>
        <w:spacing w:after="0" w:line="240" w:lineRule="auto"/>
        <w:ind w:left="709"/>
        <w:jc w:val="both"/>
        <w:rPr>
          <w:rStyle w:val="Strong"/>
          <w:rFonts w:ascii="Arial" w:hAnsi="Arial" w:cs="Arial"/>
          <w:color w:val="000000" w:themeColor="text1"/>
        </w:rPr>
      </w:pPr>
    </w:p>
    <w:p w14:paraId="72BA3DE9" w14:textId="77777777" w:rsidR="00193FDB" w:rsidRPr="00CC6E6F" w:rsidRDefault="004250B0" w:rsidP="004250B0">
      <w:pPr>
        <w:pStyle w:val="BodyText"/>
        <w:tabs>
          <w:tab w:val="left" w:pos="0"/>
        </w:tabs>
        <w:spacing w:after="0" w:line="240" w:lineRule="auto"/>
        <w:jc w:val="both"/>
        <w:rPr>
          <w:rFonts w:ascii="Arial" w:hAnsi="Arial" w:cs="Arial"/>
          <w:color w:val="000000" w:themeColor="text1"/>
        </w:rPr>
      </w:pPr>
      <w:r w:rsidRPr="00CC6E6F">
        <w:rPr>
          <w:rFonts w:ascii="Arial" w:hAnsi="Arial" w:cs="Arial"/>
          <w:color w:val="000000" w:themeColor="text1"/>
        </w:rPr>
        <w:tab/>
      </w:r>
      <w:r w:rsidR="009C705E" w:rsidRPr="00CC6E6F">
        <w:rPr>
          <w:rFonts w:ascii="Arial" w:hAnsi="Arial" w:cs="Arial"/>
          <w:color w:val="000000" w:themeColor="text1"/>
        </w:rPr>
        <w:t>Students need to place greater emphasis on planning and organizing their study activities. Relying on "free periods" for studying reflects a passive approach that may hinder academic growth. To enhance productivity, students should develop structured study schedules, set clear academic goals, and adhere to regular study routines that promote consistent learning.</w:t>
      </w:r>
    </w:p>
    <w:p w14:paraId="6DE5FC64" w14:textId="77777777" w:rsidR="004250B0" w:rsidRPr="00CC6E6F" w:rsidRDefault="004250B0" w:rsidP="004250B0">
      <w:pPr>
        <w:pStyle w:val="BodyText"/>
        <w:tabs>
          <w:tab w:val="left" w:pos="0"/>
        </w:tabs>
        <w:spacing w:after="0" w:line="240" w:lineRule="auto"/>
        <w:ind w:left="709"/>
        <w:jc w:val="both"/>
        <w:rPr>
          <w:rStyle w:val="Strong"/>
          <w:rFonts w:ascii="Arial" w:hAnsi="Arial" w:cs="Arial"/>
          <w:color w:val="000000" w:themeColor="text1"/>
        </w:rPr>
      </w:pPr>
    </w:p>
    <w:p w14:paraId="2B108622" w14:textId="77777777" w:rsidR="00193FDB" w:rsidRPr="00CC6E6F" w:rsidRDefault="004250B0" w:rsidP="004250B0">
      <w:pPr>
        <w:pStyle w:val="BodyText"/>
        <w:tabs>
          <w:tab w:val="left" w:pos="0"/>
        </w:tabs>
        <w:spacing w:after="0" w:line="240" w:lineRule="auto"/>
        <w:jc w:val="both"/>
        <w:rPr>
          <w:rFonts w:ascii="Arial" w:hAnsi="Arial" w:cs="Arial"/>
          <w:color w:val="000000" w:themeColor="text1"/>
        </w:rPr>
      </w:pPr>
      <w:r w:rsidRPr="00CC6E6F">
        <w:rPr>
          <w:rFonts w:ascii="Arial" w:hAnsi="Arial" w:cs="Arial"/>
          <w:color w:val="000000" w:themeColor="text1"/>
        </w:rPr>
        <w:tab/>
      </w:r>
      <w:r w:rsidR="009C705E" w:rsidRPr="00CC6E6F">
        <w:rPr>
          <w:rFonts w:ascii="Arial" w:hAnsi="Arial" w:cs="Arial"/>
          <w:color w:val="000000" w:themeColor="text1"/>
        </w:rPr>
        <w:t>While note-taking aids memory retention, relying solely on memorization may not lead to a deep understanding of the material. Students should incorporate diverse learning techniques, such as self-testing, summarizing key concepts, and applying knowledge to practical scenarios. These methods not only strengthen comprehension but also promote long-term retention and mastery of the subject matter.</w:t>
      </w:r>
    </w:p>
    <w:p w14:paraId="33F69F4B" w14:textId="77777777" w:rsidR="00193FDB" w:rsidRPr="00CC6E6F" w:rsidRDefault="00193FDB" w:rsidP="006F4A31">
      <w:pPr>
        <w:spacing w:after="0" w:line="240" w:lineRule="auto"/>
        <w:jc w:val="both"/>
        <w:rPr>
          <w:rFonts w:ascii="Arial" w:hAnsi="Arial" w:cs="Arial"/>
          <w:color w:val="000000" w:themeColor="text1"/>
        </w:rPr>
      </w:pPr>
    </w:p>
    <w:p w14:paraId="74F9BFDC" w14:textId="77777777" w:rsidR="00495D72" w:rsidRPr="00CC6E6F" w:rsidRDefault="00495D72" w:rsidP="006F4A31">
      <w:pPr>
        <w:spacing w:after="0" w:line="240" w:lineRule="auto"/>
        <w:jc w:val="both"/>
        <w:rPr>
          <w:rFonts w:ascii="Arial" w:hAnsi="Arial" w:cs="Arial"/>
          <w:color w:val="000000" w:themeColor="text1"/>
        </w:rPr>
      </w:pPr>
    </w:p>
    <w:p w14:paraId="46581340" w14:textId="77777777" w:rsidR="00D21FA3" w:rsidRPr="004F37AE" w:rsidRDefault="00D21FA3" w:rsidP="00495D72">
      <w:pPr>
        <w:suppressAutoHyphens w:val="0"/>
        <w:spacing w:after="0" w:line="240" w:lineRule="auto"/>
        <w:jc w:val="both"/>
        <w:rPr>
          <w:rFonts w:ascii="Arial" w:eastAsia="Calibri" w:hAnsi="Arial" w:cs="Arial"/>
          <w:b/>
          <w:color w:val="000000" w:themeColor="text1"/>
          <w:kern w:val="2"/>
          <w:highlight w:val="yellow"/>
          <w:lang w:val="en-US"/>
        </w:rPr>
      </w:pPr>
      <w:bookmarkStart w:id="1" w:name="_Hlk180402183"/>
      <w:bookmarkStart w:id="2" w:name="_Hlk183680988"/>
      <w:r w:rsidRPr="004F37AE">
        <w:rPr>
          <w:rFonts w:ascii="Arial" w:eastAsia="Calibri" w:hAnsi="Arial" w:cs="Arial"/>
          <w:b/>
          <w:color w:val="000000" w:themeColor="text1"/>
          <w:kern w:val="2"/>
          <w:highlight w:val="yellow"/>
          <w:lang w:val="en-US"/>
        </w:rPr>
        <w:t>Disclaimer (Artificial intelligence)</w:t>
      </w:r>
    </w:p>
    <w:p w14:paraId="1B6399F4" w14:textId="77777777" w:rsidR="00495D72" w:rsidRPr="004F37AE" w:rsidRDefault="00495D72" w:rsidP="00495D72">
      <w:pPr>
        <w:suppressAutoHyphens w:val="0"/>
        <w:spacing w:after="0" w:line="240" w:lineRule="auto"/>
        <w:jc w:val="both"/>
        <w:rPr>
          <w:rFonts w:ascii="Arial" w:eastAsia="Calibri" w:hAnsi="Arial" w:cs="Arial"/>
          <w:color w:val="000000" w:themeColor="text1"/>
          <w:kern w:val="2"/>
          <w:highlight w:val="yellow"/>
          <w:lang w:val="en-US"/>
        </w:rPr>
      </w:pPr>
    </w:p>
    <w:p w14:paraId="7E5AB57E" w14:textId="77777777" w:rsidR="00495D72" w:rsidRPr="004F37AE" w:rsidRDefault="00495D72" w:rsidP="00495D72">
      <w:pPr>
        <w:suppressAutoHyphens w:val="0"/>
        <w:spacing w:after="0" w:line="240" w:lineRule="auto"/>
        <w:ind w:firstLine="720"/>
        <w:jc w:val="both"/>
        <w:rPr>
          <w:rFonts w:ascii="Arial" w:hAnsi="Arial" w:cs="Arial"/>
          <w:color w:val="000000" w:themeColor="text1"/>
          <w:highlight w:val="yellow"/>
        </w:rPr>
      </w:pPr>
      <w:r w:rsidRPr="004F37AE">
        <w:rPr>
          <w:rFonts w:ascii="Arial" w:hAnsi="Arial" w:cs="Arial"/>
          <w:color w:val="000000" w:themeColor="text1"/>
          <w:highlight w:val="yellow"/>
        </w:rPr>
        <w:t xml:space="preserve">This research utilized ChatGPT, a language model developed by </w:t>
      </w:r>
      <w:proofErr w:type="spellStart"/>
      <w:r w:rsidRPr="004F37AE">
        <w:rPr>
          <w:rFonts w:ascii="Arial" w:hAnsi="Arial" w:cs="Arial"/>
          <w:color w:val="000000" w:themeColor="text1"/>
          <w:highlight w:val="yellow"/>
        </w:rPr>
        <w:t>OpenAI</w:t>
      </w:r>
      <w:proofErr w:type="spellEnd"/>
      <w:r w:rsidRPr="004F37AE">
        <w:rPr>
          <w:rFonts w:ascii="Arial" w:hAnsi="Arial" w:cs="Arial"/>
          <w:color w:val="000000" w:themeColor="text1"/>
          <w:highlight w:val="yellow"/>
        </w:rPr>
        <w:t>, for paraphrasing paragraphs and checking grammatical errors. The Free ChatGPT App was employed as a tool to enhance the clarity and readability of the text, ensuring that ideas were effectively communicated while maintaining the original meaning. The use of ChatGPT contributed to refining the language and structure of the manuscript.</w:t>
      </w:r>
    </w:p>
    <w:p w14:paraId="2C425701" w14:textId="77777777" w:rsidR="00495D72" w:rsidRPr="004F37AE" w:rsidRDefault="00495D72" w:rsidP="00495D72">
      <w:pPr>
        <w:suppressAutoHyphens w:val="0"/>
        <w:spacing w:after="0" w:line="240" w:lineRule="auto"/>
        <w:jc w:val="both"/>
        <w:rPr>
          <w:rFonts w:ascii="Arial" w:hAnsi="Arial" w:cs="Arial"/>
          <w:color w:val="000000" w:themeColor="text1"/>
          <w:highlight w:val="yellow"/>
        </w:rPr>
      </w:pPr>
    </w:p>
    <w:p w14:paraId="3F4051A4" w14:textId="78F19D21" w:rsidR="00D21FA3" w:rsidRPr="004F37AE" w:rsidRDefault="00D21FA3" w:rsidP="00495D72">
      <w:pPr>
        <w:suppressAutoHyphens w:val="0"/>
        <w:spacing w:after="0" w:line="240" w:lineRule="auto"/>
        <w:jc w:val="both"/>
        <w:rPr>
          <w:rFonts w:ascii="Arial" w:eastAsia="Calibri" w:hAnsi="Arial" w:cs="Arial"/>
          <w:color w:val="000000" w:themeColor="text1"/>
          <w:kern w:val="2"/>
          <w:highlight w:val="yellow"/>
          <w:lang w:val="en-US"/>
        </w:rPr>
      </w:pPr>
      <w:r w:rsidRPr="004F37AE">
        <w:rPr>
          <w:rFonts w:ascii="Arial" w:eastAsia="Calibri" w:hAnsi="Arial" w:cs="Arial"/>
          <w:color w:val="000000" w:themeColor="text1"/>
          <w:kern w:val="2"/>
          <w:highlight w:val="yellow"/>
          <w:lang w:val="en-US"/>
        </w:rPr>
        <w:t>Details of the AI usage are given below:</w:t>
      </w:r>
    </w:p>
    <w:p w14:paraId="758EB10A" w14:textId="77777777" w:rsidR="00495D72" w:rsidRPr="004F37AE" w:rsidRDefault="00495D72" w:rsidP="00495D72">
      <w:pPr>
        <w:suppressAutoHyphens w:val="0"/>
        <w:spacing w:after="0" w:line="240" w:lineRule="auto"/>
        <w:jc w:val="both"/>
        <w:rPr>
          <w:rFonts w:ascii="Arial" w:eastAsia="Calibri" w:hAnsi="Arial" w:cs="Arial"/>
          <w:color w:val="000000" w:themeColor="text1"/>
          <w:kern w:val="2"/>
          <w:highlight w:val="yellow"/>
          <w:lang w:val="en-US"/>
        </w:rPr>
      </w:pPr>
    </w:p>
    <w:p w14:paraId="6247A95C" w14:textId="3AE8B0C9" w:rsidR="00D21FA3" w:rsidRPr="004F37AE" w:rsidRDefault="00495D72" w:rsidP="00495D72">
      <w:pPr>
        <w:pStyle w:val="ListParagraph"/>
        <w:numPr>
          <w:ilvl w:val="0"/>
          <w:numId w:val="3"/>
        </w:numPr>
        <w:suppressAutoHyphens w:val="0"/>
        <w:spacing w:after="0" w:line="240" w:lineRule="auto"/>
        <w:jc w:val="both"/>
        <w:rPr>
          <w:rFonts w:ascii="Arial" w:eastAsia="Calibri" w:hAnsi="Arial" w:cs="Arial"/>
          <w:color w:val="000000" w:themeColor="text1"/>
          <w:kern w:val="2"/>
          <w:highlight w:val="yellow"/>
          <w:lang w:val="en-US"/>
        </w:rPr>
      </w:pPr>
      <w:r w:rsidRPr="004F37AE">
        <w:rPr>
          <w:rFonts w:ascii="Arial" w:eastAsia="Calibri" w:hAnsi="Arial" w:cs="Arial"/>
          <w:color w:val="000000" w:themeColor="text1"/>
          <w:kern w:val="2"/>
          <w:highlight w:val="yellow"/>
          <w:lang w:val="en-US"/>
        </w:rPr>
        <w:t xml:space="preserve">Used the </w:t>
      </w:r>
      <w:proofErr w:type="spellStart"/>
      <w:r w:rsidRPr="004F37AE">
        <w:rPr>
          <w:rFonts w:ascii="Arial" w:eastAsia="Calibri" w:hAnsi="Arial" w:cs="Arial"/>
          <w:color w:val="000000" w:themeColor="text1"/>
          <w:kern w:val="2"/>
          <w:highlight w:val="yellow"/>
          <w:lang w:val="en-US"/>
        </w:rPr>
        <w:t>ChatGPTA</w:t>
      </w:r>
      <w:proofErr w:type="spellEnd"/>
      <w:r w:rsidRPr="004F37AE">
        <w:rPr>
          <w:rFonts w:ascii="Arial" w:eastAsia="Calibri" w:hAnsi="Arial" w:cs="Arial"/>
          <w:color w:val="000000" w:themeColor="text1"/>
          <w:kern w:val="2"/>
          <w:highlight w:val="yellow"/>
          <w:lang w:val="en-US"/>
        </w:rPr>
        <w:t xml:space="preserve"> for paraphrasing the paragraphs for clarity and readability of text.</w:t>
      </w:r>
    </w:p>
    <w:p w14:paraId="0BD2EE1B" w14:textId="40C58BBD" w:rsidR="00495D72" w:rsidRPr="004F37AE" w:rsidRDefault="00495D72" w:rsidP="00495D72">
      <w:pPr>
        <w:pStyle w:val="ListParagraph"/>
        <w:numPr>
          <w:ilvl w:val="0"/>
          <w:numId w:val="3"/>
        </w:numPr>
        <w:suppressAutoHyphens w:val="0"/>
        <w:spacing w:after="0" w:line="240" w:lineRule="auto"/>
        <w:jc w:val="both"/>
        <w:rPr>
          <w:rFonts w:ascii="Arial" w:eastAsia="Calibri" w:hAnsi="Arial" w:cs="Arial"/>
          <w:color w:val="000000" w:themeColor="text1"/>
          <w:kern w:val="2"/>
          <w:highlight w:val="yellow"/>
          <w:lang w:val="en-US"/>
        </w:rPr>
      </w:pPr>
      <w:r w:rsidRPr="004F37AE">
        <w:rPr>
          <w:rFonts w:ascii="Arial" w:eastAsia="Calibri" w:hAnsi="Arial" w:cs="Arial"/>
          <w:color w:val="000000" w:themeColor="text1"/>
          <w:kern w:val="2"/>
          <w:highlight w:val="yellow"/>
          <w:lang w:val="en-US"/>
        </w:rPr>
        <w:t>Used the ChatGPT for checking the language/grammar.</w:t>
      </w:r>
    </w:p>
    <w:bookmarkEnd w:id="1"/>
    <w:bookmarkEnd w:id="2"/>
    <w:p w14:paraId="1749CB07" w14:textId="77777777" w:rsidR="00193FDB" w:rsidRPr="00CC6E6F" w:rsidRDefault="00193FDB" w:rsidP="006F4A31">
      <w:pPr>
        <w:spacing w:after="0" w:line="240" w:lineRule="auto"/>
        <w:jc w:val="both"/>
        <w:rPr>
          <w:rFonts w:ascii="Arial" w:hAnsi="Arial" w:cs="Arial"/>
          <w:color w:val="000000" w:themeColor="text1"/>
        </w:rPr>
      </w:pPr>
    </w:p>
    <w:p w14:paraId="04FE89AA" w14:textId="77777777" w:rsidR="00193FDB" w:rsidRPr="00CC6E6F" w:rsidRDefault="00193FDB" w:rsidP="006F4A31">
      <w:pPr>
        <w:spacing w:after="0" w:line="240" w:lineRule="auto"/>
        <w:ind w:firstLine="720"/>
        <w:jc w:val="both"/>
        <w:rPr>
          <w:rFonts w:ascii="Arial" w:hAnsi="Arial" w:cs="Arial"/>
          <w:color w:val="000000" w:themeColor="text1"/>
        </w:rPr>
      </w:pPr>
    </w:p>
    <w:p w14:paraId="33F3E220" w14:textId="77777777" w:rsidR="00C87A41" w:rsidRPr="00CC6E6F" w:rsidRDefault="00C87A41" w:rsidP="006F4A31">
      <w:pPr>
        <w:spacing w:after="0" w:line="240" w:lineRule="auto"/>
        <w:rPr>
          <w:rFonts w:ascii="Arial" w:hAnsi="Arial" w:cs="Arial"/>
          <w:color w:val="000000" w:themeColor="text1"/>
        </w:rPr>
      </w:pPr>
    </w:p>
    <w:p w14:paraId="2E36B546" w14:textId="77777777" w:rsidR="00193FDB" w:rsidRPr="00CC6E6F" w:rsidRDefault="009C705E" w:rsidP="006F4A31">
      <w:pPr>
        <w:spacing w:after="0" w:line="240" w:lineRule="auto"/>
        <w:rPr>
          <w:rFonts w:ascii="Arial" w:hAnsi="Arial" w:cs="Arial"/>
          <w:b/>
          <w:color w:val="000000" w:themeColor="text1"/>
        </w:rPr>
      </w:pPr>
      <w:r w:rsidRPr="00CC6E6F">
        <w:rPr>
          <w:rFonts w:ascii="Arial" w:hAnsi="Arial" w:cs="Arial"/>
          <w:b/>
          <w:color w:val="000000" w:themeColor="text1"/>
        </w:rPr>
        <w:t>REFERENCES</w:t>
      </w:r>
    </w:p>
    <w:p w14:paraId="03D51B7F" w14:textId="77777777" w:rsidR="00193FDB" w:rsidRPr="00CC6E6F" w:rsidRDefault="00193FDB" w:rsidP="006F4A31">
      <w:pPr>
        <w:spacing w:after="0" w:line="240" w:lineRule="auto"/>
        <w:rPr>
          <w:rFonts w:ascii="Arial" w:hAnsi="Arial" w:cs="Arial"/>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81C99" w:rsidRPr="00781C99" w14:paraId="6AF804D8" w14:textId="77777777" w:rsidTr="0050748C">
        <w:tc>
          <w:tcPr>
            <w:tcW w:w="9016" w:type="dxa"/>
          </w:tcPr>
          <w:p w14:paraId="510C968A" w14:textId="77777777" w:rsidR="00781C99" w:rsidRPr="00781C99" w:rsidRDefault="00781C99" w:rsidP="00781C99">
            <w:pPr>
              <w:spacing w:after="0" w:line="240" w:lineRule="auto"/>
              <w:jc w:val="both"/>
              <w:rPr>
                <w:rFonts w:ascii="Arial" w:hAnsi="Arial" w:cs="Arial"/>
                <w:color w:val="000000" w:themeColor="text1"/>
              </w:rPr>
            </w:pPr>
          </w:p>
        </w:tc>
      </w:tr>
      <w:tr w:rsidR="00781C99" w:rsidRPr="00781C99" w14:paraId="3223E52A" w14:textId="77777777" w:rsidTr="0050748C">
        <w:tc>
          <w:tcPr>
            <w:tcW w:w="9016" w:type="dxa"/>
          </w:tcPr>
          <w:p w14:paraId="261B4BD6" w14:textId="77777777" w:rsidR="00781C99" w:rsidRPr="00C96AE4" w:rsidRDefault="00781C99" w:rsidP="00781C99">
            <w:pPr>
              <w:spacing w:after="0" w:line="240" w:lineRule="auto"/>
              <w:jc w:val="both"/>
              <w:rPr>
                <w:rFonts w:ascii="Arial" w:hAnsi="Arial" w:cs="Arial"/>
                <w:shd w:val="clear" w:color="auto" w:fill="FFFFFF"/>
              </w:rPr>
            </w:pPr>
            <w:r w:rsidRPr="00C96AE4">
              <w:rPr>
                <w:rFonts w:ascii="Arial" w:hAnsi="Arial" w:cs="Arial"/>
                <w:shd w:val="clear" w:color="auto" w:fill="FFFFFF"/>
              </w:rPr>
              <w:t xml:space="preserve">Abdulghani HM, Al-Drees AA, Khalil MS, Ahmad F, </w:t>
            </w:r>
            <w:proofErr w:type="spellStart"/>
            <w:r w:rsidRPr="00C96AE4">
              <w:rPr>
                <w:rFonts w:ascii="Arial" w:hAnsi="Arial" w:cs="Arial"/>
                <w:shd w:val="clear" w:color="auto" w:fill="FFFFFF"/>
              </w:rPr>
              <w:t>Ponnamperuma</w:t>
            </w:r>
            <w:proofErr w:type="spellEnd"/>
            <w:r w:rsidRPr="00C96AE4">
              <w:rPr>
                <w:rFonts w:ascii="Arial" w:hAnsi="Arial" w:cs="Arial"/>
                <w:shd w:val="clear" w:color="auto" w:fill="FFFFFF"/>
              </w:rPr>
              <w:t xml:space="preserve"> GG, Amin Z. </w:t>
            </w:r>
            <w:r>
              <w:rPr>
                <w:rFonts w:cs="Arial"/>
                <w:shd w:val="clear" w:color="auto" w:fill="FFFFFF"/>
              </w:rPr>
              <w:t xml:space="preserve"> (2014) </w:t>
            </w:r>
            <w:r w:rsidRPr="00C96AE4">
              <w:rPr>
                <w:rFonts w:ascii="Arial" w:hAnsi="Arial" w:cs="Arial"/>
                <w:shd w:val="clear" w:color="auto" w:fill="FFFFFF"/>
              </w:rPr>
              <w:t>What factors determine academic achievement in high achieving undergraduate medical students? A qualitative study. Med Teach. 2014;36(Suppl 1</w:t>
            </w:r>
            <w:proofErr w:type="gramStart"/>
            <w:r w:rsidRPr="00C96AE4">
              <w:rPr>
                <w:rFonts w:ascii="Arial" w:hAnsi="Arial" w:cs="Arial"/>
                <w:shd w:val="clear" w:color="auto" w:fill="FFFFFF"/>
              </w:rPr>
              <w:t>):S</w:t>
            </w:r>
            <w:proofErr w:type="gramEnd"/>
            <w:r w:rsidRPr="00C96AE4">
              <w:rPr>
                <w:rFonts w:ascii="Arial" w:hAnsi="Arial" w:cs="Arial"/>
                <w:shd w:val="clear" w:color="auto" w:fill="FFFFFF"/>
              </w:rPr>
              <w:t>43–48. 10.3109/0142159X.2014.886011</w:t>
            </w:r>
          </w:p>
          <w:p w14:paraId="0231234D" w14:textId="77777777" w:rsidR="00781C99" w:rsidRPr="00781C99" w:rsidRDefault="00781C99" w:rsidP="00781C99">
            <w:pPr>
              <w:spacing w:after="0" w:line="240" w:lineRule="auto"/>
              <w:jc w:val="both"/>
              <w:rPr>
                <w:rFonts w:ascii="Arial" w:hAnsi="Arial" w:cs="Arial"/>
                <w:color w:val="000000" w:themeColor="text1"/>
              </w:rPr>
            </w:pPr>
          </w:p>
        </w:tc>
      </w:tr>
      <w:tr w:rsidR="00781C99" w:rsidRPr="00781C99" w14:paraId="1CC3EF92" w14:textId="77777777" w:rsidTr="0050748C">
        <w:tc>
          <w:tcPr>
            <w:tcW w:w="9016" w:type="dxa"/>
          </w:tcPr>
          <w:p w14:paraId="23CA7AC6" w14:textId="29D4C364" w:rsidR="00781C99" w:rsidRPr="00C96AE4" w:rsidRDefault="00781C99" w:rsidP="00781C99">
            <w:pPr>
              <w:spacing w:after="0" w:line="240" w:lineRule="auto"/>
              <w:jc w:val="both"/>
              <w:rPr>
                <w:rFonts w:ascii="Arial" w:hAnsi="Arial" w:cs="Arial"/>
                <w:shd w:val="clear" w:color="auto" w:fill="FFFFFF"/>
              </w:rPr>
            </w:pPr>
            <w:r w:rsidRPr="00C96AE4">
              <w:rPr>
                <w:rStyle w:val="HTMLCite"/>
                <w:rFonts w:ascii="Arial" w:hAnsi="Arial" w:cs="Arial"/>
                <w:i w:val="0"/>
                <w:iCs w:val="0"/>
                <w:shd w:val="clear" w:color="auto" w:fill="FFFFFF"/>
              </w:rPr>
              <w:t xml:space="preserve">Abid N, Aslam S, Alghamdi AA, Kumar T. Relationships among students’ reading habits, study skills, and academic achievement in English at the secondary level. Front Psychol. </w:t>
            </w:r>
            <w:proofErr w:type="gramStart"/>
            <w:r w:rsidRPr="00C96AE4">
              <w:rPr>
                <w:rStyle w:val="HTMLCite"/>
                <w:rFonts w:ascii="Arial" w:hAnsi="Arial" w:cs="Arial"/>
                <w:i w:val="0"/>
                <w:iCs w:val="0"/>
                <w:shd w:val="clear" w:color="auto" w:fill="FFFFFF"/>
              </w:rPr>
              <w:t>2023;14:1020269</w:t>
            </w:r>
            <w:proofErr w:type="gramEnd"/>
            <w:r w:rsidRPr="00C96AE4">
              <w:rPr>
                <w:rStyle w:val="HTMLCite"/>
                <w:rFonts w:ascii="Arial" w:hAnsi="Arial" w:cs="Arial"/>
                <w:i w:val="0"/>
                <w:iCs w:val="0"/>
                <w:shd w:val="clear" w:color="auto" w:fill="FFFFFF"/>
              </w:rPr>
              <w:t>. 10.3389/fpsyg.2023.1020269</w:t>
            </w:r>
            <w:r>
              <w:rPr>
                <w:rStyle w:val="HTMLCite"/>
                <w:rFonts w:ascii="Arial" w:hAnsi="Arial" w:cs="Arial"/>
                <w:i w:val="0"/>
                <w:iCs w:val="0"/>
                <w:shd w:val="clear" w:color="auto" w:fill="FFFFFF"/>
              </w:rPr>
              <w:t xml:space="preserve"> </w:t>
            </w:r>
            <w:r w:rsidRPr="00C96AE4">
              <w:rPr>
                <w:rFonts w:ascii="Arial" w:hAnsi="Arial" w:cs="Arial"/>
                <w:shd w:val="clear" w:color="auto" w:fill="FFFFFF"/>
              </w:rPr>
              <w:t> </w:t>
            </w:r>
          </w:p>
          <w:p w14:paraId="5E69D2AC" w14:textId="77777777" w:rsidR="00781C99" w:rsidRPr="00781C99" w:rsidRDefault="00781C99" w:rsidP="00781C99">
            <w:pPr>
              <w:spacing w:after="0" w:line="240" w:lineRule="auto"/>
              <w:jc w:val="both"/>
              <w:rPr>
                <w:rFonts w:ascii="Arial" w:hAnsi="Arial" w:cs="Arial"/>
                <w:color w:val="000000" w:themeColor="text1"/>
              </w:rPr>
            </w:pPr>
          </w:p>
        </w:tc>
      </w:tr>
      <w:tr w:rsidR="00781C99" w:rsidRPr="00781C99" w14:paraId="411317D2" w14:textId="77777777" w:rsidTr="0050748C">
        <w:tc>
          <w:tcPr>
            <w:tcW w:w="9016" w:type="dxa"/>
          </w:tcPr>
          <w:p w14:paraId="451D6257" w14:textId="77777777" w:rsidR="00781C99" w:rsidRPr="00781C99" w:rsidRDefault="00781C99" w:rsidP="00781C99">
            <w:pPr>
              <w:spacing w:after="0" w:line="240" w:lineRule="auto"/>
              <w:jc w:val="both"/>
              <w:rPr>
                <w:rFonts w:ascii="Arial" w:hAnsi="Arial" w:cs="Arial"/>
              </w:rPr>
            </w:pPr>
            <w:r w:rsidRPr="00781C99">
              <w:rPr>
                <w:rFonts w:ascii="Arial" w:hAnsi="Arial" w:cs="Arial"/>
              </w:rPr>
              <w:t xml:space="preserve">Adams, R. V., &amp; Blair, E. (2019). </w:t>
            </w:r>
            <w:r w:rsidRPr="00781C99">
              <w:rPr>
                <w:rStyle w:val="Emphasis"/>
                <w:rFonts w:ascii="Arial" w:hAnsi="Arial" w:cs="Arial"/>
              </w:rPr>
              <w:t>Impact of time management behaviors on undergraduate engineering students’ performance</w:t>
            </w:r>
            <w:r w:rsidRPr="00781C99">
              <w:rPr>
                <w:rFonts w:ascii="Arial" w:hAnsi="Arial" w:cs="Arial"/>
              </w:rPr>
              <w:t xml:space="preserve">. </w:t>
            </w:r>
            <w:r w:rsidRPr="00781C99">
              <w:rPr>
                <w:rStyle w:val="Emphasis"/>
                <w:rFonts w:ascii="Arial" w:hAnsi="Arial" w:cs="Arial"/>
              </w:rPr>
              <w:t>SAGE Open</w:t>
            </w:r>
            <w:r w:rsidRPr="00781C99">
              <w:rPr>
                <w:rFonts w:ascii="Arial" w:hAnsi="Arial" w:cs="Arial"/>
              </w:rPr>
              <w:t xml:space="preserve">, </w:t>
            </w:r>
            <w:r w:rsidRPr="00781C99">
              <w:rPr>
                <w:rStyle w:val="Emphasis"/>
                <w:rFonts w:ascii="Arial" w:hAnsi="Arial" w:cs="Arial"/>
              </w:rPr>
              <w:t>9</w:t>
            </w:r>
            <w:r w:rsidRPr="00781C99">
              <w:rPr>
                <w:rFonts w:ascii="Arial" w:hAnsi="Arial" w:cs="Arial"/>
              </w:rPr>
              <w:t xml:space="preserve">(1), 1–11. </w:t>
            </w:r>
            <w:hyperlink r:id="rId8" w:history="1">
              <w:r w:rsidRPr="00781C99">
                <w:rPr>
                  <w:rStyle w:val="Hyperlink"/>
                  <w:rFonts w:ascii="Arial" w:hAnsi="Arial" w:cs="Arial"/>
                </w:rPr>
                <w:t>https://doi.org/10.1177/2158244018824506</w:t>
              </w:r>
            </w:hyperlink>
          </w:p>
          <w:p w14:paraId="032BC437" w14:textId="77777777" w:rsidR="00781C99" w:rsidRPr="00781C99" w:rsidRDefault="00781C99" w:rsidP="00781C99">
            <w:pPr>
              <w:spacing w:after="0" w:line="240" w:lineRule="auto"/>
              <w:jc w:val="both"/>
              <w:rPr>
                <w:rFonts w:ascii="Arial" w:hAnsi="Arial" w:cs="Arial"/>
              </w:rPr>
            </w:pPr>
          </w:p>
        </w:tc>
      </w:tr>
      <w:tr w:rsidR="00781C99" w:rsidRPr="00781C99" w14:paraId="4AA0DE18" w14:textId="77777777" w:rsidTr="0050748C">
        <w:tc>
          <w:tcPr>
            <w:tcW w:w="9016" w:type="dxa"/>
          </w:tcPr>
          <w:p w14:paraId="455DB17D" w14:textId="77777777" w:rsidR="00781C99" w:rsidRPr="00781C99" w:rsidRDefault="00781C99" w:rsidP="00781C99">
            <w:pPr>
              <w:spacing w:after="0" w:line="240" w:lineRule="auto"/>
              <w:jc w:val="both"/>
              <w:rPr>
                <w:rFonts w:ascii="Arial" w:hAnsi="Arial" w:cs="Arial"/>
              </w:rPr>
            </w:pPr>
            <w:proofErr w:type="spellStart"/>
            <w:r w:rsidRPr="00781C99">
              <w:rPr>
                <w:rFonts w:ascii="Arial" w:hAnsi="Arial" w:cs="Arial"/>
              </w:rPr>
              <w:lastRenderedPageBreak/>
              <w:t>Arieta</w:t>
            </w:r>
            <w:proofErr w:type="spellEnd"/>
            <w:r w:rsidRPr="00781C99">
              <w:rPr>
                <w:rFonts w:ascii="Arial" w:hAnsi="Arial" w:cs="Arial"/>
              </w:rPr>
              <w:t xml:space="preserve">, K., </w:t>
            </w:r>
            <w:proofErr w:type="spellStart"/>
            <w:r w:rsidRPr="00781C99">
              <w:rPr>
                <w:rFonts w:ascii="Arial" w:hAnsi="Arial" w:cs="Arial"/>
              </w:rPr>
              <w:t>Gementiza</w:t>
            </w:r>
            <w:proofErr w:type="spellEnd"/>
            <w:r w:rsidRPr="00781C99">
              <w:rPr>
                <w:rFonts w:ascii="Arial" w:hAnsi="Arial" w:cs="Arial"/>
              </w:rPr>
              <w:t xml:space="preserve">, R., &amp; Saco, C. (2017). </w:t>
            </w:r>
            <w:r w:rsidRPr="00781C99">
              <w:rPr>
                <w:rStyle w:val="Emphasis"/>
                <w:rFonts w:ascii="Arial" w:hAnsi="Arial" w:cs="Arial"/>
              </w:rPr>
              <w:t>Factors affecting study habits on the academic performance of senior high school students of Davao Doctors College</w:t>
            </w:r>
            <w:r w:rsidRPr="00781C99">
              <w:rPr>
                <w:rFonts w:ascii="Arial" w:hAnsi="Arial" w:cs="Arial"/>
              </w:rPr>
              <w:t xml:space="preserve">. Scribd. </w:t>
            </w:r>
            <w:hyperlink r:id="rId9" w:history="1">
              <w:r w:rsidRPr="00781C99">
                <w:rPr>
                  <w:rStyle w:val="Hyperlink"/>
                  <w:rFonts w:ascii="Arial" w:hAnsi="Arial" w:cs="Arial"/>
                </w:rPr>
                <w:t>https://www.scribd.com/document/358797618/Factors-Affecting-Study-Habits-on-Academic-Performance-of-Senior-High-School-Students-of-Davao-Doctors-College</w:t>
              </w:r>
            </w:hyperlink>
          </w:p>
          <w:p w14:paraId="47DED512" w14:textId="77777777" w:rsidR="00781C99" w:rsidRPr="00781C99" w:rsidRDefault="00781C99" w:rsidP="00781C99">
            <w:pPr>
              <w:spacing w:after="0" w:line="240" w:lineRule="auto"/>
              <w:rPr>
                <w:rFonts w:ascii="Arial" w:hAnsi="Arial" w:cs="Arial"/>
                <w:color w:val="000000" w:themeColor="text1"/>
              </w:rPr>
            </w:pPr>
          </w:p>
        </w:tc>
      </w:tr>
      <w:tr w:rsidR="00692F5E" w:rsidRPr="00781C99" w14:paraId="2AD3B588" w14:textId="77777777" w:rsidTr="0050748C">
        <w:tc>
          <w:tcPr>
            <w:tcW w:w="9016" w:type="dxa"/>
          </w:tcPr>
          <w:p w14:paraId="16E7EC97" w14:textId="77777777" w:rsidR="00692F5E" w:rsidRPr="00692F5E" w:rsidRDefault="00692F5E" w:rsidP="00692F5E">
            <w:pPr>
              <w:spacing w:after="0" w:line="240" w:lineRule="auto"/>
              <w:jc w:val="both"/>
              <w:rPr>
                <w:rFonts w:ascii="Arial" w:eastAsia="Times New Roman" w:hAnsi="Arial" w:cs="Arial"/>
                <w:color w:val="000000" w:themeColor="text1"/>
                <w:lang w:eastAsia="en-PH"/>
              </w:rPr>
            </w:pPr>
            <w:r w:rsidRPr="00692F5E">
              <w:rPr>
                <w:rFonts w:ascii="Arial" w:eastAsia="Times New Roman" w:hAnsi="Arial" w:cs="Arial"/>
                <w:color w:val="000000" w:themeColor="text1"/>
                <w:lang w:eastAsia="en-PH"/>
              </w:rPr>
              <w:t xml:space="preserve">Awang, M. and </w:t>
            </w:r>
            <w:proofErr w:type="spellStart"/>
            <w:r w:rsidRPr="00692F5E">
              <w:rPr>
                <w:rFonts w:ascii="Arial" w:eastAsia="Times New Roman" w:hAnsi="Arial" w:cs="Arial"/>
                <w:color w:val="000000" w:themeColor="text1"/>
                <w:lang w:eastAsia="en-PH"/>
              </w:rPr>
              <w:t>Sinnadurai</w:t>
            </w:r>
            <w:proofErr w:type="spellEnd"/>
            <w:r w:rsidRPr="00692F5E">
              <w:rPr>
                <w:rFonts w:ascii="Arial" w:eastAsia="Times New Roman" w:hAnsi="Arial" w:cs="Arial"/>
                <w:color w:val="000000" w:themeColor="text1"/>
                <w:lang w:eastAsia="en-PH"/>
              </w:rPr>
              <w:t>, S.K. (2011). A study on the development of strategic tools in study orientation skills towards achieving academic excellence. </w:t>
            </w:r>
            <w:r w:rsidRPr="00692F5E">
              <w:rPr>
                <w:rFonts w:ascii="Arial" w:eastAsia="Times New Roman" w:hAnsi="Arial" w:cs="Arial"/>
                <w:i/>
                <w:iCs/>
                <w:color w:val="000000" w:themeColor="text1"/>
                <w:lang w:eastAsia="en-PH"/>
              </w:rPr>
              <w:t>Journal of Language Teaching and Research</w:t>
            </w:r>
            <w:r w:rsidRPr="00692F5E">
              <w:rPr>
                <w:rFonts w:ascii="Arial" w:eastAsia="Times New Roman" w:hAnsi="Arial" w:cs="Arial"/>
                <w:color w:val="000000" w:themeColor="text1"/>
                <w:lang w:eastAsia="en-PH"/>
              </w:rPr>
              <w:t>, Vol. 2, No. 1, pp. 60-67.</w:t>
            </w:r>
          </w:p>
          <w:p w14:paraId="0226F00C" w14:textId="77777777" w:rsidR="00692F5E" w:rsidRPr="00781C99" w:rsidRDefault="00692F5E" w:rsidP="00781C99">
            <w:pPr>
              <w:spacing w:after="0" w:line="240" w:lineRule="auto"/>
              <w:jc w:val="both"/>
              <w:rPr>
                <w:rFonts w:ascii="Arial" w:hAnsi="Arial" w:cs="Arial"/>
              </w:rPr>
            </w:pPr>
          </w:p>
        </w:tc>
      </w:tr>
      <w:tr w:rsidR="0050748C" w:rsidRPr="00781C99" w14:paraId="2370F5C1" w14:textId="77777777" w:rsidTr="0050748C">
        <w:tc>
          <w:tcPr>
            <w:tcW w:w="9016" w:type="dxa"/>
          </w:tcPr>
          <w:p w14:paraId="3F90B1D3" w14:textId="77777777" w:rsidR="0050748C" w:rsidRPr="00C96AE4" w:rsidRDefault="0050748C" w:rsidP="0050748C">
            <w:pPr>
              <w:spacing w:after="0" w:line="240" w:lineRule="auto"/>
              <w:jc w:val="both"/>
              <w:rPr>
                <w:rFonts w:ascii="Arial" w:hAnsi="Arial" w:cs="Arial"/>
                <w:color w:val="000000"/>
                <w:shd w:val="clear" w:color="auto" w:fill="FFFFFF"/>
              </w:rPr>
            </w:pPr>
            <w:proofErr w:type="spellStart"/>
            <w:r w:rsidRPr="00C96AE4">
              <w:rPr>
                <w:rFonts w:ascii="Arial" w:hAnsi="Arial" w:cs="Arial"/>
                <w:color w:val="000000"/>
                <w:shd w:val="clear" w:color="auto" w:fill="FFFFFF"/>
              </w:rPr>
              <w:t>Barcenas</w:t>
            </w:r>
            <w:proofErr w:type="spellEnd"/>
            <w:r w:rsidRPr="00C96AE4">
              <w:rPr>
                <w:rFonts w:ascii="Arial" w:hAnsi="Arial" w:cs="Arial"/>
                <w:color w:val="000000"/>
                <w:shd w:val="clear" w:color="auto" w:fill="FFFFFF"/>
              </w:rPr>
              <w:t xml:space="preserve">, JM &amp; </w:t>
            </w:r>
            <w:proofErr w:type="spellStart"/>
            <w:r w:rsidRPr="00C96AE4">
              <w:rPr>
                <w:rFonts w:ascii="Arial" w:hAnsi="Arial" w:cs="Arial"/>
                <w:color w:val="000000"/>
                <w:shd w:val="clear" w:color="auto" w:fill="FFFFFF"/>
              </w:rPr>
              <w:t>Bibon</w:t>
            </w:r>
            <w:proofErr w:type="spellEnd"/>
            <w:r w:rsidRPr="00C96AE4">
              <w:rPr>
                <w:rFonts w:ascii="Arial" w:hAnsi="Arial" w:cs="Arial"/>
                <w:color w:val="000000"/>
                <w:shd w:val="clear" w:color="auto" w:fill="FFFFFF"/>
              </w:rPr>
              <w:t xml:space="preserve">, MB (2022). The Influence of Study Habits in the Academic Performance of Senior High School Students in </w:t>
            </w:r>
            <w:proofErr w:type="spellStart"/>
            <w:r w:rsidRPr="00C96AE4">
              <w:rPr>
                <w:rFonts w:ascii="Arial" w:hAnsi="Arial" w:cs="Arial"/>
                <w:color w:val="000000"/>
                <w:shd w:val="clear" w:color="auto" w:fill="FFFFFF"/>
              </w:rPr>
              <w:t>Cagraray</w:t>
            </w:r>
            <w:proofErr w:type="spellEnd"/>
            <w:r w:rsidRPr="00C96AE4">
              <w:rPr>
                <w:rFonts w:ascii="Arial" w:hAnsi="Arial" w:cs="Arial"/>
                <w:color w:val="000000"/>
                <w:shd w:val="clear" w:color="auto" w:fill="FFFFFF"/>
              </w:rPr>
              <w:t xml:space="preserve"> Island, Philippines. </w:t>
            </w:r>
            <w:r w:rsidRPr="00C96AE4">
              <w:rPr>
                <w:rStyle w:val="Emphasis"/>
                <w:rFonts w:ascii="Arial" w:hAnsi="Arial" w:cs="Arial"/>
                <w:color w:val="000000"/>
                <w:bdr w:val="none" w:sz="0" w:space="0" w:color="auto" w:frame="1"/>
                <w:shd w:val="clear" w:color="auto" w:fill="FFFFFF"/>
              </w:rPr>
              <w:t xml:space="preserve">International Journal of Scientific Research in Multidisciplinary </w:t>
            </w:r>
            <w:proofErr w:type="gramStart"/>
            <w:r w:rsidRPr="00C96AE4">
              <w:rPr>
                <w:rStyle w:val="Emphasis"/>
                <w:rFonts w:ascii="Arial" w:hAnsi="Arial" w:cs="Arial"/>
                <w:color w:val="000000"/>
                <w:bdr w:val="none" w:sz="0" w:space="0" w:color="auto" w:frame="1"/>
                <w:shd w:val="clear" w:color="auto" w:fill="FFFFFF"/>
              </w:rPr>
              <w:t>Studies </w:t>
            </w:r>
            <w:r w:rsidRPr="00C96AE4">
              <w:rPr>
                <w:rFonts w:ascii="Arial" w:hAnsi="Arial" w:cs="Arial"/>
                <w:color w:val="000000"/>
                <w:shd w:val="clear" w:color="auto" w:fill="FFFFFF"/>
              </w:rPr>
              <w:t>,</w:t>
            </w:r>
            <w:proofErr w:type="gramEnd"/>
            <w:r w:rsidRPr="00C96AE4">
              <w:rPr>
                <w:rFonts w:ascii="Arial" w:hAnsi="Arial" w:cs="Arial"/>
                <w:color w:val="000000"/>
                <w:shd w:val="clear" w:color="auto" w:fill="FFFFFF"/>
              </w:rPr>
              <w:t xml:space="preserve"> 8(1), 21-28.</w:t>
            </w:r>
          </w:p>
          <w:p w14:paraId="1739E773" w14:textId="77777777" w:rsidR="0050748C" w:rsidRPr="00692F5E" w:rsidRDefault="0050748C" w:rsidP="00692F5E">
            <w:pPr>
              <w:spacing w:after="0" w:line="240" w:lineRule="auto"/>
              <w:jc w:val="both"/>
              <w:rPr>
                <w:rFonts w:ascii="Arial" w:eastAsia="Times New Roman" w:hAnsi="Arial" w:cs="Arial"/>
                <w:color w:val="000000" w:themeColor="text1"/>
                <w:lang w:eastAsia="en-PH"/>
              </w:rPr>
            </w:pPr>
          </w:p>
        </w:tc>
      </w:tr>
      <w:tr w:rsidR="00781C99" w:rsidRPr="00781C99" w14:paraId="5DB22956" w14:textId="77777777" w:rsidTr="0050748C">
        <w:tc>
          <w:tcPr>
            <w:tcW w:w="9016" w:type="dxa"/>
          </w:tcPr>
          <w:p w14:paraId="58A80EE0" w14:textId="77777777" w:rsidR="00781C99" w:rsidRPr="00781C99" w:rsidRDefault="00781C99" w:rsidP="00781C99">
            <w:pPr>
              <w:spacing w:after="0" w:line="240" w:lineRule="auto"/>
              <w:jc w:val="both"/>
              <w:rPr>
                <w:rFonts w:ascii="Arial" w:hAnsi="Arial" w:cs="Arial"/>
                <w:color w:val="191919"/>
              </w:rPr>
            </w:pPr>
            <w:r w:rsidRPr="00781C99">
              <w:rPr>
                <w:rFonts w:ascii="Arial" w:hAnsi="Arial" w:cs="Arial"/>
              </w:rPr>
              <w:t xml:space="preserve">Bin Abdulrahman, K. A., Khalaf, A. M., Bin Abbas, F. B., &amp; </w:t>
            </w:r>
            <w:proofErr w:type="spellStart"/>
            <w:r w:rsidRPr="00781C99">
              <w:rPr>
                <w:rFonts w:ascii="Arial" w:hAnsi="Arial" w:cs="Arial"/>
              </w:rPr>
              <w:t>Alanazi</w:t>
            </w:r>
            <w:proofErr w:type="spellEnd"/>
            <w:r w:rsidRPr="00781C99">
              <w:rPr>
                <w:rFonts w:ascii="Arial" w:hAnsi="Arial" w:cs="Arial"/>
              </w:rPr>
              <w:t xml:space="preserve">, O. T. (2021). Study habits of highly effective medical students. </w:t>
            </w:r>
            <w:r w:rsidRPr="00781C99">
              <w:rPr>
                <w:rStyle w:val="Emphasis"/>
                <w:rFonts w:ascii="Arial" w:hAnsi="Arial" w:cs="Arial"/>
              </w:rPr>
              <w:t>Advances in Medical Education and Practice</w:t>
            </w:r>
            <w:r w:rsidRPr="00781C99">
              <w:rPr>
                <w:rFonts w:ascii="Arial" w:hAnsi="Arial" w:cs="Arial"/>
              </w:rPr>
              <w:t xml:space="preserve">, </w:t>
            </w:r>
            <w:r w:rsidRPr="00781C99">
              <w:rPr>
                <w:rStyle w:val="Emphasis"/>
                <w:rFonts w:ascii="Arial" w:hAnsi="Arial" w:cs="Arial"/>
              </w:rPr>
              <w:t>12</w:t>
            </w:r>
            <w:r w:rsidRPr="00781C99">
              <w:rPr>
                <w:rFonts w:ascii="Arial" w:hAnsi="Arial" w:cs="Arial"/>
              </w:rPr>
              <w:t xml:space="preserve">, 627–633. </w:t>
            </w:r>
            <w:hyperlink r:id="rId10" w:tgtFrame="_new" w:history="1">
              <w:r w:rsidRPr="00781C99">
                <w:rPr>
                  <w:rStyle w:val="Hyperlink"/>
                  <w:rFonts w:ascii="Arial" w:hAnsi="Arial" w:cs="Arial"/>
                </w:rPr>
                <w:t>https://doi.org/10.2147/AMEP.S309535</w:t>
              </w:r>
            </w:hyperlink>
          </w:p>
          <w:p w14:paraId="18750E4C" w14:textId="77777777" w:rsidR="00781C99" w:rsidRPr="00781C99" w:rsidRDefault="00781C99" w:rsidP="00781C99">
            <w:pPr>
              <w:spacing w:after="0" w:line="240" w:lineRule="auto"/>
              <w:rPr>
                <w:rFonts w:ascii="Arial" w:hAnsi="Arial" w:cs="Arial"/>
                <w:color w:val="000000" w:themeColor="text1"/>
              </w:rPr>
            </w:pPr>
          </w:p>
        </w:tc>
      </w:tr>
      <w:tr w:rsidR="0050748C" w:rsidRPr="00781C99" w14:paraId="69BEFD52" w14:textId="77777777" w:rsidTr="0050748C">
        <w:tc>
          <w:tcPr>
            <w:tcW w:w="9016" w:type="dxa"/>
          </w:tcPr>
          <w:p w14:paraId="5F092BDF" w14:textId="77777777" w:rsidR="0050748C" w:rsidRPr="00C96AE4" w:rsidRDefault="0050748C" w:rsidP="0050748C">
            <w:pPr>
              <w:spacing w:after="0" w:line="240" w:lineRule="auto"/>
              <w:jc w:val="both"/>
              <w:rPr>
                <w:rFonts w:ascii="Arial" w:eastAsia="Times New Roman" w:hAnsi="Arial" w:cs="Arial"/>
                <w:color w:val="000000" w:themeColor="text1"/>
                <w:lang w:eastAsia="en-PH"/>
              </w:rPr>
            </w:pPr>
            <w:proofErr w:type="spellStart"/>
            <w:r w:rsidRPr="00C96AE4">
              <w:rPr>
                <w:rFonts w:ascii="Arial" w:eastAsia="Times New Roman" w:hAnsi="Arial" w:cs="Arial"/>
                <w:color w:val="000000" w:themeColor="text1"/>
                <w:lang w:eastAsia="en-PH"/>
              </w:rPr>
              <w:t>Crede</w:t>
            </w:r>
            <w:proofErr w:type="spellEnd"/>
            <w:r w:rsidRPr="00C96AE4">
              <w:rPr>
                <w:rFonts w:ascii="Arial" w:eastAsia="Times New Roman" w:hAnsi="Arial" w:cs="Arial"/>
                <w:color w:val="000000" w:themeColor="text1"/>
                <w:lang w:eastAsia="en-PH"/>
              </w:rPr>
              <w:t xml:space="preserve">, M. and </w:t>
            </w:r>
            <w:proofErr w:type="spellStart"/>
            <w:r w:rsidRPr="00C96AE4">
              <w:rPr>
                <w:rFonts w:ascii="Arial" w:eastAsia="Times New Roman" w:hAnsi="Arial" w:cs="Arial"/>
                <w:color w:val="000000" w:themeColor="text1"/>
                <w:lang w:eastAsia="en-PH"/>
              </w:rPr>
              <w:t>Kuncel</w:t>
            </w:r>
            <w:proofErr w:type="spellEnd"/>
            <w:r w:rsidRPr="00C96AE4">
              <w:rPr>
                <w:rFonts w:ascii="Arial" w:eastAsia="Times New Roman" w:hAnsi="Arial" w:cs="Arial"/>
                <w:color w:val="000000" w:themeColor="text1"/>
                <w:lang w:eastAsia="en-PH"/>
              </w:rPr>
              <w:t>, N. (2008). Study habits meta-analysis, Perspectives on Psychological Science in Press, Vol. 3 (6), 425-453.</w:t>
            </w:r>
          </w:p>
          <w:p w14:paraId="69652EBD" w14:textId="77777777" w:rsidR="0050748C" w:rsidRPr="00781C99" w:rsidRDefault="0050748C" w:rsidP="00781C99">
            <w:pPr>
              <w:spacing w:after="0" w:line="240" w:lineRule="auto"/>
              <w:jc w:val="both"/>
              <w:rPr>
                <w:rFonts w:ascii="Arial" w:hAnsi="Arial" w:cs="Arial"/>
              </w:rPr>
            </w:pPr>
          </w:p>
        </w:tc>
      </w:tr>
      <w:tr w:rsidR="00781C99" w:rsidRPr="00781C99" w14:paraId="79AC829C" w14:textId="77777777" w:rsidTr="0050748C">
        <w:tc>
          <w:tcPr>
            <w:tcW w:w="9016" w:type="dxa"/>
          </w:tcPr>
          <w:p w14:paraId="010E3648" w14:textId="77777777" w:rsidR="00781C99" w:rsidRPr="00781C99" w:rsidRDefault="00781C99" w:rsidP="00781C99">
            <w:pPr>
              <w:spacing w:after="0" w:line="240" w:lineRule="auto"/>
              <w:jc w:val="both"/>
              <w:rPr>
                <w:rFonts w:ascii="Arial" w:hAnsi="Arial" w:cs="Arial"/>
              </w:rPr>
            </w:pPr>
            <w:r w:rsidRPr="00781C99">
              <w:rPr>
                <w:rFonts w:ascii="Arial" w:hAnsi="Arial" w:cs="Arial"/>
              </w:rPr>
              <w:t xml:space="preserve">Ebele, U., &amp; </w:t>
            </w:r>
            <w:proofErr w:type="spellStart"/>
            <w:r w:rsidRPr="00781C99">
              <w:rPr>
                <w:rFonts w:ascii="Arial" w:hAnsi="Arial" w:cs="Arial"/>
              </w:rPr>
              <w:t>Olofu</w:t>
            </w:r>
            <w:proofErr w:type="spellEnd"/>
            <w:r w:rsidRPr="00781C99">
              <w:rPr>
                <w:rFonts w:ascii="Arial" w:hAnsi="Arial" w:cs="Arial"/>
              </w:rPr>
              <w:t xml:space="preserve">, P. (2017). Study habit and its impact on secondary school students' academic performance in Biology in the Federal Capital Territory, Abuja. </w:t>
            </w:r>
            <w:r w:rsidRPr="00781C99">
              <w:rPr>
                <w:rStyle w:val="Emphasis"/>
                <w:rFonts w:ascii="Arial" w:hAnsi="Arial" w:cs="Arial"/>
              </w:rPr>
              <w:t>Educational Research and Reviews, 12</w:t>
            </w:r>
            <w:r w:rsidRPr="00781C99">
              <w:rPr>
                <w:rFonts w:ascii="Arial" w:hAnsi="Arial" w:cs="Arial"/>
              </w:rPr>
              <w:t>(10), 583–588. https://doi.org/10.5897/ERR2016.3146</w:t>
            </w:r>
          </w:p>
          <w:p w14:paraId="16E8BD22" w14:textId="77777777" w:rsidR="00781C99" w:rsidRPr="00781C99" w:rsidRDefault="00781C99" w:rsidP="00781C99">
            <w:pPr>
              <w:spacing w:after="0" w:line="240" w:lineRule="auto"/>
              <w:rPr>
                <w:rFonts w:ascii="Arial" w:hAnsi="Arial" w:cs="Arial"/>
                <w:color w:val="000000" w:themeColor="text1"/>
              </w:rPr>
            </w:pPr>
          </w:p>
        </w:tc>
      </w:tr>
      <w:tr w:rsidR="0050748C" w:rsidRPr="00781C99" w14:paraId="30E5A9D8" w14:textId="77777777" w:rsidTr="0050748C">
        <w:tc>
          <w:tcPr>
            <w:tcW w:w="9016" w:type="dxa"/>
          </w:tcPr>
          <w:p w14:paraId="75B1A15A" w14:textId="77777777" w:rsidR="0050748C" w:rsidRPr="00C96AE4" w:rsidRDefault="0050748C" w:rsidP="0050748C">
            <w:pPr>
              <w:spacing w:after="0" w:line="240" w:lineRule="auto"/>
              <w:jc w:val="both"/>
              <w:rPr>
                <w:rFonts w:ascii="Arial" w:eastAsia="Times New Roman" w:hAnsi="Arial" w:cs="Arial"/>
                <w:color w:val="000000" w:themeColor="text1"/>
                <w:lang w:eastAsia="en-PH"/>
              </w:rPr>
            </w:pPr>
            <w:proofErr w:type="spellStart"/>
            <w:r w:rsidRPr="00C96AE4">
              <w:rPr>
                <w:rFonts w:ascii="Arial" w:eastAsia="Times New Roman" w:hAnsi="Arial" w:cs="Arial"/>
                <w:color w:val="000000" w:themeColor="text1"/>
                <w:lang w:eastAsia="en-PH"/>
              </w:rPr>
              <w:t>Eljo</w:t>
            </w:r>
            <w:proofErr w:type="spellEnd"/>
            <w:r w:rsidRPr="00C96AE4">
              <w:rPr>
                <w:rFonts w:ascii="Arial" w:eastAsia="Times New Roman" w:hAnsi="Arial" w:cs="Arial"/>
                <w:color w:val="000000" w:themeColor="text1"/>
                <w:lang w:eastAsia="en-PH"/>
              </w:rPr>
              <w:t xml:space="preserve">, </w:t>
            </w:r>
            <w:proofErr w:type="spellStart"/>
            <w:r w:rsidRPr="00C96AE4">
              <w:rPr>
                <w:rFonts w:ascii="Arial" w:eastAsia="Times New Roman" w:hAnsi="Arial" w:cs="Arial"/>
                <w:color w:val="000000" w:themeColor="text1"/>
                <w:lang w:eastAsia="en-PH"/>
              </w:rPr>
              <w:t>Jeryda</w:t>
            </w:r>
            <w:proofErr w:type="spellEnd"/>
            <w:r w:rsidRPr="00C96AE4">
              <w:rPr>
                <w:rFonts w:ascii="Arial" w:eastAsia="Times New Roman" w:hAnsi="Arial" w:cs="Arial"/>
                <w:color w:val="000000" w:themeColor="text1"/>
                <w:lang w:eastAsia="en-PH"/>
              </w:rPr>
              <w:t xml:space="preserve"> </w:t>
            </w:r>
            <w:proofErr w:type="spellStart"/>
            <w:r w:rsidRPr="00C96AE4">
              <w:rPr>
                <w:rFonts w:ascii="Arial" w:eastAsia="Times New Roman" w:hAnsi="Arial" w:cs="Arial"/>
                <w:color w:val="000000" w:themeColor="text1"/>
                <w:lang w:eastAsia="en-PH"/>
              </w:rPr>
              <w:t>Gnanajane</w:t>
            </w:r>
            <w:proofErr w:type="spellEnd"/>
            <w:r w:rsidRPr="00C96AE4">
              <w:rPr>
                <w:rFonts w:ascii="Arial" w:eastAsia="Times New Roman" w:hAnsi="Arial" w:cs="Arial"/>
                <w:color w:val="000000" w:themeColor="text1"/>
                <w:lang w:eastAsia="en-PH"/>
              </w:rPr>
              <w:t xml:space="preserve"> &amp; </w:t>
            </w:r>
            <w:proofErr w:type="spellStart"/>
            <w:r w:rsidRPr="00C96AE4">
              <w:rPr>
                <w:rFonts w:ascii="Arial" w:eastAsia="Times New Roman" w:hAnsi="Arial" w:cs="Arial"/>
                <w:color w:val="000000" w:themeColor="text1"/>
                <w:lang w:eastAsia="en-PH"/>
              </w:rPr>
              <w:t>Nadaf</w:t>
            </w:r>
            <w:proofErr w:type="spellEnd"/>
            <w:r w:rsidRPr="00C96AE4">
              <w:rPr>
                <w:rFonts w:ascii="Arial" w:eastAsia="Times New Roman" w:hAnsi="Arial" w:cs="Arial"/>
                <w:color w:val="000000" w:themeColor="text1"/>
                <w:lang w:eastAsia="en-PH"/>
              </w:rPr>
              <w:t xml:space="preserve">, </w:t>
            </w:r>
            <w:proofErr w:type="spellStart"/>
            <w:r w:rsidRPr="00C96AE4">
              <w:rPr>
                <w:rFonts w:ascii="Arial" w:eastAsia="Times New Roman" w:hAnsi="Arial" w:cs="Arial"/>
                <w:color w:val="000000" w:themeColor="text1"/>
                <w:lang w:eastAsia="en-PH"/>
              </w:rPr>
              <w:t>Mahammadsha</w:t>
            </w:r>
            <w:proofErr w:type="spellEnd"/>
            <w:r w:rsidRPr="00C96AE4">
              <w:rPr>
                <w:rFonts w:ascii="Arial" w:eastAsia="Times New Roman" w:hAnsi="Arial" w:cs="Arial"/>
                <w:color w:val="000000" w:themeColor="text1"/>
                <w:lang w:eastAsia="en-PH"/>
              </w:rPr>
              <w:t xml:space="preserve"> &amp; R, Rohini. (2022). A study on Mother's Education Level and the Study Practices among School Children: Role of Continued Education. International Journal of Early Childhood Special Education. 14. 2022. 10.48047/</w:t>
            </w:r>
            <w:proofErr w:type="spellStart"/>
            <w:r w:rsidRPr="00C96AE4">
              <w:rPr>
                <w:rFonts w:ascii="Arial" w:eastAsia="Times New Roman" w:hAnsi="Arial" w:cs="Arial"/>
                <w:color w:val="000000" w:themeColor="text1"/>
                <w:lang w:eastAsia="en-PH"/>
              </w:rPr>
              <w:t>intjecse</w:t>
            </w:r>
            <w:proofErr w:type="spellEnd"/>
            <w:r w:rsidRPr="00C96AE4">
              <w:rPr>
                <w:rFonts w:ascii="Arial" w:eastAsia="Times New Roman" w:hAnsi="Arial" w:cs="Arial"/>
                <w:color w:val="000000" w:themeColor="text1"/>
                <w:lang w:eastAsia="en-PH"/>
              </w:rPr>
              <w:t>/V14I7.365.</w:t>
            </w:r>
          </w:p>
          <w:p w14:paraId="787B652F" w14:textId="77777777" w:rsidR="0050748C" w:rsidRPr="00781C99" w:rsidRDefault="0050748C" w:rsidP="00781C99">
            <w:pPr>
              <w:spacing w:after="0" w:line="240" w:lineRule="auto"/>
              <w:jc w:val="both"/>
              <w:rPr>
                <w:rFonts w:ascii="Arial" w:hAnsi="Arial" w:cs="Arial"/>
              </w:rPr>
            </w:pPr>
          </w:p>
        </w:tc>
      </w:tr>
      <w:tr w:rsidR="00B91F86" w:rsidRPr="00781C99" w14:paraId="049E3323" w14:textId="77777777" w:rsidTr="0050748C">
        <w:tc>
          <w:tcPr>
            <w:tcW w:w="9016" w:type="dxa"/>
          </w:tcPr>
          <w:p w14:paraId="441C6782" w14:textId="77777777" w:rsidR="00B91F86" w:rsidRPr="00C96AE4" w:rsidRDefault="00B91F86" w:rsidP="00B91F86">
            <w:pPr>
              <w:spacing w:after="0" w:line="240" w:lineRule="auto"/>
              <w:jc w:val="both"/>
              <w:rPr>
                <w:rFonts w:ascii="Arial" w:eastAsia="Times New Roman" w:hAnsi="Arial" w:cs="Arial"/>
                <w:color w:val="000000" w:themeColor="text1"/>
                <w:lang w:eastAsia="en-PH"/>
              </w:rPr>
            </w:pPr>
            <w:r w:rsidRPr="00C96AE4">
              <w:rPr>
                <w:rFonts w:ascii="Arial" w:eastAsia="Times New Roman" w:hAnsi="Arial" w:cs="Arial"/>
                <w:color w:val="000000" w:themeColor="text1"/>
                <w:lang w:eastAsia="en-PH"/>
              </w:rPr>
              <w:t>Fazal, S. et. al (2012). The role of academic skills in academic achievement of students: A closer focus on gender. </w:t>
            </w:r>
            <w:r w:rsidRPr="00C96AE4">
              <w:rPr>
                <w:rFonts w:ascii="Arial" w:eastAsia="Times New Roman" w:hAnsi="Arial" w:cs="Arial"/>
                <w:i/>
                <w:iCs/>
                <w:color w:val="000000" w:themeColor="text1"/>
                <w:lang w:eastAsia="en-PH"/>
              </w:rPr>
              <w:t>Pakistan Journal of Psychological Research</w:t>
            </w:r>
            <w:r w:rsidRPr="00C96AE4">
              <w:rPr>
                <w:rFonts w:ascii="Arial" w:eastAsia="Times New Roman" w:hAnsi="Arial" w:cs="Arial"/>
                <w:color w:val="000000" w:themeColor="text1"/>
                <w:lang w:eastAsia="en-PH"/>
              </w:rPr>
              <w:t>, Vol. 27 (1), 35-51.</w:t>
            </w:r>
          </w:p>
          <w:p w14:paraId="5C4CAD38" w14:textId="77777777" w:rsidR="00B91F86" w:rsidRPr="00781C99" w:rsidRDefault="00B91F86" w:rsidP="00781C99">
            <w:pPr>
              <w:spacing w:after="0" w:line="240" w:lineRule="auto"/>
              <w:jc w:val="both"/>
              <w:rPr>
                <w:rFonts w:ascii="Arial" w:hAnsi="Arial" w:cs="Arial"/>
              </w:rPr>
            </w:pPr>
          </w:p>
        </w:tc>
      </w:tr>
      <w:tr w:rsidR="00781C99" w:rsidRPr="00781C99" w14:paraId="4144E75C" w14:textId="77777777" w:rsidTr="0050748C">
        <w:tc>
          <w:tcPr>
            <w:tcW w:w="9016" w:type="dxa"/>
          </w:tcPr>
          <w:p w14:paraId="0D94ECC2" w14:textId="77777777" w:rsidR="00781C99" w:rsidRPr="00781C99" w:rsidRDefault="00781C99" w:rsidP="00781C99">
            <w:pPr>
              <w:spacing w:after="0" w:line="240" w:lineRule="auto"/>
              <w:jc w:val="both"/>
              <w:rPr>
                <w:rFonts w:ascii="Arial" w:hAnsi="Arial" w:cs="Arial"/>
              </w:rPr>
            </w:pPr>
            <w:proofErr w:type="spellStart"/>
            <w:r w:rsidRPr="00781C99">
              <w:rPr>
                <w:rFonts w:ascii="Arial" w:hAnsi="Arial" w:cs="Arial"/>
              </w:rPr>
              <w:t>Fouché</w:t>
            </w:r>
            <w:proofErr w:type="spellEnd"/>
            <w:r w:rsidRPr="00781C99">
              <w:rPr>
                <w:rFonts w:ascii="Arial" w:hAnsi="Arial" w:cs="Arial"/>
              </w:rPr>
              <w:t xml:space="preserve">, J. P. (2017). The reported study habits and time-management trends of postgraduate students in accountancy. </w:t>
            </w:r>
            <w:r w:rsidRPr="00781C99">
              <w:rPr>
                <w:rStyle w:val="Emphasis"/>
                <w:rFonts w:ascii="Arial" w:hAnsi="Arial" w:cs="Arial"/>
              </w:rPr>
              <w:t>South African Journal of Higher Education, 31</w:t>
            </w:r>
            <w:r w:rsidRPr="00781C99">
              <w:rPr>
                <w:rFonts w:ascii="Arial" w:hAnsi="Arial" w:cs="Arial"/>
              </w:rPr>
              <w:t>(6), 216–237. http://www.journals.ac.za/index.php/sajhe/article/view/1356</w:t>
            </w:r>
          </w:p>
          <w:p w14:paraId="6A1BA2E4" w14:textId="77777777" w:rsidR="00781C99" w:rsidRPr="00781C99" w:rsidRDefault="00781C99" w:rsidP="00781C99">
            <w:pPr>
              <w:spacing w:after="0" w:line="240" w:lineRule="auto"/>
              <w:rPr>
                <w:rFonts w:ascii="Arial" w:hAnsi="Arial" w:cs="Arial"/>
                <w:color w:val="000000" w:themeColor="text1"/>
              </w:rPr>
            </w:pPr>
          </w:p>
        </w:tc>
      </w:tr>
      <w:tr w:rsidR="00781C99" w:rsidRPr="00781C99" w14:paraId="57A3F4C5" w14:textId="77777777" w:rsidTr="0050748C">
        <w:tc>
          <w:tcPr>
            <w:tcW w:w="9016" w:type="dxa"/>
          </w:tcPr>
          <w:p w14:paraId="47F20880" w14:textId="77777777" w:rsidR="00781C99" w:rsidRPr="00C96AE4" w:rsidRDefault="00781C99" w:rsidP="00781C99">
            <w:pPr>
              <w:spacing w:after="0" w:line="240" w:lineRule="auto"/>
              <w:jc w:val="both"/>
              <w:rPr>
                <w:rFonts w:ascii="Arial" w:hAnsi="Arial" w:cs="Arial"/>
                <w:shd w:val="clear" w:color="auto" w:fill="FFFFFF"/>
              </w:rPr>
            </w:pPr>
            <w:proofErr w:type="spellStart"/>
            <w:r w:rsidRPr="00C96AE4">
              <w:rPr>
                <w:rStyle w:val="HTMLCite"/>
                <w:rFonts w:ascii="Arial" w:hAnsi="Arial" w:cs="Arial"/>
                <w:i w:val="0"/>
                <w:iCs w:val="0"/>
                <w:shd w:val="clear" w:color="auto" w:fill="FFFFFF"/>
              </w:rPr>
              <w:t>İlçin</w:t>
            </w:r>
            <w:proofErr w:type="spellEnd"/>
            <w:r w:rsidRPr="00C96AE4">
              <w:rPr>
                <w:rStyle w:val="HTMLCite"/>
                <w:rFonts w:ascii="Arial" w:hAnsi="Arial" w:cs="Arial"/>
                <w:i w:val="0"/>
                <w:iCs w:val="0"/>
                <w:shd w:val="clear" w:color="auto" w:fill="FFFFFF"/>
              </w:rPr>
              <w:t xml:space="preserve"> N, </w:t>
            </w:r>
            <w:proofErr w:type="spellStart"/>
            <w:r w:rsidRPr="00C96AE4">
              <w:rPr>
                <w:rStyle w:val="HTMLCite"/>
                <w:rFonts w:ascii="Arial" w:hAnsi="Arial" w:cs="Arial"/>
                <w:i w:val="0"/>
                <w:iCs w:val="0"/>
                <w:shd w:val="clear" w:color="auto" w:fill="FFFFFF"/>
              </w:rPr>
              <w:t>Tomruk</w:t>
            </w:r>
            <w:proofErr w:type="spellEnd"/>
            <w:r w:rsidRPr="00C96AE4">
              <w:rPr>
                <w:rStyle w:val="HTMLCite"/>
                <w:rFonts w:ascii="Arial" w:hAnsi="Arial" w:cs="Arial"/>
                <w:i w:val="0"/>
                <w:iCs w:val="0"/>
                <w:shd w:val="clear" w:color="auto" w:fill="FFFFFF"/>
              </w:rPr>
              <w:t xml:space="preserve"> M, </w:t>
            </w:r>
            <w:proofErr w:type="spellStart"/>
            <w:r w:rsidRPr="00C96AE4">
              <w:rPr>
                <w:rStyle w:val="HTMLCite"/>
                <w:rFonts w:ascii="Arial" w:hAnsi="Arial" w:cs="Arial"/>
                <w:i w:val="0"/>
                <w:iCs w:val="0"/>
                <w:shd w:val="clear" w:color="auto" w:fill="FFFFFF"/>
              </w:rPr>
              <w:t>Yeşilyaprak</w:t>
            </w:r>
            <w:proofErr w:type="spellEnd"/>
            <w:r w:rsidRPr="00C96AE4">
              <w:rPr>
                <w:rStyle w:val="HTMLCite"/>
                <w:rFonts w:ascii="Arial" w:hAnsi="Arial" w:cs="Arial"/>
                <w:i w:val="0"/>
                <w:iCs w:val="0"/>
                <w:shd w:val="clear" w:color="auto" w:fill="FFFFFF"/>
              </w:rPr>
              <w:t xml:space="preserve"> SS, </w:t>
            </w:r>
            <w:proofErr w:type="spellStart"/>
            <w:r w:rsidRPr="00C96AE4">
              <w:rPr>
                <w:rStyle w:val="HTMLCite"/>
                <w:rFonts w:ascii="Arial" w:hAnsi="Arial" w:cs="Arial"/>
                <w:i w:val="0"/>
                <w:iCs w:val="0"/>
                <w:shd w:val="clear" w:color="auto" w:fill="FFFFFF"/>
              </w:rPr>
              <w:t>Karadibak</w:t>
            </w:r>
            <w:proofErr w:type="spellEnd"/>
            <w:r w:rsidRPr="00C96AE4">
              <w:rPr>
                <w:rStyle w:val="HTMLCite"/>
                <w:rFonts w:ascii="Arial" w:hAnsi="Arial" w:cs="Arial"/>
                <w:i w:val="0"/>
                <w:iCs w:val="0"/>
                <w:shd w:val="clear" w:color="auto" w:fill="FFFFFF"/>
              </w:rPr>
              <w:t xml:space="preserve"> D, </w:t>
            </w:r>
            <w:proofErr w:type="spellStart"/>
            <w:r w:rsidRPr="00C96AE4">
              <w:rPr>
                <w:rStyle w:val="HTMLCite"/>
                <w:rFonts w:ascii="Arial" w:hAnsi="Arial" w:cs="Arial"/>
                <w:i w:val="0"/>
                <w:iCs w:val="0"/>
                <w:shd w:val="clear" w:color="auto" w:fill="FFFFFF"/>
              </w:rPr>
              <w:t>Savcı</w:t>
            </w:r>
            <w:proofErr w:type="spellEnd"/>
            <w:r w:rsidRPr="00C96AE4">
              <w:rPr>
                <w:rStyle w:val="HTMLCite"/>
                <w:rFonts w:ascii="Arial" w:hAnsi="Arial" w:cs="Arial"/>
                <w:i w:val="0"/>
                <w:iCs w:val="0"/>
                <w:shd w:val="clear" w:color="auto" w:fill="FFFFFF"/>
              </w:rPr>
              <w:t xml:space="preserve"> S. (2018). The relationship between learning styles and academic performance in TURKISH physiotherapy students. BMC Med Educ. 2018;18(1):291. 10.1186/s12909-018-1400-2</w:t>
            </w:r>
            <w:r w:rsidRPr="00C96AE4">
              <w:rPr>
                <w:rFonts w:ascii="Arial" w:hAnsi="Arial" w:cs="Arial"/>
                <w:shd w:val="clear" w:color="auto" w:fill="FFFFFF"/>
              </w:rPr>
              <w:t> </w:t>
            </w:r>
          </w:p>
          <w:p w14:paraId="70DFE012" w14:textId="77777777" w:rsidR="00781C99" w:rsidRPr="00781C99" w:rsidRDefault="00781C99" w:rsidP="00781C99">
            <w:pPr>
              <w:spacing w:after="0" w:line="240" w:lineRule="auto"/>
              <w:jc w:val="both"/>
              <w:rPr>
                <w:rFonts w:ascii="Arial" w:hAnsi="Arial" w:cs="Arial"/>
              </w:rPr>
            </w:pPr>
          </w:p>
        </w:tc>
      </w:tr>
      <w:tr w:rsidR="00781C99" w:rsidRPr="00781C99" w14:paraId="5DC89B73" w14:textId="77777777" w:rsidTr="0050748C">
        <w:tc>
          <w:tcPr>
            <w:tcW w:w="9016" w:type="dxa"/>
          </w:tcPr>
          <w:p w14:paraId="5D116BE2" w14:textId="77777777" w:rsidR="00781C99" w:rsidRPr="00781C99" w:rsidRDefault="00781C99" w:rsidP="00781C99">
            <w:pPr>
              <w:spacing w:after="0" w:line="240" w:lineRule="auto"/>
              <w:jc w:val="both"/>
              <w:rPr>
                <w:rFonts w:ascii="Arial" w:hAnsi="Arial" w:cs="Arial"/>
              </w:rPr>
            </w:pPr>
            <w:r w:rsidRPr="00781C99">
              <w:rPr>
                <w:rFonts w:ascii="Arial" w:hAnsi="Arial" w:cs="Arial"/>
              </w:rPr>
              <w:t xml:space="preserve">Jafari, H., </w:t>
            </w:r>
            <w:proofErr w:type="spellStart"/>
            <w:r w:rsidRPr="00781C99">
              <w:rPr>
                <w:rFonts w:ascii="Arial" w:hAnsi="Arial" w:cs="Arial"/>
              </w:rPr>
              <w:t>Aghaei</w:t>
            </w:r>
            <w:proofErr w:type="spellEnd"/>
            <w:r w:rsidRPr="00781C99">
              <w:rPr>
                <w:rFonts w:ascii="Arial" w:hAnsi="Arial" w:cs="Arial"/>
              </w:rPr>
              <w:t xml:space="preserve">, A., &amp; </w:t>
            </w:r>
            <w:proofErr w:type="spellStart"/>
            <w:r w:rsidRPr="00781C99">
              <w:rPr>
                <w:rFonts w:ascii="Arial" w:hAnsi="Arial" w:cs="Arial"/>
              </w:rPr>
              <w:t>Khatony</w:t>
            </w:r>
            <w:proofErr w:type="spellEnd"/>
            <w:r w:rsidRPr="00781C99">
              <w:rPr>
                <w:rFonts w:ascii="Arial" w:hAnsi="Arial" w:cs="Arial"/>
              </w:rPr>
              <w:t xml:space="preserve">, A. (2019). Relationship between study habits and academic achievement in students of medical sciences in Kermanshah-Iran. </w:t>
            </w:r>
            <w:r w:rsidRPr="00781C99">
              <w:rPr>
                <w:rStyle w:val="Emphasis"/>
                <w:rFonts w:ascii="Arial" w:hAnsi="Arial" w:cs="Arial"/>
              </w:rPr>
              <w:t>Advances in Medical Education and Practice</w:t>
            </w:r>
            <w:r w:rsidRPr="00781C99">
              <w:rPr>
                <w:rFonts w:ascii="Arial" w:hAnsi="Arial" w:cs="Arial"/>
              </w:rPr>
              <w:t xml:space="preserve">, </w:t>
            </w:r>
            <w:r w:rsidRPr="00781C99">
              <w:rPr>
                <w:rStyle w:val="Emphasis"/>
                <w:rFonts w:ascii="Arial" w:hAnsi="Arial" w:cs="Arial"/>
              </w:rPr>
              <w:t>10</w:t>
            </w:r>
            <w:r w:rsidRPr="00781C99">
              <w:rPr>
                <w:rFonts w:ascii="Arial" w:hAnsi="Arial" w:cs="Arial"/>
              </w:rPr>
              <w:t>, 637–643.</w:t>
            </w:r>
          </w:p>
          <w:p w14:paraId="0B6C88CB" w14:textId="77777777" w:rsidR="00781C99" w:rsidRPr="00781C99" w:rsidRDefault="00781C99" w:rsidP="00781C99">
            <w:pPr>
              <w:spacing w:after="0" w:line="240" w:lineRule="auto"/>
              <w:rPr>
                <w:rFonts w:ascii="Arial" w:hAnsi="Arial" w:cs="Arial"/>
                <w:color w:val="000000" w:themeColor="text1"/>
              </w:rPr>
            </w:pPr>
          </w:p>
        </w:tc>
      </w:tr>
      <w:tr w:rsidR="00781C99" w:rsidRPr="00781C99" w14:paraId="52E67C1B" w14:textId="77777777" w:rsidTr="0050748C">
        <w:tc>
          <w:tcPr>
            <w:tcW w:w="9016" w:type="dxa"/>
          </w:tcPr>
          <w:p w14:paraId="3C676E3F" w14:textId="77777777" w:rsidR="00781C99" w:rsidRPr="00781C99" w:rsidRDefault="00781C99" w:rsidP="00781C99">
            <w:pPr>
              <w:spacing w:after="0" w:line="240" w:lineRule="auto"/>
              <w:jc w:val="both"/>
              <w:rPr>
                <w:rFonts w:ascii="Arial" w:hAnsi="Arial" w:cs="Arial"/>
              </w:rPr>
            </w:pPr>
            <w:r w:rsidRPr="00781C99">
              <w:rPr>
                <w:rFonts w:ascii="Arial" w:hAnsi="Arial" w:cs="Arial"/>
              </w:rPr>
              <w:t xml:space="preserve">Kumar, S. (2015). </w:t>
            </w:r>
            <w:r w:rsidRPr="00781C99">
              <w:rPr>
                <w:rStyle w:val="Emphasis"/>
                <w:rFonts w:ascii="Arial" w:hAnsi="Arial" w:cs="Arial"/>
              </w:rPr>
              <w:t>Study habits of undergraduate students</w:t>
            </w:r>
            <w:r w:rsidRPr="00781C99">
              <w:rPr>
                <w:rFonts w:ascii="Arial" w:hAnsi="Arial" w:cs="Arial"/>
              </w:rPr>
              <w:t xml:space="preserve">. </w:t>
            </w:r>
            <w:r w:rsidRPr="00781C99">
              <w:rPr>
                <w:rStyle w:val="Emphasis"/>
                <w:rFonts w:ascii="Arial" w:hAnsi="Arial" w:cs="Arial"/>
              </w:rPr>
              <w:t>International Journal of Education and Information Studies, 5</w:t>
            </w:r>
            <w:r w:rsidRPr="00781C99">
              <w:rPr>
                <w:rFonts w:ascii="Arial" w:hAnsi="Arial" w:cs="Arial"/>
              </w:rPr>
              <w:t xml:space="preserve">(1), 2-7. Retrieved from </w:t>
            </w:r>
            <w:hyperlink r:id="rId11" w:tgtFrame="_new" w:history="1">
              <w:r w:rsidRPr="00781C99">
                <w:rPr>
                  <w:rStyle w:val="Hyperlink"/>
                  <w:rFonts w:ascii="Arial" w:hAnsi="Arial" w:cs="Arial"/>
                </w:rPr>
                <w:t>https://www.ripublication.com/ijeisv1n1/ijeisv5n1_02.pdf</w:t>
              </w:r>
            </w:hyperlink>
          </w:p>
          <w:p w14:paraId="74008475" w14:textId="77777777" w:rsidR="00781C99" w:rsidRPr="00781C99" w:rsidRDefault="00781C99" w:rsidP="00781C99">
            <w:pPr>
              <w:spacing w:after="0" w:line="240" w:lineRule="auto"/>
              <w:rPr>
                <w:rFonts w:ascii="Arial" w:hAnsi="Arial" w:cs="Arial"/>
                <w:color w:val="000000" w:themeColor="text1"/>
              </w:rPr>
            </w:pPr>
          </w:p>
        </w:tc>
      </w:tr>
      <w:tr w:rsidR="0050748C" w:rsidRPr="00781C99" w14:paraId="60A96654" w14:textId="77777777" w:rsidTr="0050748C">
        <w:tc>
          <w:tcPr>
            <w:tcW w:w="9016" w:type="dxa"/>
          </w:tcPr>
          <w:p w14:paraId="1525A7F7" w14:textId="5BC881BD" w:rsidR="0050748C" w:rsidRPr="0050748C" w:rsidRDefault="0050748C" w:rsidP="00781C99">
            <w:pPr>
              <w:spacing w:after="0" w:line="240" w:lineRule="auto"/>
              <w:jc w:val="both"/>
              <w:rPr>
                <w:rFonts w:ascii="Arial" w:hAnsi="Arial" w:cs="Arial"/>
              </w:rPr>
            </w:pPr>
            <w:r w:rsidRPr="0050748C">
              <w:rPr>
                <w:rFonts w:ascii="Arial" w:hAnsi="Arial" w:cs="Arial"/>
              </w:rPr>
              <w:t xml:space="preserve">Lucky, P. N., </w:t>
            </w:r>
            <w:proofErr w:type="spellStart"/>
            <w:r w:rsidRPr="0050748C">
              <w:rPr>
                <w:rFonts w:ascii="Arial" w:hAnsi="Arial" w:cs="Arial"/>
              </w:rPr>
              <w:t>Amanze</w:t>
            </w:r>
            <w:proofErr w:type="spellEnd"/>
            <w:r w:rsidRPr="0050748C">
              <w:rPr>
                <w:rFonts w:ascii="Arial" w:hAnsi="Arial" w:cs="Arial"/>
              </w:rPr>
              <w:t>, C., Immaculata, C., &amp; Obinna-</w:t>
            </w:r>
            <w:proofErr w:type="spellStart"/>
            <w:r w:rsidRPr="0050748C">
              <w:rPr>
                <w:rFonts w:ascii="Arial" w:hAnsi="Arial" w:cs="Arial"/>
              </w:rPr>
              <w:t>Akakuru</w:t>
            </w:r>
            <w:proofErr w:type="spellEnd"/>
            <w:r w:rsidRPr="0050748C">
              <w:rPr>
                <w:rFonts w:ascii="Arial" w:hAnsi="Arial" w:cs="Arial"/>
              </w:rPr>
              <w:t xml:space="preserve">, A. U. (2018, March 20). Peer learning strategy and students’ academic achievement in economics in Imo State. </w:t>
            </w:r>
            <w:r w:rsidRPr="0050748C">
              <w:rPr>
                <w:rStyle w:val="Emphasis"/>
                <w:rFonts w:ascii="Arial" w:hAnsi="Arial" w:cs="Arial"/>
              </w:rPr>
              <w:t>Asian Journal of Economics, Business and Accounting, 6</w:t>
            </w:r>
            <w:r w:rsidRPr="0050748C">
              <w:rPr>
                <w:rFonts w:ascii="Arial" w:hAnsi="Arial" w:cs="Arial"/>
              </w:rPr>
              <w:t>(2), 1–7. https://journalajeba.com/index.php/AJEBA/article/view/58</w:t>
            </w:r>
          </w:p>
        </w:tc>
      </w:tr>
      <w:tr w:rsidR="00781C99" w:rsidRPr="00781C99" w14:paraId="02B88D75" w14:textId="77777777" w:rsidTr="0050748C">
        <w:tc>
          <w:tcPr>
            <w:tcW w:w="9016" w:type="dxa"/>
          </w:tcPr>
          <w:p w14:paraId="7D177E91" w14:textId="77777777" w:rsidR="00781C99" w:rsidRPr="00CC6E6F" w:rsidRDefault="00781C99" w:rsidP="00781C99">
            <w:pPr>
              <w:spacing w:after="0" w:line="240" w:lineRule="auto"/>
              <w:jc w:val="both"/>
              <w:rPr>
                <w:rFonts w:ascii="Arial" w:eastAsia="Times New Roman" w:hAnsi="Arial" w:cs="Arial"/>
                <w:color w:val="000000" w:themeColor="text1"/>
                <w:lang w:eastAsia="en-PH"/>
              </w:rPr>
            </w:pPr>
            <w:r w:rsidRPr="00CC6E6F">
              <w:rPr>
                <w:rFonts w:ascii="Arial" w:eastAsia="Times New Roman" w:hAnsi="Arial" w:cs="Arial"/>
                <w:color w:val="000000" w:themeColor="text1"/>
                <w:lang w:eastAsia="en-PH"/>
              </w:rPr>
              <w:t>Mangal SK (2001). Teachers Education Trends and Strategies. New Delhi: Radha Publications.</w:t>
            </w:r>
          </w:p>
          <w:p w14:paraId="7CDE99A0" w14:textId="77777777" w:rsidR="00781C99" w:rsidRPr="00781C99" w:rsidRDefault="00781C99" w:rsidP="00781C99">
            <w:pPr>
              <w:spacing w:after="0" w:line="240" w:lineRule="auto"/>
              <w:jc w:val="both"/>
              <w:rPr>
                <w:rFonts w:ascii="Arial" w:hAnsi="Arial" w:cs="Arial"/>
              </w:rPr>
            </w:pPr>
          </w:p>
        </w:tc>
      </w:tr>
      <w:tr w:rsidR="00781C99" w:rsidRPr="00781C99" w14:paraId="4C5AA331" w14:textId="77777777" w:rsidTr="0050748C">
        <w:tc>
          <w:tcPr>
            <w:tcW w:w="9016" w:type="dxa"/>
          </w:tcPr>
          <w:p w14:paraId="4C33656B" w14:textId="77777777" w:rsidR="00781C99" w:rsidRPr="00692F5E" w:rsidRDefault="00781C99" w:rsidP="00781C99">
            <w:pPr>
              <w:spacing w:after="0" w:line="240" w:lineRule="auto"/>
              <w:jc w:val="both"/>
              <w:rPr>
                <w:rFonts w:ascii="Arial" w:hAnsi="Arial" w:cs="Arial"/>
                <w:shd w:val="clear" w:color="auto" w:fill="FFFFFF"/>
              </w:rPr>
            </w:pPr>
            <w:proofErr w:type="spellStart"/>
            <w:r w:rsidRPr="00692F5E">
              <w:rPr>
                <w:rFonts w:ascii="Arial" w:hAnsi="Arial" w:cs="Arial"/>
                <w:shd w:val="clear" w:color="auto" w:fill="FFFFFF"/>
              </w:rPr>
              <w:lastRenderedPageBreak/>
              <w:t>Muntean</w:t>
            </w:r>
            <w:proofErr w:type="spellEnd"/>
            <w:r w:rsidRPr="00692F5E">
              <w:rPr>
                <w:rFonts w:ascii="Arial" w:hAnsi="Arial" w:cs="Arial"/>
                <w:shd w:val="clear" w:color="auto" w:fill="FFFFFF"/>
              </w:rPr>
              <w:t xml:space="preserve"> LM, </w:t>
            </w:r>
            <w:proofErr w:type="spellStart"/>
            <w:r w:rsidRPr="00692F5E">
              <w:rPr>
                <w:rFonts w:ascii="Arial" w:hAnsi="Arial" w:cs="Arial"/>
                <w:shd w:val="clear" w:color="auto" w:fill="FFFFFF"/>
              </w:rPr>
              <w:t>Nireștean</w:t>
            </w:r>
            <w:proofErr w:type="spellEnd"/>
            <w:r w:rsidRPr="00692F5E">
              <w:rPr>
                <w:rFonts w:ascii="Arial" w:hAnsi="Arial" w:cs="Arial"/>
                <w:shd w:val="clear" w:color="auto" w:fill="FFFFFF"/>
              </w:rPr>
              <w:t xml:space="preserve"> A, </w:t>
            </w:r>
            <w:proofErr w:type="spellStart"/>
            <w:r w:rsidRPr="00692F5E">
              <w:rPr>
                <w:rFonts w:ascii="Arial" w:hAnsi="Arial" w:cs="Arial"/>
                <w:shd w:val="clear" w:color="auto" w:fill="FFFFFF"/>
              </w:rPr>
              <w:t>Sima-Comaniciu</w:t>
            </w:r>
            <w:proofErr w:type="spellEnd"/>
            <w:r w:rsidRPr="00692F5E">
              <w:rPr>
                <w:rFonts w:ascii="Arial" w:hAnsi="Arial" w:cs="Arial"/>
                <w:shd w:val="clear" w:color="auto" w:fill="FFFFFF"/>
              </w:rPr>
              <w:t xml:space="preserve"> A, </w:t>
            </w:r>
            <w:proofErr w:type="spellStart"/>
            <w:r w:rsidRPr="00692F5E">
              <w:rPr>
                <w:rFonts w:ascii="Arial" w:hAnsi="Arial" w:cs="Arial"/>
                <w:shd w:val="clear" w:color="auto" w:fill="FFFFFF"/>
              </w:rPr>
              <w:t>Mărușteri</w:t>
            </w:r>
            <w:proofErr w:type="spellEnd"/>
            <w:r w:rsidRPr="00692F5E">
              <w:rPr>
                <w:rFonts w:ascii="Arial" w:hAnsi="Arial" w:cs="Arial"/>
                <w:shd w:val="clear" w:color="auto" w:fill="FFFFFF"/>
              </w:rPr>
              <w:t xml:space="preserve"> M, </w:t>
            </w:r>
            <w:proofErr w:type="spellStart"/>
            <w:r w:rsidRPr="00692F5E">
              <w:rPr>
                <w:rFonts w:ascii="Arial" w:hAnsi="Arial" w:cs="Arial"/>
                <w:shd w:val="clear" w:color="auto" w:fill="FFFFFF"/>
              </w:rPr>
              <w:t>Zăgan</w:t>
            </w:r>
            <w:proofErr w:type="spellEnd"/>
            <w:r w:rsidRPr="00692F5E">
              <w:rPr>
                <w:rFonts w:ascii="Arial" w:hAnsi="Arial" w:cs="Arial"/>
                <w:shd w:val="clear" w:color="auto" w:fill="FFFFFF"/>
              </w:rPr>
              <w:t xml:space="preserve"> CA, Lukacs E. (2022). The relationship between personality, motivation and academic performance at Medical students from Romania. Int J Environ Res Public Health 2022, 19(15).</w:t>
            </w:r>
          </w:p>
          <w:p w14:paraId="0D2E82BF" w14:textId="77777777" w:rsidR="00781C99" w:rsidRPr="00692F5E" w:rsidRDefault="00781C99" w:rsidP="00781C99">
            <w:pPr>
              <w:spacing w:after="0" w:line="240" w:lineRule="auto"/>
              <w:jc w:val="both"/>
              <w:rPr>
                <w:rFonts w:ascii="Arial" w:eastAsia="Times New Roman" w:hAnsi="Arial" w:cs="Arial"/>
                <w:color w:val="000000" w:themeColor="text1"/>
                <w:lang w:eastAsia="en-PH"/>
              </w:rPr>
            </w:pPr>
          </w:p>
        </w:tc>
      </w:tr>
      <w:tr w:rsidR="00692F5E" w:rsidRPr="00781C99" w14:paraId="6A7233A4" w14:textId="77777777" w:rsidTr="0050748C">
        <w:tc>
          <w:tcPr>
            <w:tcW w:w="9016" w:type="dxa"/>
          </w:tcPr>
          <w:p w14:paraId="3A340C18" w14:textId="77777777" w:rsidR="00692F5E" w:rsidRPr="00692F5E" w:rsidRDefault="00692F5E" w:rsidP="00692F5E">
            <w:pPr>
              <w:spacing w:after="0" w:line="240" w:lineRule="auto"/>
              <w:jc w:val="both"/>
              <w:rPr>
                <w:rFonts w:ascii="Arial" w:eastAsia="Times New Roman" w:hAnsi="Arial" w:cs="Arial"/>
                <w:color w:val="000000" w:themeColor="text1"/>
                <w:lang w:eastAsia="en-PH"/>
              </w:rPr>
            </w:pPr>
            <w:proofErr w:type="spellStart"/>
            <w:r w:rsidRPr="00692F5E">
              <w:rPr>
                <w:rFonts w:ascii="Arial" w:eastAsia="Times New Roman" w:hAnsi="Arial" w:cs="Arial"/>
                <w:color w:val="000000" w:themeColor="text1"/>
                <w:lang w:eastAsia="en-PH"/>
              </w:rPr>
              <w:t>Nonis</w:t>
            </w:r>
            <w:proofErr w:type="spellEnd"/>
            <w:r w:rsidRPr="00692F5E">
              <w:rPr>
                <w:rFonts w:ascii="Arial" w:eastAsia="Times New Roman" w:hAnsi="Arial" w:cs="Arial"/>
                <w:color w:val="000000" w:themeColor="text1"/>
                <w:lang w:eastAsia="en-PH"/>
              </w:rPr>
              <w:t>, S. and Hudson, G. (2008). Academic performance of college students: Influence of time spent studying and working. </w:t>
            </w:r>
            <w:r w:rsidRPr="00692F5E">
              <w:rPr>
                <w:rFonts w:ascii="Arial" w:eastAsia="Times New Roman" w:hAnsi="Arial" w:cs="Arial"/>
                <w:i/>
                <w:iCs/>
                <w:color w:val="000000" w:themeColor="text1"/>
                <w:lang w:eastAsia="en-PH"/>
              </w:rPr>
              <w:t>Journal of Education for Business</w:t>
            </w:r>
            <w:r w:rsidRPr="00692F5E">
              <w:rPr>
                <w:rFonts w:ascii="Arial" w:eastAsia="Times New Roman" w:hAnsi="Arial" w:cs="Arial"/>
                <w:color w:val="000000" w:themeColor="text1"/>
                <w:lang w:eastAsia="en-PH"/>
              </w:rPr>
              <w:t>, January/February 151-159.</w:t>
            </w:r>
          </w:p>
          <w:p w14:paraId="3F52E6EF" w14:textId="77777777" w:rsidR="00692F5E" w:rsidRPr="00692F5E" w:rsidRDefault="00692F5E" w:rsidP="00781C99">
            <w:pPr>
              <w:spacing w:after="0" w:line="240" w:lineRule="auto"/>
              <w:jc w:val="both"/>
              <w:rPr>
                <w:rFonts w:ascii="Arial" w:hAnsi="Arial" w:cs="Arial"/>
                <w:shd w:val="clear" w:color="auto" w:fill="FFFFFF"/>
              </w:rPr>
            </w:pPr>
          </w:p>
        </w:tc>
      </w:tr>
      <w:tr w:rsidR="00781C99" w:rsidRPr="00781C99" w14:paraId="2EE84B77" w14:textId="77777777" w:rsidTr="0050748C">
        <w:tc>
          <w:tcPr>
            <w:tcW w:w="9016" w:type="dxa"/>
          </w:tcPr>
          <w:p w14:paraId="20A3DBA4" w14:textId="77777777" w:rsidR="00781C99" w:rsidRPr="00C96AE4" w:rsidRDefault="00781C99" w:rsidP="00781C99">
            <w:pPr>
              <w:spacing w:after="0" w:line="240" w:lineRule="auto"/>
              <w:jc w:val="both"/>
              <w:rPr>
                <w:rFonts w:ascii="Arial" w:hAnsi="Arial" w:cs="Arial"/>
                <w:shd w:val="clear" w:color="auto" w:fill="FFFFFF"/>
              </w:rPr>
            </w:pPr>
            <w:r w:rsidRPr="00C96AE4">
              <w:rPr>
                <w:rStyle w:val="HTMLCite"/>
                <w:rFonts w:ascii="Arial" w:hAnsi="Arial" w:cs="Arial"/>
                <w:i w:val="0"/>
                <w:iCs w:val="0"/>
                <w:shd w:val="clear" w:color="auto" w:fill="FFFFFF"/>
              </w:rPr>
              <w:t xml:space="preserve">Pun J, Kong B. (2023). An exploratory study of communication training for Chinese medicine practitioners in Hong Kong to integrate patients’ conventional medical history. BMC Complement Med </w:t>
            </w:r>
            <w:proofErr w:type="spellStart"/>
            <w:r w:rsidRPr="00C96AE4">
              <w:rPr>
                <w:rStyle w:val="HTMLCite"/>
                <w:rFonts w:ascii="Arial" w:hAnsi="Arial" w:cs="Arial"/>
                <w:i w:val="0"/>
                <w:iCs w:val="0"/>
                <w:shd w:val="clear" w:color="auto" w:fill="FFFFFF"/>
              </w:rPr>
              <w:t>Ther</w:t>
            </w:r>
            <w:proofErr w:type="spellEnd"/>
            <w:r w:rsidRPr="00C96AE4">
              <w:rPr>
                <w:rStyle w:val="HTMLCite"/>
                <w:rFonts w:ascii="Arial" w:hAnsi="Arial" w:cs="Arial"/>
                <w:i w:val="0"/>
                <w:iCs w:val="0"/>
                <w:shd w:val="clear" w:color="auto" w:fill="FFFFFF"/>
              </w:rPr>
              <w:t>. 2023;23(1):10. 10.1186/s12906-022-03811-x</w:t>
            </w:r>
            <w:r w:rsidRPr="00C96AE4">
              <w:rPr>
                <w:rFonts w:ascii="Arial" w:hAnsi="Arial" w:cs="Arial"/>
                <w:shd w:val="clear" w:color="auto" w:fill="FFFFFF"/>
              </w:rPr>
              <w:t> </w:t>
            </w:r>
          </w:p>
          <w:p w14:paraId="5E48EE3C" w14:textId="77777777" w:rsidR="00781C99" w:rsidRPr="00C96AE4" w:rsidRDefault="00781C99" w:rsidP="00781C99">
            <w:pPr>
              <w:spacing w:after="0" w:line="240" w:lineRule="auto"/>
              <w:jc w:val="both"/>
              <w:rPr>
                <w:rFonts w:ascii="Arial" w:hAnsi="Arial" w:cs="Arial"/>
                <w:shd w:val="clear" w:color="auto" w:fill="FFFFFF"/>
              </w:rPr>
            </w:pPr>
          </w:p>
        </w:tc>
      </w:tr>
      <w:tr w:rsidR="00692F5E" w:rsidRPr="00781C99" w14:paraId="7A233F7D" w14:textId="77777777" w:rsidTr="0050748C">
        <w:tc>
          <w:tcPr>
            <w:tcW w:w="9016" w:type="dxa"/>
          </w:tcPr>
          <w:p w14:paraId="35479ACB" w14:textId="77777777" w:rsidR="00692F5E" w:rsidRPr="00C96AE4" w:rsidRDefault="00692F5E" w:rsidP="00692F5E">
            <w:pPr>
              <w:spacing w:after="0" w:line="240" w:lineRule="auto"/>
              <w:jc w:val="both"/>
              <w:rPr>
                <w:rFonts w:ascii="Arial" w:eastAsia="Times New Roman" w:hAnsi="Arial" w:cs="Arial"/>
                <w:color w:val="000000" w:themeColor="text1"/>
                <w:lang w:eastAsia="en-PH"/>
              </w:rPr>
            </w:pPr>
            <w:r w:rsidRPr="00C96AE4">
              <w:rPr>
                <w:rFonts w:ascii="Arial" w:eastAsia="Times New Roman" w:hAnsi="Arial" w:cs="Arial"/>
                <w:color w:val="000000" w:themeColor="text1"/>
                <w:lang w:eastAsia="en-PH"/>
              </w:rPr>
              <w:t>Sarwar, M. et. al (2010). Study attitude and academic achievement at secondary level in Pakistan. </w:t>
            </w:r>
            <w:r w:rsidRPr="00C96AE4">
              <w:rPr>
                <w:rFonts w:ascii="Arial" w:eastAsia="Times New Roman" w:hAnsi="Arial" w:cs="Arial"/>
                <w:i/>
                <w:iCs/>
                <w:color w:val="000000" w:themeColor="text1"/>
                <w:lang w:eastAsia="en-PH"/>
              </w:rPr>
              <w:t>Journal of College Teaching and Learning</w:t>
            </w:r>
            <w:r w:rsidRPr="00C96AE4">
              <w:rPr>
                <w:rFonts w:ascii="Arial" w:eastAsia="Times New Roman" w:hAnsi="Arial" w:cs="Arial"/>
                <w:color w:val="000000" w:themeColor="text1"/>
                <w:lang w:eastAsia="en-PH"/>
              </w:rPr>
              <w:t>, Vol. 7 (2). </w:t>
            </w:r>
          </w:p>
          <w:p w14:paraId="46670B24" w14:textId="77777777" w:rsidR="00692F5E" w:rsidRPr="00C96AE4" w:rsidRDefault="00692F5E" w:rsidP="00781C99">
            <w:pPr>
              <w:spacing w:after="0" w:line="240" w:lineRule="auto"/>
              <w:jc w:val="both"/>
              <w:rPr>
                <w:rStyle w:val="HTMLCite"/>
                <w:rFonts w:ascii="Arial" w:hAnsi="Arial" w:cs="Arial"/>
                <w:i w:val="0"/>
                <w:iCs w:val="0"/>
                <w:shd w:val="clear" w:color="auto" w:fill="FFFFFF"/>
              </w:rPr>
            </w:pPr>
          </w:p>
        </w:tc>
      </w:tr>
      <w:tr w:rsidR="00781C99" w:rsidRPr="00781C99" w14:paraId="528EE22C" w14:textId="77777777" w:rsidTr="0050748C">
        <w:tc>
          <w:tcPr>
            <w:tcW w:w="9016" w:type="dxa"/>
          </w:tcPr>
          <w:p w14:paraId="4E8787ED" w14:textId="77777777" w:rsidR="00781C99" w:rsidRPr="00CC6E6F" w:rsidRDefault="00781C99" w:rsidP="00781C99">
            <w:pPr>
              <w:spacing w:after="0" w:line="240" w:lineRule="auto"/>
              <w:jc w:val="both"/>
              <w:rPr>
                <w:rFonts w:ascii="Arial" w:eastAsia="Times New Roman" w:hAnsi="Arial" w:cs="Arial"/>
                <w:color w:val="000000" w:themeColor="text1"/>
                <w:lang w:eastAsia="en-PH"/>
              </w:rPr>
            </w:pPr>
            <w:r w:rsidRPr="00CC6E6F">
              <w:rPr>
                <w:rFonts w:ascii="Arial" w:eastAsia="Times New Roman" w:hAnsi="Arial" w:cs="Arial"/>
                <w:color w:val="000000" w:themeColor="text1"/>
                <w:lang w:eastAsia="en-PH"/>
              </w:rPr>
              <w:t>Taneja VR (2003). Socio-Philosophical Approach to Education. New Delhi: Atlantic Publishers and distributors.</w:t>
            </w:r>
          </w:p>
          <w:p w14:paraId="73850E9F" w14:textId="77777777" w:rsidR="00781C99" w:rsidRPr="00CC6E6F" w:rsidRDefault="00781C99" w:rsidP="00781C99">
            <w:pPr>
              <w:spacing w:after="0" w:line="240" w:lineRule="auto"/>
              <w:jc w:val="both"/>
              <w:rPr>
                <w:rFonts w:ascii="Arial" w:eastAsia="Times New Roman" w:hAnsi="Arial" w:cs="Arial"/>
                <w:color w:val="000000" w:themeColor="text1"/>
                <w:lang w:eastAsia="en-PH"/>
              </w:rPr>
            </w:pPr>
          </w:p>
        </w:tc>
      </w:tr>
      <w:tr w:rsidR="00692F5E" w:rsidRPr="00781C99" w14:paraId="04D5E333" w14:textId="77777777" w:rsidTr="0050748C">
        <w:tc>
          <w:tcPr>
            <w:tcW w:w="9016" w:type="dxa"/>
          </w:tcPr>
          <w:p w14:paraId="1C79D214" w14:textId="77777777" w:rsidR="00692F5E" w:rsidRPr="00C96AE4" w:rsidRDefault="00692F5E" w:rsidP="00692F5E">
            <w:pPr>
              <w:spacing w:after="0" w:line="240" w:lineRule="auto"/>
              <w:jc w:val="both"/>
              <w:rPr>
                <w:rFonts w:ascii="Arial" w:eastAsia="Times New Roman" w:hAnsi="Arial" w:cs="Arial"/>
                <w:color w:val="000000" w:themeColor="text1"/>
                <w:lang w:eastAsia="en-PH"/>
              </w:rPr>
            </w:pPr>
            <w:proofErr w:type="spellStart"/>
            <w:r w:rsidRPr="00C96AE4">
              <w:rPr>
                <w:rFonts w:ascii="Arial" w:eastAsia="Times New Roman" w:hAnsi="Arial" w:cs="Arial"/>
                <w:color w:val="000000" w:themeColor="text1"/>
                <w:lang w:eastAsia="en-PH"/>
              </w:rPr>
              <w:t>Tella</w:t>
            </w:r>
            <w:proofErr w:type="spellEnd"/>
            <w:r w:rsidRPr="00C96AE4">
              <w:rPr>
                <w:rFonts w:ascii="Arial" w:eastAsia="Times New Roman" w:hAnsi="Arial" w:cs="Arial"/>
                <w:color w:val="000000" w:themeColor="text1"/>
                <w:lang w:eastAsia="en-PH"/>
              </w:rPr>
              <w:t>, A. (2007). The impact of motivation on student’s academic achievement and learning outcomes in mathematics among secondary school students in Nigeria. </w:t>
            </w:r>
            <w:r w:rsidRPr="00C96AE4">
              <w:rPr>
                <w:rFonts w:ascii="Arial" w:eastAsia="Times New Roman" w:hAnsi="Arial" w:cs="Arial"/>
                <w:i/>
                <w:iCs/>
                <w:color w:val="000000" w:themeColor="text1"/>
                <w:lang w:eastAsia="en-PH"/>
              </w:rPr>
              <w:t>Eurasia Journal of Mathematics, Science, &amp; Technology Education</w:t>
            </w:r>
            <w:r w:rsidRPr="00C96AE4">
              <w:rPr>
                <w:rFonts w:ascii="Arial" w:eastAsia="Times New Roman" w:hAnsi="Arial" w:cs="Arial"/>
                <w:color w:val="000000" w:themeColor="text1"/>
                <w:lang w:eastAsia="en-PH"/>
              </w:rPr>
              <w:t>, Vol. 3 (2): 149-156.</w:t>
            </w:r>
          </w:p>
          <w:p w14:paraId="1F07AF1E" w14:textId="77777777" w:rsidR="00692F5E" w:rsidRPr="00CC6E6F" w:rsidRDefault="00692F5E" w:rsidP="00781C99">
            <w:pPr>
              <w:spacing w:after="0" w:line="240" w:lineRule="auto"/>
              <w:jc w:val="both"/>
              <w:rPr>
                <w:rFonts w:ascii="Arial" w:eastAsia="Times New Roman" w:hAnsi="Arial" w:cs="Arial"/>
                <w:color w:val="000000" w:themeColor="text1"/>
                <w:lang w:eastAsia="en-PH"/>
              </w:rPr>
            </w:pPr>
          </w:p>
        </w:tc>
      </w:tr>
      <w:tr w:rsidR="00781C99" w:rsidRPr="00781C99" w14:paraId="3853E878" w14:textId="77777777" w:rsidTr="0050748C">
        <w:tc>
          <w:tcPr>
            <w:tcW w:w="9016" w:type="dxa"/>
          </w:tcPr>
          <w:p w14:paraId="7ADA8834" w14:textId="77777777" w:rsidR="00781C99" w:rsidRPr="00781C99" w:rsidRDefault="00781C99" w:rsidP="00781C99">
            <w:pPr>
              <w:spacing w:after="0" w:line="240" w:lineRule="auto"/>
              <w:jc w:val="both"/>
              <w:rPr>
                <w:rFonts w:ascii="Arial" w:hAnsi="Arial" w:cs="Arial"/>
                <w:color w:val="191919"/>
              </w:rPr>
            </w:pPr>
            <w:proofErr w:type="spellStart"/>
            <w:r w:rsidRPr="00781C99">
              <w:rPr>
                <w:rFonts w:ascii="Arial" w:hAnsi="Arial" w:cs="Arial"/>
              </w:rPr>
              <w:t>Walck</w:t>
            </w:r>
            <w:proofErr w:type="spellEnd"/>
            <w:r w:rsidRPr="00781C99">
              <w:rPr>
                <w:rFonts w:ascii="Arial" w:hAnsi="Arial" w:cs="Arial"/>
              </w:rPr>
              <w:t xml:space="preserve">-Shannon, E. M., Rowell, S. F., &amp; Frey, R. F. (2021). To what extent do study habits relate to performance? </w:t>
            </w:r>
            <w:r w:rsidRPr="00781C99">
              <w:rPr>
                <w:rStyle w:val="Emphasis"/>
                <w:rFonts w:ascii="Arial" w:hAnsi="Arial" w:cs="Arial"/>
              </w:rPr>
              <w:t>CBE—Life Sciences Education</w:t>
            </w:r>
            <w:r w:rsidRPr="00781C99">
              <w:rPr>
                <w:rFonts w:ascii="Arial" w:hAnsi="Arial" w:cs="Arial"/>
              </w:rPr>
              <w:t xml:space="preserve">, </w:t>
            </w:r>
            <w:r w:rsidRPr="00781C99">
              <w:rPr>
                <w:rStyle w:val="Emphasis"/>
                <w:rFonts w:ascii="Arial" w:hAnsi="Arial" w:cs="Arial"/>
              </w:rPr>
              <w:t>20</w:t>
            </w:r>
            <w:r w:rsidRPr="00781C99">
              <w:rPr>
                <w:rFonts w:ascii="Arial" w:hAnsi="Arial" w:cs="Arial"/>
              </w:rPr>
              <w:t xml:space="preserve">(1), ar6. </w:t>
            </w:r>
            <w:hyperlink r:id="rId12" w:tgtFrame="_new" w:history="1">
              <w:r w:rsidRPr="00781C99">
                <w:rPr>
                  <w:rStyle w:val="Hyperlink"/>
                  <w:rFonts w:ascii="Arial" w:hAnsi="Arial" w:cs="Arial"/>
                </w:rPr>
                <w:t>https://doi.org/10.1187/cbe.20-05-0091</w:t>
              </w:r>
            </w:hyperlink>
          </w:p>
          <w:p w14:paraId="42184676" w14:textId="77777777" w:rsidR="00781C99" w:rsidRPr="00781C99" w:rsidRDefault="00781C99" w:rsidP="00781C99">
            <w:pPr>
              <w:spacing w:after="0" w:line="240" w:lineRule="auto"/>
              <w:rPr>
                <w:rFonts w:ascii="Arial" w:hAnsi="Arial" w:cs="Arial"/>
                <w:color w:val="000000" w:themeColor="text1"/>
              </w:rPr>
            </w:pPr>
          </w:p>
        </w:tc>
      </w:tr>
      <w:tr w:rsidR="00781C99" w:rsidRPr="00781C99" w14:paraId="6919EE9C" w14:textId="77777777" w:rsidTr="0050748C">
        <w:tc>
          <w:tcPr>
            <w:tcW w:w="9016" w:type="dxa"/>
          </w:tcPr>
          <w:p w14:paraId="4EAD4AC3" w14:textId="676B1E00" w:rsidR="00781C99" w:rsidRPr="00692F5E" w:rsidRDefault="00692F5E" w:rsidP="00692F5E">
            <w:pPr>
              <w:tabs>
                <w:tab w:val="left" w:pos="7363"/>
              </w:tabs>
              <w:spacing w:after="0" w:line="240" w:lineRule="auto"/>
              <w:rPr>
                <w:rFonts w:ascii="Arial" w:hAnsi="Arial" w:cs="Arial"/>
                <w:color w:val="000000" w:themeColor="text1"/>
              </w:rPr>
            </w:pPr>
            <w:r w:rsidRPr="00692F5E">
              <w:rPr>
                <w:rFonts w:ascii="Arial" w:hAnsi="Arial" w:cs="Arial"/>
              </w:rPr>
              <w:t xml:space="preserve">Yang, Y. (2011). </w:t>
            </w:r>
            <w:r w:rsidRPr="00692F5E">
              <w:rPr>
                <w:rStyle w:val="Emphasis"/>
                <w:rFonts w:ascii="Arial" w:hAnsi="Arial" w:cs="Arial"/>
              </w:rPr>
              <w:t>A Q factor analysis of college undergraduate students’ study behaviors</w:t>
            </w:r>
            <w:r w:rsidRPr="00692F5E">
              <w:rPr>
                <w:rFonts w:ascii="Arial" w:hAnsi="Arial" w:cs="Arial"/>
              </w:rPr>
              <w:t xml:space="preserve"> [Master’s thesis, Florida International University]. FIU Electronic Theses and Dissertations, 449. https://digitalcommons.fiu.edu/etd/449</w:t>
            </w:r>
          </w:p>
        </w:tc>
      </w:tr>
    </w:tbl>
    <w:p w14:paraId="122B986D" w14:textId="77777777" w:rsidR="006F4A31" w:rsidRPr="00CC6E6F" w:rsidRDefault="006F4A31">
      <w:pPr>
        <w:spacing w:after="0" w:line="240" w:lineRule="auto"/>
        <w:rPr>
          <w:rFonts w:ascii="Arial" w:hAnsi="Arial" w:cs="Arial"/>
          <w:color w:val="000000" w:themeColor="text1"/>
        </w:rPr>
      </w:pPr>
    </w:p>
    <w:sectPr w:rsidR="006F4A31" w:rsidRPr="00CC6E6F" w:rsidSect="008B26BF">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5608E" w14:textId="77777777" w:rsidR="00B2542B" w:rsidRDefault="00B2542B">
      <w:pPr>
        <w:spacing w:after="0" w:line="240" w:lineRule="auto"/>
      </w:pPr>
      <w:r>
        <w:separator/>
      </w:r>
    </w:p>
  </w:endnote>
  <w:endnote w:type="continuationSeparator" w:id="0">
    <w:p w14:paraId="0ACFDF60" w14:textId="77777777" w:rsidR="00B2542B" w:rsidRDefault="00B25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9D819" w14:textId="77777777" w:rsidR="007154AA" w:rsidRDefault="00715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9C53E" w14:textId="77777777" w:rsidR="007154AA" w:rsidRDefault="007154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0CA9F" w14:textId="77777777" w:rsidR="007154AA" w:rsidRDefault="007154AA">
    <w:pPr>
      <w:pStyle w:val="Footer"/>
      <w:rPr>
        <w:rFonts w:ascii="Arial Narrow" w:hAnsi="Arial Narrow"/>
        <w:sz w:val="20"/>
      </w:rPr>
    </w:pPr>
    <w:r>
      <w:rPr>
        <w:noProof/>
        <w:lang w:eastAsia="en-PH"/>
      </w:rPr>
      <mc:AlternateContent>
        <mc:Choice Requires="wps">
          <w:drawing>
            <wp:anchor distT="0" distB="0" distL="114300" distR="114300" simplePos="0" relativeHeight="251658240" behindDoc="1" locked="0" layoutInCell="1" allowOverlap="1" wp14:anchorId="4FC84BE9" wp14:editId="52151B16">
              <wp:simplePos x="0" y="0"/>
              <wp:positionH relativeFrom="column">
                <wp:posOffset>-4445</wp:posOffset>
              </wp:positionH>
              <wp:positionV relativeFrom="paragraph">
                <wp:posOffset>-52705</wp:posOffset>
              </wp:positionV>
              <wp:extent cx="3296285" cy="635"/>
              <wp:effectExtent l="1270" t="635" r="635" b="1270"/>
              <wp:wrapNone/>
              <wp:docPr id="3" name="Straight Arrow Connector 3"/>
              <wp:cNvGraphicFramePr/>
              <a:graphic xmlns:a="http://schemas.openxmlformats.org/drawingml/2006/main">
                <a:graphicData uri="http://schemas.microsoft.com/office/word/2010/wordprocessingShape">
                  <wps:wsp>
                    <wps:cNvCnPr/>
                    <wps:spPr>
                      <a:xfrm>
                        <a:off x="0" y="0"/>
                        <a:ext cx="329616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B707F36" id="_x0000_t32" coordsize="21600,21600" o:spt="32" o:oned="t" path="m,l21600,21600e" filled="f">
              <v:path arrowok="t" fillok="f" o:connecttype="none"/>
              <o:lock v:ext="edit" shapetype="t"/>
            </v:shapetype>
            <v:shape id="Straight Arrow Connector 3" o:spid="_x0000_s1026" type="#_x0000_t32" style="position:absolute;margin-left:-.35pt;margin-top:-4.15pt;width:259.55pt;height:.0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" strokeweight="0"/>
          </w:pict>
        </mc:Fallback>
      </mc:AlternateContent>
    </w:r>
    <w:r>
      <w:rPr>
        <w:rFonts w:ascii="Arial Narrow" w:hAnsi="Arial Narrow"/>
        <w:sz w:val="20"/>
      </w:rPr>
      <w:t>Study Habits of Academic Scholars by Alejandro L. Giray, Jr.</w:t>
    </w:r>
  </w:p>
  <w:p w14:paraId="109A281B" w14:textId="77777777" w:rsidR="007154AA" w:rsidRDefault="00715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3D1E6" w14:textId="77777777" w:rsidR="00B2542B" w:rsidRDefault="00B2542B">
      <w:pPr>
        <w:spacing w:after="0" w:line="240" w:lineRule="auto"/>
      </w:pPr>
      <w:r>
        <w:separator/>
      </w:r>
    </w:p>
  </w:footnote>
  <w:footnote w:type="continuationSeparator" w:id="0">
    <w:p w14:paraId="7EB9A2D3" w14:textId="77777777" w:rsidR="00B2542B" w:rsidRDefault="00B25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3007E" w14:textId="3AE25BA5" w:rsidR="007154AA" w:rsidRDefault="00B2542B">
    <w:pPr>
      <w:pStyle w:val="Header"/>
    </w:pPr>
    <w:r>
      <w:rPr>
        <w:noProof/>
      </w:rPr>
      <w:pict w14:anchorId="2449B6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41360" o:spid="_x0000_s2050" type="#_x0000_t136" style="position:absolute;margin-left:0;margin-top:0;width:535.8pt;height:100.45pt;rotation:315;z-index:-25165414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C5666" w14:textId="1D4ABDF7" w:rsidR="007154AA" w:rsidRDefault="00B2542B">
    <w:pPr>
      <w:pStyle w:val="Header"/>
      <w:jc w:val="right"/>
    </w:pPr>
    <w:r>
      <w:rPr>
        <w:noProof/>
      </w:rPr>
      <w:pict w14:anchorId="794313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41361" o:spid="_x0000_s2051" type="#_x0000_t136" style="position:absolute;left:0;text-align:left;margin-left:0;margin-top:0;width:535.8pt;height:100.45pt;rotation:315;z-index:-25165209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608560252"/>
        <w:docPartObj>
          <w:docPartGallery w:val="Page Numbers (Top of Page)"/>
          <w:docPartUnique/>
        </w:docPartObj>
      </w:sdtPr>
      <w:sdtEndPr/>
      <w:sdtContent>
        <w:r w:rsidR="007154AA">
          <w:rPr>
            <w:rFonts w:ascii="Arial Narrow" w:hAnsi="Arial Narrow"/>
          </w:rPr>
          <w:fldChar w:fldCharType="begin"/>
        </w:r>
        <w:r w:rsidR="007154AA">
          <w:rPr>
            <w:rFonts w:ascii="Arial Narrow" w:hAnsi="Arial Narrow"/>
          </w:rPr>
          <w:instrText xml:space="preserve"> PAGE </w:instrText>
        </w:r>
        <w:r w:rsidR="007154AA">
          <w:rPr>
            <w:rFonts w:ascii="Arial Narrow" w:hAnsi="Arial Narrow"/>
          </w:rPr>
          <w:fldChar w:fldCharType="separate"/>
        </w:r>
        <w:r w:rsidR="0050748C">
          <w:rPr>
            <w:rFonts w:ascii="Arial Narrow" w:hAnsi="Arial Narrow"/>
            <w:noProof/>
          </w:rPr>
          <w:t>14</w:t>
        </w:r>
        <w:r w:rsidR="007154AA">
          <w:rPr>
            <w:rFonts w:ascii="Arial Narrow" w:hAnsi="Arial Narrow"/>
          </w:rPr>
          <w:fldChar w:fldCharType="end"/>
        </w:r>
      </w:sdtContent>
    </w:sdt>
  </w:p>
  <w:p w14:paraId="390B5B20" w14:textId="77777777" w:rsidR="007154AA" w:rsidRDefault="007154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A8275" w14:textId="658562CB" w:rsidR="007154AA" w:rsidRDefault="00B2542B">
    <w:pPr>
      <w:pStyle w:val="Header"/>
      <w:jc w:val="right"/>
    </w:pPr>
    <w:r>
      <w:rPr>
        <w:noProof/>
      </w:rPr>
      <w:pict w14:anchorId="69B1C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41359" o:spid="_x0000_s2049" type="#_x0000_t136" style="position:absolute;left:0;text-align:left;margin-left:0;margin-top:0;width:535.8pt;height:100.4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sdt>
    <w:sdtPr>
      <w:id w:val="-2093538857"/>
      <w:docPartObj>
        <w:docPartGallery w:val="Page Numbers (Top of Page)"/>
        <w:docPartUnique/>
      </w:docPartObj>
    </w:sdtPr>
    <w:sdtEndPr/>
    <w:sdtContent>
      <w:p w14:paraId="5A1E2FAA" w14:textId="77777777" w:rsidR="007154AA" w:rsidRDefault="007154AA">
        <w:pPr>
          <w:pStyle w:val="Header"/>
          <w:jc w:val="right"/>
        </w:pPr>
        <w:r>
          <w:rPr>
            <w:rFonts w:ascii="Arial Narrow" w:hAnsi="Arial Narrow"/>
          </w:rPr>
          <w:fldChar w:fldCharType="begin"/>
        </w:r>
        <w:r>
          <w:rPr>
            <w:rFonts w:ascii="Arial Narrow" w:hAnsi="Arial Narrow"/>
          </w:rPr>
          <w:instrText xml:space="preserve"> PAGE </w:instrText>
        </w:r>
        <w:r>
          <w:rPr>
            <w:rFonts w:ascii="Arial Narrow" w:hAnsi="Arial Narrow"/>
          </w:rPr>
          <w:fldChar w:fldCharType="separate"/>
        </w:r>
        <w:r>
          <w:rPr>
            <w:rFonts w:ascii="Arial Narrow" w:hAnsi="Arial Narrow"/>
          </w:rPr>
          <w:t>14</w:t>
        </w:r>
        <w:r>
          <w:rPr>
            <w:rFonts w:ascii="Arial Narrow" w:hAnsi="Arial Narrow"/>
          </w:rPr>
          <w:fldChar w:fldCharType="end"/>
        </w:r>
      </w:p>
    </w:sdtContent>
  </w:sdt>
  <w:p w14:paraId="731B9BE4" w14:textId="77777777" w:rsidR="007154AA" w:rsidRDefault="00715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6295F"/>
    <w:multiLevelType w:val="multilevel"/>
    <w:tmpl w:val="A6744E4A"/>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 w15:restartNumberingAfterBreak="0">
    <w:nsid w:val="4BD6252D"/>
    <w:multiLevelType w:val="hybridMultilevel"/>
    <w:tmpl w:val="6026F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13693C"/>
    <w:multiLevelType w:val="multilevel"/>
    <w:tmpl w:val="D618FC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FDB"/>
    <w:rsid w:val="00006476"/>
    <w:rsid w:val="000E153F"/>
    <w:rsid w:val="00160298"/>
    <w:rsid w:val="00193FDB"/>
    <w:rsid w:val="00197CF2"/>
    <w:rsid w:val="00221D68"/>
    <w:rsid w:val="002C6E58"/>
    <w:rsid w:val="00324586"/>
    <w:rsid w:val="003D467D"/>
    <w:rsid w:val="00402C8B"/>
    <w:rsid w:val="004119C4"/>
    <w:rsid w:val="004250B0"/>
    <w:rsid w:val="00436083"/>
    <w:rsid w:val="004625A5"/>
    <w:rsid w:val="00495D72"/>
    <w:rsid w:val="004D6501"/>
    <w:rsid w:val="004F37AE"/>
    <w:rsid w:val="0050748C"/>
    <w:rsid w:val="00511EEE"/>
    <w:rsid w:val="005138EE"/>
    <w:rsid w:val="00525F57"/>
    <w:rsid w:val="005571E5"/>
    <w:rsid w:val="00593BA4"/>
    <w:rsid w:val="005A427C"/>
    <w:rsid w:val="006017B3"/>
    <w:rsid w:val="0062535D"/>
    <w:rsid w:val="00692F5E"/>
    <w:rsid w:val="006A08BE"/>
    <w:rsid w:val="006F4A31"/>
    <w:rsid w:val="007154AA"/>
    <w:rsid w:val="00772D6E"/>
    <w:rsid w:val="00777BBE"/>
    <w:rsid w:val="00781C99"/>
    <w:rsid w:val="007D2105"/>
    <w:rsid w:val="008124E5"/>
    <w:rsid w:val="00893F89"/>
    <w:rsid w:val="008A0107"/>
    <w:rsid w:val="008B26BF"/>
    <w:rsid w:val="008C2074"/>
    <w:rsid w:val="008C6251"/>
    <w:rsid w:val="00981AD3"/>
    <w:rsid w:val="009A3FE9"/>
    <w:rsid w:val="009C705E"/>
    <w:rsid w:val="009E3679"/>
    <w:rsid w:val="00A16471"/>
    <w:rsid w:val="00A714F8"/>
    <w:rsid w:val="00A82CE5"/>
    <w:rsid w:val="00A969C0"/>
    <w:rsid w:val="00B2542B"/>
    <w:rsid w:val="00B35B21"/>
    <w:rsid w:val="00B82ED1"/>
    <w:rsid w:val="00B91F86"/>
    <w:rsid w:val="00C42D7D"/>
    <w:rsid w:val="00C87A41"/>
    <w:rsid w:val="00CB00E2"/>
    <w:rsid w:val="00CC6E6F"/>
    <w:rsid w:val="00D17F17"/>
    <w:rsid w:val="00D21FA3"/>
    <w:rsid w:val="00D742DA"/>
    <w:rsid w:val="00E50990"/>
    <w:rsid w:val="00ED30E9"/>
  </w:rsids>
  <m:mathPr>
    <m:mathFont m:val="Cambria Math"/>
    <m:brkBin m:val="before"/>
    <m:brkBinSub m:val="--"/>
    <m:smallFrac m:val="0"/>
    <m:dispDef/>
    <m:lMargin m:val="0"/>
    <m:rMargin m:val="0"/>
    <m:defJc m:val="centerGroup"/>
    <m:wrapIndent m:val="1440"/>
    <m:intLim m:val="subSup"/>
    <m:naryLim m:val="undOvr"/>
  </m:mathPr>
  <w:themeFontLang w:val="en-PH"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0F20CC"/>
  <w15:docId w15:val="{6736DC92-6B7D-41CA-A65A-02873AEF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736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D82"/>
    <w:rPr>
      <w:color w:val="0000FF" w:themeColor="hyperlink"/>
      <w:u w:val="single"/>
    </w:rPr>
  </w:style>
  <w:style w:type="character" w:customStyle="1" w:styleId="HeaderChar">
    <w:name w:val="Header Char"/>
    <w:basedOn w:val="DefaultParagraphFont"/>
    <w:link w:val="Header"/>
    <w:uiPriority w:val="99"/>
    <w:qFormat/>
    <w:rsid w:val="002812AE"/>
  </w:style>
  <w:style w:type="character" w:customStyle="1" w:styleId="FooterChar">
    <w:name w:val="Footer Char"/>
    <w:basedOn w:val="DefaultParagraphFont"/>
    <w:link w:val="Footer"/>
    <w:uiPriority w:val="99"/>
    <w:qFormat/>
    <w:rsid w:val="002812AE"/>
  </w:style>
  <w:style w:type="character" w:customStyle="1" w:styleId="BalloonTextChar">
    <w:name w:val="Balloon Text Char"/>
    <w:basedOn w:val="DefaultParagraphFont"/>
    <w:link w:val="BalloonText"/>
    <w:uiPriority w:val="99"/>
    <w:semiHidden/>
    <w:qFormat/>
    <w:rsid w:val="002812AE"/>
    <w:rPr>
      <w:rFonts w:ascii="Tahoma" w:hAnsi="Tahoma" w:cs="Tahoma"/>
      <w:sz w:val="16"/>
      <w:szCs w:val="16"/>
    </w:rPr>
  </w:style>
  <w:style w:type="character" w:customStyle="1" w:styleId="apple-converted-space">
    <w:name w:val="apple-converted-space"/>
    <w:basedOn w:val="DefaultParagraphFont"/>
    <w:qFormat/>
    <w:rsid w:val="0033433E"/>
  </w:style>
  <w:style w:type="character" w:customStyle="1" w:styleId="ref-journal">
    <w:name w:val="ref-journal"/>
    <w:basedOn w:val="DefaultParagraphFont"/>
    <w:qFormat/>
    <w:rsid w:val="00A73470"/>
  </w:style>
  <w:style w:type="character" w:customStyle="1" w:styleId="ref-vol">
    <w:name w:val="ref-vol"/>
    <w:basedOn w:val="DefaultParagraphFont"/>
    <w:qFormat/>
    <w:rsid w:val="00A73470"/>
  </w:style>
  <w:style w:type="character" w:customStyle="1" w:styleId="NumberingSymbols">
    <w:name w:val="Numbering Symbols"/>
    <w:qFormat/>
  </w:style>
  <w:style w:type="character" w:styleId="Strong">
    <w:name w:val="Strong"/>
    <w:qFormat/>
    <w:rPr>
      <w:b/>
      <w:bC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Default">
    <w:name w:val="Default"/>
    <w:qFormat/>
    <w:rsid w:val="00D66F0B"/>
    <w:rPr>
      <w:rFonts w:ascii="Times New Roman" w:eastAsia="Calibri" w:hAnsi="Times New Roman" w:cs="Times New Roman"/>
      <w:color w:val="000000"/>
      <w:sz w:val="24"/>
      <w:szCs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812AE"/>
    <w:pPr>
      <w:tabs>
        <w:tab w:val="center" w:pos="4680"/>
        <w:tab w:val="right" w:pos="9360"/>
      </w:tabs>
      <w:spacing w:after="0" w:line="240" w:lineRule="auto"/>
    </w:pPr>
  </w:style>
  <w:style w:type="paragraph" w:styleId="Footer">
    <w:name w:val="footer"/>
    <w:basedOn w:val="Normal"/>
    <w:link w:val="FooterChar"/>
    <w:uiPriority w:val="99"/>
    <w:unhideWhenUsed/>
    <w:rsid w:val="002812AE"/>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2812AE"/>
    <w:pPr>
      <w:spacing w:after="0" w:line="240" w:lineRule="auto"/>
    </w:pPr>
    <w:rPr>
      <w:rFonts w:ascii="Tahoma" w:hAnsi="Tahoma" w:cs="Tahoma"/>
      <w:sz w:val="16"/>
      <w:szCs w:val="16"/>
    </w:rPr>
  </w:style>
  <w:style w:type="table" w:styleId="TableGrid">
    <w:name w:val="Table Grid"/>
    <w:basedOn w:val="TableNormal"/>
    <w:uiPriority w:val="59"/>
    <w:rsid w:val="00B96DEB"/>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ED30E9"/>
    <w:rPr>
      <w:color w:val="605E5C"/>
      <w:shd w:val="clear" w:color="auto" w:fill="E1DFDD"/>
    </w:rPr>
  </w:style>
  <w:style w:type="paragraph" w:styleId="ListParagraph">
    <w:name w:val="List Paragraph"/>
    <w:basedOn w:val="Normal"/>
    <w:uiPriority w:val="34"/>
    <w:qFormat/>
    <w:rsid w:val="00495D72"/>
    <w:pPr>
      <w:ind w:left="720"/>
      <w:contextualSpacing/>
    </w:pPr>
  </w:style>
  <w:style w:type="character" w:customStyle="1" w:styleId="relative">
    <w:name w:val="relative"/>
    <w:basedOn w:val="DefaultParagraphFont"/>
    <w:rsid w:val="00981AD3"/>
  </w:style>
  <w:style w:type="character" w:styleId="HTMLCite">
    <w:name w:val="HTML Cite"/>
    <w:basedOn w:val="DefaultParagraphFont"/>
    <w:uiPriority w:val="99"/>
    <w:semiHidden/>
    <w:unhideWhenUsed/>
    <w:rsid w:val="00511EEE"/>
    <w:rPr>
      <w:i/>
      <w:iCs/>
    </w:rPr>
  </w:style>
  <w:style w:type="character" w:styleId="Emphasis">
    <w:name w:val="Emphasis"/>
    <w:basedOn w:val="DefaultParagraphFont"/>
    <w:uiPriority w:val="20"/>
    <w:qFormat/>
    <w:rsid w:val="008C2074"/>
    <w:rPr>
      <w:i/>
      <w:iCs/>
    </w:rPr>
  </w:style>
  <w:style w:type="paragraph" w:styleId="NormalWeb">
    <w:name w:val="Normal (Web)"/>
    <w:basedOn w:val="Normal"/>
    <w:uiPriority w:val="99"/>
    <w:semiHidden/>
    <w:unhideWhenUsed/>
    <w:rsid w:val="005571E5"/>
    <w:pPr>
      <w:suppressAutoHyphens w:val="0"/>
      <w:spacing w:before="100" w:beforeAutospacing="1" w:after="100" w:afterAutospacing="1" w:line="240" w:lineRule="auto"/>
    </w:pPr>
    <w:rPr>
      <w:rFonts w:ascii="Times New Roman" w:eastAsia="Times New Roman" w:hAnsi="Times New Roman" w:cs="Times New Roman"/>
      <w:sz w:val="24"/>
      <w:szCs w:val="24"/>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1177/2158244018824506"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87/cbe.20-05-009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publication.com/ijeisv1n1/ijeisv5n1_02.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2147/AMEP.S30953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ribd.com/document/358797618/Factors-Affecting-Study-Habits-on-Academic-Performance-of-Senior-High-School-Students-of-Davao-Doctors-Colleg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347EF7-C69F-4748-B20A-68804552D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14</Pages>
  <Words>6302</Words>
  <Characters>35925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Aleh</dc:creator>
  <dc:description/>
  <cp:lastModifiedBy>SDI 1183</cp:lastModifiedBy>
  <cp:revision>78</cp:revision>
  <cp:lastPrinted>2025-04-05T03:26:00Z</cp:lastPrinted>
  <dcterms:created xsi:type="dcterms:W3CDTF">2025-03-18T03:46:00Z</dcterms:created>
  <dcterms:modified xsi:type="dcterms:W3CDTF">2025-04-09T07:30:00Z</dcterms:modified>
  <dc:language>en-PH</dc:language>
</cp:coreProperties>
</file>