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B39C" w14:textId="776BE8BE" w:rsidR="00AC3B13" w:rsidRPr="00E439D7" w:rsidRDefault="00AC3B13" w:rsidP="00BC4767">
      <w:pPr>
        <w:pStyle w:val="Heading2"/>
      </w:pPr>
      <w:bookmarkStart w:id="0" w:name="_Toc144949500"/>
      <w:r w:rsidRPr="00E439D7">
        <w:t>Preservice</w:t>
      </w:r>
      <w:r w:rsidR="00AA13C1" w:rsidRPr="00E439D7">
        <w:t xml:space="preserve"> </w:t>
      </w:r>
      <w:r w:rsidR="00AA13C1" w:rsidRPr="00E439D7">
        <w:rPr>
          <w:highlight w:val="yellow"/>
        </w:rPr>
        <w:t>Management</w:t>
      </w:r>
      <w:r w:rsidRPr="00E439D7">
        <w:t xml:space="preserve"> Teachers</w:t>
      </w:r>
      <w:r w:rsidR="00950E90" w:rsidRPr="00E439D7">
        <w:t>’</w:t>
      </w:r>
      <w:r w:rsidR="00412959" w:rsidRPr="00E439D7">
        <w:t xml:space="preserve"> </w:t>
      </w:r>
      <w:r w:rsidRPr="00E439D7">
        <w:t xml:space="preserve">Professional Knowledge </w:t>
      </w:r>
      <w:r w:rsidR="007825BE" w:rsidRPr="00E439D7">
        <w:t>in</w:t>
      </w:r>
      <w:r w:rsidRPr="00E439D7">
        <w:t xml:space="preserve"> Teaching</w:t>
      </w:r>
      <w:r w:rsidR="0042399F" w:rsidRPr="00E439D7">
        <w:t xml:space="preserve"> </w:t>
      </w:r>
      <w:r w:rsidR="00AA13C1" w:rsidRPr="00E439D7">
        <w:rPr>
          <w:highlight w:val="yellow"/>
        </w:rPr>
        <w:t xml:space="preserve">Business Management </w:t>
      </w:r>
      <w:r w:rsidR="0042399F" w:rsidRPr="00E439D7">
        <w:rPr>
          <w:highlight w:val="yellow"/>
        </w:rPr>
        <w:t xml:space="preserve">in </w:t>
      </w:r>
      <w:r w:rsidR="00AA13C1" w:rsidRPr="00E439D7">
        <w:rPr>
          <w:highlight w:val="yellow"/>
        </w:rPr>
        <w:t>Second Cycle institutions</w:t>
      </w:r>
      <w:r w:rsidR="00D725DF" w:rsidRPr="00E439D7">
        <w:t xml:space="preserve"> in</w:t>
      </w:r>
      <w:r w:rsidR="00AA13C1" w:rsidRPr="00E439D7">
        <w:t xml:space="preserve"> </w:t>
      </w:r>
      <w:r w:rsidR="0042399F" w:rsidRPr="00E439D7">
        <w:t>Ghana</w:t>
      </w:r>
    </w:p>
    <w:p w14:paraId="62618F9D" w14:textId="1C3D2490" w:rsidR="00BB7798" w:rsidRPr="00E439D7" w:rsidRDefault="00BB7798" w:rsidP="00BB7798">
      <w:pPr>
        <w:spacing w:after="0" w:line="276" w:lineRule="auto"/>
        <w:jc w:val="center"/>
        <w:rPr>
          <w:rFonts w:cs="Times New Roman"/>
          <w:szCs w:val="24"/>
        </w:rPr>
      </w:pPr>
    </w:p>
    <w:p w14:paraId="766CF1DB" w14:textId="77777777" w:rsidR="00BB7798" w:rsidRPr="00E439D7" w:rsidRDefault="00BB7798" w:rsidP="00AC3B13">
      <w:pPr>
        <w:jc w:val="center"/>
        <w:rPr>
          <w:rFonts w:cs="Times New Roman"/>
          <w:szCs w:val="24"/>
        </w:rPr>
      </w:pPr>
    </w:p>
    <w:p w14:paraId="70703424" w14:textId="77777777" w:rsidR="00AC3B13" w:rsidRPr="00E439D7" w:rsidRDefault="00AC3B13" w:rsidP="00BC4767">
      <w:pPr>
        <w:pStyle w:val="Heading2"/>
      </w:pPr>
    </w:p>
    <w:p w14:paraId="111AD37D" w14:textId="77777777" w:rsidR="009F0D46" w:rsidRPr="00E439D7" w:rsidRDefault="009F0D46" w:rsidP="009F0D46">
      <w:pPr>
        <w:tabs>
          <w:tab w:val="left" w:pos="3734"/>
        </w:tabs>
        <w:spacing w:after="0" w:line="240" w:lineRule="auto"/>
        <w:jc w:val="center"/>
        <w:rPr>
          <w:rFonts w:eastAsia="Times New Roman" w:cs="Times New Roman"/>
          <w:kern w:val="24"/>
          <w:szCs w:val="24"/>
        </w:rPr>
      </w:pPr>
    </w:p>
    <w:p w14:paraId="6D31A13C" w14:textId="77777777" w:rsidR="00E51007" w:rsidRPr="00E439D7" w:rsidRDefault="00E51007" w:rsidP="009F0D46">
      <w:pPr>
        <w:tabs>
          <w:tab w:val="left" w:pos="3734"/>
        </w:tabs>
        <w:spacing w:after="0" w:line="240" w:lineRule="auto"/>
        <w:jc w:val="center"/>
        <w:rPr>
          <w:rFonts w:eastAsia="Times New Roman" w:cs="Times New Roman"/>
          <w:kern w:val="24"/>
          <w:szCs w:val="24"/>
        </w:rPr>
      </w:pPr>
    </w:p>
    <w:p w14:paraId="5F8E452A" w14:textId="77777777" w:rsidR="00D4573A" w:rsidRPr="00E439D7" w:rsidRDefault="00D4573A" w:rsidP="00D4573A">
      <w:pPr>
        <w:tabs>
          <w:tab w:val="left" w:pos="3734"/>
        </w:tabs>
        <w:spacing w:after="0" w:line="240" w:lineRule="auto"/>
        <w:rPr>
          <w:rFonts w:eastAsia="Times New Roman" w:cs="Times New Roman"/>
          <w:b/>
          <w:bCs/>
          <w:kern w:val="24"/>
          <w:szCs w:val="24"/>
        </w:rPr>
      </w:pPr>
      <w:r w:rsidRPr="00E439D7">
        <w:rPr>
          <w:rFonts w:eastAsia="Times New Roman" w:cs="Times New Roman"/>
          <w:b/>
          <w:bCs/>
          <w:kern w:val="24"/>
          <w:szCs w:val="24"/>
        </w:rPr>
        <w:t xml:space="preserve">Abstract </w:t>
      </w:r>
    </w:p>
    <w:p w14:paraId="7C299E85" w14:textId="4EB53005" w:rsidR="00D9039F" w:rsidRPr="00E439D7" w:rsidRDefault="004F55C8" w:rsidP="00A94755">
      <w:pPr>
        <w:pStyle w:val="Heading2"/>
        <w:jc w:val="both"/>
      </w:pPr>
      <w:r w:rsidRPr="00E439D7">
        <w:t xml:space="preserve">The National Teaching Standards advocate the need for professional knowledge, professional attitudes and value, and professional practices as core professional qualities of preservice teachers. However, it remains unclear the professional knowledge possessed by preservice teachers as they go to occupy the teaching profession. </w:t>
      </w:r>
      <w:r w:rsidR="00025CED" w:rsidRPr="00E439D7">
        <w:t>This study investigate</w:t>
      </w:r>
      <w:r w:rsidR="00705759" w:rsidRPr="00E439D7">
        <w:t>s</w:t>
      </w:r>
      <w:r w:rsidR="00025CED" w:rsidRPr="00E439D7">
        <w:t xml:space="preserve"> the</w:t>
      </w:r>
      <w:r w:rsidR="00994BC6" w:rsidRPr="00E439D7">
        <w:t xml:space="preserve"> level of</w:t>
      </w:r>
      <w:r w:rsidR="00025CED" w:rsidRPr="00E439D7">
        <w:t xml:space="preserve"> professional knowledge of preservice </w:t>
      </w:r>
      <w:r w:rsidR="00D8028E">
        <w:t xml:space="preserve">management </w:t>
      </w:r>
      <w:r w:rsidR="00025CED" w:rsidRPr="00E439D7">
        <w:t>teachers in teaching at Senior High Schools in Ghana, based on Shulman's (1987) model of teaching knowledge.</w:t>
      </w:r>
      <w:r w:rsidRPr="00E439D7">
        <w:t xml:space="preserve"> </w:t>
      </w:r>
      <w:r w:rsidR="00025CED" w:rsidRPr="00E439D7">
        <w:t>Adopting a positivist paradigm</w:t>
      </w:r>
      <w:r w:rsidR="00F05925" w:rsidRPr="00E439D7">
        <w:t>,</w:t>
      </w:r>
      <w:r w:rsidR="00025CED" w:rsidRPr="00E439D7">
        <w:t xml:space="preserve"> quantitative </w:t>
      </w:r>
      <w:r w:rsidR="00F05925" w:rsidRPr="00E439D7">
        <w:t xml:space="preserve">approach and </w:t>
      </w:r>
      <w:r w:rsidR="00025CED" w:rsidRPr="00E439D7">
        <w:t xml:space="preserve">descriptive survey design, the study included 101 respondents. Data was collected </w:t>
      </w:r>
      <w:r w:rsidR="00FA3F0B" w:rsidRPr="00E439D7">
        <w:t>using</w:t>
      </w:r>
      <w:r w:rsidR="00025CED" w:rsidRPr="00E439D7">
        <w:t xml:space="preserve"> an adapted questionnaire </w:t>
      </w:r>
      <w:r w:rsidR="00FA3F0B" w:rsidRPr="00E439D7">
        <w:t>which was</w:t>
      </w:r>
      <w:r w:rsidR="00025CED" w:rsidRPr="00E439D7">
        <w:t xml:space="preserve"> analyzed quantitatively. </w:t>
      </w:r>
      <w:r w:rsidR="00F31FCB" w:rsidRPr="00E439D7">
        <w:t>The study found</w:t>
      </w:r>
      <w:r w:rsidR="00025CED" w:rsidRPr="00E439D7">
        <w:t xml:space="preserve"> that preservice </w:t>
      </w:r>
      <w:r w:rsidR="00D8028E">
        <w:t xml:space="preserve">management </w:t>
      </w:r>
      <w:r w:rsidR="00025CED" w:rsidRPr="00E439D7">
        <w:t>teachers generally possessed high levels of professional knowledge, excelling in lesson planning</w:t>
      </w:r>
      <w:r w:rsidR="00F5250E" w:rsidRPr="00E439D7">
        <w:t xml:space="preserve"> </w:t>
      </w:r>
      <w:r w:rsidR="00F5250E" w:rsidRPr="00E439D7">
        <w:rPr>
          <w:highlight w:val="yellow"/>
        </w:rPr>
        <w:t>(M = 4.44; SD = .80)</w:t>
      </w:r>
      <w:r w:rsidR="00025CED" w:rsidRPr="00E439D7">
        <w:t>, teaching methodologies</w:t>
      </w:r>
      <w:r w:rsidR="00F5250E" w:rsidRPr="00E439D7">
        <w:t xml:space="preserve"> </w:t>
      </w:r>
      <w:r w:rsidR="00F5250E" w:rsidRPr="00E439D7">
        <w:rPr>
          <w:highlight w:val="yellow"/>
        </w:rPr>
        <w:t>(M = 4.27; SD = .69)</w:t>
      </w:r>
      <w:r w:rsidR="00025CED" w:rsidRPr="00E439D7">
        <w:t>, classroom management</w:t>
      </w:r>
      <w:r w:rsidR="00F5250E" w:rsidRPr="00E439D7">
        <w:t xml:space="preserve"> </w:t>
      </w:r>
      <w:r w:rsidR="00F5250E" w:rsidRPr="00E439D7">
        <w:rPr>
          <w:highlight w:val="yellow"/>
        </w:rPr>
        <w:t>(M = 4.20; SD = .79)</w:t>
      </w:r>
      <w:r w:rsidR="00025CED" w:rsidRPr="00E439D7">
        <w:t>, and professional commitment</w:t>
      </w:r>
      <w:r w:rsidR="00F5250E" w:rsidRPr="00E439D7">
        <w:t xml:space="preserve"> </w:t>
      </w:r>
      <w:r w:rsidR="00F5250E" w:rsidRPr="00E439D7">
        <w:rPr>
          <w:highlight w:val="yellow"/>
        </w:rPr>
        <w:t>(M = 4.37; SD = .77)</w:t>
      </w:r>
      <w:r w:rsidR="00025CED" w:rsidRPr="00E439D7">
        <w:t>.</w:t>
      </w:r>
      <w:r w:rsidR="00B30373" w:rsidRPr="00E439D7">
        <w:t xml:space="preserve"> </w:t>
      </w:r>
      <w:r w:rsidR="00025CED" w:rsidRPr="00E439D7">
        <w:t>However, the</w:t>
      </w:r>
      <w:r w:rsidR="00184DBA" w:rsidRPr="00E439D7">
        <w:t>y demonstrated</w:t>
      </w:r>
      <w:r w:rsidR="00025CED" w:rsidRPr="00E439D7">
        <w:t xml:space="preserve"> low</w:t>
      </w:r>
      <w:r w:rsidR="00184DBA" w:rsidRPr="00E439D7">
        <w:t xml:space="preserve"> level</w:t>
      </w:r>
      <w:r w:rsidR="007419CC" w:rsidRPr="00E439D7">
        <w:t xml:space="preserve"> of</w:t>
      </w:r>
      <w:r w:rsidR="00C45B62" w:rsidRPr="00E439D7">
        <w:t xml:space="preserve"> knowledge</w:t>
      </w:r>
      <w:r w:rsidR="00025CED" w:rsidRPr="00E439D7">
        <w:t xml:space="preserve"> for effective communication skills. It </w:t>
      </w:r>
      <w:r w:rsidR="00F31FCB" w:rsidRPr="00E439D7">
        <w:t>i</w:t>
      </w:r>
      <w:r w:rsidR="00025CED" w:rsidRPr="00E439D7">
        <w:t xml:space="preserve">s recommended that </w:t>
      </w:r>
      <w:r w:rsidR="00184DBA" w:rsidRPr="00E439D7">
        <w:t>teacher educators should</w:t>
      </w:r>
      <w:r w:rsidR="00025CED" w:rsidRPr="00E439D7">
        <w:t xml:space="preserve"> focus on improving preservice teachers' communicati</w:t>
      </w:r>
      <w:r w:rsidR="00184DBA" w:rsidRPr="00E439D7">
        <w:t>ve</w:t>
      </w:r>
      <w:r w:rsidR="00025CED" w:rsidRPr="00E439D7">
        <w:t xml:space="preserve"> skills during on-campus teaching practice to better prepare them for off-campus</w:t>
      </w:r>
      <w:r w:rsidR="003838D8" w:rsidRPr="00E439D7">
        <w:t xml:space="preserve"> teaching</w:t>
      </w:r>
      <w:r w:rsidR="00025CED" w:rsidRPr="00E439D7">
        <w:t xml:space="preserve"> practice.</w:t>
      </w:r>
      <w:r w:rsidR="000E0F78" w:rsidRPr="00E439D7">
        <w:t xml:space="preserve"> </w:t>
      </w:r>
      <w:r w:rsidR="00E27F9E" w:rsidRPr="00E439D7">
        <w:t>Also, teacher training institutions, in collaboration with the Centre for Teacher Professional Development (CTPD), can periodically organize workshops and practical experience sessions to enhance preservice teachers’ ability to convey information effectively.</w:t>
      </w:r>
      <w:r w:rsidR="000E0F78" w:rsidRPr="00E439D7">
        <w:t xml:space="preserve"> </w:t>
      </w:r>
      <w:r w:rsidR="00D9039F" w:rsidRPr="00E439D7">
        <w:t xml:space="preserve"> </w:t>
      </w:r>
    </w:p>
    <w:p w14:paraId="2ED375B1" w14:textId="0156C39F" w:rsidR="00140DF6" w:rsidRPr="00E439D7" w:rsidRDefault="00140DF6" w:rsidP="00BC4767">
      <w:pPr>
        <w:pStyle w:val="Heading2"/>
      </w:pPr>
    </w:p>
    <w:p w14:paraId="45DA66CD" w14:textId="3493B0D5" w:rsidR="00FB181F" w:rsidRPr="00E439D7" w:rsidRDefault="00140DF6" w:rsidP="00BC4767">
      <w:pPr>
        <w:pStyle w:val="Heading2"/>
      </w:pPr>
      <w:r w:rsidRPr="00E439D7">
        <w:t xml:space="preserve">Keywords: </w:t>
      </w:r>
      <w:r w:rsidR="009A5F23" w:rsidRPr="00E439D7">
        <w:t xml:space="preserve">Business management, </w:t>
      </w:r>
      <w:r w:rsidR="00F65DA6" w:rsidRPr="00E439D7">
        <w:t>p</w:t>
      </w:r>
      <w:r w:rsidRPr="00E439D7">
        <w:t>reservice teacher</w:t>
      </w:r>
      <w:r w:rsidR="009A5F23" w:rsidRPr="00E439D7">
        <w:t>s</w:t>
      </w:r>
      <w:r w:rsidRPr="00E439D7">
        <w:t xml:space="preserve">, professional knowledge, </w:t>
      </w:r>
      <w:r w:rsidR="00093AA0" w:rsidRPr="00E439D7">
        <w:t>teacher education</w:t>
      </w:r>
      <w:r w:rsidR="004958AE" w:rsidRPr="00E439D7">
        <w:t>,</w:t>
      </w:r>
      <w:r w:rsidR="00093AA0" w:rsidRPr="00E439D7">
        <w:t xml:space="preserve"> </w:t>
      </w:r>
      <w:r w:rsidRPr="00E439D7">
        <w:t xml:space="preserve">teaching </w:t>
      </w:r>
    </w:p>
    <w:p w14:paraId="3E8AAD64" w14:textId="77777777" w:rsidR="005F5A66" w:rsidRPr="00E439D7" w:rsidRDefault="005F5A66" w:rsidP="00BC4767">
      <w:pPr>
        <w:pStyle w:val="Heading2"/>
      </w:pPr>
    </w:p>
    <w:p w14:paraId="68F804FE" w14:textId="7A22EC2E" w:rsidR="00DC6D8A" w:rsidRPr="00E439D7" w:rsidRDefault="00DC6D8A" w:rsidP="009F0D46">
      <w:pPr>
        <w:spacing w:after="0" w:line="240" w:lineRule="auto"/>
        <w:contextualSpacing/>
        <w:jc w:val="both"/>
        <w:rPr>
          <w:rFonts w:eastAsia="Times New Roman" w:cs="Times New Roman"/>
          <w:color w:val="000000" w:themeColor="text1"/>
          <w:szCs w:val="24"/>
        </w:rPr>
      </w:pPr>
    </w:p>
    <w:p w14:paraId="6E07553F" w14:textId="59392DBF" w:rsidR="00484FC0" w:rsidRPr="00E439D7" w:rsidRDefault="00D5064D" w:rsidP="00335C92">
      <w:pPr>
        <w:pStyle w:val="Heading3"/>
        <w:spacing w:before="0" w:line="240" w:lineRule="auto"/>
        <w:contextualSpacing/>
        <w:jc w:val="both"/>
        <w:rPr>
          <w:rFonts w:ascii="Times New Roman" w:eastAsia="TimesNewRoman" w:hAnsi="Times New Roman" w:cs="Times New Roman"/>
          <w:b/>
          <w:bCs/>
          <w:color w:val="000000" w:themeColor="text1"/>
        </w:rPr>
      </w:pPr>
      <w:r w:rsidRPr="00E439D7">
        <w:rPr>
          <w:rFonts w:ascii="Times New Roman" w:eastAsia="TimesNewRoman" w:hAnsi="Times New Roman" w:cs="Times New Roman"/>
          <w:b/>
          <w:bCs/>
          <w:color w:val="000000" w:themeColor="text1"/>
        </w:rPr>
        <w:t>Introduction</w:t>
      </w:r>
      <w:r w:rsidR="00795424" w:rsidRPr="00E439D7">
        <w:rPr>
          <w:rFonts w:ascii="Times New Roman" w:eastAsia="TimesNewRoman" w:hAnsi="Times New Roman" w:cs="Times New Roman"/>
          <w:b/>
          <w:bCs/>
          <w:color w:val="000000" w:themeColor="text1"/>
        </w:rPr>
        <w:t xml:space="preserve"> </w:t>
      </w:r>
    </w:p>
    <w:p w14:paraId="651C2EA8" w14:textId="77777777" w:rsidR="00B834DC" w:rsidRPr="00E439D7" w:rsidRDefault="00B834DC" w:rsidP="00335C92">
      <w:pPr>
        <w:spacing w:after="0" w:line="240" w:lineRule="auto"/>
        <w:contextualSpacing/>
        <w:jc w:val="both"/>
        <w:rPr>
          <w:rFonts w:cs="Times New Roman"/>
          <w:szCs w:val="24"/>
        </w:rPr>
      </w:pPr>
    </w:p>
    <w:p w14:paraId="5FB4F55F" w14:textId="049F0F57" w:rsidR="002C63F5" w:rsidRPr="00E439D7" w:rsidRDefault="00484FC0" w:rsidP="00335C92">
      <w:pPr>
        <w:spacing w:after="0" w:line="240" w:lineRule="auto"/>
        <w:contextualSpacing/>
        <w:jc w:val="both"/>
        <w:rPr>
          <w:rFonts w:cs="Times New Roman"/>
          <w:color w:val="000000" w:themeColor="text1"/>
          <w:szCs w:val="24"/>
        </w:rPr>
      </w:pPr>
      <w:r w:rsidRPr="00E439D7">
        <w:rPr>
          <w:rFonts w:cs="Times New Roman"/>
          <w:szCs w:val="24"/>
        </w:rPr>
        <w:t xml:space="preserve">According to </w:t>
      </w:r>
      <w:r w:rsidRPr="00E439D7">
        <w:rPr>
          <w:rFonts w:cs="Times New Roman"/>
          <w:szCs w:val="24"/>
        </w:rPr>
        <w:fldChar w:fldCharType="begin" w:fldLock="1"/>
      </w:r>
      <w:r w:rsidRPr="00E439D7">
        <w:rPr>
          <w:rFonts w:cs="Times New Roman"/>
          <w:szCs w:val="24"/>
        </w:rPr>
        <w:instrText>ADDIN CSL_CITATION {"citationItems":[{"id":"ITEM-1","itemData":{"author":[{"dropping-particle":"","family":"Mwesiga","given":"Adolphina","non-dropping-particle":"","parse-names":false,"suffix":""},{"dropping-particle":"","family":"Okendo","given":"Evans Ogoti","non-dropping-particle":"","parse-names":false,"suffix":""}],"container-title":"International Journal of Scientific Research and Management (IJSRM)","id":"ITEM-1","issue":"04","issued":{"date-parts":[["2018"]]},"title":"Effectiveness of heads of schools in supervising teachers’ teaching activities in secondary schools in Kagera Region, Tanzania","type":"article-journal","volume":"6"},"uris":["http://www.mendeley.com/documents/?uuid=3d587bc5-585b-49f2-b71e-f6afdf4bc744"]}],"mendeley":{"formattedCitation":"(Mwesiga &amp; Okendo, 2018)","manualFormatting":"Mwesiga and Okendo, (2018)","plainTextFormattedCitation":"(Mwesiga &amp; Okendo, 2018)","previouslyFormattedCitation":"(Mwesiga &amp; Okendo, 2018)"},"properties":{"noteIndex":0},"schema":"https://github.com/citation-style-language/schema/raw/master/csl-citation.json"}</w:instrText>
      </w:r>
      <w:r w:rsidRPr="00E439D7">
        <w:rPr>
          <w:rFonts w:cs="Times New Roman"/>
          <w:szCs w:val="24"/>
        </w:rPr>
        <w:fldChar w:fldCharType="separate"/>
      </w:r>
      <w:r w:rsidRPr="00E439D7">
        <w:rPr>
          <w:rFonts w:cs="Times New Roman"/>
          <w:noProof/>
          <w:szCs w:val="24"/>
        </w:rPr>
        <w:t>Mwesiga and Okendo, (2018)</w:t>
      </w:r>
      <w:r w:rsidRPr="00E439D7">
        <w:rPr>
          <w:rFonts w:cs="Times New Roman"/>
          <w:szCs w:val="24"/>
        </w:rPr>
        <w:fldChar w:fldCharType="end"/>
      </w:r>
      <w:r w:rsidRPr="00E439D7">
        <w:rPr>
          <w:rFonts w:cs="Times New Roman"/>
          <w:szCs w:val="24"/>
        </w:rPr>
        <w:t xml:space="preserve">, a review of preservice teachers’ teaching performance is </w:t>
      </w:r>
      <w:r w:rsidR="0069224B" w:rsidRPr="00E439D7">
        <w:rPr>
          <w:rFonts w:cs="Times New Roman"/>
          <w:szCs w:val="24"/>
        </w:rPr>
        <w:t>measured</w:t>
      </w:r>
      <w:r w:rsidRPr="00E439D7">
        <w:rPr>
          <w:rFonts w:cs="Times New Roman"/>
          <w:szCs w:val="24"/>
        </w:rPr>
        <w:t xml:space="preserve"> by many variables such as teachers’ knowledge and qualification, teaching methods, lesson preparation, time management, classroom management, teaching self-efficacy, and attitude towards the teaching profession. </w:t>
      </w:r>
      <w:r w:rsidRPr="00E439D7">
        <w:rPr>
          <w:rFonts w:cs="Times New Roman"/>
          <w:color w:val="000000" w:themeColor="text1"/>
          <w:szCs w:val="24"/>
        </w:rPr>
        <w:t xml:space="preserve">Since preservice teachers are being trained to enter into the teaching profession, they are expected to demonstrate high levels of these qualities to enhance their teaching performance. </w:t>
      </w:r>
      <w:r w:rsidR="00C20AD4" w:rsidRPr="00E439D7">
        <w:rPr>
          <w:rFonts w:cs="Times New Roman"/>
          <w:color w:val="000000" w:themeColor="text1"/>
          <w:szCs w:val="24"/>
        </w:rPr>
        <w:t>T</w:t>
      </w:r>
      <w:r w:rsidRPr="00E439D7">
        <w:rPr>
          <w:rFonts w:cs="Times New Roman"/>
          <w:color w:val="000000" w:themeColor="text1"/>
          <w:szCs w:val="24"/>
        </w:rPr>
        <w:t xml:space="preserve">he National Teaching Standard </w:t>
      </w:r>
      <w:r w:rsidR="00C20AD4" w:rsidRPr="00E439D7">
        <w:rPr>
          <w:rFonts w:cs="Times New Roman"/>
          <w:color w:val="000000" w:themeColor="text1"/>
          <w:szCs w:val="24"/>
        </w:rPr>
        <w:t>highlight</w:t>
      </w:r>
      <w:r w:rsidR="00FD20DE" w:rsidRPr="00E439D7">
        <w:rPr>
          <w:rFonts w:cs="Times New Roman"/>
          <w:color w:val="000000" w:themeColor="text1"/>
          <w:szCs w:val="24"/>
        </w:rPr>
        <w:t>s</w:t>
      </w:r>
      <w:r w:rsidR="00C20AD4" w:rsidRPr="00E439D7">
        <w:rPr>
          <w:rFonts w:cs="Times New Roman"/>
          <w:color w:val="000000" w:themeColor="text1"/>
          <w:szCs w:val="24"/>
        </w:rPr>
        <w:t xml:space="preserve"> </w:t>
      </w:r>
      <w:r w:rsidRPr="00E439D7">
        <w:rPr>
          <w:rFonts w:cs="Times New Roman"/>
          <w:color w:val="000000" w:themeColor="text1"/>
          <w:szCs w:val="24"/>
        </w:rPr>
        <w:t>the essence of professional knowledge required by preservice teachers toward the teaching profession.</w:t>
      </w:r>
      <w:r w:rsidR="00C20AD4" w:rsidRPr="00E439D7">
        <w:rPr>
          <w:rFonts w:cs="Times New Roman"/>
          <w:color w:val="000000" w:themeColor="text1"/>
          <w:szCs w:val="24"/>
        </w:rPr>
        <w:t xml:space="preserve"> </w:t>
      </w:r>
    </w:p>
    <w:p w14:paraId="78645720" w14:textId="77777777" w:rsidR="00FD20DE" w:rsidRPr="00E439D7" w:rsidRDefault="00FD20DE" w:rsidP="00335C92">
      <w:pPr>
        <w:spacing w:after="0" w:line="240" w:lineRule="auto"/>
        <w:contextualSpacing/>
        <w:jc w:val="both"/>
        <w:rPr>
          <w:rFonts w:cs="Times New Roman"/>
          <w:color w:val="000000" w:themeColor="text1"/>
          <w:szCs w:val="24"/>
        </w:rPr>
      </w:pPr>
    </w:p>
    <w:p w14:paraId="08E39E8A" w14:textId="7E87BDA7" w:rsidR="00CD47A3" w:rsidRPr="00E439D7" w:rsidRDefault="00484FC0" w:rsidP="00335C92">
      <w:pPr>
        <w:spacing w:after="0" w:line="240" w:lineRule="auto"/>
        <w:contextualSpacing/>
        <w:jc w:val="both"/>
        <w:rPr>
          <w:rFonts w:eastAsia="Times New Roman" w:cs="Times New Roman"/>
          <w:color w:val="000000" w:themeColor="text1"/>
          <w:szCs w:val="24"/>
        </w:rPr>
      </w:pPr>
      <w:r w:rsidRPr="00E439D7">
        <w:rPr>
          <w:rFonts w:cs="Times New Roman"/>
          <w:color w:val="000000" w:themeColor="text1"/>
          <w:szCs w:val="24"/>
        </w:rPr>
        <w:t>Studies  have shown the predictive relevance of teachers’ professional knowledge on their teaching performance and students learning (</w:t>
      </w:r>
      <w:r w:rsidR="004F55C8" w:rsidRPr="00E439D7">
        <w:rPr>
          <w:rFonts w:cs="Times New Roman"/>
          <w:noProof/>
          <w:szCs w:val="24"/>
        </w:rPr>
        <w:t xml:space="preserve">Burić &amp; Kim, 2020, </w:t>
      </w:r>
      <w:r w:rsidRPr="00E439D7">
        <w:rPr>
          <w:rFonts w:eastAsia="TimesNewRoman" w:cs="Times New Roman"/>
          <w:color w:val="000000" w:themeColor="text1"/>
          <w:szCs w:val="24"/>
        </w:rPr>
        <w:fldChar w:fldCharType="begin" w:fldLock="1"/>
      </w:r>
      <w:r w:rsidRPr="00E439D7">
        <w:rPr>
          <w:rFonts w:eastAsia="TimesNewRoman" w:cs="Times New Roman"/>
          <w:color w:val="000000" w:themeColor="text1"/>
          <w:szCs w:val="24"/>
        </w:rPr>
        <w:instrText>ADDIN CSL_CITATION {"citationItems":[{"id":"ITEM-1","itemData":{"DOI":"10.18488/journal.61.2021.93.497.506","ISSN":"23103868","abstract":"Learning to teach reflectively is a lifelong process that is strengthened through the active engagement of varied professional development activities inside or outside the school. This study assessed the quality of instruction and professional development activities in a well-known university in Cebu, the Philippines, where it determined teachers' teaching competencies and perception in their professional development activities, issues, and concerns. It utilized a quantitative-descriptive research design where respondents were selected through universal sampling. Findings showed that professional development activities for teachers had achieved mastery in instructional planning, instructional delivery, knowledge of the subject matter, rapport with students, and classroom management. On the other hand, professional development activities were perceived to have little benefit for the teachers. It was also found out that there is no significant relationship between the teaching competencies and professional development activities. Perceived benefits of professional development activities were attributed to personal perceptions and contextual factors. The findings call for strategic professional development planning, implementation, and evaluation for teachers to benefit more. Thus, the conduct of a similar study in a broader parameter is recommended.","author":[{"dropping-particle":"","family":"Padillo","given":"Gengen G.","non-dropping-particle":"","parse-names":false,"suffix":""},{"dropping-particle":"","family":"Manguilimotan","given":"Ramil P.","non-dropping-particle":"","parse-names":false,"suffix":""},{"dropping-particle":"","family":"Capuno","given":"Reylan G.","non-dropping-particle":"","parse-names":false,"suffix":""},{"dropping-particle":"","family":"Espina","given":"Raymond C.","non-dropping-particle":"","parse-names":false,"suffix":""}],"container-title":"International Journal of Education and Practice","id":"ITEM-1","issue":"3","issued":{"date-parts":[["2021"]]},"page":"497-506","title":"Professional development activities and teacher performance","type":"article-journal","volume":"9"},"uris":["http://www.mendeley.com/documents/?uuid=6b4f6b54-e7ca-480b-bee8-ac0cbbd040de"]}],"mendeley":{"formattedCitation":"(Padillo, Manguilimotan, Capuno, &amp; Espina, 2021)","manualFormatting":"Padillo, Manguilimotan, Capuno, &amp; Espina, 2021; Hill et al., 2005)","plainTextFormattedCitation":"(Padillo, Manguilimotan, Capuno, &amp; Espina, 2021)","previouslyFormattedCitation":"(Padillo, Manguilimotan, Capuno, &amp; Espina, 2021)"},"properties":{"noteIndex":0},"schema":"https://github.com/citation-style-language/schema/raw/master/csl-citation.json"}</w:instrText>
      </w:r>
      <w:r w:rsidRPr="00E439D7">
        <w:rPr>
          <w:rFonts w:eastAsia="TimesNewRoman" w:cs="Times New Roman"/>
          <w:color w:val="000000" w:themeColor="text1"/>
          <w:szCs w:val="24"/>
        </w:rPr>
        <w:fldChar w:fldCharType="separate"/>
      </w:r>
      <w:r w:rsidRPr="00E439D7">
        <w:rPr>
          <w:rFonts w:eastAsia="TimesNewRoman" w:cs="Times New Roman"/>
          <w:noProof/>
          <w:color w:val="000000" w:themeColor="text1"/>
          <w:szCs w:val="24"/>
        </w:rPr>
        <w:t>Padillo, Manguilimotan, Capuno, &amp; Espina, 2021</w:t>
      </w:r>
      <w:r w:rsidRPr="00E439D7">
        <w:rPr>
          <w:rFonts w:eastAsia="TimesNewRoman" w:cs="Times New Roman"/>
          <w:color w:val="000000" w:themeColor="text1"/>
          <w:szCs w:val="24"/>
        </w:rPr>
        <w:fldChar w:fldCharType="end"/>
      </w:r>
      <w:r w:rsidR="007D18F5" w:rsidRPr="00E439D7">
        <w:rPr>
          <w:rFonts w:eastAsia="TimesNewRoman" w:cs="Times New Roman"/>
          <w:color w:val="000000" w:themeColor="text1"/>
          <w:szCs w:val="24"/>
        </w:rPr>
        <w:t>)</w:t>
      </w:r>
      <w:r w:rsidRPr="00E439D7">
        <w:rPr>
          <w:rFonts w:eastAsia="TimesNewRoman" w:cs="Times New Roman"/>
          <w:color w:val="000000" w:themeColor="text1"/>
          <w:szCs w:val="24"/>
        </w:rPr>
        <w:t>.</w:t>
      </w:r>
      <w:r w:rsidRPr="00E439D7">
        <w:rPr>
          <w:rFonts w:eastAsia="Times New Roman" w:cs="Times New Roman"/>
          <w:color w:val="000000" w:themeColor="text1"/>
          <w:szCs w:val="24"/>
        </w:rPr>
        <w:t xml:space="preserve"> </w:t>
      </w:r>
      <w:r w:rsidR="006B4B7D" w:rsidRPr="00E439D7">
        <w:rPr>
          <w:rFonts w:eastAsia="Times New Roman" w:cs="Times New Roman"/>
          <w:color w:val="000000" w:themeColor="text1"/>
          <w:szCs w:val="24"/>
        </w:rPr>
        <w:t xml:space="preserve">However, a study by </w:t>
      </w:r>
      <w:proofErr w:type="spellStart"/>
      <w:r w:rsidR="00CD47A3" w:rsidRPr="00E439D7">
        <w:rPr>
          <w:rFonts w:cs="Times New Roman"/>
          <w:color w:val="000000" w:themeColor="text1"/>
          <w:szCs w:val="24"/>
        </w:rPr>
        <w:t>Senyametor</w:t>
      </w:r>
      <w:proofErr w:type="spellEnd"/>
      <w:r w:rsidR="00CD47A3" w:rsidRPr="00E439D7">
        <w:rPr>
          <w:rFonts w:cs="Times New Roman"/>
          <w:color w:val="000000" w:themeColor="text1"/>
          <w:szCs w:val="24"/>
        </w:rPr>
        <w:t xml:space="preserve"> et. al., (202</w:t>
      </w:r>
      <w:r w:rsidR="00903FC5" w:rsidRPr="00E439D7">
        <w:rPr>
          <w:rFonts w:cs="Times New Roman"/>
          <w:color w:val="000000" w:themeColor="text1"/>
          <w:szCs w:val="24"/>
        </w:rPr>
        <w:t>4</w:t>
      </w:r>
      <w:r w:rsidR="00CD47A3" w:rsidRPr="00E439D7">
        <w:rPr>
          <w:rFonts w:cs="Times New Roman"/>
          <w:color w:val="000000" w:themeColor="text1"/>
          <w:szCs w:val="24"/>
        </w:rPr>
        <w:t>) revealed that 30% of preservice teachers</w:t>
      </w:r>
      <w:r w:rsidR="003035B6" w:rsidRPr="00E439D7">
        <w:rPr>
          <w:rFonts w:cs="Times New Roman"/>
          <w:color w:val="000000" w:themeColor="text1"/>
          <w:szCs w:val="24"/>
        </w:rPr>
        <w:t xml:space="preserve"> at UCC</w:t>
      </w:r>
      <w:r w:rsidR="00CD47A3" w:rsidRPr="00E439D7">
        <w:rPr>
          <w:rFonts w:cs="Times New Roman"/>
          <w:color w:val="000000" w:themeColor="text1"/>
          <w:szCs w:val="24"/>
        </w:rPr>
        <w:t xml:space="preserve"> had difficulty preparing a good expanded scheme of work during off-campus </w:t>
      </w:r>
      <w:r w:rsidR="00CD47A3" w:rsidRPr="00E439D7">
        <w:rPr>
          <w:rFonts w:cs="Times New Roman"/>
          <w:color w:val="000000" w:themeColor="text1"/>
          <w:szCs w:val="24"/>
        </w:rPr>
        <w:lastRenderedPageBreak/>
        <w:t>teaching. This is an indication of low teach</w:t>
      </w:r>
      <w:r w:rsidR="004B76D4" w:rsidRPr="00E439D7">
        <w:rPr>
          <w:rFonts w:cs="Times New Roman"/>
          <w:color w:val="000000" w:themeColor="text1"/>
          <w:szCs w:val="24"/>
        </w:rPr>
        <w:t>ing</w:t>
      </w:r>
      <w:r w:rsidR="00CD47A3" w:rsidRPr="00E439D7">
        <w:rPr>
          <w:rFonts w:cs="Times New Roman"/>
          <w:color w:val="000000" w:themeColor="text1"/>
          <w:szCs w:val="24"/>
        </w:rPr>
        <w:t xml:space="preserve"> performance since lesson plans are the genes or blueprints and form 50% of teachers’ teaching performance (</w:t>
      </w:r>
      <w:proofErr w:type="spellStart"/>
      <w:r w:rsidR="00CD47A3" w:rsidRPr="00E439D7">
        <w:rPr>
          <w:rFonts w:cs="Times New Roman"/>
          <w:color w:val="000000" w:themeColor="text1"/>
          <w:szCs w:val="24"/>
        </w:rPr>
        <w:t>Mbwesa</w:t>
      </w:r>
      <w:proofErr w:type="spellEnd"/>
      <w:r w:rsidR="00CD47A3" w:rsidRPr="00E439D7">
        <w:rPr>
          <w:rFonts w:cs="Times New Roman"/>
          <w:color w:val="000000" w:themeColor="text1"/>
          <w:szCs w:val="24"/>
        </w:rPr>
        <w:t>, 2014).</w:t>
      </w:r>
    </w:p>
    <w:p w14:paraId="2DA7F550" w14:textId="77777777" w:rsidR="006B4B7D" w:rsidRPr="00E439D7" w:rsidRDefault="006B4B7D" w:rsidP="00CD47A3">
      <w:pPr>
        <w:spacing w:after="0" w:line="240" w:lineRule="auto"/>
        <w:contextualSpacing/>
        <w:jc w:val="both"/>
        <w:rPr>
          <w:rFonts w:cs="Times New Roman"/>
          <w:color w:val="000000" w:themeColor="text1"/>
          <w:szCs w:val="24"/>
        </w:rPr>
      </w:pPr>
    </w:p>
    <w:p w14:paraId="6464A7FF" w14:textId="2AA3FAD5" w:rsidR="00741336" w:rsidRPr="00E439D7" w:rsidRDefault="00CD47A3" w:rsidP="00741336">
      <w:pPr>
        <w:spacing w:after="0" w:line="240" w:lineRule="auto"/>
        <w:contextualSpacing/>
        <w:jc w:val="both"/>
        <w:rPr>
          <w:rFonts w:cs="Times New Roman"/>
          <w:color w:val="000000" w:themeColor="text1"/>
          <w:szCs w:val="24"/>
        </w:rPr>
      </w:pPr>
      <w:r w:rsidRPr="00E439D7">
        <w:rPr>
          <w:rFonts w:cs="Times New Roman"/>
          <w:color w:val="000000" w:themeColor="text1"/>
          <w:szCs w:val="24"/>
        </w:rPr>
        <w:t>Similarly, team leader’s report from the Centre for Teacher Professional Development (CTPD-UCC) indicates that about 9</w:t>
      </w:r>
      <w:r w:rsidR="000A5AE9" w:rsidRPr="00E439D7">
        <w:rPr>
          <w:rFonts w:cs="Times New Roman"/>
          <w:color w:val="000000" w:themeColor="text1"/>
          <w:szCs w:val="24"/>
        </w:rPr>
        <w:t>0</w:t>
      </w:r>
      <w:r w:rsidRPr="00E439D7">
        <w:rPr>
          <w:rFonts w:cs="Times New Roman"/>
          <w:color w:val="000000" w:themeColor="text1"/>
          <w:szCs w:val="24"/>
        </w:rPr>
        <w:t>% of preservice teachers lack professional knowledge in lesson plan preparation especially, pre-lesson preparation and what it composed off (</w:t>
      </w:r>
      <w:proofErr w:type="spellStart"/>
      <w:r w:rsidRPr="00E439D7">
        <w:rPr>
          <w:rFonts w:cs="Times New Roman"/>
          <w:color w:val="000000" w:themeColor="text1"/>
          <w:szCs w:val="24"/>
        </w:rPr>
        <w:t>Yarkwah</w:t>
      </w:r>
      <w:proofErr w:type="spellEnd"/>
      <w:r w:rsidRPr="00E439D7">
        <w:rPr>
          <w:rFonts w:cs="Times New Roman"/>
          <w:color w:val="000000" w:themeColor="text1"/>
          <w:szCs w:val="24"/>
        </w:rPr>
        <w:t xml:space="preserve">, 2022; Agyei, 2022). Although the study by </w:t>
      </w:r>
      <w:proofErr w:type="spellStart"/>
      <w:r w:rsidRPr="00E439D7">
        <w:rPr>
          <w:rFonts w:cs="Times New Roman"/>
          <w:color w:val="000000" w:themeColor="text1"/>
          <w:szCs w:val="24"/>
        </w:rPr>
        <w:t>Senyametor</w:t>
      </w:r>
      <w:proofErr w:type="spellEnd"/>
      <w:r w:rsidRPr="00E439D7">
        <w:rPr>
          <w:rFonts w:cs="Times New Roman"/>
          <w:color w:val="000000" w:themeColor="text1"/>
          <w:szCs w:val="24"/>
        </w:rPr>
        <w:t xml:space="preserve"> et al. (202</w:t>
      </w:r>
      <w:r w:rsidR="00FB6202" w:rsidRPr="00E439D7">
        <w:rPr>
          <w:rFonts w:cs="Times New Roman"/>
          <w:color w:val="000000" w:themeColor="text1"/>
          <w:szCs w:val="24"/>
        </w:rPr>
        <w:t>4</w:t>
      </w:r>
      <w:r w:rsidRPr="00E439D7">
        <w:rPr>
          <w:rFonts w:cs="Times New Roman"/>
          <w:color w:val="000000" w:themeColor="text1"/>
          <w:szCs w:val="24"/>
        </w:rPr>
        <w:t>) and the report from the CTPD-UCC were silent on which specific preservice teachers demonstrated low performance due to difficulties and a lack of professional knowledge in lesson plan preparation</w:t>
      </w:r>
      <w:r w:rsidR="009B5DC8" w:rsidRPr="00E439D7">
        <w:rPr>
          <w:rFonts w:cs="Times New Roman"/>
          <w:color w:val="000000" w:themeColor="text1"/>
          <w:szCs w:val="24"/>
        </w:rPr>
        <w:t>.</w:t>
      </w:r>
      <w:r w:rsidRPr="00E439D7">
        <w:rPr>
          <w:rFonts w:cs="Times New Roman"/>
          <w:color w:val="000000" w:themeColor="text1"/>
          <w:szCs w:val="24"/>
        </w:rPr>
        <w:t xml:space="preserve"> </w:t>
      </w:r>
      <w:r w:rsidR="009B5DC8" w:rsidRPr="00E439D7">
        <w:rPr>
          <w:rFonts w:cs="Times New Roman"/>
          <w:color w:val="000000" w:themeColor="text1"/>
          <w:szCs w:val="24"/>
        </w:rPr>
        <w:t>A</w:t>
      </w:r>
      <w:r w:rsidRPr="00E439D7">
        <w:rPr>
          <w:rFonts w:cs="Times New Roman"/>
          <w:color w:val="000000" w:themeColor="text1"/>
          <w:szCs w:val="24"/>
        </w:rPr>
        <w:t>n investigation is necessary to augment this phenomenon, as scientific stud</w:t>
      </w:r>
      <w:r w:rsidR="004E39AF" w:rsidRPr="00E439D7">
        <w:rPr>
          <w:rFonts w:cs="Times New Roman"/>
          <w:color w:val="000000" w:themeColor="text1"/>
          <w:szCs w:val="24"/>
        </w:rPr>
        <w:t>y</w:t>
      </w:r>
      <w:r w:rsidRPr="00E439D7">
        <w:rPr>
          <w:rFonts w:cs="Times New Roman"/>
          <w:color w:val="000000" w:themeColor="text1"/>
          <w:szCs w:val="24"/>
        </w:rPr>
        <w:t xml:space="preserve"> on preservice management teachers</w:t>
      </w:r>
      <w:r w:rsidR="009B5DC8" w:rsidRPr="00E439D7">
        <w:rPr>
          <w:rFonts w:cs="Times New Roman"/>
          <w:color w:val="000000" w:themeColor="text1"/>
          <w:szCs w:val="24"/>
        </w:rPr>
        <w:t>’</w:t>
      </w:r>
      <w:r w:rsidR="004E39AF" w:rsidRPr="00E439D7">
        <w:rPr>
          <w:rFonts w:cs="Times New Roman"/>
          <w:color w:val="000000" w:themeColor="text1"/>
          <w:szCs w:val="24"/>
        </w:rPr>
        <w:t xml:space="preserve"> level of professional knowledge during off-campus teaching practice.</w:t>
      </w:r>
    </w:p>
    <w:p w14:paraId="0B25578A" w14:textId="77777777" w:rsidR="004E39AF" w:rsidRPr="00E439D7" w:rsidRDefault="004E39AF" w:rsidP="00741336">
      <w:pPr>
        <w:spacing w:after="0" w:line="240" w:lineRule="auto"/>
        <w:contextualSpacing/>
        <w:jc w:val="both"/>
        <w:rPr>
          <w:rFonts w:cs="Times New Roman"/>
          <w:color w:val="000000" w:themeColor="text1"/>
          <w:szCs w:val="24"/>
        </w:rPr>
      </w:pPr>
    </w:p>
    <w:p w14:paraId="7970B50D" w14:textId="4063CA3B" w:rsidR="00FA57D9" w:rsidRPr="00E439D7" w:rsidRDefault="0089435F" w:rsidP="00741336">
      <w:pPr>
        <w:spacing w:after="0" w:line="240" w:lineRule="auto"/>
        <w:jc w:val="both"/>
        <w:rPr>
          <w:rFonts w:eastAsia="Times New Roman" w:cs="Times New Roman"/>
          <w:szCs w:val="24"/>
        </w:rPr>
      </w:pPr>
      <w:r w:rsidRPr="00E439D7">
        <w:rPr>
          <w:rFonts w:cs="Times New Roman"/>
          <w:color w:val="000000" w:themeColor="text1"/>
          <w:szCs w:val="24"/>
        </w:rPr>
        <w:t xml:space="preserve">This study </w:t>
      </w:r>
      <w:r w:rsidR="00F9475A" w:rsidRPr="00E439D7">
        <w:rPr>
          <w:rFonts w:cs="Times New Roman"/>
          <w:color w:val="000000" w:themeColor="text1"/>
          <w:szCs w:val="24"/>
        </w:rPr>
        <w:t xml:space="preserve">is crucial since it </w:t>
      </w:r>
      <w:r w:rsidRPr="00E439D7">
        <w:rPr>
          <w:rFonts w:cs="Times New Roman"/>
          <w:color w:val="000000" w:themeColor="text1"/>
          <w:szCs w:val="24"/>
        </w:rPr>
        <w:t xml:space="preserve">revealed </w:t>
      </w:r>
      <w:r w:rsidR="00267EEF" w:rsidRPr="00E439D7">
        <w:rPr>
          <w:rFonts w:cs="Times New Roman"/>
          <w:color w:val="000000" w:themeColor="text1"/>
          <w:szCs w:val="24"/>
        </w:rPr>
        <w:t>preservice management teachers’ level</w:t>
      </w:r>
      <w:r w:rsidRPr="00E439D7">
        <w:rPr>
          <w:rFonts w:cs="Times New Roman"/>
          <w:color w:val="000000" w:themeColor="text1"/>
          <w:szCs w:val="24"/>
        </w:rPr>
        <w:t xml:space="preserve"> of</w:t>
      </w:r>
      <w:r w:rsidR="00267EEF" w:rsidRPr="00E439D7">
        <w:rPr>
          <w:rFonts w:cs="Times New Roman"/>
          <w:color w:val="000000" w:themeColor="text1"/>
          <w:szCs w:val="24"/>
        </w:rPr>
        <w:t xml:space="preserve"> </w:t>
      </w:r>
      <w:r w:rsidR="00E83071" w:rsidRPr="00E439D7">
        <w:rPr>
          <w:rFonts w:cs="Times New Roman"/>
          <w:color w:val="000000" w:themeColor="text1"/>
          <w:szCs w:val="24"/>
        </w:rPr>
        <w:t xml:space="preserve">professional knowledge </w:t>
      </w:r>
      <w:r w:rsidR="00F9475A" w:rsidRPr="00E439D7">
        <w:rPr>
          <w:rFonts w:cs="Times New Roman"/>
          <w:color w:val="000000" w:themeColor="text1"/>
          <w:szCs w:val="24"/>
        </w:rPr>
        <w:t xml:space="preserve">in terms of </w:t>
      </w:r>
      <w:r w:rsidR="00741336" w:rsidRPr="00E439D7">
        <w:rPr>
          <w:rFonts w:cs="Times New Roman"/>
          <w:color w:val="000000" w:themeColor="text1"/>
          <w:szCs w:val="24"/>
        </w:rPr>
        <w:t>lesson plan preparation, teaching pedagogy, classroom organization and management, as well as professional commitment</w:t>
      </w:r>
      <w:r w:rsidR="00F9475A" w:rsidRPr="00E439D7">
        <w:rPr>
          <w:rFonts w:cs="Times New Roman"/>
          <w:color w:val="000000" w:themeColor="text1"/>
          <w:szCs w:val="24"/>
        </w:rPr>
        <w:t>.</w:t>
      </w:r>
      <w:r w:rsidR="00267EEF" w:rsidRPr="00E439D7">
        <w:rPr>
          <w:rFonts w:cs="Times New Roman"/>
          <w:color w:val="000000" w:themeColor="text1"/>
          <w:szCs w:val="24"/>
        </w:rPr>
        <w:t xml:space="preserve"> </w:t>
      </w:r>
      <w:r w:rsidR="00F9475A" w:rsidRPr="00E439D7">
        <w:rPr>
          <w:rFonts w:cs="Times New Roman"/>
          <w:color w:val="000000" w:themeColor="text1"/>
          <w:szCs w:val="24"/>
        </w:rPr>
        <w:t xml:space="preserve">This </w:t>
      </w:r>
      <w:r w:rsidR="00267EEF" w:rsidRPr="00E439D7">
        <w:rPr>
          <w:rFonts w:cs="Times New Roman"/>
          <w:color w:val="000000" w:themeColor="text1"/>
          <w:szCs w:val="24"/>
        </w:rPr>
        <w:t xml:space="preserve">would </w:t>
      </w:r>
      <w:r w:rsidR="00F9475A" w:rsidRPr="00E439D7">
        <w:rPr>
          <w:rFonts w:cs="Times New Roman"/>
          <w:color w:val="000000" w:themeColor="text1"/>
          <w:szCs w:val="24"/>
        </w:rPr>
        <w:t>inform teacher</w:t>
      </w:r>
      <w:r w:rsidR="00267EEF" w:rsidRPr="00E439D7">
        <w:rPr>
          <w:rFonts w:cs="Times New Roman"/>
          <w:color w:val="000000" w:themeColor="text1"/>
          <w:szCs w:val="24"/>
        </w:rPr>
        <w:t xml:space="preserve"> </w:t>
      </w:r>
      <w:r w:rsidR="00E83071" w:rsidRPr="00E439D7">
        <w:rPr>
          <w:rFonts w:cs="Times New Roman"/>
          <w:color w:val="000000" w:themeColor="text1"/>
          <w:szCs w:val="24"/>
        </w:rPr>
        <w:t>educators</w:t>
      </w:r>
      <w:r w:rsidR="00267EEF" w:rsidRPr="00E439D7">
        <w:rPr>
          <w:rFonts w:cs="Times New Roman"/>
          <w:color w:val="000000" w:themeColor="text1"/>
          <w:szCs w:val="24"/>
        </w:rPr>
        <w:t xml:space="preserve"> </w:t>
      </w:r>
      <w:r w:rsidR="00F9475A" w:rsidRPr="00E439D7">
        <w:rPr>
          <w:rFonts w:cs="Times New Roman"/>
          <w:color w:val="000000" w:themeColor="text1"/>
          <w:szCs w:val="24"/>
        </w:rPr>
        <w:t>to</w:t>
      </w:r>
      <w:r w:rsidR="00267EEF" w:rsidRPr="00E439D7">
        <w:rPr>
          <w:rFonts w:cs="Times New Roman"/>
          <w:color w:val="000000" w:themeColor="text1"/>
          <w:szCs w:val="24"/>
        </w:rPr>
        <w:t xml:space="preserve"> formulate policies to improve preservice teachers’ professional knowledge toward teaching. </w:t>
      </w:r>
      <w:r w:rsidR="0050447F" w:rsidRPr="00E439D7">
        <w:rPr>
          <w:rFonts w:eastAsia="Times New Roman" w:cs="Times New Roman"/>
          <w:bCs/>
          <w:szCs w:val="24"/>
        </w:rPr>
        <w:t>Also, t</w:t>
      </w:r>
      <w:r w:rsidR="00F14346" w:rsidRPr="00E439D7">
        <w:rPr>
          <w:rFonts w:eastAsia="Times New Roman" w:cs="Times New Roman"/>
          <w:bCs/>
          <w:szCs w:val="24"/>
        </w:rPr>
        <w:t>he</w:t>
      </w:r>
      <w:r w:rsidR="00F14346" w:rsidRPr="00E439D7">
        <w:rPr>
          <w:rFonts w:eastAsia="Times New Roman" w:cs="Times New Roman"/>
          <w:szCs w:val="24"/>
        </w:rPr>
        <w:t xml:space="preserve"> findings of the study </w:t>
      </w:r>
      <w:r w:rsidRPr="00E439D7">
        <w:rPr>
          <w:rFonts w:eastAsia="Times New Roman" w:cs="Times New Roman"/>
          <w:szCs w:val="24"/>
        </w:rPr>
        <w:t>highlight</w:t>
      </w:r>
      <w:r w:rsidR="00F14346" w:rsidRPr="00E439D7">
        <w:rPr>
          <w:rFonts w:eastAsia="Times New Roman" w:cs="Times New Roman"/>
          <w:szCs w:val="24"/>
        </w:rPr>
        <w:t xml:space="preserve"> the importance of</w:t>
      </w:r>
      <w:r w:rsidR="00F14346" w:rsidRPr="00E439D7">
        <w:rPr>
          <w:rFonts w:eastAsia="Times New Roman" w:cs="Times New Roman"/>
          <w:bCs/>
          <w:szCs w:val="24"/>
        </w:rPr>
        <w:t xml:space="preserve"> integrating effective communication skills into the curricular of teacher training institutions</w:t>
      </w:r>
      <w:r w:rsidR="00F14346" w:rsidRPr="00E439D7">
        <w:rPr>
          <w:rFonts w:eastAsia="Times New Roman" w:cs="Times New Roman"/>
          <w:szCs w:val="24"/>
        </w:rPr>
        <w:t>. Curriculum designers or educators can use this information to emphasize the integration of communication skills training within teacher education programmes since effective communication is essential to convey subject matter knowledge, fostering student engagement, and building positive classroom relationships. The study helps to address communication competencies explicitly in curriculum design and teacher preparation programmes.</w:t>
      </w:r>
    </w:p>
    <w:p w14:paraId="553D5555" w14:textId="77777777" w:rsidR="00995E6C" w:rsidRPr="00E439D7" w:rsidRDefault="00995E6C" w:rsidP="00741336">
      <w:pPr>
        <w:spacing w:after="0" w:line="240" w:lineRule="auto"/>
        <w:jc w:val="both"/>
        <w:rPr>
          <w:rFonts w:cs="Times New Roman"/>
          <w:color w:val="000000" w:themeColor="text1"/>
          <w:szCs w:val="24"/>
        </w:rPr>
      </w:pPr>
    </w:p>
    <w:p w14:paraId="2960A56D" w14:textId="55E7C3C3" w:rsidR="001B0535" w:rsidRPr="00E439D7" w:rsidRDefault="001B0535" w:rsidP="003154A2">
      <w:pPr>
        <w:pStyle w:val="ListParagraph"/>
        <w:numPr>
          <w:ilvl w:val="0"/>
          <w:numId w:val="2"/>
        </w:numPr>
        <w:spacing w:after="0" w:line="240" w:lineRule="auto"/>
        <w:jc w:val="both"/>
        <w:rPr>
          <w:rFonts w:cs="Times New Roman"/>
          <w:color w:val="000000" w:themeColor="text1"/>
          <w:szCs w:val="24"/>
        </w:rPr>
      </w:pPr>
      <w:r w:rsidRPr="00E439D7">
        <w:rPr>
          <w:rFonts w:cs="Times New Roman"/>
          <w:color w:val="000000" w:themeColor="text1"/>
          <w:szCs w:val="24"/>
        </w:rPr>
        <w:t xml:space="preserve">What is </w:t>
      </w:r>
      <w:r w:rsidRPr="00E439D7">
        <w:rPr>
          <w:rFonts w:cs="Times New Roman"/>
          <w:color w:val="000000" w:themeColor="text1"/>
          <w:szCs w:val="24"/>
          <w:highlight w:val="yellow"/>
        </w:rPr>
        <w:t>P</w:t>
      </w:r>
      <w:r w:rsidR="007D18F5" w:rsidRPr="00E439D7">
        <w:rPr>
          <w:rFonts w:cs="Times New Roman"/>
          <w:color w:val="000000" w:themeColor="text1"/>
          <w:szCs w:val="24"/>
          <w:highlight w:val="yellow"/>
        </w:rPr>
        <w:t xml:space="preserve">reservice Management </w:t>
      </w:r>
      <w:r w:rsidRPr="00E439D7">
        <w:rPr>
          <w:rFonts w:cs="Times New Roman"/>
          <w:color w:val="000000" w:themeColor="text1"/>
          <w:szCs w:val="24"/>
          <w:highlight w:val="yellow"/>
        </w:rPr>
        <w:t>T</w:t>
      </w:r>
      <w:r w:rsidR="007D18F5" w:rsidRPr="00E439D7">
        <w:rPr>
          <w:rFonts w:cs="Times New Roman"/>
          <w:color w:val="000000" w:themeColor="text1"/>
          <w:szCs w:val="24"/>
          <w:highlight w:val="yellow"/>
        </w:rPr>
        <w:t>eacher</w:t>
      </w:r>
      <w:r w:rsidRPr="00E439D7">
        <w:rPr>
          <w:rFonts w:cs="Times New Roman"/>
          <w:color w:val="000000" w:themeColor="text1"/>
          <w:szCs w:val="24"/>
          <w:highlight w:val="yellow"/>
        </w:rPr>
        <w:t>s’</w:t>
      </w:r>
      <w:r w:rsidR="00E134F7" w:rsidRPr="00E439D7">
        <w:rPr>
          <w:rFonts w:cs="Times New Roman"/>
          <w:color w:val="000000" w:themeColor="text1"/>
          <w:szCs w:val="24"/>
        </w:rPr>
        <w:t xml:space="preserve"> (PMTs)</w:t>
      </w:r>
      <w:r w:rsidRPr="00E439D7">
        <w:rPr>
          <w:rFonts w:cs="Times New Roman"/>
          <w:color w:val="000000" w:themeColor="text1"/>
          <w:szCs w:val="24"/>
        </w:rPr>
        <w:t xml:space="preserve"> level of professional knowledge in lesson plan preparation</w:t>
      </w:r>
      <w:r w:rsidR="000D554A" w:rsidRPr="00E439D7">
        <w:rPr>
          <w:rFonts w:cs="Times New Roman"/>
          <w:color w:val="000000" w:themeColor="text1"/>
          <w:szCs w:val="24"/>
        </w:rPr>
        <w:t>,</w:t>
      </w:r>
      <w:r w:rsidRPr="00E439D7">
        <w:rPr>
          <w:rFonts w:cs="Times New Roman"/>
          <w:color w:val="000000" w:themeColor="text1"/>
          <w:szCs w:val="24"/>
        </w:rPr>
        <w:t xml:space="preserve"> teaching methodology and delivery</w:t>
      </w:r>
      <w:r w:rsidR="000D554A" w:rsidRPr="00E439D7">
        <w:rPr>
          <w:rFonts w:cs="Times New Roman"/>
          <w:color w:val="000000" w:themeColor="text1"/>
          <w:szCs w:val="24"/>
        </w:rPr>
        <w:t xml:space="preserve">, </w:t>
      </w:r>
      <w:r w:rsidRPr="00E439D7">
        <w:rPr>
          <w:rFonts w:cs="Times New Roman"/>
          <w:color w:val="000000" w:themeColor="text1"/>
          <w:szCs w:val="24"/>
        </w:rPr>
        <w:t>classroom organization and management</w:t>
      </w:r>
      <w:r w:rsidR="00075D49" w:rsidRPr="00E439D7">
        <w:rPr>
          <w:rFonts w:cs="Times New Roman"/>
          <w:color w:val="000000" w:themeColor="text1"/>
          <w:szCs w:val="24"/>
        </w:rPr>
        <w:t xml:space="preserve">, as well as </w:t>
      </w:r>
      <w:r w:rsidRPr="00E439D7">
        <w:rPr>
          <w:rFonts w:cs="Times New Roman"/>
          <w:color w:val="000000" w:themeColor="text1"/>
          <w:szCs w:val="24"/>
        </w:rPr>
        <w:t>professional commitment?</w:t>
      </w:r>
    </w:p>
    <w:p w14:paraId="1AEC19F7" w14:textId="77777777" w:rsidR="00075D49" w:rsidRPr="00E439D7" w:rsidRDefault="00075D49" w:rsidP="00075D49">
      <w:pPr>
        <w:spacing w:after="0" w:line="240" w:lineRule="auto"/>
        <w:jc w:val="both"/>
        <w:rPr>
          <w:rFonts w:cs="Times New Roman"/>
          <w:color w:val="000000" w:themeColor="text1"/>
          <w:szCs w:val="24"/>
        </w:rPr>
      </w:pPr>
    </w:p>
    <w:p w14:paraId="7D500438" w14:textId="3B99F62A" w:rsidR="00680579" w:rsidRPr="00E439D7" w:rsidRDefault="00F612FD" w:rsidP="00075D49">
      <w:pPr>
        <w:spacing w:after="0" w:line="240" w:lineRule="auto"/>
        <w:jc w:val="both"/>
        <w:rPr>
          <w:rFonts w:cs="Times New Roman"/>
          <w:color w:val="000000" w:themeColor="text1"/>
          <w:szCs w:val="24"/>
        </w:rPr>
      </w:pPr>
      <w:r w:rsidRPr="00E439D7">
        <w:rPr>
          <w:rFonts w:cs="Times New Roman"/>
          <w:color w:val="000000" w:themeColor="text1"/>
          <w:szCs w:val="24"/>
        </w:rPr>
        <w:tab/>
      </w:r>
      <w:r w:rsidR="00075D49" w:rsidRPr="00E439D7">
        <w:rPr>
          <w:rFonts w:cs="Times New Roman"/>
          <w:color w:val="000000" w:themeColor="text1"/>
          <w:szCs w:val="24"/>
        </w:rPr>
        <w:t>H</w:t>
      </w:r>
      <w:r w:rsidR="00075D49" w:rsidRPr="00E439D7">
        <w:rPr>
          <w:rFonts w:cs="Times New Roman"/>
          <w:color w:val="000000" w:themeColor="text1"/>
          <w:szCs w:val="24"/>
          <w:vertAlign w:val="subscript"/>
        </w:rPr>
        <w:t>0</w:t>
      </w:r>
      <w:r w:rsidR="00075D49" w:rsidRPr="00E439D7">
        <w:rPr>
          <w:rFonts w:cs="Times New Roman"/>
          <w:color w:val="000000" w:themeColor="text1"/>
          <w:szCs w:val="24"/>
        </w:rPr>
        <w:t xml:space="preserve">: </w:t>
      </w:r>
      <w:r w:rsidR="00990F67" w:rsidRPr="00E439D7">
        <w:rPr>
          <w:rFonts w:cs="Times New Roman"/>
          <w:color w:val="000000" w:themeColor="text1"/>
          <w:szCs w:val="24"/>
        </w:rPr>
        <w:t>T</w:t>
      </w:r>
      <w:r w:rsidR="00075D49" w:rsidRPr="00E439D7">
        <w:rPr>
          <w:rFonts w:cs="Times New Roman"/>
          <w:color w:val="000000" w:themeColor="text1"/>
          <w:szCs w:val="24"/>
        </w:rPr>
        <w:t xml:space="preserve">here </w:t>
      </w:r>
      <w:r w:rsidR="00680579" w:rsidRPr="00E439D7">
        <w:rPr>
          <w:rFonts w:cs="Times New Roman"/>
          <w:color w:val="000000" w:themeColor="text1"/>
          <w:szCs w:val="24"/>
        </w:rPr>
        <w:t xml:space="preserve">is </w:t>
      </w:r>
      <w:r w:rsidR="00075D49" w:rsidRPr="00E439D7">
        <w:rPr>
          <w:rFonts w:cs="Times New Roman"/>
          <w:color w:val="000000" w:themeColor="text1"/>
          <w:szCs w:val="24"/>
        </w:rPr>
        <w:t xml:space="preserve">no statistically significant </w:t>
      </w:r>
      <w:r w:rsidR="00680579" w:rsidRPr="00E439D7">
        <w:rPr>
          <w:rFonts w:cs="Times New Roman"/>
          <w:color w:val="000000" w:themeColor="text1"/>
          <w:szCs w:val="24"/>
        </w:rPr>
        <w:t xml:space="preserve">effect of </w:t>
      </w:r>
      <w:r w:rsidR="008956C1" w:rsidRPr="00E439D7">
        <w:rPr>
          <w:rFonts w:cs="Times New Roman"/>
          <w:color w:val="000000" w:themeColor="text1"/>
          <w:szCs w:val="24"/>
          <w:highlight w:val="yellow"/>
        </w:rPr>
        <w:t>Preservice Management Teachers’</w:t>
      </w:r>
      <w:r w:rsidR="008956C1" w:rsidRPr="00E439D7">
        <w:rPr>
          <w:rFonts w:cs="Times New Roman"/>
          <w:color w:val="000000" w:themeColor="text1"/>
          <w:szCs w:val="24"/>
        </w:rPr>
        <w:t xml:space="preserve"> (</w:t>
      </w:r>
      <w:r w:rsidR="00680579" w:rsidRPr="00E439D7">
        <w:rPr>
          <w:rFonts w:cs="Times New Roman"/>
          <w:color w:val="000000" w:themeColor="text1"/>
          <w:szCs w:val="24"/>
        </w:rPr>
        <w:t>PMTs’</w:t>
      </w:r>
      <w:r w:rsidR="008956C1" w:rsidRPr="00E439D7">
        <w:rPr>
          <w:rFonts w:cs="Times New Roman"/>
          <w:color w:val="000000" w:themeColor="text1"/>
          <w:szCs w:val="24"/>
        </w:rPr>
        <w:t>)</w:t>
      </w:r>
      <w:r w:rsidR="00680579" w:rsidRPr="00E439D7">
        <w:rPr>
          <w:rFonts w:cs="Times New Roman"/>
          <w:color w:val="000000" w:themeColor="text1"/>
          <w:szCs w:val="24"/>
        </w:rPr>
        <w:t xml:space="preserve"> lesson </w:t>
      </w:r>
      <w:r w:rsidR="008956C1" w:rsidRPr="00E439D7">
        <w:rPr>
          <w:rFonts w:cs="Times New Roman"/>
          <w:color w:val="000000" w:themeColor="text1"/>
          <w:szCs w:val="24"/>
        </w:rPr>
        <w:tab/>
        <w:t xml:space="preserve">       </w:t>
      </w:r>
      <w:r w:rsidR="00680579" w:rsidRPr="00E439D7">
        <w:rPr>
          <w:rFonts w:cs="Times New Roman"/>
          <w:color w:val="000000" w:themeColor="text1"/>
          <w:szCs w:val="24"/>
        </w:rPr>
        <w:t>plan preparation on their teaching methodology and delivery</w:t>
      </w:r>
      <w:r w:rsidR="00434BB0" w:rsidRPr="00E439D7">
        <w:rPr>
          <w:rFonts w:cs="Times New Roman"/>
          <w:color w:val="000000" w:themeColor="text1"/>
          <w:szCs w:val="24"/>
        </w:rPr>
        <w:t>.</w:t>
      </w:r>
    </w:p>
    <w:p w14:paraId="118A92FF" w14:textId="77777777" w:rsidR="00434BB0" w:rsidRPr="00E439D7" w:rsidRDefault="00434BB0" w:rsidP="00075D49">
      <w:pPr>
        <w:spacing w:after="0" w:line="240" w:lineRule="auto"/>
        <w:jc w:val="both"/>
        <w:rPr>
          <w:rFonts w:cs="Times New Roman"/>
          <w:color w:val="000000" w:themeColor="text1"/>
          <w:szCs w:val="24"/>
        </w:rPr>
      </w:pPr>
    </w:p>
    <w:p w14:paraId="4FA92DDB" w14:textId="193FB1F0" w:rsidR="00075D49" w:rsidRPr="00E439D7" w:rsidRDefault="00F612FD" w:rsidP="00075D49">
      <w:pPr>
        <w:spacing w:after="0" w:line="240" w:lineRule="auto"/>
        <w:jc w:val="both"/>
        <w:rPr>
          <w:rFonts w:cs="Times New Roman"/>
          <w:color w:val="000000" w:themeColor="text1"/>
          <w:szCs w:val="24"/>
        </w:rPr>
      </w:pPr>
      <w:r w:rsidRPr="00E439D7">
        <w:rPr>
          <w:rFonts w:cs="Times New Roman"/>
          <w:color w:val="000000" w:themeColor="text1"/>
          <w:szCs w:val="24"/>
        </w:rPr>
        <w:tab/>
      </w:r>
      <w:r w:rsidR="00075D49" w:rsidRPr="00E439D7">
        <w:rPr>
          <w:rFonts w:cs="Times New Roman"/>
          <w:color w:val="000000" w:themeColor="text1"/>
          <w:szCs w:val="24"/>
        </w:rPr>
        <w:t>H</w:t>
      </w:r>
      <w:r w:rsidR="00075D49" w:rsidRPr="00E439D7">
        <w:rPr>
          <w:rFonts w:cs="Times New Roman"/>
          <w:color w:val="000000" w:themeColor="text1"/>
          <w:szCs w:val="24"/>
          <w:vertAlign w:val="subscript"/>
        </w:rPr>
        <w:t>1</w:t>
      </w:r>
      <w:r w:rsidR="00075D49" w:rsidRPr="00E439D7">
        <w:rPr>
          <w:rFonts w:cs="Times New Roman"/>
          <w:color w:val="000000" w:themeColor="text1"/>
          <w:szCs w:val="24"/>
        </w:rPr>
        <w:t xml:space="preserve">: </w:t>
      </w:r>
      <w:r w:rsidR="00990F67" w:rsidRPr="00E439D7">
        <w:rPr>
          <w:rFonts w:cs="Times New Roman"/>
          <w:color w:val="000000" w:themeColor="text1"/>
          <w:szCs w:val="24"/>
        </w:rPr>
        <w:t>T</w:t>
      </w:r>
      <w:r w:rsidR="00075D49" w:rsidRPr="00E439D7">
        <w:rPr>
          <w:rFonts w:cs="Times New Roman"/>
          <w:color w:val="000000" w:themeColor="text1"/>
          <w:szCs w:val="24"/>
        </w:rPr>
        <w:t>here is statistically significant effect of</w:t>
      </w:r>
      <w:r w:rsidR="00795731" w:rsidRPr="00E439D7">
        <w:rPr>
          <w:rFonts w:cs="Times New Roman"/>
          <w:color w:val="000000" w:themeColor="text1"/>
          <w:szCs w:val="24"/>
        </w:rPr>
        <w:t xml:space="preserve"> </w:t>
      </w:r>
      <w:r w:rsidR="00795731" w:rsidRPr="00E439D7">
        <w:rPr>
          <w:rFonts w:cs="Times New Roman"/>
          <w:color w:val="000000" w:themeColor="text1"/>
          <w:szCs w:val="24"/>
          <w:highlight w:val="yellow"/>
        </w:rPr>
        <w:t>Preservice Management Teachers’</w:t>
      </w:r>
      <w:r w:rsidR="00075D49" w:rsidRPr="00E439D7">
        <w:rPr>
          <w:rFonts w:cs="Times New Roman"/>
          <w:color w:val="000000" w:themeColor="text1"/>
          <w:szCs w:val="24"/>
        </w:rPr>
        <w:t xml:space="preserve"> </w:t>
      </w:r>
      <w:r w:rsidR="00795731" w:rsidRPr="00E439D7">
        <w:rPr>
          <w:rFonts w:cs="Times New Roman"/>
          <w:color w:val="000000" w:themeColor="text1"/>
          <w:szCs w:val="24"/>
        </w:rPr>
        <w:t>(</w:t>
      </w:r>
      <w:r w:rsidR="00075D49" w:rsidRPr="00E439D7">
        <w:rPr>
          <w:rFonts w:cs="Times New Roman"/>
          <w:color w:val="000000" w:themeColor="text1"/>
          <w:szCs w:val="24"/>
        </w:rPr>
        <w:t>PMTs’</w:t>
      </w:r>
      <w:r w:rsidR="00795731" w:rsidRPr="00E439D7">
        <w:rPr>
          <w:rFonts w:cs="Times New Roman"/>
          <w:color w:val="000000" w:themeColor="text1"/>
          <w:szCs w:val="24"/>
        </w:rPr>
        <w:t>)</w:t>
      </w:r>
      <w:r w:rsidR="00075D49" w:rsidRPr="00E439D7">
        <w:rPr>
          <w:rFonts w:cs="Times New Roman"/>
          <w:color w:val="000000" w:themeColor="text1"/>
          <w:szCs w:val="24"/>
        </w:rPr>
        <w:t xml:space="preserve"> lesson </w:t>
      </w:r>
      <w:r w:rsidR="00F77ECC" w:rsidRPr="00E439D7">
        <w:rPr>
          <w:rFonts w:cs="Times New Roman"/>
          <w:color w:val="000000" w:themeColor="text1"/>
          <w:szCs w:val="24"/>
        </w:rPr>
        <w:tab/>
        <w:t xml:space="preserve">     </w:t>
      </w:r>
      <w:r w:rsidR="00F77ECC" w:rsidRPr="00E439D7">
        <w:rPr>
          <w:rFonts w:cs="Times New Roman"/>
          <w:color w:val="000000" w:themeColor="text1"/>
          <w:szCs w:val="24"/>
        </w:rPr>
        <w:tab/>
        <w:t xml:space="preserve">       </w:t>
      </w:r>
      <w:r w:rsidR="00075D49" w:rsidRPr="00E439D7">
        <w:rPr>
          <w:rFonts w:cs="Times New Roman"/>
          <w:color w:val="000000" w:themeColor="text1"/>
          <w:szCs w:val="24"/>
        </w:rPr>
        <w:t>plan preparation on their teaching methodology and delivery</w:t>
      </w:r>
      <w:r w:rsidR="00434BB0" w:rsidRPr="00E439D7">
        <w:rPr>
          <w:rFonts w:cs="Times New Roman"/>
          <w:color w:val="000000" w:themeColor="text1"/>
          <w:szCs w:val="24"/>
        </w:rPr>
        <w:t>.</w:t>
      </w:r>
    </w:p>
    <w:p w14:paraId="2BA7E9EB" w14:textId="77777777" w:rsidR="001B0535" w:rsidRPr="00E439D7" w:rsidRDefault="001B0535" w:rsidP="009F0D46">
      <w:pPr>
        <w:spacing w:after="0" w:line="240" w:lineRule="auto"/>
        <w:jc w:val="both"/>
        <w:rPr>
          <w:rFonts w:cs="Times New Roman"/>
          <w:color w:val="000000" w:themeColor="text1"/>
          <w:szCs w:val="24"/>
        </w:rPr>
      </w:pPr>
    </w:p>
    <w:p w14:paraId="0609BB53" w14:textId="77777777" w:rsidR="00FC759B" w:rsidRPr="00E439D7" w:rsidRDefault="00FC759B" w:rsidP="00BC4767">
      <w:pPr>
        <w:pStyle w:val="Heading2"/>
      </w:pPr>
    </w:p>
    <w:p w14:paraId="228B1EDE" w14:textId="75C26E67" w:rsidR="00C36D77" w:rsidRPr="00E439D7" w:rsidRDefault="00C36D77" w:rsidP="00F31FCB">
      <w:pPr>
        <w:pStyle w:val="Heading2"/>
        <w:jc w:val="left"/>
      </w:pPr>
      <w:r w:rsidRPr="00E439D7">
        <w:t xml:space="preserve">Knowledge </w:t>
      </w:r>
      <w:r w:rsidR="00D6442F" w:rsidRPr="00E439D7">
        <w:t>Based for Teaching</w:t>
      </w:r>
      <w:bookmarkEnd w:id="0"/>
    </w:p>
    <w:p w14:paraId="23059B50" w14:textId="77777777" w:rsidR="00FC759B" w:rsidRPr="00E439D7" w:rsidRDefault="00FC759B" w:rsidP="009F0D46">
      <w:pPr>
        <w:spacing w:after="0" w:line="240" w:lineRule="auto"/>
        <w:contextualSpacing/>
        <w:jc w:val="both"/>
        <w:rPr>
          <w:rFonts w:cs="Times New Roman"/>
          <w:color w:val="000000" w:themeColor="text1"/>
          <w:szCs w:val="24"/>
        </w:rPr>
      </w:pPr>
    </w:p>
    <w:p w14:paraId="4E2BEDEF" w14:textId="7B6B2F54"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According to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{"citationItems":[{"id":"ITEM-1","itemData":{"author":[{"dropping-particle":"","family":"Shulman","given":"Lee S","non-dropping-particle":"","parse-names":false,"suffix":""},{"dropping-particle":"","family":"Sykes","given":"Gary","non-dropping-particle":"","parse-names":false,"suffix":""},{"dropping-particle":"","family":"others","given":"","non-dropping-particle":"","parse-names":false,"suffix":""}],"container-title":"(No Title)","id":"ITEM-1","issued":{"date-parts":[["1986"]]},"title":"A national board for teaching? In search of a bold standard","type":"article-journal"},"uris":["http://www.mendeley.com/documents/?uuid=2944ade0-d8db-46e4-b6f0-77b0373ba388"]}],"mendeley":{"formattedCitation":"(L. S. Shulman, Sykes, &amp; others, 1986)","manualFormatting":" Shulman and Sykes, ","plainTextFormattedCitation":"(L. S. Shulman, Sykes, &amp; others, 1986)","previouslyFormattedCitation":"(L. S. Shulman, Sykes, &amp; others, 1986)"},"properties":{"noteIndex":0},"schema":"https://github.com/citation-style-language/schema/raw/master/csl-citation.json"}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 xml:space="preserve"> Shulman and Sykes, </w:t>
      </w:r>
      <w:r w:rsidRPr="00E439D7">
        <w:rPr>
          <w:rFonts w:cs="Times New Roman"/>
          <w:color w:val="000000" w:themeColor="text1"/>
          <w:szCs w:val="24"/>
        </w:rPr>
        <w:fldChar w:fldCharType="end"/>
      </w:r>
      <w:r w:rsidRPr="00E439D7">
        <w:rPr>
          <w:rFonts w:cs="Times New Roman"/>
          <w:color w:val="000000" w:themeColor="text1"/>
          <w:szCs w:val="24"/>
        </w:rPr>
        <w:t xml:space="preserve"> the knowledge base for teaching is the set of understanding and skills, device and values, character and performance that combined constitute the ability to teach,</w:t>
      </w:r>
      <w:r w:rsidR="00565ED3" w:rsidRPr="00E439D7">
        <w:rPr>
          <w:rFonts w:cs="Times New Roman"/>
          <w:color w:val="000000" w:themeColor="text1"/>
          <w:szCs w:val="24"/>
        </w:rPr>
        <w:t xml:space="preserve"> </w:t>
      </w:r>
      <w:r w:rsidR="00565ED3" w:rsidRPr="00E439D7">
        <w:rPr>
          <w:rFonts w:cs="Times New Roman"/>
          <w:color w:val="000000" w:themeColor="text1"/>
          <w:szCs w:val="24"/>
          <w:highlight w:val="yellow"/>
        </w:rPr>
        <w:t>(</w:t>
      </w:r>
      <w:proofErr w:type="spellStart"/>
      <w:r w:rsidR="00565ED3" w:rsidRPr="00E439D7">
        <w:rPr>
          <w:rFonts w:cs="Times New Roman"/>
          <w:szCs w:val="24"/>
          <w:highlight w:val="yellow"/>
        </w:rPr>
        <w:t>Ayantaş</w:t>
      </w:r>
      <w:proofErr w:type="spellEnd"/>
      <w:r w:rsidR="00565ED3" w:rsidRPr="00E439D7">
        <w:rPr>
          <w:rFonts w:cs="Times New Roman"/>
          <w:szCs w:val="24"/>
          <w:highlight w:val="yellow"/>
        </w:rPr>
        <w:t xml:space="preserve">, &amp; </w:t>
      </w:r>
      <w:proofErr w:type="spellStart"/>
      <w:r w:rsidR="00565ED3" w:rsidRPr="00E439D7">
        <w:rPr>
          <w:rFonts w:cs="Times New Roman"/>
          <w:szCs w:val="24"/>
          <w:highlight w:val="yellow"/>
        </w:rPr>
        <w:t>Gürgen</w:t>
      </w:r>
      <w:proofErr w:type="spellEnd"/>
      <w:r w:rsidR="00565ED3" w:rsidRPr="00E439D7">
        <w:rPr>
          <w:rFonts w:cs="Times New Roman"/>
          <w:szCs w:val="24"/>
          <w:highlight w:val="yellow"/>
        </w:rPr>
        <w:t>, 2025)</w:t>
      </w:r>
      <w:r w:rsidRPr="00E439D7">
        <w:rPr>
          <w:rFonts w:cs="Times New Roman"/>
          <w:color w:val="000000" w:themeColor="text1"/>
          <w:szCs w:val="24"/>
        </w:rPr>
        <w:t xml:space="preserve">. They therefore grouped this knowledge base into eight categories including: Comprehensive liberal education (fundamental reading, math, writing, and reasoning skills), along with domain-specific content knowledge relevant to teaching areas. It also involves expertise in content-specific teaching methods, a broad understanding of pedagogical principles and practices, familiarity with curriculum design, recognition of student diversity and unique needs, mastery of performance techniques, and a grounding in professional understanding </w:t>
      </w:r>
      <w:r w:rsidRPr="00E439D7">
        <w:rPr>
          <w:rFonts w:cs="Times New Roman"/>
          <w:color w:val="000000" w:themeColor="text1"/>
          <w:szCs w:val="24"/>
        </w:rPr>
        <w:lastRenderedPageBreak/>
        <w:t>encompassing areas like history, policy, philosophy, psychology, cultural factors, cross-cultural considerations, and professional ethics.</w:t>
      </w:r>
    </w:p>
    <w:p w14:paraId="7E2E5C96" w14:textId="77777777" w:rsidR="005F5814" w:rsidRPr="00E439D7" w:rsidRDefault="005F5814" w:rsidP="009F0D46">
      <w:pPr>
        <w:spacing w:after="0" w:line="240" w:lineRule="auto"/>
        <w:contextualSpacing/>
        <w:jc w:val="both"/>
        <w:rPr>
          <w:rFonts w:cs="Times New Roman"/>
          <w:color w:val="000000" w:themeColor="text1"/>
          <w:szCs w:val="24"/>
        </w:rPr>
      </w:pPr>
    </w:p>
    <w:p w14:paraId="0653C803" w14:textId="166D67A8"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In 1986, Shulman offered three types of content knowledge for teachers, asserting that the content has multiple facets for the teacher to take into account: the content knowledge itself; the pedagogical content knowledge; and the curricular knowledge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{"citationItems":[{"id":"ITEM-1","itemData":{"author":[{"dropping-particle":"","family":"Shulman","given":"Lee S","non-dropping-particle":"","parse-names":false,"suffix":""}],"container-title":"Educational researcher","id":"ITEM-1","issue":"2","issued":{"date-parts":[["1986"]]},"page":"4-14","publisher":"Sage Publications Sage CA: Thousand Oaks, CA","title":"Those who understand: Knowledge growth in teaching","type":"article-journal","volume":"15"},"uris":["http://www.mendeley.com/documents/?uuid=d68c9c85-cb68-4b73-89eb-c889bc76c1e1"]}],"mendeley":{"formattedCitation":"(L. S. Shulman, 1986)","manualFormatting":"(Shulman, 1986)","plainTextFormattedCitation":"(L. S. Shulman, 1986)","previouslyFormattedCitation":"(L. S. Shulman, 1986)"},"properties":{"noteIndex":0},"schema":"https://github.com/citation-style-language/schema/raw/master/csl-citation.json"}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(Shulman, 1986)</w:t>
      </w:r>
      <w:r w:rsidRPr="00E439D7">
        <w:rPr>
          <w:rFonts w:cs="Times New Roman"/>
          <w:color w:val="000000" w:themeColor="text1"/>
          <w:szCs w:val="24"/>
        </w:rPr>
        <w:fldChar w:fldCharType="end"/>
      </w:r>
      <w:r w:rsidRPr="00E439D7">
        <w:rPr>
          <w:rFonts w:cs="Times New Roman"/>
          <w:color w:val="000000" w:themeColor="text1"/>
          <w:szCs w:val="24"/>
        </w:rPr>
        <w:t xml:space="preserve">. Hence, Shulman introduced the phrase "Pedagogical Content Knowledge" (PCK), which appears to have come to denote a unique type of knowledge held by teachers. Shulman (1986) defined content knowledge as having an understanding of concepts, theories, ideas, evidences, and the techniques for developing this knowledge. The pedagogical knowledge, on the other hand, covers the aims of education, application of knowledge to “cognitive”, “social”, and “developmental theories” of learning in the classroom, the methods of teaching and learning, the characteristics of the target audience, and methods for assessing students' knowledge.  </w:t>
      </w:r>
    </w:p>
    <w:p w14:paraId="288656C9" w14:textId="77777777" w:rsidR="001036AD" w:rsidRPr="00E439D7" w:rsidRDefault="001036AD" w:rsidP="009F0D46">
      <w:pPr>
        <w:spacing w:after="0" w:line="240" w:lineRule="auto"/>
        <w:contextualSpacing/>
        <w:jc w:val="both"/>
        <w:rPr>
          <w:rFonts w:cs="Times New Roman"/>
          <w:color w:val="000000" w:themeColor="text1"/>
          <w:szCs w:val="24"/>
          <w:shd w:val="clear" w:color="auto" w:fill="FFFFFF"/>
        </w:rPr>
      </w:pPr>
    </w:p>
    <w:p w14:paraId="33D82E73" w14:textId="5F44855E" w:rsidR="00DE5851" w:rsidRPr="00E439D7" w:rsidRDefault="00C36D77" w:rsidP="005F3E98">
      <w:pPr>
        <w:spacing w:after="0" w:line="240" w:lineRule="auto"/>
        <w:contextualSpacing/>
        <w:jc w:val="both"/>
        <w:rPr>
          <w:rFonts w:cs="Times New Roman"/>
          <w:color w:val="000000" w:themeColor="text1"/>
          <w:szCs w:val="24"/>
        </w:rPr>
      </w:pPr>
      <w:r w:rsidRPr="00E439D7">
        <w:rPr>
          <w:rFonts w:cs="Times New Roman"/>
          <w:color w:val="000000" w:themeColor="text1"/>
          <w:szCs w:val="24"/>
          <w:shd w:val="clear" w:color="auto" w:fill="FFFFFF"/>
        </w:rPr>
        <w:t xml:space="preserve">According to </w:t>
      </w:r>
      <w:r w:rsidRPr="00E439D7">
        <w:rPr>
          <w:rFonts w:cs="Times New Roman"/>
          <w:color w:val="000000" w:themeColor="text1"/>
          <w:szCs w:val="24"/>
          <w:shd w:val="clear" w:color="auto" w:fill="FFFFFF"/>
        </w:rPr>
        <w:fldChar w:fldCharType="begin" w:fldLock="1"/>
      </w:r>
      <w:r w:rsidRPr="00E439D7">
        <w:rPr>
          <w:rFonts w:cs="Times New Roman"/>
          <w:color w:val="000000" w:themeColor="text1"/>
          <w:szCs w:val="24"/>
          <w:shd w:val="clear" w:color="auto" w:fill="FFFFFF"/>
        </w:rPr>
        <w:instrText>ADDIN CSL_CITATION {"citationItems":[{"id":"ITEM-1","itemData":{"author":[{"dropping-particle":"","family":"Shulman","given":"Lee","non-dropping-particle":"","parse-names":false,"suffix":""}],"container-title":"Harvard educational review","id":"ITEM-1","issue":"1","issued":{"date-parts":[["1987"]]},"page":"1-23","publisher":"Harvard Education Publishing Group","title":"Knowledge and teaching: Foundations of the new reform","type":"article-journal","volume":"57"},"uris":["http://www.mendeley.com/documents/?uuid=61722fe0-86bc-4192-9798-a13d3439aabb"]}],"mendeley":{"formattedCitation":"(L. Shulman, 1987a)","manualFormatting":"(Shulman, 1987a)","plainTextFormattedCitation":"(L. Shulman, 1987a)","previouslyFormattedCitation":"(L. Shulman, 1987a)"},"properties":{"noteIndex":0},"schema":"https://github.com/citation-style-language/schema/raw/master/csl-citation.json"}</w:instrText>
      </w:r>
      <w:r w:rsidRPr="00E439D7">
        <w:rPr>
          <w:rFonts w:cs="Times New Roman"/>
          <w:color w:val="000000" w:themeColor="text1"/>
          <w:szCs w:val="24"/>
          <w:shd w:val="clear" w:color="auto" w:fill="FFFFFF"/>
        </w:rPr>
        <w:fldChar w:fldCharType="separate"/>
      </w:r>
      <w:r w:rsidRPr="00E439D7">
        <w:rPr>
          <w:rFonts w:cs="Times New Roman"/>
          <w:noProof/>
          <w:color w:val="000000" w:themeColor="text1"/>
          <w:szCs w:val="24"/>
          <w:shd w:val="clear" w:color="auto" w:fill="FFFFFF"/>
        </w:rPr>
        <w:t>(Shulman, 1987a)</w:t>
      </w:r>
      <w:r w:rsidRPr="00E439D7">
        <w:rPr>
          <w:rFonts w:cs="Times New Roman"/>
          <w:color w:val="000000" w:themeColor="text1"/>
          <w:szCs w:val="24"/>
          <w:shd w:val="clear" w:color="auto" w:fill="FFFFFF"/>
        </w:rPr>
        <w:fldChar w:fldCharType="end"/>
      </w:r>
      <w:r w:rsidRPr="00E439D7">
        <w:rPr>
          <w:rFonts w:cs="Times New Roman"/>
          <w:color w:val="000000" w:themeColor="text1"/>
          <w:szCs w:val="24"/>
          <w:shd w:val="clear" w:color="auto" w:fill="FFFFFF"/>
        </w:rPr>
        <w:t xml:space="preserve">, the key to identifying the knowledge base of teaching lies at the nexus of content and pedagogy in teachers' abilities to transform content knowledge into forms that are pedagogically effective while still being adaptable to the variety of student abilities and backgrounds. </w:t>
      </w:r>
      <w:r w:rsidRPr="00E439D7">
        <w:rPr>
          <w:rFonts w:cs="Times New Roman"/>
          <w:color w:val="000000" w:themeColor="text1"/>
          <w:szCs w:val="24"/>
        </w:rPr>
        <w:t>In 1987, Shulman outlined the categories of teacher knowledge to foster understanding among its students. He proposed seven fundamental knowledge that a teacher must possess: Content Knowledge</w:t>
      </w:r>
      <w:r w:rsidR="00203392" w:rsidRPr="00E439D7">
        <w:rPr>
          <w:rFonts w:cs="Times New Roman"/>
          <w:color w:val="000000" w:themeColor="text1"/>
          <w:szCs w:val="24"/>
        </w:rPr>
        <w:t>,</w:t>
      </w:r>
      <w:r w:rsidRPr="00E439D7">
        <w:rPr>
          <w:rFonts w:cs="Times New Roman"/>
          <w:color w:val="000000" w:themeColor="text1"/>
          <w:szCs w:val="24"/>
        </w:rPr>
        <w:t xml:space="preserve"> General Pedagogical Knowledge</w:t>
      </w:r>
      <w:r w:rsidR="00203392" w:rsidRPr="00E439D7">
        <w:rPr>
          <w:rFonts w:cs="Times New Roman"/>
          <w:color w:val="000000" w:themeColor="text1"/>
          <w:szCs w:val="24"/>
        </w:rPr>
        <w:t>,</w:t>
      </w:r>
      <w:r w:rsidRPr="00E439D7">
        <w:rPr>
          <w:rFonts w:cs="Times New Roman"/>
          <w:color w:val="000000" w:themeColor="text1"/>
          <w:szCs w:val="24"/>
        </w:rPr>
        <w:t xml:space="preserve"> Curricular Knowledge</w:t>
      </w:r>
      <w:r w:rsidR="00203392" w:rsidRPr="00E439D7">
        <w:rPr>
          <w:rFonts w:cs="Times New Roman"/>
          <w:color w:val="000000" w:themeColor="text1"/>
          <w:szCs w:val="24"/>
        </w:rPr>
        <w:t>,</w:t>
      </w:r>
      <w:r w:rsidRPr="00E439D7">
        <w:rPr>
          <w:rFonts w:cs="Times New Roman"/>
          <w:color w:val="000000" w:themeColor="text1"/>
          <w:szCs w:val="24"/>
        </w:rPr>
        <w:t xml:space="preserve"> Pedagogical Content Knowledge (PCK)</w:t>
      </w:r>
      <w:r w:rsidR="00203392" w:rsidRPr="00E439D7">
        <w:rPr>
          <w:rFonts w:cs="Times New Roman"/>
          <w:color w:val="000000" w:themeColor="text1"/>
          <w:szCs w:val="24"/>
        </w:rPr>
        <w:t>,</w:t>
      </w:r>
      <w:r w:rsidRPr="00E439D7">
        <w:rPr>
          <w:rFonts w:cs="Times New Roman"/>
          <w:color w:val="000000" w:themeColor="text1"/>
          <w:szCs w:val="24"/>
        </w:rPr>
        <w:t xml:space="preserve"> Knowledge of Learners and their characteristics</w:t>
      </w:r>
      <w:r w:rsidR="00203392" w:rsidRPr="00E439D7">
        <w:rPr>
          <w:rFonts w:cs="Times New Roman"/>
          <w:color w:val="000000" w:themeColor="text1"/>
          <w:szCs w:val="24"/>
        </w:rPr>
        <w:t>,</w:t>
      </w:r>
      <w:r w:rsidRPr="00E439D7">
        <w:rPr>
          <w:rFonts w:cs="Times New Roman"/>
          <w:color w:val="000000" w:themeColor="text1"/>
          <w:szCs w:val="24"/>
        </w:rPr>
        <w:t xml:space="preserve"> Knowledge of Educational Contexts</w:t>
      </w:r>
      <w:r w:rsidR="00203392" w:rsidRPr="00E439D7">
        <w:rPr>
          <w:rFonts w:cs="Times New Roman"/>
          <w:color w:val="000000" w:themeColor="text1"/>
          <w:szCs w:val="24"/>
        </w:rPr>
        <w:t>,</w:t>
      </w:r>
      <w:r w:rsidRPr="00E439D7">
        <w:rPr>
          <w:rFonts w:cs="Times New Roman"/>
          <w:color w:val="000000" w:themeColor="text1"/>
          <w:szCs w:val="24"/>
        </w:rPr>
        <w:t xml:space="preserve"> Knowledge of Purposes, educational purposes and educational values and their philosophical and historical bases. </w:t>
      </w:r>
    </w:p>
    <w:p w14:paraId="33A2647E" w14:textId="77777777" w:rsidR="00895B63" w:rsidRPr="00E439D7" w:rsidRDefault="00895B63" w:rsidP="009F0D46">
      <w:pPr>
        <w:spacing w:after="0" w:line="240" w:lineRule="auto"/>
        <w:contextualSpacing/>
        <w:jc w:val="both"/>
        <w:rPr>
          <w:rFonts w:cs="Times New Roman"/>
          <w:color w:val="000000" w:themeColor="text1"/>
          <w:szCs w:val="24"/>
        </w:rPr>
      </w:pPr>
    </w:p>
    <w:p w14:paraId="0274943B" w14:textId="074E5D80" w:rsidR="00C36D77" w:rsidRPr="00E439D7" w:rsidRDefault="005F3E98"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Content knowledge</w:t>
      </w:r>
      <w:r w:rsidR="00C36D77" w:rsidRPr="00E439D7">
        <w:rPr>
          <w:rFonts w:cs="Times New Roman"/>
          <w:color w:val="000000" w:themeColor="text1"/>
          <w:szCs w:val="24"/>
        </w:rPr>
        <w:t xml:space="preserve"> is also known as subject matter knowledge. Shulman describes this form of knowledge as “knowing what” and “knowing how”. To him, the conceptions of “what to know” have some impact on what teachers teach and how they go about their work. In the views of Shulman (1987) and </w:t>
      </w:r>
      <w:r w:rsidR="00C36D77" w:rsidRPr="00E439D7">
        <w:rPr>
          <w:rFonts w:cs="Times New Roman"/>
          <w:color w:val="000000" w:themeColor="text1"/>
          <w:szCs w:val="24"/>
        </w:rPr>
        <w:fldChar w:fldCharType="begin" w:fldLock="1"/>
      </w:r>
      <w:r w:rsidR="00C36D77" w:rsidRPr="00E439D7">
        <w:rPr>
          <w:rFonts w:cs="Times New Roman"/>
          <w:color w:val="000000" w:themeColor="text1"/>
          <w:szCs w:val="24"/>
        </w:rPr>
        <w:instrText>ADDIN CSL_CITATION {"citationItems":[{"id":"ITEM-1","itemData":{"author":[{"dropping-particle":"","family":"Turner-Bisset","given":"Rosie","non-dropping-particle":"","parse-names":false,"suffix":""}],"container-title":"British educational research journal","id":"ITEM-1","issue":"1","issued":{"date-parts":[["1999"]]},"page":"39-55","publisher":"Wiley Online Library","title":"The knowledge bases of the expert teacher","type":"article-journal","volume":"25"},"uris":["http://www.mendeley.com/documents/?uuid=721ea417-6e18-47c2-9f41-9f259ff07af8"]}],"mendeley":{"formattedCitation":"(Turner-Bisset, 1999)","plainTextFormattedCitation":"(Turner-Bisset, 1999)","previouslyFormattedCitation":"(Turner-Bisset, 1999)"},"properties":{"noteIndex":0},"schema":"https://github.com/citation-style-language/schema/raw/master/csl-citation.json"}</w:instrText>
      </w:r>
      <w:r w:rsidR="00C36D77" w:rsidRPr="00E439D7">
        <w:rPr>
          <w:rFonts w:cs="Times New Roman"/>
          <w:color w:val="000000" w:themeColor="text1"/>
          <w:szCs w:val="24"/>
        </w:rPr>
        <w:fldChar w:fldCharType="separate"/>
      </w:r>
      <w:r w:rsidR="00C36D77" w:rsidRPr="00E439D7">
        <w:rPr>
          <w:rFonts w:cs="Times New Roman"/>
          <w:noProof/>
          <w:color w:val="000000" w:themeColor="text1"/>
          <w:szCs w:val="24"/>
        </w:rPr>
        <w:t>(Turner-Bisset, 1999)</w:t>
      </w:r>
      <w:r w:rsidR="00C36D77" w:rsidRPr="00E439D7">
        <w:rPr>
          <w:rFonts w:cs="Times New Roman"/>
          <w:color w:val="000000" w:themeColor="text1"/>
          <w:szCs w:val="24"/>
        </w:rPr>
        <w:fldChar w:fldCharType="end"/>
      </w:r>
      <w:r w:rsidR="00C36D77" w:rsidRPr="00E439D7">
        <w:rPr>
          <w:rFonts w:cs="Times New Roman"/>
          <w:color w:val="000000" w:themeColor="text1"/>
          <w:szCs w:val="24"/>
        </w:rPr>
        <w:t xml:space="preserve">, aspects of content knowledge include; “Substantive subject knowledge”, “syntactical knowledge”, and beliefs regarding subject are all. The substantive knowledge entails the factual information and fundamental ideas that constitute the foundation of a particular subject.  The knowledge establishes a structured framework that clusters the fundamental concepts within a specific discipline. Syntactical knowledge pertains to the methodologies employed to formulate propositional knowledge. Perspectives concerning subject knowledge underscore the profound influence that varying conceptualization held by educators can exert upon their teaching performance  </w:t>
      </w:r>
      <w:r w:rsidR="00A16280" w:rsidRPr="00E439D7">
        <w:rPr>
          <w:rFonts w:cs="Times New Roman"/>
          <w:color w:val="000000" w:themeColor="text1"/>
          <w:szCs w:val="24"/>
        </w:rPr>
        <w:t>(</w:t>
      </w:r>
      <w:r w:rsidR="00A16280" w:rsidRPr="00E439D7">
        <w:rPr>
          <w:rFonts w:cs="Times New Roman"/>
          <w:szCs w:val="24"/>
          <w:highlight w:val="yellow"/>
        </w:rPr>
        <w:t>Dunphy, 2025</w:t>
      </w:r>
      <w:r w:rsidR="00A16280" w:rsidRPr="00E439D7">
        <w:rPr>
          <w:rFonts w:cs="Times New Roman"/>
          <w:szCs w:val="24"/>
        </w:rPr>
        <w:t>;</w:t>
      </w:r>
      <w:r w:rsidR="00C36D77" w:rsidRPr="00E439D7">
        <w:rPr>
          <w:rFonts w:cs="Times New Roman"/>
          <w:color w:val="000000" w:themeColor="text1"/>
          <w:szCs w:val="24"/>
        </w:rPr>
        <w:t xml:space="preserve"> </w:t>
      </w:r>
      <w:r w:rsidR="00C36D77" w:rsidRPr="00E439D7">
        <w:rPr>
          <w:rFonts w:cs="Times New Roman"/>
          <w:color w:val="000000" w:themeColor="text1"/>
          <w:szCs w:val="24"/>
        </w:rPr>
        <w:fldChar w:fldCharType="begin" w:fldLock="1"/>
      </w:r>
      <w:r w:rsidR="00C36D77" w:rsidRPr="00E439D7">
        <w:rPr>
          <w:rFonts w:cs="Times New Roman"/>
          <w:color w:val="000000" w:themeColor="text1"/>
          <w:szCs w:val="24"/>
        </w:rPr>
        <w:instrText>ADDIN CSL_CITATION {"citationItems":[{"id":"ITEM-1","itemData":{"abstract":"AGRICULTURAL MECHANISATION (MPHIL) COURSE CODE AND TITLE: ACR 808, STATISTICS AND RESEARCH METHOD II SUBMITTED BY: LAWRENCE ARTHUR (AG/MEC/16/0001)","author":[{"dropping-particle":"","family":"Entsie","given":"Gideon","non-dropping-particle":"","parse-names":false,"suffix":""}],"id":"ITEM-1","issue":"November","issued":{"date-parts":[["2021"]]},"number-of-pages":"1-168","publisher":"University of Cape Coast","title":"Pre-service mathematics teachers' knowledge for teaching SHS algebra","type":"thesis"},"uris":["http://www.mendeley.com/documents/?uuid=e9995b23-588a-4241-b598-95f8fe8992a9"]}],"mendeley":{"formattedCitation":"(Entsie, 2021)","manualFormatting":"Entsie, 2021)","plainTextFormattedCitation":"(Entsie, 2021)","previouslyFormattedCitation":"(Entsie, 2021)"},"properties":{"noteIndex":0},"schema":"https://github.com/citation-style-language/schema/raw/master/csl-citation.json"}</w:instrText>
      </w:r>
      <w:r w:rsidR="00C36D77" w:rsidRPr="00E439D7">
        <w:rPr>
          <w:rFonts w:cs="Times New Roman"/>
          <w:color w:val="000000" w:themeColor="text1"/>
          <w:szCs w:val="24"/>
        </w:rPr>
        <w:fldChar w:fldCharType="separate"/>
      </w:r>
      <w:r w:rsidR="00C36D77" w:rsidRPr="00E439D7">
        <w:rPr>
          <w:rFonts w:cs="Times New Roman"/>
          <w:noProof/>
          <w:color w:val="000000" w:themeColor="text1"/>
          <w:szCs w:val="24"/>
        </w:rPr>
        <w:t>Entsie, 2021)</w:t>
      </w:r>
      <w:r w:rsidR="00C36D77" w:rsidRPr="00E439D7">
        <w:rPr>
          <w:rFonts w:cs="Times New Roman"/>
          <w:color w:val="000000" w:themeColor="text1"/>
          <w:szCs w:val="24"/>
        </w:rPr>
        <w:fldChar w:fldCharType="end"/>
      </w:r>
      <w:r w:rsidR="00C36D77" w:rsidRPr="00E439D7">
        <w:rPr>
          <w:rFonts w:cs="Times New Roman"/>
          <w:color w:val="000000" w:themeColor="text1"/>
          <w:szCs w:val="24"/>
        </w:rPr>
        <w:t xml:space="preserve">. </w:t>
      </w:r>
    </w:p>
    <w:p w14:paraId="6CD4F1CC" w14:textId="77777777" w:rsidR="001B6991" w:rsidRPr="00E439D7" w:rsidRDefault="001B6991" w:rsidP="008F4F59">
      <w:pPr>
        <w:spacing w:after="0" w:line="240" w:lineRule="auto"/>
        <w:contextualSpacing/>
        <w:jc w:val="both"/>
        <w:rPr>
          <w:rFonts w:cs="Times New Roman"/>
          <w:color w:val="000000" w:themeColor="text1"/>
          <w:szCs w:val="24"/>
        </w:rPr>
      </w:pPr>
    </w:p>
    <w:p w14:paraId="17313FFF" w14:textId="4FCC719F" w:rsidR="00A864BD" w:rsidRPr="00E439D7" w:rsidRDefault="00C36D77" w:rsidP="008F4F59">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In the view of Sulman, General Pedagogical Knowledge is where teachers use the idea of representation to inform the way to communicate facts, concepts, skills processes and attitudes to students. He adds that general pedagogical knowledge is gained from practice. Similarly, </w:t>
      </w:r>
      <w:bookmarkStart w:id="1" w:name="_Hlk193113584"/>
      <w:r w:rsidRPr="00E439D7">
        <w:rPr>
          <w:rFonts w:cs="Times New Roman"/>
          <w:color w:val="000000" w:themeColor="text1"/>
          <w:szCs w:val="24"/>
          <w:highlight w:val="red"/>
        </w:rPr>
        <w:fldChar w:fldCharType="begin" w:fldLock="1"/>
      </w:r>
      <w:r w:rsidRPr="00E439D7">
        <w:rPr>
          <w:rFonts w:cs="Times New Roman"/>
          <w:color w:val="000000" w:themeColor="text1"/>
          <w:szCs w:val="24"/>
          <w:highlight w:val="red"/>
        </w:rPr>
        <w:instrText>ADDIN CSL_CITATION {"citationItems":[{"id":"ITEM-1","itemData":{"author":[{"dropping-particle":"","family":"Day","given":"Samuel B","non-dropping-particle":"","parse-names":false,"suffix":""},{"dropping-particle":"","family":"Goldstone","given":"Robert L","non-dropping-particle":"","parse-names":false,"suffix":""}],"container-title":"Educational Psychologist","id":"ITEM-1","issue":"3","issued":{"date-parts":[["2012"]]},"page":"153-176","publisher":"Taylor \\&amp; Francis","title":"The import of knowledge export: Connecting findings and theories of transfer of learning","type":"article-journal","volume":"47"},"uris":["http://www.mendeley.com/documents/?uuid=267030b3-0eff-42fb-99e9-9ef797913f56"]}],"mendeley":{"formattedCitation":"(Day &amp; Goldstone, 2012)","manualFormatting":"Day and Goldstone (2012)","plainTextFormattedCitation":"(Day &amp; Goldstone, 2012)","previouslyFormattedCitation":"(Day &amp; Goldstone, 2012)"},"properties":{"noteIndex":0},"schema":"https://github.com/citation-style-language/schema/raw/master/csl-citation.json"}</w:instrText>
      </w:r>
      <w:r w:rsidRPr="00E439D7">
        <w:rPr>
          <w:rFonts w:cs="Times New Roman"/>
          <w:color w:val="000000" w:themeColor="text1"/>
          <w:szCs w:val="24"/>
          <w:highlight w:val="red"/>
        </w:rPr>
        <w:fldChar w:fldCharType="separate"/>
      </w:r>
      <w:r w:rsidRPr="00E439D7">
        <w:rPr>
          <w:rFonts w:cs="Times New Roman"/>
          <w:color w:val="000000" w:themeColor="text1"/>
          <w:szCs w:val="24"/>
          <w:highlight w:val="red"/>
        </w:rPr>
        <w:fldChar w:fldCharType="end"/>
      </w:r>
      <w:r w:rsidR="002956CF" w:rsidRPr="00E439D7">
        <w:rPr>
          <w:rFonts w:cs="Times New Roman"/>
          <w:szCs w:val="24"/>
        </w:rPr>
        <w:t xml:space="preserve"> </w:t>
      </w:r>
      <w:r w:rsidR="002956CF" w:rsidRPr="00E439D7">
        <w:rPr>
          <w:rFonts w:cs="Times New Roman"/>
          <w:szCs w:val="24"/>
          <w:highlight w:val="yellow"/>
        </w:rPr>
        <w:t>Surma, et al (2025)</w:t>
      </w:r>
      <w:r w:rsidRPr="00E439D7">
        <w:rPr>
          <w:rFonts w:cs="Times New Roman"/>
          <w:color w:val="000000" w:themeColor="text1"/>
          <w:szCs w:val="24"/>
        </w:rPr>
        <w:t xml:space="preserve"> sees general pedagogical knowledge to include expository skills, classroom management, questioning skills and differentiation that are understood in a context-specific situation.</w:t>
      </w:r>
      <w:bookmarkStart w:id="2" w:name="_Toc144949503"/>
    </w:p>
    <w:bookmarkEnd w:id="1"/>
    <w:bookmarkEnd w:id="2"/>
    <w:p w14:paraId="6F0DFC33" w14:textId="77777777" w:rsidR="00E56C84" w:rsidRPr="00E439D7" w:rsidRDefault="00E56C84" w:rsidP="009F0D46">
      <w:pPr>
        <w:spacing w:after="0" w:line="240" w:lineRule="auto"/>
        <w:contextualSpacing/>
        <w:jc w:val="both"/>
        <w:rPr>
          <w:rFonts w:cs="Times New Roman"/>
          <w:color w:val="000000" w:themeColor="text1"/>
          <w:szCs w:val="24"/>
        </w:rPr>
      </w:pPr>
    </w:p>
    <w:p w14:paraId="54054273" w14:textId="621587F7"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Shulman (1987) considers “curriculum knowledge” as “tool of trade” for teachers (p. 8). To further the objectives of structured education, various materials and frameworks for teaching and learning are developed. These encompass curricula with their defined scopes and sequences, assessment </w:t>
      </w:r>
      <w:r w:rsidRPr="00E439D7">
        <w:rPr>
          <w:rFonts w:cs="Times New Roman"/>
          <w:color w:val="000000" w:themeColor="text1"/>
          <w:szCs w:val="24"/>
        </w:rPr>
        <w:lastRenderedPageBreak/>
        <w:t>tools and materials, educational institutions with their hierarchies and both explicit and implicit systems of rules and roles, professional teacher organizations engaged in negotiation, driving social change, and offering mutual protection, government agencies spanning from local districts to state and federal levels, as well as overarching mechanisms of governance and financial management. As teachers inherently operate within this interconnected framework, both utilizing and being influenced by its components, it follows that the principles, policies, and operational details of these systems constitute a significant foundation for the knowledge base.</w:t>
      </w:r>
      <w:r w:rsidRPr="00E439D7">
        <w:rPr>
          <w:rFonts w:cs="Times New Roman"/>
          <w:color w:val="000000" w:themeColor="text1"/>
          <w:szCs w:val="24"/>
        </w:rPr>
        <w:tab/>
      </w:r>
    </w:p>
    <w:p w14:paraId="3A840B5E" w14:textId="77777777" w:rsidR="00FC5DD5" w:rsidRPr="00E439D7" w:rsidRDefault="00FC5DD5" w:rsidP="009F0D46">
      <w:pPr>
        <w:spacing w:after="0" w:line="240" w:lineRule="auto"/>
        <w:contextualSpacing/>
        <w:jc w:val="both"/>
        <w:rPr>
          <w:rFonts w:cs="Times New Roman"/>
          <w:color w:val="000000" w:themeColor="text1"/>
          <w:szCs w:val="24"/>
        </w:rPr>
      </w:pPr>
    </w:p>
    <w:p w14:paraId="68D3056D" w14:textId="4D362F5D"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If a teacher needs to be well-versed in the field of teaching, then it encompasses the array of materials, institutions, organizations, and mechanisms with which he or she must acquaint themselves. These encompass both the resources essential for the profession and the contextual circumstances that will either support or hinder teaching endeavors.</w:t>
      </w:r>
      <w:r w:rsidR="00376196" w:rsidRPr="00E439D7">
        <w:rPr>
          <w:rFonts w:cs="Times New Roman"/>
          <w:color w:val="000000" w:themeColor="text1"/>
          <w:szCs w:val="24"/>
        </w:rPr>
        <w:t xml:space="preserve"> </w:t>
      </w:r>
      <w:r w:rsidR="00376196" w:rsidRPr="00E439D7">
        <w:rPr>
          <w:rFonts w:cs="Times New Roman"/>
          <w:szCs w:val="24"/>
          <w:highlight w:val="yellow"/>
        </w:rPr>
        <w:t>Ross, (2024)</w:t>
      </w:r>
      <w:r w:rsidR="00376196" w:rsidRPr="00E439D7">
        <w:rPr>
          <w:rFonts w:cs="Times New Roman"/>
          <w:szCs w:val="24"/>
        </w:rPr>
        <w:t xml:space="preserve"> </w:t>
      </w:r>
      <w:r w:rsidRPr="00E439D7">
        <w:rPr>
          <w:rFonts w:cs="Times New Roman"/>
          <w:color w:val="000000" w:themeColor="text1"/>
          <w:szCs w:val="24"/>
        </w:rPr>
        <w:t>also expresses that curriculum knowledge enables teachers to critically analyze curriculum materials and understand the resources used for each subject.</w:t>
      </w:r>
    </w:p>
    <w:p w14:paraId="59886EF5" w14:textId="77777777" w:rsidR="00E56C84" w:rsidRPr="00E439D7" w:rsidRDefault="00E56C84" w:rsidP="009F0D46">
      <w:pPr>
        <w:spacing w:after="0" w:line="240" w:lineRule="auto"/>
        <w:jc w:val="both"/>
        <w:rPr>
          <w:rFonts w:cs="Times New Roman"/>
          <w:color w:val="000000" w:themeColor="text1"/>
          <w:szCs w:val="24"/>
        </w:rPr>
      </w:pPr>
    </w:p>
    <w:p w14:paraId="0620EB04" w14:textId="4DAF4F77" w:rsidR="00AD1DB3"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The theoretical underpinning was firmly established within the framework Shulman’s “pedagogical content knowledge”. While both “content knowledge” and “pedagogical knowledge” bear significant relevance within the realm of teaching, Shulman has delineated pedagogical content knowledge (PCK) as comprehension of how concept and strategies within specific subject domains are comprehended and misconstrued (Shulman, 1986). In recent times, pedagogical content knowledge has garnered escalated attention from scholars across the globe, signifying that this notion is not a nascent concept. </w:t>
      </w:r>
    </w:p>
    <w:p w14:paraId="5C370907" w14:textId="77777777" w:rsidR="00AD1DB3" w:rsidRPr="00E439D7" w:rsidRDefault="00AD1DB3" w:rsidP="009F0D46">
      <w:pPr>
        <w:spacing w:after="0" w:line="240" w:lineRule="auto"/>
        <w:jc w:val="both"/>
        <w:rPr>
          <w:rFonts w:cs="Times New Roman"/>
          <w:color w:val="000000" w:themeColor="text1"/>
          <w:szCs w:val="24"/>
        </w:rPr>
      </w:pPr>
    </w:p>
    <w:p w14:paraId="6562F7E2" w14:textId="0D03EB99" w:rsidR="00A40B0A"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The origins of this concept can be traced back to the pioneering work of Shulman (1986,1987). “Pedagogical content knowledge” (PCK), as elucidated by Shulman (1986), embodies a distinctive form of subject matter expertise that pertain to the effective teaching of its respective encompasses. PCK empowers an educator to render a subject comprehensible to diverse learners. Moreover, PCK encompasses the capacity to discern factors contributing to the accessibility or complexity of content, a grasp of students’ misconceptions concerning specific subject matter, and competence t judiciously select appropriate content (Shulman, 1987). </w:t>
      </w:r>
      <w:bookmarkStart w:id="3" w:name="_Toc144949505"/>
    </w:p>
    <w:bookmarkEnd w:id="3"/>
    <w:p w14:paraId="2B896940" w14:textId="77777777" w:rsidR="00175E00" w:rsidRPr="00E439D7" w:rsidRDefault="00175E00" w:rsidP="009F0D46">
      <w:pPr>
        <w:autoSpaceDE w:val="0"/>
        <w:autoSpaceDN w:val="0"/>
        <w:adjustRightInd w:val="0"/>
        <w:spacing w:after="0" w:line="240" w:lineRule="auto"/>
        <w:contextualSpacing/>
        <w:jc w:val="both"/>
        <w:rPr>
          <w:rFonts w:cs="Times New Roman"/>
          <w:color w:val="000000" w:themeColor="text1"/>
          <w:szCs w:val="24"/>
        </w:rPr>
      </w:pPr>
    </w:p>
    <w:p w14:paraId="2D3A4D83" w14:textId="5BC6077B" w:rsidR="00C36D77" w:rsidRPr="00E439D7" w:rsidRDefault="00C36D77" w:rsidP="009F0D46">
      <w:pPr>
        <w:autoSpaceDE w:val="0"/>
        <w:autoSpaceDN w:val="0"/>
        <w:adjustRightInd w:val="0"/>
        <w:spacing w:after="0" w:line="240" w:lineRule="auto"/>
        <w:contextualSpacing/>
        <w:jc w:val="both"/>
        <w:rPr>
          <w:rFonts w:cs="Times New Roman"/>
          <w:color w:val="000000" w:themeColor="text1"/>
          <w:szCs w:val="24"/>
        </w:rPr>
      </w:pPr>
      <w:r w:rsidRPr="00E439D7">
        <w:rPr>
          <w:rFonts w:cs="Times New Roman"/>
          <w:color w:val="000000" w:themeColor="text1"/>
          <w:szCs w:val="24"/>
        </w:rPr>
        <w:t>Understanding students encompasses both cognitive and experiential dimension for characterizing learners and their attributes</w:t>
      </w:r>
      <w:r w:rsidR="005377D8" w:rsidRPr="00E439D7">
        <w:rPr>
          <w:rFonts w:cs="Times New Roman"/>
          <w:szCs w:val="24"/>
        </w:rPr>
        <w:t xml:space="preserve"> </w:t>
      </w:r>
      <w:r w:rsidR="005377D8" w:rsidRPr="00E439D7">
        <w:rPr>
          <w:rFonts w:cs="Times New Roman"/>
          <w:szCs w:val="24"/>
          <w:highlight w:val="yellow"/>
        </w:rPr>
        <w:t>(Ross, 2024)</w:t>
      </w:r>
      <w:r w:rsidRPr="00E439D7">
        <w:rPr>
          <w:rFonts w:cs="Times New Roman"/>
          <w:color w:val="000000" w:themeColor="text1"/>
          <w:szCs w:val="24"/>
        </w:rPr>
        <w:t>. Empirical acquaintance of learner pertains to a broad understanding of typical attributes exhibited by learners within specific age ranges. On the other hand, cognitive understanding of learner involves a grasp of child development, which forms the theoretical foundation dictating how learning experiences should be structured for learner. As exemplified in scholarly investigations</w:t>
      </w:r>
      <w:r w:rsidR="006D0D88" w:rsidRPr="00E439D7">
        <w:rPr>
          <w:rFonts w:cs="Times New Roman"/>
          <w:color w:val="000000" w:themeColor="text1"/>
          <w:szCs w:val="24"/>
        </w:rPr>
        <w:t xml:space="preserve"> </w:t>
      </w:r>
      <w:r w:rsidR="006D0D88" w:rsidRPr="00E439D7">
        <w:rPr>
          <w:rFonts w:cs="Times New Roman"/>
          <w:color w:val="000000" w:themeColor="text1"/>
          <w:szCs w:val="24"/>
          <w:highlight w:val="yellow"/>
        </w:rPr>
        <w:t>(Karatsiori,2023)</w:t>
      </w:r>
      <w:r w:rsidR="00F16507" w:rsidRPr="00E439D7">
        <w:rPr>
          <w:rFonts w:cs="Times New Roman"/>
          <w:color w:val="000000" w:themeColor="text1"/>
          <w:szCs w:val="24"/>
        </w:rPr>
        <w:t>.</w:t>
      </w:r>
      <w:r w:rsidRPr="00E439D7">
        <w:rPr>
          <w:rFonts w:cs="Times New Roman"/>
          <w:color w:val="000000" w:themeColor="text1"/>
          <w:szCs w:val="24"/>
        </w:rPr>
        <w:t xml:space="preserve"> An appreciation for how students individually </w:t>
      </w:r>
      <w:r w:rsidR="00985E4E" w:rsidRPr="00E439D7">
        <w:rPr>
          <w:rFonts w:cs="Times New Roman"/>
          <w:color w:val="000000" w:themeColor="text1"/>
          <w:szCs w:val="24"/>
        </w:rPr>
        <w:t>construct</w:t>
      </w:r>
      <w:r w:rsidRPr="00E439D7">
        <w:rPr>
          <w:rFonts w:cs="Times New Roman"/>
          <w:color w:val="000000" w:themeColor="text1"/>
          <w:szCs w:val="24"/>
        </w:rPr>
        <w:t xml:space="preserve"> and employ their comprehension is of paramount significance, given that each students’ knowledge is a distinct and personalized creation, further influenced by their existing understanding. Pedagogical activities are deliberately devised and are shaped by the sociomoral context in which educators frame their convictions regarding educational goals, intentions and principles.</w:t>
      </w:r>
    </w:p>
    <w:p w14:paraId="54696D01" w14:textId="77777777" w:rsidR="00383A93" w:rsidRPr="00E439D7" w:rsidRDefault="00383A93" w:rsidP="00D73528">
      <w:pPr>
        <w:pStyle w:val="Heading2"/>
        <w:jc w:val="left"/>
      </w:pPr>
    </w:p>
    <w:p w14:paraId="46428813" w14:textId="7E9F8C02" w:rsidR="00C36D77" w:rsidRPr="00E439D7" w:rsidRDefault="00C36D77" w:rsidP="009F0D46">
      <w:pPr>
        <w:autoSpaceDE w:val="0"/>
        <w:autoSpaceDN w:val="0"/>
        <w:adjustRightInd w:val="0"/>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Getting familiar with educational setting, as explained by Shulman (1986a), pertains to an awareness encompassing schools, classrooms, and all educational milieus in which the process of learning unfolds. Educators' comprehension of the “socio-political”, “cultural”, and “physical” </w:t>
      </w:r>
      <w:r w:rsidRPr="00E439D7">
        <w:rPr>
          <w:rFonts w:cs="Times New Roman"/>
          <w:color w:val="000000" w:themeColor="text1"/>
          <w:szCs w:val="24"/>
        </w:rPr>
        <w:lastRenderedPageBreak/>
        <w:t xml:space="preserve">contextual elements that mold the instructional and learning dynamics augments the cultivation of Pedagogical Content Knowledge (PCK) </w:t>
      </w:r>
      <w:r w:rsidR="006D0D88" w:rsidRPr="00E439D7">
        <w:rPr>
          <w:rFonts w:cs="Times New Roman"/>
          <w:color w:val="000000" w:themeColor="text1"/>
          <w:szCs w:val="24"/>
          <w:highlight w:val="yellow"/>
        </w:rPr>
        <w:t>(Amoak,2021</w:t>
      </w:r>
      <w:r w:rsidR="006D0D88" w:rsidRPr="00E439D7">
        <w:rPr>
          <w:rFonts w:cs="Times New Roman"/>
          <w:color w:val="000000" w:themeColor="text1"/>
          <w:szCs w:val="24"/>
        </w:rPr>
        <w:t>)</w:t>
      </w:r>
      <w:r w:rsidR="00F16507" w:rsidRPr="00E439D7">
        <w:rPr>
          <w:rFonts w:cs="Times New Roman"/>
          <w:color w:val="000000" w:themeColor="text1"/>
          <w:szCs w:val="24"/>
        </w:rPr>
        <w:t>.</w:t>
      </w:r>
      <w:r w:rsidRPr="00E439D7">
        <w:rPr>
          <w:rFonts w:cs="Times New Roman"/>
          <w:color w:val="000000" w:themeColor="text1"/>
          <w:szCs w:val="24"/>
        </w:rPr>
        <w:t xml:space="preserve"> Additionally, </w:t>
      </w:r>
      <w:r w:rsidR="006D0D88" w:rsidRPr="00E439D7">
        <w:rPr>
          <w:rFonts w:cs="Times New Roman"/>
          <w:color w:val="000000" w:themeColor="text1"/>
          <w:szCs w:val="24"/>
          <w:highlight w:val="yellow"/>
        </w:rPr>
        <w:t xml:space="preserve">(Hanushek, </w:t>
      </w:r>
      <w:proofErr w:type="spellStart"/>
      <w:r w:rsidR="006D0D88" w:rsidRPr="00E439D7">
        <w:rPr>
          <w:rFonts w:cs="Times New Roman"/>
          <w:color w:val="000000" w:themeColor="text1"/>
          <w:szCs w:val="24"/>
          <w:highlight w:val="yellow"/>
        </w:rPr>
        <w:t>Piopiunik</w:t>
      </w:r>
      <w:proofErr w:type="spellEnd"/>
      <w:r w:rsidR="006D0D88" w:rsidRPr="00E439D7">
        <w:rPr>
          <w:rFonts w:cs="Times New Roman"/>
          <w:color w:val="000000" w:themeColor="text1"/>
          <w:szCs w:val="24"/>
          <w:highlight w:val="yellow"/>
        </w:rPr>
        <w:t xml:space="preserve"> &amp; Wiederhold 2019)</w:t>
      </w:r>
      <w:r w:rsidRPr="00E439D7">
        <w:rPr>
          <w:rFonts w:cs="Times New Roman"/>
          <w:color w:val="000000" w:themeColor="text1"/>
          <w:szCs w:val="24"/>
        </w:rPr>
        <w:t xml:space="preserve">, in </w:t>
      </w:r>
      <w:r w:rsidR="00F16507" w:rsidRPr="00E439D7">
        <w:rPr>
          <w:rFonts w:cs="Times New Roman"/>
          <w:color w:val="000000" w:themeColor="text1"/>
          <w:szCs w:val="24"/>
        </w:rPr>
        <w:t>t</w:t>
      </w:r>
      <w:r w:rsidRPr="00E439D7">
        <w:rPr>
          <w:rFonts w:cs="Times New Roman"/>
          <w:color w:val="000000" w:themeColor="text1"/>
          <w:szCs w:val="24"/>
        </w:rPr>
        <w:t>he</w:t>
      </w:r>
      <w:r w:rsidR="00F16507" w:rsidRPr="00E439D7">
        <w:rPr>
          <w:rFonts w:cs="Times New Roman"/>
          <w:color w:val="000000" w:themeColor="text1"/>
          <w:szCs w:val="24"/>
        </w:rPr>
        <w:t>i</w:t>
      </w:r>
      <w:r w:rsidRPr="00E439D7">
        <w:rPr>
          <w:rFonts w:cs="Times New Roman"/>
          <w:color w:val="000000" w:themeColor="text1"/>
          <w:szCs w:val="24"/>
        </w:rPr>
        <w:t>r investigation, revealed that the educational context exerts a noteworthy influence on teachers' performance.</w:t>
      </w:r>
      <w:r w:rsidRPr="00E439D7">
        <w:rPr>
          <w:rFonts w:cs="Times New Roman"/>
          <w:color w:val="000000" w:themeColor="text1"/>
          <w:szCs w:val="24"/>
        </w:rPr>
        <w:tab/>
      </w:r>
    </w:p>
    <w:p w14:paraId="77AAA02D" w14:textId="77777777" w:rsidR="00493A90" w:rsidRPr="00E439D7" w:rsidRDefault="00493A90" w:rsidP="00726BB5">
      <w:pPr>
        <w:pStyle w:val="Heading2"/>
        <w:jc w:val="left"/>
      </w:pPr>
    </w:p>
    <w:p w14:paraId="049A6073" w14:textId="304005A5"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In Shulman's classification, the realm of Educational Ends, Aims, and Values was encompassed, yet its prominence appeared limited in Turner-Bisset's exploration. Within interviews, young educators scarcely broached these aspects, and the observational data suggested that awareness of objectives and values often remained implicit, rather than overtly and visibly practiced. Nevertheless, this knowledge base has been preserved within the present discourse, as teaching integrally serves a purposeful activity, both in the context of immediate objectives for a lesson or a sequence of lessons</w:t>
      </w:r>
      <w:r w:rsidR="00CD78FA" w:rsidRPr="00E439D7">
        <w:rPr>
          <w:rFonts w:cs="Times New Roman"/>
          <w:color w:val="000000" w:themeColor="text1"/>
          <w:szCs w:val="24"/>
        </w:rPr>
        <w:t xml:space="preserve"> </w:t>
      </w:r>
      <w:r w:rsidR="00CD78FA" w:rsidRPr="00E439D7">
        <w:rPr>
          <w:rFonts w:cs="Times New Roman"/>
          <w:color w:val="000000" w:themeColor="text1"/>
          <w:szCs w:val="24"/>
          <w:highlight w:val="yellow"/>
        </w:rPr>
        <w:t>(</w:t>
      </w:r>
      <w:proofErr w:type="spellStart"/>
      <w:r w:rsidR="00CD78FA" w:rsidRPr="00E439D7">
        <w:rPr>
          <w:rFonts w:cs="Times New Roman"/>
          <w:color w:val="000000" w:themeColor="text1"/>
          <w:szCs w:val="24"/>
          <w:highlight w:val="yellow"/>
        </w:rPr>
        <w:t>Seherrie</w:t>
      </w:r>
      <w:proofErr w:type="spellEnd"/>
      <w:r w:rsidR="00CD78FA" w:rsidRPr="00E439D7">
        <w:rPr>
          <w:rFonts w:cs="Times New Roman"/>
          <w:color w:val="000000" w:themeColor="text1"/>
          <w:szCs w:val="24"/>
          <w:highlight w:val="yellow"/>
        </w:rPr>
        <w:t xml:space="preserve"> &amp; Mawela,2021)</w:t>
      </w:r>
      <w:r w:rsidR="001940C9" w:rsidRPr="00E439D7">
        <w:rPr>
          <w:rFonts w:cs="Times New Roman"/>
          <w:color w:val="000000" w:themeColor="text1"/>
          <w:szCs w:val="24"/>
        </w:rPr>
        <w:t>.</w:t>
      </w:r>
      <w:r w:rsidRPr="00E439D7">
        <w:rPr>
          <w:rFonts w:cs="Times New Roman"/>
          <w:color w:val="000000" w:themeColor="text1"/>
          <w:szCs w:val="24"/>
        </w:rPr>
        <w:t xml:space="preserve"> </w:t>
      </w:r>
      <w:r w:rsidR="001940C9" w:rsidRPr="00E439D7">
        <w:rPr>
          <w:rFonts w:cs="Times New Roman"/>
          <w:color w:val="000000" w:themeColor="text1"/>
          <w:szCs w:val="24"/>
        </w:rPr>
        <w:t>A</w:t>
      </w:r>
      <w:r w:rsidRPr="00E439D7">
        <w:rPr>
          <w:rFonts w:cs="Times New Roman"/>
          <w:color w:val="000000" w:themeColor="text1"/>
          <w:szCs w:val="24"/>
        </w:rPr>
        <w:t xml:space="preserve">lso, in the scope of enduring aspirations for intrinsically enriching experiences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{"citationItems":[{"id":"ITEM-1","itemData":{"author":[{"dropping-particle":"","family":"Turnbull","given":"Nick","non-dropping-particle":"","parse-names":false,"suffix":""}],"container-title":"Public Policy and Administration","id":"ITEM-1","issue":"4","issued":{"date-parts":[["2018"]]},"page":"357-364","publisher":"SAGE Publications Sage UK: London, England","title":"Policy design: Its enduring appeal in a complex world and how to think it differently","type":"article-journal","volume":"33"},"uris":["http://www.mendeley.com/documents/?uuid=32300a7e-ab2c-4228-812e-1bedab27d263"]}],"mendeley":{"formattedCitation":"(Turnbull, 2018)","plainTextFormattedCitation":"(Turnbull, 2018)","previouslyFormattedCitation":"(Turnbull, 2018)"},"properties":{"noteIndex":0},"schema":"https://github.com/citation-style-language/schema/raw/master/csl-citation.json"}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(Turnbull, 2018)</w:t>
      </w:r>
      <w:r w:rsidRPr="00E439D7">
        <w:rPr>
          <w:rFonts w:cs="Times New Roman"/>
          <w:color w:val="000000" w:themeColor="text1"/>
          <w:szCs w:val="24"/>
        </w:rPr>
        <w:fldChar w:fldCharType="end"/>
      </w:r>
      <w:r w:rsidRPr="00E439D7">
        <w:rPr>
          <w:rFonts w:cs="Times New Roman"/>
          <w:color w:val="000000" w:themeColor="text1"/>
          <w:szCs w:val="24"/>
        </w:rPr>
        <w:t xml:space="preserve">, or eventual societal utility, adopting a more utilitarian perspective. Reprimanding Shulman's illustrations of expert pedagogy </w:t>
      </w:r>
      <w:r w:rsidR="00CD78FA" w:rsidRPr="00E439D7">
        <w:rPr>
          <w:rFonts w:cs="Times New Roman"/>
          <w:color w:val="000000" w:themeColor="text1"/>
          <w:szCs w:val="24"/>
          <w:highlight w:val="yellow"/>
        </w:rPr>
        <w:t>(Birhan, Shiferaw, Amsalu, Tamiru &amp; Tiruye, 2021)</w:t>
      </w:r>
      <w:r w:rsidRPr="00E439D7">
        <w:rPr>
          <w:rFonts w:cs="Times New Roman"/>
          <w:color w:val="000000" w:themeColor="text1"/>
          <w:szCs w:val="24"/>
        </w:rPr>
        <w:t xml:space="preserve"> underscored the omission of a moral dimension within the instructional narrative. </w:t>
      </w:r>
      <w:r w:rsidR="00BB4ACA" w:rsidRPr="00E439D7">
        <w:rPr>
          <w:rFonts w:cs="Times New Roman"/>
          <w:color w:val="000000" w:themeColor="text1"/>
          <w:szCs w:val="24"/>
          <w:highlight w:val="yellow"/>
        </w:rPr>
        <w:t>Birhan et al.</w:t>
      </w:r>
      <w:r w:rsidR="00854CDD" w:rsidRPr="00E439D7">
        <w:rPr>
          <w:rFonts w:cs="Times New Roman"/>
          <w:color w:val="000000" w:themeColor="text1"/>
          <w:szCs w:val="24"/>
          <w:highlight w:val="yellow"/>
        </w:rPr>
        <w:t xml:space="preserve"> (</w:t>
      </w:r>
      <w:r w:rsidR="00BB4ACA" w:rsidRPr="00E439D7">
        <w:rPr>
          <w:rFonts w:cs="Times New Roman"/>
          <w:color w:val="000000" w:themeColor="text1"/>
          <w:szCs w:val="24"/>
          <w:highlight w:val="yellow"/>
        </w:rPr>
        <w:t>2021)</w:t>
      </w:r>
      <w:r w:rsidRPr="00E439D7">
        <w:rPr>
          <w:rFonts w:cs="Times New Roman"/>
          <w:color w:val="000000" w:themeColor="text1"/>
          <w:szCs w:val="24"/>
        </w:rPr>
        <w:t xml:space="preserve"> contended that morality constitutes an indispensable facet of teaching. In alignment with Shulman's concept to</w:t>
      </w:r>
      <w:r w:rsidR="003E1445" w:rsidRPr="00E439D7">
        <w:rPr>
          <w:rFonts w:cs="Times New Roman"/>
          <w:color w:val="000000" w:themeColor="text1"/>
          <w:szCs w:val="24"/>
        </w:rPr>
        <w:t xml:space="preserve"> </w:t>
      </w:r>
      <w:r w:rsidR="003E1445" w:rsidRPr="00E439D7">
        <w:rPr>
          <w:rFonts w:cs="Times New Roman"/>
          <w:color w:val="000000" w:themeColor="text1"/>
          <w:szCs w:val="24"/>
          <w:highlight w:val="yellow"/>
        </w:rPr>
        <w:t>Birhan et al.</w:t>
      </w:r>
      <w:r w:rsidR="00854CDD" w:rsidRPr="00E439D7">
        <w:rPr>
          <w:rFonts w:cs="Times New Roman"/>
          <w:color w:val="000000" w:themeColor="text1"/>
          <w:szCs w:val="24"/>
          <w:highlight w:val="yellow"/>
        </w:rPr>
        <w:t xml:space="preserve"> (</w:t>
      </w:r>
      <w:r w:rsidR="003E1445" w:rsidRPr="00E439D7">
        <w:rPr>
          <w:rFonts w:cs="Times New Roman"/>
          <w:color w:val="000000" w:themeColor="text1"/>
          <w:szCs w:val="24"/>
          <w:highlight w:val="yellow"/>
        </w:rPr>
        <w:t>2021</w:t>
      </w:r>
      <w:r w:rsidR="00854CDD" w:rsidRPr="00E439D7">
        <w:rPr>
          <w:rFonts w:cs="Times New Roman"/>
          <w:color w:val="000000" w:themeColor="text1"/>
          <w:szCs w:val="24"/>
          <w:highlight w:val="yellow"/>
        </w:rPr>
        <w:t>)</w:t>
      </w:r>
      <w:r w:rsidR="003E1445" w:rsidRPr="00E439D7">
        <w:rPr>
          <w:rFonts w:cs="Times New Roman"/>
          <w:color w:val="000000" w:themeColor="text1"/>
          <w:szCs w:val="24"/>
          <w:highlight w:val="yellow"/>
        </w:rPr>
        <w:t>,</w:t>
      </w:r>
      <w:r w:rsidRPr="00E439D7">
        <w:rPr>
          <w:rFonts w:cs="Times New Roman"/>
          <w:color w:val="000000" w:themeColor="text1"/>
          <w:szCs w:val="24"/>
        </w:rPr>
        <w:t xml:space="preserve"> it was agreed that a socio-moral essence infuses teaching, though simultaneous with an array of other pivotal attributes.</w:t>
      </w:r>
    </w:p>
    <w:p w14:paraId="46131E5B" w14:textId="77777777" w:rsidR="00A864BD" w:rsidRPr="00E439D7" w:rsidRDefault="00A864BD" w:rsidP="009F0D46">
      <w:pPr>
        <w:spacing w:after="0" w:line="240" w:lineRule="auto"/>
        <w:contextualSpacing/>
        <w:jc w:val="both"/>
        <w:rPr>
          <w:rFonts w:cs="Times New Roman"/>
          <w:color w:val="000000" w:themeColor="text1"/>
          <w:szCs w:val="24"/>
        </w:rPr>
      </w:pPr>
    </w:p>
    <w:p w14:paraId="1D1E26EE" w14:textId="6CF675D3"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Grossman was the first to systematize the components of the knowledge base of teachers proposed by Shulman and characterized the concept of PCK in the model of teacher knowledge. The author believes there are four main parts that make up the knowledge needed for teaching. These parts are: a) knowing how to teach in general, b) knowing the subject you're teaching, c) mixing teaching skills with subject knowledge, and d) understanding the situation you're teaching in. In this idea, the mix of teaching skills, subject knowledge, and the situation is really important, and it's called pedagogical content knowledge (PCK). Each of these parts also includes other things you need to know. Out of all of them, pedagogical content knowledge is the one that connects with all the rest.</w:t>
      </w:r>
    </w:p>
    <w:p w14:paraId="6CC68175" w14:textId="77777777" w:rsidR="00D82D70" w:rsidRPr="00E439D7" w:rsidRDefault="00D82D70" w:rsidP="009F0D46">
      <w:pPr>
        <w:spacing w:after="0" w:line="240" w:lineRule="auto"/>
        <w:jc w:val="both"/>
        <w:rPr>
          <w:rFonts w:cs="Times New Roman"/>
          <w:color w:val="000000" w:themeColor="text1"/>
          <w:szCs w:val="24"/>
        </w:rPr>
      </w:pPr>
    </w:p>
    <w:p w14:paraId="28C83E42" w14:textId="322FBF31"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Using Shulman's ideas about teaching, Grossman took another look at how teachers know things (PCK). She added to Shulman's model by putting in the PCK, which means knowing what to teach and how to teach it. She made a sort of order in the model, showing that knowing what to teach comes first, then understanding how students learn, then knowing the best ways to teach. So, in Grossman's model, the three things that make up PCK are all guided by why teachers want to teach that stuff. This helps to understand PCK better because it shows that teachers' ideas and knowledge are part of the model.</w:t>
      </w:r>
      <w:r w:rsidRPr="00E439D7">
        <w:rPr>
          <w:rFonts w:cs="Times New Roman"/>
          <w:color w:val="000000" w:themeColor="text1"/>
          <w:szCs w:val="24"/>
        </w:rPr>
        <w:tab/>
      </w:r>
    </w:p>
    <w:p w14:paraId="76E8F010" w14:textId="77777777" w:rsidR="001E1475" w:rsidRPr="00E439D7" w:rsidRDefault="001E1475" w:rsidP="009F0D46">
      <w:pPr>
        <w:spacing w:after="0" w:line="240" w:lineRule="auto"/>
        <w:jc w:val="both"/>
        <w:rPr>
          <w:rFonts w:cs="Times New Roman"/>
          <w:color w:val="000000" w:themeColor="text1"/>
          <w:szCs w:val="24"/>
        </w:rPr>
      </w:pPr>
    </w:p>
    <w:p w14:paraId="2509383E" w14:textId="140AA1AC"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{"citationItems":[{"id":"ITEM-1","itemData":{"author":[{"dropping-particle":"","family":"Carlsen","given":"Williams","non-dropping-particle":"","parse-names":false,"suffix":""}],"container-title":"Examining pedagogical content knowledge: The construct and its implications for science education","id":"ITEM-1","issued":{"date-parts":[["1999"]]},"page":"133-144","publisher":"Springer","title":"Domains of teacher knowledge","type":"chapter"},"uris":["http://www.mendeley.com/documents/?uuid=678905b2-6ef2-4dac-b5c5-3d1d4feec954"]}],"mendeley":{"formattedCitation":"(Carlsen, 1999)","manualFormatting":"Carlsen (1999)","plainTextFormattedCitation":"(Carlsen, 1999)","previouslyFormattedCitation":"(Carlsen, 1999)"},"properties":{"noteIndex":0},"schema":"https://github.com/citation-style-language/schema/raw/master/csl-citation.json"}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Carlsen (1999)</w:t>
      </w:r>
      <w:r w:rsidRPr="00E439D7">
        <w:rPr>
          <w:rFonts w:cs="Times New Roman"/>
          <w:color w:val="000000" w:themeColor="text1"/>
          <w:szCs w:val="24"/>
        </w:rPr>
        <w:fldChar w:fldCharType="end"/>
      </w:r>
      <w:r w:rsidRPr="00E439D7">
        <w:rPr>
          <w:rFonts w:cs="Times New Roman"/>
          <w:color w:val="000000" w:themeColor="text1"/>
          <w:szCs w:val="24"/>
        </w:rPr>
        <w:t xml:space="preserve"> came up with a different idea compared to Grossman's about what teachers need to know. Carlsen's idea is based on five main knowledge teachers should understand. These include knowing about the big picture (knowledge) context and the specific situation. The big picture context means understanding things about the country, state, local community, and schools. The specific context means knowing about the classroom and the students you're teaching. There are other things to know: how to teach in general, what you're teaching, the important parts and how they fit together, and mixing teaching skills with subject knowledge.</w:t>
      </w:r>
    </w:p>
    <w:p w14:paraId="0F052B7F" w14:textId="77777777" w:rsidR="001E1475" w:rsidRPr="00E439D7" w:rsidRDefault="001E1475" w:rsidP="009F0D46">
      <w:pPr>
        <w:spacing w:after="0" w:line="240" w:lineRule="auto"/>
        <w:jc w:val="both"/>
        <w:rPr>
          <w:rFonts w:cs="Times New Roman"/>
          <w:color w:val="000000" w:themeColor="text1"/>
          <w:szCs w:val="24"/>
        </w:rPr>
      </w:pPr>
    </w:p>
    <w:p w14:paraId="6DBF5E93" w14:textId="3A0D2F9F"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lastRenderedPageBreak/>
        <w:t>This idea is different from Grossman because it puts more focus on understanding the situation and how it's connected to all the other things teachers need to know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Grossman","given":"Paul","non-dropping-particle":"","parse-names":false,"suffix":""},{"dropping-particle":"","family":"Beek","given":"J","non-dropping-particle":"Van","parse-names":false,"suffix":""},{"dropping-particle":"","family":"Wientjes","given":"C","non-dropping-particle":"","parse-names":false,"suffix":""}],"container-title":"Psychophysiology","id":"ITEM-1","issue":"6","issued":{"date-parts":[["1990"]]},"page":"702-714","publisher":"Wiley Online Library","title":"A comparison of three quantification methods for estimation of respiratory sinus arrhythmia","type":"article-journal","volume":"27"},"uris":["http://www.mendeley.com/documents/?uuid=c0938598-fddc-46e0-85cb-6529cb1aa82b"]}],"mendeley":{"formattedCitation":"(Grossman, Van Beek, &amp; Wientjes, 1990)","manualFormatting":"Grossman, Van Beek &amp; Wientjes, 1990)","plainTextFormattedCitation":"(Grossman, Van Beek, &amp; Wientjes, 1990)","previouslyFormattedCitation":"(Grossman, Van Beek, &amp; Wientjes, 1990)"},"properties":{"noteIndex":0},"schema":"https://github.com/citation-style-language/schema/raw/master/csl-citation.json"}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Grossman, Van Beek &amp; Wientjes, 1990)</w:t>
      </w:r>
      <w:r w:rsidRPr="00E439D7">
        <w:rPr>
          <w:rFonts w:cs="Times New Roman"/>
          <w:color w:val="000000" w:themeColor="text1"/>
          <w:szCs w:val="24"/>
        </w:rPr>
        <w:fldChar w:fldCharType="end"/>
      </w:r>
      <w:r w:rsidRPr="00E439D7">
        <w:rPr>
          <w:rFonts w:cs="Times New Roman"/>
          <w:color w:val="000000" w:themeColor="text1"/>
          <w:szCs w:val="24"/>
        </w:rPr>
        <w:t>. Grossman's idea treats the goals of teaching as more important than the other parts, but Carlsen's idea treats them all as equally important. Also, in Carlsen's model, the reasons for teaching science are seen as just as important as the other parts of knowing how to teach. From Grossman's idea, other people have made similar suggestions about what</w:t>
      </w:r>
      <w:r w:rsidR="002A6CCC" w:rsidRPr="00E439D7">
        <w:rPr>
          <w:rFonts w:cs="Times New Roman"/>
          <w:color w:val="000000" w:themeColor="text1"/>
          <w:szCs w:val="24"/>
        </w:rPr>
        <w:t xml:space="preserve"> is</w:t>
      </w:r>
      <w:r w:rsidRPr="00E439D7">
        <w:rPr>
          <w:rFonts w:cs="Times New Roman"/>
          <w:color w:val="000000" w:themeColor="text1"/>
          <w:szCs w:val="24"/>
        </w:rPr>
        <w:t xml:space="preserve"> important for teaching, especially teaching science</w:t>
      </w:r>
      <w:r w:rsidR="008739AA" w:rsidRPr="00E439D7">
        <w:rPr>
          <w:rFonts w:cs="Times New Roman"/>
          <w:color w:val="000000" w:themeColor="text1"/>
          <w:szCs w:val="24"/>
        </w:rPr>
        <w:t xml:space="preserve"> </w:t>
      </w:r>
      <w:r w:rsidR="002A6CCC" w:rsidRPr="00E439D7">
        <w:rPr>
          <w:rFonts w:cs="Times New Roman"/>
          <w:color w:val="000000" w:themeColor="text1"/>
          <w:szCs w:val="24"/>
        </w:rPr>
        <w:t>(</w:t>
      </w:r>
      <w:r w:rsidR="00D60221" w:rsidRPr="00E439D7">
        <w:rPr>
          <w:rFonts w:cs="Times New Roman"/>
          <w:color w:val="000000" w:themeColor="text1"/>
          <w:szCs w:val="24"/>
          <w:highlight w:val="yellow"/>
        </w:rPr>
        <w:t xml:space="preserve">Russell </w:t>
      </w:r>
      <w:r w:rsidR="002A6CCC" w:rsidRPr="00E439D7">
        <w:rPr>
          <w:rFonts w:cs="Times New Roman"/>
          <w:color w:val="000000" w:themeColor="text1"/>
          <w:szCs w:val="24"/>
          <w:highlight w:val="yellow"/>
        </w:rPr>
        <w:t>&amp;</w:t>
      </w:r>
      <w:r w:rsidR="00D60221" w:rsidRPr="00E439D7">
        <w:rPr>
          <w:rFonts w:cs="Times New Roman"/>
          <w:color w:val="000000" w:themeColor="text1"/>
          <w:szCs w:val="24"/>
          <w:highlight w:val="yellow"/>
        </w:rPr>
        <w:t xml:space="preserve"> Martin</w:t>
      </w:r>
      <w:r w:rsidR="002A6CCC" w:rsidRPr="00E439D7">
        <w:rPr>
          <w:rFonts w:cs="Times New Roman"/>
          <w:color w:val="000000" w:themeColor="text1"/>
          <w:szCs w:val="24"/>
          <w:highlight w:val="yellow"/>
        </w:rPr>
        <w:t>,</w:t>
      </w:r>
      <w:r w:rsidR="00D60221" w:rsidRPr="00E439D7">
        <w:rPr>
          <w:rFonts w:cs="Times New Roman"/>
          <w:color w:val="000000" w:themeColor="text1"/>
          <w:szCs w:val="24"/>
          <w:highlight w:val="yellow"/>
        </w:rPr>
        <w:t xml:space="preserve"> 2023)</w:t>
      </w:r>
      <w:r w:rsidRPr="00E439D7">
        <w:rPr>
          <w:rFonts w:cs="Times New Roman"/>
          <w:color w:val="000000" w:themeColor="text1"/>
          <w:szCs w:val="24"/>
        </w:rPr>
        <w:t>. Their idea is like Grossman's, but they added something about knowing how to test what students have learned.</w:t>
      </w:r>
      <w:r w:rsidRPr="00E439D7">
        <w:rPr>
          <w:rFonts w:cs="Times New Roman"/>
          <w:color w:val="000000" w:themeColor="text1"/>
          <w:szCs w:val="24"/>
        </w:rPr>
        <w:tab/>
      </w:r>
    </w:p>
    <w:p w14:paraId="0C7989B7" w14:textId="77777777" w:rsidR="000D5252" w:rsidRPr="00E439D7" w:rsidRDefault="000D5252" w:rsidP="009F0D46">
      <w:pPr>
        <w:spacing w:after="0" w:line="240" w:lineRule="auto"/>
        <w:jc w:val="both"/>
        <w:rPr>
          <w:rFonts w:cs="Times New Roman"/>
          <w:color w:val="000000" w:themeColor="text1"/>
          <w:szCs w:val="24"/>
        </w:rPr>
      </w:pPr>
    </w:p>
    <w:p w14:paraId="619C30DD" w14:textId="66096F24"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Furthermore, in the model developed by </w:t>
      </w:r>
      <w:proofErr w:type="spellStart"/>
      <w:r w:rsidR="00E16003" w:rsidRPr="00E439D7">
        <w:rPr>
          <w:rFonts w:cs="Times New Roman"/>
          <w:color w:val="000000" w:themeColor="text1"/>
          <w:szCs w:val="24"/>
          <w:highlight w:val="yellow"/>
        </w:rPr>
        <w:t>Gro</w:t>
      </w:r>
      <w:r w:rsidR="008739AA" w:rsidRPr="00E439D7">
        <w:rPr>
          <w:rFonts w:cs="Times New Roman"/>
          <w:color w:val="000000" w:themeColor="text1"/>
          <w:szCs w:val="24"/>
          <w:highlight w:val="yellow"/>
        </w:rPr>
        <w:t>b</w:t>
      </w:r>
      <w:r w:rsidR="00E16003" w:rsidRPr="00E439D7">
        <w:rPr>
          <w:rFonts w:cs="Times New Roman"/>
          <w:color w:val="000000" w:themeColor="text1"/>
          <w:szCs w:val="24"/>
          <w:highlight w:val="yellow"/>
        </w:rPr>
        <w:t>mann</w:t>
      </w:r>
      <w:proofErr w:type="spellEnd"/>
      <w:r w:rsidR="00E16003" w:rsidRPr="00E439D7">
        <w:rPr>
          <w:rFonts w:cs="Times New Roman"/>
          <w:color w:val="000000" w:themeColor="text1"/>
          <w:szCs w:val="24"/>
          <w:highlight w:val="yellow"/>
        </w:rPr>
        <w:t xml:space="preserve"> &amp; Kr</w:t>
      </w:r>
      <w:r w:rsidR="008739AA" w:rsidRPr="00E439D7">
        <w:rPr>
          <w:rFonts w:cs="Times New Roman"/>
          <w:color w:val="000000" w:themeColor="text1"/>
          <w:szCs w:val="24"/>
          <w:highlight w:val="yellow"/>
        </w:rPr>
        <w:t>u</w:t>
      </w:r>
      <w:r w:rsidR="00E16003" w:rsidRPr="00E439D7">
        <w:rPr>
          <w:rFonts w:cs="Times New Roman"/>
          <w:color w:val="000000" w:themeColor="text1"/>
          <w:szCs w:val="24"/>
          <w:highlight w:val="yellow"/>
        </w:rPr>
        <w:t>ger (2024)</w:t>
      </w:r>
      <w:r w:rsidR="00E16003" w:rsidRPr="00E439D7">
        <w:rPr>
          <w:rFonts w:cs="Times New Roman"/>
          <w:color w:val="000000" w:themeColor="text1"/>
          <w:szCs w:val="24"/>
        </w:rPr>
        <w:t xml:space="preserve">, </w:t>
      </w:r>
      <w:r w:rsidRPr="00E439D7">
        <w:rPr>
          <w:rFonts w:cs="Times New Roman"/>
          <w:color w:val="000000" w:themeColor="text1"/>
          <w:szCs w:val="24"/>
        </w:rPr>
        <w:t>Magnusson, Krajcik, and Borko, they make a change to what Grossman proposed about the reasons for teaching content. Instead of "conceptions of purposes for teaching content" like Grossman did, they use the term "orientations for the teaching of science"</w:t>
      </w:r>
      <w:r w:rsidR="00E16003" w:rsidRPr="00E439D7">
        <w:rPr>
          <w:rFonts w:cs="Times New Roman"/>
          <w:color w:val="000000" w:themeColor="text1"/>
          <w:szCs w:val="24"/>
        </w:rPr>
        <w:t xml:space="preserve"> </w:t>
      </w:r>
      <w:r w:rsidR="00E16003" w:rsidRPr="00E439D7">
        <w:rPr>
          <w:rFonts w:cs="Times New Roman"/>
          <w:color w:val="000000" w:themeColor="text1"/>
          <w:szCs w:val="24"/>
          <w:highlight w:val="yellow"/>
        </w:rPr>
        <w:t>(</w:t>
      </w:r>
      <w:proofErr w:type="spellStart"/>
      <w:r w:rsidR="00E16003" w:rsidRPr="00E439D7">
        <w:rPr>
          <w:rFonts w:cs="Times New Roman"/>
          <w:color w:val="000000" w:themeColor="text1"/>
          <w:szCs w:val="24"/>
          <w:highlight w:val="yellow"/>
        </w:rPr>
        <w:t>Gro</w:t>
      </w:r>
      <w:r w:rsidR="008739AA" w:rsidRPr="00E439D7">
        <w:rPr>
          <w:rFonts w:cs="Times New Roman"/>
          <w:color w:val="000000" w:themeColor="text1"/>
          <w:szCs w:val="24"/>
          <w:highlight w:val="yellow"/>
        </w:rPr>
        <w:t>b</w:t>
      </w:r>
      <w:r w:rsidR="00E16003" w:rsidRPr="00E439D7">
        <w:rPr>
          <w:rFonts w:cs="Times New Roman"/>
          <w:color w:val="000000" w:themeColor="text1"/>
          <w:szCs w:val="24"/>
          <w:highlight w:val="yellow"/>
        </w:rPr>
        <w:t>mann</w:t>
      </w:r>
      <w:proofErr w:type="spellEnd"/>
      <w:r w:rsidR="00E16003" w:rsidRPr="00E439D7">
        <w:rPr>
          <w:rFonts w:cs="Times New Roman"/>
          <w:color w:val="000000" w:themeColor="text1"/>
          <w:szCs w:val="24"/>
          <w:highlight w:val="yellow"/>
        </w:rPr>
        <w:t xml:space="preserve"> &amp; Kr</w:t>
      </w:r>
      <w:r w:rsidR="008739AA" w:rsidRPr="00E439D7">
        <w:rPr>
          <w:rFonts w:cs="Times New Roman"/>
          <w:color w:val="000000" w:themeColor="text1"/>
          <w:szCs w:val="24"/>
          <w:highlight w:val="yellow"/>
        </w:rPr>
        <w:t>u</w:t>
      </w:r>
      <w:r w:rsidR="00E16003" w:rsidRPr="00E439D7">
        <w:rPr>
          <w:rFonts w:cs="Times New Roman"/>
          <w:color w:val="000000" w:themeColor="text1"/>
          <w:szCs w:val="24"/>
          <w:highlight w:val="yellow"/>
        </w:rPr>
        <w:t>ger 2024)</w:t>
      </w:r>
      <w:r w:rsidRPr="00E439D7">
        <w:rPr>
          <w:rFonts w:cs="Times New Roman"/>
          <w:color w:val="000000" w:themeColor="text1"/>
          <w:szCs w:val="24"/>
        </w:rPr>
        <w:t>. These orientations, as explained by the authors, include different approaches to teaching science: focusing on the process, maintaining high academic standards, using teaching methods, facilitating conceptual change, using hands-on activities, encouraging discovery, implementing project-based science, promoting inquiry, and guided inquiry.</w:t>
      </w:r>
    </w:p>
    <w:p w14:paraId="0EA2A68F" w14:textId="77777777" w:rsidR="000D5252" w:rsidRPr="00E439D7" w:rsidRDefault="000D5252" w:rsidP="009F0D46">
      <w:pPr>
        <w:spacing w:after="0" w:line="240" w:lineRule="auto"/>
        <w:jc w:val="both"/>
        <w:rPr>
          <w:rFonts w:cs="Times New Roman"/>
          <w:color w:val="000000" w:themeColor="text1"/>
          <w:szCs w:val="24"/>
        </w:rPr>
      </w:pPr>
    </w:p>
    <w:p w14:paraId="400B6F78" w14:textId="13C75173"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However, while the model proposed by</w:t>
      </w:r>
      <w:r w:rsidR="00E16003" w:rsidRPr="00E439D7">
        <w:rPr>
          <w:rFonts w:cs="Times New Roman"/>
          <w:color w:val="000000" w:themeColor="text1"/>
          <w:szCs w:val="24"/>
        </w:rPr>
        <w:t xml:space="preserve"> </w:t>
      </w:r>
      <w:r w:rsidRPr="00E439D7">
        <w:rPr>
          <w:rFonts w:cs="Times New Roman"/>
          <w:color w:val="000000" w:themeColor="text1"/>
          <w:szCs w:val="24"/>
        </w:rPr>
        <w:t xml:space="preserve">Magnusson, Krajcik, and Borko (1999) </w:t>
      </w:r>
      <w:r w:rsidR="003C7305" w:rsidRPr="00E439D7">
        <w:rPr>
          <w:rFonts w:cs="Times New Roman"/>
          <w:color w:val="000000" w:themeColor="text1"/>
          <w:szCs w:val="24"/>
        </w:rPr>
        <w:t xml:space="preserve">as cited in </w:t>
      </w:r>
      <w:proofErr w:type="spellStart"/>
      <w:r w:rsidR="003C7305" w:rsidRPr="00E439D7">
        <w:rPr>
          <w:rFonts w:cs="Times New Roman"/>
          <w:color w:val="000000" w:themeColor="text1"/>
          <w:szCs w:val="24"/>
          <w:highlight w:val="yellow"/>
        </w:rPr>
        <w:t>Grobmann</w:t>
      </w:r>
      <w:proofErr w:type="spellEnd"/>
      <w:r w:rsidR="003C7305" w:rsidRPr="00E439D7">
        <w:rPr>
          <w:rFonts w:cs="Times New Roman"/>
          <w:color w:val="000000" w:themeColor="text1"/>
          <w:szCs w:val="24"/>
          <w:highlight w:val="yellow"/>
        </w:rPr>
        <w:t xml:space="preserve"> &amp; Kruger (2024)</w:t>
      </w:r>
      <w:r w:rsidR="003C7305" w:rsidRPr="00E439D7">
        <w:rPr>
          <w:rFonts w:cs="Times New Roman"/>
          <w:color w:val="000000" w:themeColor="text1"/>
          <w:szCs w:val="24"/>
        </w:rPr>
        <w:t xml:space="preserve"> </w:t>
      </w:r>
      <w:r w:rsidRPr="00E439D7">
        <w:rPr>
          <w:rFonts w:cs="Times New Roman"/>
          <w:color w:val="000000" w:themeColor="text1"/>
          <w:szCs w:val="24"/>
        </w:rPr>
        <w:t>brings valuable contributions,</w:t>
      </w:r>
      <w:r w:rsidR="00896445" w:rsidRPr="00E439D7">
        <w:rPr>
          <w:rFonts w:cs="Times New Roman"/>
          <w:color w:val="000000" w:themeColor="text1"/>
          <w:szCs w:val="24"/>
        </w:rPr>
        <w:t xml:space="preserve"> </w:t>
      </w:r>
      <w:r w:rsidR="00896445" w:rsidRPr="00E439D7">
        <w:rPr>
          <w:rFonts w:cs="Times New Roman"/>
          <w:color w:val="000000" w:themeColor="text1"/>
          <w:szCs w:val="24"/>
          <w:highlight w:val="yellow"/>
        </w:rPr>
        <w:t>van Driel, Hume &amp; Berry (2023)</w:t>
      </w:r>
      <w:r w:rsidRPr="00E439D7">
        <w:rPr>
          <w:rFonts w:cs="Times New Roman"/>
          <w:color w:val="000000" w:themeColor="text1"/>
          <w:szCs w:val="24"/>
        </w:rPr>
        <w:t xml:space="preserve"> point out some criticisms related to the terminology used in it. The term "orientations to teaching science" has been used with varying meanings in different studies mentioned in the literature. According to the authors, this confusion originates from the term's initial definition as "knowledge and beliefs about the purposes and goals of science education at a certain educational level," where teachers are seen as participants in the process. In a later phase, it's defined as "a general understanding or vision of science education," which doesn't consider the role of teachers.</w:t>
      </w:r>
    </w:p>
    <w:p w14:paraId="16FA9C99" w14:textId="77777777" w:rsidR="009E779F" w:rsidRPr="00E439D7" w:rsidRDefault="009E779F" w:rsidP="009F0D46">
      <w:pPr>
        <w:spacing w:after="0" w:line="240" w:lineRule="auto"/>
        <w:jc w:val="both"/>
        <w:rPr>
          <w:rFonts w:cs="Times New Roman"/>
          <w:color w:val="000000" w:themeColor="text1"/>
          <w:szCs w:val="24"/>
        </w:rPr>
      </w:pPr>
    </w:p>
    <w:p w14:paraId="11C018A0" w14:textId="28E5A379" w:rsidR="00C36D77" w:rsidRPr="00E439D7" w:rsidRDefault="00A92448" w:rsidP="009F0D46">
      <w:pPr>
        <w:spacing w:after="0" w:line="240" w:lineRule="auto"/>
        <w:jc w:val="both"/>
        <w:rPr>
          <w:rFonts w:cs="Times New Roman"/>
          <w:color w:val="000000" w:themeColor="text1"/>
          <w:szCs w:val="24"/>
        </w:rPr>
      </w:pPr>
      <w:bookmarkStart w:id="4" w:name="_Hlk193990949"/>
      <w:r w:rsidRPr="00E439D7">
        <w:rPr>
          <w:rFonts w:cs="Times New Roman"/>
          <w:szCs w:val="24"/>
          <w:highlight w:val="yellow"/>
        </w:rPr>
        <w:t xml:space="preserve">Chen (2021) </w:t>
      </w:r>
      <w:bookmarkEnd w:id="4"/>
      <w:r w:rsidR="00C36D77" w:rsidRPr="00E439D7">
        <w:rPr>
          <w:rFonts w:cs="Times New Roman"/>
          <w:color w:val="000000" w:themeColor="text1"/>
          <w:szCs w:val="24"/>
        </w:rPr>
        <w:t>added a new aspect to</w:t>
      </w:r>
      <w:r w:rsidR="00896445" w:rsidRPr="00E439D7">
        <w:rPr>
          <w:rFonts w:cs="Times New Roman"/>
          <w:color w:val="000000" w:themeColor="text1"/>
          <w:szCs w:val="24"/>
        </w:rPr>
        <w:t xml:space="preserve"> </w:t>
      </w:r>
      <w:proofErr w:type="spellStart"/>
      <w:r w:rsidR="00896445" w:rsidRPr="00E439D7">
        <w:rPr>
          <w:rFonts w:cs="Times New Roman"/>
          <w:color w:val="000000" w:themeColor="text1"/>
          <w:szCs w:val="24"/>
          <w:highlight w:val="yellow"/>
        </w:rPr>
        <w:t>Gro</w:t>
      </w:r>
      <w:r w:rsidR="00CF1DDB" w:rsidRPr="00E439D7">
        <w:rPr>
          <w:rFonts w:cs="Times New Roman"/>
          <w:color w:val="000000" w:themeColor="text1"/>
          <w:szCs w:val="24"/>
          <w:highlight w:val="yellow"/>
        </w:rPr>
        <w:t>b</w:t>
      </w:r>
      <w:r w:rsidR="00896445" w:rsidRPr="00E439D7">
        <w:rPr>
          <w:rFonts w:cs="Times New Roman"/>
          <w:color w:val="000000" w:themeColor="text1"/>
          <w:szCs w:val="24"/>
          <w:highlight w:val="yellow"/>
        </w:rPr>
        <w:t>mann</w:t>
      </w:r>
      <w:proofErr w:type="spellEnd"/>
      <w:r w:rsidR="00896445" w:rsidRPr="00E439D7">
        <w:rPr>
          <w:rFonts w:cs="Times New Roman"/>
          <w:color w:val="000000" w:themeColor="text1"/>
          <w:szCs w:val="24"/>
          <w:highlight w:val="yellow"/>
        </w:rPr>
        <w:t xml:space="preserve"> &amp; Krüger</w:t>
      </w:r>
      <w:r w:rsidR="00C36D77" w:rsidRPr="00E439D7">
        <w:rPr>
          <w:rFonts w:cs="Times New Roman"/>
          <w:color w:val="000000" w:themeColor="text1"/>
          <w:szCs w:val="24"/>
        </w:rPr>
        <w:t xml:space="preserve">'s model. They introduced a sixth element into the teacher's knowledge. This new aspect involves emotions and feelings. The emotional perspective has gained attention in the literature as one of the parts of PCK. This expanded model shows how teacher confidence develops, the uniqueness of individual teaching styles, the significance of reflection, and the importance of acknowledging the roles of students within PCK </w:t>
      </w:r>
      <w:r w:rsidR="00E16991" w:rsidRPr="00E439D7">
        <w:rPr>
          <w:rFonts w:cs="Times New Roman"/>
          <w:color w:val="000000" w:themeColor="text1"/>
          <w:szCs w:val="24"/>
        </w:rPr>
        <w:t>(</w:t>
      </w:r>
      <w:r w:rsidRPr="00E439D7">
        <w:rPr>
          <w:rFonts w:cs="Times New Roman"/>
          <w:szCs w:val="24"/>
          <w:highlight w:val="yellow"/>
        </w:rPr>
        <w:t>Chen</w:t>
      </w:r>
      <w:r w:rsidR="00E16991" w:rsidRPr="00E439D7">
        <w:rPr>
          <w:rFonts w:cs="Times New Roman"/>
          <w:szCs w:val="24"/>
          <w:highlight w:val="yellow"/>
        </w:rPr>
        <w:t>,</w:t>
      </w:r>
      <w:r w:rsidRPr="00E439D7">
        <w:rPr>
          <w:rFonts w:cs="Times New Roman"/>
          <w:szCs w:val="24"/>
          <w:highlight w:val="yellow"/>
        </w:rPr>
        <w:t xml:space="preserve"> 2021)</w:t>
      </w:r>
      <w:r w:rsidR="00C36D77" w:rsidRPr="00E439D7">
        <w:rPr>
          <w:rFonts w:cs="Times New Roman"/>
          <w:color w:val="000000" w:themeColor="text1"/>
          <w:szCs w:val="24"/>
        </w:rPr>
        <w:t>.</w:t>
      </w:r>
      <w:r w:rsidR="00C36D77" w:rsidRPr="00E439D7">
        <w:rPr>
          <w:rFonts w:cs="Times New Roman"/>
          <w:color w:val="000000" w:themeColor="text1"/>
          <w:szCs w:val="24"/>
        </w:rPr>
        <w:tab/>
      </w:r>
    </w:p>
    <w:p w14:paraId="69EBFDBE" w14:textId="77777777" w:rsidR="009E779F" w:rsidRPr="00E439D7" w:rsidRDefault="009E779F" w:rsidP="009F0D46">
      <w:pPr>
        <w:spacing w:after="0" w:line="240" w:lineRule="auto"/>
        <w:jc w:val="both"/>
        <w:rPr>
          <w:rFonts w:cs="Times New Roman"/>
          <w:color w:val="000000" w:themeColor="text1"/>
          <w:szCs w:val="24"/>
        </w:rPr>
      </w:pPr>
    </w:p>
    <w:p w14:paraId="117D7749" w14:textId="34BA4B6A"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The efficacy aspect featured in this model prompts the teacher to convey what they deem most effective in the classroom setting. Within the PCK Summit model, teachers' professional expertise is delineated across five primary domains: </w:t>
      </w:r>
      <w:proofErr w:type="spellStart"/>
      <w:r w:rsidRPr="00E439D7">
        <w:rPr>
          <w:rFonts w:cs="Times New Roman"/>
          <w:color w:val="000000" w:themeColor="text1"/>
          <w:szCs w:val="24"/>
        </w:rPr>
        <w:t>i</w:t>
      </w:r>
      <w:proofErr w:type="spellEnd"/>
      <w:r w:rsidRPr="00E439D7">
        <w:rPr>
          <w:rFonts w:cs="Times New Roman"/>
          <w:color w:val="000000" w:themeColor="text1"/>
          <w:szCs w:val="24"/>
        </w:rPr>
        <w:t>) assessment knowledge; ii) pedagogical knowledge; iii) content knowledge; iv) understanding of students; and v) familiarity with the curriculum. These five areas of knowledge exert influence on and are influenced by the professional understanding of a given subject. This professional understanding encompasses comprehension of instructional methods, representations of content, student comprehension, scientific practices, and cognitive approaches.</w:t>
      </w:r>
    </w:p>
    <w:p w14:paraId="66CB86FA" w14:textId="77777777" w:rsidR="003E65D8" w:rsidRPr="00E439D7" w:rsidRDefault="003E65D8" w:rsidP="009F0D46">
      <w:pPr>
        <w:spacing w:after="0" w:line="240" w:lineRule="auto"/>
        <w:jc w:val="both"/>
        <w:rPr>
          <w:rFonts w:cs="Times New Roman"/>
          <w:color w:val="000000" w:themeColor="text1"/>
          <w:szCs w:val="24"/>
        </w:rPr>
      </w:pPr>
    </w:p>
    <w:p w14:paraId="1555F819" w14:textId="5876F616"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This particular professional expertise undergoes various influences and enhancements, including the teachers' beliefs, the contextual setting in which it operates, and the instructional approaches adopted. Following this filtration process, the specific professional knowledge is reshaped and </w:t>
      </w:r>
      <w:r w:rsidRPr="00E439D7">
        <w:rPr>
          <w:rFonts w:cs="Times New Roman"/>
          <w:color w:val="000000" w:themeColor="text1"/>
          <w:szCs w:val="24"/>
        </w:rPr>
        <w:lastRenderedPageBreak/>
        <w:t xml:space="preserve">customized in the classroom, forming the teacher's personal Pedagogical Content Knowledge (PCK). Subsequently, this knowledge encounters the filters and enhancements of the students, considering their beliefs, prior understanding, and behaviors, before being evaluated through student outcomes. </w:t>
      </w:r>
    </w:p>
    <w:p w14:paraId="3E016793" w14:textId="77777777" w:rsidR="009564E1" w:rsidRPr="00E439D7" w:rsidRDefault="009564E1" w:rsidP="009F0D46">
      <w:pPr>
        <w:spacing w:after="0" w:line="240" w:lineRule="auto"/>
        <w:jc w:val="both"/>
        <w:rPr>
          <w:rFonts w:cs="Times New Roman"/>
          <w:color w:val="000000" w:themeColor="text1"/>
          <w:szCs w:val="24"/>
        </w:rPr>
      </w:pPr>
    </w:p>
    <w:p w14:paraId="7CBC5D0A" w14:textId="581879B1" w:rsidR="00D703AC"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This framework appears to encompass both a theoretical PCK (comprising specific professional knowledge of the subject) and a personal, individualized PCK, which manifests during classroom practice. Furthermore, this practice mutually influences and is influenced by the broader knowledge base as well as the specific professional understanding of the subject matter.</w:t>
      </w:r>
      <w:r w:rsidR="0096741C" w:rsidRPr="00E439D7">
        <w:rPr>
          <w:rFonts w:cs="Times New Roman"/>
          <w:color w:val="000000" w:themeColor="text1"/>
          <w:szCs w:val="24"/>
        </w:rPr>
        <w:t xml:space="preserve"> </w:t>
      </w:r>
      <w:r w:rsidRPr="00E439D7">
        <w:rPr>
          <w:rFonts w:cs="Times New Roman"/>
          <w:color w:val="000000" w:themeColor="text1"/>
          <w:szCs w:val="24"/>
        </w:rPr>
        <w:t xml:space="preserve">Student outcomes, in a reciprocal manner, impact both the teacher's Pedagogical Content Knowledge (PCK) derived from classroom practice and the topic-specific professional knowledge within the broader knowledge base. </w:t>
      </w:r>
    </w:p>
    <w:p w14:paraId="7743E93B" w14:textId="77777777" w:rsidR="00D703AC" w:rsidRPr="00E439D7" w:rsidRDefault="00D703AC" w:rsidP="009F0D46">
      <w:pPr>
        <w:spacing w:after="0" w:line="240" w:lineRule="auto"/>
        <w:jc w:val="both"/>
        <w:rPr>
          <w:rFonts w:cs="Times New Roman"/>
          <w:color w:val="000000" w:themeColor="text1"/>
          <w:szCs w:val="24"/>
        </w:rPr>
      </w:pPr>
    </w:p>
    <w:p w14:paraId="25487776" w14:textId="614A379A"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It is through this interconnectedness that the model is constructed around action, with the teacher serving as a reflective practitioner who continually evaluates and refines their practice to achieve enhanced outcomes with their students. This process involves the reconstruction and transformation of their personal PCK, their specific professional knowledge of the subject matter, and the broader knowledge base. This model not only illustrates the mobilization of knowledge but also aligns with the development of teachers' PCK as outlined in the Model of Pedagogical Reasoning and Action proposed by Shulman.</w:t>
      </w:r>
    </w:p>
    <w:p w14:paraId="10090DDB" w14:textId="77777777" w:rsidR="00D44791" w:rsidRPr="00E439D7" w:rsidRDefault="00D44791" w:rsidP="009F0D46">
      <w:pPr>
        <w:spacing w:after="0" w:line="240" w:lineRule="auto"/>
        <w:jc w:val="both"/>
        <w:rPr>
          <w:rFonts w:cs="Times New Roman"/>
          <w:color w:val="000000" w:themeColor="text1"/>
          <w:szCs w:val="24"/>
        </w:rPr>
      </w:pPr>
    </w:p>
    <w:p w14:paraId="681BC281" w14:textId="5688E9E9"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As per Shulman (1987), Pedagogical Content Knowledge (PCK) is a special blend of subject matter and teaching methods that sets teachers apart as professionals. Shulman introduced the concept of PCK as a vital part of what he termed the knowledge base for teaching. The core aspects of Shulman's idea about PCK involve understanding how to represent specific subjects and the strategies to teach them, along with recognizing the challenges students face in learning and their own notions about specific subjects. Shulman initially introduced the concept of PCK to describe a particular form of teacher knowledge that distinguishes a teacher in a particular field from an expert in that field. He coined this term during a conference at the University of Texas, a conference title that was quite suggestive: "The missing paradigm in the research about teaching."</w:t>
      </w:r>
    </w:p>
    <w:p w14:paraId="206DC0B0" w14:textId="77777777" w:rsidR="0095531A" w:rsidRPr="00E439D7" w:rsidRDefault="0095531A" w:rsidP="009F0D46">
      <w:pPr>
        <w:spacing w:after="0" w:line="240" w:lineRule="auto"/>
        <w:jc w:val="both"/>
        <w:rPr>
          <w:rFonts w:cs="Times New Roman"/>
          <w:color w:val="000000" w:themeColor="text1"/>
          <w:szCs w:val="24"/>
        </w:rPr>
      </w:pPr>
    </w:p>
    <w:p w14:paraId="0C01CA80" w14:textId="2215265F"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The notion of a "missing paradigm" that Shulman discussed referred to the lack of emphasis on the specific subject matter and its relative neglect in the preparation for teaching. Throughout his research journey, Shulman's interests were focused on two main aspects: understanding the cognitive processes in professional practice, particularly in situations of uncertainty, such as those faced by professionals like doctors and teachers; and highlighting the distinctiveness of expertise within specific domains. In his work, Shulman (1986) examined the questions historically used in teacher selection assessments. He observed that teacher selection programs had at times prioritized expertise in specific subjects and at other times emphasized teaching methods. This led Shulman to question whether it's always necessary to maintain a strict separation between subject matter and teaching methods while training to become a teacher.</w:t>
      </w:r>
      <w:r w:rsidRPr="00E439D7">
        <w:rPr>
          <w:rFonts w:cs="Times New Roman"/>
          <w:color w:val="000000" w:themeColor="text1"/>
          <w:szCs w:val="24"/>
        </w:rPr>
        <w:tab/>
      </w:r>
    </w:p>
    <w:p w14:paraId="351CEC4C" w14:textId="77777777" w:rsidR="008D4E9C" w:rsidRPr="00E439D7" w:rsidRDefault="008D4E9C" w:rsidP="009F0D46">
      <w:pPr>
        <w:spacing w:after="0" w:line="240" w:lineRule="auto"/>
        <w:jc w:val="both"/>
        <w:rPr>
          <w:rFonts w:cs="Times New Roman"/>
          <w:color w:val="000000" w:themeColor="text1"/>
          <w:szCs w:val="24"/>
        </w:rPr>
      </w:pPr>
    </w:p>
    <w:p w14:paraId="3BC238BD" w14:textId="25FB4F46"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In his 1987 article, Shulman introduces the concept of PCK by bringing together subject matter and teaching methods. He explains it as a "special blend of content and pedagogy that is unique to the realm of teachers, their distinctive professional understanding" (Shulman, 1986, p. 9). According to Shulman, what truly sets a chemistry teacher apart from a chemistry expert is their </w:t>
      </w:r>
      <w:r w:rsidRPr="00E439D7">
        <w:rPr>
          <w:rFonts w:cs="Times New Roman"/>
          <w:color w:val="000000" w:themeColor="text1"/>
          <w:szCs w:val="24"/>
        </w:rPr>
        <w:lastRenderedPageBreak/>
        <w:t>capacity to transform the subject matter. Shulman defines PCK as a type of knowledge that surpasses mere subject matter knowledge and extends into the dimension of subject matter knowledge tailored for teaching. He still refers to it as content knowledge, but it's a specific form of content knowledge that focuses on making the subject understandable for others.</w:t>
      </w:r>
    </w:p>
    <w:p w14:paraId="41DFEC8A" w14:textId="77777777" w:rsidR="00A864BD" w:rsidRPr="00E439D7" w:rsidRDefault="00A864BD" w:rsidP="009F0D46">
      <w:pPr>
        <w:spacing w:after="0" w:line="240" w:lineRule="auto"/>
        <w:contextualSpacing/>
        <w:jc w:val="both"/>
        <w:rPr>
          <w:rFonts w:cs="Times New Roman"/>
          <w:color w:val="000000" w:themeColor="text1"/>
          <w:szCs w:val="24"/>
        </w:rPr>
      </w:pPr>
    </w:p>
    <w:p w14:paraId="250772E5" w14:textId="02F31100" w:rsidR="00C36D77" w:rsidRPr="00E439D7" w:rsidRDefault="00C36D7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Within the realm of pedagogical content knowledge, Shulman includes the most effective ways to represent key ideas within the most frequently taught topics of a subject area. This involves employing powerful analogies, illustrations, examples, explanations, and demonstrations – essentially, it's about choosing ways to present and explain the subject in a way that makes sense to learners. As there's no one-size-fits-all approach, teachers need a toolkit of various methods of representation. Some come from research while others stem from practical wisdom (Shulman, 1986, p. 9).</w:t>
      </w:r>
    </w:p>
    <w:p w14:paraId="5DAD2FC5" w14:textId="77777777" w:rsidR="00F8643E" w:rsidRPr="00E439D7" w:rsidRDefault="00F8643E" w:rsidP="009F0D46">
      <w:pPr>
        <w:spacing w:after="0" w:line="240" w:lineRule="auto"/>
        <w:jc w:val="both"/>
        <w:rPr>
          <w:rFonts w:cs="Times New Roman"/>
          <w:color w:val="000000" w:themeColor="text1"/>
          <w:szCs w:val="24"/>
        </w:rPr>
      </w:pPr>
    </w:p>
    <w:p w14:paraId="29CF7291" w14:textId="7ADA8286" w:rsidR="00C36D77" w:rsidRPr="00E439D7" w:rsidRDefault="00C36D77" w:rsidP="009F0D46">
      <w:pPr>
        <w:spacing w:after="0" w:line="240" w:lineRule="auto"/>
        <w:jc w:val="both"/>
        <w:rPr>
          <w:rFonts w:cs="Times New Roman"/>
          <w:color w:val="000000" w:themeColor="text1"/>
          <w:szCs w:val="24"/>
        </w:rPr>
      </w:pPr>
      <w:r w:rsidRPr="00E439D7">
        <w:rPr>
          <w:rFonts w:cs="Times New Roman"/>
          <w:color w:val="000000" w:themeColor="text1"/>
          <w:szCs w:val="24"/>
        </w:rPr>
        <w:t>Once Shulman coined the term PCK, it quickly gained traction in studies about teachers' knowledge and became widely used. PCK is now a framework for examining teachers' knowledge. Research on PCK indicates that this type of knowledge is closely linked to classroom planning and instruction.</w:t>
      </w:r>
      <w:r w:rsidR="002A5897" w:rsidRPr="00E439D7">
        <w:rPr>
          <w:rFonts w:cs="Times New Roman"/>
          <w:szCs w:val="24"/>
          <w:highlight w:val="yellow"/>
        </w:rPr>
        <w:t xml:space="preserve"> Chan (2022)</w:t>
      </w:r>
      <w:r w:rsidR="006D460C" w:rsidRPr="00E439D7">
        <w:rPr>
          <w:rFonts w:cs="Times New Roman"/>
          <w:color w:val="000000" w:themeColor="text1"/>
          <w:szCs w:val="24"/>
        </w:rPr>
        <w:t xml:space="preserve"> </w:t>
      </w:r>
      <w:r w:rsidRPr="00E439D7">
        <w:rPr>
          <w:rFonts w:cs="Times New Roman"/>
          <w:color w:val="000000" w:themeColor="text1"/>
          <w:szCs w:val="24"/>
        </w:rPr>
        <w:t>suggests that practical knowledge and PCK are two separate but interconnected categories in the process of learning to teach. In Carter's view, PCK is a broader category that falls under professional knowledge and is more structured than practical knowledge, which tends to be more personal and context-dependent.</w:t>
      </w:r>
    </w:p>
    <w:p w14:paraId="1B4D64B1" w14:textId="77777777" w:rsidR="004013E2" w:rsidRPr="00E439D7" w:rsidRDefault="004013E2" w:rsidP="009F0D46">
      <w:pPr>
        <w:spacing w:after="0" w:line="240" w:lineRule="auto"/>
        <w:jc w:val="both"/>
        <w:rPr>
          <w:rFonts w:cs="Times New Roman"/>
          <w:color w:val="000000" w:themeColor="text1"/>
          <w:szCs w:val="24"/>
        </w:rPr>
      </w:pPr>
    </w:p>
    <w:p w14:paraId="1D493274" w14:textId="6EBFE83D" w:rsidR="00C36D77" w:rsidRPr="00E439D7" w:rsidRDefault="00C36D77" w:rsidP="00905F18">
      <w:pPr>
        <w:spacing w:after="0" w:line="240" w:lineRule="auto"/>
        <w:jc w:val="both"/>
        <w:rPr>
          <w:rFonts w:cs="Times New Roman"/>
          <w:color w:val="000000" w:themeColor="text1"/>
          <w:szCs w:val="24"/>
        </w:rPr>
      </w:pPr>
      <w:r w:rsidRPr="00E439D7">
        <w:rPr>
          <w:rFonts w:cs="Times New Roman"/>
          <w:color w:val="000000" w:themeColor="text1"/>
          <w:szCs w:val="24"/>
        </w:rPr>
        <w:t>When considering the teacher knowledge categories proposed by</w:t>
      </w:r>
      <w:bookmarkStart w:id="5" w:name="_Hlk193989174"/>
      <w:r w:rsidR="00A92448" w:rsidRPr="00E439D7">
        <w:rPr>
          <w:rFonts w:cs="Times New Roman"/>
          <w:szCs w:val="24"/>
        </w:rPr>
        <w:t xml:space="preserve"> </w:t>
      </w:r>
      <w:bookmarkEnd w:id="5"/>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{"citationItems":[{"id":"ITEM-1","itemData":{"author":[{"dropping-particle":"","family":"Fenstermacher","given":"Gary D","non-dropping-particle":"","parse-names":false,"suffix":""}],"container-title":"Review of research in education","id":"ITEM-1","issue":"1","issued":{"date-parts":[["1994"]]},"page":"3-56","publisher":"Sage Publications Sage CA: Thousand Oaks, CA","title":"Chapter 1: The knower and the known: The nature of knowledge in research on teaching","type":"article-journal","volume":"20"},"uris":["http://www.mendeley.com/documents/?uuid=7d685cbd-09a5-4e7b-a66e-0892c699d7ca"]}],"mendeley":{"formattedCitation":"(Fenstermacher, 1994)","manualFormatting":"Fenstermacher (1994)","plainTextFormattedCitation":"(Fenstermacher, 1994)","previouslyFormattedCitation":"(Fenstermacher, 1994)"},"properties":{"noteIndex":0},"schema":"https://github.com/citation-style-language/schema/raw/master/csl-citation.json"}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Fenstermacher (1994)</w:t>
      </w:r>
      <w:r w:rsidRPr="00E439D7">
        <w:rPr>
          <w:rFonts w:cs="Times New Roman"/>
          <w:color w:val="000000" w:themeColor="text1"/>
          <w:szCs w:val="24"/>
        </w:rPr>
        <w:fldChar w:fldCharType="end"/>
      </w:r>
      <w:r w:rsidRPr="00E439D7">
        <w:rPr>
          <w:rFonts w:cs="Times New Roman"/>
          <w:color w:val="000000" w:themeColor="text1"/>
          <w:szCs w:val="24"/>
        </w:rPr>
        <w:t xml:space="preserve"> as formal and practical, PCK seems to align more with formal knowledge characteristics than practical</w:t>
      </w:r>
      <w:r w:rsidR="000C6405" w:rsidRPr="00E439D7">
        <w:rPr>
          <w:rFonts w:cs="Times New Roman"/>
          <w:color w:val="000000" w:themeColor="text1"/>
          <w:szCs w:val="24"/>
        </w:rPr>
        <w:t xml:space="preserve"> (</w:t>
      </w:r>
      <w:r w:rsidR="000C6405" w:rsidRPr="00E439D7">
        <w:rPr>
          <w:rFonts w:cs="Times New Roman"/>
          <w:szCs w:val="24"/>
          <w:highlight w:val="yellow"/>
        </w:rPr>
        <w:t>van Driel, Hume &amp; Berry, 2023)</w:t>
      </w:r>
      <w:r w:rsidRPr="00E439D7">
        <w:rPr>
          <w:rFonts w:cs="Times New Roman"/>
          <w:color w:val="000000" w:themeColor="text1"/>
          <w:szCs w:val="24"/>
        </w:rPr>
        <w:t xml:space="preserve">. Moreover, </w:t>
      </w:r>
      <w:r w:rsidR="00542F51" w:rsidRPr="00E439D7">
        <w:rPr>
          <w:rFonts w:cs="Times New Roman"/>
          <w:color w:val="000000" w:themeColor="text1"/>
          <w:szCs w:val="24"/>
        </w:rPr>
        <w:t xml:space="preserve">it is </w:t>
      </w:r>
      <w:r w:rsidRPr="00E439D7">
        <w:rPr>
          <w:rFonts w:cs="Times New Roman"/>
          <w:color w:val="000000" w:themeColor="text1"/>
          <w:szCs w:val="24"/>
        </w:rPr>
        <w:t>contend</w:t>
      </w:r>
      <w:r w:rsidR="00542F51" w:rsidRPr="00E439D7">
        <w:rPr>
          <w:rFonts w:cs="Times New Roman"/>
          <w:color w:val="000000" w:themeColor="text1"/>
          <w:szCs w:val="24"/>
        </w:rPr>
        <w:t>ed</w:t>
      </w:r>
      <w:r w:rsidRPr="00E439D7">
        <w:rPr>
          <w:rFonts w:cs="Times New Roman"/>
          <w:color w:val="000000" w:themeColor="text1"/>
          <w:szCs w:val="24"/>
        </w:rPr>
        <w:t xml:space="preserve"> that PCK is part of practical knowledge and follows the same methodological parameters for its development</w:t>
      </w:r>
      <w:r w:rsidR="00542F51" w:rsidRPr="00E439D7">
        <w:rPr>
          <w:rFonts w:cs="Times New Roman"/>
          <w:color w:val="000000" w:themeColor="text1"/>
          <w:szCs w:val="24"/>
        </w:rPr>
        <w:t xml:space="preserve"> (</w:t>
      </w:r>
      <w:r w:rsidR="00542F51" w:rsidRPr="00E439D7">
        <w:rPr>
          <w:rFonts w:cs="Times New Roman"/>
          <w:szCs w:val="24"/>
          <w:highlight w:val="yellow"/>
        </w:rPr>
        <w:t xml:space="preserve">Bragg, Walsh &amp; </w:t>
      </w:r>
      <w:proofErr w:type="spellStart"/>
      <w:r w:rsidR="00542F51" w:rsidRPr="00E439D7">
        <w:rPr>
          <w:rFonts w:cs="Times New Roman"/>
          <w:szCs w:val="24"/>
          <w:highlight w:val="yellow"/>
        </w:rPr>
        <w:t>Heyeres</w:t>
      </w:r>
      <w:proofErr w:type="spellEnd"/>
      <w:r w:rsidR="00542F51" w:rsidRPr="00E439D7">
        <w:rPr>
          <w:rFonts w:cs="Times New Roman"/>
          <w:szCs w:val="24"/>
          <w:highlight w:val="yellow"/>
        </w:rPr>
        <w:t xml:space="preserve">, 2021; </w:t>
      </w:r>
      <w:r w:rsidR="00542F51" w:rsidRPr="00E439D7">
        <w:rPr>
          <w:rFonts w:cs="Times New Roman"/>
          <w:color w:val="000000" w:themeColor="text1"/>
          <w:szCs w:val="24"/>
        </w:rPr>
        <w:t>Grossman (1990)</w:t>
      </w:r>
      <w:r w:rsidRPr="00E439D7">
        <w:rPr>
          <w:rFonts w:cs="Times New Roman"/>
          <w:color w:val="000000" w:themeColor="text1"/>
          <w:szCs w:val="24"/>
        </w:rPr>
        <w:t>. Shulman also shares this viewpoint. Hence, there's ongoing debate regarding whether Shulman's research program falls under the formal or practical knowledge category. Some authors perceive it as a combination of both, forming a comprehensive category.</w:t>
      </w:r>
      <w:r w:rsidRPr="00E439D7">
        <w:rPr>
          <w:rFonts w:cs="Times New Roman"/>
          <w:szCs w:val="24"/>
        </w:rPr>
        <w:t xml:space="preserve"> </w:t>
      </w:r>
    </w:p>
    <w:p w14:paraId="0C9C5044" w14:textId="77777777" w:rsidR="00383A93" w:rsidRPr="00E439D7" w:rsidRDefault="00383A93" w:rsidP="00BC4767">
      <w:pPr>
        <w:pStyle w:val="Heading2"/>
      </w:pPr>
    </w:p>
    <w:p w14:paraId="64F826A8" w14:textId="6336B8E3" w:rsidR="00C67A95" w:rsidRPr="00E439D7" w:rsidRDefault="004D6ECF" w:rsidP="00B50B0F">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Preservice teachers must develop various knowledge types to enhance teaching performance. Shulman’s model emphasizes blending content knowledge with effective teaching strategies, fostering meaningful and engaging learning experiences </w:t>
      </w:r>
      <w:r w:rsidR="00E4152C" w:rsidRPr="00E439D7">
        <w:rPr>
          <w:rFonts w:cs="Times New Roman"/>
          <w:color w:val="000000" w:themeColor="text1"/>
          <w:szCs w:val="24"/>
        </w:rPr>
        <w:t>(</w:t>
      </w:r>
      <w:r w:rsidR="00E4152C" w:rsidRPr="00E439D7">
        <w:rPr>
          <w:rFonts w:cs="Times New Roman"/>
          <w:color w:val="000000" w:themeColor="text1"/>
          <w:szCs w:val="24"/>
          <w:highlight w:val="yellow"/>
        </w:rPr>
        <w:t>Mafa-</w:t>
      </w:r>
      <w:proofErr w:type="spellStart"/>
      <w:r w:rsidR="00E4152C" w:rsidRPr="00E439D7">
        <w:rPr>
          <w:rFonts w:cs="Times New Roman"/>
          <w:color w:val="000000" w:themeColor="text1"/>
          <w:szCs w:val="24"/>
          <w:highlight w:val="yellow"/>
        </w:rPr>
        <w:t>Theledi</w:t>
      </w:r>
      <w:proofErr w:type="spellEnd"/>
      <w:r w:rsidR="00E4152C" w:rsidRPr="00E439D7">
        <w:rPr>
          <w:rFonts w:cs="Times New Roman"/>
          <w:color w:val="000000" w:themeColor="text1"/>
          <w:szCs w:val="24"/>
          <w:highlight w:val="yellow"/>
        </w:rPr>
        <w:t>, 2024)</w:t>
      </w:r>
      <w:r w:rsidR="00532045" w:rsidRPr="00E439D7">
        <w:rPr>
          <w:rFonts w:cs="Times New Roman"/>
          <w:color w:val="000000" w:themeColor="text1"/>
          <w:szCs w:val="24"/>
        </w:rPr>
        <w:t>.</w:t>
      </w:r>
      <w:r w:rsidR="00E4152C" w:rsidRPr="00E439D7">
        <w:rPr>
          <w:rFonts w:cs="Times New Roman"/>
          <w:color w:val="000000" w:themeColor="text1"/>
          <w:szCs w:val="24"/>
        </w:rPr>
        <w:t xml:space="preserve"> </w:t>
      </w:r>
      <w:r w:rsidRPr="00E439D7">
        <w:rPr>
          <w:rFonts w:cs="Times New Roman"/>
          <w:color w:val="000000" w:themeColor="text1"/>
          <w:szCs w:val="24"/>
        </w:rPr>
        <w:t>This model links professional knowledge with understanding social, cultural, and ethical teaching contexts</w:t>
      </w:r>
      <w:r w:rsidR="002A5897" w:rsidRPr="00E439D7">
        <w:rPr>
          <w:rFonts w:cs="Times New Roman"/>
          <w:color w:val="000000" w:themeColor="text1"/>
          <w:szCs w:val="24"/>
        </w:rPr>
        <w:t xml:space="preserve"> (</w:t>
      </w:r>
      <w:r w:rsidR="002A5897" w:rsidRPr="00E439D7">
        <w:rPr>
          <w:rFonts w:cs="Times New Roman"/>
          <w:color w:val="000000" w:themeColor="text1"/>
          <w:szCs w:val="24"/>
          <w:highlight w:val="yellow"/>
        </w:rPr>
        <w:t>Kong, 2024</w:t>
      </w:r>
      <w:r w:rsidR="002A5897" w:rsidRPr="00E439D7">
        <w:rPr>
          <w:rFonts w:cs="Times New Roman"/>
          <w:color w:val="000000" w:themeColor="text1"/>
          <w:szCs w:val="24"/>
        </w:rPr>
        <w:t>)</w:t>
      </w:r>
      <w:r w:rsidRPr="00E439D7">
        <w:rPr>
          <w:rFonts w:cs="Times New Roman"/>
          <w:color w:val="000000" w:themeColor="text1"/>
          <w:szCs w:val="24"/>
        </w:rPr>
        <w:t>. Pedagogical content knowledge, a critical component, involves teaching content effectively and culturally responsively.</w:t>
      </w:r>
      <w:r w:rsidR="002A5897" w:rsidRPr="00E439D7">
        <w:rPr>
          <w:rFonts w:cs="Times New Roman"/>
          <w:color w:val="000000" w:themeColor="text1"/>
          <w:szCs w:val="24"/>
        </w:rPr>
        <w:t xml:space="preserve"> </w:t>
      </w:r>
      <w:r w:rsidR="002A5897" w:rsidRPr="00E439D7">
        <w:rPr>
          <w:rFonts w:cs="Times New Roman"/>
          <w:color w:val="000000" w:themeColor="text1"/>
          <w:szCs w:val="24"/>
          <w:highlight w:val="yellow"/>
        </w:rPr>
        <w:t xml:space="preserve">Catacutan, Kilag, Diano, </w:t>
      </w:r>
      <w:proofErr w:type="spellStart"/>
      <w:r w:rsidR="002A5897" w:rsidRPr="00E439D7">
        <w:rPr>
          <w:rFonts w:cs="Times New Roman"/>
          <w:color w:val="000000" w:themeColor="text1"/>
          <w:szCs w:val="24"/>
          <w:highlight w:val="yellow"/>
        </w:rPr>
        <w:t>Tiongzon</w:t>
      </w:r>
      <w:proofErr w:type="spellEnd"/>
      <w:r w:rsidR="002A5897" w:rsidRPr="00E439D7">
        <w:rPr>
          <w:rFonts w:cs="Times New Roman"/>
          <w:color w:val="000000" w:themeColor="text1"/>
          <w:szCs w:val="24"/>
          <w:highlight w:val="yellow"/>
        </w:rPr>
        <w:t xml:space="preserve">, </w:t>
      </w:r>
      <w:proofErr w:type="spellStart"/>
      <w:r w:rsidR="002A5897" w:rsidRPr="00E439D7">
        <w:rPr>
          <w:rFonts w:cs="Times New Roman"/>
          <w:color w:val="000000" w:themeColor="text1"/>
          <w:szCs w:val="24"/>
          <w:highlight w:val="yellow"/>
        </w:rPr>
        <w:t>Malbas</w:t>
      </w:r>
      <w:proofErr w:type="spellEnd"/>
      <w:r w:rsidR="002A5897" w:rsidRPr="00E439D7">
        <w:rPr>
          <w:rFonts w:cs="Times New Roman"/>
          <w:color w:val="000000" w:themeColor="text1"/>
          <w:szCs w:val="24"/>
          <w:highlight w:val="yellow"/>
        </w:rPr>
        <w:t xml:space="preserve"> &amp; </w:t>
      </w:r>
      <w:proofErr w:type="spellStart"/>
      <w:r w:rsidR="002A5897" w:rsidRPr="00E439D7">
        <w:rPr>
          <w:rFonts w:cs="Times New Roman"/>
          <w:color w:val="000000" w:themeColor="text1"/>
          <w:szCs w:val="24"/>
          <w:highlight w:val="yellow"/>
        </w:rPr>
        <w:t>Abendan</w:t>
      </w:r>
      <w:proofErr w:type="spellEnd"/>
      <w:r w:rsidR="002A5897" w:rsidRPr="00E439D7">
        <w:rPr>
          <w:rFonts w:cs="Times New Roman"/>
          <w:color w:val="000000" w:themeColor="text1"/>
          <w:szCs w:val="24"/>
          <w:highlight w:val="yellow"/>
        </w:rPr>
        <w:t xml:space="preserve"> (2023)</w:t>
      </w:r>
      <w:r w:rsidRPr="00E439D7">
        <w:rPr>
          <w:rFonts w:cs="Times New Roman"/>
          <w:color w:val="000000" w:themeColor="text1"/>
          <w:szCs w:val="24"/>
        </w:rPr>
        <w:t xml:space="preserve"> highlight the need for flexible curriculum knowledge, instructional strategies, assessment, and context understanding. Shulman’s model helps preservice teachers improve by connecting curriculum, instruction, and assessment, differentiating instruction, and adapting to students’ needs for better performance.</w:t>
      </w:r>
    </w:p>
    <w:p w14:paraId="12CDB049" w14:textId="77777777" w:rsidR="004D6ECF" w:rsidRPr="00E439D7" w:rsidRDefault="004D6ECF" w:rsidP="009F0D46">
      <w:pPr>
        <w:spacing w:after="0" w:line="240" w:lineRule="auto"/>
        <w:contextualSpacing/>
        <w:rPr>
          <w:rFonts w:cs="Times New Roman"/>
          <w:color w:val="000000" w:themeColor="text1"/>
          <w:szCs w:val="24"/>
        </w:rPr>
      </w:pPr>
    </w:p>
    <w:p w14:paraId="63F46919" w14:textId="14ABCB8E" w:rsidR="004D6ECF" w:rsidRPr="00E439D7" w:rsidRDefault="00106D0E" w:rsidP="009F0D46">
      <w:pPr>
        <w:spacing w:after="0" w:line="240" w:lineRule="auto"/>
        <w:contextualSpacing/>
        <w:rPr>
          <w:rFonts w:cs="Times New Roman"/>
          <w:b/>
          <w:bCs/>
          <w:szCs w:val="24"/>
        </w:rPr>
      </w:pPr>
      <w:r w:rsidRPr="00E439D7">
        <w:rPr>
          <w:rFonts w:cs="Times New Roman"/>
          <w:b/>
          <w:bCs/>
          <w:szCs w:val="24"/>
        </w:rPr>
        <w:t>Research Methods</w:t>
      </w:r>
    </w:p>
    <w:p w14:paraId="641CAB93" w14:textId="77777777" w:rsidR="00CE6FA3" w:rsidRPr="00E439D7" w:rsidRDefault="00CE6FA3" w:rsidP="009F0D46">
      <w:pPr>
        <w:spacing w:after="0" w:line="240" w:lineRule="auto"/>
        <w:contextualSpacing/>
        <w:rPr>
          <w:rFonts w:cs="Times New Roman"/>
          <w:b/>
          <w:bCs/>
          <w:szCs w:val="24"/>
        </w:rPr>
      </w:pPr>
    </w:p>
    <w:p w14:paraId="120F93D1" w14:textId="5FB2A97B" w:rsidR="00B111B5" w:rsidRPr="00E439D7" w:rsidRDefault="00356468" w:rsidP="009F0D46">
      <w:pPr>
        <w:spacing w:after="0" w:line="240" w:lineRule="auto"/>
        <w:contextualSpacing/>
        <w:rPr>
          <w:rFonts w:cs="Times New Roman"/>
          <w:b/>
          <w:bCs/>
          <w:szCs w:val="24"/>
        </w:rPr>
      </w:pPr>
      <w:r w:rsidRPr="00E439D7">
        <w:rPr>
          <w:rFonts w:cs="Times New Roman"/>
          <w:b/>
          <w:bCs/>
          <w:szCs w:val="24"/>
        </w:rPr>
        <w:t xml:space="preserve">Research </w:t>
      </w:r>
      <w:r w:rsidR="00447317" w:rsidRPr="00E439D7">
        <w:rPr>
          <w:rFonts w:cs="Times New Roman"/>
          <w:b/>
          <w:bCs/>
          <w:szCs w:val="24"/>
        </w:rPr>
        <w:t>D</w:t>
      </w:r>
      <w:r w:rsidRPr="00E439D7">
        <w:rPr>
          <w:rFonts w:cs="Times New Roman"/>
          <w:b/>
          <w:bCs/>
          <w:szCs w:val="24"/>
        </w:rPr>
        <w:t>esign</w:t>
      </w:r>
    </w:p>
    <w:p w14:paraId="0FE39FAD" w14:textId="77777777" w:rsidR="00C249E1" w:rsidRPr="00E439D7" w:rsidRDefault="00C249E1" w:rsidP="00130931">
      <w:pPr>
        <w:spacing w:after="0" w:line="240" w:lineRule="auto"/>
        <w:rPr>
          <w:rFonts w:cs="Times New Roman"/>
          <w:color w:val="000000" w:themeColor="text1"/>
          <w:szCs w:val="24"/>
        </w:rPr>
      </w:pPr>
    </w:p>
    <w:p w14:paraId="2B2A894E" w14:textId="745940AD" w:rsidR="00130931" w:rsidRPr="00E439D7" w:rsidRDefault="00130931" w:rsidP="001B5D44">
      <w:pPr>
        <w:spacing w:after="0" w:line="240" w:lineRule="auto"/>
        <w:jc w:val="both"/>
        <w:rPr>
          <w:rFonts w:cs="Times New Roman"/>
          <w:color w:val="000000" w:themeColor="text1"/>
          <w:szCs w:val="24"/>
        </w:rPr>
      </w:pPr>
      <w:r w:rsidRPr="00E439D7">
        <w:rPr>
          <w:rFonts w:cs="Times New Roman"/>
          <w:color w:val="000000" w:themeColor="text1"/>
          <w:szCs w:val="24"/>
        </w:rPr>
        <w:t xml:space="preserve">This study employed a descriptive survey design to explore preservice management teachers' professional knowledge during off-campus teaching practice. Descriptive surveys provide in-depth </w:t>
      </w:r>
      <w:r w:rsidRPr="00E439D7">
        <w:rPr>
          <w:rFonts w:cs="Times New Roman"/>
          <w:color w:val="000000" w:themeColor="text1"/>
          <w:szCs w:val="24"/>
        </w:rPr>
        <w:lastRenderedPageBreak/>
        <w:t xml:space="preserve">insights into existing conditions, attitudes, and processes, allowing researchers to describe phenomena as they are </w:t>
      </w:r>
      <w:r w:rsidR="00096B7A" w:rsidRPr="00E439D7">
        <w:rPr>
          <w:rFonts w:cs="Times New Roman"/>
          <w:color w:val="000000" w:themeColor="text1"/>
          <w:szCs w:val="24"/>
        </w:rPr>
        <w:t>(</w:t>
      </w:r>
      <w:r w:rsidR="00096B7A" w:rsidRPr="00E439D7">
        <w:rPr>
          <w:rFonts w:cs="Times New Roman"/>
          <w:szCs w:val="24"/>
          <w:highlight w:val="yellow"/>
        </w:rPr>
        <w:t xml:space="preserve">Nardi, 2018). </w:t>
      </w:r>
      <w:r w:rsidRPr="00E439D7">
        <w:rPr>
          <w:rFonts w:cs="Times New Roman"/>
          <w:color w:val="000000" w:themeColor="text1"/>
          <w:szCs w:val="24"/>
        </w:rPr>
        <w:t xml:space="preserve">This method is economical, enables data collection from large samples, and facilitates high data turnover (Kothari, 2004). </w:t>
      </w:r>
    </w:p>
    <w:p w14:paraId="19E25087" w14:textId="77777777" w:rsidR="00130931" w:rsidRPr="00E439D7" w:rsidRDefault="00130931" w:rsidP="001B5D44">
      <w:pPr>
        <w:spacing w:after="0" w:line="240" w:lineRule="auto"/>
        <w:jc w:val="both"/>
        <w:rPr>
          <w:rFonts w:cs="Times New Roman"/>
          <w:color w:val="000000" w:themeColor="text1"/>
          <w:szCs w:val="24"/>
        </w:rPr>
      </w:pPr>
    </w:p>
    <w:p w14:paraId="1FD1BAEB" w14:textId="4E31819F" w:rsidR="003B0CF3" w:rsidRPr="00E439D7" w:rsidRDefault="00130931" w:rsidP="001B5D44">
      <w:pPr>
        <w:spacing w:after="0" w:line="240" w:lineRule="auto"/>
        <w:jc w:val="both"/>
        <w:rPr>
          <w:rFonts w:cs="Times New Roman"/>
          <w:color w:val="000000" w:themeColor="text1"/>
          <w:szCs w:val="24"/>
        </w:rPr>
      </w:pPr>
      <w:r w:rsidRPr="00E439D7">
        <w:rPr>
          <w:rFonts w:cs="Times New Roman"/>
          <w:color w:val="000000" w:themeColor="text1"/>
          <w:szCs w:val="24"/>
        </w:rPr>
        <w:t>According to</w:t>
      </w:r>
      <w:r w:rsidR="003E5D58" w:rsidRPr="00E439D7">
        <w:rPr>
          <w:rFonts w:cs="Times New Roman"/>
          <w:color w:val="000000" w:themeColor="text1"/>
          <w:szCs w:val="24"/>
        </w:rPr>
        <w:t xml:space="preserve"> </w:t>
      </w:r>
      <w:r w:rsidR="003E5D58" w:rsidRPr="00E439D7">
        <w:rPr>
          <w:rFonts w:cs="Times New Roman"/>
          <w:color w:val="000000" w:themeColor="text1"/>
          <w:szCs w:val="24"/>
          <w:highlight w:val="yellow"/>
        </w:rPr>
        <w:t>(Siedlecki, 2020)</w:t>
      </w:r>
      <w:r w:rsidRPr="00E439D7">
        <w:rPr>
          <w:rFonts w:cs="Times New Roman"/>
          <w:color w:val="000000" w:themeColor="text1"/>
          <w:szCs w:val="24"/>
        </w:rPr>
        <w:t>, descriptive surveys aim to determine and report the nature of situations at the time of the study.</w:t>
      </w:r>
      <w:r w:rsidR="00274485" w:rsidRPr="00E439D7">
        <w:rPr>
          <w:rFonts w:cs="Times New Roman"/>
          <w:color w:val="000000" w:themeColor="text1"/>
          <w:szCs w:val="24"/>
        </w:rPr>
        <w:t xml:space="preserve"> </w:t>
      </w:r>
      <w:proofErr w:type="spellStart"/>
      <w:r w:rsidR="00274485" w:rsidRPr="00E439D7">
        <w:rPr>
          <w:rFonts w:cs="Times New Roman"/>
          <w:color w:val="000000" w:themeColor="text1"/>
          <w:szCs w:val="24"/>
          <w:highlight w:val="yellow"/>
        </w:rPr>
        <w:t>Rouder</w:t>
      </w:r>
      <w:proofErr w:type="spellEnd"/>
      <w:r w:rsidR="00274485" w:rsidRPr="00E439D7">
        <w:rPr>
          <w:rFonts w:cs="Times New Roman"/>
          <w:color w:val="000000" w:themeColor="text1"/>
          <w:szCs w:val="24"/>
          <w:highlight w:val="yellow"/>
        </w:rPr>
        <w:t xml:space="preserve">, Saucier, Kinder </w:t>
      </w:r>
      <w:r w:rsidR="007570DA" w:rsidRPr="00E439D7">
        <w:rPr>
          <w:rFonts w:cs="Times New Roman"/>
          <w:color w:val="000000" w:themeColor="text1"/>
          <w:szCs w:val="24"/>
          <w:highlight w:val="yellow"/>
        </w:rPr>
        <w:t>and</w:t>
      </w:r>
      <w:r w:rsidR="00274485" w:rsidRPr="00E439D7">
        <w:rPr>
          <w:rFonts w:cs="Times New Roman"/>
          <w:color w:val="000000" w:themeColor="text1"/>
          <w:szCs w:val="24"/>
          <w:highlight w:val="yellow"/>
        </w:rPr>
        <w:t xml:space="preserve"> Jans, </w:t>
      </w:r>
      <w:r w:rsidR="007570DA" w:rsidRPr="00E439D7">
        <w:rPr>
          <w:rFonts w:cs="Times New Roman"/>
          <w:color w:val="000000" w:themeColor="text1"/>
          <w:szCs w:val="24"/>
          <w:highlight w:val="yellow"/>
        </w:rPr>
        <w:t>(</w:t>
      </w:r>
      <w:r w:rsidR="00274485" w:rsidRPr="00E439D7">
        <w:rPr>
          <w:rFonts w:cs="Times New Roman"/>
          <w:color w:val="000000" w:themeColor="text1"/>
          <w:szCs w:val="24"/>
          <w:highlight w:val="yellow"/>
        </w:rPr>
        <w:t>2021)</w:t>
      </w:r>
      <w:r w:rsidRPr="00E439D7">
        <w:rPr>
          <w:rFonts w:cs="Times New Roman"/>
          <w:color w:val="000000" w:themeColor="text1"/>
          <w:szCs w:val="24"/>
        </w:rPr>
        <w:t xml:space="preserve"> emphasized the importance of obtaining responses from large groups through carefully crafted questions. Given its ability to capture opinions and current status, this approach was suitable for assessing preservice management teachers' knowledge in key teaching areas such as lesson planning, methodology, classroom management, and professional commitment. The design ensured a comprehensive understanding of the phenomena under investigation.</w:t>
      </w:r>
    </w:p>
    <w:p w14:paraId="3EE89321" w14:textId="77777777" w:rsidR="00130931" w:rsidRPr="00E439D7" w:rsidRDefault="00130931" w:rsidP="00130931">
      <w:pPr>
        <w:spacing w:after="0" w:line="240" w:lineRule="auto"/>
        <w:rPr>
          <w:rFonts w:cs="Times New Roman"/>
          <w:b/>
          <w:bCs/>
          <w:szCs w:val="24"/>
        </w:rPr>
      </w:pPr>
    </w:p>
    <w:p w14:paraId="4E79B19E" w14:textId="00F706EF" w:rsidR="00356468" w:rsidRPr="00E439D7" w:rsidRDefault="00356468" w:rsidP="009F0D46">
      <w:pPr>
        <w:spacing w:after="0" w:line="240" w:lineRule="auto"/>
        <w:rPr>
          <w:rFonts w:cs="Times New Roman"/>
          <w:b/>
          <w:bCs/>
          <w:szCs w:val="24"/>
        </w:rPr>
      </w:pPr>
      <w:r w:rsidRPr="00E439D7">
        <w:rPr>
          <w:rFonts w:cs="Times New Roman"/>
          <w:b/>
          <w:bCs/>
          <w:szCs w:val="24"/>
        </w:rPr>
        <w:t>Population and Sample</w:t>
      </w:r>
    </w:p>
    <w:p w14:paraId="58F48438" w14:textId="77777777" w:rsidR="00BE4B48" w:rsidRPr="00E439D7" w:rsidRDefault="00BE4B48" w:rsidP="009F0D46">
      <w:pPr>
        <w:spacing w:after="0" w:line="240" w:lineRule="auto"/>
        <w:contextualSpacing/>
        <w:jc w:val="both"/>
        <w:rPr>
          <w:rFonts w:cs="Times New Roman"/>
          <w:color w:val="000000" w:themeColor="text1"/>
          <w:szCs w:val="24"/>
        </w:rPr>
      </w:pPr>
    </w:p>
    <w:p w14:paraId="198DADA7" w14:textId="431D5FE4" w:rsidR="00E47B7E" w:rsidRPr="00E439D7" w:rsidRDefault="00E47B7E"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This research’s population included all preservice management teachers at the University of Cape Coast for the 2021-2022 academic period. Specifically, the level 400 preservice management teachers of the academic period 2021-2022 in the University of Cape Coast. This population served as representative for the study. The level 400 PMTs were chosen for this study because they have been educated </w:t>
      </w:r>
      <w:r w:rsidR="006914F3" w:rsidRPr="00E439D7">
        <w:rPr>
          <w:rFonts w:cs="Times New Roman"/>
          <w:color w:val="000000" w:themeColor="text1"/>
          <w:szCs w:val="24"/>
        </w:rPr>
        <w:t>through</w:t>
      </w:r>
      <w:r w:rsidRPr="00E439D7">
        <w:rPr>
          <w:rFonts w:cs="Times New Roman"/>
          <w:color w:val="000000" w:themeColor="text1"/>
          <w:szCs w:val="24"/>
        </w:rPr>
        <w:t xml:space="preserve"> the regular stream of the management teacher education program as well as on-campus teaching practice. Hence, they are expected to demonstrate high levels of professionalism in knowledge</w:t>
      </w:r>
      <w:r w:rsidR="00CE37AC" w:rsidRPr="00E439D7">
        <w:rPr>
          <w:rFonts w:cs="Times New Roman"/>
          <w:color w:val="000000" w:themeColor="text1"/>
          <w:szCs w:val="24"/>
        </w:rPr>
        <w:t xml:space="preserve"> regarding lesson plan preparation</w:t>
      </w:r>
      <w:r w:rsidRPr="00E439D7">
        <w:rPr>
          <w:rFonts w:cs="Times New Roman"/>
          <w:color w:val="000000" w:themeColor="text1"/>
          <w:szCs w:val="24"/>
        </w:rPr>
        <w:t xml:space="preserve">, teaching </w:t>
      </w:r>
      <w:r w:rsidR="00CE37AC" w:rsidRPr="00E439D7">
        <w:rPr>
          <w:rFonts w:cs="Times New Roman"/>
          <w:color w:val="000000" w:themeColor="text1"/>
          <w:szCs w:val="24"/>
        </w:rPr>
        <w:t>methodology and delivery, classroom organization and management and professional</w:t>
      </w:r>
      <w:r w:rsidR="001A7110" w:rsidRPr="00E439D7">
        <w:rPr>
          <w:rFonts w:cs="Times New Roman"/>
          <w:color w:val="000000" w:themeColor="text1"/>
          <w:szCs w:val="24"/>
        </w:rPr>
        <w:t xml:space="preserve"> commitment</w:t>
      </w:r>
      <w:r w:rsidR="00A57A46" w:rsidRPr="00E439D7">
        <w:rPr>
          <w:rFonts w:cs="Times New Roman"/>
          <w:color w:val="000000" w:themeColor="text1"/>
          <w:szCs w:val="24"/>
        </w:rPr>
        <w:t>.</w:t>
      </w:r>
      <w:r w:rsidR="00CE37AC" w:rsidRPr="00E439D7">
        <w:rPr>
          <w:rFonts w:cs="Times New Roman"/>
          <w:color w:val="000000" w:themeColor="text1"/>
          <w:szCs w:val="24"/>
        </w:rPr>
        <w:t xml:space="preserve"> </w:t>
      </w:r>
      <w:r w:rsidRPr="00E439D7">
        <w:rPr>
          <w:rFonts w:cs="Times New Roman"/>
          <w:color w:val="000000" w:themeColor="text1"/>
          <w:szCs w:val="24"/>
        </w:rPr>
        <w:t xml:space="preserve">The population distribution of the Preservice Management Teachers (PMTs) </w:t>
      </w:r>
      <w:r w:rsidR="00910E2D" w:rsidRPr="00E439D7">
        <w:rPr>
          <w:rFonts w:cs="Times New Roman"/>
          <w:color w:val="000000" w:themeColor="text1"/>
          <w:szCs w:val="24"/>
        </w:rPr>
        <w:t>is</w:t>
      </w:r>
      <w:r w:rsidRPr="00E439D7">
        <w:rPr>
          <w:rFonts w:cs="Times New Roman"/>
          <w:color w:val="000000" w:themeColor="text1"/>
          <w:szCs w:val="24"/>
        </w:rPr>
        <w:t xml:space="preserve"> shown in Table 1.</w:t>
      </w:r>
    </w:p>
    <w:p w14:paraId="6E11DAD7" w14:textId="77777777" w:rsidR="00C97546" w:rsidRPr="00E439D7" w:rsidRDefault="00C97546" w:rsidP="009F0D46">
      <w:pPr>
        <w:spacing w:after="0" w:line="240" w:lineRule="auto"/>
        <w:contextualSpacing/>
        <w:jc w:val="both"/>
        <w:rPr>
          <w:rFonts w:cs="Times New Roman"/>
          <w:color w:val="000000" w:themeColor="text1"/>
          <w:szCs w:val="24"/>
        </w:rPr>
      </w:pPr>
    </w:p>
    <w:p w14:paraId="6B4BB229" w14:textId="77777777" w:rsidR="00E47B7E" w:rsidRPr="00E439D7" w:rsidRDefault="00E47B7E" w:rsidP="009F0D46">
      <w:pPr>
        <w:pStyle w:val="Heading6"/>
        <w:spacing w:line="240" w:lineRule="auto"/>
        <w:rPr>
          <w:rFonts w:ascii="Times New Roman" w:hAnsi="Times New Roman" w:cs="Times New Roman"/>
          <w:b/>
          <w:bCs/>
          <w:color w:val="auto"/>
          <w:szCs w:val="24"/>
        </w:rPr>
      </w:pPr>
      <w:bookmarkStart w:id="6" w:name="_Toc144949690"/>
      <w:r w:rsidRPr="00E439D7">
        <w:rPr>
          <w:rFonts w:ascii="Times New Roman" w:hAnsi="Times New Roman" w:cs="Times New Roman"/>
          <w:b/>
          <w:bCs/>
          <w:color w:val="auto"/>
          <w:szCs w:val="24"/>
        </w:rPr>
        <w:t>Table 1: “Population Distribution of Preservice Management Teachers</w:t>
      </w:r>
      <w:bookmarkEnd w:id="6"/>
      <w:r w:rsidRPr="00E439D7">
        <w:rPr>
          <w:rFonts w:ascii="Times New Roman" w:hAnsi="Times New Roman" w:cs="Times New Roman"/>
          <w:b/>
          <w:bCs/>
          <w:color w:val="auto"/>
          <w:szCs w:val="24"/>
        </w:rPr>
        <w:t>”</w:t>
      </w:r>
    </w:p>
    <w:tbl>
      <w:tblPr>
        <w:tblW w:w="8315" w:type="dxa"/>
        <w:tblBorders>
          <w:top w:val="single" w:sz="4" w:space="0" w:color="auto"/>
          <w:bottom w:val="single" w:sz="4" w:space="0" w:color="auto"/>
        </w:tblBorders>
        <w:tblLook w:val="04A0" w:firstRow="1" w:lastRow="0" w:firstColumn="1" w:lastColumn="0" w:noHBand="0" w:noVBand="1"/>
      </w:tblPr>
      <w:tblGrid>
        <w:gridCol w:w="3763"/>
        <w:gridCol w:w="4552"/>
      </w:tblGrid>
      <w:tr w:rsidR="00E47B7E" w:rsidRPr="00E439D7" w14:paraId="5284B744" w14:textId="77777777" w:rsidTr="00C97546">
        <w:trPr>
          <w:trHeight w:val="50"/>
        </w:trPr>
        <w:tc>
          <w:tcPr>
            <w:tcW w:w="3763" w:type="dxa"/>
            <w:tcBorders>
              <w:top w:val="single" w:sz="4" w:space="0" w:color="auto"/>
              <w:bottom w:val="single" w:sz="4" w:space="0" w:color="auto"/>
            </w:tcBorders>
          </w:tcPr>
          <w:p w14:paraId="51FECE92" w14:textId="77777777"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Gender (Sex) </w:t>
            </w:r>
          </w:p>
        </w:tc>
        <w:tc>
          <w:tcPr>
            <w:tcW w:w="4552" w:type="dxa"/>
            <w:tcBorders>
              <w:top w:val="single" w:sz="4" w:space="0" w:color="auto"/>
              <w:bottom w:val="single" w:sz="4" w:space="0" w:color="auto"/>
            </w:tcBorders>
          </w:tcPr>
          <w:p w14:paraId="3747A4A9" w14:textId="38FBE1B5"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Total Number (</w:t>
            </w:r>
            <w:r w:rsidR="00DE7543" w:rsidRPr="00E439D7">
              <w:rPr>
                <w:rFonts w:cs="Times New Roman"/>
                <w:color w:val="000000" w:themeColor="text1"/>
                <w:szCs w:val="24"/>
              </w:rPr>
              <w:t>f</w:t>
            </w:r>
            <w:r w:rsidRPr="00E439D7">
              <w:rPr>
                <w:rFonts w:cs="Times New Roman"/>
                <w:color w:val="000000" w:themeColor="text1"/>
                <w:szCs w:val="24"/>
              </w:rPr>
              <w:t xml:space="preserve">) </w:t>
            </w:r>
          </w:p>
        </w:tc>
      </w:tr>
      <w:tr w:rsidR="00E47B7E" w:rsidRPr="00E439D7" w14:paraId="078A36CF" w14:textId="77777777" w:rsidTr="003154A2">
        <w:trPr>
          <w:trHeight w:val="555"/>
        </w:trPr>
        <w:tc>
          <w:tcPr>
            <w:tcW w:w="3763" w:type="dxa"/>
            <w:tcBorders>
              <w:top w:val="single" w:sz="4" w:space="0" w:color="auto"/>
            </w:tcBorders>
          </w:tcPr>
          <w:p w14:paraId="48779DAB" w14:textId="77777777"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Male(s) </w:t>
            </w:r>
          </w:p>
        </w:tc>
        <w:tc>
          <w:tcPr>
            <w:tcW w:w="4552" w:type="dxa"/>
            <w:tcBorders>
              <w:top w:val="single" w:sz="4" w:space="0" w:color="auto"/>
            </w:tcBorders>
          </w:tcPr>
          <w:p w14:paraId="2FE88D87" w14:textId="625A2C27" w:rsidR="00E47B7E" w:rsidRPr="00E439D7" w:rsidRDefault="005B03C8"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58</w:t>
            </w:r>
          </w:p>
        </w:tc>
      </w:tr>
      <w:tr w:rsidR="00E47B7E" w:rsidRPr="00E439D7" w14:paraId="5A2ED290" w14:textId="77777777" w:rsidTr="003154A2">
        <w:trPr>
          <w:trHeight w:val="555"/>
        </w:trPr>
        <w:tc>
          <w:tcPr>
            <w:tcW w:w="3763" w:type="dxa"/>
            <w:tcBorders>
              <w:bottom w:val="single" w:sz="4" w:space="0" w:color="auto"/>
            </w:tcBorders>
          </w:tcPr>
          <w:p w14:paraId="5C65509B" w14:textId="77777777"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Female(s) </w:t>
            </w:r>
          </w:p>
        </w:tc>
        <w:tc>
          <w:tcPr>
            <w:tcW w:w="4552" w:type="dxa"/>
            <w:tcBorders>
              <w:bottom w:val="single" w:sz="4" w:space="0" w:color="auto"/>
            </w:tcBorders>
          </w:tcPr>
          <w:p w14:paraId="35D226FF" w14:textId="5AAB44EF"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4</w:t>
            </w:r>
            <w:r w:rsidR="005B03C8" w:rsidRPr="00E439D7">
              <w:rPr>
                <w:rFonts w:cs="Times New Roman"/>
                <w:color w:val="000000" w:themeColor="text1"/>
                <w:szCs w:val="24"/>
              </w:rPr>
              <w:t>3</w:t>
            </w:r>
          </w:p>
        </w:tc>
      </w:tr>
      <w:tr w:rsidR="00E47B7E" w:rsidRPr="00E439D7" w14:paraId="410F13BE" w14:textId="77777777" w:rsidTr="00C97546">
        <w:trPr>
          <w:trHeight w:val="278"/>
        </w:trPr>
        <w:tc>
          <w:tcPr>
            <w:tcW w:w="3763" w:type="dxa"/>
            <w:tcBorders>
              <w:top w:val="single" w:sz="4" w:space="0" w:color="auto"/>
              <w:bottom w:val="single" w:sz="4" w:space="0" w:color="auto"/>
            </w:tcBorders>
          </w:tcPr>
          <w:p w14:paraId="5150B48E" w14:textId="77777777"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Total </w:t>
            </w:r>
          </w:p>
        </w:tc>
        <w:tc>
          <w:tcPr>
            <w:tcW w:w="4552" w:type="dxa"/>
            <w:tcBorders>
              <w:top w:val="single" w:sz="4" w:space="0" w:color="auto"/>
              <w:bottom w:val="single" w:sz="4" w:space="0" w:color="auto"/>
            </w:tcBorders>
          </w:tcPr>
          <w:p w14:paraId="202B880D" w14:textId="2118F582" w:rsidR="00E47B7E" w:rsidRPr="00E439D7" w:rsidRDefault="00E47B7E" w:rsidP="00C97546">
            <w:pPr>
              <w:spacing w:after="0" w:line="240" w:lineRule="auto"/>
              <w:contextualSpacing/>
              <w:jc w:val="both"/>
              <w:rPr>
                <w:rFonts w:cs="Times New Roman"/>
                <w:color w:val="000000" w:themeColor="text1"/>
                <w:szCs w:val="24"/>
              </w:rPr>
            </w:pPr>
            <w:r w:rsidRPr="00E439D7">
              <w:rPr>
                <w:rFonts w:cs="Times New Roman"/>
                <w:color w:val="000000" w:themeColor="text1"/>
                <w:szCs w:val="24"/>
              </w:rPr>
              <w:t>10</w:t>
            </w:r>
            <w:r w:rsidR="00633BDB" w:rsidRPr="00E439D7">
              <w:rPr>
                <w:rFonts w:cs="Times New Roman"/>
                <w:color w:val="000000" w:themeColor="text1"/>
                <w:szCs w:val="24"/>
              </w:rPr>
              <w:t>1</w:t>
            </w:r>
          </w:p>
        </w:tc>
      </w:tr>
    </w:tbl>
    <w:p w14:paraId="7A7542A0" w14:textId="285BEA34" w:rsidR="00E47B7E" w:rsidRPr="00E439D7" w:rsidRDefault="00E47B7E"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Source: Department of Business and Social Education 2021-2022 </w:t>
      </w:r>
    </w:p>
    <w:p w14:paraId="4791921A" w14:textId="77777777" w:rsidR="00635DE8" w:rsidRPr="00E439D7" w:rsidRDefault="00635DE8" w:rsidP="009F0D46">
      <w:pPr>
        <w:spacing w:after="0" w:line="240" w:lineRule="auto"/>
        <w:contextualSpacing/>
        <w:jc w:val="both"/>
        <w:rPr>
          <w:rFonts w:cs="Times New Roman"/>
          <w:color w:val="000000" w:themeColor="text1"/>
          <w:szCs w:val="24"/>
        </w:rPr>
      </w:pPr>
    </w:p>
    <w:p w14:paraId="7F89F5D3" w14:textId="77777777" w:rsidR="00E47B7E" w:rsidRPr="00E439D7" w:rsidRDefault="00E47B7E" w:rsidP="00A657DA">
      <w:pPr>
        <w:pStyle w:val="Heading2"/>
        <w:jc w:val="left"/>
      </w:pPr>
      <w:bookmarkStart w:id="7" w:name="_Toc144949531"/>
      <w:r w:rsidRPr="00E439D7">
        <w:t>Sample and Sampling Procedure</w:t>
      </w:r>
      <w:bookmarkEnd w:id="7"/>
    </w:p>
    <w:p w14:paraId="6455A3E0" w14:textId="77777777" w:rsidR="00F657E4" w:rsidRPr="00E439D7" w:rsidRDefault="00F657E4" w:rsidP="009F0D46">
      <w:pPr>
        <w:spacing w:after="0" w:line="240" w:lineRule="auto"/>
        <w:contextualSpacing/>
        <w:jc w:val="both"/>
        <w:rPr>
          <w:rFonts w:cs="Times New Roman"/>
          <w:color w:val="000000" w:themeColor="text1"/>
          <w:szCs w:val="24"/>
        </w:rPr>
      </w:pPr>
    </w:p>
    <w:p w14:paraId="6AA889AC" w14:textId="0D933B46" w:rsidR="00E47B7E" w:rsidRPr="00E439D7" w:rsidRDefault="00E47B7E"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The sample used for the study was level 400 Preservice Management Teachers. These were purposively selected since they stood most suited to offer rich information on the problem of </w:t>
      </w:r>
      <w:r w:rsidR="00D96E31" w:rsidRPr="00E439D7">
        <w:rPr>
          <w:rFonts w:cs="Times New Roman"/>
          <w:color w:val="000000" w:themeColor="text1"/>
          <w:szCs w:val="24"/>
        </w:rPr>
        <w:t xml:space="preserve">the </w:t>
      </w:r>
      <w:r w:rsidRPr="00E439D7">
        <w:rPr>
          <w:rFonts w:cs="Times New Roman"/>
          <w:color w:val="000000" w:themeColor="text1"/>
          <w:szCs w:val="24"/>
        </w:rPr>
        <w:t xml:space="preserve">study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Patton","given":"Carl","non-dropping-particle":"","parse-names":false,"suffix":""},{"dropping-particle":"","family":"Sawicki","given":"David","non-dropping-particle":"","parse-names":false,"suffix":""},{"dropping-particle":"","family":"Clark","given":"Jennifer","non-dropping-particle":"","parse-names":false,"suffix":""}],"id":"ITEM-1","issued":{"date-parts":[["2015"]]},"publisher":"Routledge","title":"Basic methods of policy analysis and planning--pearson etext","type":"book"},"uris":["http://www.mendeley.com/documents/?uuid=c77fb2c3-92c8-4cae-a1b2-481e2291ae82"]}],"mendeley":{"formattedCitation":"(Patton, Sawicki, &amp; Clark, 2015)","plainTextFormattedCitation":"(Patton, Sawicki, &amp; Clark, 2015)","previouslyFormattedCitation":"(Patton, Sawicki, &amp; Clark, 2015)"},"properties":{"noteIndex":0},"schema":"https://github.com/citation-style-language/schema/raw/master/csl-citation.json"}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(Patton, Sawicki, &amp; Clark, 2015)</w:t>
      </w:r>
      <w:r w:rsidRPr="00E439D7">
        <w:rPr>
          <w:rFonts w:cs="Times New Roman"/>
          <w:color w:val="000000" w:themeColor="text1"/>
          <w:szCs w:val="24"/>
        </w:rPr>
        <w:fldChar w:fldCharType="end"/>
      </w:r>
      <w:r w:rsidRPr="00E439D7">
        <w:rPr>
          <w:rFonts w:cs="Times New Roman"/>
          <w:color w:val="000000" w:themeColor="text1"/>
          <w:szCs w:val="24"/>
        </w:rPr>
        <w:t>. Therefore, all Preservice Management Teachers (n=10</w:t>
      </w:r>
      <w:r w:rsidR="001C2A24" w:rsidRPr="00E439D7">
        <w:rPr>
          <w:rFonts w:cs="Times New Roman"/>
          <w:color w:val="000000" w:themeColor="text1"/>
          <w:szCs w:val="24"/>
        </w:rPr>
        <w:t>1</w:t>
      </w:r>
      <w:r w:rsidRPr="00E439D7">
        <w:rPr>
          <w:rFonts w:cs="Times New Roman"/>
          <w:color w:val="000000" w:themeColor="text1"/>
          <w:szCs w:val="24"/>
        </w:rPr>
        <w:t xml:space="preserve">) who went for off-campus teaching practice was used in the study. In the views of </w:t>
      </w:r>
      <w:r w:rsidRPr="00E439D7">
        <w:rPr>
          <w:rFonts w:cs="Times New Roman"/>
          <w:color w:val="000000" w:themeColor="text1"/>
          <w:szCs w:val="24"/>
        </w:rPr>
        <w:fldChar w:fldCharType="begin" w:fldLock="1"/>
      </w:r>
      <w:r w:rsidRPr="00E439D7">
        <w:rPr>
          <w:rFonts w:cs="Times New Roman"/>
          <w:color w:val="000000" w:themeColor="text1"/>
          <w:szCs w:val="24"/>
        </w:rPr>
        <w:instrText>ADDIN CSL_CITATION {"citationItems":[{"id":"ITEM-1","itemData":{"author":[{"dropping-particle":"","family":"Fugard","given":"Andrew J B","non-dropping-particle":"","parse-names":false,"suffix":""},{"dropping-particle":"","family":"Potts","given":"Henry W W","non-dropping-particle":"","parse-names":false,"suffix":""}],"container-title":"International journal of social research methodology","id":"ITEM-1","issue":"6","issued":{"date-parts":[["2015"]]},"page":"669-684","publisher":"Taylor \\&amp; Francis","title":"Supporting thinking on sample sizes for thematic analyses: a quantitative tool","type":"article-journal","volume":"18"},"uris":["http://www.mendeley.com/documents/?uuid=f5bfa181-9921-4377-a035-e0a984ca75b0"]}],"mendeley":{"formattedCitation":"(Fugard &amp; Potts, 2015)","manualFormatting":"Fugard and Potts (2015)","plainTextFormattedCitation":"(Fugard &amp; Potts, 2015)","previouslyFormattedCitation":"(Fugard &amp; Potts, 2015)"},"properties":{"noteIndex":0},"schema":"https://github.com/citation-style-language/schema/raw/master/csl-citation.json"}</w:instrText>
      </w:r>
      <w:r w:rsidRPr="00E439D7">
        <w:rPr>
          <w:rFonts w:cs="Times New Roman"/>
          <w:color w:val="000000" w:themeColor="text1"/>
          <w:szCs w:val="24"/>
        </w:rPr>
        <w:fldChar w:fldCharType="separate"/>
      </w:r>
      <w:r w:rsidRPr="00E439D7">
        <w:rPr>
          <w:rFonts w:cs="Times New Roman"/>
          <w:noProof/>
          <w:color w:val="000000" w:themeColor="text1"/>
          <w:szCs w:val="24"/>
        </w:rPr>
        <w:t>Fugard and Potts (2015)</w:t>
      </w:r>
      <w:r w:rsidRPr="00E439D7">
        <w:rPr>
          <w:rFonts w:cs="Times New Roman"/>
          <w:color w:val="000000" w:themeColor="text1"/>
          <w:szCs w:val="24"/>
        </w:rPr>
        <w:fldChar w:fldCharType="end"/>
      </w:r>
      <w:r w:rsidRPr="00E439D7">
        <w:rPr>
          <w:rFonts w:cs="Times New Roman"/>
          <w:color w:val="000000" w:themeColor="text1"/>
          <w:szCs w:val="24"/>
        </w:rPr>
        <w:t xml:space="preserve"> collecting data from every individual within a population, particularly when the population is small, aids in mitigating sampling error by yielding an accurate representation of the entire population.</w:t>
      </w:r>
    </w:p>
    <w:p w14:paraId="72806E0C" w14:textId="77777777" w:rsidR="00097C2C" w:rsidRPr="00E439D7" w:rsidRDefault="00097C2C" w:rsidP="009F0D46">
      <w:pPr>
        <w:spacing w:after="0" w:line="240" w:lineRule="auto"/>
        <w:contextualSpacing/>
        <w:jc w:val="both"/>
        <w:rPr>
          <w:rFonts w:cs="Times New Roman"/>
          <w:color w:val="000000" w:themeColor="text1"/>
          <w:szCs w:val="24"/>
        </w:rPr>
      </w:pPr>
    </w:p>
    <w:p w14:paraId="5EB68C96" w14:textId="70A4849D" w:rsidR="00E47B7E" w:rsidRPr="00E439D7" w:rsidRDefault="00E47B7E"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A census technique was then adopted in this study to include all the PMTs in the University of Cape Coast. This was used because, it was realistic to include all the PMTs since the population was relatively small in the study. Again, the utilization of the census method was suitable as it </w:t>
      </w:r>
      <w:r w:rsidRPr="00E439D7">
        <w:rPr>
          <w:rFonts w:cs="Times New Roman"/>
          <w:color w:val="000000" w:themeColor="text1"/>
          <w:szCs w:val="24"/>
        </w:rPr>
        <w:lastRenderedPageBreak/>
        <w:t>facilitated the acquisition of dependable and precise data for the study. Furthermore, it aided in circumventing sampling error by furnishing an authentic measure of the population.</w:t>
      </w:r>
    </w:p>
    <w:p w14:paraId="6ACE6BF4" w14:textId="77777777" w:rsidR="00097C2C" w:rsidRPr="00E439D7" w:rsidRDefault="00097C2C" w:rsidP="009F0D46">
      <w:pPr>
        <w:spacing w:after="0" w:line="240" w:lineRule="auto"/>
        <w:rPr>
          <w:rFonts w:cs="Times New Roman"/>
          <w:b/>
          <w:bCs/>
          <w:szCs w:val="24"/>
        </w:rPr>
      </w:pPr>
    </w:p>
    <w:p w14:paraId="1B9358AD" w14:textId="28EFAB81" w:rsidR="00356468" w:rsidRPr="00E439D7" w:rsidRDefault="00356468" w:rsidP="009F0D46">
      <w:pPr>
        <w:spacing w:after="0" w:line="240" w:lineRule="auto"/>
        <w:rPr>
          <w:rFonts w:cs="Times New Roman"/>
          <w:b/>
          <w:bCs/>
          <w:szCs w:val="24"/>
        </w:rPr>
      </w:pPr>
      <w:r w:rsidRPr="00E439D7">
        <w:rPr>
          <w:rFonts w:cs="Times New Roman"/>
          <w:b/>
          <w:bCs/>
          <w:szCs w:val="24"/>
        </w:rPr>
        <w:t xml:space="preserve">Data </w:t>
      </w:r>
      <w:r w:rsidR="00F657E4" w:rsidRPr="00E439D7">
        <w:rPr>
          <w:rFonts w:cs="Times New Roman"/>
          <w:b/>
          <w:bCs/>
          <w:szCs w:val="24"/>
        </w:rPr>
        <w:t>C</w:t>
      </w:r>
      <w:r w:rsidRPr="00E439D7">
        <w:rPr>
          <w:rFonts w:cs="Times New Roman"/>
          <w:b/>
          <w:bCs/>
          <w:szCs w:val="24"/>
        </w:rPr>
        <w:t xml:space="preserve">ollection </w:t>
      </w:r>
      <w:r w:rsidR="00F657E4" w:rsidRPr="00E439D7">
        <w:rPr>
          <w:rFonts w:cs="Times New Roman"/>
          <w:b/>
          <w:bCs/>
          <w:szCs w:val="24"/>
        </w:rPr>
        <w:t>I</w:t>
      </w:r>
      <w:r w:rsidRPr="00E439D7">
        <w:rPr>
          <w:rFonts w:cs="Times New Roman"/>
          <w:b/>
          <w:bCs/>
          <w:szCs w:val="24"/>
        </w:rPr>
        <w:t xml:space="preserve">nstrument </w:t>
      </w:r>
    </w:p>
    <w:p w14:paraId="35CDBD97" w14:textId="77777777" w:rsidR="00320076" w:rsidRPr="00E439D7" w:rsidRDefault="00320076" w:rsidP="009F0D46">
      <w:pPr>
        <w:spacing w:after="0" w:line="240" w:lineRule="auto"/>
        <w:contextualSpacing/>
        <w:jc w:val="both"/>
        <w:rPr>
          <w:rFonts w:cs="Times New Roman"/>
          <w:color w:val="000000" w:themeColor="text1"/>
          <w:szCs w:val="24"/>
        </w:rPr>
      </w:pPr>
    </w:p>
    <w:p w14:paraId="5EF7F38D" w14:textId="49FCBFDB" w:rsidR="00CE5240" w:rsidRPr="00E439D7" w:rsidRDefault="00CE5240" w:rsidP="004453C0">
      <w:pPr>
        <w:spacing w:after="0" w:line="240" w:lineRule="auto"/>
        <w:contextualSpacing/>
        <w:jc w:val="both"/>
        <w:rPr>
          <w:rFonts w:cs="Times New Roman"/>
          <w:color w:val="000000" w:themeColor="text1"/>
          <w:szCs w:val="24"/>
        </w:rPr>
      </w:pPr>
      <w:r w:rsidRPr="00E439D7">
        <w:rPr>
          <w:rFonts w:cs="Times New Roman"/>
          <w:color w:val="000000" w:themeColor="text1"/>
          <w:szCs w:val="24"/>
        </w:rPr>
        <w:t>This study made use of a questionnaire, namely; “Questionnaire for Preservice Management Teachers”. Denzin and Lincoln (2018) express that the design, nature and purpose of the study determine the data collection instrument</w:t>
      </w:r>
      <w:r w:rsidR="00274485" w:rsidRPr="00E439D7">
        <w:rPr>
          <w:rFonts w:cs="Times New Roman"/>
          <w:color w:val="000000" w:themeColor="text1"/>
          <w:szCs w:val="24"/>
        </w:rPr>
        <w:t xml:space="preserve">. </w:t>
      </w:r>
      <w:bookmarkStart w:id="8" w:name="_Hlk193724553"/>
      <w:r w:rsidR="00274485" w:rsidRPr="00E439D7">
        <w:rPr>
          <w:rFonts w:cs="Times New Roman"/>
          <w:color w:val="000000" w:themeColor="text1"/>
          <w:szCs w:val="24"/>
          <w:highlight w:val="yellow"/>
        </w:rPr>
        <w:t xml:space="preserve">Rahi </w:t>
      </w:r>
      <w:r w:rsidR="008851BB" w:rsidRPr="00E439D7">
        <w:rPr>
          <w:rFonts w:cs="Times New Roman"/>
          <w:color w:val="000000" w:themeColor="text1"/>
          <w:szCs w:val="24"/>
          <w:highlight w:val="yellow"/>
        </w:rPr>
        <w:t>(</w:t>
      </w:r>
      <w:r w:rsidR="00274485" w:rsidRPr="00E439D7">
        <w:rPr>
          <w:rFonts w:cs="Times New Roman"/>
          <w:color w:val="000000" w:themeColor="text1"/>
          <w:szCs w:val="24"/>
          <w:highlight w:val="yellow"/>
        </w:rPr>
        <w:t>2017)</w:t>
      </w:r>
      <w:bookmarkEnd w:id="8"/>
      <w:r w:rsidR="00274485" w:rsidRPr="00E439D7">
        <w:rPr>
          <w:rFonts w:cs="Times New Roman"/>
          <w:color w:val="000000" w:themeColor="text1"/>
          <w:szCs w:val="24"/>
        </w:rPr>
        <w:t xml:space="preserve"> </w:t>
      </w:r>
      <w:r w:rsidRPr="00E439D7">
        <w:rPr>
          <w:rFonts w:cs="Times New Roman"/>
          <w:color w:val="000000" w:themeColor="text1"/>
          <w:szCs w:val="24"/>
        </w:rPr>
        <w:t xml:space="preserve">contend that the use of a questionnaire is appropriate for an explanatory design study. This is because questionnaire provides essential data regarding the population and possesses the capacity to gather extensive data efficiently within a constrained timeframe </w:t>
      </w:r>
      <w:r w:rsidR="00274485" w:rsidRPr="00E439D7">
        <w:rPr>
          <w:rFonts w:cs="Times New Roman"/>
          <w:color w:val="000000" w:themeColor="text1"/>
          <w:szCs w:val="24"/>
          <w:highlight w:val="yellow"/>
        </w:rPr>
        <w:t>(Rahi, 2017)</w:t>
      </w:r>
      <w:r w:rsidR="00226B5E" w:rsidRPr="00E439D7">
        <w:rPr>
          <w:rFonts w:cs="Times New Roman"/>
          <w:color w:val="000000" w:themeColor="text1"/>
          <w:szCs w:val="24"/>
        </w:rPr>
        <w:t>.</w:t>
      </w:r>
      <w:r w:rsidRPr="00E439D7">
        <w:rPr>
          <w:rFonts w:cs="Times New Roman"/>
          <w:color w:val="000000" w:themeColor="text1"/>
          <w:szCs w:val="24"/>
        </w:rPr>
        <w:t xml:space="preserve"> Hence, the questionnaires were used because the respondents are relatively large and well-educated. Also, surveys offer cost-effective advantages to users in both time and financial aspects.</w:t>
      </w:r>
    </w:p>
    <w:p w14:paraId="3CAF403F" w14:textId="77777777" w:rsidR="00046C7D" w:rsidRPr="00E439D7" w:rsidRDefault="00046C7D" w:rsidP="00BC4767">
      <w:pPr>
        <w:pStyle w:val="Heading2"/>
      </w:pPr>
    </w:p>
    <w:p w14:paraId="55C528CE" w14:textId="77777777" w:rsidR="005904C5" w:rsidRPr="00E439D7" w:rsidRDefault="005904C5" w:rsidP="0055595D">
      <w:pPr>
        <w:pStyle w:val="Heading2"/>
        <w:jc w:val="both"/>
        <w:rPr>
          <w:b w:val="0"/>
          <w:bCs w:val="0"/>
        </w:rPr>
      </w:pPr>
      <w:bookmarkStart w:id="9" w:name="_Toc144949539"/>
      <w:r w:rsidRPr="00E439D7">
        <w:rPr>
          <w:b w:val="0"/>
          <w:bCs w:val="0"/>
        </w:rPr>
        <w:t xml:space="preserve">The study adapted Teaching Practice Assessment Form ‘A’ from the Centre for Teacher Professional Development, UCC, to assess professional knowledge of preservice management teachers (PMTs) during off-campus teaching practice in Ghanaian SHSs. This standardized 20-item instrument evaluates four key areas: lesson plan preparation, teaching methodology and delivery, classroom organization and management, and professional commitment. The original 5-point scale was modified to align with the Teacher Professional Knowledge Scale (TPKS), measuring knowledge levels from 1 (lowest) to 5 (highest). </w:t>
      </w:r>
    </w:p>
    <w:p w14:paraId="07BB5CB4" w14:textId="77777777" w:rsidR="005904C5" w:rsidRPr="00E439D7" w:rsidRDefault="005904C5" w:rsidP="0055595D">
      <w:pPr>
        <w:pStyle w:val="Heading2"/>
        <w:jc w:val="both"/>
        <w:rPr>
          <w:b w:val="0"/>
          <w:bCs w:val="0"/>
        </w:rPr>
      </w:pPr>
    </w:p>
    <w:p w14:paraId="39E00E27" w14:textId="77777777" w:rsidR="005904C5" w:rsidRPr="00E439D7" w:rsidRDefault="005904C5" w:rsidP="0055595D">
      <w:pPr>
        <w:pStyle w:val="Heading2"/>
        <w:jc w:val="both"/>
        <w:rPr>
          <w:b w:val="0"/>
          <w:bCs w:val="0"/>
        </w:rPr>
      </w:pPr>
      <w:r w:rsidRPr="00E439D7">
        <w:rPr>
          <w:b w:val="0"/>
          <w:bCs w:val="0"/>
        </w:rPr>
        <w:t>Adaptations included rephrasing items to focus on PMTs' self-assessed knowledge. For instance, the objective-writing criterion was revised from performance-based scoring to self-reported knowledge levels. Demographic details, such as age, gender, teaching experience, and career aspirations, were added to contextualize responses. This approach ensured the instrument’s alignment with the study's goals, focusing on PMTs’ professional knowledge.</w:t>
      </w:r>
    </w:p>
    <w:p w14:paraId="638BC0D0" w14:textId="77777777" w:rsidR="005904C5" w:rsidRPr="00E439D7" w:rsidRDefault="005904C5" w:rsidP="0055595D">
      <w:pPr>
        <w:pStyle w:val="Heading2"/>
        <w:jc w:val="both"/>
        <w:rPr>
          <w:b w:val="0"/>
          <w:bCs w:val="0"/>
        </w:rPr>
      </w:pPr>
    </w:p>
    <w:p w14:paraId="1D614865" w14:textId="0370D2D1" w:rsidR="002E6401" w:rsidRPr="00E439D7" w:rsidRDefault="005904C5" w:rsidP="0055595D">
      <w:pPr>
        <w:pStyle w:val="Heading2"/>
        <w:jc w:val="both"/>
        <w:rPr>
          <w:b w:val="0"/>
          <w:bCs w:val="0"/>
        </w:rPr>
      </w:pPr>
      <w:r w:rsidRPr="00E439D7">
        <w:rPr>
          <w:b w:val="0"/>
          <w:bCs w:val="0"/>
        </w:rPr>
        <w:t>The adapted TPKS assessed PMTs’ understanding and application of teaching principles in SHSs. Research questions explored the extent of PMTs’ knowledge in lesson planning, methodology, classroom management, and commitment, providing insights into their preparedness for professional teaching. These modifications upheld the instrument’s reliability and validity while tailoring it to the study’s objectives.</w:t>
      </w:r>
    </w:p>
    <w:p w14:paraId="3131A02D" w14:textId="77777777" w:rsidR="005904C5" w:rsidRPr="00E439D7" w:rsidRDefault="005904C5" w:rsidP="00BC4767">
      <w:pPr>
        <w:pStyle w:val="Heading2"/>
      </w:pPr>
    </w:p>
    <w:p w14:paraId="312B742E" w14:textId="3706DD37" w:rsidR="00857405" w:rsidRPr="00E439D7" w:rsidRDefault="00857405" w:rsidP="008D47D2">
      <w:pPr>
        <w:pStyle w:val="Heading2"/>
        <w:jc w:val="left"/>
      </w:pPr>
      <w:r w:rsidRPr="00E439D7">
        <w:t>Test for Reliability and Validity</w:t>
      </w:r>
      <w:bookmarkEnd w:id="9"/>
    </w:p>
    <w:p w14:paraId="2535FDB5" w14:textId="77777777" w:rsidR="00750BFF" w:rsidRPr="00E439D7" w:rsidRDefault="00750BFF" w:rsidP="009F0D46">
      <w:pPr>
        <w:spacing w:after="0" w:line="240" w:lineRule="auto"/>
        <w:contextualSpacing/>
        <w:jc w:val="both"/>
        <w:rPr>
          <w:rFonts w:cs="Times New Roman"/>
          <w:color w:val="000000" w:themeColor="text1"/>
          <w:szCs w:val="24"/>
        </w:rPr>
      </w:pPr>
    </w:p>
    <w:p w14:paraId="35BBEB09" w14:textId="3AD5554B" w:rsidR="006C759A" w:rsidRPr="00E439D7" w:rsidRDefault="00C371D7"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Reliability ensures consistent outcomes from study instruments. Pilot testing was conducted with a similar student sample to minimize bias, achieving a reliability coefficient of .819, surpassing the .70 threshold for reliability (Ong, 2012). Validity was established through expert reviews assessing face and content validity, ensuring instrument accuracy and relevance.</w:t>
      </w:r>
    </w:p>
    <w:p w14:paraId="5F71266B" w14:textId="77777777" w:rsidR="006D6574" w:rsidRPr="00E439D7" w:rsidRDefault="006D6574" w:rsidP="009F0D46">
      <w:pPr>
        <w:spacing w:after="0" w:line="240" w:lineRule="auto"/>
        <w:contextualSpacing/>
        <w:jc w:val="both"/>
        <w:rPr>
          <w:rFonts w:cs="Times New Roman"/>
          <w:color w:val="000000" w:themeColor="text1"/>
          <w:szCs w:val="24"/>
        </w:rPr>
      </w:pPr>
    </w:p>
    <w:p w14:paraId="42860B4B" w14:textId="77777777" w:rsidR="00857405" w:rsidRPr="00E439D7" w:rsidRDefault="00857405" w:rsidP="009F0D46">
      <w:pPr>
        <w:pStyle w:val="Heading6"/>
        <w:spacing w:line="240" w:lineRule="auto"/>
        <w:rPr>
          <w:rFonts w:ascii="Times New Roman" w:hAnsi="Times New Roman" w:cs="Times New Roman"/>
          <w:b/>
          <w:bCs/>
          <w:color w:val="auto"/>
          <w:szCs w:val="24"/>
        </w:rPr>
      </w:pPr>
      <w:bookmarkStart w:id="10" w:name="_Toc144949691"/>
      <w:r w:rsidRPr="00E439D7">
        <w:rPr>
          <w:rFonts w:ascii="Times New Roman" w:hAnsi="Times New Roman" w:cs="Times New Roman"/>
          <w:b/>
          <w:bCs/>
          <w:color w:val="auto"/>
          <w:szCs w:val="24"/>
        </w:rPr>
        <w:lastRenderedPageBreak/>
        <w:t>Table 2: Reliability Statistics</w:t>
      </w:r>
      <w:bookmarkEnd w:id="10"/>
      <w:r w:rsidRPr="00E439D7">
        <w:rPr>
          <w:rFonts w:ascii="Times New Roman" w:hAnsi="Times New Roman" w:cs="Times New Roman"/>
          <w:b/>
          <w:bCs/>
          <w:color w:val="auto"/>
          <w:szCs w:val="24"/>
        </w:rPr>
        <w:t xml:space="preserve"> </w:t>
      </w:r>
    </w:p>
    <w:tbl>
      <w:tblPr>
        <w:tblW w:w="9062" w:type="dxa"/>
        <w:tblBorders>
          <w:top w:val="single" w:sz="4" w:space="0" w:color="auto"/>
          <w:bottom w:val="single" w:sz="4" w:space="0" w:color="auto"/>
        </w:tblBorders>
        <w:tblLayout w:type="fixed"/>
        <w:tblLook w:val="04A0" w:firstRow="1" w:lastRow="0" w:firstColumn="1" w:lastColumn="0" w:noHBand="0" w:noVBand="1"/>
      </w:tblPr>
      <w:tblGrid>
        <w:gridCol w:w="963"/>
        <w:gridCol w:w="3807"/>
        <w:gridCol w:w="1350"/>
        <w:gridCol w:w="1588"/>
        <w:gridCol w:w="1354"/>
      </w:tblGrid>
      <w:tr w:rsidR="00225CCE" w:rsidRPr="00E439D7" w14:paraId="395658F1" w14:textId="77777777" w:rsidTr="003D3053">
        <w:trPr>
          <w:trHeight w:val="1598"/>
        </w:trPr>
        <w:tc>
          <w:tcPr>
            <w:tcW w:w="963" w:type="dxa"/>
            <w:tcBorders>
              <w:top w:val="single" w:sz="4" w:space="0" w:color="auto"/>
              <w:bottom w:val="single" w:sz="4" w:space="0" w:color="auto"/>
            </w:tcBorders>
          </w:tcPr>
          <w:p w14:paraId="2B6C0288"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Section </w:t>
            </w:r>
          </w:p>
        </w:tc>
        <w:tc>
          <w:tcPr>
            <w:tcW w:w="3807" w:type="dxa"/>
            <w:tcBorders>
              <w:top w:val="single" w:sz="4" w:space="0" w:color="auto"/>
              <w:bottom w:val="single" w:sz="4" w:space="0" w:color="auto"/>
            </w:tcBorders>
          </w:tcPr>
          <w:p w14:paraId="69A9DD6A"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Variable </w:t>
            </w:r>
          </w:p>
        </w:tc>
        <w:tc>
          <w:tcPr>
            <w:tcW w:w="1350" w:type="dxa"/>
            <w:tcBorders>
              <w:top w:val="single" w:sz="4" w:space="0" w:color="auto"/>
              <w:bottom w:val="single" w:sz="4" w:space="0" w:color="auto"/>
            </w:tcBorders>
          </w:tcPr>
          <w:p w14:paraId="34A02CAF"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Cronbach’s alpha</w:t>
            </w:r>
          </w:p>
        </w:tc>
        <w:tc>
          <w:tcPr>
            <w:tcW w:w="1588" w:type="dxa"/>
            <w:tcBorders>
              <w:top w:val="single" w:sz="4" w:space="0" w:color="auto"/>
              <w:bottom w:val="single" w:sz="4" w:space="0" w:color="auto"/>
            </w:tcBorders>
          </w:tcPr>
          <w:p w14:paraId="7FDF151B"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Cronbach’s Alpha based on Standardized items</w:t>
            </w:r>
          </w:p>
        </w:tc>
        <w:tc>
          <w:tcPr>
            <w:tcW w:w="1354" w:type="dxa"/>
            <w:tcBorders>
              <w:top w:val="single" w:sz="4" w:space="0" w:color="auto"/>
              <w:bottom w:val="single" w:sz="4" w:space="0" w:color="auto"/>
            </w:tcBorders>
          </w:tcPr>
          <w:p w14:paraId="2C399D5A"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No. of items</w:t>
            </w:r>
          </w:p>
        </w:tc>
      </w:tr>
      <w:tr w:rsidR="00225CCE" w:rsidRPr="00E439D7" w14:paraId="71EF7EFA" w14:textId="77777777" w:rsidTr="003D3053">
        <w:trPr>
          <w:trHeight w:val="394"/>
        </w:trPr>
        <w:tc>
          <w:tcPr>
            <w:tcW w:w="963" w:type="dxa"/>
            <w:tcBorders>
              <w:top w:val="single" w:sz="4" w:space="0" w:color="auto"/>
            </w:tcBorders>
          </w:tcPr>
          <w:p w14:paraId="409EE7D3"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B </w:t>
            </w:r>
          </w:p>
        </w:tc>
        <w:tc>
          <w:tcPr>
            <w:tcW w:w="3807" w:type="dxa"/>
            <w:tcBorders>
              <w:top w:val="single" w:sz="4" w:space="0" w:color="auto"/>
            </w:tcBorders>
          </w:tcPr>
          <w:p w14:paraId="2B304E10" w14:textId="27752FD1" w:rsidR="00857405" w:rsidRPr="00E439D7" w:rsidRDefault="006B4824" w:rsidP="00980517">
            <w:pPr>
              <w:spacing w:line="240" w:lineRule="auto"/>
              <w:contextualSpacing/>
              <w:rPr>
                <w:rFonts w:cs="Times New Roman"/>
                <w:color w:val="000000" w:themeColor="text1"/>
                <w:szCs w:val="24"/>
              </w:rPr>
            </w:pPr>
            <w:r w:rsidRPr="00E439D7">
              <w:rPr>
                <w:rFonts w:cs="Times New Roman"/>
                <w:color w:val="000000" w:themeColor="text1"/>
                <w:szCs w:val="24"/>
              </w:rPr>
              <w:t xml:space="preserve">Lesson plan preparation </w:t>
            </w:r>
          </w:p>
        </w:tc>
        <w:tc>
          <w:tcPr>
            <w:tcW w:w="1350" w:type="dxa"/>
            <w:tcBorders>
              <w:top w:val="single" w:sz="4" w:space="0" w:color="auto"/>
            </w:tcBorders>
          </w:tcPr>
          <w:p w14:paraId="772F8F6E" w14:textId="151BA589"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w:t>
            </w:r>
            <w:r w:rsidR="007B0EA8" w:rsidRPr="00E439D7">
              <w:rPr>
                <w:rFonts w:cs="Times New Roman"/>
                <w:color w:val="000000" w:themeColor="text1"/>
                <w:szCs w:val="24"/>
              </w:rPr>
              <w:t>7</w:t>
            </w:r>
          </w:p>
        </w:tc>
        <w:tc>
          <w:tcPr>
            <w:tcW w:w="1588" w:type="dxa"/>
            <w:tcBorders>
              <w:top w:val="single" w:sz="4" w:space="0" w:color="auto"/>
            </w:tcBorders>
          </w:tcPr>
          <w:p w14:paraId="769E6412" w14:textId="175E1913"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.86</w:t>
            </w:r>
          </w:p>
        </w:tc>
        <w:tc>
          <w:tcPr>
            <w:tcW w:w="1354" w:type="dxa"/>
            <w:tcBorders>
              <w:top w:val="single" w:sz="4" w:space="0" w:color="auto"/>
            </w:tcBorders>
          </w:tcPr>
          <w:p w14:paraId="35720325" w14:textId="30F6D6A0" w:rsidR="00857405" w:rsidRPr="00E439D7" w:rsidRDefault="002E69E9" w:rsidP="00980517">
            <w:pPr>
              <w:spacing w:line="240" w:lineRule="auto"/>
              <w:contextualSpacing/>
              <w:jc w:val="both"/>
              <w:rPr>
                <w:rFonts w:cs="Times New Roman"/>
                <w:color w:val="000000" w:themeColor="text1"/>
                <w:szCs w:val="24"/>
              </w:rPr>
            </w:pPr>
            <w:r w:rsidRPr="00E439D7">
              <w:rPr>
                <w:rFonts w:cs="Times New Roman"/>
                <w:color w:val="000000" w:themeColor="text1"/>
                <w:szCs w:val="24"/>
              </w:rPr>
              <w:t>4</w:t>
            </w:r>
          </w:p>
        </w:tc>
      </w:tr>
      <w:tr w:rsidR="00225CCE" w:rsidRPr="00E439D7" w14:paraId="2EC83F73" w14:textId="77777777" w:rsidTr="003D3053">
        <w:trPr>
          <w:trHeight w:val="394"/>
        </w:trPr>
        <w:tc>
          <w:tcPr>
            <w:tcW w:w="963" w:type="dxa"/>
          </w:tcPr>
          <w:p w14:paraId="0BE7232D"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C </w:t>
            </w:r>
          </w:p>
        </w:tc>
        <w:tc>
          <w:tcPr>
            <w:tcW w:w="3807" w:type="dxa"/>
          </w:tcPr>
          <w:p w14:paraId="3D3D2D9F" w14:textId="75BA6954" w:rsidR="00857405" w:rsidRPr="00E439D7" w:rsidRDefault="006B4824" w:rsidP="00980517">
            <w:pPr>
              <w:spacing w:line="240" w:lineRule="auto"/>
              <w:contextualSpacing/>
              <w:rPr>
                <w:rFonts w:cs="Times New Roman"/>
                <w:color w:val="000000" w:themeColor="text1"/>
                <w:szCs w:val="24"/>
              </w:rPr>
            </w:pPr>
            <w:r w:rsidRPr="00E439D7">
              <w:rPr>
                <w:rFonts w:cs="Times New Roman"/>
                <w:color w:val="000000" w:themeColor="text1"/>
                <w:szCs w:val="24"/>
              </w:rPr>
              <w:t xml:space="preserve">Teaching methodology and delivery </w:t>
            </w:r>
          </w:p>
        </w:tc>
        <w:tc>
          <w:tcPr>
            <w:tcW w:w="1350" w:type="dxa"/>
          </w:tcPr>
          <w:p w14:paraId="6F0BF00B" w14:textId="60AA2952"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.96</w:t>
            </w:r>
          </w:p>
        </w:tc>
        <w:tc>
          <w:tcPr>
            <w:tcW w:w="1588" w:type="dxa"/>
          </w:tcPr>
          <w:p w14:paraId="3804DA8C" w14:textId="0FF4B77C"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.95</w:t>
            </w:r>
          </w:p>
        </w:tc>
        <w:tc>
          <w:tcPr>
            <w:tcW w:w="1354" w:type="dxa"/>
          </w:tcPr>
          <w:p w14:paraId="2D40ECC6" w14:textId="425629FE" w:rsidR="00857405" w:rsidRPr="00E439D7" w:rsidRDefault="002E69E9" w:rsidP="00980517">
            <w:pPr>
              <w:spacing w:line="240" w:lineRule="auto"/>
              <w:contextualSpacing/>
              <w:jc w:val="both"/>
              <w:rPr>
                <w:rFonts w:cs="Times New Roman"/>
                <w:color w:val="000000" w:themeColor="text1"/>
                <w:szCs w:val="24"/>
              </w:rPr>
            </w:pPr>
            <w:r w:rsidRPr="00E439D7">
              <w:rPr>
                <w:rFonts w:cs="Times New Roman"/>
                <w:color w:val="000000" w:themeColor="text1"/>
                <w:szCs w:val="24"/>
              </w:rPr>
              <w:t>1</w:t>
            </w:r>
            <w:r w:rsidR="00857405" w:rsidRPr="00E439D7">
              <w:rPr>
                <w:rFonts w:cs="Times New Roman"/>
                <w:color w:val="000000" w:themeColor="text1"/>
                <w:szCs w:val="24"/>
              </w:rPr>
              <w:t>2</w:t>
            </w:r>
          </w:p>
        </w:tc>
      </w:tr>
      <w:tr w:rsidR="00225CCE" w:rsidRPr="00E439D7" w14:paraId="20EDA997" w14:textId="77777777" w:rsidTr="003D3053">
        <w:trPr>
          <w:trHeight w:val="799"/>
        </w:trPr>
        <w:tc>
          <w:tcPr>
            <w:tcW w:w="963" w:type="dxa"/>
          </w:tcPr>
          <w:p w14:paraId="5336D83F" w14:textId="77777777"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D </w:t>
            </w:r>
          </w:p>
        </w:tc>
        <w:tc>
          <w:tcPr>
            <w:tcW w:w="3807" w:type="dxa"/>
          </w:tcPr>
          <w:p w14:paraId="7A12CEF0" w14:textId="40A5786A" w:rsidR="00857405" w:rsidRPr="00E439D7" w:rsidRDefault="006B4824" w:rsidP="00980517">
            <w:pPr>
              <w:spacing w:line="240" w:lineRule="auto"/>
              <w:contextualSpacing/>
              <w:rPr>
                <w:rFonts w:cs="Times New Roman"/>
                <w:color w:val="000000" w:themeColor="text1"/>
                <w:szCs w:val="24"/>
              </w:rPr>
            </w:pPr>
            <w:r w:rsidRPr="00E439D7">
              <w:rPr>
                <w:rFonts w:cs="Times New Roman"/>
                <w:color w:val="000000" w:themeColor="text1"/>
                <w:szCs w:val="24"/>
              </w:rPr>
              <w:t xml:space="preserve">Classroom organization and management </w:t>
            </w:r>
          </w:p>
        </w:tc>
        <w:tc>
          <w:tcPr>
            <w:tcW w:w="1350" w:type="dxa"/>
          </w:tcPr>
          <w:p w14:paraId="3E99B62A" w14:textId="7B002399"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.87</w:t>
            </w:r>
          </w:p>
        </w:tc>
        <w:tc>
          <w:tcPr>
            <w:tcW w:w="1588" w:type="dxa"/>
          </w:tcPr>
          <w:p w14:paraId="29EE2F2B" w14:textId="1FEB9650" w:rsidR="00857405" w:rsidRPr="00E439D7" w:rsidRDefault="00857405"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w:t>
            </w:r>
            <w:r w:rsidR="007B0EA8" w:rsidRPr="00E439D7">
              <w:rPr>
                <w:rFonts w:cs="Times New Roman"/>
                <w:color w:val="000000" w:themeColor="text1"/>
                <w:szCs w:val="24"/>
              </w:rPr>
              <w:t>9</w:t>
            </w:r>
          </w:p>
        </w:tc>
        <w:tc>
          <w:tcPr>
            <w:tcW w:w="1354" w:type="dxa"/>
          </w:tcPr>
          <w:p w14:paraId="31944A28" w14:textId="32A69238" w:rsidR="00857405" w:rsidRPr="00E439D7" w:rsidRDefault="002E69E9" w:rsidP="00980517">
            <w:pPr>
              <w:spacing w:line="240" w:lineRule="auto"/>
              <w:contextualSpacing/>
              <w:jc w:val="both"/>
              <w:rPr>
                <w:rFonts w:cs="Times New Roman"/>
                <w:color w:val="000000" w:themeColor="text1"/>
                <w:szCs w:val="24"/>
              </w:rPr>
            </w:pPr>
            <w:r w:rsidRPr="00E439D7">
              <w:rPr>
                <w:rFonts w:cs="Times New Roman"/>
                <w:color w:val="000000" w:themeColor="text1"/>
                <w:szCs w:val="24"/>
              </w:rPr>
              <w:t>2</w:t>
            </w:r>
          </w:p>
        </w:tc>
      </w:tr>
      <w:tr w:rsidR="00225CCE" w:rsidRPr="00E439D7" w14:paraId="25634C31" w14:textId="77777777" w:rsidTr="003D3053">
        <w:trPr>
          <w:trHeight w:val="404"/>
        </w:trPr>
        <w:tc>
          <w:tcPr>
            <w:tcW w:w="963" w:type="dxa"/>
          </w:tcPr>
          <w:p w14:paraId="1BDFBCC6" w14:textId="0429D63A" w:rsidR="002A5110" w:rsidRPr="00E439D7" w:rsidRDefault="00225CCE"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E</w:t>
            </w:r>
          </w:p>
        </w:tc>
        <w:tc>
          <w:tcPr>
            <w:tcW w:w="3807" w:type="dxa"/>
          </w:tcPr>
          <w:p w14:paraId="7159B9F0" w14:textId="3632BFFC" w:rsidR="002A5110" w:rsidRPr="00E439D7" w:rsidRDefault="006B4824" w:rsidP="00980517">
            <w:pPr>
              <w:spacing w:line="240" w:lineRule="auto"/>
              <w:contextualSpacing/>
              <w:rPr>
                <w:rFonts w:cs="Times New Roman"/>
                <w:color w:val="000000" w:themeColor="text1"/>
                <w:szCs w:val="24"/>
              </w:rPr>
            </w:pPr>
            <w:r w:rsidRPr="00E439D7">
              <w:rPr>
                <w:rFonts w:cs="Times New Roman"/>
                <w:color w:val="000000" w:themeColor="text1"/>
                <w:szCs w:val="24"/>
              </w:rPr>
              <w:t>Professional commitment</w:t>
            </w:r>
          </w:p>
        </w:tc>
        <w:tc>
          <w:tcPr>
            <w:tcW w:w="1350" w:type="dxa"/>
          </w:tcPr>
          <w:p w14:paraId="1A3F2D5E" w14:textId="4F62AB9A" w:rsidR="002A5110" w:rsidRPr="00E439D7" w:rsidRDefault="006B4824"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.86</w:t>
            </w:r>
          </w:p>
        </w:tc>
        <w:tc>
          <w:tcPr>
            <w:tcW w:w="1588" w:type="dxa"/>
          </w:tcPr>
          <w:p w14:paraId="04BC2853" w14:textId="2BF243BF" w:rsidR="002A5110" w:rsidRPr="00E439D7" w:rsidRDefault="006B4824"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.87</w:t>
            </w:r>
          </w:p>
        </w:tc>
        <w:tc>
          <w:tcPr>
            <w:tcW w:w="1354" w:type="dxa"/>
          </w:tcPr>
          <w:p w14:paraId="41639BF8" w14:textId="08947C17" w:rsidR="002A5110" w:rsidRPr="00E439D7" w:rsidRDefault="002E69E9" w:rsidP="00980517">
            <w:pPr>
              <w:spacing w:line="240" w:lineRule="auto"/>
              <w:contextualSpacing/>
              <w:jc w:val="both"/>
              <w:rPr>
                <w:rFonts w:cs="Times New Roman"/>
                <w:color w:val="000000" w:themeColor="text1"/>
                <w:szCs w:val="24"/>
              </w:rPr>
            </w:pPr>
            <w:r w:rsidRPr="00E439D7">
              <w:rPr>
                <w:rFonts w:cs="Times New Roman"/>
                <w:color w:val="000000" w:themeColor="text1"/>
                <w:szCs w:val="24"/>
              </w:rPr>
              <w:t>2</w:t>
            </w:r>
          </w:p>
        </w:tc>
      </w:tr>
    </w:tbl>
    <w:p w14:paraId="588FBD27" w14:textId="517FA469" w:rsidR="00857405" w:rsidRPr="00E439D7" w:rsidRDefault="00857405"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Source: Field survey (202</w:t>
      </w:r>
      <w:r w:rsidR="007C5AA3" w:rsidRPr="00E439D7">
        <w:rPr>
          <w:rFonts w:cs="Times New Roman"/>
          <w:color w:val="000000" w:themeColor="text1"/>
          <w:szCs w:val="24"/>
        </w:rPr>
        <w:t>4</w:t>
      </w:r>
      <w:r w:rsidRPr="00E439D7">
        <w:rPr>
          <w:rFonts w:cs="Times New Roman"/>
          <w:color w:val="000000" w:themeColor="text1"/>
          <w:szCs w:val="24"/>
        </w:rPr>
        <w:t>)</w:t>
      </w:r>
    </w:p>
    <w:p w14:paraId="0E9752D7" w14:textId="77777777" w:rsidR="005D01B3" w:rsidRPr="00E439D7" w:rsidRDefault="005D01B3" w:rsidP="009F0D46">
      <w:pPr>
        <w:autoSpaceDE w:val="0"/>
        <w:autoSpaceDN w:val="0"/>
        <w:adjustRightInd w:val="0"/>
        <w:spacing w:after="0" w:line="240" w:lineRule="auto"/>
        <w:jc w:val="both"/>
        <w:rPr>
          <w:rFonts w:cs="Times New Roman"/>
          <w:color w:val="000000" w:themeColor="text1"/>
          <w:szCs w:val="24"/>
        </w:rPr>
      </w:pPr>
    </w:p>
    <w:p w14:paraId="1D585CF5" w14:textId="4C08BD6A" w:rsidR="00857405" w:rsidRPr="00E439D7" w:rsidRDefault="00857405" w:rsidP="009F0D46">
      <w:pPr>
        <w:autoSpaceDE w:val="0"/>
        <w:autoSpaceDN w:val="0"/>
        <w:adjustRightInd w:val="0"/>
        <w:spacing w:after="0" w:line="240" w:lineRule="auto"/>
        <w:jc w:val="both"/>
        <w:rPr>
          <w:rFonts w:cs="Times New Roman"/>
          <w:b/>
          <w:color w:val="000000" w:themeColor="text1"/>
          <w:szCs w:val="24"/>
        </w:rPr>
      </w:pPr>
      <w:r w:rsidRPr="00E439D7">
        <w:rPr>
          <w:rFonts w:cs="Times New Roman"/>
          <w:color w:val="000000" w:themeColor="text1"/>
          <w:szCs w:val="24"/>
        </w:rPr>
        <w:t xml:space="preserve">The alpha values recorded exceeded 0.7, indicating strong internal consistency among the test items </w:t>
      </w:r>
      <w:r w:rsidR="003E1445" w:rsidRPr="00E439D7">
        <w:rPr>
          <w:rFonts w:cs="Times New Roman"/>
          <w:color w:val="000000" w:themeColor="text1"/>
          <w:szCs w:val="24"/>
        </w:rPr>
        <w:t>(</w:t>
      </w:r>
      <w:r w:rsidR="003E1445" w:rsidRPr="00E439D7">
        <w:rPr>
          <w:rFonts w:cs="Times New Roman"/>
          <w:color w:val="000000" w:themeColor="text1"/>
          <w:szCs w:val="24"/>
          <w:highlight w:val="yellow"/>
        </w:rPr>
        <w:t>Cheung, Cooper-Thomas, Lau &amp; Wang, 2024)</w:t>
      </w:r>
      <w:r w:rsidR="00A00E15" w:rsidRPr="00E439D7">
        <w:rPr>
          <w:rFonts w:cs="Times New Roman"/>
          <w:color w:val="000000" w:themeColor="text1"/>
          <w:szCs w:val="24"/>
        </w:rPr>
        <w:t>.</w:t>
      </w:r>
      <w:r w:rsidRPr="00E439D7">
        <w:rPr>
          <w:rFonts w:cs="Times New Roman"/>
          <w:color w:val="000000" w:themeColor="text1"/>
          <w:szCs w:val="24"/>
        </w:rPr>
        <w:t xml:space="preserve"> This alpha value was deemed acceptable for evaluating the reliability of the research instrument, as suggested by Cohen, Manion, and Morrison (2017), who consider such reliability coefficients as high and adequate. This assessment aided the researcher in evaluating the internal coherence of the questionnaire items, affirming the instrument's reliability. Furthermore, the obtained results prompted the researcher to revise certain questionnaire items that were unclear to the students. This adjustment led to the development of a more effective and explicit questionnaire, facilitating the elicitation of accurate responses.</w:t>
      </w:r>
    </w:p>
    <w:p w14:paraId="46ED8949" w14:textId="77777777" w:rsidR="002904C9" w:rsidRPr="00E439D7" w:rsidRDefault="002904C9" w:rsidP="00BC4767">
      <w:pPr>
        <w:pStyle w:val="Heading2"/>
      </w:pPr>
      <w:bookmarkStart w:id="11" w:name="_Toc144949541"/>
    </w:p>
    <w:p w14:paraId="3BDEC781" w14:textId="52A960A5" w:rsidR="00B10FEA" w:rsidRPr="00E439D7" w:rsidRDefault="00B10FEA" w:rsidP="005A7B41">
      <w:pPr>
        <w:pStyle w:val="Heading2"/>
        <w:jc w:val="left"/>
      </w:pPr>
      <w:r w:rsidRPr="00E439D7">
        <w:t>Ethical consideration</w:t>
      </w:r>
      <w:bookmarkEnd w:id="11"/>
      <w:r w:rsidRPr="00E439D7">
        <w:t xml:space="preserve"> </w:t>
      </w:r>
    </w:p>
    <w:p w14:paraId="01FE3DE8" w14:textId="77777777" w:rsidR="00750BFF" w:rsidRPr="00E439D7" w:rsidRDefault="00750BFF" w:rsidP="009F0D46">
      <w:pPr>
        <w:spacing w:after="0" w:line="240" w:lineRule="auto"/>
        <w:rPr>
          <w:rFonts w:cs="Times New Roman"/>
          <w:color w:val="000000" w:themeColor="text1"/>
          <w:szCs w:val="24"/>
        </w:rPr>
      </w:pPr>
    </w:p>
    <w:p w14:paraId="0DE6C1B9" w14:textId="72535559" w:rsidR="0097574A" w:rsidRPr="00E439D7" w:rsidRDefault="0097574A" w:rsidP="009F0D46">
      <w:pPr>
        <w:spacing w:after="0" w:line="240" w:lineRule="auto"/>
        <w:rPr>
          <w:rFonts w:cs="Times New Roman"/>
          <w:color w:val="000000" w:themeColor="text1"/>
          <w:szCs w:val="24"/>
        </w:rPr>
      </w:pPr>
      <w:r w:rsidRPr="00E439D7">
        <w:rPr>
          <w:rFonts w:cs="Times New Roman"/>
          <w:color w:val="000000" w:themeColor="text1"/>
          <w:szCs w:val="24"/>
        </w:rPr>
        <w:t>The study adhered to ethical protocols, securing clearance from the University of Cape Coast’s Institutional Review Board. Respondents were informed about the study’s purpose and given freedom to participate. Confidentiality and anonymity were prioritized, ensuring data privacy and non-disclosure. Data was used solely for research, with aggregated findings safeguarding individual identities in line with ethical standards.</w:t>
      </w:r>
    </w:p>
    <w:p w14:paraId="055D8DC3" w14:textId="77777777" w:rsidR="00706936" w:rsidRPr="00E439D7" w:rsidRDefault="00706936" w:rsidP="009F0D46">
      <w:pPr>
        <w:spacing w:after="0" w:line="240" w:lineRule="auto"/>
        <w:rPr>
          <w:rFonts w:cs="Times New Roman"/>
          <w:b/>
          <w:bCs/>
          <w:szCs w:val="24"/>
        </w:rPr>
      </w:pPr>
    </w:p>
    <w:p w14:paraId="2BD39D0A" w14:textId="49921C89" w:rsidR="00356468" w:rsidRPr="00E439D7" w:rsidRDefault="00356468" w:rsidP="009F0D46">
      <w:pPr>
        <w:spacing w:after="0" w:line="240" w:lineRule="auto"/>
        <w:rPr>
          <w:rFonts w:cs="Times New Roman"/>
          <w:b/>
          <w:bCs/>
          <w:szCs w:val="24"/>
        </w:rPr>
      </w:pPr>
      <w:r w:rsidRPr="00E439D7">
        <w:rPr>
          <w:rFonts w:cs="Times New Roman"/>
          <w:b/>
          <w:bCs/>
          <w:szCs w:val="24"/>
        </w:rPr>
        <w:t>Data processing and analysis</w:t>
      </w:r>
    </w:p>
    <w:p w14:paraId="5C8D7B70" w14:textId="77777777" w:rsidR="00706936" w:rsidRPr="00E439D7" w:rsidRDefault="00706936" w:rsidP="009F0D46">
      <w:pPr>
        <w:spacing w:after="0" w:line="240" w:lineRule="auto"/>
        <w:contextualSpacing/>
        <w:jc w:val="both"/>
        <w:rPr>
          <w:rFonts w:cs="Times New Roman"/>
          <w:color w:val="000000" w:themeColor="text1"/>
          <w:szCs w:val="24"/>
        </w:rPr>
      </w:pPr>
    </w:p>
    <w:p w14:paraId="49454877" w14:textId="11C8B9D3" w:rsidR="004A23A0" w:rsidRPr="00E439D7" w:rsidRDefault="004A23A0"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In examining the demographic characteristics of the respondents, descriptive statistics such as frequencies and percentages were employed, while means and standard deviations were utilized to analyze research questions one (1) to four (4). In the view of </w:t>
      </w:r>
      <w:proofErr w:type="spellStart"/>
      <w:r w:rsidRPr="00E439D7">
        <w:rPr>
          <w:rFonts w:cs="Times New Roman"/>
          <w:color w:val="000000" w:themeColor="text1"/>
          <w:szCs w:val="24"/>
        </w:rPr>
        <w:t>Ntorso</w:t>
      </w:r>
      <w:proofErr w:type="spellEnd"/>
      <w:r w:rsidRPr="00E439D7">
        <w:rPr>
          <w:rFonts w:cs="Times New Roman"/>
          <w:color w:val="000000" w:themeColor="text1"/>
          <w:szCs w:val="24"/>
        </w:rPr>
        <w:t xml:space="preserve"> (2017), means and standard deviations provide composite values reflecting multiple responses to a specific item on an instrument. These descriptive statistics (“means and standard deviations”) were chosen because, in addition to offering a foundational description as provided by frequencies and percentages, they provide a comprehensive understanding through composite value representation (</w:t>
      </w:r>
      <w:proofErr w:type="spellStart"/>
      <w:r w:rsidRPr="00E439D7">
        <w:rPr>
          <w:rFonts w:cs="Times New Roman"/>
          <w:color w:val="000000" w:themeColor="text1"/>
          <w:szCs w:val="24"/>
        </w:rPr>
        <w:t>Ntorso</w:t>
      </w:r>
      <w:proofErr w:type="spellEnd"/>
      <w:r w:rsidRPr="00E439D7">
        <w:rPr>
          <w:rFonts w:cs="Times New Roman"/>
          <w:color w:val="000000" w:themeColor="text1"/>
          <w:szCs w:val="24"/>
        </w:rPr>
        <w:t>, 2017).</w:t>
      </w:r>
    </w:p>
    <w:p w14:paraId="5DF4ED60" w14:textId="7CCB65FD" w:rsidR="009547ED" w:rsidRPr="00E439D7" w:rsidRDefault="004A23A0"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Regarding this study, the means and standard values of each of the items were calculated and arranged</w:t>
      </w:r>
      <w:r w:rsidR="00654015" w:rsidRPr="00E439D7">
        <w:rPr>
          <w:rFonts w:cs="Times New Roman"/>
          <w:color w:val="000000" w:themeColor="text1"/>
          <w:szCs w:val="24"/>
        </w:rPr>
        <w:t>.</w:t>
      </w:r>
      <w:r w:rsidRPr="00E439D7">
        <w:rPr>
          <w:rFonts w:cs="Times New Roman"/>
          <w:color w:val="000000" w:themeColor="text1"/>
          <w:szCs w:val="24"/>
        </w:rPr>
        <w:t xml:space="preserve"> </w:t>
      </w:r>
    </w:p>
    <w:p w14:paraId="151C2B4D" w14:textId="77777777" w:rsidR="002904C9" w:rsidRPr="00E439D7" w:rsidRDefault="002904C9" w:rsidP="009F0D46">
      <w:pPr>
        <w:spacing w:after="0" w:line="240" w:lineRule="auto"/>
        <w:rPr>
          <w:rFonts w:cs="Times New Roman"/>
          <w:b/>
          <w:bCs/>
          <w:szCs w:val="24"/>
        </w:rPr>
      </w:pPr>
    </w:p>
    <w:p w14:paraId="1182A0DF" w14:textId="02586B61" w:rsidR="00356468" w:rsidRPr="00E439D7" w:rsidRDefault="00356468" w:rsidP="009F0D46">
      <w:pPr>
        <w:spacing w:after="0" w:line="240" w:lineRule="auto"/>
        <w:rPr>
          <w:rFonts w:cs="Times New Roman"/>
          <w:b/>
          <w:bCs/>
          <w:szCs w:val="24"/>
        </w:rPr>
      </w:pPr>
      <w:r w:rsidRPr="00E439D7">
        <w:rPr>
          <w:rFonts w:cs="Times New Roman"/>
          <w:b/>
          <w:bCs/>
          <w:szCs w:val="24"/>
        </w:rPr>
        <w:t xml:space="preserve">Presentation and discussion of key findings </w:t>
      </w:r>
    </w:p>
    <w:p w14:paraId="010536B4" w14:textId="77777777" w:rsidR="00706936" w:rsidRPr="00E439D7" w:rsidRDefault="00706936" w:rsidP="009F0D46">
      <w:pPr>
        <w:spacing w:after="0" w:line="240" w:lineRule="auto"/>
        <w:contextualSpacing/>
        <w:jc w:val="both"/>
        <w:rPr>
          <w:rFonts w:cs="Times New Roman"/>
          <w:color w:val="000000" w:themeColor="text1"/>
          <w:szCs w:val="24"/>
        </w:rPr>
      </w:pPr>
    </w:p>
    <w:p w14:paraId="72C098FD" w14:textId="2DF3E782" w:rsidR="00886473" w:rsidRPr="00E439D7" w:rsidRDefault="00F45DA4"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The aim of this study was to investigate the preservice management teachers’ professional knowledge, </w:t>
      </w:r>
      <w:r w:rsidR="00BE0B16" w:rsidRPr="00E439D7">
        <w:rPr>
          <w:rFonts w:cs="Times New Roman"/>
          <w:color w:val="000000" w:themeColor="text1"/>
          <w:szCs w:val="24"/>
        </w:rPr>
        <w:t>in terms of lesson plan preparation, teaching methodology and delivery, classroom organization and management as well as professional commitment</w:t>
      </w:r>
      <w:r w:rsidRPr="00E439D7">
        <w:rPr>
          <w:rFonts w:cs="Times New Roman"/>
          <w:color w:val="000000" w:themeColor="text1"/>
          <w:szCs w:val="24"/>
        </w:rPr>
        <w:t xml:space="preserve">. This section covers the “exposition”, “interpretation”, and “discussion” of findings. The results are presented into two parts: the ‘first’ one presents the “demographic” characteristics of the respondents, </w:t>
      </w:r>
      <w:r w:rsidR="008B7E8F" w:rsidRPr="00E439D7">
        <w:rPr>
          <w:rFonts w:cs="Times New Roman"/>
          <w:color w:val="000000" w:themeColor="text1"/>
          <w:szCs w:val="24"/>
        </w:rPr>
        <w:t>and</w:t>
      </w:r>
      <w:r w:rsidRPr="00E439D7">
        <w:rPr>
          <w:rFonts w:cs="Times New Roman"/>
          <w:color w:val="000000" w:themeColor="text1"/>
          <w:szCs w:val="24"/>
        </w:rPr>
        <w:t xml:space="preserve"> ‘second’ the outcomes regarding the “research questions”. In all, a valid population census of 101 preservice management teachers was used in the research.</w:t>
      </w:r>
      <w:r w:rsidR="00AF680E" w:rsidRPr="00E439D7">
        <w:rPr>
          <w:rFonts w:cs="Times New Roman"/>
          <w:color w:val="000000" w:themeColor="text1"/>
          <w:szCs w:val="24"/>
        </w:rPr>
        <w:t xml:space="preserve"> </w:t>
      </w:r>
      <w:r w:rsidR="00886473" w:rsidRPr="00E439D7">
        <w:rPr>
          <w:rFonts w:cs="Times New Roman"/>
          <w:color w:val="000000" w:themeColor="text1"/>
          <w:szCs w:val="24"/>
        </w:rPr>
        <w:t>The research aimed to gather “demographic” information about the respondents involved. Namely; sex, age distribution, teaching experiences and teaching as a career. The “background information” of the respondents was analyzed using “frequency” (f) and “percentages” (%), as depicted in Table 3.</w:t>
      </w:r>
    </w:p>
    <w:p w14:paraId="4F98A4B7" w14:textId="77777777" w:rsidR="00706936" w:rsidRPr="00E439D7" w:rsidRDefault="00706936" w:rsidP="009F0D46">
      <w:pPr>
        <w:spacing w:after="0" w:line="240" w:lineRule="auto"/>
        <w:contextualSpacing/>
        <w:jc w:val="both"/>
        <w:rPr>
          <w:rFonts w:cs="Times New Roman"/>
          <w:color w:val="000000" w:themeColor="text1"/>
          <w:szCs w:val="24"/>
        </w:rPr>
      </w:pPr>
    </w:p>
    <w:p w14:paraId="61BA2808" w14:textId="77777777" w:rsidR="00886473" w:rsidRPr="00E439D7" w:rsidRDefault="00886473" w:rsidP="009F0D46">
      <w:pPr>
        <w:pStyle w:val="Heading6"/>
        <w:spacing w:line="240" w:lineRule="auto"/>
        <w:rPr>
          <w:rFonts w:ascii="Times New Roman" w:hAnsi="Times New Roman" w:cs="Times New Roman"/>
          <w:b/>
          <w:bCs/>
          <w:color w:val="auto"/>
          <w:szCs w:val="24"/>
        </w:rPr>
      </w:pPr>
      <w:bookmarkStart w:id="12" w:name="_Toc144949693"/>
      <w:r w:rsidRPr="00E439D7">
        <w:rPr>
          <w:rFonts w:ascii="Times New Roman" w:hAnsi="Times New Roman" w:cs="Times New Roman"/>
          <w:b/>
          <w:bCs/>
          <w:color w:val="auto"/>
          <w:szCs w:val="24"/>
        </w:rPr>
        <w:t>Table 3: Demographic Characteristics of Respondents (n=101)</w:t>
      </w:r>
      <w:bookmarkEnd w:id="12"/>
      <w:r w:rsidRPr="00E439D7">
        <w:rPr>
          <w:rFonts w:ascii="Times New Roman" w:hAnsi="Times New Roman" w:cs="Times New Roman"/>
          <w:b/>
          <w:bCs/>
          <w:color w:val="auto"/>
          <w:szCs w:val="24"/>
        </w:rPr>
        <w:t xml:space="preserve"> </w:t>
      </w:r>
    </w:p>
    <w:tbl>
      <w:tblPr>
        <w:tblW w:w="8318" w:type="dxa"/>
        <w:jc w:val="center"/>
        <w:tblBorders>
          <w:top w:val="single" w:sz="4" w:space="0" w:color="auto"/>
          <w:bottom w:val="single" w:sz="4" w:space="0" w:color="auto"/>
        </w:tblBorders>
        <w:tblLook w:val="04A0" w:firstRow="1" w:lastRow="0" w:firstColumn="1" w:lastColumn="0" w:noHBand="0" w:noVBand="1"/>
      </w:tblPr>
      <w:tblGrid>
        <w:gridCol w:w="2772"/>
        <w:gridCol w:w="2773"/>
        <w:gridCol w:w="2773"/>
      </w:tblGrid>
      <w:tr w:rsidR="00886473" w:rsidRPr="00E439D7" w14:paraId="695EE9ED" w14:textId="77777777" w:rsidTr="003154A2">
        <w:trPr>
          <w:trHeight w:val="262"/>
          <w:jc w:val="center"/>
        </w:trPr>
        <w:tc>
          <w:tcPr>
            <w:tcW w:w="2772" w:type="dxa"/>
            <w:tcBorders>
              <w:top w:val="single" w:sz="4" w:space="0" w:color="auto"/>
              <w:bottom w:val="single" w:sz="4" w:space="0" w:color="auto"/>
            </w:tcBorders>
          </w:tcPr>
          <w:p w14:paraId="3D9E9A24"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Variables </w:t>
            </w:r>
          </w:p>
        </w:tc>
        <w:tc>
          <w:tcPr>
            <w:tcW w:w="2773" w:type="dxa"/>
            <w:tcBorders>
              <w:top w:val="single" w:sz="4" w:space="0" w:color="auto"/>
              <w:bottom w:val="single" w:sz="4" w:space="0" w:color="auto"/>
            </w:tcBorders>
          </w:tcPr>
          <w:p w14:paraId="088C2BC0"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N</w:t>
            </w:r>
          </w:p>
        </w:tc>
        <w:tc>
          <w:tcPr>
            <w:tcW w:w="2773" w:type="dxa"/>
            <w:tcBorders>
              <w:top w:val="single" w:sz="4" w:space="0" w:color="auto"/>
              <w:bottom w:val="single" w:sz="4" w:space="0" w:color="auto"/>
            </w:tcBorders>
          </w:tcPr>
          <w:p w14:paraId="047721F8"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w:t>
            </w:r>
          </w:p>
        </w:tc>
      </w:tr>
      <w:tr w:rsidR="00886473" w:rsidRPr="00E439D7" w14:paraId="6AC7B447" w14:textId="77777777" w:rsidTr="003154A2">
        <w:trPr>
          <w:trHeight w:val="253"/>
          <w:jc w:val="center"/>
        </w:trPr>
        <w:tc>
          <w:tcPr>
            <w:tcW w:w="2772" w:type="dxa"/>
            <w:tcBorders>
              <w:top w:val="single" w:sz="4" w:space="0" w:color="auto"/>
            </w:tcBorders>
          </w:tcPr>
          <w:p w14:paraId="79412A32"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Sex distribution: </w:t>
            </w:r>
          </w:p>
        </w:tc>
        <w:tc>
          <w:tcPr>
            <w:tcW w:w="2773" w:type="dxa"/>
            <w:tcBorders>
              <w:top w:val="single" w:sz="4" w:space="0" w:color="auto"/>
            </w:tcBorders>
          </w:tcPr>
          <w:p w14:paraId="53FCBF17" w14:textId="77777777" w:rsidR="00886473" w:rsidRPr="00E439D7" w:rsidRDefault="00886473" w:rsidP="002D7883">
            <w:pPr>
              <w:spacing w:after="0" w:line="240" w:lineRule="auto"/>
              <w:jc w:val="both"/>
              <w:rPr>
                <w:rFonts w:cs="Times New Roman"/>
                <w:color w:val="000000" w:themeColor="text1"/>
                <w:szCs w:val="24"/>
              </w:rPr>
            </w:pPr>
          </w:p>
        </w:tc>
        <w:tc>
          <w:tcPr>
            <w:tcW w:w="2773" w:type="dxa"/>
            <w:tcBorders>
              <w:top w:val="single" w:sz="4" w:space="0" w:color="auto"/>
            </w:tcBorders>
          </w:tcPr>
          <w:p w14:paraId="223BCA2C" w14:textId="77777777" w:rsidR="00886473" w:rsidRPr="00E439D7" w:rsidRDefault="00886473" w:rsidP="002D7883">
            <w:pPr>
              <w:spacing w:after="0" w:line="240" w:lineRule="auto"/>
              <w:jc w:val="both"/>
              <w:rPr>
                <w:rFonts w:cs="Times New Roman"/>
                <w:color w:val="000000" w:themeColor="text1"/>
                <w:szCs w:val="24"/>
              </w:rPr>
            </w:pPr>
          </w:p>
        </w:tc>
      </w:tr>
      <w:tr w:rsidR="00886473" w:rsidRPr="00E439D7" w14:paraId="67565E80" w14:textId="77777777" w:rsidTr="003154A2">
        <w:trPr>
          <w:trHeight w:val="262"/>
          <w:jc w:val="center"/>
        </w:trPr>
        <w:tc>
          <w:tcPr>
            <w:tcW w:w="2772" w:type="dxa"/>
          </w:tcPr>
          <w:p w14:paraId="0A5BEDC6"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Male </w:t>
            </w:r>
          </w:p>
        </w:tc>
        <w:tc>
          <w:tcPr>
            <w:tcW w:w="2773" w:type="dxa"/>
          </w:tcPr>
          <w:p w14:paraId="03BD80A7"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58</w:t>
            </w:r>
          </w:p>
        </w:tc>
        <w:tc>
          <w:tcPr>
            <w:tcW w:w="2773" w:type="dxa"/>
          </w:tcPr>
          <w:p w14:paraId="17FD313B"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57.4</w:t>
            </w:r>
          </w:p>
        </w:tc>
      </w:tr>
      <w:tr w:rsidR="00886473" w:rsidRPr="00E439D7" w14:paraId="4C1DBB43" w14:textId="77777777" w:rsidTr="003154A2">
        <w:trPr>
          <w:trHeight w:val="171"/>
          <w:jc w:val="center"/>
        </w:trPr>
        <w:tc>
          <w:tcPr>
            <w:tcW w:w="2772" w:type="dxa"/>
          </w:tcPr>
          <w:p w14:paraId="77744BEF"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Female </w:t>
            </w:r>
          </w:p>
        </w:tc>
        <w:tc>
          <w:tcPr>
            <w:tcW w:w="2773" w:type="dxa"/>
          </w:tcPr>
          <w:p w14:paraId="4391FE32"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43</w:t>
            </w:r>
          </w:p>
        </w:tc>
        <w:tc>
          <w:tcPr>
            <w:tcW w:w="2773" w:type="dxa"/>
          </w:tcPr>
          <w:p w14:paraId="52D18D12"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42.6</w:t>
            </w:r>
          </w:p>
        </w:tc>
      </w:tr>
      <w:tr w:rsidR="00886473" w:rsidRPr="00E439D7" w14:paraId="34DAE713" w14:textId="77777777" w:rsidTr="003154A2">
        <w:trPr>
          <w:trHeight w:val="262"/>
          <w:jc w:val="center"/>
        </w:trPr>
        <w:tc>
          <w:tcPr>
            <w:tcW w:w="2772" w:type="dxa"/>
          </w:tcPr>
          <w:p w14:paraId="2BA5DD5F"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Age distribution:</w:t>
            </w:r>
          </w:p>
        </w:tc>
        <w:tc>
          <w:tcPr>
            <w:tcW w:w="2773" w:type="dxa"/>
          </w:tcPr>
          <w:p w14:paraId="152A4BCC" w14:textId="77777777" w:rsidR="00886473" w:rsidRPr="00E439D7" w:rsidRDefault="00886473" w:rsidP="002D7883">
            <w:pPr>
              <w:spacing w:after="0" w:line="240" w:lineRule="auto"/>
              <w:jc w:val="both"/>
              <w:rPr>
                <w:rFonts w:cs="Times New Roman"/>
                <w:color w:val="000000" w:themeColor="text1"/>
                <w:szCs w:val="24"/>
              </w:rPr>
            </w:pPr>
          </w:p>
        </w:tc>
        <w:tc>
          <w:tcPr>
            <w:tcW w:w="2773" w:type="dxa"/>
          </w:tcPr>
          <w:p w14:paraId="12AA9320" w14:textId="77777777" w:rsidR="00886473" w:rsidRPr="00E439D7" w:rsidRDefault="00886473" w:rsidP="002D7883">
            <w:pPr>
              <w:spacing w:after="0" w:line="240" w:lineRule="auto"/>
              <w:jc w:val="both"/>
              <w:rPr>
                <w:rFonts w:cs="Times New Roman"/>
                <w:color w:val="000000" w:themeColor="text1"/>
                <w:szCs w:val="24"/>
              </w:rPr>
            </w:pPr>
          </w:p>
        </w:tc>
      </w:tr>
      <w:tr w:rsidR="00886473" w:rsidRPr="00E439D7" w14:paraId="70098FB8" w14:textId="77777777" w:rsidTr="003154A2">
        <w:trPr>
          <w:trHeight w:val="262"/>
          <w:jc w:val="center"/>
        </w:trPr>
        <w:tc>
          <w:tcPr>
            <w:tcW w:w="2772" w:type="dxa"/>
          </w:tcPr>
          <w:p w14:paraId="4CDFA36F"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20-24</w:t>
            </w:r>
          </w:p>
        </w:tc>
        <w:tc>
          <w:tcPr>
            <w:tcW w:w="2773" w:type="dxa"/>
          </w:tcPr>
          <w:p w14:paraId="3A8DC9DE"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65</w:t>
            </w:r>
          </w:p>
        </w:tc>
        <w:tc>
          <w:tcPr>
            <w:tcW w:w="2773" w:type="dxa"/>
          </w:tcPr>
          <w:p w14:paraId="6C861CBE"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64.3</w:t>
            </w:r>
          </w:p>
        </w:tc>
      </w:tr>
      <w:tr w:rsidR="00886473" w:rsidRPr="00E439D7" w14:paraId="2DE3800A" w14:textId="77777777" w:rsidTr="003154A2">
        <w:trPr>
          <w:trHeight w:val="253"/>
          <w:jc w:val="center"/>
        </w:trPr>
        <w:tc>
          <w:tcPr>
            <w:tcW w:w="2772" w:type="dxa"/>
          </w:tcPr>
          <w:p w14:paraId="39DB78DC"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25-29</w:t>
            </w:r>
          </w:p>
        </w:tc>
        <w:tc>
          <w:tcPr>
            <w:tcW w:w="2773" w:type="dxa"/>
          </w:tcPr>
          <w:p w14:paraId="33B862DE"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33</w:t>
            </w:r>
          </w:p>
        </w:tc>
        <w:tc>
          <w:tcPr>
            <w:tcW w:w="2773" w:type="dxa"/>
          </w:tcPr>
          <w:p w14:paraId="43B5BB69"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32.7</w:t>
            </w:r>
          </w:p>
        </w:tc>
      </w:tr>
      <w:tr w:rsidR="00886473" w:rsidRPr="00E439D7" w14:paraId="299DBE15" w14:textId="77777777" w:rsidTr="003154A2">
        <w:trPr>
          <w:trHeight w:val="262"/>
          <w:jc w:val="center"/>
        </w:trPr>
        <w:tc>
          <w:tcPr>
            <w:tcW w:w="2772" w:type="dxa"/>
          </w:tcPr>
          <w:p w14:paraId="0BB3D1C2"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30-34</w:t>
            </w:r>
          </w:p>
        </w:tc>
        <w:tc>
          <w:tcPr>
            <w:tcW w:w="2773" w:type="dxa"/>
          </w:tcPr>
          <w:p w14:paraId="0C82B5F4"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w:t>
            </w:r>
          </w:p>
        </w:tc>
        <w:tc>
          <w:tcPr>
            <w:tcW w:w="2773" w:type="dxa"/>
          </w:tcPr>
          <w:p w14:paraId="0D8B0725"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3.0</w:t>
            </w:r>
          </w:p>
        </w:tc>
      </w:tr>
      <w:tr w:rsidR="00886473" w:rsidRPr="00E439D7" w14:paraId="39FEC841" w14:textId="77777777" w:rsidTr="003154A2">
        <w:trPr>
          <w:trHeight w:val="70"/>
          <w:jc w:val="center"/>
        </w:trPr>
        <w:tc>
          <w:tcPr>
            <w:tcW w:w="2772" w:type="dxa"/>
          </w:tcPr>
          <w:p w14:paraId="2391E27A"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35-39</w:t>
            </w:r>
          </w:p>
        </w:tc>
        <w:tc>
          <w:tcPr>
            <w:tcW w:w="2773" w:type="dxa"/>
          </w:tcPr>
          <w:p w14:paraId="2EAA3AAA"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w:t>
            </w:r>
          </w:p>
        </w:tc>
        <w:tc>
          <w:tcPr>
            <w:tcW w:w="2773" w:type="dxa"/>
          </w:tcPr>
          <w:p w14:paraId="53994527"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w:t>
            </w:r>
          </w:p>
        </w:tc>
      </w:tr>
      <w:tr w:rsidR="00886473" w:rsidRPr="00E439D7" w14:paraId="5B051508" w14:textId="77777777" w:rsidTr="003154A2">
        <w:trPr>
          <w:trHeight w:val="262"/>
          <w:jc w:val="center"/>
        </w:trPr>
        <w:tc>
          <w:tcPr>
            <w:tcW w:w="2772" w:type="dxa"/>
          </w:tcPr>
          <w:p w14:paraId="7E552C58"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Teaching experience </w:t>
            </w:r>
          </w:p>
        </w:tc>
        <w:tc>
          <w:tcPr>
            <w:tcW w:w="2773" w:type="dxa"/>
          </w:tcPr>
          <w:p w14:paraId="249317CB" w14:textId="77777777" w:rsidR="00886473" w:rsidRPr="00E439D7" w:rsidRDefault="00886473" w:rsidP="002D7883">
            <w:pPr>
              <w:spacing w:after="0" w:line="240" w:lineRule="auto"/>
              <w:jc w:val="both"/>
              <w:rPr>
                <w:rFonts w:cs="Times New Roman"/>
                <w:color w:val="000000" w:themeColor="text1"/>
                <w:szCs w:val="24"/>
              </w:rPr>
            </w:pPr>
          </w:p>
        </w:tc>
        <w:tc>
          <w:tcPr>
            <w:tcW w:w="2773" w:type="dxa"/>
          </w:tcPr>
          <w:p w14:paraId="3A0488E9" w14:textId="77777777" w:rsidR="00886473" w:rsidRPr="00E439D7" w:rsidRDefault="00886473" w:rsidP="002D7883">
            <w:pPr>
              <w:spacing w:after="0" w:line="240" w:lineRule="auto"/>
              <w:jc w:val="both"/>
              <w:rPr>
                <w:rFonts w:cs="Times New Roman"/>
                <w:color w:val="000000" w:themeColor="text1"/>
                <w:szCs w:val="24"/>
              </w:rPr>
            </w:pPr>
          </w:p>
        </w:tc>
      </w:tr>
      <w:tr w:rsidR="00886473" w:rsidRPr="00E439D7" w14:paraId="574C316F" w14:textId="77777777" w:rsidTr="003154A2">
        <w:trPr>
          <w:trHeight w:val="262"/>
          <w:jc w:val="center"/>
        </w:trPr>
        <w:tc>
          <w:tcPr>
            <w:tcW w:w="2772" w:type="dxa"/>
          </w:tcPr>
          <w:p w14:paraId="6D04AB32"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Yes </w:t>
            </w:r>
          </w:p>
        </w:tc>
        <w:tc>
          <w:tcPr>
            <w:tcW w:w="2773" w:type="dxa"/>
          </w:tcPr>
          <w:p w14:paraId="67288E74"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98</w:t>
            </w:r>
          </w:p>
        </w:tc>
        <w:tc>
          <w:tcPr>
            <w:tcW w:w="2773" w:type="dxa"/>
          </w:tcPr>
          <w:p w14:paraId="19EDEA8F"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97.0</w:t>
            </w:r>
          </w:p>
        </w:tc>
      </w:tr>
      <w:tr w:rsidR="00886473" w:rsidRPr="00E439D7" w14:paraId="3B5B67B0" w14:textId="77777777" w:rsidTr="003154A2">
        <w:trPr>
          <w:trHeight w:val="253"/>
          <w:jc w:val="center"/>
        </w:trPr>
        <w:tc>
          <w:tcPr>
            <w:tcW w:w="2772" w:type="dxa"/>
          </w:tcPr>
          <w:p w14:paraId="21116616"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No </w:t>
            </w:r>
          </w:p>
        </w:tc>
        <w:tc>
          <w:tcPr>
            <w:tcW w:w="2773" w:type="dxa"/>
          </w:tcPr>
          <w:p w14:paraId="33863003"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w:t>
            </w:r>
          </w:p>
        </w:tc>
        <w:tc>
          <w:tcPr>
            <w:tcW w:w="2773" w:type="dxa"/>
          </w:tcPr>
          <w:p w14:paraId="3DECAAA6"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3.0</w:t>
            </w:r>
          </w:p>
        </w:tc>
      </w:tr>
      <w:tr w:rsidR="00886473" w:rsidRPr="00E439D7" w14:paraId="6291E02B" w14:textId="77777777" w:rsidTr="003154A2">
        <w:trPr>
          <w:trHeight w:val="262"/>
          <w:jc w:val="center"/>
        </w:trPr>
        <w:tc>
          <w:tcPr>
            <w:tcW w:w="2772" w:type="dxa"/>
          </w:tcPr>
          <w:p w14:paraId="3CA5AC6B"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Teaching as a career</w:t>
            </w:r>
          </w:p>
        </w:tc>
        <w:tc>
          <w:tcPr>
            <w:tcW w:w="2773" w:type="dxa"/>
          </w:tcPr>
          <w:p w14:paraId="3AD46AC6" w14:textId="77777777" w:rsidR="00886473" w:rsidRPr="00E439D7" w:rsidRDefault="00886473" w:rsidP="002D7883">
            <w:pPr>
              <w:spacing w:after="0" w:line="240" w:lineRule="auto"/>
              <w:jc w:val="both"/>
              <w:rPr>
                <w:rFonts w:cs="Times New Roman"/>
                <w:color w:val="000000" w:themeColor="text1"/>
                <w:szCs w:val="24"/>
              </w:rPr>
            </w:pPr>
          </w:p>
        </w:tc>
        <w:tc>
          <w:tcPr>
            <w:tcW w:w="2773" w:type="dxa"/>
          </w:tcPr>
          <w:p w14:paraId="021108F9" w14:textId="77777777" w:rsidR="00886473" w:rsidRPr="00E439D7" w:rsidRDefault="00886473" w:rsidP="002D7883">
            <w:pPr>
              <w:spacing w:after="0" w:line="240" w:lineRule="auto"/>
              <w:jc w:val="both"/>
              <w:rPr>
                <w:rFonts w:cs="Times New Roman"/>
                <w:color w:val="000000" w:themeColor="text1"/>
                <w:szCs w:val="24"/>
              </w:rPr>
            </w:pPr>
          </w:p>
        </w:tc>
      </w:tr>
      <w:tr w:rsidR="00886473" w:rsidRPr="00E439D7" w14:paraId="5A8FFD52" w14:textId="77777777" w:rsidTr="003154A2">
        <w:trPr>
          <w:trHeight w:val="253"/>
          <w:jc w:val="center"/>
        </w:trPr>
        <w:tc>
          <w:tcPr>
            <w:tcW w:w="2772" w:type="dxa"/>
          </w:tcPr>
          <w:p w14:paraId="1151B5CE"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Yes </w:t>
            </w:r>
          </w:p>
        </w:tc>
        <w:tc>
          <w:tcPr>
            <w:tcW w:w="2773" w:type="dxa"/>
          </w:tcPr>
          <w:p w14:paraId="06B864B3"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78</w:t>
            </w:r>
          </w:p>
        </w:tc>
        <w:tc>
          <w:tcPr>
            <w:tcW w:w="2773" w:type="dxa"/>
          </w:tcPr>
          <w:p w14:paraId="6AFBD7BA"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77.2</w:t>
            </w:r>
          </w:p>
        </w:tc>
      </w:tr>
      <w:tr w:rsidR="00886473" w:rsidRPr="00E439D7" w14:paraId="2E2E9F19" w14:textId="77777777" w:rsidTr="003154A2">
        <w:trPr>
          <w:trHeight w:val="262"/>
          <w:jc w:val="center"/>
        </w:trPr>
        <w:tc>
          <w:tcPr>
            <w:tcW w:w="2772" w:type="dxa"/>
          </w:tcPr>
          <w:p w14:paraId="60F60B47"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 xml:space="preserve">No </w:t>
            </w:r>
          </w:p>
        </w:tc>
        <w:tc>
          <w:tcPr>
            <w:tcW w:w="2773" w:type="dxa"/>
          </w:tcPr>
          <w:p w14:paraId="5A1B907D"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23</w:t>
            </w:r>
          </w:p>
        </w:tc>
        <w:tc>
          <w:tcPr>
            <w:tcW w:w="2773" w:type="dxa"/>
          </w:tcPr>
          <w:p w14:paraId="6E82E240" w14:textId="77777777" w:rsidR="00886473" w:rsidRPr="00E439D7" w:rsidRDefault="00886473" w:rsidP="002D7883">
            <w:pPr>
              <w:spacing w:after="0" w:line="240" w:lineRule="auto"/>
              <w:jc w:val="both"/>
              <w:rPr>
                <w:rFonts w:cs="Times New Roman"/>
                <w:color w:val="000000" w:themeColor="text1"/>
                <w:szCs w:val="24"/>
              </w:rPr>
            </w:pPr>
            <w:r w:rsidRPr="00E439D7">
              <w:rPr>
                <w:rFonts w:cs="Times New Roman"/>
                <w:color w:val="000000" w:themeColor="text1"/>
                <w:szCs w:val="24"/>
              </w:rPr>
              <w:t>22.8</w:t>
            </w:r>
          </w:p>
        </w:tc>
      </w:tr>
    </w:tbl>
    <w:p w14:paraId="4D9A40A6" w14:textId="47B97D53" w:rsidR="00886473" w:rsidRPr="00E439D7" w:rsidRDefault="00886473"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Source: Field survey (202</w:t>
      </w:r>
      <w:r w:rsidR="007C5AA3" w:rsidRPr="00E439D7">
        <w:rPr>
          <w:rFonts w:cs="Times New Roman"/>
          <w:color w:val="000000" w:themeColor="text1"/>
          <w:szCs w:val="24"/>
        </w:rPr>
        <w:t>4</w:t>
      </w:r>
      <w:r w:rsidRPr="00E439D7">
        <w:rPr>
          <w:rFonts w:cs="Times New Roman"/>
          <w:color w:val="000000" w:themeColor="text1"/>
          <w:szCs w:val="24"/>
        </w:rPr>
        <w:t xml:space="preserve">)  </w:t>
      </w:r>
    </w:p>
    <w:p w14:paraId="345CF68F" w14:textId="77777777" w:rsidR="007F53E9" w:rsidRPr="00E439D7" w:rsidRDefault="007F53E9" w:rsidP="009F0D46">
      <w:pPr>
        <w:spacing w:after="0" w:line="240" w:lineRule="auto"/>
        <w:contextualSpacing/>
        <w:jc w:val="both"/>
        <w:rPr>
          <w:rFonts w:cs="Times New Roman"/>
          <w:color w:val="000000" w:themeColor="text1"/>
          <w:szCs w:val="24"/>
        </w:rPr>
      </w:pPr>
    </w:p>
    <w:p w14:paraId="1ED964F9" w14:textId="2BFA16FD" w:rsidR="00886473" w:rsidRPr="00E439D7" w:rsidRDefault="00886473"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Table </w:t>
      </w:r>
      <w:r w:rsidR="00045C9F" w:rsidRPr="00E439D7">
        <w:rPr>
          <w:rFonts w:cs="Times New Roman"/>
          <w:color w:val="000000" w:themeColor="text1"/>
          <w:szCs w:val="24"/>
        </w:rPr>
        <w:t>3</w:t>
      </w:r>
      <w:r w:rsidRPr="00E439D7">
        <w:rPr>
          <w:rFonts w:cs="Times New Roman"/>
          <w:color w:val="000000" w:themeColor="text1"/>
          <w:szCs w:val="24"/>
        </w:rPr>
        <w:t xml:space="preserve"> presents the findings regarding the background characteristics of the respondents. In terms of gender (sex) distribution, the analysis revealed that the majority, 58 (57.4%), were male(s), while the rest of the respondents were female(s). This indicates that there were more male respondents (preservice management teachers) than female respondents participating in off-campus teaching practice. Regarding their age distribution, the findings revealed that most, 65 (64.3%) of the respondents, were in the 20-24 age group, while 33 (22.7%) fell within the 25-29 age group, and the remaining respondents were aged 30-34. This finding suggests that most of the preservice management teachers are young adults (matured). It is presumed these are capable to decide whether to participate in the study or not.</w:t>
      </w:r>
      <w:r w:rsidR="007F53E9" w:rsidRPr="00E439D7">
        <w:rPr>
          <w:rFonts w:cs="Times New Roman"/>
          <w:color w:val="000000" w:themeColor="text1"/>
          <w:szCs w:val="24"/>
        </w:rPr>
        <w:t xml:space="preserve"> </w:t>
      </w:r>
      <w:r w:rsidRPr="00E439D7">
        <w:rPr>
          <w:rFonts w:cs="Times New Roman"/>
          <w:color w:val="000000" w:themeColor="text1"/>
          <w:szCs w:val="24"/>
        </w:rPr>
        <w:t xml:space="preserve">Regarding their teaching experience, majority 98 (97%) of the respondents had teaching experience whilst the rest did not. </w:t>
      </w:r>
    </w:p>
    <w:p w14:paraId="51062701" w14:textId="77777777" w:rsidR="00E35E20" w:rsidRPr="00E439D7" w:rsidRDefault="00E35E20" w:rsidP="009F0D46">
      <w:pPr>
        <w:spacing w:after="0" w:line="240" w:lineRule="auto"/>
        <w:contextualSpacing/>
        <w:jc w:val="both"/>
        <w:rPr>
          <w:rFonts w:cs="Times New Roman"/>
          <w:b/>
          <w:bCs/>
          <w:color w:val="000000" w:themeColor="text1"/>
          <w:szCs w:val="24"/>
        </w:rPr>
      </w:pPr>
    </w:p>
    <w:p w14:paraId="21440808" w14:textId="37299356" w:rsidR="001C455C" w:rsidRPr="00E439D7" w:rsidRDefault="004D47C0" w:rsidP="009F0D46">
      <w:pPr>
        <w:spacing w:after="0" w:line="240" w:lineRule="auto"/>
        <w:contextualSpacing/>
        <w:jc w:val="both"/>
        <w:rPr>
          <w:rFonts w:cs="Times New Roman"/>
          <w:b/>
          <w:bCs/>
          <w:color w:val="000000" w:themeColor="text1"/>
          <w:szCs w:val="24"/>
        </w:rPr>
      </w:pPr>
      <w:r w:rsidRPr="00E439D7">
        <w:rPr>
          <w:rFonts w:cs="Times New Roman"/>
          <w:b/>
          <w:bCs/>
          <w:color w:val="000000" w:themeColor="text1"/>
          <w:szCs w:val="24"/>
        </w:rPr>
        <w:t>Presentation of key findings</w:t>
      </w:r>
    </w:p>
    <w:p w14:paraId="5C38F7A7" w14:textId="77777777" w:rsidR="004F2345" w:rsidRPr="00E439D7" w:rsidRDefault="004F2345" w:rsidP="005362B4">
      <w:pPr>
        <w:spacing w:after="0" w:line="240" w:lineRule="auto"/>
        <w:contextualSpacing/>
        <w:jc w:val="both"/>
        <w:rPr>
          <w:rFonts w:cs="Times New Roman"/>
          <w:color w:val="000000" w:themeColor="text1"/>
          <w:szCs w:val="24"/>
        </w:rPr>
      </w:pPr>
    </w:p>
    <w:p w14:paraId="7AF5A400" w14:textId="46F5BBF8" w:rsidR="00AF4A88" w:rsidRPr="00E439D7" w:rsidRDefault="001C455C" w:rsidP="005362B4">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Primarily, this aimed to investigate preservice management teachers’ level of professional knowledge regarding “lesson plan preparation”, application of “teaching methodologies and delivery”, “classroom organization and management” as well as their “professional commitment”. </w:t>
      </w:r>
      <w:r w:rsidRPr="00E439D7">
        <w:rPr>
          <w:rFonts w:cs="Times New Roman"/>
          <w:color w:val="000000" w:themeColor="text1"/>
          <w:szCs w:val="24"/>
        </w:rPr>
        <w:lastRenderedPageBreak/>
        <w:t xml:space="preserve">The respondents were asked to specify their level of knowledge from a Likert scale of 1 to 5, where 1= lowest and 5=highest. Table </w:t>
      </w:r>
      <w:r w:rsidR="0032680A" w:rsidRPr="00E439D7">
        <w:rPr>
          <w:rFonts w:cs="Times New Roman"/>
          <w:color w:val="000000" w:themeColor="text1"/>
          <w:szCs w:val="24"/>
        </w:rPr>
        <w:t>4</w:t>
      </w:r>
      <w:r w:rsidRPr="00E439D7">
        <w:rPr>
          <w:rFonts w:cs="Times New Roman"/>
          <w:color w:val="000000" w:themeColor="text1"/>
          <w:szCs w:val="24"/>
        </w:rPr>
        <w:t xml:space="preserve"> displays the summarized descriptive findings.</w:t>
      </w:r>
      <w:bookmarkStart w:id="13" w:name="_Toc144949694"/>
    </w:p>
    <w:p w14:paraId="1C585C66" w14:textId="77777777" w:rsidR="005362B4" w:rsidRPr="00E439D7" w:rsidRDefault="005362B4" w:rsidP="005362B4">
      <w:pPr>
        <w:spacing w:after="0" w:line="240" w:lineRule="auto"/>
        <w:contextualSpacing/>
        <w:jc w:val="both"/>
        <w:rPr>
          <w:rFonts w:cs="Times New Roman"/>
          <w:color w:val="000000" w:themeColor="text1"/>
          <w:szCs w:val="24"/>
        </w:rPr>
      </w:pPr>
    </w:p>
    <w:p w14:paraId="0A4BDA4A" w14:textId="4A8D2395" w:rsidR="001C455C" w:rsidRPr="00E439D7" w:rsidRDefault="001C455C" w:rsidP="009F0D46">
      <w:pPr>
        <w:pStyle w:val="Heading6"/>
        <w:spacing w:line="240" w:lineRule="auto"/>
        <w:rPr>
          <w:rFonts w:ascii="Times New Roman" w:hAnsi="Times New Roman" w:cs="Times New Roman"/>
          <w:b/>
          <w:bCs/>
          <w:color w:val="auto"/>
          <w:szCs w:val="24"/>
        </w:rPr>
      </w:pPr>
      <w:r w:rsidRPr="00E439D7">
        <w:rPr>
          <w:rFonts w:ascii="Times New Roman" w:hAnsi="Times New Roman" w:cs="Times New Roman"/>
          <w:b/>
          <w:bCs/>
          <w:color w:val="auto"/>
          <w:szCs w:val="24"/>
        </w:rPr>
        <w:t xml:space="preserve">Table </w:t>
      </w:r>
      <w:r w:rsidR="00651022" w:rsidRPr="00E439D7">
        <w:rPr>
          <w:rFonts w:ascii="Times New Roman" w:hAnsi="Times New Roman" w:cs="Times New Roman"/>
          <w:b/>
          <w:bCs/>
          <w:color w:val="auto"/>
          <w:szCs w:val="24"/>
        </w:rPr>
        <w:t>4</w:t>
      </w:r>
      <w:r w:rsidRPr="00E439D7">
        <w:rPr>
          <w:rFonts w:ascii="Times New Roman" w:hAnsi="Times New Roman" w:cs="Times New Roman"/>
          <w:b/>
          <w:bCs/>
          <w:color w:val="auto"/>
          <w:szCs w:val="24"/>
        </w:rPr>
        <w:t>: Preservice Management Teachers’ Level of Professional Knowledge</w:t>
      </w:r>
      <w:bookmarkEnd w:id="13"/>
    </w:p>
    <w:tbl>
      <w:tblPr>
        <w:tblW w:w="0" w:type="auto"/>
        <w:tblBorders>
          <w:top w:val="single" w:sz="4" w:space="0" w:color="auto"/>
          <w:bottom w:val="single" w:sz="4" w:space="0" w:color="auto"/>
        </w:tblBorders>
        <w:tblLook w:val="04A0" w:firstRow="1" w:lastRow="0" w:firstColumn="1" w:lastColumn="0" w:noHBand="0" w:noVBand="1"/>
      </w:tblPr>
      <w:tblGrid>
        <w:gridCol w:w="4626"/>
        <w:gridCol w:w="803"/>
        <w:gridCol w:w="808"/>
        <w:gridCol w:w="1683"/>
      </w:tblGrid>
      <w:tr w:rsidR="001C455C" w:rsidRPr="00E439D7" w14:paraId="12E7E921" w14:textId="77777777" w:rsidTr="003154A2">
        <w:tc>
          <w:tcPr>
            <w:tcW w:w="4626" w:type="dxa"/>
            <w:tcBorders>
              <w:top w:val="single" w:sz="4" w:space="0" w:color="auto"/>
              <w:bottom w:val="single" w:sz="4" w:space="0" w:color="auto"/>
            </w:tcBorders>
          </w:tcPr>
          <w:p w14:paraId="1B021157"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Indicators </w:t>
            </w:r>
          </w:p>
        </w:tc>
        <w:tc>
          <w:tcPr>
            <w:tcW w:w="803" w:type="dxa"/>
            <w:tcBorders>
              <w:top w:val="single" w:sz="4" w:space="0" w:color="auto"/>
              <w:bottom w:val="single" w:sz="4" w:space="0" w:color="auto"/>
            </w:tcBorders>
          </w:tcPr>
          <w:p w14:paraId="396002E2"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Mean </w:t>
            </w:r>
          </w:p>
        </w:tc>
        <w:tc>
          <w:tcPr>
            <w:tcW w:w="808" w:type="dxa"/>
            <w:tcBorders>
              <w:top w:val="single" w:sz="4" w:space="0" w:color="auto"/>
              <w:bottom w:val="single" w:sz="4" w:space="0" w:color="auto"/>
            </w:tcBorders>
          </w:tcPr>
          <w:p w14:paraId="335B6E7F"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SD</w:t>
            </w:r>
          </w:p>
        </w:tc>
        <w:tc>
          <w:tcPr>
            <w:tcW w:w="1683" w:type="dxa"/>
            <w:tcBorders>
              <w:top w:val="single" w:sz="4" w:space="0" w:color="auto"/>
              <w:bottom w:val="single" w:sz="4" w:space="0" w:color="auto"/>
            </w:tcBorders>
          </w:tcPr>
          <w:p w14:paraId="55AAC22C"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Interpretation </w:t>
            </w:r>
          </w:p>
        </w:tc>
      </w:tr>
      <w:tr w:rsidR="001C455C" w:rsidRPr="00E439D7" w14:paraId="5D48D2B6" w14:textId="77777777" w:rsidTr="003154A2">
        <w:tc>
          <w:tcPr>
            <w:tcW w:w="4626" w:type="dxa"/>
            <w:tcBorders>
              <w:top w:val="single" w:sz="4" w:space="0" w:color="auto"/>
            </w:tcBorders>
          </w:tcPr>
          <w:p w14:paraId="65E753FA"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Lesson Plan</w:t>
            </w:r>
          </w:p>
        </w:tc>
        <w:tc>
          <w:tcPr>
            <w:tcW w:w="803" w:type="dxa"/>
            <w:tcBorders>
              <w:top w:val="single" w:sz="4" w:space="0" w:color="auto"/>
            </w:tcBorders>
          </w:tcPr>
          <w:p w14:paraId="768D987A" w14:textId="6DF7BDE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4.4</w:t>
            </w:r>
            <w:r w:rsidR="006C30C3" w:rsidRPr="00E439D7">
              <w:rPr>
                <w:rFonts w:cs="Times New Roman"/>
                <w:color w:val="000000" w:themeColor="text1"/>
                <w:szCs w:val="24"/>
              </w:rPr>
              <w:t>4</w:t>
            </w:r>
          </w:p>
        </w:tc>
        <w:tc>
          <w:tcPr>
            <w:tcW w:w="808" w:type="dxa"/>
            <w:tcBorders>
              <w:top w:val="single" w:sz="4" w:space="0" w:color="auto"/>
            </w:tcBorders>
          </w:tcPr>
          <w:p w14:paraId="311F676C" w14:textId="790AD190"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.80</w:t>
            </w:r>
          </w:p>
        </w:tc>
        <w:tc>
          <w:tcPr>
            <w:tcW w:w="1683" w:type="dxa"/>
            <w:tcBorders>
              <w:top w:val="single" w:sz="4" w:space="0" w:color="auto"/>
            </w:tcBorders>
          </w:tcPr>
          <w:p w14:paraId="1CCF71AE"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High </w:t>
            </w:r>
          </w:p>
        </w:tc>
      </w:tr>
      <w:tr w:rsidR="001C455C" w:rsidRPr="00E439D7" w14:paraId="19ABC929" w14:textId="77777777" w:rsidTr="003154A2">
        <w:tc>
          <w:tcPr>
            <w:tcW w:w="4626" w:type="dxa"/>
          </w:tcPr>
          <w:p w14:paraId="4DC87A4A"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Teaching Methodology and delivery</w:t>
            </w:r>
          </w:p>
        </w:tc>
        <w:tc>
          <w:tcPr>
            <w:tcW w:w="803" w:type="dxa"/>
          </w:tcPr>
          <w:p w14:paraId="1F08517C" w14:textId="543D40C0"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4.27</w:t>
            </w:r>
          </w:p>
        </w:tc>
        <w:tc>
          <w:tcPr>
            <w:tcW w:w="808" w:type="dxa"/>
          </w:tcPr>
          <w:p w14:paraId="1D2ACB67" w14:textId="2F16674B"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.69</w:t>
            </w:r>
          </w:p>
        </w:tc>
        <w:tc>
          <w:tcPr>
            <w:tcW w:w="1683" w:type="dxa"/>
          </w:tcPr>
          <w:p w14:paraId="0DCA0197"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High </w:t>
            </w:r>
          </w:p>
        </w:tc>
      </w:tr>
      <w:tr w:rsidR="001C455C" w:rsidRPr="00E439D7" w14:paraId="319D12D6" w14:textId="77777777" w:rsidTr="003154A2">
        <w:tc>
          <w:tcPr>
            <w:tcW w:w="4626" w:type="dxa"/>
          </w:tcPr>
          <w:p w14:paraId="6E50F26C"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Classroom </w:t>
            </w:r>
            <w:proofErr w:type="spellStart"/>
            <w:r w:rsidRPr="00E439D7">
              <w:rPr>
                <w:rFonts w:cs="Times New Roman"/>
                <w:color w:val="000000" w:themeColor="text1"/>
                <w:szCs w:val="24"/>
              </w:rPr>
              <w:t>Organisation</w:t>
            </w:r>
            <w:proofErr w:type="spellEnd"/>
            <w:r w:rsidRPr="00E439D7">
              <w:rPr>
                <w:rFonts w:cs="Times New Roman"/>
                <w:color w:val="000000" w:themeColor="text1"/>
                <w:szCs w:val="24"/>
              </w:rPr>
              <w:t xml:space="preserve"> Management </w:t>
            </w:r>
          </w:p>
        </w:tc>
        <w:tc>
          <w:tcPr>
            <w:tcW w:w="803" w:type="dxa"/>
          </w:tcPr>
          <w:p w14:paraId="327112D8" w14:textId="13B10866"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4.</w:t>
            </w:r>
            <w:r w:rsidR="006C30C3" w:rsidRPr="00E439D7">
              <w:rPr>
                <w:rFonts w:cs="Times New Roman"/>
                <w:color w:val="000000" w:themeColor="text1"/>
                <w:szCs w:val="24"/>
              </w:rPr>
              <w:t>20</w:t>
            </w:r>
          </w:p>
        </w:tc>
        <w:tc>
          <w:tcPr>
            <w:tcW w:w="808" w:type="dxa"/>
          </w:tcPr>
          <w:p w14:paraId="36ECBAD1" w14:textId="3289A61A"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.7</w:t>
            </w:r>
            <w:r w:rsidR="006C30C3" w:rsidRPr="00E439D7">
              <w:rPr>
                <w:rFonts w:cs="Times New Roman"/>
                <w:color w:val="000000" w:themeColor="text1"/>
                <w:szCs w:val="24"/>
              </w:rPr>
              <w:t>9</w:t>
            </w:r>
          </w:p>
        </w:tc>
        <w:tc>
          <w:tcPr>
            <w:tcW w:w="1683" w:type="dxa"/>
          </w:tcPr>
          <w:p w14:paraId="32C7AF4E"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High </w:t>
            </w:r>
          </w:p>
        </w:tc>
      </w:tr>
      <w:tr w:rsidR="001C455C" w:rsidRPr="00E439D7" w14:paraId="55FC3C69" w14:textId="77777777" w:rsidTr="003154A2">
        <w:tc>
          <w:tcPr>
            <w:tcW w:w="4626" w:type="dxa"/>
            <w:tcBorders>
              <w:bottom w:val="single" w:sz="4" w:space="0" w:color="auto"/>
            </w:tcBorders>
          </w:tcPr>
          <w:p w14:paraId="71E86ADD"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Professional Commitment </w:t>
            </w:r>
          </w:p>
        </w:tc>
        <w:tc>
          <w:tcPr>
            <w:tcW w:w="803" w:type="dxa"/>
            <w:tcBorders>
              <w:bottom w:val="single" w:sz="4" w:space="0" w:color="auto"/>
            </w:tcBorders>
          </w:tcPr>
          <w:p w14:paraId="7C58994A" w14:textId="16A4B3F4"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4.3</w:t>
            </w:r>
            <w:r w:rsidR="006C30C3" w:rsidRPr="00E439D7">
              <w:rPr>
                <w:rFonts w:cs="Times New Roman"/>
                <w:color w:val="000000" w:themeColor="text1"/>
                <w:szCs w:val="24"/>
              </w:rPr>
              <w:t>7</w:t>
            </w:r>
          </w:p>
        </w:tc>
        <w:tc>
          <w:tcPr>
            <w:tcW w:w="808" w:type="dxa"/>
            <w:tcBorders>
              <w:bottom w:val="single" w:sz="4" w:space="0" w:color="auto"/>
            </w:tcBorders>
          </w:tcPr>
          <w:p w14:paraId="6DFDB992" w14:textId="09DC7AFC"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.7</w:t>
            </w:r>
            <w:r w:rsidR="006C30C3" w:rsidRPr="00E439D7">
              <w:rPr>
                <w:rFonts w:cs="Times New Roman"/>
                <w:color w:val="000000" w:themeColor="text1"/>
                <w:szCs w:val="24"/>
              </w:rPr>
              <w:t>7</w:t>
            </w:r>
          </w:p>
        </w:tc>
        <w:tc>
          <w:tcPr>
            <w:tcW w:w="1683" w:type="dxa"/>
            <w:tcBorders>
              <w:bottom w:val="single" w:sz="4" w:space="0" w:color="auto"/>
            </w:tcBorders>
          </w:tcPr>
          <w:p w14:paraId="39C50276" w14:textId="77777777" w:rsidR="001C455C" w:rsidRPr="00E439D7" w:rsidRDefault="001C455C" w:rsidP="009F0D46">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High </w:t>
            </w:r>
          </w:p>
        </w:tc>
      </w:tr>
      <w:tr w:rsidR="001C455C" w:rsidRPr="00E439D7" w14:paraId="435AAE81" w14:textId="77777777" w:rsidTr="003154A2">
        <w:tc>
          <w:tcPr>
            <w:tcW w:w="4626" w:type="dxa"/>
            <w:tcBorders>
              <w:top w:val="single" w:sz="4" w:space="0" w:color="auto"/>
              <w:bottom w:val="single" w:sz="4" w:space="0" w:color="auto"/>
            </w:tcBorders>
          </w:tcPr>
          <w:p w14:paraId="48A6764A" w14:textId="77777777" w:rsidR="001C455C" w:rsidRPr="00E439D7" w:rsidRDefault="001C455C" w:rsidP="009F0D46">
            <w:pPr>
              <w:spacing w:line="240" w:lineRule="auto"/>
              <w:contextualSpacing/>
              <w:jc w:val="both"/>
              <w:rPr>
                <w:rFonts w:cs="Times New Roman"/>
                <w:b/>
                <w:bCs/>
                <w:color w:val="000000" w:themeColor="text1"/>
                <w:szCs w:val="24"/>
              </w:rPr>
            </w:pPr>
            <w:r w:rsidRPr="00E439D7">
              <w:rPr>
                <w:rFonts w:cs="Times New Roman"/>
                <w:b/>
                <w:bCs/>
                <w:color w:val="000000" w:themeColor="text1"/>
                <w:szCs w:val="24"/>
              </w:rPr>
              <w:t xml:space="preserve">Average </w:t>
            </w:r>
          </w:p>
        </w:tc>
        <w:tc>
          <w:tcPr>
            <w:tcW w:w="803" w:type="dxa"/>
            <w:tcBorders>
              <w:top w:val="single" w:sz="4" w:space="0" w:color="auto"/>
              <w:bottom w:val="single" w:sz="4" w:space="0" w:color="auto"/>
            </w:tcBorders>
          </w:tcPr>
          <w:p w14:paraId="3514CF2C" w14:textId="2A8EE9E1" w:rsidR="001C455C" w:rsidRPr="00E439D7" w:rsidRDefault="001C455C" w:rsidP="009F0D46">
            <w:pPr>
              <w:spacing w:line="240" w:lineRule="auto"/>
              <w:contextualSpacing/>
              <w:jc w:val="both"/>
              <w:rPr>
                <w:rFonts w:cs="Times New Roman"/>
                <w:b/>
                <w:bCs/>
                <w:color w:val="000000" w:themeColor="text1"/>
                <w:szCs w:val="24"/>
              </w:rPr>
            </w:pPr>
            <w:r w:rsidRPr="00E439D7">
              <w:rPr>
                <w:rFonts w:cs="Times New Roman"/>
                <w:b/>
                <w:bCs/>
                <w:color w:val="000000" w:themeColor="text1"/>
                <w:szCs w:val="24"/>
              </w:rPr>
              <w:t>4.3</w:t>
            </w:r>
            <w:r w:rsidR="006C30C3" w:rsidRPr="00E439D7">
              <w:rPr>
                <w:rFonts w:cs="Times New Roman"/>
                <w:b/>
                <w:bCs/>
                <w:color w:val="000000" w:themeColor="text1"/>
                <w:szCs w:val="24"/>
              </w:rPr>
              <w:t>2</w:t>
            </w:r>
          </w:p>
        </w:tc>
        <w:tc>
          <w:tcPr>
            <w:tcW w:w="808" w:type="dxa"/>
            <w:tcBorders>
              <w:top w:val="single" w:sz="4" w:space="0" w:color="auto"/>
              <w:bottom w:val="single" w:sz="4" w:space="0" w:color="auto"/>
            </w:tcBorders>
          </w:tcPr>
          <w:p w14:paraId="7A5CA01A" w14:textId="0C32AEB7" w:rsidR="001C455C" w:rsidRPr="00E439D7" w:rsidRDefault="001C455C" w:rsidP="009F0D46">
            <w:pPr>
              <w:spacing w:line="240" w:lineRule="auto"/>
              <w:contextualSpacing/>
              <w:jc w:val="both"/>
              <w:rPr>
                <w:rFonts w:cs="Times New Roman"/>
                <w:b/>
                <w:bCs/>
                <w:color w:val="000000" w:themeColor="text1"/>
                <w:szCs w:val="24"/>
              </w:rPr>
            </w:pPr>
            <w:r w:rsidRPr="00E439D7">
              <w:rPr>
                <w:rFonts w:cs="Times New Roman"/>
                <w:b/>
                <w:bCs/>
                <w:color w:val="000000" w:themeColor="text1"/>
                <w:szCs w:val="24"/>
              </w:rPr>
              <w:t>.0</w:t>
            </w:r>
            <w:r w:rsidR="00EA4197" w:rsidRPr="00E439D7">
              <w:rPr>
                <w:rFonts w:cs="Times New Roman"/>
                <w:b/>
                <w:bCs/>
                <w:color w:val="000000" w:themeColor="text1"/>
                <w:szCs w:val="24"/>
              </w:rPr>
              <w:t>8</w:t>
            </w:r>
          </w:p>
        </w:tc>
        <w:tc>
          <w:tcPr>
            <w:tcW w:w="1683" w:type="dxa"/>
            <w:tcBorders>
              <w:top w:val="single" w:sz="4" w:space="0" w:color="auto"/>
              <w:bottom w:val="single" w:sz="4" w:space="0" w:color="auto"/>
            </w:tcBorders>
          </w:tcPr>
          <w:p w14:paraId="4E76EC79" w14:textId="77777777" w:rsidR="001C455C" w:rsidRPr="00E439D7" w:rsidRDefault="001C455C" w:rsidP="009F0D46">
            <w:pPr>
              <w:spacing w:line="240" w:lineRule="auto"/>
              <w:contextualSpacing/>
              <w:jc w:val="both"/>
              <w:rPr>
                <w:rFonts w:cs="Times New Roman"/>
                <w:b/>
                <w:bCs/>
                <w:color w:val="000000" w:themeColor="text1"/>
                <w:szCs w:val="24"/>
              </w:rPr>
            </w:pPr>
            <w:r w:rsidRPr="00E439D7">
              <w:rPr>
                <w:rFonts w:cs="Times New Roman"/>
                <w:color w:val="000000" w:themeColor="text1"/>
                <w:szCs w:val="24"/>
              </w:rPr>
              <w:t xml:space="preserve">High </w:t>
            </w:r>
          </w:p>
        </w:tc>
      </w:tr>
    </w:tbl>
    <w:p w14:paraId="64D92D9A" w14:textId="36AAA09E" w:rsidR="001C455C" w:rsidRPr="00E439D7" w:rsidRDefault="001C455C" w:rsidP="009F0D46">
      <w:pPr>
        <w:spacing w:after="0" w:line="240" w:lineRule="auto"/>
        <w:contextualSpacing/>
        <w:rPr>
          <w:rFonts w:cs="Times New Roman"/>
          <w:i/>
          <w:iCs/>
          <w:color w:val="000000" w:themeColor="text1"/>
          <w:szCs w:val="24"/>
        </w:rPr>
      </w:pPr>
      <w:r w:rsidRPr="00E439D7">
        <w:rPr>
          <w:rFonts w:cs="Times New Roman"/>
          <w:i/>
          <w:iCs/>
          <w:color w:val="000000" w:themeColor="text1"/>
          <w:szCs w:val="24"/>
        </w:rPr>
        <w:t>Scale (Mean): 1.00-1.49</w:t>
      </w:r>
      <w:r w:rsidR="007A645C" w:rsidRPr="00E439D7">
        <w:rPr>
          <w:rFonts w:cs="Times New Roman"/>
          <w:i/>
          <w:iCs/>
          <w:color w:val="000000" w:themeColor="text1"/>
          <w:szCs w:val="24"/>
        </w:rPr>
        <w:t xml:space="preserve"> </w:t>
      </w:r>
      <w:r w:rsidRPr="00E439D7">
        <w:rPr>
          <w:rFonts w:cs="Times New Roman"/>
          <w:i/>
          <w:iCs/>
          <w:color w:val="000000" w:themeColor="text1"/>
          <w:szCs w:val="24"/>
        </w:rPr>
        <w:t>=</w:t>
      </w:r>
      <w:r w:rsidR="007A645C" w:rsidRPr="00E439D7">
        <w:rPr>
          <w:rFonts w:cs="Times New Roman"/>
          <w:i/>
          <w:iCs/>
          <w:color w:val="000000" w:themeColor="text1"/>
          <w:szCs w:val="24"/>
        </w:rPr>
        <w:t xml:space="preserve"> </w:t>
      </w:r>
      <w:r w:rsidRPr="00E439D7">
        <w:rPr>
          <w:rFonts w:cs="Times New Roman"/>
          <w:i/>
          <w:iCs/>
          <w:color w:val="000000" w:themeColor="text1"/>
          <w:szCs w:val="24"/>
        </w:rPr>
        <w:t>(very low); 1.50-2.49</w:t>
      </w:r>
      <w:r w:rsidR="007A645C" w:rsidRPr="00E439D7">
        <w:rPr>
          <w:rFonts w:cs="Times New Roman"/>
          <w:i/>
          <w:iCs/>
          <w:color w:val="000000" w:themeColor="text1"/>
          <w:szCs w:val="24"/>
        </w:rPr>
        <w:t xml:space="preserve"> </w:t>
      </w:r>
      <w:r w:rsidRPr="00E439D7">
        <w:rPr>
          <w:rFonts w:cs="Times New Roman"/>
          <w:i/>
          <w:iCs/>
          <w:color w:val="000000" w:themeColor="text1"/>
          <w:szCs w:val="24"/>
        </w:rPr>
        <w:t>= (low); 2.50-3.49</w:t>
      </w:r>
      <w:r w:rsidR="007A645C" w:rsidRPr="00E439D7">
        <w:rPr>
          <w:rFonts w:cs="Times New Roman"/>
          <w:i/>
          <w:iCs/>
          <w:color w:val="000000" w:themeColor="text1"/>
          <w:szCs w:val="24"/>
        </w:rPr>
        <w:t xml:space="preserve"> </w:t>
      </w:r>
      <w:r w:rsidRPr="00E439D7">
        <w:rPr>
          <w:rFonts w:cs="Times New Roman"/>
          <w:i/>
          <w:iCs/>
          <w:color w:val="000000" w:themeColor="text1"/>
          <w:szCs w:val="24"/>
        </w:rPr>
        <w:t>=</w:t>
      </w:r>
      <w:r w:rsidR="007A645C" w:rsidRPr="00E439D7">
        <w:rPr>
          <w:rFonts w:cs="Times New Roman"/>
          <w:i/>
          <w:iCs/>
          <w:color w:val="000000" w:themeColor="text1"/>
          <w:szCs w:val="24"/>
        </w:rPr>
        <w:t xml:space="preserve"> </w:t>
      </w:r>
      <w:r w:rsidRPr="00E439D7">
        <w:rPr>
          <w:rFonts w:cs="Times New Roman"/>
          <w:i/>
          <w:iCs/>
          <w:color w:val="000000" w:themeColor="text1"/>
          <w:szCs w:val="24"/>
        </w:rPr>
        <w:t>(moderately); 3.50-4.49</w:t>
      </w:r>
      <w:r w:rsidR="007A645C" w:rsidRPr="00E439D7">
        <w:rPr>
          <w:rFonts w:cs="Times New Roman"/>
          <w:i/>
          <w:iCs/>
          <w:color w:val="000000" w:themeColor="text1"/>
          <w:szCs w:val="24"/>
        </w:rPr>
        <w:t xml:space="preserve"> </w:t>
      </w:r>
      <w:r w:rsidRPr="00E439D7">
        <w:rPr>
          <w:rFonts w:cs="Times New Roman"/>
          <w:i/>
          <w:iCs/>
          <w:color w:val="000000" w:themeColor="text1"/>
          <w:szCs w:val="24"/>
        </w:rPr>
        <w:t xml:space="preserve">= (high); 4.50-5.00 </w:t>
      </w:r>
      <w:r w:rsidR="007A645C" w:rsidRPr="00E439D7">
        <w:rPr>
          <w:rFonts w:cs="Times New Roman"/>
          <w:i/>
          <w:iCs/>
          <w:color w:val="000000" w:themeColor="text1"/>
          <w:szCs w:val="24"/>
        </w:rPr>
        <w:t xml:space="preserve">= </w:t>
      </w:r>
      <w:r w:rsidRPr="00E439D7">
        <w:rPr>
          <w:rFonts w:cs="Times New Roman"/>
          <w:i/>
          <w:iCs/>
          <w:color w:val="000000" w:themeColor="text1"/>
          <w:szCs w:val="24"/>
        </w:rPr>
        <w:t>(very high)</w:t>
      </w:r>
    </w:p>
    <w:p w14:paraId="7AB75970" w14:textId="36A668A8" w:rsidR="001C455C" w:rsidRPr="00E439D7" w:rsidRDefault="001C455C"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Source: Field survey (202</w:t>
      </w:r>
      <w:r w:rsidR="007C5AA3" w:rsidRPr="00E439D7">
        <w:rPr>
          <w:rFonts w:cs="Times New Roman"/>
          <w:color w:val="000000" w:themeColor="text1"/>
          <w:szCs w:val="24"/>
        </w:rPr>
        <w:t>4</w:t>
      </w:r>
      <w:r w:rsidRPr="00E439D7">
        <w:rPr>
          <w:rFonts w:cs="Times New Roman"/>
          <w:color w:val="000000" w:themeColor="text1"/>
          <w:szCs w:val="24"/>
        </w:rPr>
        <w:t>)</w:t>
      </w:r>
    </w:p>
    <w:p w14:paraId="287B2015" w14:textId="77777777" w:rsidR="00F06E05" w:rsidRPr="00E439D7" w:rsidRDefault="00F06E05" w:rsidP="009F0D46">
      <w:pPr>
        <w:spacing w:after="0" w:line="240" w:lineRule="auto"/>
        <w:contextualSpacing/>
        <w:jc w:val="both"/>
        <w:rPr>
          <w:rFonts w:cs="Times New Roman"/>
          <w:color w:val="000000" w:themeColor="text1"/>
          <w:szCs w:val="24"/>
        </w:rPr>
      </w:pPr>
    </w:p>
    <w:p w14:paraId="4ADA6515" w14:textId="18312682" w:rsidR="00EA23B3" w:rsidRPr="00E439D7" w:rsidRDefault="001C455C"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Generally, the result of preservice management teachers indicate that their level of professional knowledge is high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4.32,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w:t>
      </w:r>
      <w:r w:rsidR="00B01041" w:rsidRPr="00E439D7">
        <w:rPr>
          <w:rFonts w:cs="Times New Roman"/>
          <w:color w:val="000000" w:themeColor="text1"/>
          <w:szCs w:val="24"/>
        </w:rPr>
        <w:t>0</w:t>
      </w:r>
      <w:r w:rsidRPr="00E439D7">
        <w:rPr>
          <w:rFonts w:cs="Times New Roman"/>
          <w:color w:val="000000" w:themeColor="text1"/>
          <w:szCs w:val="24"/>
        </w:rPr>
        <w:t>8). This was seen in all the indicators, “lesson plan preparation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4.44;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.80), application of teaching methodologies and delivery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4.30;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.70), classroom organization and management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4.20;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.80) as well as their professional commitment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4.37;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.77)”.</w:t>
      </w:r>
    </w:p>
    <w:p w14:paraId="2A7CD82B" w14:textId="77777777" w:rsidR="00EA23B3" w:rsidRPr="00E439D7" w:rsidRDefault="00EA23B3" w:rsidP="009F0D46">
      <w:pPr>
        <w:spacing w:after="0" w:line="240" w:lineRule="auto"/>
        <w:contextualSpacing/>
        <w:jc w:val="both"/>
        <w:rPr>
          <w:rFonts w:cs="Times New Roman"/>
          <w:color w:val="000000" w:themeColor="text1"/>
          <w:szCs w:val="24"/>
        </w:rPr>
      </w:pPr>
    </w:p>
    <w:p w14:paraId="64750E5D" w14:textId="7F7476E9" w:rsidR="00B50E21" w:rsidRPr="00E439D7" w:rsidRDefault="001C455C"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In relation to the specific statement</w:t>
      </w:r>
      <w:r w:rsidR="00202B0A" w:rsidRPr="00E439D7">
        <w:rPr>
          <w:rFonts w:cs="Times New Roman"/>
          <w:color w:val="000000" w:themeColor="text1"/>
          <w:szCs w:val="24"/>
        </w:rPr>
        <w:t>s under each</w:t>
      </w:r>
      <w:r w:rsidRPr="00E439D7">
        <w:rPr>
          <w:rFonts w:cs="Times New Roman"/>
          <w:color w:val="000000" w:themeColor="text1"/>
          <w:szCs w:val="24"/>
        </w:rPr>
        <w:t xml:space="preserve"> in</w:t>
      </w:r>
      <w:r w:rsidR="00202B0A" w:rsidRPr="00E439D7">
        <w:rPr>
          <w:rFonts w:cs="Times New Roman"/>
          <w:color w:val="000000" w:themeColor="text1"/>
          <w:szCs w:val="24"/>
        </w:rPr>
        <w:t>dicator</w:t>
      </w:r>
      <w:r w:rsidRPr="00E439D7">
        <w:rPr>
          <w:rFonts w:cs="Times New Roman"/>
          <w:color w:val="000000" w:themeColor="text1"/>
          <w:szCs w:val="24"/>
        </w:rPr>
        <w:t xml:space="preserve">, </w:t>
      </w:r>
      <w:r w:rsidR="00041CA9" w:rsidRPr="00E439D7">
        <w:rPr>
          <w:rFonts w:cs="Times New Roman"/>
          <w:color w:val="000000" w:themeColor="text1"/>
          <w:szCs w:val="24"/>
        </w:rPr>
        <w:t>for instance, l</w:t>
      </w:r>
      <w:r w:rsidRPr="00E439D7">
        <w:rPr>
          <w:rFonts w:cs="Times New Roman"/>
          <w:color w:val="000000" w:themeColor="text1"/>
          <w:szCs w:val="24"/>
        </w:rPr>
        <w:t xml:space="preserve">esson plan preparation, majority of the respondents recorded very high to the statement </w:t>
      </w:r>
      <w:r w:rsidRPr="00E439D7">
        <w:rPr>
          <w:rFonts w:cs="Times New Roman"/>
          <w:i/>
          <w:iCs/>
          <w:color w:val="000000" w:themeColor="text1"/>
          <w:szCs w:val="24"/>
        </w:rPr>
        <w:t>“I know how to introduce lessons by reviewing students’ RPK linked to the topic to stimulate students’ interest and share lesson objectives with student”</w:t>
      </w:r>
      <w:r w:rsidRPr="00E439D7">
        <w:rPr>
          <w:rFonts w:cs="Times New Roman"/>
          <w:color w:val="000000" w:themeColor="text1"/>
          <w:szCs w:val="24"/>
        </w:rPr>
        <w:t xml:space="preserve">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4.56;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.81).</w:t>
      </w:r>
      <w:r w:rsidR="008C743C" w:rsidRPr="00E439D7">
        <w:rPr>
          <w:rFonts w:cs="Times New Roman"/>
          <w:color w:val="000000" w:themeColor="text1"/>
          <w:szCs w:val="24"/>
        </w:rPr>
        <w:t xml:space="preserve"> This shows preservice management teachers</w:t>
      </w:r>
      <w:r w:rsidR="00D4578A" w:rsidRPr="00E439D7">
        <w:rPr>
          <w:rFonts w:cs="Times New Roman"/>
          <w:color w:val="000000" w:themeColor="text1"/>
          <w:szCs w:val="24"/>
        </w:rPr>
        <w:t>’</w:t>
      </w:r>
      <w:r w:rsidR="008C743C" w:rsidRPr="00E439D7">
        <w:rPr>
          <w:rFonts w:cs="Times New Roman"/>
          <w:color w:val="000000" w:themeColor="text1"/>
          <w:szCs w:val="24"/>
        </w:rPr>
        <w:t xml:space="preserve"> level of professional knowledge in linking RPK to current topics when introducing lessons.</w:t>
      </w:r>
    </w:p>
    <w:p w14:paraId="2F7D1A8D" w14:textId="77777777" w:rsidR="00B50E21" w:rsidRPr="00E439D7" w:rsidRDefault="00B50E21" w:rsidP="009F0D46">
      <w:pPr>
        <w:spacing w:after="0" w:line="240" w:lineRule="auto"/>
        <w:contextualSpacing/>
        <w:jc w:val="both"/>
        <w:rPr>
          <w:rFonts w:cs="Times New Roman"/>
          <w:color w:val="000000" w:themeColor="text1"/>
          <w:szCs w:val="24"/>
        </w:rPr>
      </w:pPr>
    </w:p>
    <w:p w14:paraId="2A688A60" w14:textId="3FC4FB25" w:rsidR="00B50E21" w:rsidRPr="00E439D7" w:rsidRDefault="00B50E21" w:rsidP="00B50E21">
      <w:pPr>
        <w:spacing w:line="240" w:lineRule="auto"/>
        <w:contextualSpacing/>
        <w:jc w:val="both"/>
        <w:rPr>
          <w:rFonts w:cs="Times New Roman"/>
          <w:color w:val="000000" w:themeColor="text1"/>
          <w:szCs w:val="24"/>
        </w:rPr>
      </w:pPr>
      <w:r w:rsidRPr="00E439D7">
        <w:rPr>
          <w:rFonts w:cs="Times New Roman"/>
          <w:color w:val="000000" w:themeColor="text1"/>
          <w:szCs w:val="24"/>
        </w:rPr>
        <w:t>Again, the following statements “I know how to effectively manage the marker board to write the date, subject, topic and all core points as well as give students time to write down core points in their books”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4.48;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.87), “I know how to state in the lesson plan the summaries of core points for all activities which relate to lesson objectives and main concepts”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4.48;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.96), I know how to state in the lesson plan specific, relevant, measurable and achievable objectives linked to classroom activities” (M</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4.48; SD</w:t>
      </w:r>
      <w:r w:rsidR="007A645C" w:rsidRPr="00E439D7">
        <w:rPr>
          <w:rFonts w:cs="Times New Roman"/>
          <w:color w:val="000000" w:themeColor="text1"/>
          <w:szCs w:val="24"/>
        </w:rPr>
        <w:t xml:space="preserve"> </w:t>
      </w:r>
      <w:r w:rsidRPr="00E439D7">
        <w:rPr>
          <w:rFonts w:cs="Times New Roman"/>
          <w:color w:val="000000" w:themeColor="text1"/>
          <w:szCs w:val="24"/>
        </w:rPr>
        <w:t>=</w:t>
      </w:r>
      <w:r w:rsidR="007A645C" w:rsidRPr="00E439D7">
        <w:rPr>
          <w:rFonts w:cs="Times New Roman"/>
          <w:color w:val="000000" w:themeColor="text1"/>
          <w:szCs w:val="24"/>
        </w:rPr>
        <w:t xml:space="preserve"> </w:t>
      </w:r>
      <w:r w:rsidRPr="00E439D7">
        <w:rPr>
          <w:rFonts w:cs="Times New Roman"/>
          <w:color w:val="000000" w:themeColor="text1"/>
          <w:szCs w:val="24"/>
        </w:rPr>
        <w:t>.99)</w:t>
      </w:r>
      <w:r w:rsidR="00C23416" w:rsidRPr="00E439D7">
        <w:rPr>
          <w:rFonts w:cs="Times New Roman"/>
          <w:color w:val="000000" w:themeColor="text1"/>
          <w:szCs w:val="24"/>
        </w:rPr>
        <w:t xml:space="preserve"> recorded the same mean indicating</w:t>
      </w:r>
      <w:r w:rsidR="00465741" w:rsidRPr="00E439D7">
        <w:rPr>
          <w:rFonts w:cs="Times New Roman"/>
          <w:color w:val="000000" w:themeColor="text1"/>
          <w:szCs w:val="24"/>
        </w:rPr>
        <w:t xml:space="preserve"> preservice management teachers</w:t>
      </w:r>
      <w:r w:rsidR="00125724" w:rsidRPr="00E439D7">
        <w:rPr>
          <w:rFonts w:cs="Times New Roman"/>
          <w:color w:val="000000" w:themeColor="text1"/>
          <w:szCs w:val="24"/>
        </w:rPr>
        <w:t>’</w:t>
      </w:r>
      <w:r w:rsidR="00C23416" w:rsidRPr="00E439D7">
        <w:rPr>
          <w:rFonts w:cs="Times New Roman"/>
          <w:color w:val="000000" w:themeColor="text1"/>
          <w:szCs w:val="24"/>
        </w:rPr>
        <w:t xml:space="preserve"> high professional knowledge in </w:t>
      </w:r>
      <w:r w:rsidR="00465741" w:rsidRPr="00E439D7">
        <w:rPr>
          <w:rFonts w:cs="Times New Roman"/>
          <w:color w:val="000000" w:themeColor="text1"/>
          <w:szCs w:val="24"/>
        </w:rPr>
        <w:t xml:space="preserve">these </w:t>
      </w:r>
      <w:r w:rsidR="00C23416" w:rsidRPr="00E439D7">
        <w:rPr>
          <w:rFonts w:cs="Times New Roman"/>
          <w:color w:val="000000" w:themeColor="text1"/>
          <w:szCs w:val="24"/>
        </w:rPr>
        <w:t>areas regarding lesson plan preparation.</w:t>
      </w:r>
      <w:r w:rsidRPr="00E439D7">
        <w:rPr>
          <w:rFonts w:cs="Times New Roman"/>
          <w:color w:val="000000" w:themeColor="text1"/>
          <w:szCs w:val="24"/>
        </w:rPr>
        <w:t xml:space="preserve"> </w:t>
      </w:r>
    </w:p>
    <w:p w14:paraId="6E4D7660" w14:textId="12E273D1" w:rsidR="00B50E21" w:rsidRPr="00E439D7" w:rsidRDefault="00B50E21" w:rsidP="00B50E21">
      <w:pPr>
        <w:spacing w:line="240" w:lineRule="auto"/>
        <w:contextualSpacing/>
        <w:jc w:val="both"/>
        <w:rPr>
          <w:rFonts w:cs="Times New Roman"/>
          <w:color w:val="000000" w:themeColor="text1"/>
          <w:szCs w:val="24"/>
        </w:rPr>
      </w:pPr>
      <w:r w:rsidRPr="00E439D7">
        <w:rPr>
          <w:rFonts w:cs="Times New Roman"/>
          <w:color w:val="000000" w:themeColor="text1"/>
          <w:szCs w:val="24"/>
        </w:rPr>
        <w:t xml:space="preserve"> </w:t>
      </w:r>
    </w:p>
    <w:p w14:paraId="4F57BE93" w14:textId="3A070F0C" w:rsidR="008B0864" w:rsidRPr="00E439D7" w:rsidRDefault="002D6D49" w:rsidP="00E86A0A">
      <w:pPr>
        <w:spacing w:line="240" w:lineRule="auto"/>
        <w:contextualSpacing/>
        <w:jc w:val="both"/>
        <w:rPr>
          <w:rFonts w:cs="Times New Roman"/>
          <w:color w:val="000000" w:themeColor="text1"/>
          <w:szCs w:val="24"/>
        </w:rPr>
      </w:pPr>
      <w:r w:rsidRPr="00E439D7">
        <w:rPr>
          <w:rFonts w:cs="Times New Roman"/>
          <w:color w:val="000000" w:themeColor="text1"/>
          <w:szCs w:val="24"/>
        </w:rPr>
        <w:t>Further,</w:t>
      </w:r>
      <w:r w:rsidR="00202B0A" w:rsidRPr="00E439D7">
        <w:rPr>
          <w:rFonts w:cs="Times New Roman"/>
          <w:color w:val="000000" w:themeColor="text1"/>
          <w:szCs w:val="24"/>
        </w:rPr>
        <w:t xml:space="preserve"> </w:t>
      </w:r>
      <w:r w:rsidR="009C1E58" w:rsidRPr="00E439D7">
        <w:rPr>
          <w:rFonts w:cs="Times New Roman"/>
          <w:color w:val="000000" w:themeColor="text1"/>
          <w:szCs w:val="24"/>
        </w:rPr>
        <w:t xml:space="preserve">considering teaching methodology and delivery, </w:t>
      </w:r>
      <w:r w:rsidR="00E86A0A" w:rsidRPr="00E439D7">
        <w:rPr>
          <w:rFonts w:cs="Times New Roman"/>
          <w:color w:val="000000" w:themeColor="text1"/>
          <w:szCs w:val="24"/>
        </w:rPr>
        <w:t>the following statements “I know how to pace appropriately without shouting during the entire lesson for all students to hear me clearly” (M</w:t>
      </w:r>
      <w:r w:rsidR="007A645C" w:rsidRPr="00E439D7">
        <w:rPr>
          <w:rFonts w:cs="Times New Roman"/>
          <w:color w:val="000000" w:themeColor="text1"/>
          <w:szCs w:val="24"/>
        </w:rPr>
        <w:t xml:space="preserve"> </w:t>
      </w:r>
      <w:r w:rsidR="00E86A0A" w:rsidRPr="00E439D7">
        <w:rPr>
          <w:rFonts w:cs="Times New Roman"/>
          <w:color w:val="000000" w:themeColor="text1"/>
          <w:szCs w:val="24"/>
        </w:rPr>
        <w:t>= 4.35; SD</w:t>
      </w:r>
      <w:r w:rsidR="007A645C" w:rsidRPr="00E439D7">
        <w:rPr>
          <w:rFonts w:cs="Times New Roman"/>
          <w:color w:val="000000" w:themeColor="text1"/>
          <w:szCs w:val="24"/>
        </w:rPr>
        <w:t xml:space="preserve"> </w:t>
      </w:r>
      <w:r w:rsidR="00E86A0A" w:rsidRPr="00E439D7">
        <w:rPr>
          <w:rFonts w:cs="Times New Roman"/>
          <w:color w:val="000000" w:themeColor="text1"/>
          <w:szCs w:val="24"/>
        </w:rPr>
        <w:t>=</w:t>
      </w:r>
      <w:r w:rsidR="007A645C" w:rsidRPr="00E439D7">
        <w:rPr>
          <w:rFonts w:cs="Times New Roman"/>
          <w:color w:val="000000" w:themeColor="text1"/>
          <w:szCs w:val="24"/>
        </w:rPr>
        <w:t xml:space="preserve"> </w:t>
      </w:r>
      <w:r w:rsidR="00E86A0A" w:rsidRPr="00E439D7">
        <w:rPr>
          <w:rFonts w:cs="Times New Roman"/>
          <w:color w:val="000000" w:themeColor="text1"/>
          <w:szCs w:val="24"/>
        </w:rPr>
        <w:t xml:space="preserve">.87), </w:t>
      </w:r>
      <w:r w:rsidR="00FF5A81" w:rsidRPr="00E439D7">
        <w:rPr>
          <w:rFonts w:cs="Times New Roman"/>
          <w:color w:val="000000" w:themeColor="text1"/>
          <w:szCs w:val="24"/>
        </w:rPr>
        <w:t xml:space="preserve">and </w:t>
      </w:r>
      <w:r w:rsidR="00E86A0A" w:rsidRPr="00E439D7">
        <w:rPr>
          <w:rFonts w:cs="Times New Roman"/>
          <w:color w:val="000000" w:themeColor="text1"/>
          <w:szCs w:val="24"/>
        </w:rPr>
        <w:t>“I know how to state in the lesson plan the varied teaching/learning activities that are logical and sequential to direct student learning within the approximate time indicated” (M</w:t>
      </w:r>
      <w:r w:rsidR="007A645C" w:rsidRPr="00E439D7">
        <w:rPr>
          <w:rFonts w:cs="Times New Roman"/>
          <w:color w:val="000000" w:themeColor="text1"/>
          <w:szCs w:val="24"/>
        </w:rPr>
        <w:t xml:space="preserve"> </w:t>
      </w:r>
      <w:r w:rsidR="00E86A0A" w:rsidRPr="00E439D7">
        <w:rPr>
          <w:rFonts w:cs="Times New Roman"/>
          <w:color w:val="000000" w:themeColor="text1"/>
          <w:szCs w:val="24"/>
        </w:rPr>
        <w:t>=</w:t>
      </w:r>
      <w:r w:rsidR="007A645C" w:rsidRPr="00E439D7">
        <w:rPr>
          <w:rFonts w:cs="Times New Roman"/>
          <w:color w:val="000000" w:themeColor="text1"/>
          <w:szCs w:val="24"/>
        </w:rPr>
        <w:t xml:space="preserve"> </w:t>
      </w:r>
      <w:r w:rsidR="00E86A0A" w:rsidRPr="00E439D7">
        <w:rPr>
          <w:rFonts w:cs="Times New Roman"/>
          <w:color w:val="000000" w:themeColor="text1"/>
          <w:szCs w:val="24"/>
        </w:rPr>
        <w:t>4.35; SD</w:t>
      </w:r>
      <w:r w:rsidR="007A645C" w:rsidRPr="00E439D7">
        <w:rPr>
          <w:rFonts w:cs="Times New Roman"/>
          <w:color w:val="000000" w:themeColor="text1"/>
          <w:szCs w:val="24"/>
        </w:rPr>
        <w:t xml:space="preserve"> </w:t>
      </w:r>
      <w:r w:rsidR="00E86A0A" w:rsidRPr="00E439D7">
        <w:rPr>
          <w:rFonts w:cs="Times New Roman"/>
          <w:color w:val="000000" w:themeColor="text1"/>
          <w:szCs w:val="24"/>
        </w:rPr>
        <w:t>=</w:t>
      </w:r>
      <w:r w:rsidR="007A645C" w:rsidRPr="00E439D7">
        <w:rPr>
          <w:rFonts w:cs="Times New Roman"/>
          <w:color w:val="000000" w:themeColor="text1"/>
          <w:szCs w:val="24"/>
        </w:rPr>
        <w:t xml:space="preserve"> </w:t>
      </w:r>
      <w:r w:rsidR="00E86A0A" w:rsidRPr="00E439D7">
        <w:rPr>
          <w:rFonts w:cs="Times New Roman"/>
          <w:color w:val="000000" w:themeColor="text1"/>
          <w:szCs w:val="24"/>
        </w:rPr>
        <w:t>.85)</w:t>
      </w:r>
      <w:r w:rsidR="00971FD8" w:rsidRPr="00E439D7">
        <w:rPr>
          <w:rFonts w:cs="Times New Roman"/>
          <w:color w:val="000000" w:themeColor="text1"/>
          <w:szCs w:val="24"/>
        </w:rPr>
        <w:t xml:space="preserve"> </w:t>
      </w:r>
      <w:r w:rsidR="00E86A0A" w:rsidRPr="00E439D7">
        <w:rPr>
          <w:rFonts w:cs="Times New Roman"/>
          <w:color w:val="000000" w:themeColor="text1"/>
          <w:szCs w:val="24"/>
        </w:rPr>
        <w:t>recorded</w:t>
      </w:r>
      <w:r w:rsidR="00971FD8" w:rsidRPr="00E439D7">
        <w:rPr>
          <w:rFonts w:cs="Times New Roman"/>
          <w:color w:val="000000" w:themeColor="text1"/>
          <w:szCs w:val="24"/>
        </w:rPr>
        <w:t xml:space="preserve"> the same mean of high professional knowledge by preservice management teachers. </w:t>
      </w:r>
      <w:r w:rsidR="00E86A0A" w:rsidRPr="00E439D7">
        <w:rPr>
          <w:rFonts w:cs="Times New Roman"/>
          <w:color w:val="000000" w:themeColor="text1"/>
          <w:szCs w:val="24"/>
        </w:rPr>
        <w:t xml:space="preserve"> </w:t>
      </w:r>
      <w:r w:rsidRPr="00E439D7">
        <w:rPr>
          <w:rFonts w:cs="Times New Roman"/>
          <w:color w:val="000000" w:themeColor="text1"/>
          <w:szCs w:val="24"/>
        </w:rPr>
        <w:t xml:space="preserve"> </w:t>
      </w:r>
      <w:r w:rsidR="00B50E21" w:rsidRPr="00E439D7">
        <w:rPr>
          <w:rFonts w:cs="Times New Roman"/>
          <w:color w:val="000000" w:themeColor="text1"/>
          <w:szCs w:val="24"/>
        </w:rPr>
        <w:t xml:space="preserve"> </w:t>
      </w:r>
      <w:r w:rsidR="001C455C" w:rsidRPr="00E439D7">
        <w:rPr>
          <w:rFonts w:cs="Times New Roman"/>
          <w:color w:val="000000" w:themeColor="text1"/>
          <w:szCs w:val="24"/>
        </w:rPr>
        <w:t xml:space="preserve"> </w:t>
      </w:r>
    </w:p>
    <w:p w14:paraId="7B3AC836" w14:textId="77777777" w:rsidR="008B0864" w:rsidRPr="00E439D7" w:rsidRDefault="008B0864" w:rsidP="009F0D46">
      <w:pPr>
        <w:spacing w:after="0" w:line="240" w:lineRule="auto"/>
        <w:contextualSpacing/>
        <w:jc w:val="both"/>
        <w:rPr>
          <w:rFonts w:cs="Times New Roman"/>
          <w:color w:val="000000" w:themeColor="text1"/>
          <w:szCs w:val="24"/>
        </w:rPr>
      </w:pPr>
    </w:p>
    <w:p w14:paraId="66EF1E7D" w14:textId="0A50EEB5" w:rsidR="001C455C" w:rsidRPr="00E439D7" w:rsidRDefault="009630B0" w:rsidP="009F0D46">
      <w:pPr>
        <w:spacing w:after="0" w:line="240" w:lineRule="auto"/>
        <w:contextualSpacing/>
        <w:jc w:val="both"/>
        <w:rPr>
          <w:rFonts w:cs="Times New Roman"/>
          <w:color w:val="000000" w:themeColor="text1"/>
          <w:szCs w:val="24"/>
        </w:rPr>
      </w:pPr>
      <w:r w:rsidRPr="00E439D7">
        <w:rPr>
          <w:rFonts w:cs="Times New Roman"/>
          <w:color w:val="000000" w:themeColor="text1"/>
          <w:szCs w:val="24"/>
        </w:rPr>
        <w:t xml:space="preserve">However, among </w:t>
      </w:r>
      <w:r w:rsidR="00053828" w:rsidRPr="00E439D7">
        <w:rPr>
          <w:rFonts w:cs="Times New Roman"/>
          <w:color w:val="000000" w:themeColor="text1"/>
          <w:szCs w:val="24"/>
        </w:rPr>
        <w:t xml:space="preserve">high </w:t>
      </w:r>
      <w:r w:rsidR="001C455C" w:rsidRPr="00E439D7">
        <w:rPr>
          <w:rFonts w:cs="Times New Roman"/>
          <w:color w:val="000000" w:themeColor="text1"/>
          <w:szCs w:val="24"/>
        </w:rPr>
        <w:t xml:space="preserve">recorded </w:t>
      </w:r>
      <w:r w:rsidR="00053828" w:rsidRPr="00E439D7">
        <w:rPr>
          <w:rFonts w:cs="Times New Roman"/>
          <w:color w:val="000000" w:themeColor="text1"/>
          <w:szCs w:val="24"/>
        </w:rPr>
        <w:t xml:space="preserve">indicators and statements </w:t>
      </w:r>
      <w:r w:rsidR="001C455C" w:rsidRPr="00E439D7">
        <w:rPr>
          <w:rFonts w:cs="Times New Roman"/>
          <w:color w:val="000000" w:themeColor="text1"/>
          <w:szCs w:val="24"/>
        </w:rPr>
        <w:t>regarding preservice management teachers</w:t>
      </w:r>
      <w:r w:rsidR="001B5905" w:rsidRPr="00E439D7">
        <w:rPr>
          <w:rFonts w:cs="Times New Roman"/>
          <w:color w:val="000000" w:themeColor="text1"/>
          <w:szCs w:val="24"/>
        </w:rPr>
        <w:t>’</w:t>
      </w:r>
      <w:r w:rsidR="001C455C" w:rsidRPr="00E439D7">
        <w:rPr>
          <w:rFonts w:cs="Times New Roman"/>
          <w:color w:val="000000" w:themeColor="text1"/>
          <w:szCs w:val="24"/>
        </w:rPr>
        <w:t xml:space="preserve"> level of professional knowledge,</w:t>
      </w:r>
      <w:r w:rsidR="00E925C6" w:rsidRPr="00E439D7">
        <w:rPr>
          <w:rFonts w:cs="Times New Roman"/>
          <w:color w:val="000000" w:themeColor="text1"/>
          <w:szCs w:val="24"/>
        </w:rPr>
        <w:t xml:space="preserve"> </w:t>
      </w:r>
      <w:r w:rsidR="001C455C" w:rsidRPr="00E439D7">
        <w:rPr>
          <w:rFonts w:cs="Times New Roman"/>
          <w:color w:val="000000" w:themeColor="text1"/>
          <w:szCs w:val="24"/>
        </w:rPr>
        <w:t xml:space="preserve">the statement </w:t>
      </w:r>
      <w:r w:rsidR="001C455C" w:rsidRPr="00E439D7">
        <w:rPr>
          <w:rFonts w:cs="Times New Roman"/>
          <w:i/>
          <w:iCs/>
          <w:color w:val="000000" w:themeColor="text1"/>
          <w:szCs w:val="24"/>
        </w:rPr>
        <w:t xml:space="preserve">“I know how to use correct expressions, correct students’ language errors, encourage student to pay attention to their use of language, use </w:t>
      </w:r>
      <w:r w:rsidR="001C455C" w:rsidRPr="00E439D7">
        <w:rPr>
          <w:rFonts w:cs="Times New Roman"/>
          <w:i/>
          <w:iCs/>
          <w:color w:val="000000" w:themeColor="text1"/>
          <w:szCs w:val="24"/>
        </w:rPr>
        <w:lastRenderedPageBreak/>
        <w:t>effective verbal and non-verbal communication as well as avoid language mannerisms”</w:t>
      </w:r>
      <w:r w:rsidR="001C455C" w:rsidRPr="00E439D7">
        <w:rPr>
          <w:rFonts w:cs="Times New Roman"/>
          <w:color w:val="000000" w:themeColor="text1"/>
          <w:szCs w:val="24"/>
        </w:rPr>
        <w:t xml:space="preserve"> recorded the lowest mean (M</w:t>
      </w:r>
      <w:r w:rsidR="007A645C" w:rsidRPr="00E439D7">
        <w:rPr>
          <w:rFonts w:cs="Times New Roman"/>
          <w:color w:val="000000" w:themeColor="text1"/>
          <w:szCs w:val="24"/>
        </w:rPr>
        <w:t xml:space="preserve"> </w:t>
      </w:r>
      <w:r w:rsidR="001C455C" w:rsidRPr="00E439D7">
        <w:rPr>
          <w:rFonts w:cs="Times New Roman"/>
          <w:color w:val="000000" w:themeColor="text1"/>
          <w:szCs w:val="24"/>
        </w:rPr>
        <w:t>=</w:t>
      </w:r>
      <w:r w:rsidR="007A645C" w:rsidRPr="00E439D7">
        <w:rPr>
          <w:rFonts w:cs="Times New Roman"/>
          <w:color w:val="000000" w:themeColor="text1"/>
          <w:szCs w:val="24"/>
        </w:rPr>
        <w:t xml:space="preserve"> </w:t>
      </w:r>
      <w:r w:rsidR="001C455C" w:rsidRPr="00E439D7">
        <w:rPr>
          <w:rFonts w:cs="Times New Roman"/>
          <w:color w:val="000000" w:themeColor="text1"/>
          <w:szCs w:val="24"/>
        </w:rPr>
        <w:t>4.10; SD</w:t>
      </w:r>
      <w:r w:rsidR="007A645C" w:rsidRPr="00E439D7">
        <w:rPr>
          <w:rFonts w:cs="Times New Roman"/>
          <w:color w:val="000000" w:themeColor="text1"/>
          <w:szCs w:val="24"/>
        </w:rPr>
        <w:t xml:space="preserve"> </w:t>
      </w:r>
      <w:r w:rsidR="001C455C" w:rsidRPr="00E439D7">
        <w:rPr>
          <w:rFonts w:cs="Times New Roman"/>
          <w:color w:val="000000" w:themeColor="text1"/>
          <w:szCs w:val="24"/>
        </w:rPr>
        <w:t>=</w:t>
      </w:r>
      <w:r w:rsidR="007A645C" w:rsidRPr="00E439D7">
        <w:rPr>
          <w:rFonts w:cs="Times New Roman"/>
          <w:color w:val="000000" w:themeColor="text1"/>
          <w:szCs w:val="24"/>
        </w:rPr>
        <w:t xml:space="preserve"> </w:t>
      </w:r>
      <w:r w:rsidR="001C455C" w:rsidRPr="00E439D7">
        <w:rPr>
          <w:rFonts w:cs="Times New Roman"/>
          <w:color w:val="000000" w:themeColor="text1"/>
          <w:szCs w:val="24"/>
        </w:rPr>
        <w:t>.89).</w:t>
      </w:r>
    </w:p>
    <w:p w14:paraId="388D870E" w14:textId="77777777" w:rsidR="008B0864" w:rsidRPr="00E439D7" w:rsidRDefault="008B0864" w:rsidP="009F0D46">
      <w:pPr>
        <w:spacing w:after="0" w:line="240" w:lineRule="auto"/>
        <w:contextualSpacing/>
        <w:jc w:val="both"/>
        <w:rPr>
          <w:rFonts w:cs="Times New Roman"/>
          <w:color w:val="000000" w:themeColor="text1"/>
          <w:szCs w:val="24"/>
        </w:rPr>
      </w:pPr>
    </w:p>
    <w:p w14:paraId="3360EC1B" w14:textId="77777777" w:rsidR="007819E6" w:rsidRPr="00E439D7" w:rsidRDefault="007819E6" w:rsidP="009F0D46">
      <w:pPr>
        <w:spacing w:after="0" w:line="240" w:lineRule="auto"/>
        <w:contextualSpacing/>
        <w:jc w:val="both"/>
        <w:rPr>
          <w:rFonts w:cs="Times New Roman"/>
          <w:color w:val="000000" w:themeColor="text1"/>
          <w:szCs w:val="24"/>
        </w:rPr>
      </w:pPr>
    </w:p>
    <w:p w14:paraId="2F061AB7" w14:textId="4452B119" w:rsidR="005855A5" w:rsidRPr="00E439D7" w:rsidRDefault="001C455C" w:rsidP="009F0D46">
      <w:pPr>
        <w:spacing w:after="0" w:line="240" w:lineRule="auto"/>
        <w:contextualSpacing/>
        <w:jc w:val="both"/>
        <w:rPr>
          <w:rFonts w:cs="Times New Roman"/>
          <w:color w:val="000000" w:themeColor="text1"/>
          <w:szCs w:val="24"/>
          <w:shd w:val="clear" w:color="auto" w:fill="FFFFFF"/>
        </w:rPr>
      </w:pPr>
      <w:r w:rsidRPr="00E439D7">
        <w:rPr>
          <w:rFonts w:cs="Times New Roman"/>
          <w:color w:val="000000" w:themeColor="text1"/>
          <w:szCs w:val="24"/>
        </w:rPr>
        <w:t xml:space="preserve">The finding of this study showed that preservice management teachers possessed high level of professional knowledge during off-campus teaching practice. The results align with the </w:t>
      </w:r>
      <w:r w:rsidR="00770432" w:rsidRPr="00E439D7">
        <w:rPr>
          <w:rFonts w:cs="Times New Roman"/>
          <w:color w:val="000000" w:themeColor="text1"/>
          <w:szCs w:val="24"/>
        </w:rPr>
        <w:t xml:space="preserve">notion </w:t>
      </w:r>
      <w:r w:rsidRPr="00E439D7">
        <w:rPr>
          <w:rFonts w:cs="Times New Roman"/>
          <w:color w:val="000000" w:themeColor="text1"/>
          <w:szCs w:val="24"/>
        </w:rPr>
        <w:t>that t</w:t>
      </w:r>
      <w:r w:rsidRPr="00E439D7">
        <w:rPr>
          <w:rFonts w:eastAsia="Times New Roman" w:cs="Times New Roman"/>
          <w:color w:val="000000" w:themeColor="text1"/>
          <w:szCs w:val="24"/>
        </w:rPr>
        <w:t xml:space="preserve">eachers’ high level of professional knowledge </w:t>
      </w:r>
      <w:r w:rsidR="00770432" w:rsidRPr="00E439D7">
        <w:rPr>
          <w:rFonts w:eastAsia="Times New Roman" w:cs="Times New Roman"/>
          <w:color w:val="000000" w:themeColor="text1"/>
          <w:szCs w:val="24"/>
        </w:rPr>
        <w:t>i</w:t>
      </w:r>
      <w:r w:rsidRPr="00E439D7">
        <w:rPr>
          <w:rFonts w:eastAsia="Times New Roman" w:cs="Times New Roman"/>
          <w:color w:val="000000" w:themeColor="text1"/>
          <w:szCs w:val="24"/>
        </w:rPr>
        <w:t xml:space="preserve">s assumed to be a key factor affecting teaching quality (Abell, 2007; Fischer, Borowski, &amp; </w:t>
      </w:r>
      <w:proofErr w:type="spellStart"/>
      <w:r w:rsidRPr="00E439D7">
        <w:rPr>
          <w:rFonts w:eastAsia="Times New Roman" w:cs="Times New Roman"/>
          <w:color w:val="000000" w:themeColor="text1"/>
          <w:szCs w:val="24"/>
        </w:rPr>
        <w:t>Tepner</w:t>
      </w:r>
      <w:proofErr w:type="spellEnd"/>
      <w:r w:rsidRPr="00E439D7">
        <w:rPr>
          <w:rFonts w:eastAsia="Times New Roman" w:cs="Times New Roman"/>
          <w:color w:val="000000" w:themeColor="text1"/>
          <w:szCs w:val="24"/>
        </w:rPr>
        <w:t xml:space="preserve">, 2012; Fischer, Neumann, Labudde, &amp; </w:t>
      </w:r>
      <w:proofErr w:type="spellStart"/>
      <w:r w:rsidRPr="00E439D7">
        <w:rPr>
          <w:rFonts w:eastAsia="Times New Roman" w:cs="Times New Roman"/>
          <w:color w:val="000000" w:themeColor="text1"/>
          <w:szCs w:val="24"/>
        </w:rPr>
        <w:t>Viiri</w:t>
      </w:r>
      <w:proofErr w:type="spellEnd"/>
      <w:r w:rsidRPr="00E439D7">
        <w:rPr>
          <w:rFonts w:eastAsia="Times New Roman" w:cs="Times New Roman"/>
          <w:color w:val="000000" w:themeColor="text1"/>
          <w:szCs w:val="24"/>
        </w:rPr>
        <w:t xml:space="preserve">, 2014). Also, the development of professional knowledge in teachers is a goal of teacher education. </w:t>
      </w:r>
      <w:r w:rsidR="005855A5" w:rsidRPr="00E439D7">
        <w:rPr>
          <w:rFonts w:eastAsia="Times New Roman" w:cs="Times New Roman"/>
          <w:color w:val="000000" w:themeColor="text1"/>
          <w:szCs w:val="24"/>
        </w:rPr>
        <w:t>Teacher’s</w:t>
      </w:r>
      <w:r w:rsidRPr="00E439D7">
        <w:rPr>
          <w:rFonts w:eastAsia="Times New Roman" w:cs="Times New Roman"/>
          <w:color w:val="000000" w:themeColor="text1"/>
          <w:szCs w:val="24"/>
        </w:rPr>
        <w:t xml:space="preserve"> level of professional knowledge </w:t>
      </w:r>
      <w:r w:rsidR="005855A5" w:rsidRPr="00E439D7">
        <w:rPr>
          <w:rFonts w:eastAsia="Times New Roman" w:cs="Times New Roman"/>
          <w:color w:val="000000" w:themeColor="text1"/>
          <w:szCs w:val="24"/>
        </w:rPr>
        <w:t>enables</w:t>
      </w:r>
      <w:r w:rsidRPr="00E439D7">
        <w:rPr>
          <w:rFonts w:eastAsia="Times New Roman" w:cs="Times New Roman"/>
          <w:color w:val="000000" w:themeColor="text1"/>
          <w:szCs w:val="24"/>
        </w:rPr>
        <w:t xml:space="preserve"> them to use appropriate actions in teaching situations, which should result in students’ achievement (</w:t>
      </w:r>
      <w:proofErr w:type="spellStart"/>
      <w:r w:rsidRPr="00E439D7">
        <w:rPr>
          <w:rFonts w:eastAsia="Times New Roman" w:cs="Times New Roman"/>
          <w:color w:val="000000" w:themeColor="text1"/>
          <w:szCs w:val="24"/>
        </w:rPr>
        <w:t>Terhart</w:t>
      </w:r>
      <w:proofErr w:type="spellEnd"/>
      <w:r w:rsidRPr="00E439D7">
        <w:rPr>
          <w:rFonts w:eastAsia="Times New Roman" w:cs="Times New Roman"/>
          <w:color w:val="000000" w:themeColor="text1"/>
          <w:szCs w:val="24"/>
        </w:rPr>
        <w:t xml:space="preserve">, 2012). Similarly, </w:t>
      </w:r>
      <w:r w:rsidRPr="00E439D7">
        <w:rPr>
          <w:rStyle w:val="fcup0c"/>
          <w:rFonts w:cs="Times New Roman"/>
          <w:color w:val="000000" w:themeColor="text1"/>
          <w:szCs w:val="24"/>
          <w:shd w:val="clear" w:color="auto" w:fill="FFFFFF"/>
        </w:rPr>
        <w:fldChar w:fldCharType="begin" w:fldLock="1"/>
      </w:r>
      <w:r w:rsidRPr="00E439D7">
        <w:rPr>
          <w:rStyle w:val="fcup0c"/>
          <w:rFonts w:cs="Times New Roman"/>
          <w:color w:val="000000" w:themeColor="text1"/>
          <w:szCs w:val="24"/>
          <w:shd w:val="clear" w:color="auto" w:fill="FFFFFF"/>
        </w:rPr>
        <w:instrText>ADDIN CSL_CITATION {"citationItems":[{"id":"ITEM-1","itemData":{"author":[{"dropping-particle":"","family":"Falloon","given":"Garry","non-dropping-particle":"","parse-names":false,"suffix":""}],"container-title":"Educational Technology Research and Development","id":"ITEM-1","issued":{"date-parts":[["2020"]]},"page":"2449-2472","publisher":"Springer","title":"From digital literacy to digital competence: the teacher digital competency (TDC) framework","type":"article-journal","volume":"68"},"uris":["http://www.mendeley.com/documents/?uuid=cb9e149e-9d2f-4e76-b365-b6c92dbdaeac"]}],"mendeley":{"formattedCitation":"(Falloon, 2020)","manualFormatting":"Falloon, (2020)","plainTextFormattedCitation":"(Falloon, 2020)","previouslyFormattedCitation":"(Falloon, 2020)"},"properties":{"noteIndex":0},"schema":"https://github.com/citation-style-language/schema/raw/master/csl-citation.json"}</w:instrText>
      </w:r>
      <w:r w:rsidRPr="00E439D7">
        <w:rPr>
          <w:rStyle w:val="fcup0c"/>
          <w:rFonts w:cs="Times New Roman"/>
          <w:color w:val="000000" w:themeColor="text1"/>
          <w:szCs w:val="24"/>
          <w:shd w:val="clear" w:color="auto" w:fill="FFFFFF"/>
        </w:rPr>
        <w:fldChar w:fldCharType="separate"/>
      </w:r>
      <w:r w:rsidRPr="00E439D7">
        <w:rPr>
          <w:rStyle w:val="fcup0c"/>
          <w:rFonts w:cs="Times New Roman"/>
          <w:noProof/>
          <w:color w:val="000000" w:themeColor="text1"/>
          <w:szCs w:val="24"/>
          <w:shd w:val="clear" w:color="auto" w:fill="FFFFFF"/>
        </w:rPr>
        <w:t>Falloon, (2020)</w:t>
      </w:r>
      <w:r w:rsidRPr="00E439D7">
        <w:rPr>
          <w:rStyle w:val="fcup0c"/>
          <w:rFonts w:cs="Times New Roman"/>
          <w:color w:val="000000" w:themeColor="text1"/>
          <w:szCs w:val="24"/>
          <w:shd w:val="clear" w:color="auto" w:fill="FFFFFF"/>
        </w:rPr>
        <w:fldChar w:fldCharType="end"/>
      </w:r>
      <w:r w:rsidRPr="00E439D7">
        <w:rPr>
          <w:rStyle w:val="fcup0c"/>
          <w:rFonts w:cs="Times New Roman"/>
          <w:color w:val="000000" w:themeColor="text1"/>
          <w:szCs w:val="24"/>
          <w:shd w:val="clear" w:color="auto" w:fill="FFFFFF"/>
        </w:rPr>
        <w:t xml:space="preserve"> posit that teacher’s level of professional knowledge is his or her understanding of the curriculum, subject content, pedagogical knowledge, and the needs of students by providing relevant learning experiences</w:t>
      </w:r>
      <w:r w:rsidRPr="00E439D7">
        <w:rPr>
          <w:rFonts w:cs="Times New Roman"/>
          <w:color w:val="000000" w:themeColor="text1"/>
          <w:szCs w:val="24"/>
          <w:shd w:val="clear" w:color="auto" w:fill="FFFFFF"/>
        </w:rPr>
        <w:t>. Therefore, PMTs high level of professional knowledge are evident in the “lesson plan”, “teaching methodology and delivery”, “classroom organization and management” as well as “professional commitment”.</w:t>
      </w:r>
    </w:p>
    <w:p w14:paraId="344D4BA1" w14:textId="77777777" w:rsidR="009E379A" w:rsidRPr="00E439D7" w:rsidRDefault="009E379A" w:rsidP="009F0D46">
      <w:pPr>
        <w:spacing w:after="0" w:line="240" w:lineRule="auto"/>
        <w:contextualSpacing/>
        <w:jc w:val="both"/>
        <w:rPr>
          <w:rFonts w:cs="Times New Roman"/>
          <w:color w:val="000000" w:themeColor="text1"/>
          <w:szCs w:val="24"/>
          <w:shd w:val="clear" w:color="auto" w:fill="FFFFFF"/>
        </w:rPr>
      </w:pPr>
    </w:p>
    <w:p w14:paraId="080CBBB6" w14:textId="1ED11E36" w:rsidR="009E379A" w:rsidRPr="00E439D7" w:rsidRDefault="0067688C" w:rsidP="009F0D46">
      <w:pPr>
        <w:spacing w:after="0" w:line="240" w:lineRule="auto"/>
        <w:contextualSpacing/>
        <w:jc w:val="both"/>
        <w:rPr>
          <w:rFonts w:cs="Times New Roman"/>
          <w:b/>
          <w:bCs/>
          <w:color w:val="000000" w:themeColor="text1"/>
          <w:szCs w:val="24"/>
          <w:shd w:val="clear" w:color="auto" w:fill="FFFFFF"/>
        </w:rPr>
      </w:pPr>
      <w:r w:rsidRPr="00E439D7">
        <w:rPr>
          <w:rFonts w:cs="Times New Roman"/>
          <w:b/>
          <w:bCs/>
          <w:color w:val="000000" w:themeColor="text1"/>
          <w:szCs w:val="24"/>
          <w:shd w:val="clear" w:color="auto" w:fill="FFFFFF"/>
        </w:rPr>
        <w:t xml:space="preserve">Table 5 </w:t>
      </w:r>
      <w:r w:rsidR="00BC4A72" w:rsidRPr="00E439D7">
        <w:rPr>
          <w:rFonts w:cs="Times New Roman"/>
          <w:b/>
          <w:bCs/>
          <w:color w:val="000000" w:themeColor="text1"/>
          <w:szCs w:val="24"/>
          <w:shd w:val="clear" w:color="auto" w:fill="FFFFFF"/>
        </w:rPr>
        <w:t>–</w:t>
      </w:r>
      <w:r w:rsidRPr="00E439D7">
        <w:rPr>
          <w:rFonts w:cs="Times New Roman"/>
          <w:b/>
          <w:bCs/>
          <w:color w:val="000000" w:themeColor="text1"/>
          <w:szCs w:val="24"/>
          <w:shd w:val="clear" w:color="auto" w:fill="FFFFFF"/>
        </w:rPr>
        <w:t xml:space="preserve"> </w:t>
      </w:r>
      <w:r w:rsidR="00BC4A72" w:rsidRPr="00E439D7">
        <w:rPr>
          <w:rFonts w:cs="Times New Roman"/>
          <w:b/>
          <w:bCs/>
          <w:color w:val="000000" w:themeColor="text1"/>
          <w:szCs w:val="24"/>
          <w:shd w:val="clear" w:color="auto" w:fill="FFFFFF"/>
        </w:rPr>
        <w:t xml:space="preserve">Linear </w:t>
      </w:r>
      <w:r w:rsidR="008E7926" w:rsidRPr="00E439D7">
        <w:rPr>
          <w:rFonts w:cs="Times New Roman"/>
          <w:b/>
          <w:bCs/>
          <w:color w:val="000000" w:themeColor="text1"/>
          <w:szCs w:val="24"/>
          <w:shd w:val="clear" w:color="auto" w:fill="FFFFFF"/>
        </w:rPr>
        <w:t>R</w:t>
      </w:r>
      <w:r w:rsidR="00BC4A72" w:rsidRPr="00E439D7">
        <w:rPr>
          <w:rFonts w:cs="Times New Roman"/>
          <w:b/>
          <w:bCs/>
          <w:color w:val="000000" w:themeColor="text1"/>
          <w:szCs w:val="24"/>
          <w:shd w:val="clear" w:color="auto" w:fill="FFFFFF"/>
        </w:rPr>
        <w:t xml:space="preserve">egression of </w:t>
      </w:r>
      <w:r w:rsidR="00207784" w:rsidRPr="00E439D7">
        <w:rPr>
          <w:rFonts w:cs="Times New Roman"/>
          <w:b/>
          <w:bCs/>
          <w:color w:val="000000" w:themeColor="text1"/>
          <w:szCs w:val="24"/>
          <w:shd w:val="clear" w:color="auto" w:fill="FFFFFF"/>
        </w:rPr>
        <w:t xml:space="preserve">Teaching </w:t>
      </w:r>
      <w:r w:rsidR="009E379A" w:rsidRPr="00E439D7">
        <w:rPr>
          <w:rFonts w:cs="Times New Roman"/>
          <w:b/>
          <w:bCs/>
          <w:color w:val="000000" w:themeColor="text1"/>
          <w:szCs w:val="24"/>
          <w:shd w:val="clear" w:color="auto" w:fill="FFFFFF"/>
        </w:rPr>
        <w:t xml:space="preserve">Methodology </w:t>
      </w:r>
      <w:r w:rsidR="00207784" w:rsidRPr="00E439D7">
        <w:rPr>
          <w:rFonts w:cs="Times New Roman"/>
          <w:b/>
          <w:bCs/>
          <w:color w:val="000000" w:themeColor="text1"/>
          <w:szCs w:val="24"/>
          <w:shd w:val="clear" w:color="auto" w:fill="FFFFFF"/>
        </w:rPr>
        <w:t xml:space="preserve">and </w:t>
      </w:r>
      <w:r w:rsidR="009E379A" w:rsidRPr="00E439D7">
        <w:rPr>
          <w:rFonts w:cs="Times New Roman"/>
          <w:b/>
          <w:bCs/>
          <w:color w:val="000000" w:themeColor="text1"/>
          <w:szCs w:val="24"/>
          <w:shd w:val="clear" w:color="auto" w:fill="FFFFFF"/>
        </w:rPr>
        <w:t>Delivery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071"/>
        <w:gridCol w:w="1076"/>
        <w:gridCol w:w="1081"/>
        <w:gridCol w:w="992"/>
        <w:gridCol w:w="1229"/>
        <w:gridCol w:w="970"/>
        <w:gridCol w:w="1039"/>
      </w:tblGrid>
      <w:tr w:rsidR="00130552" w:rsidRPr="00E439D7" w14:paraId="6C63166A" w14:textId="77777777" w:rsidTr="00130552">
        <w:trPr>
          <w:trHeight w:val="751"/>
        </w:trPr>
        <w:tc>
          <w:tcPr>
            <w:tcW w:w="1620" w:type="dxa"/>
            <w:tcBorders>
              <w:top w:val="single" w:sz="4" w:space="0" w:color="auto"/>
              <w:bottom w:val="single" w:sz="4" w:space="0" w:color="auto"/>
            </w:tcBorders>
          </w:tcPr>
          <w:p w14:paraId="10F05ED2"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Teaching Methodology</w:t>
            </w:r>
          </w:p>
        </w:tc>
        <w:tc>
          <w:tcPr>
            <w:tcW w:w="1071" w:type="dxa"/>
            <w:tcBorders>
              <w:top w:val="single" w:sz="4" w:space="0" w:color="auto"/>
              <w:bottom w:val="single" w:sz="4" w:space="0" w:color="auto"/>
            </w:tcBorders>
          </w:tcPr>
          <w:p w14:paraId="70726684"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R squared</w:t>
            </w:r>
          </w:p>
        </w:tc>
        <w:tc>
          <w:tcPr>
            <w:tcW w:w="1076" w:type="dxa"/>
            <w:tcBorders>
              <w:top w:val="single" w:sz="4" w:space="0" w:color="auto"/>
              <w:bottom w:val="single" w:sz="4" w:space="0" w:color="auto"/>
            </w:tcBorders>
          </w:tcPr>
          <w:p w14:paraId="6FD3DA0D"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Adj. R squared</w:t>
            </w:r>
          </w:p>
        </w:tc>
        <w:tc>
          <w:tcPr>
            <w:tcW w:w="1081" w:type="dxa"/>
            <w:tcBorders>
              <w:top w:val="single" w:sz="4" w:space="0" w:color="auto"/>
              <w:bottom w:val="single" w:sz="4" w:space="0" w:color="auto"/>
            </w:tcBorders>
          </w:tcPr>
          <w:p w14:paraId="2D61078E"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F</w:t>
            </w:r>
          </w:p>
        </w:tc>
        <w:tc>
          <w:tcPr>
            <w:tcW w:w="992" w:type="dxa"/>
            <w:tcBorders>
              <w:top w:val="single" w:sz="4" w:space="0" w:color="auto"/>
              <w:bottom w:val="single" w:sz="4" w:space="0" w:color="auto"/>
            </w:tcBorders>
          </w:tcPr>
          <w:p w14:paraId="7E6B9C89"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P-value</w:t>
            </w:r>
          </w:p>
        </w:tc>
        <w:tc>
          <w:tcPr>
            <w:tcW w:w="1229" w:type="dxa"/>
            <w:tcBorders>
              <w:top w:val="single" w:sz="4" w:space="0" w:color="auto"/>
              <w:bottom w:val="single" w:sz="4" w:space="0" w:color="auto"/>
            </w:tcBorders>
          </w:tcPr>
          <w:p w14:paraId="01613EB1"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Constant</w:t>
            </w:r>
          </w:p>
        </w:tc>
        <w:tc>
          <w:tcPr>
            <w:tcW w:w="970" w:type="dxa"/>
            <w:tcBorders>
              <w:top w:val="single" w:sz="4" w:space="0" w:color="auto"/>
              <w:bottom w:val="single" w:sz="4" w:space="0" w:color="auto"/>
            </w:tcBorders>
          </w:tcPr>
          <w:p w14:paraId="0AAEB6CA"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Beta</w:t>
            </w:r>
          </w:p>
        </w:tc>
        <w:tc>
          <w:tcPr>
            <w:tcW w:w="1039" w:type="dxa"/>
            <w:tcBorders>
              <w:top w:val="single" w:sz="4" w:space="0" w:color="auto"/>
              <w:bottom w:val="single" w:sz="4" w:space="0" w:color="auto"/>
            </w:tcBorders>
          </w:tcPr>
          <w:p w14:paraId="6BA7167C"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t</w:t>
            </w:r>
          </w:p>
        </w:tc>
      </w:tr>
      <w:tr w:rsidR="00130552" w:rsidRPr="00E439D7" w14:paraId="7639F21A" w14:textId="77777777" w:rsidTr="00130552">
        <w:trPr>
          <w:trHeight w:val="350"/>
        </w:trPr>
        <w:tc>
          <w:tcPr>
            <w:tcW w:w="1620" w:type="dxa"/>
            <w:tcBorders>
              <w:top w:val="single" w:sz="4" w:space="0" w:color="auto"/>
            </w:tcBorders>
          </w:tcPr>
          <w:p w14:paraId="305FCAE8"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Lesson Plan</w:t>
            </w:r>
          </w:p>
        </w:tc>
        <w:tc>
          <w:tcPr>
            <w:tcW w:w="1071" w:type="dxa"/>
            <w:tcBorders>
              <w:top w:val="single" w:sz="4" w:space="0" w:color="auto"/>
            </w:tcBorders>
          </w:tcPr>
          <w:p w14:paraId="65F7FD6C"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.666</w:t>
            </w:r>
          </w:p>
        </w:tc>
        <w:tc>
          <w:tcPr>
            <w:tcW w:w="1076" w:type="dxa"/>
            <w:tcBorders>
              <w:top w:val="single" w:sz="4" w:space="0" w:color="auto"/>
            </w:tcBorders>
          </w:tcPr>
          <w:p w14:paraId="75C1FB96"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.662</w:t>
            </w:r>
          </w:p>
        </w:tc>
        <w:tc>
          <w:tcPr>
            <w:tcW w:w="1081" w:type="dxa"/>
            <w:tcBorders>
              <w:top w:val="single" w:sz="4" w:space="0" w:color="auto"/>
            </w:tcBorders>
          </w:tcPr>
          <w:p w14:paraId="2DDDA427"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197.175</w:t>
            </w:r>
          </w:p>
        </w:tc>
        <w:tc>
          <w:tcPr>
            <w:tcW w:w="992" w:type="dxa"/>
            <w:tcBorders>
              <w:top w:val="single" w:sz="4" w:space="0" w:color="auto"/>
            </w:tcBorders>
          </w:tcPr>
          <w:p w14:paraId="2AEF2CFC"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.000</w:t>
            </w:r>
          </w:p>
        </w:tc>
        <w:tc>
          <w:tcPr>
            <w:tcW w:w="1229" w:type="dxa"/>
            <w:tcBorders>
              <w:top w:val="single" w:sz="4" w:space="0" w:color="auto"/>
            </w:tcBorders>
          </w:tcPr>
          <w:p w14:paraId="349D7798"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.516</w:t>
            </w:r>
          </w:p>
        </w:tc>
        <w:tc>
          <w:tcPr>
            <w:tcW w:w="970" w:type="dxa"/>
            <w:tcBorders>
              <w:top w:val="single" w:sz="4" w:space="0" w:color="auto"/>
            </w:tcBorders>
          </w:tcPr>
          <w:p w14:paraId="1801D6F7"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.820</w:t>
            </w:r>
          </w:p>
        </w:tc>
        <w:tc>
          <w:tcPr>
            <w:tcW w:w="1039" w:type="dxa"/>
            <w:tcBorders>
              <w:top w:val="single" w:sz="4" w:space="0" w:color="auto"/>
            </w:tcBorders>
          </w:tcPr>
          <w:p w14:paraId="19A085EB" w14:textId="77777777" w:rsidR="00130552" w:rsidRPr="00E439D7" w:rsidRDefault="00130552" w:rsidP="00D502C7">
            <w:pPr>
              <w:autoSpaceDE w:val="0"/>
              <w:autoSpaceDN w:val="0"/>
              <w:adjustRightInd w:val="0"/>
              <w:spacing w:after="0" w:line="400" w:lineRule="atLeast"/>
              <w:rPr>
                <w:rFonts w:cs="Times New Roman"/>
                <w:szCs w:val="24"/>
              </w:rPr>
            </w:pPr>
            <w:r w:rsidRPr="00E439D7">
              <w:rPr>
                <w:rFonts w:cs="Times New Roman"/>
                <w:szCs w:val="24"/>
              </w:rPr>
              <w:t>14.042</w:t>
            </w:r>
          </w:p>
        </w:tc>
      </w:tr>
    </w:tbl>
    <w:p w14:paraId="2809CADB" w14:textId="77777777" w:rsidR="0067688C" w:rsidRPr="00E439D7" w:rsidRDefault="0067688C" w:rsidP="00006B7F">
      <w:pPr>
        <w:autoSpaceDE w:val="0"/>
        <w:autoSpaceDN w:val="0"/>
        <w:adjustRightInd w:val="0"/>
        <w:spacing w:after="0" w:line="240" w:lineRule="auto"/>
        <w:rPr>
          <w:rFonts w:cs="Times New Roman"/>
          <w:szCs w:val="24"/>
        </w:rPr>
      </w:pPr>
      <w:r w:rsidRPr="00E439D7">
        <w:rPr>
          <w:rFonts w:cs="Times New Roman"/>
          <w:szCs w:val="24"/>
        </w:rPr>
        <w:t>Source: Field survey (2024)</w:t>
      </w:r>
    </w:p>
    <w:p w14:paraId="22D94646" w14:textId="77777777" w:rsidR="00E30C27" w:rsidRPr="00E439D7" w:rsidRDefault="00E30C27" w:rsidP="00006B7F">
      <w:pPr>
        <w:autoSpaceDE w:val="0"/>
        <w:autoSpaceDN w:val="0"/>
        <w:adjustRightInd w:val="0"/>
        <w:spacing w:after="0" w:line="240" w:lineRule="auto"/>
        <w:jc w:val="both"/>
        <w:rPr>
          <w:rFonts w:cs="Times New Roman"/>
          <w:szCs w:val="24"/>
        </w:rPr>
      </w:pPr>
    </w:p>
    <w:p w14:paraId="4776AA8C" w14:textId="54178F2C" w:rsidR="009E379A" w:rsidRPr="00E439D7" w:rsidRDefault="00177BA8" w:rsidP="00006B7F">
      <w:pPr>
        <w:autoSpaceDE w:val="0"/>
        <w:autoSpaceDN w:val="0"/>
        <w:adjustRightInd w:val="0"/>
        <w:spacing w:after="0" w:line="240" w:lineRule="auto"/>
        <w:jc w:val="both"/>
        <w:rPr>
          <w:rFonts w:cs="Times New Roman"/>
          <w:szCs w:val="24"/>
        </w:rPr>
      </w:pPr>
      <w:r w:rsidRPr="00E439D7">
        <w:rPr>
          <w:rFonts w:cs="Times New Roman"/>
          <w:szCs w:val="24"/>
        </w:rPr>
        <w:t>From the Table</w:t>
      </w:r>
      <w:r w:rsidR="00B451A9" w:rsidRPr="00E439D7">
        <w:rPr>
          <w:rFonts w:cs="Times New Roman"/>
          <w:szCs w:val="24"/>
        </w:rPr>
        <w:t xml:space="preserve"> 5</w:t>
      </w:r>
      <w:r w:rsidRPr="00E439D7">
        <w:rPr>
          <w:rFonts w:cs="Times New Roman"/>
          <w:szCs w:val="24"/>
        </w:rPr>
        <w:t xml:space="preserve">, the predictor lesson plan in the model </w:t>
      </w:r>
      <w:r w:rsidR="00CB0BB3" w:rsidRPr="00E439D7">
        <w:rPr>
          <w:rFonts w:cs="Times New Roman"/>
          <w:szCs w:val="24"/>
        </w:rPr>
        <w:t>realized</w:t>
      </w:r>
      <w:r w:rsidRPr="00E439D7">
        <w:rPr>
          <w:rFonts w:cs="Times New Roman"/>
          <w:szCs w:val="24"/>
        </w:rPr>
        <w:t xml:space="preserve"> a total variance of 66.6% explanation in the dependent variable (teaching methodology and delivery). This means that about 33.4% of variance was unexplained by the predictive model for preservice management teachers’ teaching methodology and delivery. The implication of this is that additional variables are needed to fully explain the total variance in PMTs teaching methodology and delivery prediction. </w:t>
      </w:r>
    </w:p>
    <w:p w14:paraId="786D2FFE" w14:textId="77777777" w:rsidR="009E379A" w:rsidRPr="00E439D7" w:rsidRDefault="009E379A" w:rsidP="00006B7F">
      <w:pPr>
        <w:autoSpaceDE w:val="0"/>
        <w:autoSpaceDN w:val="0"/>
        <w:adjustRightInd w:val="0"/>
        <w:spacing w:after="0" w:line="240" w:lineRule="auto"/>
        <w:rPr>
          <w:rFonts w:cs="Times New Roman"/>
          <w:szCs w:val="24"/>
        </w:rPr>
      </w:pPr>
    </w:p>
    <w:p w14:paraId="10624311" w14:textId="1284D329" w:rsidR="001E676A" w:rsidRPr="00E439D7" w:rsidRDefault="00CB29D8" w:rsidP="00006B7F">
      <w:pPr>
        <w:autoSpaceDE w:val="0"/>
        <w:autoSpaceDN w:val="0"/>
        <w:adjustRightInd w:val="0"/>
        <w:spacing w:after="0" w:line="240" w:lineRule="auto"/>
        <w:rPr>
          <w:rFonts w:cs="Times New Roman"/>
          <w:szCs w:val="24"/>
        </w:rPr>
      </w:pPr>
      <w:r w:rsidRPr="00E439D7">
        <w:rPr>
          <w:rFonts w:cs="Times New Roman"/>
          <w:szCs w:val="24"/>
        </w:rPr>
        <w:t>From the table</w:t>
      </w:r>
      <w:r w:rsidR="004D422B" w:rsidRPr="00E439D7">
        <w:rPr>
          <w:rFonts w:cs="Times New Roman"/>
          <w:szCs w:val="24"/>
        </w:rPr>
        <w:t xml:space="preserve"> 5</w:t>
      </w:r>
      <w:r w:rsidRPr="00E439D7">
        <w:rPr>
          <w:rFonts w:cs="Times New Roman"/>
          <w:szCs w:val="24"/>
        </w:rPr>
        <w:t>, an F value of 197.175 provides a significant p</w:t>
      </w:r>
      <w:r w:rsidR="004D422B" w:rsidRPr="00E439D7">
        <w:rPr>
          <w:rFonts w:cs="Times New Roman"/>
          <w:szCs w:val="24"/>
        </w:rPr>
        <w:t>-</w:t>
      </w:r>
      <w:r w:rsidRPr="00E439D7">
        <w:rPr>
          <w:rFonts w:cs="Times New Roman"/>
          <w:szCs w:val="24"/>
        </w:rPr>
        <w:t>value</w:t>
      </w:r>
      <w:r w:rsidR="00AF408A" w:rsidRPr="00E439D7">
        <w:rPr>
          <w:rFonts w:cs="Times New Roman"/>
          <w:szCs w:val="24"/>
        </w:rPr>
        <w:t xml:space="preserve"> of</w:t>
      </w:r>
      <w:r w:rsidRPr="00E439D7">
        <w:rPr>
          <w:rFonts w:cs="Times New Roman"/>
          <w:szCs w:val="24"/>
        </w:rPr>
        <w:t xml:space="preserve"> .000 in the prediction of PMTs teaching methodology and delivery by the regression model. This implies that </w:t>
      </w:r>
      <w:r w:rsidR="009B4225" w:rsidRPr="00E439D7">
        <w:rPr>
          <w:rFonts w:cs="Times New Roman"/>
          <w:szCs w:val="24"/>
        </w:rPr>
        <w:t xml:space="preserve">PMTs lesson plan preparation </w:t>
      </w:r>
      <w:r w:rsidRPr="00E439D7">
        <w:rPr>
          <w:rFonts w:cs="Times New Roman"/>
          <w:szCs w:val="24"/>
        </w:rPr>
        <w:t xml:space="preserve">in the model </w:t>
      </w:r>
      <w:r w:rsidR="009B4225" w:rsidRPr="00E439D7">
        <w:rPr>
          <w:rFonts w:cs="Times New Roman"/>
          <w:szCs w:val="24"/>
        </w:rPr>
        <w:t xml:space="preserve">significantly have effect on their </w:t>
      </w:r>
      <w:r w:rsidRPr="00E439D7">
        <w:rPr>
          <w:rFonts w:cs="Times New Roman"/>
          <w:szCs w:val="24"/>
        </w:rPr>
        <w:t>teaching methodology and delivery.</w:t>
      </w:r>
    </w:p>
    <w:p w14:paraId="25CB9C8C" w14:textId="77777777" w:rsidR="009E379A" w:rsidRPr="00E439D7" w:rsidRDefault="009E379A" w:rsidP="00006B7F">
      <w:pPr>
        <w:autoSpaceDE w:val="0"/>
        <w:autoSpaceDN w:val="0"/>
        <w:adjustRightInd w:val="0"/>
        <w:spacing w:after="0" w:line="240" w:lineRule="auto"/>
        <w:rPr>
          <w:rFonts w:cs="Times New Roman"/>
          <w:szCs w:val="24"/>
        </w:rPr>
      </w:pPr>
    </w:p>
    <w:p w14:paraId="3BC075CE" w14:textId="1EB3DD9E" w:rsidR="003904AE" w:rsidRPr="00E439D7" w:rsidRDefault="005A4607" w:rsidP="009F0D46">
      <w:pPr>
        <w:spacing w:after="0" w:line="240" w:lineRule="auto"/>
        <w:contextualSpacing/>
        <w:jc w:val="both"/>
        <w:rPr>
          <w:rFonts w:cs="Times New Roman"/>
          <w:color w:val="000000" w:themeColor="text1"/>
          <w:szCs w:val="24"/>
          <w:shd w:val="clear" w:color="auto" w:fill="FFFFFF"/>
        </w:rPr>
      </w:pPr>
      <w:r w:rsidRPr="00E439D7">
        <w:rPr>
          <w:rFonts w:cs="Times New Roman"/>
          <w:color w:val="000000" w:themeColor="text1"/>
          <w:szCs w:val="24"/>
          <w:shd w:val="clear" w:color="auto" w:fill="FFFFFF"/>
        </w:rPr>
        <w:t>F</w:t>
      </w:r>
      <w:r w:rsidR="003904AE" w:rsidRPr="00E439D7">
        <w:rPr>
          <w:rFonts w:cs="Times New Roman"/>
          <w:color w:val="000000" w:themeColor="text1"/>
          <w:szCs w:val="24"/>
          <w:shd w:val="clear" w:color="auto" w:fill="FFFFFF"/>
        </w:rPr>
        <w:t xml:space="preserve">inally, from </w:t>
      </w:r>
      <w:r w:rsidRPr="00E439D7">
        <w:rPr>
          <w:rFonts w:cs="Times New Roman"/>
          <w:color w:val="000000" w:themeColor="text1"/>
          <w:szCs w:val="24"/>
          <w:shd w:val="clear" w:color="auto" w:fill="FFFFFF"/>
        </w:rPr>
        <w:t>table</w:t>
      </w:r>
      <w:r w:rsidR="003904AE" w:rsidRPr="00E439D7">
        <w:rPr>
          <w:rFonts w:cs="Times New Roman"/>
          <w:color w:val="000000" w:themeColor="text1"/>
          <w:szCs w:val="24"/>
          <w:shd w:val="clear" w:color="auto" w:fill="FFFFFF"/>
        </w:rPr>
        <w:t xml:space="preserve"> 5</w:t>
      </w:r>
      <w:r w:rsidRPr="00E439D7">
        <w:rPr>
          <w:rFonts w:cs="Times New Roman"/>
          <w:color w:val="000000" w:themeColor="text1"/>
          <w:szCs w:val="24"/>
          <w:shd w:val="clear" w:color="auto" w:fill="FFFFFF"/>
        </w:rPr>
        <w:t xml:space="preserve">, lesson plan preparation has effect on teaching methodology and delivery with </w:t>
      </w:r>
      <w:r w:rsidRPr="00E439D7">
        <w:rPr>
          <w:rFonts w:cs="Times New Roman"/>
          <w:szCs w:val="24"/>
        </w:rPr>
        <w:t>β</w:t>
      </w:r>
      <w:r w:rsidR="00C72663" w:rsidRPr="00E439D7">
        <w:rPr>
          <w:rFonts w:cs="Times New Roman"/>
          <w:szCs w:val="24"/>
        </w:rPr>
        <w:t xml:space="preserve"> </w:t>
      </w:r>
      <w:r w:rsidRPr="00E439D7">
        <w:rPr>
          <w:rFonts w:cs="Times New Roman"/>
          <w:szCs w:val="24"/>
        </w:rPr>
        <w:t>=</w:t>
      </w:r>
      <w:r w:rsidR="00C72663" w:rsidRPr="00E439D7">
        <w:rPr>
          <w:rFonts w:cs="Times New Roman"/>
          <w:szCs w:val="24"/>
        </w:rPr>
        <w:t xml:space="preserve"> </w:t>
      </w:r>
      <w:r w:rsidRPr="00E439D7">
        <w:rPr>
          <w:rFonts w:cs="Times New Roman"/>
          <w:szCs w:val="24"/>
        </w:rPr>
        <w:t>.820 and t</w:t>
      </w:r>
      <w:r w:rsidR="00C72663" w:rsidRPr="00E439D7">
        <w:rPr>
          <w:rFonts w:cs="Times New Roman"/>
          <w:szCs w:val="24"/>
        </w:rPr>
        <w:t xml:space="preserve"> </w:t>
      </w:r>
      <w:r w:rsidRPr="00E439D7">
        <w:rPr>
          <w:rFonts w:cs="Times New Roman"/>
          <w:szCs w:val="24"/>
        </w:rPr>
        <w:t>=</w:t>
      </w:r>
      <w:r w:rsidR="00C72663" w:rsidRPr="00E439D7">
        <w:rPr>
          <w:rFonts w:cs="Times New Roman"/>
          <w:szCs w:val="24"/>
        </w:rPr>
        <w:t xml:space="preserve"> </w:t>
      </w:r>
      <w:r w:rsidRPr="00E439D7">
        <w:rPr>
          <w:rFonts w:cs="Times New Roman"/>
          <w:szCs w:val="24"/>
        </w:rPr>
        <w:t>14.042 at p</w:t>
      </w:r>
      <w:r w:rsidR="00C72663" w:rsidRPr="00E439D7">
        <w:rPr>
          <w:rFonts w:cs="Times New Roman"/>
          <w:szCs w:val="24"/>
        </w:rPr>
        <w:t xml:space="preserve"> </w:t>
      </w:r>
      <w:r w:rsidRPr="00E439D7">
        <w:rPr>
          <w:rFonts w:cs="Times New Roman"/>
          <w:szCs w:val="24"/>
        </w:rPr>
        <w:t>=</w:t>
      </w:r>
      <w:r w:rsidR="00C72663" w:rsidRPr="00E439D7">
        <w:rPr>
          <w:rFonts w:cs="Times New Roman"/>
          <w:szCs w:val="24"/>
        </w:rPr>
        <w:t xml:space="preserve"> </w:t>
      </w:r>
      <w:r w:rsidRPr="00E439D7">
        <w:rPr>
          <w:rFonts w:cs="Times New Roman"/>
          <w:szCs w:val="24"/>
        </w:rPr>
        <w:t>.000, p</w:t>
      </w:r>
      <w:r w:rsidR="00C72663" w:rsidRPr="00E439D7">
        <w:rPr>
          <w:rFonts w:cs="Times New Roman"/>
          <w:szCs w:val="24"/>
        </w:rPr>
        <w:t xml:space="preserve"> </w:t>
      </w:r>
      <w:r w:rsidRPr="00E439D7">
        <w:rPr>
          <w:rFonts w:cs="Times New Roman"/>
          <w:szCs w:val="24"/>
        </w:rPr>
        <w:t>≤</w:t>
      </w:r>
      <w:r w:rsidR="00C72663" w:rsidRPr="00E439D7">
        <w:rPr>
          <w:rFonts w:cs="Times New Roman"/>
          <w:szCs w:val="24"/>
        </w:rPr>
        <w:t xml:space="preserve"> </w:t>
      </w:r>
      <w:r w:rsidRPr="00E439D7">
        <w:rPr>
          <w:rFonts w:cs="Times New Roman"/>
          <w:szCs w:val="24"/>
        </w:rPr>
        <w:t>0.01 threshold. Hence, the null hypothesis formulated for this effectives relationship is rejected for the alternative hypothesis. This implies that preservice management teachers</w:t>
      </w:r>
      <w:r w:rsidR="00B5600E" w:rsidRPr="00E439D7">
        <w:rPr>
          <w:rFonts w:cs="Times New Roman"/>
          <w:szCs w:val="24"/>
        </w:rPr>
        <w:t>’</w:t>
      </w:r>
      <w:r w:rsidRPr="00E439D7">
        <w:rPr>
          <w:rFonts w:cs="Times New Roman"/>
          <w:szCs w:val="24"/>
        </w:rPr>
        <w:t xml:space="preserve"> </w:t>
      </w:r>
      <w:r w:rsidR="00ED28AD" w:rsidRPr="00E439D7">
        <w:rPr>
          <w:rFonts w:cs="Times New Roman"/>
          <w:szCs w:val="24"/>
        </w:rPr>
        <w:t xml:space="preserve">professional knowledge in </w:t>
      </w:r>
      <w:r w:rsidRPr="00E439D7">
        <w:rPr>
          <w:rFonts w:cs="Times New Roman"/>
          <w:szCs w:val="24"/>
        </w:rPr>
        <w:t xml:space="preserve">lesson plan preparation </w:t>
      </w:r>
      <w:r w:rsidR="00DE2EB7" w:rsidRPr="00E439D7">
        <w:rPr>
          <w:rFonts w:cs="Times New Roman"/>
          <w:szCs w:val="24"/>
        </w:rPr>
        <w:t>determines</w:t>
      </w:r>
      <w:r w:rsidRPr="00E439D7">
        <w:rPr>
          <w:rFonts w:cs="Times New Roman"/>
          <w:szCs w:val="24"/>
        </w:rPr>
        <w:t xml:space="preserve"> their level of </w:t>
      </w:r>
      <w:r w:rsidR="00ED28AD" w:rsidRPr="00E439D7">
        <w:rPr>
          <w:rFonts w:cs="Times New Roman"/>
          <w:szCs w:val="24"/>
        </w:rPr>
        <w:t xml:space="preserve">knowledge in the </w:t>
      </w:r>
      <w:r w:rsidRPr="00E439D7">
        <w:rPr>
          <w:rFonts w:cs="Times New Roman"/>
          <w:szCs w:val="24"/>
        </w:rPr>
        <w:t>teaching methodology and delivery</w:t>
      </w:r>
      <w:r w:rsidR="00ED28AD" w:rsidRPr="00E439D7">
        <w:rPr>
          <w:rFonts w:cs="Times New Roman"/>
          <w:szCs w:val="24"/>
        </w:rPr>
        <w:t xml:space="preserve"> adopted</w:t>
      </w:r>
      <w:r w:rsidRPr="00E439D7">
        <w:rPr>
          <w:rFonts w:cs="Times New Roman"/>
          <w:szCs w:val="24"/>
        </w:rPr>
        <w:t>.</w:t>
      </w:r>
    </w:p>
    <w:p w14:paraId="44A71E92" w14:textId="77777777" w:rsidR="003904AE" w:rsidRPr="00E439D7" w:rsidRDefault="003904AE" w:rsidP="009F0D46">
      <w:pPr>
        <w:spacing w:after="0" w:line="240" w:lineRule="auto"/>
        <w:contextualSpacing/>
        <w:jc w:val="both"/>
        <w:rPr>
          <w:rFonts w:cs="Times New Roman"/>
          <w:b/>
          <w:bCs/>
          <w:color w:val="000000" w:themeColor="text1"/>
          <w:szCs w:val="24"/>
          <w:shd w:val="clear" w:color="auto" w:fill="FFFFFF"/>
        </w:rPr>
      </w:pPr>
    </w:p>
    <w:p w14:paraId="453ABD8C" w14:textId="09D3A016" w:rsidR="005855A5" w:rsidRPr="00E439D7" w:rsidRDefault="00D20F08" w:rsidP="009F0D46">
      <w:pPr>
        <w:spacing w:after="0" w:line="240" w:lineRule="auto"/>
        <w:contextualSpacing/>
        <w:jc w:val="both"/>
        <w:rPr>
          <w:rFonts w:cs="Times New Roman"/>
          <w:b/>
          <w:bCs/>
          <w:color w:val="000000" w:themeColor="text1"/>
          <w:szCs w:val="24"/>
          <w:shd w:val="clear" w:color="auto" w:fill="FFFFFF"/>
        </w:rPr>
      </w:pPr>
      <w:r w:rsidRPr="00E439D7">
        <w:rPr>
          <w:rFonts w:cs="Times New Roman"/>
          <w:b/>
          <w:bCs/>
          <w:color w:val="000000" w:themeColor="text1"/>
          <w:szCs w:val="24"/>
          <w:shd w:val="clear" w:color="auto" w:fill="FFFFFF"/>
        </w:rPr>
        <w:t xml:space="preserve">Conclusion </w:t>
      </w:r>
    </w:p>
    <w:p w14:paraId="286DEC5F" w14:textId="77777777" w:rsidR="00C72663" w:rsidRPr="00E439D7" w:rsidRDefault="00C72663" w:rsidP="009F0D46">
      <w:pPr>
        <w:spacing w:after="0" w:line="240" w:lineRule="auto"/>
        <w:contextualSpacing/>
        <w:jc w:val="both"/>
        <w:rPr>
          <w:rFonts w:cs="Times New Roman"/>
          <w:b/>
          <w:bCs/>
          <w:color w:val="000000" w:themeColor="text1"/>
          <w:szCs w:val="24"/>
          <w:shd w:val="clear" w:color="auto" w:fill="FFFFFF"/>
        </w:rPr>
      </w:pPr>
    </w:p>
    <w:p w14:paraId="79868BC8" w14:textId="77777777" w:rsidR="005855A5" w:rsidRPr="00E439D7" w:rsidRDefault="005855A5" w:rsidP="009F0D46">
      <w:pPr>
        <w:spacing w:after="0" w:line="240" w:lineRule="auto"/>
        <w:jc w:val="both"/>
        <w:rPr>
          <w:rFonts w:cs="Times New Roman"/>
          <w:color w:val="000000" w:themeColor="text1"/>
          <w:szCs w:val="24"/>
        </w:rPr>
      </w:pPr>
      <w:r w:rsidRPr="00E439D7">
        <w:rPr>
          <w:rFonts w:cs="Times New Roman"/>
          <w:color w:val="000000" w:themeColor="text1"/>
          <w:szCs w:val="24"/>
        </w:rPr>
        <w:t xml:space="preserve">Concerning PMTs level of professional knowledge, it is concluded that their level of professional knowledge is high during off-campus teaching practice because they have acquired both theoretical and practice knowledge in terms of “lesson plan preparation”, “teaching methodologies </w:t>
      </w:r>
      <w:r w:rsidRPr="00E439D7">
        <w:rPr>
          <w:rFonts w:cs="Times New Roman"/>
          <w:color w:val="000000" w:themeColor="text1"/>
          <w:szCs w:val="24"/>
        </w:rPr>
        <w:lastRenderedPageBreak/>
        <w:t xml:space="preserve">and delivery”, “classroom organization and management” as well as “professional commitment”. This theoretical and practice knowledge could be evidenced during the study of methods of teaching course and on-campus teaching practice respectively in level 300. </w:t>
      </w:r>
    </w:p>
    <w:p w14:paraId="44F36101" w14:textId="77777777" w:rsidR="00A76E58" w:rsidRPr="00E439D7" w:rsidRDefault="00A76E58" w:rsidP="009F0D46">
      <w:pPr>
        <w:spacing w:after="0" w:line="240" w:lineRule="auto"/>
        <w:jc w:val="both"/>
        <w:rPr>
          <w:rFonts w:cs="Times New Roman"/>
          <w:color w:val="000000" w:themeColor="text1"/>
          <w:szCs w:val="24"/>
        </w:rPr>
      </w:pPr>
    </w:p>
    <w:p w14:paraId="67C92036" w14:textId="6A000F70" w:rsidR="00DB193D" w:rsidRPr="00E439D7" w:rsidRDefault="005855A5" w:rsidP="009F0D46">
      <w:pPr>
        <w:spacing w:after="0" w:line="240" w:lineRule="auto"/>
        <w:jc w:val="both"/>
        <w:rPr>
          <w:rFonts w:cs="Times New Roman"/>
          <w:color w:val="000000" w:themeColor="text1"/>
          <w:szCs w:val="24"/>
        </w:rPr>
      </w:pPr>
      <w:r w:rsidRPr="00E439D7">
        <w:rPr>
          <w:rFonts w:cs="Times New Roman"/>
          <w:color w:val="000000" w:themeColor="text1"/>
          <w:szCs w:val="24"/>
        </w:rPr>
        <w:t>Again, it is concluded that the statement “I know how to use correct expressions, correct students’ language errors, encourage student to pay attention to their use of language, use effective verbal and non-verbal communication as well as avoid language mannerisms” recorded the lowest mean because, perhaps, supervisors</w:t>
      </w:r>
      <w:r w:rsidR="00EB0EA1" w:rsidRPr="00E439D7">
        <w:rPr>
          <w:rFonts w:cs="Times New Roman"/>
          <w:color w:val="000000" w:themeColor="text1"/>
          <w:szCs w:val="24"/>
        </w:rPr>
        <w:t>’</w:t>
      </w:r>
      <w:r w:rsidRPr="00E439D7">
        <w:rPr>
          <w:rFonts w:cs="Times New Roman"/>
          <w:color w:val="000000" w:themeColor="text1"/>
          <w:szCs w:val="24"/>
        </w:rPr>
        <w:t xml:space="preserve"> attention have not been drawn to that direction during on-campus teaching practice, hence, the lowest mean recorded. </w:t>
      </w:r>
    </w:p>
    <w:p w14:paraId="48E8A434" w14:textId="40A896F7" w:rsidR="006700B3" w:rsidRPr="00E439D7" w:rsidRDefault="00DB193D" w:rsidP="00CD74B0">
      <w:pPr>
        <w:pStyle w:val="NormalWeb"/>
        <w:jc w:val="both"/>
        <w:rPr>
          <w:color w:val="FF0000"/>
        </w:rPr>
      </w:pPr>
      <w:r w:rsidRPr="00E439D7">
        <w:t xml:space="preserve">Since preservice teachers scored lowest in effective communication skills, curriculum developers should prioritize enhancing communication competencies by including workshops that focus on verbal and written communication, active listening, and interpersonal skills to help these future teachers improve their ability to effectively convey information. Also, the study suggests that lesson planning significantly influences teaching methodology and delivery and so curriculum designers should emphasize practical lesson planning exercises, aligning them with specific teaching methods, and providing opportunities for preservice teachers to apply their plans in real classroom settings. Further, </w:t>
      </w:r>
      <w:r w:rsidRPr="00E439D7">
        <w:rPr>
          <w:rStyle w:val="Strong"/>
          <w:rFonts w:eastAsiaTheme="majorEastAsia"/>
          <w:b w:val="0"/>
        </w:rPr>
        <w:t>r</w:t>
      </w:r>
      <w:r w:rsidRPr="00E439D7">
        <w:t>ather than treating professional knowledge on lesson planning, and classroom management as components, curriculum development should take a holistic approach by encouraging preservice teachers to see these as interconnected elements that are essential for effective teaching. Lastly, though the study did not directly measure teaching self-efficacy, it is crucial for preservice teachers’ success and therefore, curriculum developers can incorporate activities that boost self-confidence, such as simulated teaching scenarios, peer feedback, and reflective practices.</w:t>
      </w:r>
      <w:bookmarkStart w:id="14" w:name="_Toc144949582"/>
    </w:p>
    <w:p w14:paraId="1B626DC1" w14:textId="094C2308" w:rsidR="00541473" w:rsidRPr="00E439D7" w:rsidRDefault="00541473" w:rsidP="009F0D46">
      <w:pPr>
        <w:spacing w:line="240" w:lineRule="auto"/>
        <w:rPr>
          <w:rFonts w:cs="Times New Roman"/>
          <w:b/>
          <w:bCs/>
          <w:szCs w:val="24"/>
        </w:rPr>
      </w:pPr>
      <w:r w:rsidRPr="00E439D7">
        <w:rPr>
          <w:rFonts w:cs="Times New Roman"/>
          <w:b/>
          <w:bCs/>
          <w:szCs w:val="24"/>
        </w:rPr>
        <w:t>Recommendations</w:t>
      </w:r>
      <w:bookmarkEnd w:id="14"/>
    </w:p>
    <w:p w14:paraId="2A1942B5" w14:textId="77777777" w:rsidR="00541473" w:rsidRPr="00E439D7" w:rsidRDefault="00541473" w:rsidP="009F0D46">
      <w:pPr>
        <w:spacing w:after="0" w:line="240" w:lineRule="auto"/>
        <w:jc w:val="both"/>
        <w:rPr>
          <w:rFonts w:cs="Times New Roman"/>
          <w:color w:val="000000" w:themeColor="text1"/>
          <w:szCs w:val="24"/>
        </w:rPr>
      </w:pPr>
      <w:r w:rsidRPr="00E439D7">
        <w:rPr>
          <w:rFonts w:cs="Times New Roman"/>
          <w:color w:val="000000" w:themeColor="text1"/>
          <w:szCs w:val="24"/>
        </w:rPr>
        <w:t>Teacher educators are recommended to continue developing preserve teachers’ professional knowledge both theoretical and practice. Thus, through methods of teaching as a course and on-campus teaching practice. Also, supervisors for on-campus teaching practice should draw the attention of preservice teachers to use correct expressions, correct colleagues’ language errors, encourage their colleagues to pay attention to their use of language, use effective verbal and non-verbal communication as well as avoid language mannerisms during on-campus teaching practice. This directive would go a long way to adequately develop them before they go out for off-campus teaching practice.</w:t>
      </w:r>
    </w:p>
    <w:p w14:paraId="05CBC23F" w14:textId="77777777" w:rsidR="00276089" w:rsidRPr="00E439D7" w:rsidRDefault="00276089" w:rsidP="009F0D46">
      <w:pPr>
        <w:spacing w:line="240" w:lineRule="auto"/>
        <w:rPr>
          <w:rFonts w:cs="Times New Roman"/>
          <w:b/>
          <w:bCs/>
          <w:szCs w:val="24"/>
        </w:rPr>
      </w:pPr>
      <w:bookmarkStart w:id="15" w:name="_Toc144949587"/>
    </w:p>
    <w:p w14:paraId="2F3086AC" w14:textId="4F967E48" w:rsidR="003D53C7" w:rsidRPr="00E439D7" w:rsidRDefault="003D53C7" w:rsidP="009F0D46">
      <w:pPr>
        <w:spacing w:line="240" w:lineRule="auto"/>
        <w:rPr>
          <w:rFonts w:cs="Times New Roman"/>
          <w:b/>
          <w:bCs/>
          <w:szCs w:val="24"/>
        </w:rPr>
      </w:pPr>
      <w:r w:rsidRPr="00E439D7">
        <w:rPr>
          <w:rFonts w:cs="Times New Roman"/>
          <w:b/>
          <w:bCs/>
          <w:szCs w:val="24"/>
        </w:rPr>
        <w:t>Contribution to practice</w:t>
      </w:r>
      <w:bookmarkEnd w:id="15"/>
      <w:r w:rsidRPr="00E439D7">
        <w:rPr>
          <w:rFonts w:cs="Times New Roman"/>
          <w:b/>
          <w:bCs/>
          <w:szCs w:val="24"/>
        </w:rPr>
        <w:t xml:space="preserve"> </w:t>
      </w:r>
    </w:p>
    <w:p w14:paraId="7E718489" w14:textId="48D07AF9" w:rsidR="001C455C" w:rsidRPr="00E439D7" w:rsidRDefault="003D53C7" w:rsidP="009F0D46">
      <w:pPr>
        <w:spacing w:after="0" w:line="240" w:lineRule="auto"/>
        <w:jc w:val="both"/>
        <w:rPr>
          <w:rFonts w:cs="Times New Roman"/>
          <w:color w:val="000000" w:themeColor="text1"/>
          <w:szCs w:val="24"/>
        </w:rPr>
      </w:pPr>
      <w:r w:rsidRPr="00E439D7">
        <w:rPr>
          <w:rFonts w:cs="Times New Roman"/>
          <w:color w:val="000000" w:themeColor="text1"/>
          <w:szCs w:val="24"/>
        </w:rPr>
        <w:t>The study has entreated supervisors for on-campus teaching practice to draw the attention of preservice teachers to use correct expressions, correct colleagues’ language errors, encourage their colleagues to pay attention to their use of language, use effective verbal and non-verbal communication as well as avoid language mannerisms during on-campus teaching practice. This would help to adequately develop them before they go for “off-campus teaching practice” and to assist them in the teaching profession.</w:t>
      </w:r>
    </w:p>
    <w:p w14:paraId="7BBBBE5A" w14:textId="633C5EA3" w:rsidR="00276089" w:rsidRPr="00E439D7" w:rsidRDefault="00276089" w:rsidP="00276089">
      <w:pPr>
        <w:spacing w:before="100" w:beforeAutospacing="1" w:after="100" w:afterAutospacing="1" w:line="240" w:lineRule="auto"/>
        <w:rPr>
          <w:rFonts w:eastAsia="Times New Roman" w:cs="Times New Roman"/>
          <w:szCs w:val="24"/>
        </w:rPr>
      </w:pPr>
      <w:r w:rsidRPr="00E439D7">
        <w:rPr>
          <w:rFonts w:eastAsia="Times New Roman" w:cs="Times New Roman"/>
          <w:b/>
          <w:bCs/>
          <w:szCs w:val="24"/>
        </w:rPr>
        <w:t>Implication for Curriculum Review and Development</w:t>
      </w:r>
    </w:p>
    <w:p w14:paraId="774BF2AB" w14:textId="6B6987D8" w:rsidR="00417D19" w:rsidRPr="00E439D7" w:rsidRDefault="00276089" w:rsidP="003C42EE">
      <w:pPr>
        <w:spacing w:before="100" w:beforeAutospacing="1" w:after="100" w:afterAutospacing="1" w:line="240" w:lineRule="auto"/>
        <w:jc w:val="both"/>
        <w:rPr>
          <w:rFonts w:eastAsia="Times New Roman" w:cs="Times New Roman"/>
          <w:szCs w:val="24"/>
        </w:rPr>
      </w:pPr>
      <w:r w:rsidRPr="00E439D7">
        <w:rPr>
          <w:rFonts w:eastAsia="Times New Roman" w:cs="Times New Roman"/>
          <w:szCs w:val="24"/>
        </w:rPr>
        <w:lastRenderedPageBreak/>
        <w:t xml:space="preserve">Given that lesson plan preparation significantly influences teaching methodology and delivery, curriculum review should prioritize enhancing preservice teachers’ lesson planning skills through the building of teacher competences. In this light, the integration of communication skills into teacher training programmes is crucial. Teacher training institutions, in collaboration with the Centre for Teacher Professional Development (CTPD), can periodically organize workshops and practical experience sessions to enhance preservice teachers’ ability to convey information effectively. Also, while lesson planning is crucial, the curriculum for preservice teachers should also emphasize competencies such as communication to create well-rounded educators. Teacher educators should ensure the provision of </w:t>
      </w:r>
      <w:r w:rsidRPr="00E439D7">
        <w:rPr>
          <w:rFonts w:eastAsia="Times New Roman" w:cs="Times New Roman"/>
          <w:bCs/>
          <w:szCs w:val="24"/>
        </w:rPr>
        <w:t>r</w:t>
      </w:r>
      <w:r w:rsidRPr="00E439D7">
        <w:rPr>
          <w:rFonts w:eastAsia="Times New Roman" w:cs="Times New Roman"/>
          <w:szCs w:val="24"/>
        </w:rPr>
        <w:t>egular feedback and assessment to preservice teachers on the quality of their lesson plans to guide them toward effective practices. In sum, the findings call for a holistic approach to curriculum development – one that recognizes the interconnectedness of various teaching competencies and their impact on student learning outcomes.</w:t>
      </w:r>
    </w:p>
    <w:p w14:paraId="605F632D" w14:textId="77777777" w:rsidR="000168F6" w:rsidRPr="00E439D7" w:rsidRDefault="000168F6" w:rsidP="000168F6">
      <w:pPr>
        <w:spacing w:after="0" w:line="240" w:lineRule="auto"/>
        <w:jc w:val="both"/>
        <w:rPr>
          <w:rFonts w:cs="Times New Roman"/>
          <w:b/>
          <w:bCs/>
          <w:szCs w:val="24"/>
        </w:rPr>
      </w:pPr>
      <w:r w:rsidRPr="00E439D7">
        <w:rPr>
          <w:rFonts w:cs="Times New Roman"/>
          <w:b/>
          <w:bCs/>
          <w:szCs w:val="24"/>
        </w:rPr>
        <w:t>Statements on Open Data and Ethics</w:t>
      </w:r>
    </w:p>
    <w:p w14:paraId="5E7F9AB8" w14:textId="6107AB24" w:rsidR="000168F6" w:rsidRDefault="000168F6" w:rsidP="000168F6">
      <w:pPr>
        <w:spacing w:before="100" w:beforeAutospacing="1" w:after="100" w:afterAutospacing="1" w:line="240" w:lineRule="auto"/>
        <w:jc w:val="both"/>
        <w:rPr>
          <w:rFonts w:cs="Times New Roman"/>
          <w:szCs w:val="24"/>
        </w:rPr>
      </w:pPr>
      <w:r w:rsidRPr="00E439D7">
        <w:rPr>
          <w:rFonts w:cs="Times New Roman"/>
          <w:szCs w:val="24"/>
        </w:rPr>
        <w:t xml:space="preserve">The data supporting the findings in this study were obtained from preservice teachers at University of Cape Coast. The study was approved by an </w:t>
      </w:r>
      <w:r w:rsidR="009C0A2F" w:rsidRPr="00E439D7">
        <w:rPr>
          <w:rFonts w:cs="Times New Roman"/>
          <w:szCs w:val="24"/>
        </w:rPr>
        <w:t>I</w:t>
      </w:r>
      <w:r w:rsidRPr="00E439D7">
        <w:rPr>
          <w:rFonts w:cs="Times New Roman"/>
          <w:szCs w:val="24"/>
        </w:rPr>
        <w:t>nstitutional Review Board (IRB-UCC) from the University of Cape Coast with the ethical clearance – ID (UCCIRB/CES/202</w:t>
      </w:r>
      <w:r w:rsidR="00112C9E" w:rsidRPr="00E439D7">
        <w:rPr>
          <w:rFonts w:cs="Times New Roman"/>
          <w:szCs w:val="24"/>
        </w:rPr>
        <w:t>3</w:t>
      </w:r>
      <w:r w:rsidRPr="00E439D7">
        <w:rPr>
          <w:rFonts w:cs="Times New Roman"/>
          <w:szCs w:val="24"/>
        </w:rPr>
        <w:t>/</w:t>
      </w:r>
      <w:r w:rsidR="00112C9E" w:rsidRPr="00E439D7">
        <w:rPr>
          <w:rFonts w:cs="Times New Roman"/>
          <w:szCs w:val="24"/>
        </w:rPr>
        <w:t>70</w:t>
      </w:r>
      <w:r w:rsidRPr="00E439D7">
        <w:rPr>
          <w:rFonts w:cs="Times New Roman"/>
          <w:szCs w:val="24"/>
        </w:rPr>
        <w:t>). Hence, informed consent was obtained from all respondents prior to data collection.</w:t>
      </w:r>
    </w:p>
    <w:p w14:paraId="125372DB" w14:textId="77777777" w:rsidR="00FE7EF4" w:rsidRPr="00740879" w:rsidRDefault="00FE7EF4" w:rsidP="00FE7EF4">
      <w:pPr>
        <w:rPr>
          <w:highlight w:val="yellow"/>
        </w:rPr>
      </w:pPr>
      <w:r w:rsidRPr="00740879">
        <w:rPr>
          <w:highlight w:val="yellow"/>
        </w:rPr>
        <w:t>Disclaimer (Artificial intelligence)</w:t>
      </w:r>
    </w:p>
    <w:p w14:paraId="266A0943" w14:textId="77777777" w:rsidR="00FE7EF4" w:rsidRPr="00740879" w:rsidRDefault="00FE7EF4" w:rsidP="00FE7EF4">
      <w:pPr>
        <w:rPr>
          <w:highlight w:val="yellow"/>
        </w:rPr>
      </w:pPr>
      <w:r w:rsidRPr="00740879">
        <w:rPr>
          <w:highlight w:val="yellow"/>
        </w:rPr>
        <w:t xml:space="preserve">Option 1: </w:t>
      </w:r>
    </w:p>
    <w:p w14:paraId="4CF210AD" w14:textId="77777777" w:rsidR="00FE7EF4" w:rsidRPr="00740879" w:rsidRDefault="00FE7EF4" w:rsidP="00FE7EF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D76A5AB" w14:textId="77777777" w:rsidR="00FE7EF4" w:rsidRPr="00740879" w:rsidRDefault="00FE7EF4" w:rsidP="00FE7EF4">
      <w:pPr>
        <w:rPr>
          <w:highlight w:val="yellow"/>
        </w:rPr>
      </w:pPr>
      <w:r w:rsidRPr="00740879">
        <w:rPr>
          <w:highlight w:val="yellow"/>
        </w:rPr>
        <w:t xml:space="preserve">Option 2: </w:t>
      </w:r>
    </w:p>
    <w:p w14:paraId="4BBE95BE" w14:textId="77777777" w:rsidR="00FE7EF4" w:rsidRPr="00740879" w:rsidRDefault="00FE7EF4" w:rsidP="00FE7EF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838757" w14:textId="77777777" w:rsidR="00FE7EF4" w:rsidRPr="00740879" w:rsidRDefault="00FE7EF4" w:rsidP="00FE7EF4">
      <w:pPr>
        <w:rPr>
          <w:highlight w:val="yellow"/>
        </w:rPr>
      </w:pPr>
      <w:r w:rsidRPr="00740879">
        <w:rPr>
          <w:highlight w:val="yellow"/>
        </w:rPr>
        <w:t>Details of the AI usage are given below:</w:t>
      </w:r>
    </w:p>
    <w:p w14:paraId="75EC1554" w14:textId="77777777" w:rsidR="00FE7EF4" w:rsidRPr="00740879" w:rsidRDefault="00FE7EF4" w:rsidP="00FE7EF4">
      <w:pPr>
        <w:rPr>
          <w:highlight w:val="yellow"/>
        </w:rPr>
      </w:pPr>
      <w:r w:rsidRPr="00740879">
        <w:rPr>
          <w:highlight w:val="yellow"/>
        </w:rPr>
        <w:t>1.</w:t>
      </w:r>
    </w:p>
    <w:p w14:paraId="7CFB39F6" w14:textId="77777777" w:rsidR="00FE7EF4" w:rsidRPr="00740879" w:rsidRDefault="00FE7EF4" w:rsidP="00FE7EF4">
      <w:pPr>
        <w:rPr>
          <w:highlight w:val="yellow"/>
        </w:rPr>
      </w:pPr>
      <w:r w:rsidRPr="00740879">
        <w:rPr>
          <w:highlight w:val="yellow"/>
        </w:rPr>
        <w:lastRenderedPageBreak/>
        <w:t>2.</w:t>
      </w:r>
    </w:p>
    <w:p w14:paraId="4CEB9BB6" w14:textId="77777777" w:rsidR="00FE7EF4" w:rsidRPr="00D047BB" w:rsidRDefault="00FE7EF4" w:rsidP="00FE7EF4">
      <w:r w:rsidRPr="00740879">
        <w:rPr>
          <w:highlight w:val="yellow"/>
        </w:rPr>
        <w:t>3.</w:t>
      </w:r>
    </w:p>
    <w:p w14:paraId="37CF046D" w14:textId="31A90C62" w:rsidR="00FE7EF4" w:rsidRPr="00E439D7" w:rsidRDefault="00FE7EF4" w:rsidP="000168F6">
      <w:pPr>
        <w:spacing w:before="100" w:beforeAutospacing="1" w:after="100" w:afterAutospacing="1" w:line="240" w:lineRule="auto"/>
        <w:jc w:val="both"/>
        <w:rPr>
          <w:rFonts w:eastAsia="Times New Roman" w:cs="Times New Roman"/>
          <w:szCs w:val="24"/>
        </w:rPr>
      </w:pPr>
    </w:p>
    <w:p w14:paraId="2F170B0A" w14:textId="77777777" w:rsidR="00670D7E" w:rsidRPr="00E439D7" w:rsidRDefault="00670D7E" w:rsidP="00670D7E">
      <w:pPr>
        <w:spacing w:line="240" w:lineRule="auto"/>
        <w:rPr>
          <w:rFonts w:cs="Times New Roman"/>
          <w:b/>
          <w:bCs/>
          <w:szCs w:val="24"/>
        </w:rPr>
      </w:pPr>
      <w:r w:rsidRPr="00E439D7">
        <w:rPr>
          <w:rFonts w:cs="Times New Roman"/>
          <w:b/>
          <w:bCs/>
          <w:szCs w:val="24"/>
        </w:rPr>
        <w:t xml:space="preserve">References </w:t>
      </w:r>
    </w:p>
    <w:p w14:paraId="220F436B"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Abell, S. K. (2007). Research on science teacher knowledge. </w:t>
      </w:r>
      <w:r w:rsidRPr="00E439D7">
        <w:rPr>
          <w:rFonts w:cs="Times New Roman"/>
          <w:i/>
          <w:iCs/>
          <w:szCs w:val="24"/>
        </w:rPr>
        <w:t xml:space="preserve">Handbook of Research on Science </w:t>
      </w:r>
      <w:r w:rsidRPr="00E439D7">
        <w:rPr>
          <w:rFonts w:cs="Times New Roman"/>
          <w:i/>
          <w:iCs/>
          <w:szCs w:val="24"/>
        </w:rPr>
        <w:tab/>
        <w:t>Education</w:t>
      </w:r>
      <w:r w:rsidRPr="00E439D7">
        <w:rPr>
          <w:rFonts w:cs="Times New Roman"/>
          <w:szCs w:val="24"/>
        </w:rPr>
        <w:t>, 1105–1149.</w:t>
      </w:r>
    </w:p>
    <w:p w14:paraId="3E9A2FF8"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Agyei, D. D. (2022). Enhancing preservice teachers' pedagogical content knowledge through </w:t>
      </w:r>
      <w:r w:rsidRPr="00E439D7">
        <w:rPr>
          <w:rFonts w:cs="Times New Roman"/>
          <w:szCs w:val="24"/>
        </w:rPr>
        <w:tab/>
        <w:t xml:space="preserve">technology integration: The case of lesson plan preparation. </w:t>
      </w:r>
      <w:r w:rsidRPr="00E439D7">
        <w:rPr>
          <w:rFonts w:cs="Times New Roman"/>
          <w:i/>
          <w:iCs/>
          <w:szCs w:val="24"/>
        </w:rPr>
        <w:t xml:space="preserve">Journal of Teacher Education </w:t>
      </w:r>
      <w:r w:rsidRPr="00E439D7">
        <w:rPr>
          <w:rFonts w:cs="Times New Roman"/>
          <w:i/>
          <w:iCs/>
          <w:szCs w:val="24"/>
        </w:rPr>
        <w:tab/>
        <w:t>and Practice, 18</w:t>
      </w:r>
      <w:r w:rsidRPr="00E439D7">
        <w:rPr>
          <w:rFonts w:cs="Times New Roman"/>
          <w:szCs w:val="24"/>
        </w:rPr>
        <w:t>(2), 45–60.</w:t>
      </w:r>
    </w:p>
    <w:p w14:paraId="3C2F1D9A"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Amoak, B. K. (2021). </w:t>
      </w:r>
      <w:r w:rsidRPr="00E439D7">
        <w:rPr>
          <w:rFonts w:cs="Times New Roman"/>
          <w:i/>
          <w:iCs/>
          <w:szCs w:val="24"/>
          <w:highlight w:val="yellow"/>
        </w:rPr>
        <w:t>Towards a Paradigm of Creative Pedagogy: A Study of Teacher Trainees at the University of Ghana</w:t>
      </w:r>
      <w:r w:rsidRPr="00E439D7">
        <w:rPr>
          <w:rFonts w:cs="Times New Roman"/>
          <w:szCs w:val="24"/>
          <w:highlight w:val="yellow"/>
        </w:rPr>
        <w:t> (Doctoral dissertation, University of Ghana).</w:t>
      </w:r>
    </w:p>
    <w:p w14:paraId="7887D1CB"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highlight w:val="yellow"/>
        </w:rPr>
        <w:t>Ayantaş</w:t>
      </w:r>
      <w:proofErr w:type="spellEnd"/>
      <w:r w:rsidRPr="00E439D7">
        <w:rPr>
          <w:rFonts w:cs="Times New Roman"/>
          <w:szCs w:val="24"/>
          <w:highlight w:val="yellow"/>
        </w:rPr>
        <w:t xml:space="preserve">, T., &amp; </w:t>
      </w:r>
      <w:proofErr w:type="spellStart"/>
      <w:r w:rsidRPr="00E439D7">
        <w:rPr>
          <w:rFonts w:cs="Times New Roman"/>
          <w:szCs w:val="24"/>
          <w:highlight w:val="yellow"/>
        </w:rPr>
        <w:t>Gürgen</w:t>
      </w:r>
      <w:proofErr w:type="spellEnd"/>
      <w:r w:rsidRPr="00E439D7">
        <w:rPr>
          <w:rFonts w:cs="Times New Roman"/>
          <w:szCs w:val="24"/>
          <w:highlight w:val="yellow"/>
        </w:rPr>
        <w:t xml:space="preserve">, G. (2025). Building Collaboration Among Teacher Candidates in Higher </w:t>
      </w:r>
      <w:r w:rsidRPr="00E439D7">
        <w:rPr>
          <w:rFonts w:cs="Times New Roman"/>
          <w:szCs w:val="24"/>
          <w:highlight w:val="yellow"/>
        </w:rPr>
        <w:tab/>
        <w:t xml:space="preserve">Education: Developing Lesson Planning Competencies With Lesson Study (LS) Teams. </w:t>
      </w:r>
      <w:r w:rsidRPr="00E439D7">
        <w:rPr>
          <w:rFonts w:cs="Times New Roman"/>
          <w:szCs w:val="24"/>
          <w:highlight w:val="yellow"/>
        </w:rPr>
        <w:tab/>
        <w:t>In </w:t>
      </w:r>
      <w:r w:rsidRPr="00E439D7">
        <w:rPr>
          <w:rFonts w:cs="Times New Roman"/>
          <w:i/>
          <w:iCs/>
          <w:szCs w:val="24"/>
          <w:highlight w:val="yellow"/>
        </w:rPr>
        <w:t>Developing Effective and High-Performing Teams in Higher Education</w:t>
      </w:r>
      <w:r w:rsidRPr="00E439D7">
        <w:rPr>
          <w:rFonts w:cs="Times New Roman"/>
          <w:szCs w:val="24"/>
          <w:highlight w:val="yellow"/>
        </w:rPr>
        <w:t xml:space="preserve"> (pp. 145-186). </w:t>
      </w:r>
      <w:r w:rsidRPr="00E439D7">
        <w:rPr>
          <w:rFonts w:cs="Times New Roman"/>
          <w:szCs w:val="24"/>
          <w:highlight w:val="yellow"/>
        </w:rPr>
        <w:tab/>
        <w:t>IGI Global.</w:t>
      </w:r>
    </w:p>
    <w:p w14:paraId="0D884878"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Batı, K., &amp; Irmak, Ş. (2024). A reliability generalization study of the STEM-CIS scale: Exploring moderator effects. </w:t>
      </w:r>
      <w:r w:rsidRPr="00E439D7">
        <w:rPr>
          <w:rFonts w:cs="Times New Roman"/>
          <w:i/>
          <w:iCs/>
          <w:szCs w:val="24"/>
          <w:highlight w:val="yellow"/>
        </w:rPr>
        <w:t>Current Psychology</w:t>
      </w:r>
      <w:r w:rsidRPr="00E439D7">
        <w:rPr>
          <w:rFonts w:cs="Times New Roman"/>
          <w:szCs w:val="24"/>
          <w:highlight w:val="yellow"/>
        </w:rPr>
        <w:t>, </w:t>
      </w:r>
      <w:r w:rsidRPr="00E439D7">
        <w:rPr>
          <w:rFonts w:cs="Times New Roman"/>
          <w:i/>
          <w:iCs/>
          <w:szCs w:val="24"/>
          <w:highlight w:val="yellow"/>
        </w:rPr>
        <w:t>43</w:t>
      </w:r>
      <w:r w:rsidRPr="00E439D7">
        <w:rPr>
          <w:rFonts w:cs="Times New Roman"/>
          <w:szCs w:val="24"/>
          <w:highlight w:val="yellow"/>
        </w:rPr>
        <w:t>(46), 35453-35470.</w:t>
      </w:r>
    </w:p>
    <w:p w14:paraId="775AAA97"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Birhan, W., Shiferaw, G., Amsalu, A., Tamiru, M., &amp; Tiruye, H. (2021). Exploring the context of teaching character education to children in preprimary and primary schools. </w:t>
      </w:r>
      <w:r w:rsidRPr="00E439D7">
        <w:rPr>
          <w:rFonts w:cs="Times New Roman"/>
          <w:i/>
          <w:iCs/>
          <w:szCs w:val="24"/>
          <w:highlight w:val="yellow"/>
        </w:rPr>
        <w:t>Social Sciences &amp; Humanities Open</w:t>
      </w:r>
      <w:r w:rsidRPr="00E439D7">
        <w:rPr>
          <w:rFonts w:cs="Times New Roman"/>
          <w:szCs w:val="24"/>
          <w:highlight w:val="yellow"/>
        </w:rPr>
        <w:t>, </w:t>
      </w:r>
      <w:r w:rsidRPr="00E439D7">
        <w:rPr>
          <w:rFonts w:cs="Times New Roman"/>
          <w:i/>
          <w:iCs/>
          <w:szCs w:val="24"/>
          <w:highlight w:val="yellow"/>
        </w:rPr>
        <w:t>4</w:t>
      </w:r>
      <w:r w:rsidRPr="00E439D7">
        <w:rPr>
          <w:rFonts w:cs="Times New Roman"/>
          <w:szCs w:val="24"/>
          <w:highlight w:val="yellow"/>
        </w:rPr>
        <w:t>(1), 100171.</w:t>
      </w:r>
    </w:p>
    <w:p w14:paraId="3961ED2F" w14:textId="77777777" w:rsidR="00670D7E" w:rsidRPr="00E439D7" w:rsidRDefault="00670D7E" w:rsidP="00604189">
      <w:pPr>
        <w:spacing w:line="240" w:lineRule="auto"/>
        <w:ind w:hanging="720"/>
        <w:jc w:val="both"/>
        <w:rPr>
          <w:rFonts w:cs="Times New Roman"/>
          <w:szCs w:val="24"/>
        </w:rPr>
      </w:pPr>
      <w:bookmarkStart w:id="16" w:name="_Hlk193991074"/>
      <w:r w:rsidRPr="00E439D7">
        <w:rPr>
          <w:rFonts w:cs="Times New Roman"/>
          <w:szCs w:val="24"/>
          <w:highlight w:val="yellow"/>
        </w:rPr>
        <w:t xml:space="preserve">Bragg, L. A., Walsh, C., &amp; Heyeres, M. (2021). </w:t>
      </w:r>
      <w:bookmarkEnd w:id="16"/>
      <w:r w:rsidRPr="00E439D7">
        <w:rPr>
          <w:rFonts w:cs="Times New Roman"/>
          <w:szCs w:val="24"/>
          <w:highlight w:val="yellow"/>
        </w:rPr>
        <w:t>Successful design and delivery of online professional development for teachers: A systematic review of the literature. </w:t>
      </w:r>
      <w:r w:rsidRPr="00E439D7">
        <w:rPr>
          <w:rFonts w:cs="Times New Roman"/>
          <w:i/>
          <w:iCs/>
          <w:szCs w:val="24"/>
          <w:highlight w:val="yellow"/>
        </w:rPr>
        <w:t>Computers &amp; education</w:t>
      </w:r>
      <w:r w:rsidRPr="00E439D7">
        <w:rPr>
          <w:rFonts w:cs="Times New Roman"/>
          <w:szCs w:val="24"/>
          <w:highlight w:val="yellow"/>
        </w:rPr>
        <w:t>, </w:t>
      </w:r>
      <w:r w:rsidRPr="00E439D7">
        <w:rPr>
          <w:rFonts w:cs="Times New Roman"/>
          <w:i/>
          <w:iCs/>
          <w:szCs w:val="24"/>
          <w:highlight w:val="yellow"/>
        </w:rPr>
        <w:t>166</w:t>
      </w:r>
      <w:r w:rsidRPr="00E439D7">
        <w:rPr>
          <w:rFonts w:cs="Times New Roman"/>
          <w:szCs w:val="24"/>
          <w:highlight w:val="yellow"/>
        </w:rPr>
        <w:t>, 104158.</w:t>
      </w:r>
    </w:p>
    <w:p w14:paraId="7CD4F9DD"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Burić, I., &amp; Kim, L. E. (2020). Teacher emotional labor, instructional strategies, and student </w:t>
      </w:r>
      <w:r w:rsidRPr="00E439D7">
        <w:rPr>
          <w:rFonts w:cs="Times New Roman"/>
          <w:szCs w:val="24"/>
        </w:rPr>
        <w:tab/>
        <w:t xml:space="preserve">academic engagement: A multilevel analysis. </w:t>
      </w:r>
      <w:r w:rsidRPr="00E439D7">
        <w:rPr>
          <w:rFonts w:cs="Times New Roman"/>
          <w:i/>
          <w:iCs/>
          <w:szCs w:val="24"/>
        </w:rPr>
        <w:t>Learning and Individual Differences, 80</w:t>
      </w:r>
      <w:r w:rsidRPr="00E439D7">
        <w:rPr>
          <w:rFonts w:cs="Times New Roman"/>
          <w:szCs w:val="24"/>
        </w:rPr>
        <w:t xml:space="preserve">, </w:t>
      </w:r>
      <w:r w:rsidRPr="00E439D7">
        <w:rPr>
          <w:rFonts w:cs="Times New Roman"/>
          <w:szCs w:val="24"/>
        </w:rPr>
        <w:tab/>
        <w:t xml:space="preserve">101890. </w:t>
      </w:r>
      <w:hyperlink r:id="rId7" w:history="1">
        <w:r w:rsidRPr="00E439D7">
          <w:rPr>
            <w:rFonts w:cs="Times New Roman"/>
            <w:color w:val="0000FF"/>
            <w:szCs w:val="24"/>
            <w:u w:val="single"/>
          </w:rPr>
          <w:t>https://doi.org/10.1016/j.lindif.2020.101890</w:t>
        </w:r>
      </w:hyperlink>
    </w:p>
    <w:p w14:paraId="118292AB"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Carlsen, W. S. (1999). Domains of teacher knowledge. In J. Gess-Newsome &amp; N. G. Lederman </w:t>
      </w:r>
      <w:r w:rsidRPr="00E439D7">
        <w:rPr>
          <w:rFonts w:cs="Times New Roman"/>
          <w:szCs w:val="24"/>
        </w:rPr>
        <w:tab/>
        <w:t xml:space="preserve">(Eds.), </w:t>
      </w:r>
      <w:r w:rsidRPr="00E439D7">
        <w:rPr>
          <w:rFonts w:cs="Times New Roman"/>
          <w:i/>
          <w:iCs/>
          <w:szCs w:val="24"/>
        </w:rPr>
        <w:t>Examining pedagogical content knowledge</w:t>
      </w:r>
      <w:r w:rsidRPr="00E439D7">
        <w:rPr>
          <w:rFonts w:cs="Times New Roman"/>
          <w:szCs w:val="24"/>
        </w:rPr>
        <w:t xml:space="preserve"> (pp. 133–144). Springer.</w:t>
      </w:r>
    </w:p>
    <w:p w14:paraId="3A7A1639" w14:textId="77777777" w:rsidR="00670D7E" w:rsidRPr="00E439D7" w:rsidRDefault="00670D7E" w:rsidP="00604189">
      <w:pPr>
        <w:spacing w:line="240" w:lineRule="auto"/>
        <w:ind w:hanging="720"/>
        <w:jc w:val="both"/>
        <w:rPr>
          <w:rFonts w:cs="Times New Roman"/>
          <w:szCs w:val="24"/>
        </w:rPr>
      </w:pPr>
      <w:bookmarkStart w:id="17" w:name="_Hlk193990443"/>
      <w:r w:rsidRPr="00E439D7">
        <w:rPr>
          <w:rFonts w:cs="Times New Roman"/>
          <w:szCs w:val="24"/>
          <w:highlight w:val="yellow"/>
        </w:rPr>
        <w:t>Catacutan, A., Kilag, O. K., Diano Jr, F., Tiongzon, B., Malbas, M., &amp; Abendan, C. F. (2023).</w:t>
      </w:r>
      <w:bookmarkEnd w:id="17"/>
      <w:r w:rsidRPr="00E439D7">
        <w:rPr>
          <w:rFonts w:cs="Times New Roman"/>
          <w:szCs w:val="24"/>
          <w:highlight w:val="yellow"/>
        </w:rPr>
        <w:t xml:space="preserve"> Competence-Based Curriculum Development in a Globalized Education Landscape. </w:t>
      </w:r>
      <w:r w:rsidRPr="00E439D7">
        <w:rPr>
          <w:rFonts w:cs="Times New Roman"/>
          <w:i/>
          <w:iCs/>
          <w:szCs w:val="24"/>
          <w:highlight w:val="yellow"/>
        </w:rPr>
        <w:t>Excellencia: International Multi-disciplinary Journal of Education (2994-9521)</w:t>
      </w:r>
      <w:r w:rsidRPr="00E439D7">
        <w:rPr>
          <w:rFonts w:cs="Times New Roman"/>
          <w:szCs w:val="24"/>
          <w:highlight w:val="yellow"/>
        </w:rPr>
        <w:t>, </w:t>
      </w:r>
      <w:r w:rsidRPr="00E439D7">
        <w:rPr>
          <w:rFonts w:cs="Times New Roman"/>
          <w:i/>
          <w:iCs/>
          <w:szCs w:val="24"/>
          <w:highlight w:val="yellow"/>
        </w:rPr>
        <w:t>1</w:t>
      </w:r>
      <w:r w:rsidRPr="00E439D7">
        <w:rPr>
          <w:rFonts w:cs="Times New Roman"/>
          <w:szCs w:val="24"/>
          <w:highlight w:val="yellow"/>
        </w:rPr>
        <w:t>(4), 270-282.</w:t>
      </w:r>
    </w:p>
    <w:p w14:paraId="78B352CF" w14:textId="77777777" w:rsidR="00670D7E" w:rsidRPr="00E439D7" w:rsidRDefault="00670D7E" w:rsidP="00604189">
      <w:pPr>
        <w:spacing w:line="240" w:lineRule="auto"/>
        <w:ind w:hanging="720"/>
        <w:jc w:val="both"/>
        <w:rPr>
          <w:rFonts w:cs="Times New Roman"/>
          <w:szCs w:val="24"/>
        </w:rPr>
      </w:pPr>
      <w:bookmarkStart w:id="18" w:name="_Hlk193990927"/>
      <w:r w:rsidRPr="00E439D7">
        <w:rPr>
          <w:rFonts w:cs="Times New Roman"/>
          <w:szCs w:val="24"/>
          <w:highlight w:val="yellow"/>
        </w:rPr>
        <w:t xml:space="preserve">Chen, J. (2021). </w:t>
      </w:r>
      <w:bookmarkEnd w:id="18"/>
      <w:r w:rsidRPr="00E439D7">
        <w:rPr>
          <w:rFonts w:cs="Times New Roman"/>
          <w:szCs w:val="24"/>
          <w:highlight w:val="yellow"/>
        </w:rPr>
        <w:t>Refining the teacher emotion model: Evidence from a review of literature published between 1985 and 2019. </w:t>
      </w:r>
      <w:r w:rsidRPr="00E439D7">
        <w:rPr>
          <w:rFonts w:cs="Times New Roman"/>
          <w:i/>
          <w:iCs/>
          <w:szCs w:val="24"/>
          <w:highlight w:val="yellow"/>
        </w:rPr>
        <w:t>Cambridge Journal of Education</w:t>
      </w:r>
      <w:r w:rsidRPr="00E439D7">
        <w:rPr>
          <w:rFonts w:cs="Times New Roman"/>
          <w:szCs w:val="24"/>
          <w:highlight w:val="yellow"/>
        </w:rPr>
        <w:t>, </w:t>
      </w:r>
      <w:r w:rsidRPr="00E439D7">
        <w:rPr>
          <w:rFonts w:cs="Times New Roman"/>
          <w:i/>
          <w:iCs/>
          <w:szCs w:val="24"/>
          <w:highlight w:val="yellow"/>
        </w:rPr>
        <w:t>51</w:t>
      </w:r>
      <w:r w:rsidRPr="00E439D7">
        <w:rPr>
          <w:rFonts w:cs="Times New Roman"/>
          <w:szCs w:val="24"/>
          <w:highlight w:val="yellow"/>
        </w:rPr>
        <w:t>(3), 327-357.</w:t>
      </w:r>
    </w:p>
    <w:p w14:paraId="127CC1B1" w14:textId="77777777" w:rsidR="00670D7E" w:rsidRPr="00E439D7" w:rsidRDefault="00670D7E" w:rsidP="00604189">
      <w:pPr>
        <w:spacing w:line="240" w:lineRule="auto"/>
        <w:ind w:hanging="720"/>
        <w:jc w:val="both"/>
        <w:rPr>
          <w:rFonts w:cs="Times New Roman"/>
          <w:szCs w:val="24"/>
        </w:rPr>
      </w:pPr>
      <w:bookmarkStart w:id="19" w:name="_Hlk193990666"/>
      <w:r w:rsidRPr="00E439D7">
        <w:rPr>
          <w:rFonts w:cs="Times New Roman"/>
          <w:szCs w:val="24"/>
          <w:highlight w:val="yellow"/>
        </w:rPr>
        <w:t>Chan, K. K. H. (2022)</w:t>
      </w:r>
      <w:bookmarkEnd w:id="19"/>
      <w:r w:rsidRPr="00E439D7">
        <w:rPr>
          <w:rFonts w:cs="Times New Roman"/>
          <w:szCs w:val="24"/>
          <w:highlight w:val="yellow"/>
        </w:rPr>
        <w:t>. A critical review of studies using the pedagogical content knowledge map approach. </w:t>
      </w:r>
      <w:r w:rsidRPr="00E439D7">
        <w:rPr>
          <w:rFonts w:cs="Times New Roman"/>
          <w:i/>
          <w:iCs/>
          <w:szCs w:val="24"/>
          <w:highlight w:val="yellow"/>
        </w:rPr>
        <w:t>International Journal of Science Education</w:t>
      </w:r>
      <w:r w:rsidRPr="00E439D7">
        <w:rPr>
          <w:rFonts w:cs="Times New Roman"/>
          <w:szCs w:val="24"/>
          <w:highlight w:val="yellow"/>
        </w:rPr>
        <w:t>, </w:t>
      </w:r>
      <w:r w:rsidRPr="00E439D7">
        <w:rPr>
          <w:rFonts w:cs="Times New Roman"/>
          <w:i/>
          <w:iCs/>
          <w:szCs w:val="24"/>
          <w:highlight w:val="yellow"/>
        </w:rPr>
        <w:t>44</w:t>
      </w:r>
      <w:r w:rsidRPr="00E439D7">
        <w:rPr>
          <w:rFonts w:cs="Times New Roman"/>
          <w:szCs w:val="24"/>
          <w:highlight w:val="yellow"/>
        </w:rPr>
        <w:t>(3), 487-513.</w:t>
      </w:r>
    </w:p>
    <w:p w14:paraId="571F6BC1" w14:textId="77777777" w:rsidR="00670D7E" w:rsidRPr="00E439D7" w:rsidRDefault="00670D7E" w:rsidP="00604189">
      <w:pPr>
        <w:spacing w:line="240" w:lineRule="auto"/>
        <w:ind w:hanging="720"/>
        <w:jc w:val="both"/>
        <w:rPr>
          <w:rFonts w:cs="Times New Roman"/>
          <w:szCs w:val="24"/>
        </w:rPr>
      </w:pPr>
      <w:bookmarkStart w:id="20" w:name="_Hlk193986573"/>
      <w:r w:rsidRPr="00E439D7">
        <w:rPr>
          <w:rFonts w:cs="Times New Roman"/>
          <w:szCs w:val="24"/>
          <w:highlight w:val="yellow"/>
        </w:rPr>
        <w:lastRenderedPageBreak/>
        <w:t xml:space="preserve">Cheung, G. W., Cooper-Thomas, H. D., Lau, R. S., &amp; Wang, L. C. (2024). </w:t>
      </w:r>
      <w:bookmarkEnd w:id="20"/>
      <w:r w:rsidRPr="00E439D7">
        <w:rPr>
          <w:rFonts w:cs="Times New Roman"/>
          <w:szCs w:val="24"/>
          <w:highlight w:val="yellow"/>
        </w:rPr>
        <w:t>Reporting reliability, convergent and discriminant validity with structural equation modeling: A review and best-practice recommendations. </w:t>
      </w:r>
      <w:r w:rsidRPr="00E439D7">
        <w:rPr>
          <w:rFonts w:cs="Times New Roman"/>
          <w:i/>
          <w:iCs/>
          <w:szCs w:val="24"/>
          <w:highlight w:val="yellow"/>
        </w:rPr>
        <w:t>Asia Pacific Journal of Management</w:t>
      </w:r>
      <w:r w:rsidRPr="00E439D7">
        <w:rPr>
          <w:rFonts w:cs="Times New Roman"/>
          <w:szCs w:val="24"/>
          <w:highlight w:val="yellow"/>
        </w:rPr>
        <w:t>, </w:t>
      </w:r>
      <w:r w:rsidRPr="00E439D7">
        <w:rPr>
          <w:rFonts w:cs="Times New Roman"/>
          <w:i/>
          <w:iCs/>
          <w:szCs w:val="24"/>
          <w:highlight w:val="yellow"/>
        </w:rPr>
        <w:t>41</w:t>
      </w:r>
      <w:r w:rsidRPr="00E439D7">
        <w:rPr>
          <w:rFonts w:cs="Times New Roman"/>
          <w:szCs w:val="24"/>
          <w:highlight w:val="yellow"/>
        </w:rPr>
        <w:t>(2), 745-783.</w:t>
      </w:r>
    </w:p>
    <w:p w14:paraId="0122A75B"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Denzin, N. K., &amp; Lincoln, Y. S. (2018). </w:t>
      </w:r>
      <w:r w:rsidRPr="00E439D7">
        <w:rPr>
          <w:rFonts w:cs="Times New Roman"/>
          <w:i/>
          <w:iCs/>
          <w:szCs w:val="24"/>
        </w:rPr>
        <w:t>The SAGE handbook of qualitative research</w:t>
      </w:r>
      <w:r w:rsidRPr="00E439D7">
        <w:rPr>
          <w:rFonts w:cs="Times New Roman"/>
          <w:szCs w:val="24"/>
        </w:rPr>
        <w:t xml:space="preserve"> (5th ed.). </w:t>
      </w:r>
      <w:r w:rsidRPr="00E439D7">
        <w:rPr>
          <w:rFonts w:cs="Times New Roman"/>
          <w:szCs w:val="24"/>
        </w:rPr>
        <w:tab/>
        <w:t>SAGE Publications.</w:t>
      </w:r>
    </w:p>
    <w:p w14:paraId="297B06EE"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Dunphy, A. (2025). </w:t>
      </w:r>
      <w:r w:rsidRPr="00E439D7">
        <w:rPr>
          <w:rFonts w:cs="Times New Roman"/>
          <w:i/>
          <w:iCs/>
          <w:szCs w:val="24"/>
          <w:highlight w:val="yellow"/>
        </w:rPr>
        <w:t>A Qualitative Study of Teacher Efficacy in the Reading Classroom</w:t>
      </w:r>
      <w:r w:rsidRPr="00E439D7">
        <w:rPr>
          <w:rFonts w:cs="Times New Roman"/>
          <w:szCs w:val="24"/>
          <w:highlight w:val="yellow"/>
        </w:rPr>
        <w:t xml:space="preserve"> (Doctoral </w:t>
      </w:r>
      <w:r w:rsidRPr="00E439D7">
        <w:rPr>
          <w:rFonts w:cs="Times New Roman"/>
          <w:szCs w:val="24"/>
          <w:highlight w:val="yellow"/>
        </w:rPr>
        <w:tab/>
        <w:t>dissertation, St. John's University (New York)</w:t>
      </w:r>
      <w:r w:rsidRPr="00E439D7">
        <w:rPr>
          <w:rFonts w:cs="Times New Roman"/>
          <w:szCs w:val="24"/>
        </w:rPr>
        <w:t>.</w:t>
      </w:r>
    </w:p>
    <w:p w14:paraId="6FC5AD21"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Entsie</w:t>
      </w:r>
      <w:proofErr w:type="spellEnd"/>
      <w:r w:rsidRPr="00E439D7">
        <w:rPr>
          <w:rFonts w:cs="Times New Roman"/>
          <w:szCs w:val="24"/>
        </w:rPr>
        <w:t xml:space="preserve">, R. (2021). Examining subject knowledge in teacher education: Implications for practice. </w:t>
      </w:r>
      <w:r w:rsidRPr="00E439D7">
        <w:rPr>
          <w:rFonts w:cs="Times New Roman"/>
          <w:szCs w:val="24"/>
        </w:rPr>
        <w:tab/>
      </w:r>
      <w:r w:rsidRPr="00E439D7">
        <w:rPr>
          <w:rFonts w:cs="Times New Roman"/>
          <w:i/>
          <w:iCs/>
          <w:szCs w:val="24"/>
        </w:rPr>
        <w:t>International Journal of Educational Research, 103</w:t>
      </w:r>
      <w:r w:rsidRPr="00E439D7">
        <w:rPr>
          <w:rFonts w:cs="Times New Roman"/>
          <w:szCs w:val="24"/>
        </w:rPr>
        <w:t>, 101682.</w:t>
      </w:r>
    </w:p>
    <w:p w14:paraId="0D8FBA13"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Falloon, G. (2020). From digital literacy to digital competence: The teacher digital competency </w:t>
      </w:r>
      <w:r w:rsidRPr="00E439D7">
        <w:rPr>
          <w:rFonts w:cs="Times New Roman"/>
          <w:szCs w:val="24"/>
        </w:rPr>
        <w:tab/>
        <w:t xml:space="preserve">(TDC) framework. </w:t>
      </w:r>
      <w:r w:rsidRPr="00E439D7">
        <w:rPr>
          <w:rFonts w:cs="Times New Roman"/>
          <w:i/>
          <w:iCs/>
          <w:szCs w:val="24"/>
        </w:rPr>
        <w:t>Educational Technology Research and Development, 68</w:t>
      </w:r>
      <w:r w:rsidRPr="00E439D7">
        <w:rPr>
          <w:rFonts w:cs="Times New Roman"/>
          <w:szCs w:val="24"/>
        </w:rPr>
        <w:t>(2), 2449–</w:t>
      </w:r>
      <w:r w:rsidRPr="00E439D7">
        <w:rPr>
          <w:rFonts w:cs="Times New Roman"/>
          <w:szCs w:val="24"/>
        </w:rPr>
        <w:tab/>
        <w:t>2472.</w:t>
      </w:r>
    </w:p>
    <w:p w14:paraId="5DE21622"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Fenstermacher, G. D. (1994). The knower and the known: The nature of knowledge in research on </w:t>
      </w:r>
      <w:r w:rsidRPr="00E439D7">
        <w:rPr>
          <w:rFonts w:cs="Times New Roman"/>
          <w:szCs w:val="24"/>
        </w:rPr>
        <w:tab/>
        <w:t xml:space="preserve">teaching. </w:t>
      </w:r>
      <w:r w:rsidRPr="00E439D7">
        <w:rPr>
          <w:rFonts w:cs="Times New Roman"/>
          <w:i/>
          <w:iCs/>
          <w:szCs w:val="24"/>
        </w:rPr>
        <w:t>Review of Research in Education, 20</w:t>
      </w:r>
      <w:r w:rsidRPr="00E439D7">
        <w:rPr>
          <w:rFonts w:cs="Times New Roman"/>
          <w:szCs w:val="24"/>
        </w:rPr>
        <w:t>, 3–56.</w:t>
      </w:r>
    </w:p>
    <w:p w14:paraId="45780F23"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Fischer, F., Borowski, A., &amp; </w:t>
      </w:r>
      <w:proofErr w:type="spellStart"/>
      <w:r w:rsidRPr="00E439D7">
        <w:rPr>
          <w:rFonts w:cs="Times New Roman"/>
          <w:szCs w:val="24"/>
        </w:rPr>
        <w:t>Tepner</w:t>
      </w:r>
      <w:proofErr w:type="spellEnd"/>
      <w:r w:rsidRPr="00E439D7">
        <w:rPr>
          <w:rFonts w:cs="Times New Roman"/>
          <w:szCs w:val="24"/>
        </w:rPr>
        <w:t xml:space="preserve">, O. (2012). Professional knowledge of science teachers. </w:t>
      </w:r>
      <w:r w:rsidRPr="00E439D7">
        <w:rPr>
          <w:rFonts w:cs="Times New Roman"/>
          <w:szCs w:val="24"/>
        </w:rPr>
        <w:tab/>
      </w:r>
      <w:r w:rsidRPr="00E439D7">
        <w:rPr>
          <w:rFonts w:cs="Times New Roman"/>
          <w:i/>
          <w:iCs/>
          <w:szCs w:val="24"/>
        </w:rPr>
        <w:t>Education Inquiry, 3</w:t>
      </w:r>
      <w:r w:rsidRPr="00E439D7">
        <w:rPr>
          <w:rFonts w:cs="Times New Roman"/>
          <w:szCs w:val="24"/>
        </w:rPr>
        <w:t>(4), 551–573.</w:t>
      </w:r>
    </w:p>
    <w:p w14:paraId="29E98410"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Fischer, H. E., Neumann, K., Labudde, P., &amp; </w:t>
      </w:r>
      <w:proofErr w:type="spellStart"/>
      <w:r w:rsidRPr="00E439D7">
        <w:rPr>
          <w:rFonts w:cs="Times New Roman"/>
          <w:szCs w:val="24"/>
        </w:rPr>
        <w:t>Viiri</w:t>
      </w:r>
      <w:proofErr w:type="spellEnd"/>
      <w:r w:rsidRPr="00E439D7">
        <w:rPr>
          <w:rFonts w:cs="Times New Roman"/>
          <w:szCs w:val="24"/>
        </w:rPr>
        <w:t xml:space="preserve">, J. (2014). Quality of instruction in science </w:t>
      </w:r>
      <w:r w:rsidRPr="00E439D7">
        <w:rPr>
          <w:rFonts w:cs="Times New Roman"/>
          <w:szCs w:val="24"/>
        </w:rPr>
        <w:tab/>
        <w:t xml:space="preserve">education. </w:t>
      </w:r>
      <w:r w:rsidRPr="00E439D7">
        <w:rPr>
          <w:rFonts w:cs="Times New Roman"/>
          <w:i/>
          <w:iCs/>
          <w:szCs w:val="24"/>
        </w:rPr>
        <w:t>International Journal of Science Education, 36</w:t>
      </w:r>
      <w:r w:rsidRPr="00E439D7">
        <w:rPr>
          <w:rFonts w:cs="Times New Roman"/>
          <w:szCs w:val="24"/>
        </w:rPr>
        <w:t>(17), 2920–2939.</w:t>
      </w:r>
    </w:p>
    <w:p w14:paraId="00FE912D"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Fugard, A. J. B., &amp; Potts, H. W. W. (2015). Supporting thinking on sample sizes for thematic </w:t>
      </w:r>
      <w:r w:rsidRPr="00E439D7">
        <w:rPr>
          <w:rFonts w:cs="Times New Roman"/>
          <w:szCs w:val="24"/>
        </w:rPr>
        <w:tab/>
        <w:t xml:space="preserve">analyses: A quantitative tool. </w:t>
      </w:r>
      <w:r w:rsidRPr="00E439D7">
        <w:rPr>
          <w:rFonts w:cs="Times New Roman"/>
          <w:i/>
          <w:iCs/>
          <w:szCs w:val="24"/>
        </w:rPr>
        <w:t xml:space="preserve">International Journal of Social Research Methodology, </w:t>
      </w:r>
      <w:r w:rsidRPr="00E439D7">
        <w:rPr>
          <w:rFonts w:cs="Times New Roman"/>
          <w:i/>
          <w:iCs/>
          <w:szCs w:val="24"/>
        </w:rPr>
        <w:tab/>
        <w:t>18</w:t>
      </w:r>
      <w:r w:rsidRPr="00E439D7">
        <w:rPr>
          <w:rFonts w:cs="Times New Roman"/>
          <w:szCs w:val="24"/>
        </w:rPr>
        <w:t>(6), 669–684.</w:t>
      </w:r>
    </w:p>
    <w:p w14:paraId="3BE99696" w14:textId="470CE064" w:rsidR="00670D7E" w:rsidRPr="00E439D7" w:rsidRDefault="00670D7E" w:rsidP="00604189">
      <w:pPr>
        <w:spacing w:line="240" w:lineRule="auto"/>
        <w:ind w:hanging="720"/>
        <w:jc w:val="both"/>
        <w:rPr>
          <w:rFonts w:cs="Times New Roman"/>
          <w:szCs w:val="24"/>
        </w:rPr>
      </w:pPr>
      <w:bookmarkStart w:id="21" w:name="_Hlk193988573"/>
      <w:proofErr w:type="spellStart"/>
      <w:r w:rsidRPr="00E439D7">
        <w:rPr>
          <w:rFonts w:cs="Times New Roman"/>
          <w:szCs w:val="24"/>
          <w:highlight w:val="yellow"/>
        </w:rPr>
        <w:t>Gro</w:t>
      </w:r>
      <w:r w:rsidR="00076664" w:rsidRPr="00E439D7">
        <w:rPr>
          <w:rFonts w:cs="Times New Roman"/>
          <w:szCs w:val="24"/>
          <w:highlight w:val="yellow"/>
        </w:rPr>
        <w:t>b</w:t>
      </w:r>
      <w:r w:rsidRPr="00E439D7">
        <w:rPr>
          <w:rFonts w:cs="Times New Roman"/>
          <w:szCs w:val="24"/>
          <w:highlight w:val="yellow"/>
        </w:rPr>
        <w:t>mann</w:t>
      </w:r>
      <w:proofErr w:type="spellEnd"/>
      <w:r w:rsidRPr="00E439D7">
        <w:rPr>
          <w:rFonts w:cs="Times New Roman"/>
          <w:szCs w:val="24"/>
          <w:highlight w:val="yellow"/>
        </w:rPr>
        <w:t>, L., &amp; Kr</w:t>
      </w:r>
      <w:r w:rsidR="00076664" w:rsidRPr="00E439D7">
        <w:rPr>
          <w:rFonts w:cs="Times New Roman"/>
          <w:szCs w:val="24"/>
          <w:highlight w:val="yellow"/>
        </w:rPr>
        <w:t>u</w:t>
      </w:r>
      <w:r w:rsidRPr="00E439D7">
        <w:rPr>
          <w:rFonts w:cs="Times New Roman"/>
          <w:szCs w:val="24"/>
          <w:highlight w:val="yellow"/>
        </w:rPr>
        <w:t>ger, D. (2024)</w:t>
      </w:r>
      <w:bookmarkEnd w:id="21"/>
      <w:r w:rsidRPr="00E439D7">
        <w:rPr>
          <w:rFonts w:cs="Times New Roman"/>
          <w:szCs w:val="24"/>
          <w:highlight w:val="yellow"/>
        </w:rPr>
        <w:t>. Assessing the quality of science teachers' lesson plans: Evaluation and application of a novel instrument. </w:t>
      </w:r>
      <w:r w:rsidRPr="00E439D7">
        <w:rPr>
          <w:rFonts w:cs="Times New Roman"/>
          <w:i/>
          <w:iCs/>
          <w:szCs w:val="24"/>
          <w:highlight w:val="yellow"/>
        </w:rPr>
        <w:t>Science Education</w:t>
      </w:r>
      <w:r w:rsidRPr="00E439D7">
        <w:rPr>
          <w:rFonts w:cs="Times New Roman"/>
          <w:szCs w:val="24"/>
          <w:highlight w:val="yellow"/>
        </w:rPr>
        <w:t>, </w:t>
      </w:r>
      <w:r w:rsidRPr="00E439D7">
        <w:rPr>
          <w:rFonts w:cs="Times New Roman"/>
          <w:i/>
          <w:iCs/>
          <w:szCs w:val="24"/>
          <w:highlight w:val="yellow"/>
        </w:rPr>
        <w:t>108</w:t>
      </w:r>
      <w:r w:rsidRPr="00E439D7">
        <w:rPr>
          <w:rFonts w:cs="Times New Roman"/>
          <w:szCs w:val="24"/>
          <w:highlight w:val="yellow"/>
        </w:rPr>
        <w:t>(1), 153-189.</w:t>
      </w:r>
    </w:p>
    <w:p w14:paraId="0B42BF3A"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Grossman, P. L. (1990). </w:t>
      </w:r>
      <w:r w:rsidRPr="00E439D7">
        <w:rPr>
          <w:rFonts w:cs="Times New Roman"/>
          <w:i/>
          <w:iCs/>
          <w:szCs w:val="24"/>
        </w:rPr>
        <w:t>The making of a teacher: Teacher knowledge and teacher education</w:t>
      </w:r>
      <w:r w:rsidRPr="00E439D7">
        <w:rPr>
          <w:rFonts w:cs="Times New Roman"/>
          <w:szCs w:val="24"/>
        </w:rPr>
        <w:t xml:space="preserve">. </w:t>
      </w:r>
      <w:r w:rsidRPr="00E439D7">
        <w:rPr>
          <w:rFonts w:cs="Times New Roman"/>
          <w:szCs w:val="24"/>
        </w:rPr>
        <w:tab/>
        <w:t>Teachers College Press.</w:t>
      </w:r>
    </w:p>
    <w:p w14:paraId="1AAED988"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Grossman, P. L., Van Beek, M., &amp; Wientjes, I. (1990). Understanding teacher knowledge: A </w:t>
      </w:r>
      <w:r w:rsidRPr="00E439D7">
        <w:rPr>
          <w:rFonts w:cs="Times New Roman"/>
          <w:szCs w:val="24"/>
        </w:rPr>
        <w:tab/>
        <w:t xml:space="preserve">conceptual framework for pedagogical content knowledge. </w:t>
      </w:r>
      <w:r w:rsidRPr="00E439D7">
        <w:rPr>
          <w:rFonts w:cs="Times New Roman"/>
          <w:i/>
          <w:iCs/>
          <w:szCs w:val="24"/>
        </w:rPr>
        <w:t xml:space="preserve">Teaching and Teacher </w:t>
      </w:r>
      <w:r w:rsidRPr="00E439D7">
        <w:rPr>
          <w:rFonts w:cs="Times New Roman"/>
          <w:i/>
          <w:iCs/>
          <w:szCs w:val="24"/>
        </w:rPr>
        <w:tab/>
        <w:t>Education, 6</w:t>
      </w:r>
      <w:r w:rsidRPr="00E439D7">
        <w:rPr>
          <w:rFonts w:cs="Times New Roman"/>
          <w:szCs w:val="24"/>
        </w:rPr>
        <w:t>(2), 189–200.</w:t>
      </w:r>
    </w:p>
    <w:p w14:paraId="40DBF87E"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Hanushek, E. A., Piopiunik, M., &amp; Wiederhold, S. (2019). The value of smarter teachers: International evidence on teacher cognitive skills and student performance. </w:t>
      </w:r>
      <w:r w:rsidRPr="00E439D7">
        <w:rPr>
          <w:rFonts w:cs="Times New Roman"/>
          <w:i/>
          <w:iCs/>
          <w:szCs w:val="24"/>
          <w:highlight w:val="yellow"/>
        </w:rPr>
        <w:t>Journal of Human Resources</w:t>
      </w:r>
      <w:r w:rsidRPr="00E439D7">
        <w:rPr>
          <w:rFonts w:cs="Times New Roman"/>
          <w:szCs w:val="24"/>
          <w:highlight w:val="yellow"/>
        </w:rPr>
        <w:t>, </w:t>
      </w:r>
      <w:r w:rsidRPr="00E439D7">
        <w:rPr>
          <w:rFonts w:cs="Times New Roman"/>
          <w:i/>
          <w:iCs/>
          <w:szCs w:val="24"/>
          <w:highlight w:val="yellow"/>
        </w:rPr>
        <w:t>54</w:t>
      </w:r>
      <w:r w:rsidRPr="00E439D7">
        <w:rPr>
          <w:rFonts w:cs="Times New Roman"/>
          <w:szCs w:val="24"/>
          <w:highlight w:val="yellow"/>
        </w:rPr>
        <w:t>(4), 857-899.</w:t>
      </w:r>
    </w:p>
    <w:p w14:paraId="51D8DB8E"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Hill, H. C., Rowan, B., &amp; Ball, D. L. (2005). Effects of teachers’ mathematical knowledge for </w:t>
      </w:r>
      <w:r w:rsidRPr="00E439D7">
        <w:rPr>
          <w:rFonts w:cs="Times New Roman"/>
          <w:szCs w:val="24"/>
        </w:rPr>
        <w:tab/>
        <w:t xml:space="preserve">teaching on student achievement. </w:t>
      </w:r>
      <w:r w:rsidRPr="00E439D7">
        <w:rPr>
          <w:rFonts w:cs="Times New Roman"/>
          <w:i/>
          <w:iCs/>
          <w:szCs w:val="24"/>
        </w:rPr>
        <w:t>American Educational Research Journal, 42</w:t>
      </w:r>
      <w:r w:rsidRPr="00E439D7">
        <w:rPr>
          <w:rFonts w:cs="Times New Roman"/>
          <w:szCs w:val="24"/>
        </w:rPr>
        <w:t>(2), 371–</w:t>
      </w:r>
      <w:r w:rsidRPr="00E439D7">
        <w:rPr>
          <w:rFonts w:cs="Times New Roman"/>
          <w:szCs w:val="24"/>
        </w:rPr>
        <w:tab/>
        <w:t>406.</w:t>
      </w:r>
    </w:p>
    <w:p w14:paraId="076BB201"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Karatsiori, M. (2023). In the pursuit of “Quality Education”: From ancient times to the digital era,  can there be a consensus?. </w:t>
      </w:r>
      <w:r w:rsidRPr="00E439D7">
        <w:rPr>
          <w:rFonts w:cs="Times New Roman"/>
          <w:i/>
          <w:iCs/>
          <w:szCs w:val="24"/>
          <w:highlight w:val="yellow"/>
        </w:rPr>
        <w:t>Cogent Education</w:t>
      </w:r>
      <w:r w:rsidRPr="00E439D7">
        <w:rPr>
          <w:rFonts w:cs="Times New Roman"/>
          <w:szCs w:val="24"/>
          <w:highlight w:val="yellow"/>
        </w:rPr>
        <w:t>, </w:t>
      </w:r>
      <w:r w:rsidRPr="00E439D7">
        <w:rPr>
          <w:rFonts w:cs="Times New Roman"/>
          <w:i/>
          <w:iCs/>
          <w:szCs w:val="24"/>
          <w:highlight w:val="yellow"/>
        </w:rPr>
        <w:t>10</w:t>
      </w:r>
      <w:r w:rsidRPr="00E439D7">
        <w:rPr>
          <w:rFonts w:cs="Times New Roman"/>
          <w:szCs w:val="24"/>
          <w:highlight w:val="yellow"/>
        </w:rPr>
        <w:t>(2), 2286817.</w:t>
      </w:r>
    </w:p>
    <w:p w14:paraId="4998748E" w14:textId="77777777" w:rsidR="00670D7E" w:rsidRPr="00E439D7" w:rsidRDefault="00670D7E" w:rsidP="00604189">
      <w:pPr>
        <w:spacing w:line="240" w:lineRule="auto"/>
        <w:ind w:hanging="720"/>
        <w:jc w:val="both"/>
        <w:rPr>
          <w:rFonts w:cs="Times New Roman"/>
          <w:szCs w:val="24"/>
        </w:rPr>
      </w:pPr>
      <w:bookmarkStart w:id="22" w:name="_Hlk193990338"/>
      <w:r w:rsidRPr="00E439D7">
        <w:rPr>
          <w:rFonts w:cs="Times New Roman"/>
          <w:szCs w:val="24"/>
          <w:highlight w:val="yellow"/>
        </w:rPr>
        <w:t>Kong, S. H. (2024)</w:t>
      </w:r>
      <w:bookmarkEnd w:id="22"/>
      <w:r w:rsidRPr="00E439D7">
        <w:rPr>
          <w:rFonts w:cs="Times New Roman"/>
          <w:szCs w:val="24"/>
          <w:highlight w:val="yellow"/>
        </w:rPr>
        <w:t>. Music education training for kindergarten teachers: a workshop integrating Shulman’s pedagogical content knowledge and pedagogical reasoning and action model. </w:t>
      </w:r>
      <w:r w:rsidRPr="00E439D7">
        <w:rPr>
          <w:rFonts w:cs="Times New Roman"/>
          <w:i/>
          <w:iCs/>
          <w:szCs w:val="24"/>
          <w:highlight w:val="yellow"/>
        </w:rPr>
        <w:t>Journal of Early Childhood Teacher Education</w:t>
      </w:r>
      <w:r w:rsidRPr="00E439D7">
        <w:rPr>
          <w:rFonts w:cs="Times New Roman"/>
          <w:szCs w:val="24"/>
          <w:highlight w:val="yellow"/>
        </w:rPr>
        <w:t>, 1-18.</w:t>
      </w:r>
    </w:p>
    <w:p w14:paraId="78BC3B28"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lastRenderedPageBreak/>
        <w:t xml:space="preserve">Kothari, C. R. (2004). </w:t>
      </w:r>
      <w:r w:rsidRPr="00E439D7">
        <w:rPr>
          <w:rFonts w:cs="Times New Roman"/>
          <w:i/>
          <w:iCs/>
          <w:szCs w:val="24"/>
        </w:rPr>
        <w:t>Research methodology: Methods and techniques</w:t>
      </w:r>
      <w:r w:rsidRPr="00E439D7">
        <w:rPr>
          <w:rFonts w:cs="Times New Roman"/>
          <w:szCs w:val="24"/>
        </w:rPr>
        <w:t xml:space="preserve"> (2nd ed.). New Age </w:t>
      </w:r>
      <w:r w:rsidRPr="00E439D7">
        <w:rPr>
          <w:rFonts w:cs="Times New Roman"/>
          <w:szCs w:val="24"/>
        </w:rPr>
        <w:tab/>
        <w:t>International Publishers.</w:t>
      </w:r>
    </w:p>
    <w:p w14:paraId="0A8CDD83"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Mbwesa</w:t>
      </w:r>
      <w:proofErr w:type="spellEnd"/>
      <w:r w:rsidRPr="00E439D7">
        <w:rPr>
          <w:rFonts w:cs="Times New Roman"/>
          <w:szCs w:val="24"/>
        </w:rPr>
        <w:t xml:space="preserve">, J. (2014). The role of lesson planning in effective teaching. </w:t>
      </w:r>
      <w:r w:rsidRPr="00E439D7">
        <w:rPr>
          <w:rFonts w:cs="Times New Roman"/>
          <w:i/>
          <w:iCs/>
          <w:szCs w:val="24"/>
        </w:rPr>
        <w:t xml:space="preserve">International Journal of </w:t>
      </w:r>
      <w:r w:rsidRPr="00E439D7">
        <w:rPr>
          <w:rFonts w:cs="Times New Roman"/>
          <w:i/>
          <w:iCs/>
          <w:szCs w:val="24"/>
        </w:rPr>
        <w:tab/>
        <w:t>Education, 6</w:t>
      </w:r>
      <w:r w:rsidRPr="00E439D7">
        <w:rPr>
          <w:rFonts w:cs="Times New Roman"/>
          <w:szCs w:val="24"/>
        </w:rPr>
        <w:t>(2), 42–58.</w:t>
      </w:r>
    </w:p>
    <w:p w14:paraId="591AB2D2" w14:textId="77777777" w:rsidR="00670D7E" w:rsidRPr="00E439D7" w:rsidRDefault="00670D7E" w:rsidP="00604189">
      <w:pPr>
        <w:spacing w:line="240" w:lineRule="auto"/>
        <w:ind w:hanging="720"/>
        <w:jc w:val="both"/>
        <w:rPr>
          <w:rFonts w:cs="Times New Roman"/>
          <w:szCs w:val="24"/>
        </w:rPr>
      </w:pPr>
      <w:bookmarkStart w:id="23" w:name="_Hlk193990076"/>
      <w:r w:rsidRPr="00E439D7">
        <w:rPr>
          <w:rFonts w:cs="Times New Roman"/>
          <w:szCs w:val="24"/>
          <w:highlight w:val="yellow"/>
        </w:rPr>
        <w:t xml:space="preserve">Mafa-Theledi, O. N. (2024). </w:t>
      </w:r>
      <w:bookmarkEnd w:id="23"/>
      <w:r w:rsidRPr="00E439D7">
        <w:rPr>
          <w:rFonts w:cs="Times New Roman"/>
          <w:szCs w:val="24"/>
          <w:highlight w:val="yellow"/>
        </w:rPr>
        <w:t>Teachers’ pedagogical content knowledge and subject matter content knowledge: Is the framework still relevant in teaching of STEM. </w:t>
      </w:r>
      <w:r w:rsidRPr="00E439D7">
        <w:rPr>
          <w:rFonts w:cs="Times New Roman"/>
          <w:i/>
          <w:iCs/>
          <w:szCs w:val="24"/>
          <w:highlight w:val="yellow"/>
        </w:rPr>
        <w:t>International Journal of Research and Innovation in Social Science</w:t>
      </w:r>
      <w:r w:rsidRPr="00E439D7">
        <w:rPr>
          <w:rFonts w:cs="Times New Roman"/>
          <w:szCs w:val="24"/>
          <w:highlight w:val="yellow"/>
        </w:rPr>
        <w:t>, </w:t>
      </w:r>
      <w:r w:rsidRPr="00E439D7">
        <w:rPr>
          <w:rFonts w:cs="Times New Roman"/>
          <w:i/>
          <w:iCs/>
          <w:szCs w:val="24"/>
          <w:highlight w:val="yellow"/>
        </w:rPr>
        <w:t>8</w:t>
      </w:r>
      <w:r w:rsidRPr="00E439D7">
        <w:rPr>
          <w:rFonts w:cs="Times New Roman"/>
          <w:szCs w:val="24"/>
          <w:highlight w:val="yellow"/>
        </w:rPr>
        <w:t>(4), 836-846.</w:t>
      </w:r>
    </w:p>
    <w:p w14:paraId="084CC8F0"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Mwesiga</w:t>
      </w:r>
      <w:proofErr w:type="spellEnd"/>
      <w:r w:rsidRPr="00E439D7">
        <w:rPr>
          <w:rFonts w:cs="Times New Roman"/>
          <w:szCs w:val="24"/>
        </w:rPr>
        <w:t xml:space="preserve">, C., &amp; </w:t>
      </w:r>
      <w:proofErr w:type="spellStart"/>
      <w:r w:rsidRPr="00E439D7">
        <w:rPr>
          <w:rFonts w:cs="Times New Roman"/>
          <w:szCs w:val="24"/>
        </w:rPr>
        <w:t>Okendo</w:t>
      </w:r>
      <w:proofErr w:type="spellEnd"/>
      <w:r w:rsidRPr="00E439D7">
        <w:rPr>
          <w:rFonts w:cs="Times New Roman"/>
          <w:szCs w:val="24"/>
        </w:rPr>
        <w:t xml:space="preserve">, E. (2018). Measuring preservice teachers’ performance in teaching </w:t>
      </w:r>
      <w:r w:rsidRPr="00E439D7">
        <w:rPr>
          <w:rFonts w:cs="Times New Roman"/>
          <w:szCs w:val="24"/>
        </w:rPr>
        <w:tab/>
        <w:t xml:space="preserve">practice. </w:t>
      </w:r>
      <w:r w:rsidRPr="00E439D7">
        <w:rPr>
          <w:rFonts w:cs="Times New Roman"/>
          <w:i/>
          <w:iCs/>
          <w:szCs w:val="24"/>
        </w:rPr>
        <w:t>Educational Measurement and Evaluation, 15</w:t>
      </w:r>
      <w:r w:rsidRPr="00E439D7">
        <w:rPr>
          <w:rFonts w:cs="Times New Roman"/>
          <w:szCs w:val="24"/>
        </w:rPr>
        <w:t>(1), 72–89.</w:t>
      </w:r>
    </w:p>
    <w:p w14:paraId="04C56241"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 xml:space="preserve">Nardi, P. M. (2018). </w:t>
      </w:r>
      <w:r w:rsidRPr="00E439D7">
        <w:rPr>
          <w:rFonts w:cs="Times New Roman"/>
          <w:i/>
          <w:iCs/>
          <w:szCs w:val="24"/>
          <w:highlight w:val="yellow"/>
        </w:rPr>
        <w:t>Doing survey research: A guide to quantitative methods</w:t>
      </w:r>
      <w:r w:rsidRPr="00E439D7">
        <w:rPr>
          <w:rFonts w:cs="Times New Roman"/>
          <w:szCs w:val="24"/>
          <w:highlight w:val="yellow"/>
        </w:rPr>
        <w:t>. Routledge.</w:t>
      </w:r>
    </w:p>
    <w:p w14:paraId="5AD5FF9B"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Ntorso</w:t>
      </w:r>
      <w:proofErr w:type="spellEnd"/>
      <w:r w:rsidRPr="00E439D7">
        <w:rPr>
          <w:rFonts w:cs="Times New Roman"/>
          <w:szCs w:val="24"/>
        </w:rPr>
        <w:t xml:space="preserve">, B. (2017). Analyzing mean and standard deviation in educational research. </w:t>
      </w:r>
      <w:r w:rsidRPr="00E439D7">
        <w:rPr>
          <w:rFonts w:cs="Times New Roman"/>
          <w:i/>
          <w:iCs/>
          <w:szCs w:val="24"/>
        </w:rPr>
        <w:t xml:space="preserve">Journal of </w:t>
      </w:r>
      <w:r w:rsidRPr="00E439D7">
        <w:rPr>
          <w:rFonts w:cs="Times New Roman"/>
          <w:i/>
          <w:iCs/>
          <w:szCs w:val="24"/>
        </w:rPr>
        <w:tab/>
        <w:t>Statistical Studies, 9</w:t>
      </w:r>
      <w:r w:rsidRPr="00E439D7">
        <w:rPr>
          <w:rFonts w:cs="Times New Roman"/>
          <w:szCs w:val="24"/>
        </w:rPr>
        <w:t>(3), 58–74.</w:t>
      </w:r>
    </w:p>
    <w:p w14:paraId="5EBBD318"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Ong, W. J. (2012). </w:t>
      </w:r>
      <w:r w:rsidRPr="00E439D7">
        <w:rPr>
          <w:rFonts w:cs="Times New Roman"/>
          <w:i/>
          <w:iCs/>
          <w:szCs w:val="24"/>
        </w:rPr>
        <w:t>Orality and literacy: The technologizing of the word</w:t>
      </w:r>
      <w:r w:rsidRPr="00E439D7">
        <w:rPr>
          <w:rFonts w:cs="Times New Roman"/>
          <w:szCs w:val="24"/>
        </w:rPr>
        <w:t xml:space="preserve"> (30th anniversary ed.). </w:t>
      </w:r>
      <w:r w:rsidRPr="00E439D7">
        <w:rPr>
          <w:rFonts w:cs="Times New Roman"/>
          <w:szCs w:val="24"/>
        </w:rPr>
        <w:tab/>
        <w:t>Routledge.</w:t>
      </w:r>
    </w:p>
    <w:p w14:paraId="669E2E3C"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Padillo, J. R., </w:t>
      </w:r>
      <w:proofErr w:type="spellStart"/>
      <w:r w:rsidRPr="00E439D7">
        <w:rPr>
          <w:rFonts w:cs="Times New Roman"/>
          <w:szCs w:val="24"/>
        </w:rPr>
        <w:t>Manguilimotan</w:t>
      </w:r>
      <w:proofErr w:type="spellEnd"/>
      <w:r w:rsidRPr="00E439D7">
        <w:rPr>
          <w:rFonts w:cs="Times New Roman"/>
          <w:szCs w:val="24"/>
        </w:rPr>
        <w:t xml:space="preserve">, R., Capuno, R., &amp; Espina, D. (2021). Teacher professional </w:t>
      </w:r>
      <w:r w:rsidRPr="00E439D7">
        <w:rPr>
          <w:rFonts w:cs="Times New Roman"/>
          <w:szCs w:val="24"/>
        </w:rPr>
        <w:tab/>
        <w:t xml:space="preserve">knowledge and its influence on student achievement. </w:t>
      </w:r>
      <w:r w:rsidRPr="00E439D7">
        <w:rPr>
          <w:rFonts w:cs="Times New Roman"/>
          <w:i/>
          <w:iCs/>
          <w:szCs w:val="24"/>
        </w:rPr>
        <w:t xml:space="preserve">Journal of Educational Assessment, </w:t>
      </w:r>
      <w:r w:rsidRPr="00E439D7">
        <w:rPr>
          <w:rFonts w:cs="Times New Roman"/>
          <w:i/>
          <w:iCs/>
          <w:szCs w:val="24"/>
        </w:rPr>
        <w:tab/>
        <w:t>16</w:t>
      </w:r>
      <w:r w:rsidRPr="00E439D7">
        <w:rPr>
          <w:rFonts w:cs="Times New Roman"/>
          <w:szCs w:val="24"/>
        </w:rPr>
        <w:t>(2), 98–115.</w:t>
      </w:r>
    </w:p>
    <w:p w14:paraId="61705AF9"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Patton, C., Sawicki, D. S., &amp; Clark, J. J. (2015). </w:t>
      </w:r>
      <w:r w:rsidRPr="00E439D7">
        <w:rPr>
          <w:rFonts w:cs="Times New Roman"/>
          <w:i/>
          <w:iCs/>
          <w:szCs w:val="24"/>
        </w:rPr>
        <w:t>Basic methods of policy analysis and planning</w:t>
      </w:r>
      <w:r w:rsidRPr="00E439D7">
        <w:rPr>
          <w:rFonts w:cs="Times New Roman"/>
          <w:szCs w:val="24"/>
        </w:rPr>
        <w:t xml:space="preserve"> </w:t>
      </w:r>
      <w:r w:rsidRPr="00E439D7">
        <w:rPr>
          <w:rFonts w:cs="Times New Roman"/>
          <w:szCs w:val="24"/>
        </w:rPr>
        <w:tab/>
        <w:t>(3rd ed.). Pearson.</w:t>
      </w:r>
    </w:p>
    <w:p w14:paraId="2E5EEB5C"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Rahi, S. (2017). Research design and methods: A systematic review of research paradigms, sampling issues and instruments development. </w:t>
      </w:r>
      <w:r w:rsidRPr="00E439D7">
        <w:rPr>
          <w:rFonts w:cs="Times New Roman"/>
          <w:i/>
          <w:iCs/>
          <w:szCs w:val="24"/>
          <w:highlight w:val="yellow"/>
        </w:rPr>
        <w:t>International Journal of Economics &amp; Management Sciences</w:t>
      </w:r>
      <w:r w:rsidRPr="00E439D7">
        <w:rPr>
          <w:rFonts w:cs="Times New Roman"/>
          <w:szCs w:val="24"/>
          <w:highlight w:val="yellow"/>
        </w:rPr>
        <w:t>, </w:t>
      </w:r>
      <w:r w:rsidRPr="00E439D7">
        <w:rPr>
          <w:rFonts w:cs="Times New Roman"/>
          <w:i/>
          <w:iCs/>
          <w:szCs w:val="24"/>
          <w:highlight w:val="yellow"/>
        </w:rPr>
        <w:t>6</w:t>
      </w:r>
      <w:r w:rsidRPr="00E439D7">
        <w:rPr>
          <w:rFonts w:cs="Times New Roman"/>
          <w:szCs w:val="24"/>
          <w:highlight w:val="yellow"/>
        </w:rPr>
        <w:t>(2), 1-5.</w:t>
      </w:r>
    </w:p>
    <w:p w14:paraId="0A77E74A"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 xml:space="preserve">Ross, E. (2024). Teachers' interpretation of curriculum as a window into ‘curriculum </w:t>
      </w:r>
      <w:r w:rsidRPr="00E439D7">
        <w:rPr>
          <w:rFonts w:cs="Times New Roman"/>
          <w:szCs w:val="24"/>
          <w:highlight w:val="yellow"/>
        </w:rPr>
        <w:tab/>
        <w:t>potential’. </w:t>
      </w:r>
      <w:r w:rsidRPr="00E439D7">
        <w:rPr>
          <w:rFonts w:cs="Times New Roman"/>
          <w:i/>
          <w:iCs/>
          <w:szCs w:val="24"/>
          <w:highlight w:val="yellow"/>
        </w:rPr>
        <w:t>The Curriculum Journal</w:t>
      </w:r>
      <w:r w:rsidRPr="00E439D7">
        <w:rPr>
          <w:rFonts w:cs="Times New Roman"/>
          <w:szCs w:val="24"/>
          <w:highlight w:val="yellow"/>
        </w:rPr>
        <w:t>, </w:t>
      </w:r>
      <w:r w:rsidRPr="00E439D7">
        <w:rPr>
          <w:rFonts w:cs="Times New Roman"/>
          <w:i/>
          <w:iCs/>
          <w:szCs w:val="24"/>
          <w:highlight w:val="yellow"/>
        </w:rPr>
        <w:t>35</w:t>
      </w:r>
      <w:r w:rsidRPr="00E439D7">
        <w:rPr>
          <w:rFonts w:cs="Times New Roman"/>
          <w:szCs w:val="24"/>
          <w:highlight w:val="yellow"/>
        </w:rPr>
        <w:t>(1), 38-55</w:t>
      </w:r>
      <w:r w:rsidRPr="00E439D7">
        <w:rPr>
          <w:rFonts w:cs="Times New Roman"/>
          <w:szCs w:val="24"/>
        </w:rPr>
        <w:t>.</w:t>
      </w:r>
    </w:p>
    <w:p w14:paraId="34F0C492"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Rouder, J., Saucier, O., Kinder, R., &amp; Jans, M. (2021). What to do with all those open-ended responses? Data visualization techniques for survey researchers. </w:t>
      </w:r>
      <w:r w:rsidRPr="00E439D7">
        <w:rPr>
          <w:rFonts w:cs="Times New Roman"/>
          <w:i/>
          <w:iCs/>
          <w:szCs w:val="24"/>
          <w:highlight w:val="yellow"/>
        </w:rPr>
        <w:t>Survey Practice</w:t>
      </w:r>
      <w:r w:rsidRPr="00E439D7">
        <w:rPr>
          <w:rFonts w:cs="Times New Roman"/>
          <w:szCs w:val="24"/>
          <w:highlight w:val="yellow"/>
        </w:rPr>
        <w:t>.</w:t>
      </w:r>
    </w:p>
    <w:p w14:paraId="2A31D5EA" w14:textId="215D53A0" w:rsidR="00670D7E" w:rsidRPr="00E439D7" w:rsidRDefault="00670D7E" w:rsidP="00527817">
      <w:pPr>
        <w:spacing w:line="240" w:lineRule="auto"/>
        <w:ind w:hanging="720"/>
        <w:jc w:val="both"/>
        <w:rPr>
          <w:rFonts w:cs="Times New Roman"/>
          <w:szCs w:val="24"/>
        </w:rPr>
      </w:pPr>
      <w:bookmarkStart w:id="24" w:name="_Hlk193988156"/>
      <w:r w:rsidRPr="00E439D7">
        <w:rPr>
          <w:rFonts w:cs="Times New Roman"/>
          <w:szCs w:val="24"/>
          <w:highlight w:val="yellow"/>
        </w:rPr>
        <w:t>Russell, T., &amp; Martin, A. K. (2023)</w:t>
      </w:r>
      <w:bookmarkEnd w:id="24"/>
      <w:r w:rsidRPr="00E439D7">
        <w:rPr>
          <w:rFonts w:cs="Times New Roman"/>
          <w:szCs w:val="24"/>
          <w:highlight w:val="yellow"/>
        </w:rPr>
        <w:t>. Learning to teach science. In </w:t>
      </w:r>
      <w:r w:rsidRPr="00E439D7">
        <w:rPr>
          <w:rFonts w:cs="Times New Roman"/>
          <w:i/>
          <w:iCs/>
          <w:szCs w:val="24"/>
          <w:highlight w:val="yellow"/>
        </w:rPr>
        <w:t>Handbook of research on science education</w:t>
      </w:r>
      <w:r w:rsidRPr="00E439D7">
        <w:rPr>
          <w:rFonts w:cs="Times New Roman"/>
          <w:szCs w:val="24"/>
          <w:highlight w:val="yellow"/>
        </w:rPr>
        <w:t> (pp. 1162-1196). Routledge.</w:t>
      </w:r>
    </w:p>
    <w:p w14:paraId="54E83F8F"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Seherrie, A. C., &amp; Mawela, A. S. (2021). Incorporating a Cooperative Teaching and Learning Approach in Life Orientation Lesson Planning. </w:t>
      </w:r>
      <w:r w:rsidRPr="00E439D7">
        <w:rPr>
          <w:rFonts w:cs="Times New Roman"/>
          <w:i/>
          <w:iCs/>
          <w:szCs w:val="24"/>
          <w:highlight w:val="yellow"/>
        </w:rPr>
        <w:t>International Journal of Educational Methodology</w:t>
      </w:r>
      <w:r w:rsidRPr="00E439D7">
        <w:rPr>
          <w:rFonts w:cs="Times New Roman"/>
          <w:szCs w:val="24"/>
          <w:highlight w:val="yellow"/>
        </w:rPr>
        <w:t>, </w:t>
      </w:r>
      <w:r w:rsidRPr="00E439D7">
        <w:rPr>
          <w:rFonts w:cs="Times New Roman"/>
          <w:i/>
          <w:iCs/>
          <w:szCs w:val="24"/>
          <w:highlight w:val="yellow"/>
        </w:rPr>
        <w:t>7</w:t>
      </w:r>
      <w:r w:rsidRPr="00E439D7">
        <w:rPr>
          <w:rFonts w:cs="Times New Roman"/>
          <w:szCs w:val="24"/>
          <w:highlight w:val="yellow"/>
        </w:rPr>
        <w:t>(2), 373-386.</w:t>
      </w:r>
    </w:p>
    <w:p w14:paraId="6CDB2AB6"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Senyametor</w:t>
      </w:r>
      <w:proofErr w:type="spellEnd"/>
      <w:r w:rsidRPr="00E439D7">
        <w:rPr>
          <w:rFonts w:cs="Times New Roman"/>
          <w:szCs w:val="24"/>
        </w:rPr>
        <w:t xml:space="preserve">, F., </w:t>
      </w:r>
      <w:proofErr w:type="spellStart"/>
      <w:r w:rsidRPr="00E439D7">
        <w:rPr>
          <w:rFonts w:cs="Times New Roman"/>
          <w:szCs w:val="24"/>
        </w:rPr>
        <w:t>Abreh</w:t>
      </w:r>
      <w:proofErr w:type="spellEnd"/>
      <w:r w:rsidRPr="00E439D7">
        <w:rPr>
          <w:rFonts w:cs="Times New Roman"/>
          <w:szCs w:val="24"/>
        </w:rPr>
        <w:t xml:space="preserve">, M. K., Amponsah, M. K. O., Mills, C. A., </w:t>
      </w:r>
      <w:proofErr w:type="spellStart"/>
      <w:r w:rsidRPr="00E439D7">
        <w:rPr>
          <w:rFonts w:cs="Times New Roman"/>
          <w:szCs w:val="24"/>
        </w:rPr>
        <w:t>Bakah</w:t>
      </w:r>
      <w:proofErr w:type="spellEnd"/>
      <w:r w:rsidRPr="00E439D7">
        <w:rPr>
          <w:rFonts w:cs="Times New Roman"/>
          <w:szCs w:val="24"/>
        </w:rPr>
        <w:t xml:space="preserve">, M. A. B., &amp; Abango, </w:t>
      </w:r>
      <w:r w:rsidRPr="00E439D7">
        <w:rPr>
          <w:rFonts w:cs="Times New Roman"/>
          <w:szCs w:val="24"/>
        </w:rPr>
        <w:tab/>
        <w:t xml:space="preserve">M. A. (2024). Do support services provided in distance education context matter in trainee </w:t>
      </w:r>
      <w:r w:rsidRPr="00E439D7">
        <w:rPr>
          <w:rFonts w:cs="Times New Roman"/>
          <w:szCs w:val="24"/>
        </w:rPr>
        <w:tab/>
        <w:t>teacher performance? </w:t>
      </w:r>
      <w:r w:rsidRPr="00E439D7">
        <w:rPr>
          <w:rFonts w:cs="Times New Roman"/>
          <w:i/>
          <w:iCs/>
          <w:szCs w:val="24"/>
        </w:rPr>
        <w:t>Cogent Education</w:t>
      </w:r>
      <w:r w:rsidRPr="00E439D7">
        <w:rPr>
          <w:rFonts w:cs="Times New Roman"/>
          <w:szCs w:val="24"/>
        </w:rPr>
        <w:t>, </w:t>
      </w:r>
      <w:r w:rsidRPr="00E439D7">
        <w:rPr>
          <w:rFonts w:cs="Times New Roman"/>
          <w:i/>
          <w:iCs/>
          <w:szCs w:val="24"/>
        </w:rPr>
        <w:t>11</w:t>
      </w:r>
      <w:r w:rsidRPr="00E439D7">
        <w:rPr>
          <w:rFonts w:cs="Times New Roman"/>
          <w:szCs w:val="24"/>
        </w:rPr>
        <w:t>(1), 2398717.</w:t>
      </w:r>
    </w:p>
    <w:p w14:paraId="2F02792F"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Shulman, L. S. (1986). Those who understand: Knowledge growth in teaching. </w:t>
      </w:r>
      <w:r w:rsidRPr="00E439D7">
        <w:rPr>
          <w:rFonts w:cs="Times New Roman"/>
          <w:i/>
          <w:iCs/>
          <w:szCs w:val="24"/>
        </w:rPr>
        <w:t xml:space="preserve">Educational </w:t>
      </w:r>
      <w:r w:rsidRPr="00E439D7">
        <w:rPr>
          <w:rFonts w:cs="Times New Roman"/>
          <w:i/>
          <w:iCs/>
          <w:szCs w:val="24"/>
        </w:rPr>
        <w:tab/>
        <w:t>Researcher, 15</w:t>
      </w:r>
      <w:r w:rsidRPr="00E439D7">
        <w:rPr>
          <w:rFonts w:cs="Times New Roman"/>
          <w:szCs w:val="24"/>
        </w:rPr>
        <w:t>(2), 4–14.</w:t>
      </w:r>
    </w:p>
    <w:p w14:paraId="0CEFDDAA"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Shulman, L. S. (1987). Knowledge and teaching: Foundations of the new reform. </w:t>
      </w:r>
      <w:r w:rsidRPr="00E439D7">
        <w:rPr>
          <w:rFonts w:cs="Times New Roman"/>
          <w:i/>
          <w:iCs/>
          <w:szCs w:val="24"/>
        </w:rPr>
        <w:t xml:space="preserve">Harvard </w:t>
      </w:r>
      <w:r w:rsidRPr="00E439D7">
        <w:rPr>
          <w:rFonts w:cs="Times New Roman"/>
          <w:i/>
          <w:iCs/>
          <w:szCs w:val="24"/>
        </w:rPr>
        <w:tab/>
        <w:t>Educational Review, 57</w:t>
      </w:r>
      <w:r w:rsidRPr="00E439D7">
        <w:rPr>
          <w:rFonts w:cs="Times New Roman"/>
          <w:szCs w:val="24"/>
        </w:rPr>
        <w:t>(1), 1–22.</w:t>
      </w:r>
    </w:p>
    <w:p w14:paraId="69177136"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lastRenderedPageBreak/>
        <w:t>Siedlecki, S. L. (2020). Understanding descriptive research designs and methods. </w:t>
      </w:r>
      <w:r w:rsidRPr="00E439D7">
        <w:rPr>
          <w:rFonts w:cs="Times New Roman"/>
          <w:i/>
          <w:iCs/>
          <w:szCs w:val="24"/>
          <w:highlight w:val="yellow"/>
        </w:rPr>
        <w:t>Clinical Nurse Specialist</w:t>
      </w:r>
      <w:r w:rsidRPr="00E439D7">
        <w:rPr>
          <w:rFonts w:cs="Times New Roman"/>
          <w:szCs w:val="24"/>
          <w:highlight w:val="yellow"/>
        </w:rPr>
        <w:t>, </w:t>
      </w:r>
      <w:r w:rsidRPr="00E439D7">
        <w:rPr>
          <w:rFonts w:cs="Times New Roman"/>
          <w:i/>
          <w:iCs/>
          <w:szCs w:val="24"/>
          <w:highlight w:val="yellow"/>
        </w:rPr>
        <w:t>34</w:t>
      </w:r>
      <w:r w:rsidRPr="00E439D7">
        <w:rPr>
          <w:rFonts w:cs="Times New Roman"/>
          <w:szCs w:val="24"/>
          <w:highlight w:val="yellow"/>
        </w:rPr>
        <w:t>(1), 8-12.</w:t>
      </w:r>
    </w:p>
    <w:p w14:paraId="31E0F74F" w14:textId="77777777" w:rsidR="00670D7E" w:rsidRPr="00E439D7" w:rsidRDefault="00670D7E" w:rsidP="00604189">
      <w:pPr>
        <w:spacing w:line="240" w:lineRule="auto"/>
        <w:ind w:hanging="720"/>
        <w:jc w:val="both"/>
        <w:rPr>
          <w:rFonts w:cs="Times New Roman"/>
          <w:szCs w:val="24"/>
        </w:rPr>
      </w:pPr>
      <w:r w:rsidRPr="00E439D7">
        <w:rPr>
          <w:rFonts w:cs="Times New Roman"/>
          <w:szCs w:val="24"/>
          <w:highlight w:val="yellow"/>
        </w:rPr>
        <w:t xml:space="preserve">Surma, T., Vanhees, C., Wils, M., </w:t>
      </w:r>
      <w:proofErr w:type="spellStart"/>
      <w:r w:rsidRPr="00E439D7">
        <w:rPr>
          <w:rFonts w:cs="Times New Roman"/>
          <w:szCs w:val="24"/>
          <w:highlight w:val="yellow"/>
        </w:rPr>
        <w:t>Nijlunsing</w:t>
      </w:r>
      <w:proofErr w:type="spellEnd"/>
      <w:r w:rsidRPr="00E439D7">
        <w:rPr>
          <w:rFonts w:cs="Times New Roman"/>
          <w:szCs w:val="24"/>
          <w:highlight w:val="yellow"/>
        </w:rPr>
        <w:t xml:space="preserve">, J., </w:t>
      </w:r>
      <w:proofErr w:type="spellStart"/>
      <w:r w:rsidRPr="00E439D7">
        <w:rPr>
          <w:rFonts w:cs="Times New Roman"/>
          <w:szCs w:val="24"/>
          <w:highlight w:val="yellow"/>
        </w:rPr>
        <w:t>Crato</w:t>
      </w:r>
      <w:proofErr w:type="spellEnd"/>
      <w:r w:rsidRPr="00E439D7">
        <w:rPr>
          <w:rFonts w:cs="Times New Roman"/>
          <w:szCs w:val="24"/>
          <w:highlight w:val="yellow"/>
        </w:rPr>
        <w:t xml:space="preserve">, N., Hattie, J., ... &amp; Kirschner, P. A. (2025). </w:t>
      </w:r>
      <w:r w:rsidRPr="00E439D7">
        <w:rPr>
          <w:rFonts w:cs="Times New Roman"/>
          <w:szCs w:val="24"/>
          <w:highlight w:val="yellow"/>
        </w:rPr>
        <w:tab/>
        <w:t>How Knowledge Matters. In </w:t>
      </w:r>
      <w:r w:rsidRPr="00E439D7">
        <w:rPr>
          <w:rFonts w:cs="Times New Roman"/>
          <w:i/>
          <w:iCs/>
          <w:szCs w:val="24"/>
          <w:highlight w:val="yellow"/>
        </w:rPr>
        <w:t xml:space="preserve">Developing Curriculum for Deep Thinking: The Knowledge </w:t>
      </w:r>
      <w:r w:rsidRPr="00E439D7">
        <w:rPr>
          <w:rFonts w:cs="Times New Roman"/>
          <w:i/>
          <w:iCs/>
          <w:szCs w:val="24"/>
          <w:highlight w:val="yellow"/>
        </w:rPr>
        <w:tab/>
        <w:t>Revival</w:t>
      </w:r>
      <w:r w:rsidRPr="00E439D7">
        <w:rPr>
          <w:rFonts w:cs="Times New Roman"/>
          <w:szCs w:val="24"/>
          <w:highlight w:val="yellow"/>
        </w:rPr>
        <w:t> (pp. 5-35). Cham: Springer Nature Switzerland</w:t>
      </w:r>
      <w:r w:rsidRPr="00E439D7">
        <w:rPr>
          <w:rFonts w:cs="Times New Roman"/>
          <w:szCs w:val="24"/>
        </w:rPr>
        <w:t>.</w:t>
      </w:r>
    </w:p>
    <w:p w14:paraId="1E7C6D30" w14:textId="77777777" w:rsidR="00670D7E" w:rsidRPr="00E439D7" w:rsidRDefault="00670D7E" w:rsidP="00604189">
      <w:pPr>
        <w:spacing w:line="240" w:lineRule="auto"/>
        <w:ind w:hanging="720"/>
        <w:jc w:val="both"/>
        <w:rPr>
          <w:rFonts w:cs="Times New Roman"/>
          <w:szCs w:val="24"/>
        </w:rPr>
      </w:pPr>
      <w:proofErr w:type="spellStart"/>
      <w:r w:rsidRPr="00E439D7">
        <w:rPr>
          <w:rFonts w:cs="Times New Roman"/>
          <w:szCs w:val="24"/>
        </w:rPr>
        <w:t>Terhart</w:t>
      </w:r>
      <w:proofErr w:type="spellEnd"/>
      <w:r w:rsidRPr="00E439D7">
        <w:rPr>
          <w:rFonts w:cs="Times New Roman"/>
          <w:szCs w:val="24"/>
        </w:rPr>
        <w:t xml:space="preserve">, E. (2012). Teacher education research and its impact on teaching. </w:t>
      </w:r>
      <w:r w:rsidRPr="00E439D7">
        <w:rPr>
          <w:rFonts w:cs="Times New Roman"/>
          <w:i/>
          <w:iCs/>
          <w:szCs w:val="24"/>
        </w:rPr>
        <w:t xml:space="preserve">European Educational </w:t>
      </w:r>
      <w:r w:rsidRPr="00E439D7">
        <w:rPr>
          <w:rFonts w:cs="Times New Roman"/>
          <w:i/>
          <w:iCs/>
          <w:szCs w:val="24"/>
        </w:rPr>
        <w:tab/>
        <w:t>Research Journal, 11</w:t>
      </w:r>
      <w:r w:rsidRPr="00E439D7">
        <w:rPr>
          <w:rFonts w:cs="Times New Roman"/>
          <w:szCs w:val="24"/>
        </w:rPr>
        <w:t>(2), 164–175.</w:t>
      </w:r>
    </w:p>
    <w:p w14:paraId="26759BF6"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Turnbull, D. (2018). Learning through inquiry-based teaching. </w:t>
      </w:r>
      <w:r w:rsidRPr="00E439D7">
        <w:rPr>
          <w:rFonts w:cs="Times New Roman"/>
          <w:i/>
          <w:iCs/>
          <w:szCs w:val="24"/>
        </w:rPr>
        <w:t xml:space="preserve">Journal of Experiential Learning, </w:t>
      </w:r>
      <w:r w:rsidRPr="00E439D7">
        <w:rPr>
          <w:rFonts w:cs="Times New Roman"/>
          <w:i/>
          <w:iCs/>
          <w:szCs w:val="24"/>
        </w:rPr>
        <w:tab/>
        <w:t>21</w:t>
      </w:r>
      <w:r w:rsidRPr="00E439D7">
        <w:rPr>
          <w:rFonts w:cs="Times New Roman"/>
          <w:szCs w:val="24"/>
        </w:rPr>
        <w:t>(3), 211–225.</w:t>
      </w:r>
    </w:p>
    <w:p w14:paraId="05EC09C3" w14:textId="77777777" w:rsidR="00670D7E" w:rsidRPr="00E439D7" w:rsidRDefault="00670D7E" w:rsidP="00604189">
      <w:pPr>
        <w:spacing w:line="240" w:lineRule="auto"/>
        <w:ind w:hanging="720"/>
        <w:jc w:val="both"/>
        <w:rPr>
          <w:rFonts w:cs="Times New Roman"/>
          <w:szCs w:val="24"/>
        </w:rPr>
      </w:pPr>
      <w:bookmarkStart w:id="25" w:name="_Hlk193990785"/>
      <w:r w:rsidRPr="00E439D7">
        <w:rPr>
          <w:rFonts w:cs="Times New Roman"/>
          <w:szCs w:val="24"/>
          <w:highlight w:val="yellow"/>
        </w:rPr>
        <w:t>van Driel, J. H., Hume, A., &amp; Berry, A. (2023).</w:t>
      </w:r>
      <w:bookmarkEnd w:id="25"/>
      <w:r w:rsidRPr="00E439D7">
        <w:rPr>
          <w:rFonts w:cs="Times New Roman"/>
          <w:szCs w:val="24"/>
          <w:highlight w:val="yellow"/>
        </w:rPr>
        <w:t xml:space="preserve"> Research on science teacher knowledge and its development. In </w:t>
      </w:r>
      <w:r w:rsidRPr="00E439D7">
        <w:rPr>
          <w:rFonts w:cs="Times New Roman"/>
          <w:i/>
          <w:iCs/>
          <w:szCs w:val="24"/>
          <w:highlight w:val="yellow"/>
        </w:rPr>
        <w:t>Handbook of research on science education</w:t>
      </w:r>
      <w:r w:rsidRPr="00E439D7">
        <w:rPr>
          <w:rFonts w:cs="Times New Roman"/>
          <w:szCs w:val="24"/>
          <w:highlight w:val="yellow"/>
        </w:rPr>
        <w:t> (pp. 1123-1161). Routledge.</w:t>
      </w:r>
    </w:p>
    <w:p w14:paraId="4B3F227B" w14:textId="77777777" w:rsidR="00670D7E" w:rsidRPr="00E439D7" w:rsidRDefault="00670D7E" w:rsidP="00604189">
      <w:pPr>
        <w:spacing w:line="240" w:lineRule="auto"/>
        <w:ind w:hanging="720"/>
        <w:jc w:val="both"/>
        <w:rPr>
          <w:rFonts w:cs="Times New Roman"/>
          <w:szCs w:val="24"/>
        </w:rPr>
      </w:pPr>
      <w:r w:rsidRPr="00E439D7">
        <w:rPr>
          <w:rFonts w:cs="Times New Roman"/>
          <w:szCs w:val="24"/>
        </w:rPr>
        <w:t xml:space="preserve">Wilson, S. M., &amp; Wineburg, S. S. (1988). Peering at history through different lenses. </w:t>
      </w:r>
      <w:r w:rsidRPr="00E439D7">
        <w:rPr>
          <w:rFonts w:cs="Times New Roman"/>
          <w:i/>
          <w:iCs/>
          <w:szCs w:val="24"/>
        </w:rPr>
        <w:t xml:space="preserve">Journal of </w:t>
      </w:r>
      <w:r w:rsidRPr="00E439D7">
        <w:rPr>
          <w:rFonts w:cs="Times New Roman"/>
          <w:i/>
          <w:iCs/>
          <w:szCs w:val="24"/>
        </w:rPr>
        <w:tab/>
        <w:t>American History, 75</w:t>
      </w:r>
      <w:r w:rsidRPr="00E439D7">
        <w:rPr>
          <w:rFonts w:cs="Times New Roman"/>
          <w:szCs w:val="24"/>
        </w:rPr>
        <w:t>(3), 1420–1443.</w:t>
      </w:r>
    </w:p>
    <w:p w14:paraId="501A9BB4" w14:textId="77777777" w:rsidR="00670D7E" w:rsidRPr="00E439D7" w:rsidRDefault="00670D7E" w:rsidP="00604189">
      <w:pPr>
        <w:spacing w:line="240" w:lineRule="auto"/>
        <w:ind w:hanging="720"/>
        <w:jc w:val="both"/>
        <w:rPr>
          <w:rFonts w:cs="Times New Roman"/>
          <w:b/>
          <w:bCs/>
          <w:szCs w:val="24"/>
        </w:rPr>
      </w:pPr>
      <w:proofErr w:type="spellStart"/>
      <w:r w:rsidRPr="00E439D7">
        <w:rPr>
          <w:rFonts w:cs="Times New Roman"/>
          <w:szCs w:val="24"/>
        </w:rPr>
        <w:t>Yarkwah</w:t>
      </w:r>
      <w:proofErr w:type="spellEnd"/>
      <w:r w:rsidRPr="00E439D7">
        <w:rPr>
          <w:rFonts w:cs="Times New Roman"/>
          <w:szCs w:val="24"/>
        </w:rPr>
        <w:t xml:space="preserve">, F. (2022). Analyzing preservice teachers’ challenges in lesson planning. </w:t>
      </w:r>
      <w:r w:rsidRPr="00E439D7">
        <w:rPr>
          <w:rFonts w:cs="Times New Roman"/>
          <w:i/>
          <w:iCs/>
          <w:szCs w:val="24"/>
        </w:rPr>
        <w:t xml:space="preserve">Teacher </w:t>
      </w:r>
      <w:r w:rsidRPr="00E439D7">
        <w:rPr>
          <w:rFonts w:cs="Times New Roman"/>
          <w:i/>
          <w:iCs/>
          <w:szCs w:val="24"/>
        </w:rPr>
        <w:tab/>
        <w:t>Development Journal, 12</w:t>
      </w:r>
      <w:r w:rsidRPr="00E439D7">
        <w:rPr>
          <w:rFonts w:cs="Times New Roman"/>
          <w:szCs w:val="24"/>
        </w:rPr>
        <w:t>(4), 87–101.</w:t>
      </w:r>
    </w:p>
    <w:p w14:paraId="27D42C1F" w14:textId="77777777" w:rsidR="00670D7E" w:rsidRPr="00E439D7" w:rsidRDefault="00670D7E" w:rsidP="00670D7E">
      <w:pPr>
        <w:spacing w:line="278" w:lineRule="auto"/>
        <w:rPr>
          <w:rFonts w:cs="Times New Roman"/>
          <w:kern w:val="2"/>
          <w:szCs w:val="24"/>
          <w14:ligatures w14:val="standardContextual"/>
        </w:rPr>
      </w:pPr>
    </w:p>
    <w:p w14:paraId="53489DA4" w14:textId="2EDCFB19" w:rsidR="000472F0" w:rsidRPr="00E439D7" w:rsidRDefault="000472F0" w:rsidP="00E13388">
      <w:pPr>
        <w:spacing w:line="240" w:lineRule="auto"/>
        <w:jc w:val="both"/>
        <w:rPr>
          <w:rFonts w:cs="Times New Roman"/>
          <w:b/>
          <w:bCs/>
          <w:szCs w:val="24"/>
        </w:rPr>
      </w:pPr>
    </w:p>
    <w:sectPr w:rsidR="000472F0" w:rsidRPr="00E439D7" w:rsidSect="00B834D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EC28" w14:textId="77777777" w:rsidR="00185E1D" w:rsidRDefault="00185E1D" w:rsidP="000B67E8">
      <w:pPr>
        <w:spacing w:after="0" w:line="240" w:lineRule="auto"/>
      </w:pPr>
      <w:r>
        <w:separator/>
      </w:r>
    </w:p>
  </w:endnote>
  <w:endnote w:type="continuationSeparator" w:id="0">
    <w:p w14:paraId="17B258DB" w14:textId="77777777" w:rsidR="00185E1D" w:rsidRDefault="00185E1D" w:rsidP="000B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0597"/>
      <w:docPartObj>
        <w:docPartGallery w:val="Page Numbers (Bottom of Page)"/>
        <w:docPartUnique/>
      </w:docPartObj>
    </w:sdtPr>
    <w:sdtEndPr>
      <w:rPr>
        <w:noProof/>
      </w:rPr>
    </w:sdtEndPr>
    <w:sdtContent>
      <w:p w14:paraId="1ACACF1E" w14:textId="05D44A3C" w:rsidR="003154A2" w:rsidRDefault="003154A2">
        <w:pPr>
          <w:pStyle w:val="Footer"/>
          <w:jc w:val="center"/>
        </w:pPr>
        <w:r>
          <w:fldChar w:fldCharType="begin"/>
        </w:r>
        <w:r>
          <w:instrText xml:space="preserve"> PAGE   \* MERGEFORMAT </w:instrText>
        </w:r>
        <w:r>
          <w:fldChar w:fldCharType="separate"/>
        </w:r>
        <w:r w:rsidR="00F14346">
          <w:rPr>
            <w:noProof/>
          </w:rPr>
          <w:t>4</w:t>
        </w:r>
        <w:r>
          <w:rPr>
            <w:noProof/>
          </w:rPr>
          <w:fldChar w:fldCharType="end"/>
        </w:r>
      </w:p>
    </w:sdtContent>
  </w:sdt>
  <w:p w14:paraId="489236B4" w14:textId="77777777" w:rsidR="003154A2" w:rsidRDefault="0031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6B51" w14:textId="77777777" w:rsidR="00185E1D" w:rsidRDefault="00185E1D" w:rsidP="000B67E8">
      <w:pPr>
        <w:spacing w:after="0" w:line="240" w:lineRule="auto"/>
      </w:pPr>
      <w:r>
        <w:separator/>
      </w:r>
    </w:p>
  </w:footnote>
  <w:footnote w:type="continuationSeparator" w:id="0">
    <w:p w14:paraId="1824D686" w14:textId="77777777" w:rsidR="00185E1D" w:rsidRDefault="00185E1D" w:rsidP="000B6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C241A"/>
    <w:multiLevelType w:val="hybridMultilevel"/>
    <w:tmpl w:val="B00405CE"/>
    <w:lvl w:ilvl="0" w:tplc="63E82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B1F49"/>
    <w:multiLevelType w:val="hybridMultilevel"/>
    <w:tmpl w:val="D4A8EFD0"/>
    <w:lvl w:ilvl="0" w:tplc="40C65D1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47A57"/>
    <w:multiLevelType w:val="hybridMultilevel"/>
    <w:tmpl w:val="2DD46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F0E06"/>
    <w:multiLevelType w:val="hybridMultilevel"/>
    <w:tmpl w:val="60CC0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326EB"/>
    <w:multiLevelType w:val="hybridMultilevel"/>
    <w:tmpl w:val="805C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522842">
    <w:abstractNumId w:val="0"/>
  </w:num>
  <w:num w:numId="2" w16cid:durableId="1989743163">
    <w:abstractNumId w:val="3"/>
  </w:num>
  <w:num w:numId="3" w16cid:durableId="644161212">
    <w:abstractNumId w:val="4"/>
  </w:num>
  <w:num w:numId="4" w16cid:durableId="1677878055">
    <w:abstractNumId w:val="2"/>
  </w:num>
  <w:num w:numId="5" w16cid:durableId="34694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6"/>
    <w:rsid w:val="0000646E"/>
    <w:rsid w:val="00006B7F"/>
    <w:rsid w:val="000168F6"/>
    <w:rsid w:val="00016FEB"/>
    <w:rsid w:val="00025CED"/>
    <w:rsid w:val="000311F0"/>
    <w:rsid w:val="00032D34"/>
    <w:rsid w:val="00041CA9"/>
    <w:rsid w:val="00043E21"/>
    <w:rsid w:val="00045C9F"/>
    <w:rsid w:val="000463ED"/>
    <w:rsid w:val="00046C7D"/>
    <w:rsid w:val="000472F0"/>
    <w:rsid w:val="0005252C"/>
    <w:rsid w:val="00053828"/>
    <w:rsid w:val="000563FB"/>
    <w:rsid w:val="00062523"/>
    <w:rsid w:val="00065ECC"/>
    <w:rsid w:val="0007569E"/>
    <w:rsid w:val="00075D49"/>
    <w:rsid w:val="00076664"/>
    <w:rsid w:val="00085E0C"/>
    <w:rsid w:val="00086049"/>
    <w:rsid w:val="00086C08"/>
    <w:rsid w:val="00093AA0"/>
    <w:rsid w:val="00096B7A"/>
    <w:rsid w:val="00097C2C"/>
    <w:rsid w:val="000A06B3"/>
    <w:rsid w:val="000A158F"/>
    <w:rsid w:val="000A3E7C"/>
    <w:rsid w:val="000A5AE9"/>
    <w:rsid w:val="000B0404"/>
    <w:rsid w:val="000B2F47"/>
    <w:rsid w:val="000B67E8"/>
    <w:rsid w:val="000B6800"/>
    <w:rsid w:val="000C2925"/>
    <w:rsid w:val="000C6405"/>
    <w:rsid w:val="000D0423"/>
    <w:rsid w:val="000D13B0"/>
    <w:rsid w:val="000D1A70"/>
    <w:rsid w:val="000D5252"/>
    <w:rsid w:val="000D554A"/>
    <w:rsid w:val="000E0F78"/>
    <w:rsid w:val="000E5391"/>
    <w:rsid w:val="000F2948"/>
    <w:rsid w:val="000F3312"/>
    <w:rsid w:val="0010201E"/>
    <w:rsid w:val="001036AD"/>
    <w:rsid w:val="00106D0E"/>
    <w:rsid w:val="00112C9E"/>
    <w:rsid w:val="001172C4"/>
    <w:rsid w:val="001221CB"/>
    <w:rsid w:val="00125724"/>
    <w:rsid w:val="00125903"/>
    <w:rsid w:val="00125F3E"/>
    <w:rsid w:val="00130552"/>
    <w:rsid w:val="00130931"/>
    <w:rsid w:val="00137ED8"/>
    <w:rsid w:val="00140DF6"/>
    <w:rsid w:val="00141B3C"/>
    <w:rsid w:val="00142BF6"/>
    <w:rsid w:val="0014771A"/>
    <w:rsid w:val="00152FA9"/>
    <w:rsid w:val="0016686E"/>
    <w:rsid w:val="00166930"/>
    <w:rsid w:val="00175E00"/>
    <w:rsid w:val="00177BA8"/>
    <w:rsid w:val="001813DC"/>
    <w:rsid w:val="00184DBA"/>
    <w:rsid w:val="001856CA"/>
    <w:rsid w:val="00185E1D"/>
    <w:rsid w:val="00187CE1"/>
    <w:rsid w:val="001940C9"/>
    <w:rsid w:val="00195823"/>
    <w:rsid w:val="0019627C"/>
    <w:rsid w:val="001A5023"/>
    <w:rsid w:val="001A7110"/>
    <w:rsid w:val="001B0535"/>
    <w:rsid w:val="001B5905"/>
    <w:rsid w:val="001B5D44"/>
    <w:rsid w:val="001B6991"/>
    <w:rsid w:val="001C2A24"/>
    <w:rsid w:val="001C407A"/>
    <w:rsid w:val="001C455C"/>
    <w:rsid w:val="001C6372"/>
    <w:rsid w:val="001C6545"/>
    <w:rsid w:val="001D1D15"/>
    <w:rsid w:val="001E1475"/>
    <w:rsid w:val="001E46D1"/>
    <w:rsid w:val="001E676A"/>
    <w:rsid w:val="001F4156"/>
    <w:rsid w:val="001F4E91"/>
    <w:rsid w:val="001F5147"/>
    <w:rsid w:val="0020280C"/>
    <w:rsid w:val="00202B0A"/>
    <w:rsid w:val="00203392"/>
    <w:rsid w:val="00206EA5"/>
    <w:rsid w:val="00207784"/>
    <w:rsid w:val="00213B9A"/>
    <w:rsid w:val="002201AE"/>
    <w:rsid w:val="00221042"/>
    <w:rsid w:val="0022267C"/>
    <w:rsid w:val="00223B0B"/>
    <w:rsid w:val="00225CCE"/>
    <w:rsid w:val="00226B5E"/>
    <w:rsid w:val="00232037"/>
    <w:rsid w:val="00237B95"/>
    <w:rsid w:val="00253C8F"/>
    <w:rsid w:val="002547C5"/>
    <w:rsid w:val="00257C28"/>
    <w:rsid w:val="0026115B"/>
    <w:rsid w:val="00266DF1"/>
    <w:rsid w:val="00267EEF"/>
    <w:rsid w:val="00272AE1"/>
    <w:rsid w:val="00272E84"/>
    <w:rsid w:val="00274485"/>
    <w:rsid w:val="00276089"/>
    <w:rsid w:val="00283B3A"/>
    <w:rsid w:val="002864AC"/>
    <w:rsid w:val="0028688A"/>
    <w:rsid w:val="002904C9"/>
    <w:rsid w:val="002956CF"/>
    <w:rsid w:val="0029783C"/>
    <w:rsid w:val="002A054F"/>
    <w:rsid w:val="002A0ABB"/>
    <w:rsid w:val="002A1682"/>
    <w:rsid w:val="002A2C9A"/>
    <w:rsid w:val="002A5110"/>
    <w:rsid w:val="002A5897"/>
    <w:rsid w:val="002A6CCC"/>
    <w:rsid w:val="002C3923"/>
    <w:rsid w:val="002C63F5"/>
    <w:rsid w:val="002D0AB4"/>
    <w:rsid w:val="002D1300"/>
    <w:rsid w:val="002D1FE6"/>
    <w:rsid w:val="002D3E75"/>
    <w:rsid w:val="002D6515"/>
    <w:rsid w:val="002D6D49"/>
    <w:rsid w:val="002D7883"/>
    <w:rsid w:val="002E06F7"/>
    <w:rsid w:val="002E5DEB"/>
    <w:rsid w:val="002E6401"/>
    <w:rsid w:val="002E69E9"/>
    <w:rsid w:val="002F29CA"/>
    <w:rsid w:val="002F4481"/>
    <w:rsid w:val="003035B6"/>
    <w:rsid w:val="00304E46"/>
    <w:rsid w:val="003126C1"/>
    <w:rsid w:val="003154A2"/>
    <w:rsid w:val="00317610"/>
    <w:rsid w:val="00320076"/>
    <w:rsid w:val="00322F5A"/>
    <w:rsid w:val="003231FB"/>
    <w:rsid w:val="00324141"/>
    <w:rsid w:val="0032680A"/>
    <w:rsid w:val="00331B3B"/>
    <w:rsid w:val="00331F5D"/>
    <w:rsid w:val="003336BA"/>
    <w:rsid w:val="00335C92"/>
    <w:rsid w:val="00346B22"/>
    <w:rsid w:val="003560C9"/>
    <w:rsid w:val="00356468"/>
    <w:rsid w:val="003569A7"/>
    <w:rsid w:val="003652A8"/>
    <w:rsid w:val="00365848"/>
    <w:rsid w:val="00366255"/>
    <w:rsid w:val="0037099F"/>
    <w:rsid w:val="00373F98"/>
    <w:rsid w:val="00376196"/>
    <w:rsid w:val="0038166E"/>
    <w:rsid w:val="003838D8"/>
    <w:rsid w:val="00383A93"/>
    <w:rsid w:val="003848EF"/>
    <w:rsid w:val="003904AE"/>
    <w:rsid w:val="00392574"/>
    <w:rsid w:val="003A14E1"/>
    <w:rsid w:val="003B0CF3"/>
    <w:rsid w:val="003B6770"/>
    <w:rsid w:val="003B7589"/>
    <w:rsid w:val="003C42EE"/>
    <w:rsid w:val="003C7305"/>
    <w:rsid w:val="003D2565"/>
    <w:rsid w:val="003D2D24"/>
    <w:rsid w:val="003D3053"/>
    <w:rsid w:val="003D53C7"/>
    <w:rsid w:val="003D60D4"/>
    <w:rsid w:val="003E1445"/>
    <w:rsid w:val="003E25F5"/>
    <w:rsid w:val="003E5D58"/>
    <w:rsid w:val="003E65D8"/>
    <w:rsid w:val="004013E2"/>
    <w:rsid w:val="00401794"/>
    <w:rsid w:val="00402058"/>
    <w:rsid w:val="00407351"/>
    <w:rsid w:val="00412959"/>
    <w:rsid w:val="004133DC"/>
    <w:rsid w:val="0041366A"/>
    <w:rsid w:val="00417D19"/>
    <w:rsid w:val="00420009"/>
    <w:rsid w:val="0042399F"/>
    <w:rsid w:val="00427769"/>
    <w:rsid w:val="004328D7"/>
    <w:rsid w:val="00434BB0"/>
    <w:rsid w:val="004412A4"/>
    <w:rsid w:val="004447D1"/>
    <w:rsid w:val="004453C0"/>
    <w:rsid w:val="00445AA5"/>
    <w:rsid w:val="00447317"/>
    <w:rsid w:val="00453E47"/>
    <w:rsid w:val="00454442"/>
    <w:rsid w:val="00460971"/>
    <w:rsid w:val="00461664"/>
    <w:rsid w:val="004644FF"/>
    <w:rsid w:val="004652BA"/>
    <w:rsid w:val="00465741"/>
    <w:rsid w:val="00474258"/>
    <w:rsid w:val="00475E95"/>
    <w:rsid w:val="00483027"/>
    <w:rsid w:val="004835A0"/>
    <w:rsid w:val="00484FC0"/>
    <w:rsid w:val="00487364"/>
    <w:rsid w:val="00493A90"/>
    <w:rsid w:val="004958AE"/>
    <w:rsid w:val="00496E51"/>
    <w:rsid w:val="004A154B"/>
    <w:rsid w:val="004A23A0"/>
    <w:rsid w:val="004A3563"/>
    <w:rsid w:val="004B3DA5"/>
    <w:rsid w:val="004B4AD3"/>
    <w:rsid w:val="004B76D4"/>
    <w:rsid w:val="004C667F"/>
    <w:rsid w:val="004D422B"/>
    <w:rsid w:val="004D47C0"/>
    <w:rsid w:val="004D6ECF"/>
    <w:rsid w:val="004E06B7"/>
    <w:rsid w:val="004E39AF"/>
    <w:rsid w:val="004F2130"/>
    <w:rsid w:val="004F2345"/>
    <w:rsid w:val="004F49EF"/>
    <w:rsid w:val="004F55C8"/>
    <w:rsid w:val="004F7FA2"/>
    <w:rsid w:val="005011B7"/>
    <w:rsid w:val="0050447F"/>
    <w:rsid w:val="00514F98"/>
    <w:rsid w:val="00515F25"/>
    <w:rsid w:val="005173BA"/>
    <w:rsid w:val="00527817"/>
    <w:rsid w:val="00527D98"/>
    <w:rsid w:val="00530FE4"/>
    <w:rsid w:val="00532045"/>
    <w:rsid w:val="0053424C"/>
    <w:rsid w:val="00535D94"/>
    <w:rsid w:val="005362B4"/>
    <w:rsid w:val="005377D8"/>
    <w:rsid w:val="00541473"/>
    <w:rsid w:val="00542F51"/>
    <w:rsid w:val="00546501"/>
    <w:rsid w:val="00550695"/>
    <w:rsid w:val="0055595D"/>
    <w:rsid w:val="005559C2"/>
    <w:rsid w:val="005647CB"/>
    <w:rsid w:val="00565ED3"/>
    <w:rsid w:val="0056693B"/>
    <w:rsid w:val="0056783F"/>
    <w:rsid w:val="00570A99"/>
    <w:rsid w:val="00573F50"/>
    <w:rsid w:val="00576DEA"/>
    <w:rsid w:val="00580E4E"/>
    <w:rsid w:val="00581A83"/>
    <w:rsid w:val="005855A5"/>
    <w:rsid w:val="00587D49"/>
    <w:rsid w:val="005904C5"/>
    <w:rsid w:val="005907A3"/>
    <w:rsid w:val="0059206A"/>
    <w:rsid w:val="0059215E"/>
    <w:rsid w:val="005A29A1"/>
    <w:rsid w:val="005A4607"/>
    <w:rsid w:val="005A63B0"/>
    <w:rsid w:val="005A7B41"/>
    <w:rsid w:val="005B03C8"/>
    <w:rsid w:val="005B1E5B"/>
    <w:rsid w:val="005B4D0F"/>
    <w:rsid w:val="005B63FF"/>
    <w:rsid w:val="005C1065"/>
    <w:rsid w:val="005C13D0"/>
    <w:rsid w:val="005C74A0"/>
    <w:rsid w:val="005C783C"/>
    <w:rsid w:val="005C7999"/>
    <w:rsid w:val="005D01B3"/>
    <w:rsid w:val="005D2930"/>
    <w:rsid w:val="005E0944"/>
    <w:rsid w:val="005E12C6"/>
    <w:rsid w:val="005E3F89"/>
    <w:rsid w:val="005E5CBC"/>
    <w:rsid w:val="005E74F6"/>
    <w:rsid w:val="005F00BB"/>
    <w:rsid w:val="005F3E98"/>
    <w:rsid w:val="005F4616"/>
    <w:rsid w:val="005F5814"/>
    <w:rsid w:val="005F5A66"/>
    <w:rsid w:val="005F5D66"/>
    <w:rsid w:val="00604189"/>
    <w:rsid w:val="0060771A"/>
    <w:rsid w:val="00611F5C"/>
    <w:rsid w:val="00624E47"/>
    <w:rsid w:val="00625007"/>
    <w:rsid w:val="00630A07"/>
    <w:rsid w:val="0063120A"/>
    <w:rsid w:val="0063276E"/>
    <w:rsid w:val="00633BDB"/>
    <w:rsid w:val="00635DE8"/>
    <w:rsid w:val="00642E2C"/>
    <w:rsid w:val="00644B2F"/>
    <w:rsid w:val="00651022"/>
    <w:rsid w:val="00654015"/>
    <w:rsid w:val="0065700E"/>
    <w:rsid w:val="00661997"/>
    <w:rsid w:val="00663742"/>
    <w:rsid w:val="006700B3"/>
    <w:rsid w:val="00670D7E"/>
    <w:rsid w:val="00676395"/>
    <w:rsid w:val="0067688C"/>
    <w:rsid w:val="00680579"/>
    <w:rsid w:val="0068264A"/>
    <w:rsid w:val="00684060"/>
    <w:rsid w:val="00687C85"/>
    <w:rsid w:val="006914F3"/>
    <w:rsid w:val="0069224B"/>
    <w:rsid w:val="00692C0D"/>
    <w:rsid w:val="00697C23"/>
    <w:rsid w:val="006A03D3"/>
    <w:rsid w:val="006B0479"/>
    <w:rsid w:val="006B4824"/>
    <w:rsid w:val="006B4B7D"/>
    <w:rsid w:val="006B550A"/>
    <w:rsid w:val="006B75C5"/>
    <w:rsid w:val="006C30C3"/>
    <w:rsid w:val="006C47E8"/>
    <w:rsid w:val="006C759A"/>
    <w:rsid w:val="006D0D88"/>
    <w:rsid w:val="006D1D40"/>
    <w:rsid w:val="006D1DBD"/>
    <w:rsid w:val="006D3215"/>
    <w:rsid w:val="006D37DF"/>
    <w:rsid w:val="006D44E2"/>
    <w:rsid w:val="006D460C"/>
    <w:rsid w:val="006D6574"/>
    <w:rsid w:val="006E3006"/>
    <w:rsid w:val="006E3B1A"/>
    <w:rsid w:val="006E52A6"/>
    <w:rsid w:val="006F1CB3"/>
    <w:rsid w:val="006F4A4E"/>
    <w:rsid w:val="00700B2B"/>
    <w:rsid w:val="00705759"/>
    <w:rsid w:val="00705803"/>
    <w:rsid w:val="00706936"/>
    <w:rsid w:val="0070719F"/>
    <w:rsid w:val="00711EEB"/>
    <w:rsid w:val="007122CF"/>
    <w:rsid w:val="00722C80"/>
    <w:rsid w:val="00726BB5"/>
    <w:rsid w:val="00741336"/>
    <w:rsid w:val="007419CC"/>
    <w:rsid w:val="00750BFF"/>
    <w:rsid w:val="007570DA"/>
    <w:rsid w:val="007610D8"/>
    <w:rsid w:val="00767D28"/>
    <w:rsid w:val="00770432"/>
    <w:rsid w:val="00775661"/>
    <w:rsid w:val="00776E8B"/>
    <w:rsid w:val="007819E6"/>
    <w:rsid w:val="007825BE"/>
    <w:rsid w:val="00795424"/>
    <w:rsid w:val="00795433"/>
    <w:rsid w:val="00795731"/>
    <w:rsid w:val="007A25B3"/>
    <w:rsid w:val="007A29F1"/>
    <w:rsid w:val="007A645C"/>
    <w:rsid w:val="007A76DD"/>
    <w:rsid w:val="007B0EA8"/>
    <w:rsid w:val="007B5DB2"/>
    <w:rsid w:val="007B70E3"/>
    <w:rsid w:val="007C1B3D"/>
    <w:rsid w:val="007C5AA3"/>
    <w:rsid w:val="007C5CEB"/>
    <w:rsid w:val="007D18F5"/>
    <w:rsid w:val="007D2125"/>
    <w:rsid w:val="007D2E44"/>
    <w:rsid w:val="007D7A5C"/>
    <w:rsid w:val="007F18E2"/>
    <w:rsid w:val="007F2510"/>
    <w:rsid w:val="007F3C31"/>
    <w:rsid w:val="007F53E9"/>
    <w:rsid w:val="00800389"/>
    <w:rsid w:val="00800614"/>
    <w:rsid w:val="0080173A"/>
    <w:rsid w:val="00810001"/>
    <w:rsid w:val="00811F69"/>
    <w:rsid w:val="00814C8E"/>
    <w:rsid w:val="008163B4"/>
    <w:rsid w:val="00825854"/>
    <w:rsid w:val="00833010"/>
    <w:rsid w:val="008332EE"/>
    <w:rsid w:val="00836FBC"/>
    <w:rsid w:val="00840D88"/>
    <w:rsid w:val="0084774E"/>
    <w:rsid w:val="00847C87"/>
    <w:rsid w:val="00851DE3"/>
    <w:rsid w:val="00851F8C"/>
    <w:rsid w:val="00854CDD"/>
    <w:rsid w:val="00857405"/>
    <w:rsid w:val="00867654"/>
    <w:rsid w:val="0087352F"/>
    <w:rsid w:val="0087388D"/>
    <w:rsid w:val="008739AA"/>
    <w:rsid w:val="00876BC9"/>
    <w:rsid w:val="0088432E"/>
    <w:rsid w:val="008851BB"/>
    <w:rsid w:val="0088545E"/>
    <w:rsid w:val="008856EB"/>
    <w:rsid w:val="00886473"/>
    <w:rsid w:val="00892C3A"/>
    <w:rsid w:val="00892FFD"/>
    <w:rsid w:val="00894068"/>
    <w:rsid w:val="0089435F"/>
    <w:rsid w:val="008956C1"/>
    <w:rsid w:val="00895B63"/>
    <w:rsid w:val="00895E80"/>
    <w:rsid w:val="00896445"/>
    <w:rsid w:val="0089689F"/>
    <w:rsid w:val="008A18B0"/>
    <w:rsid w:val="008A2315"/>
    <w:rsid w:val="008A244C"/>
    <w:rsid w:val="008A4D87"/>
    <w:rsid w:val="008A70D9"/>
    <w:rsid w:val="008B0864"/>
    <w:rsid w:val="008B3B6F"/>
    <w:rsid w:val="008B7E8F"/>
    <w:rsid w:val="008C743C"/>
    <w:rsid w:val="008D2C8B"/>
    <w:rsid w:val="008D47D2"/>
    <w:rsid w:val="008D4B63"/>
    <w:rsid w:val="008D4E9C"/>
    <w:rsid w:val="008D773A"/>
    <w:rsid w:val="008D7BE5"/>
    <w:rsid w:val="008E0AE8"/>
    <w:rsid w:val="008E726A"/>
    <w:rsid w:val="008E7926"/>
    <w:rsid w:val="008F4F59"/>
    <w:rsid w:val="008F56B4"/>
    <w:rsid w:val="009009D5"/>
    <w:rsid w:val="0090190B"/>
    <w:rsid w:val="00903FC5"/>
    <w:rsid w:val="00905F18"/>
    <w:rsid w:val="00910E2D"/>
    <w:rsid w:val="009129A4"/>
    <w:rsid w:val="00913EA2"/>
    <w:rsid w:val="00923C8A"/>
    <w:rsid w:val="00924CFC"/>
    <w:rsid w:val="0092756D"/>
    <w:rsid w:val="00927971"/>
    <w:rsid w:val="00931063"/>
    <w:rsid w:val="00931843"/>
    <w:rsid w:val="00934239"/>
    <w:rsid w:val="00943B11"/>
    <w:rsid w:val="00944204"/>
    <w:rsid w:val="00945B02"/>
    <w:rsid w:val="00950E90"/>
    <w:rsid w:val="009547ED"/>
    <w:rsid w:val="0095531A"/>
    <w:rsid w:val="00955FC7"/>
    <w:rsid w:val="009564E1"/>
    <w:rsid w:val="00960A3D"/>
    <w:rsid w:val="009630B0"/>
    <w:rsid w:val="00963AF4"/>
    <w:rsid w:val="00964EC3"/>
    <w:rsid w:val="00965326"/>
    <w:rsid w:val="00966BEE"/>
    <w:rsid w:val="0096741C"/>
    <w:rsid w:val="00971FD8"/>
    <w:rsid w:val="009746DD"/>
    <w:rsid w:val="0097574A"/>
    <w:rsid w:val="00980517"/>
    <w:rsid w:val="0098440B"/>
    <w:rsid w:val="00985E4E"/>
    <w:rsid w:val="00990F67"/>
    <w:rsid w:val="00994BC6"/>
    <w:rsid w:val="00995C94"/>
    <w:rsid w:val="00995E6C"/>
    <w:rsid w:val="009A0B67"/>
    <w:rsid w:val="009A1AB2"/>
    <w:rsid w:val="009A3B73"/>
    <w:rsid w:val="009A3F48"/>
    <w:rsid w:val="009A5F23"/>
    <w:rsid w:val="009B4225"/>
    <w:rsid w:val="009B4ED1"/>
    <w:rsid w:val="009B5DC8"/>
    <w:rsid w:val="009B5F29"/>
    <w:rsid w:val="009C0A2F"/>
    <w:rsid w:val="009C0A84"/>
    <w:rsid w:val="009C1E58"/>
    <w:rsid w:val="009C39CD"/>
    <w:rsid w:val="009C5CE9"/>
    <w:rsid w:val="009D10CD"/>
    <w:rsid w:val="009D29FD"/>
    <w:rsid w:val="009D55A2"/>
    <w:rsid w:val="009D619C"/>
    <w:rsid w:val="009E1D1D"/>
    <w:rsid w:val="009E2B46"/>
    <w:rsid w:val="009E379A"/>
    <w:rsid w:val="009E779F"/>
    <w:rsid w:val="009E782E"/>
    <w:rsid w:val="009F0BFF"/>
    <w:rsid w:val="009F0D46"/>
    <w:rsid w:val="009F6798"/>
    <w:rsid w:val="00A00E15"/>
    <w:rsid w:val="00A028B4"/>
    <w:rsid w:val="00A079AA"/>
    <w:rsid w:val="00A11712"/>
    <w:rsid w:val="00A16280"/>
    <w:rsid w:val="00A36FAF"/>
    <w:rsid w:val="00A40B0A"/>
    <w:rsid w:val="00A42BAE"/>
    <w:rsid w:val="00A45CE3"/>
    <w:rsid w:val="00A57A46"/>
    <w:rsid w:val="00A622D6"/>
    <w:rsid w:val="00A6447D"/>
    <w:rsid w:val="00A657C0"/>
    <w:rsid w:val="00A657DA"/>
    <w:rsid w:val="00A67B25"/>
    <w:rsid w:val="00A76E58"/>
    <w:rsid w:val="00A81046"/>
    <w:rsid w:val="00A817CB"/>
    <w:rsid w:val="00A864BD"/>
    <w:rsid w:val="00A867CF"/>
    <w:rsid w:val="00A87BAB"/>
    <w:rsid w:val="00A92448"/>
    <w:rsid w:val="00A9319F"/>
    <w:rsid w:val="00A94755"/>
    <w:rsid w:val="00A96EAA"/>
    <w:rsid w:val="00AA13C1"/>
    <w:rsid w:val="00AA2223"/>
    <w:rsid w:val="00AA5CD1"/>
    <w:rsid w:val="00AB08FA"/>
    <w:rsid w:val="00AB7672"/>
    <w:rsid w:val="00AC3B13"/>
    <w:rsid w:val="00AC75A3"/>
    <w:rsid w:val="00AD06AE"/>
    <w:rsid w:val="00AD0D0F"/>
    <w:rsid w:val="00AD1DB3"/>
    <w:rsid w:val="00AD5D9D"/>
    <w:rsid w:val="00AE1343"/>
    <w:rsid w:val="00AE5E9C"/>
    <w:rsid w:val="00AF408A"/>
    <w:rsid w:val="00AF4A88"/>
    <w:rsid w:val="00AF680E"/>
    <w:rsid w:val="00B00C5A"/>
    <w:rsid w:val="00B01041"/>
    <w:rsid w:val="00B02053"/>
    <w:rsid w:val="00B07BA9"/>
    <w:rsid w:val="00B10649"/>
    <w:rsid w:val="00B10FEA"/>
    <w:rsid w:val="00B111B5"/>
    <w:rsid w:val="00B13EA8"/>
    <w:rsid w:val="00B173F4"/>
    <w:rsid w:val="00B30373"/>
    <w:rsid w:val="00B3336E"/>
    <w:rsid w:val="00B451A9"/>
    <w:rsid w:val="00B457D5"/>
    <w:rsid w:val="00B459AE"/>
    <w:rsid w:val="00B4788B"/>
    <w:rsid w:val="00B50B0F"/>
    <w:rsid w:val="00B50E21"/>
    <w:rsid w:val="00B51076"/>
    <w:rsid w:val="00B5302F"/>
    <w:rsid w:val="00B5405A"/>
    <w:rsid w:val="00B5600E"/>
    <w:rsid w:val="00B6032C"/>
    <w:rsid w:val="00B63146"/>
    <w:rsid w:val="00B70F97"/>
    <w:rsid w:val="00B77390"/>
    <w:rsid w:val="00B81A3E"/>
    <w:rsid w:val="00B81B9C"/>
    <w:rsid w:val="00B834DC"/>
    <w:rsid w:val="00B84AFA"/>
    <w:rsid w:val="00B9342F"/>
    <w:rsid w:val="00B93D4C"/>
    <w:rsid w:val="00B97AAC"/>
    <w:rsid w:val="00BA456A"/>
    <w:rsid w:val="00BB3A51"/>
    <w:rsid w:val="00BB4ACA"/>
    <w:rsid w:val="00BB5716"/>
    <w:rsid w:val="00BB6EC4"/>
    <w:rsid w:val="00BB7798"/>
    <w:rsid w:val="00BC2579"/>
    <w:rsid w:val="00BC336D"/>
    <w:rsid w:val="00BC4767"/>
    <w:rsid w:val="00BC4A72"/>
    <w:rsid w:val="00BC5B8F"/>
    <w:rsid w:val="00BD156F"/>
    <w:rsid w:val="00BD6237"/>
    <w:rsid w:val="00BE0860"/>
    <w:rsid w:val="00BE0B16"/>
    <w:rsid w:val="00BE4B48"/>
    <w:rsid w:val="00BF1DE5"/>
    <w:rsid w:val="00BF6438"/>
    <w:rsid w:val="00BF7507"/>
    <w:rsid w:val="00C011D6"/>
    <w:rsid w:val="00C05923"/>
    <w:rsid w:val="00C07773"/>
    <w:rsid w:val="00C14062"/>
    <w:rsid w:val="00C15AE1"/>
    <w:rsid w:val="00C16BE3"/>
    <w:rsid w:val="00C202DA"/>
    <w:rsid w:val="00C20AD4"/>
    <w:rsid w:val="00C23416"/>
    <w:rsid w:val="00C249E1"/>
    <w:rsid w:val="00C339DD"/>
    <w:rsid w:val="00C36D77"/>
    <w:rsid w:val="00C371D7"/>
    <w:rsid w:val="00C42D27"/>
    <w:rsid w:val="00C45B62"/>
    <w:rsid w:val="00C46D07"/>
    <w:rsid w:val="00C601AC"/>
    <w:rsid w:val="00C61F7E"/>
    <w:rsid w:val="00C647C2"/>
    <w:rsid w:val="00C67A95"/>
    <w:rsid w:val="00C72663"/>
    <w:rsid w:val="00C75125"/>
    <w:rsid w:val="00C83FA0"/>
    <w:rsid w:val="00C97546"/>
    <w:rsid w:val="00CB0BB3"/>
    <w:rsid w:val="00CB29D8"/>
    <w:rsid w:val="00CB50A9"/>
    <w:rsid w:val="00CB5CEF"/>
    <w:rsid w:val="00CC5BD6"/>
    <w:rsid w:val="00CC7086"/>
    <w:rsid w:val="00CD3F80"/>
    <w:rsid w:val="00CD47A3"/>
    <w:rsid w:val="00CD6282"/>
    <w:rsid w:val="00CD7043"/>
    <w:rsid w:val="00CD707F"/>
    <w:rsid w:val="00CD74B0"/>
    <w:rsid w:val="00CD756B"/>
    <w:rsid w:val="00CD78FA"/>
    <w:rsid w:val="00CE37AC"/>
    <w:rsid w:val="00CE4E60"/>
    <w:rsid w:val="00CE5240"/>
    <w:rsid w:val="00CE6FA3"/>
    <w:rsid w:val="00CF122C"/>
    <w:rsid w:val="00CF1DDB"/>
    <w:rsid w:val="00CF2374"/>
    <w:rsid w:val="00CF2FC1"/>
    <w:rsid w:val="00CF79E7"/>
    <w:rsid w:val="00D01242"/>
    <w:rsid w:val="00D02600"/>
    <w:rsid w:val="00D04FA9"/>
    <w:rsid w:val="00D078F6"/>
    <w:rsid w:val="00D11CED"/>
    <w:rsid w:val="00D20F08"/>
    <w:rsid w:val="00D25C26"/>
    <w:rsid w:val="00D306DA"/>
    <w:rsid w:val="00D371C6"/>
    <w:rsid w:val="00D44791"/>
    <w:rsid w:val="00D4573A"/>
    <w:rsid w:val="00D4578A"/>
    <w:rsid w:val="00D47C6F"/>
    <w:rsid w:val="00D5064D"/>
    <w:rsid w:val="00D60221"/>
    <w:rsid w:val="00D6442F"/>
    <w:rsid w:val="00D675C8"/>
    <w:rsid w:val="00D703AC"/>
    <w:rsid w:val="00D725DF"/>
    <w:rsid w:val="00D73528"/>
    <w:rsid w:val="00D8028E"/>
    <w:rsid w:val="00D82D70"/>
    <w:rsid w:val="00D85AF2"/>
    <w:rsid w:val="00D869AF"/>
    <w:rsid w:val="00D87DB9"/>
    <w:rsid w:val="00D9039F"/>
    <w:rsid w:val="00D93B0D"/>
    <w:rsid w:val="00D964BB"/>
    <w:rsid w:val="00D96E31"/>
    <w:rsid w:val="00DA2791"/>
    <w:rsid w:val="00DA325F"/>
    <w:rsid w:val="00DA59AF"/>
    <w:rsid w:val="00DA76E2"/>
    <w:rsid w:val="00DA7EC9"/>
    <w:rsid w:val="00DA7EE9"/>
    <w:rsid w:val="00DB193D"/>
    <w:rsid w:val="00DB4EFA"/>
    <w:rsid w:val="00DB7F14"/>
    <w:rsid w:val="00DC090D"/>
    <w:rsid w:val="00DC3244"/>
    <w:rsid w:val="00DC3D9A"/>
    <w:rsid w:val="00DC4CC5"/>
    <w:rsid w:val="00DC6D8A"/>
    <w:rsid w:val="00DD10D0"/>
    <w:rsid w:val="00DE2EB7"/>
    <w:rsid w:val="00DE5851"/>
    <w:rsid w:val="00DE65AB"/>
    <w:rsid w:val="00DE7543"/>
    <w:rsid w:val="00E03031"/>
    <w:rsid w:val="00E035AF"/>
    <w:rsid w:val="00E13388"/>
    <w:rsid w:val="00E133D8"/>
    <w:rsid w:val="00E134F7"/>
    <w:rsid w:val="00E16003"/>
    <w:rsid w:val="00E16991"/>
    <w:rsid w:val="00E26CC0"/>
    <w:rsid w:val="00E27F9E"/>
    <w:rsid w:val="00E30C27"/>
    <w:rsid w:val="00E339F9"/>
    <w:rsid w:val="00E35E20"/>
    <w:rsid w:val="00E4152C"/>
    <w:rsid w:val="00E434E2"/>
    <w:rsid w:val="00E439D7"/>
    <w:rsid w:val="00E47B7E"/>
    <w:rsid w:val="00E51007"/>
    <w:rsid w:val="00E56C84"/>
    <w:rsid w:val="00E60EB5"/>
    <w:rsid w:val="00E61A3E"/>
    <w:rsid w:val="00E715B6"/>
    <w:rsid w:val="00E74F6A"/>
    <w:rsid w:val="00E83071"/>
    <w:rsid w:val="00E83384"/>
    <w:rsid w:val="00E835C6"/>
    <w:rsid w:val="00E84E8A"/>
    <w:rsid w:val="00E85F80"/>
    <w:rsid w:val="00E86A0A"/>
    <w:rsid w:val="00E879EC"/>
    <w:rsid w:val="00E90974"/>
    <w:rsid w:val="00E925C6"/>
    <w:rsid w:val="00E950C8"/>
    <w:rsid w:val="00E97613"/>
    <w:rsid w:val="00EA23B3"/>
    <w:rsid w:val="00EA4197"/>
    <w:rsid w:val="00EA7611"/>
    <w:rsid w:val="00EB0EA1"/>
    <w:rsid w:val="00EB49ED"/>
    <w:rsid w:val="00ED2330"/>
    <w:rsid w:val="00ED28AD"/>
    <w:rsid w:val="00ED2904"/>
    <w:rsid w:val="00ED7A06"/>
    <w:rsid w:val="00ED7CA6"/>
    <w:rsid w:val="00EF411F"/>
    <w:rsid w:val="00EF6ACA"/>
    <w:rsid w:val="00F015B8"/>
    <w:rsid w:val="00F05925"/>
    <w:rsid w:val="00F06E05"/>
    <w:rsid w:val="00F1235E"/>
    <w:rsid w:val="00F14346"/>
    <w:rsid w:val="00F15A36"/>
    <w:rsid w:val="00F16507"/>
    <w:rsid w:val="00F24504"/>
    <w:rsid w:val="00F25DF4"/>
    <w:rsid w:val="00F31FCB"/>
    <w:rsid w:val="00F350F1"/>
    <w:rsid w:val="00F44DAD"/>
    <w:rsid w:val="00F45DA4"/>
    <w:rsid w:val="00F5250E"/>
    <w:rsid w:val="00F52EDE"/>
    <w:rsid w:val="00F571CB"/>
    <w:rsid w:val="00F612FD"/>
    <w:rsid w:val="00F619B9"/>
    <w:rsid w:val="00F657E4"/>
    <w:rsid w:val="00F65DA6"/>
    <w:rsid w:val="00F771B1"/>
    <w:rsid w:val="00F773E3"/>
    <w:rsid w:val="00F77ECC"/>
    <w:rsid w:val="00F8643E"/>
    <w:rsid w:val="00F9475A"/>
    <w:rsid w:val="00F95E32"/>
    <w:rsid w:val="00FA3F0B"/>
    <w:rsid w:val="00FA5353"/>
    <w:rsid w:val="00FA57D9"/>
    <w:rsid w:val="00FB181F"/>
    <w:rsid w:val="00FB6202"/>
    <w:rsid w:val="00FC2186"/>
    <w:rsid w:val="00FC5C92"/>
    <w:rsid w:val="00FC5DD5"/>
    <w:rsid w:val="00FC759B"/>
    <w:rsid w:val="00FD1A0A"/>
    <w:rsid w:val="00FD20DE"/>
    <w:rsid w:val="00FD4ADF"/>
    <w:rsid w:val="00FE25A8"/>
    <w:rsid w:val="00FE7EF4"/>
    <w:rsid w:val="00FF3296"/>
    <w:rsid w:val="00FF5A81"/>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637F"/>
  <w15:chartTrackingRefBased/>
  <w15:docId w15:val="{487D60D3-25A7-4925-963A-6A19453F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77"/>
    <w:pPr>
      <w:spacing w:after="160"/>
      <w:ind w:left="0"/>
      <w:jc w:val="left"/>
    </w:pPr>
    <w:rPr>
      <w:rFonts w:ascii="Times New Roman" w:hAnsi="Times New Roman"/>
      <w:sz w:val="24"/>
    </w:rPr>
  </w:style>
  <w:style w:type="paragraph" w:styleId="Heading2">
    <w:name w:val="heading 2"/>
    <w:basedOn w:val="Normal"/>
    <w:link w:val="Heading2Char"/>
    <w:autoRedefine/>
    <w:uiPriority w:val="9"/>
    <w:qFormat/>
    <w:rsid w:val="00BC4767"/>
    <w:pPr>
      <w:spacing w:after="0" w:line="240" w:lineRule="auto"/>
      <w:jc w:val="center"/>
      <w:outlineLvl w:val="1"/>
    </w:pPr>
    <w:rPr>
      <w:rFonts w:cs="Times New Roman"/>
      <w:b/>
      <w:bCs/>
      <w:kern w:val="24"/>
      <w:szCs w:val="24"/>
    </w:rPr>
  </w:style>
  <w:style w:type="paragraph" w:styleId="Heading3">
    <w:name w:val="heading 3"/>
    <w:basedOn w:val="Normal"/>
    <w:next w:val="Normal"/>
    <w:link w:val="Heading3Char"/>
    <w:uiPriority w:val="9"/>
    <w:semiHidden/>
    <w:unhideWhenUsed/>
    <w:qFormat/>
    <w:rsid w:val="00484FC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E47B7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767"/>
    <w:rPr>
      <w:rFonts w:ascii="Times New Roman" w:hAnsi="Times New Roman" w:cs="Times New Roman"/>
      <w:b/>
      <w:bCs/>
      <w:kern w:val="24"/>
      <w:sz w:val="24"/>
      <w:szCs w:val="24"/>
    </w:rPr>
  </w:style>
  <w:style w:type="paragraph" w:styleId="ListParagraph">
    <w:name w:val="List Paragraph"/>
    <w:basedOn w:val="Normal"/>
    <w:uiPriority w:val="34"/>
    <w:qFormat/>
    <w:rsid w:val="00C36D77"/>
    <w:pPr>
      <w:ind w:left="720"/>
      <w:contextualSpacing/>
    </w:pPr>
  </w:style>
  <w:style w:type="paragraph" w:styleId="Header">
    <w:name w:val="header"/>
    <w:basedOn w:val="Normal"/>
    <w:link w:val="HeaderChar"/>
    <w:uiPriority w:val="99"/>
    <w:unhideWhenUsed/>
    <w:rsid w:val="000B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E8"/>
    <w:rPr>
      <w:rFonts w:ascii="Times New Roman" w:hAnsi="Times New Roman"/>
      <w:sz w:val="24"/>
    </w:rPr>
  </w:style>
  <w:style w:type="paragraph" w:styleId="Footer">
    <w:name w:val="footer"/>
    <w:basedOn w:val="Normal"/>
    <w:link w:val="FooterChar"/>
    <w:uiPriority w:val="99"/>
    <w:unhideWhenUsed/>
    <w:rsid w:val="000B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E8"/>
    <w:rPr>
      <w:rFonts w:ascii="Times New Roman" w:hAnsi="Times New Roman"/>
      <w:sz w:val="24"/>
    </w:rPr>
  </w:style>
  <w:style w:type="character" w:customStyle="1" w:styleId="fcup0c">
    <w:name w:val="fcup0c"/>
    <w:basedOn w:val="DefaultParagraphFont"/>
    <w:rsid w:val="00DC6D8A"/>
  </w:style>
  <w:style w:type="character" w:customStyle="1" w:styleId="Heading3Char">
    <w:name w:val="Heading 3 Char"/>
    <w:basedOn w:val="DefaultParagraphFont"/>
    <w:link w:val="Heading3"/>
    <w:uiPriority w:val="9"/>
    <w:semiHidden/>
    <w:rsid w:val="00484FC0"/>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E47B7E"/>
    <w:rPr>
      <w:rFonts w:asciiTheme="majorHAnsi" w:eastAsiaTheme="majorEastAsia" w:hAnsiTheme="majorHAnsi" w:cstheme="majorBidi"/>
      <w:color w:val="1F3763" w:themeColor="accent1" w:themeShade="7F"/>
      <w:sz w:val="24"/>
    </w:rPr>
  </w:style>
  <w:style w:type="character" w:styleId="Hyperlink">
    <w:name w:val="Hyperlink"/>
    <w:basedOn w:val="DefaultParagraphFont"/>
    <w:uiPriority w:val="99"/>
    <w:unhideWhenUsed/>
    <w:rsid w:val="00BB3A51"/>
    <w:rPr>
      <w:color w:val="0000FF"/>
      <w:u w:val="single"/>
    </w:rPr>
  </w:style>
  <w:style w:type="character" w:customStyle="1" w:styleId="UnresolvedMention1">
    <w:name w:val="Unresolved Mention1"/>
    <w:basedOn w:val="DefaultParagraphFont"/>
    <w:uiPriority w:val="99"/>
    <w:semiHidden/>
    <w:unhideWhenUsed/>
    <w:rsid w:val="00D9039F"/>
    <w:rPr>
      <w:color w:val="605E5C"/>
      <w:shd w:val="clear" w:color="auto" w:fill="E1DFDD"/>
    </w:rPr>
  </w:style>
  <w:style w:type="character" w:styleId="CommentReference">
    <w:name w:val="annotation reference"/>
    <w:basedOn w:val="DefaultParagraphFont"/>
    <w:uiPriority w:val="99"/>
    <w:semiHidden/>
    <w:unhideWhenUsed/>
    <w:rsid w:val="003154A2"/>
    <w:rPr>
      <w:sz w:val="16"/>
      <w:szCs w:val="16"/>
    </w:rPr>
  </w:style>
  <w:style w:type="paragraph" w:styleId="CommentText">
    <w:name w:val="annotation text"/>
    <w:basedOn w:val="Normal"/>
    <w:link w:val="CommentTextChar"/>
    <w:uiPriority w:val="99"/>
    <w:semiHidden/>
    <w:unhideWhenUsed/>
    <w:rsid w:val="003154A2"/>
    <w:pPr>
      <w:spacing w:line="240" w:lineRule="auto"/>
    </w:pPr>
    <w:rPr>
      <w:sz w:val="20"/>
      <w:szCs w:val="20"/>
    </w:rPr>
  </w:style>
  <w:style w:type="character" w:customStyle="1" w:styleId="CommentTextChar">
    <w:name w:val="Comment Text Char"/>
    <w:basedOn w:val="DefaultParagraphFont"/>
    <w:link w:val="CommentText"/>
    <w:uiPriority w:val="99"/>
    <w:semiHidden/>
    <w:rsid w:val="003154A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54A2"/>
    <w:rPr>
      <w:b/>
      <w:bCs/>
    </w:rPr>
  </w:style>
  <w:style w:type="character" w:customStyle="1" w:styleId="CommentSubjectChar">
    <w:name w:val="Comment Subject Char"/>
    <w:basedOn w:val="CommentTextChar"/>
    <w:link w:val="CommentSubject"/>
    <w:uiPriority w:val="99"/>
    <w:semiHidden/>
    <w:rsid w:val="003154A2"/>
    <w:rPr>
      <w:rFonts w:ascii="Times New Roman" w:hAnsi="Times New Roman"/>
      <w:b/>
      <w:bCs/>
      <w:sz w:val="20"/>
      <w:szCs w:val="20"/>
    </w:rPr>
  </w:style>
  <w:style w:type="paragraph" w:styleId="BalloonText">
    <w:name w:val="Balloon Text"/>
    <w:basedOn w:val="Normal"/>
    <w:link w:val="BalloonTextChar"/>
    <w:uiPriority w:val="99"/>
    <w:semiHidden/>
    <w:unhideWhenUsed/>
    <w:rsid w:val="00315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A2"/>
    <w:rPr>
      <w:rFonts w:ascii="Segoe UI" w:hAnsi="Segoe UI" w:cs="Segoe UI"/>
      <w:sz w:val="18"/>
      <w:szCs w:val="18"/>
    </w:rPr>
  </w:style>
  <w:style w:type="paragraph" w:styleId="NormalWeb">
    <w:name w:val="Normal (Web)"/>
    <w:basedOn w:val="Normal"/>
    <w:uiPriority w:val="99"/>
    <w:unhideWhenUsed/>
    <w:rsid w:val="00DB193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193D"/>
    <w:rPr>
      <w:b/>
      <w:bCs/>
    </w:rPr>
  </w:style>
  <w:style w:type="paragraph" w:styleId="Revision">
    <w:name w:val="Revision"/>
    <w:hidden/>
    <w:uiPriority w:val="99"/>
    <w:semiHidden/>
    <w:rsid w:val="0059215E"/>
    <w:pPr>
      <w:spacing w:line="240" w:lineRule="auto"/>
      <w:ind w:left="0"/>
      <w:jc w:val="left"/>
    </w:pPr>
    <w:rPr>
      <w:rFonts w:ascii="Times New Roman" w:hAnsi="Times New Roman"/>
      <w:sz w:val="24"/>
    </w:rPr>
  </w:style>
  <w:style w:type="table" w:styleId="TableGrid">
    <w:name w:val="Table Grid"/>
    <w:basedOn w:val="TableNormal"/>
    <w:uiPriority w:val="39"/>
    <w:rsid w:val="004F7F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0903">
      <w:bodyDiv w:val="1"/>
      <w:marLeft w:val="0"/>
      <w:marRight w:val="0"/>
      <w:marTop w:val="0"/>
      <w:marBottom w:val="0"/>
      <w:divBdr>
        <w:top w:val="none" w:sz="0" w:space="0" w:color="auto"/>
        <w:left w:val="none" w:sz="0" w:space="0" w:color="auto"/>
        <w:bottom w:val="none" w:sz="0" w:space="0" w:color="auto"/>
        <w:right w:val="none" w:sz="0" w:space="0" w:color="auto"/>
      </w:divBdr>
      <w:divsChild>
        <w:div w:id="473449154">
          <w:marLeft w:val="0"/>
          <w:marRight w:val="0"/>
          <w:marTop w:val="0"/>
          <w:marBottom w:val="0"/>
          <w:divBdr>
            <w:top w:val="none" w:sz="0" w:space="0" w:color="auto"/>
            <w:left w:val="none" w:sz="0" w:space="0" w:color="auto"/>
            <w:bottom w:val="none" w:sz="0" w:space="0" w:color="auto"/>
            <w:right w:val="none" w:sz="0" w:space="0" w:color="auto"/>
          </w:divBdr>
        </w:div>
      </w:divsChild>
    </w:div>
    <w:div w:id="391199186">
      <w:bodyDiv w:val="1"/>
      <w:marLeft w:val="0"/>
      <w:marRight w:val="0"/>
      <w:marTop w:val="0"/>
      <w:marBottom w:val="0"/>
      <w:divBdr>
        <w:top w:val="none" w:sz="0" w:space="0" w:color="auto"/>
        <w:left w:val="none" w:sz="0" w:space="0" w:color="auto"/>
        <w:bottom w:val="none" w:sz="0" w:space="0" w:color="auto"/>
        <w:right w:val="none" w:sz="0" w:space="0" w:color="auto"/>
      </w:divBdr>
    </w:div>
    <w:div w:id="1094134331">
      <w:bodyDiv w:val="1"/>
      <w:marLeft w:val="0"/>
      <w:marRight w:val="0"/>
      <w:marTop w:val="0"/>
      <w:marBottom w:val="0"/>
      <w:divBdr>
        <w:top w:val="none" w:sz="0" w:space="0" w:color="auto"/>
        <w:left w:val="none" w:sz="0" w:space="0" w:color="auto"/>
        <w:bottom w:val="none" w:sz="0" w:space="0" w:color="auto"/>
        <w:right w:val="none" w:sz="0" w:space="0" w:color="auto"/>
      </w:divBdr>
    </w:div>
    <w:div w:id="1199318072">
      <w:bodyDiv w:val="1"/>
      <w:marLeft w:val="0"/>
      <w:marRight w:val="0"/>
      <w:marTop w:val="0"/>
      <w:marBottom w:val="0"/>
      <w:divBdr>
        <w:top w:val="none" w:sz="0" w:space="0" w:color="auto"/>
        <w:left w:val="none" w:sz="0" w:space="0" w:color="auto"/>
        <w:bottom w:val="none" w:sz="0" w:space="0" w:color="auto"/>
        <w:right w:val="none" w:sz="0" w:space="0" w:color="auto"/>
      </w:divBdr>
    </w:div>
    <w:div w:id="1608154799">
      <w:bodyDiv w:val="1"/>
      <w:marLeft w:val="0"/>
      <w:marRight w:val="0"/>
      <w:marTop w:val="0"/>
      <w:marBottom w:val="0"/>
      <w:divBdr>
        <w:top w:val="none" w:sz="0" w:space="0" w:color="auto"/>
        <w:left w:val="none" w:sz="0" w:space="0" w:color="auto"/>
        <w:bottom w:val="none" w:sz="0" w:space="0" w:color="auto"/>
        <w:right w:val="none" w:sz="0" w:space="0" w:color="auto"/>
      </w:divBdr>
      <w:divsChild>
        <w:div w:id="324280180">
          <w:marLeft w:val="0"/>
          <w:marRight w:val="0"/>
          <w:marTop w:val="0"/>
          <w:marBottom w:val="0"/>
          <w:divBdr>
            <w:top w:val="none" w:sz="0" w:space="0" w:color="auto"/>
            <w:left w:val="none" w:sz="0" w:space="0" w:color="auto"/>
            <w:bottom w:val="none" w:sz="0" w:space="0" w:color="auto"/>
            <w:right w:val="none" w:sz="0" w:space="0" w:color="auto"/>
          </w:divBdr>
        </w:div>
      </w:divsChild>
    </w:div>
    <w:div w:id="16562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lindif.2020.1018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20</Pages>
  <Words>11153</Words>
  <Characters>63575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Dorsah</dc:creator>
  <cp:keywords/>
  <dc:description/>
  <cp:lastModifiedBy>SDI CPU 1070</cp:lastModifiedBy>
  <cp:revision>68</cp:revision>
  <dcterms:created xsi:type="dcterms:W3CDTF">2025-03-28T16:49:00Z</dcterms:created>
  <dcterms:modified xsi:type="dcterms:W3CDTF">2025-04-01T05:38:00Z</dcterms:modified>
</cp:coreProperties>
</file>