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62E8B" w14:textId="0A340B73" w:rsidR="008F5A5A" w:rsidRPr="00B060E2" w:rsidRDefault="00C577A8" w:rsidP="00F54EF3">
      <w:pPr>
        <w:jc w:val="center"/>
        <w:rPr>
          <w:rFonts w:asciiTheme="minorHAnsi" w:hAnsiTheme="minorHAnsi" w:cstheme="minorHAnsi"/>
          <w:b/>
          <w:bCs/>
        </w:rPr>
      </w:pPr>
      <w:r w:rsidRPr="00C577A8">
        <w:rPr>
          <w:rFonts w:asciiTheme="minorHAnsi" w:hAnsiTheme="minorHAnsi" w:cstheme="minorHAnsi"/>
          <w:b/>
          <w:bCs/>
          <w:highlight w:val="yellow"/>
        </w:rPr>
        <w:t>A systematic Literature Review on the Relationship between Economic Growth and Some Regional Temperature Trends</w:t>
      </w:r>
    </w:p>
    <w:p w14:paraId="003E2829" w14:textId="77777777" w:rsidR="007A4B82" w:rsidRPr="00B060E2" w:rsidRDefault="007A4B82" w:rsidP="007A4B82">
      <w:pPr>
        <w:jc w:val="center"/>
        <w:rPr>
          <w:rFonts w:asciiTheme="minorHAnsi" w:hAnsiTheme="minorHAnsi" w:cstheme="minorHAnsi"/>
          <w:b/>
          <w:bCs/>
        </w:rPr>
      </w:pPr>
    </w:p>
    <w:p w14:paraId="13DC0857" w14:textId="77777777" w:rsidR="00B060E2" w:rsidRPr="00B060E2" w:rsidRDefault="00B060E2" w:rsidP="007A4B82">
      <w:pPr>
        <w:jc w:val="center"/>
        <w:rPr>
          <w:rFonts w:asciiTheme="minorHAnsi" w:hAnsiTheme="minorHAnsi" w:cstheme="minorHAnsi"/>
          <w:b/>
          <w:bCs/>
        </w:rPr>
      </w:pPr>
    </w:p>
    <w:p w14:paraId="2A61624A" w14:textId="77777777" w:rsidR="007A4B82" w:rsidRPr="006012B3" w:rsidRDefault="007A4B82" w:rsidP="007A4B82">
      <w:pPr>
        <w:jc w:val="center"/>
        <w:rPr>
          <w:rFonts w:asciiTheme="minorHAnsi" w:hAnsiTheme="minorHAnsi" w:cstheme="minorHAnsi"/>
          <w:b/>
          <w:bCs/>
        </w:rPr>
      </w:pPr>
    </w:p>
    <w:p w14:paraId="474E0F48" w14:textId="05A64A78" w:rsidR="007A4B82" w:rsidRPr="006012B3" w:rsidRDefault="007A4B82" w:rsidP="007A4B82">
      <w:pPr>
        <w:jc w:val="center"/>
        <w:rPr>
          <w:rFonts w:asciiTheme="minorHAnsi" w:hAnsiTheme="minorHAnsi" w:cstheme="minorHAnsi"/>
          <w:b/>
          <w:bCs/>
        </w:rPr>
      </w:pPr>
      <w:r w:rsidRPr="006012B3">
        <w:rPr>
          <w:rFonts w:asciiTheme="minorHAnsi" w:hAnsiTheme="minorHAnsi" w:cstheme="minorHAnsi"/>
          <w:b/>
          <w:bCs/>
        </w:rPr>
        <w:t>Abstra</w:t>
      </w:r>
      <w:r w:rsidR="00B32968">
        <w:rPr>
          <w:rFonts w:asciiTheme="minorHAnsi" w:hAnsiTheme="minorHAnsi" w:cstheme="minorHAnsi"/>
          <w:b/>
          <w:bCs/>
        </w:rPr>
        <w:t>ct</w:t>
      </w:r>
    </w:p>
    <w:p w14:paraId="0CAB5016" w14:textId="049CEFD0" w:rsidR="007A4B82" w:rsidRPr="006012B3" w:rsidRDefault="00BC418B" w:rsidP="00AC185E">
      <w:pPr>
        <w:ind w:left="1418" w:right="1371"/>
        <w:jc w:val="both"/>
        <w:rPr>
          <w:rFonts w:asciiTheme="minorHAnsi" w:hAnsiTheme="minorHAnsi" w:cstheme="minorHAnsi"/>
          <w:sz w:val="22"/>
          <w:szCs w:val="22"/>
        </w:rPr>
      </w:pPr>
      <w:r w:rsidRPr="00BC418B">
        <w:rPr>
          <w:rFonts w:asciiTheme="minorHAnsi" w:hAnsiTheme="minorHAnsi" w:cstheme="minorHAnsi"/>
          <w:sz w:val="22"/>
          <w:szCs w:val="22"/>
          <w:highlight w:val="yellow"/>
        </w:rPr>
        <w:t>Economic growth is the goal of every region in development efforts. However, haphazard development can have a negative impact on environmental aspects, especially global warming.</w:t>
      </w:r>
      <w:r>
        <w:rPr>
          <w:rFonts w:asciiTheme="minorHAnsi" w:hAnsiTheme="minorHAnsi" w:cstheme="minorHAnsi"/>
          <w:sz w:val="22"/>
          <w:szCs w:val="22"/>
        </w:rPr>
        <w:t xml:space="preserve"> </w:t>
      </w:r>
      <w:r w:rsidR="00B32968" w:rsidRPr="00B32968">
        <w:rPr>
          <w:rFonts w:asciiTheme="minorHAnsi" w:hAnsiTheme="minorHAnsi" w:cstheme="minorHAnsi"/>
          <w:sz w:val="22"/>
          <w:szCs w:val="22"/>
        </w:rPr>
        <w:t xml:space="preserve">This study aims to </w:t>
      </w:r>
      <w:proofErr w:type="spellStart"/>
      <w:r w:rsidR="00B32968" w:rsidRPr="00B32968">
        <w:rPr>
          <w:rFonts w:asciiTheme="minorHAnsi" w:hAnsiTheme="minorHAnsi" w:cstheme="minorHAnsi"/>
          <w:sz w:val="22"/>
          <w:szCs w:val="22"/>
        </w:rPr>
        <w:t>analyze</w:t>
      </w:r>
      <w:proofErr w:type="spellEnd"/>
      <w:r w:rsidR="00B32968" w:rsidRPr="00B32968">
        <w:rPr>
          <w:rFonts w:asciiTheme="minorHAnsi" w:hAnsiTheme="minorHAnsi" w:cstheme="minorHAnsi"/>
          <w:sz w:val="22"/>
          <w:szCs w:val="22"/>
        </w:rPr>
        <w:t xml:space="preserve"> the relationship between </w:t>
      </w:r>
      <w:r w:rsidR="00C577A8" w:rsidRPr="00C577A8">
        <w:rPr>
          <w:rFonts w:asciiTheme="minorHAnsi" w:hAnsiTheme="minorHAnsi" w:cstheme="minorHAnsi"/>
          <w:sz w:val="22"/>
          <w:szCs w:val="22"/>
          <w:highlight w:val="yellow"/>
        </w:rPr>
        <w:t>regional</w:t>
      </w:r>
      <w:r w:rsidR="00B32968" w:rsidRPr="00C577A8">
        <w:rPr>
          <w:rFonts w:asciiTheme="minorHAnsi" w:hAnsiTheme="minorHAnsi" w:cstheme="minorHAnsi"/>
          <w:sz w:val="22"/>
          <w:szCs w:val="22"/>
          <w:highlight w:val="yellow"/>
        </w:rPr>
        <w:t xml:space="preserve"> temperature</w:t>
      </w:r>
      <w:r w:rsidR="00B32968" w:rsidRPr="00B32968">
        <w:rPr>
          <w:rFonts w:asciiTheme="minorHAnsi" w:hAnsiTheme="minorHAnsi" w:cstheme="minorHAnsi"/>
          <w:sz w:val="22"/>
          <w:szCs w:val="22"/>
        </w:rPr>
        <w:t xml:space="preserve"> increases and economic growth in various countries </w:t>
      </w:r>
      <w:r w:rsidR="00B32968" w:rsidRPr="00C577A8">
        <w:rPr>
          <w:rFonts w:asciiTheme="minorHAnsi" w:hAnsiTheme="minorHAnsi" w:cstheme="minorHAnsi"/>
          <w:sz w:val="22"/>
          <w:szCs w:val="22"/>
          <w:highlight w:val="yellow"/>
        </w:rPr>
        <w:t xml:space="preserve">using </w:t>
      </w:r>
      <w:r w:rsidR="00C577A8" w:rsidRPr="00C577A8">
        <w:rPr>
          <w:rFonts w:asciiTheme="minorHAnsi" w:hAnsiTheme="minorHAnsi" w:cstheme="minorHAnsi"/>
          <w:sz w:val="22"/>
          <w:szCs w:val="22"/>
          <w:highlight w:val="yellow"/>
        </w:rPr>
        <w:t>Systematic Literature Review (SLR)</w:t>
      </w:r>
      <w:r w:rsidR="00B32968" w:rsidRPr="00C577A8">
        <w:rPr>
          <w:rFonts w:asciiTheme="minorHAnsi" w:hAnsiTheme="minorHAnsi" w:cstheme="minorHAnsi"/>
          <w:sz w:val="22"/>
          <w:szCs w:val="22"/>
          <w:highlight w:val="yellow"/>
        </w:rPr>
        <w:t xml:space="preserve"> based on secondary data</w:t>
      </w:r>
      <w:r w:rsidR="00B32968" w:rsidRPr="00B32968">
        <w:rPr>
          <w:rFonts w:asciiTheme="minorHAnsi" w:hAnsiTheme="minorHAnsi" w:cstheme="minorHAnsi"/>
          <w:sz w:val="22"/>
          <w:szCs w:val="22"/>
        </w:rPr>
        <w:t xml:space="preserve">. The data </w:t>
      </w:r>
      <w:proofErr w:type="spellStart"/>
      <w:r w:rsidR="00B32968" w:rsidRPr="00B32968">
        <w:rPr>
          <w:rFonts w:asciiTheme="minorHAnsi" w:hAnsiTheme="minorHAnsi" w:cstheme="minorHAnsi"/>
          <w:sz w:val="22"/>
          <w:szCs w:val="22"/>
        </w:rPr>
        <w:t>analyzed</w:t>
      </w:r>
      <w:proofErr w:type="spellEnd"/>
      <w:r w:rsidR="00B32968" w:rsidRPr="00B32968">
        <w:rPr>
          <w:rFonts w:asciiTheme="minorHAnsi" w:hAnsiTheme="minorHAnsi" w:cstheme="minorHAnsi"/>
          <w:sz w:val="22"/>
          <w:szCs w:val="22"/>
        </w:rPr>
        <w:t xml:space="preserve"> include the trend of temperature increases per decade and the average annual Gross Domestic Product (GDP) growth of several countries during the period 2010–2019. The results of the analysis show that there is no direct linear correlation between temperature increases and economic growth. Several countries such as China and India continue to record high economic growth despite experiencing significant temperature increases. In contrast, countries with sharply increasing temperatures such as Norway and Greenland actually show lower economic growth. These findings indicate that other factors such as economic structure, government policies, and adaptive capacity to climate change also affect the economic performance of these countries. Therefore, a cross-sectoral approach and evidence-based policies are needed to address the challenges of climate change holistically.</w:t>
      </w:r>
      <w:r>
        <w:rPr>
          <w:rFonts w:asciiTheme="minorHAnsi" w:hAnsiTheme="minorHAnsi" w:cstheme="minorHAnsi"/>
          <w:sz w:val="22"/>
          <w:szCs w:val="22"/>
        </w:rPr>
        <w:t xml:space="preserve"> </w:t>
      </w:r>
      <w:r w:rsidRPr="00BC418B">
        <w:rPr>
          <w:rFonts w:asciiTheme="minorHAnsi" w:hAnsiTheme="minorHAnsi" w:cstheme="minorHAnsi"/>
          <w:sz w:val="22"/>
          <w:szCs w:val="22"/>
          <w:highlight w:val="yellow"/>
        </w:rPr>
        <w:t>The government needs to create regulations in implementing development, especially for business actors, so that short-term and long-term goals can be realized.</w:t>
      </w:r>
    </w:p>
    <w:p w14:paraId="173B77FC" w14:textId="77777777" w:rsidR="001365A7" w:rsidRDefault="001365A7" w:rsidP="00336A09">
      <w:pPr>
        <w:ind w:left="1418" w:right="1371"/>
        <w:jc w:val="both"/>
        <w:rPr>
          <w:rFonts w:asciiTheme="minorHAnsi" w:hAnsiTheme="minorHAnsi" w:cstheme="minorHAnsi"/>
          <w:sz w:val="22"/>
          <w:szCs w:val="22"/>
        </w:rPr>
      </w:pPr>
    </w:p>
    <w:p w14:paraId="01FA205E" w14:textId="3AB6F0AA" w:rsidR="00336A09" w:rsidRPr="006012B3" w:rsidRDefault="00336A09" w:rsidP="00336A09">
      <w:pPr>
        <w:ind w:left="1418" w:right="1371"/>
        <w:jc w:val="both"/>
        <w:rPr>
          <w:rFonts w:asciiTheme="minorHAnsi" w:hAnsiTheme="minorHAnsi" w:cstheme="minorHAnsi"/>
          <w:sz w:val="22"/>
          <w:szCs w:val="22"/>
        </w:rPr>
      </w:pPr>
      <w:r w:rsidRPr="00592CC5">
        <w:rPr>
          <w:rFonts w:asciiTheme="minorHAnsi" w:hAnsiTheme="minorHAnsi" w:cstheme="minorHAnsi"/>
          <w:b/>
          <w:sz w:val="22"/>
          <w:szCs w:val="22"/>
        </w:rPr>
        <w:t>K</w:t>
      </w:r>
      <w:r w:rsidR="00B32968" w:rsidRPr="00592CC5">
        <w:rPr>
          <w:rFonts w:asciiTheme="minorHAnsi" w:hAnsiTheme="minorHAnsi" w:cstheme="minorHAnsi"/>
          <w:b/>
          <w:sz w:val="22"/>
          <w:szCs w:val="22"/>
        </w:rPr>
        <w:t>eywords:</w:t>
      </w:r>
      <w:r w:rsidRPr="006012B3">
        <w:rPr>
          <w:rFonts w:asciiTheme="minorHAnsi" w:hAnsiTheme="minorHAnsi" w:cstheme="minorHAnsi"/>
          <w:sz w:val="22"/>
          <w:szCs w:val="22"/>
        </w:rPr>
        <w:t xml:space="preserve"> </w:t>
      </w:r>
      <w:r w:rsidR="00B32968" w:rsidRPr="00B32968">
        <w:rPr>
          <w:rFonts w:asciiTheme="minorHAnsi" w:hAnsiTheme="minorHAnsi" w:cstheme="minorHAnsi"/>
          <w:sz w:val="22"/>
          <w:szCs w:val="22"/>
        </w:rPr>
        <w:t>climate change, economic growth, global temperature, climate adaptation.</w:t>
      </w:r>
    </w:p>
    <w:p w14:paraId="79599350" w14:textId="77777777" w:rsidR="007A4B82" w:rsidRPr="006012B3" w:rsidRDefault="007A4B82" w:rsidP="008F0A3A">
      <w:pPr>
        <w:rPr>
          <w:rFonts w:asciiTheme="minorHAnsi" w:hAnsiTheme="minorHAnsi" w:cstheme="minorHAnsi"/>
        </w:rPr>
      </w:pPr>
    </w:p>
    <w:p w14:paraId="3C698F7C" w14:textId="77777777" w:rsidR="007A4B82" w:rsidRPr="006012B3" w:rsidRDefault="007A4B82" w:rsidP="008F0A3A">
      <w:pPr>
        <w:rPr>
          <w:rFonts w:asciiTheme="minorHAnsi" w:hAnsiTheme="minorHAnsi" w:cstheme="minorHAnsi"/>
        </w:rPr>
      </w:pPr>
    </w:p>
    <w:p w14:paraId="713C1289" w14:textId="07066AA0" w:rsidR="008F0A3A" w:rsidRPr="006012B3" w:rsidRDefault="0021638B" w:rsidP="008F0A3A">
      <w:pPr>
        <w:pStyle w:val="ListParagraph"/>
        <w:numPr>
          <w:ilvl w:val="0"/>
          <w:numId w:val="2"/>
        </w:numPr>
        <w:ind w:left="284"/>
        <w:rPr>
          <w:rFonts w:cstheme="minorHAnsi"/>
          <w:b/>
          <w:bCs/>
        </w:rPr>
      </w:pPr>
      <w:r w:rsidRPr="0021638B">
        <w:rPr>
          <w:rFonts w:cstheme="minorHAnsi"/>
          <w:b/>
          <w:bCs/>
        </w:rPr>
        <w:t>Introduction</w:t>
      </w:r>
    </w:p>
    <w:p w14:paraId="2B4B75E1" w14:textId="2E7E88D1" w:rsidR="002B63A1" w:rsidRPr="006012B3" w:rsidRDefault="0021638B" w:rsidP="002B63A1">
      <w:pPr>
        <w:pStyle w:val="ListParagraph"/>
        <w:ind w:left="284"/>
        <w:jc w:val="both"/>
        <w:rPr>
          <w:rFonts w:cstheme="minorHAnsi"/>
        </w:rPr>
      </w:pPr>
      <w:r w:rsidRPr="0021638B">
        <w:rPr>
          <w:rFonts w:cstheme="minorHAnsi"/>
        </w:rPr>
        <w:t>Economic growth is one of the main indicators in assessing the success of a region's development, whether on a local, national or global scale.</w:t>
      </w:r>
      <w:r w:rsidR="0053360E">
        <w:rPr>
          <w:rFonts w:cstheme="minorHAnsi"/>
        </w:rPr>
        <w:t xml:space="preserve"> </w:t>
      </w:r>
      <w:r w:rsidR="0053360E" w:rsidRPr="0053360E">
        <w:rPr>
          <w:rStyle w:val="FootnoteReference"/>
          <w:rFonts w:cstheme="minorHAnsi"/>
          <w:color w:val="0070C0"/>
        </w:rPr>
        <w:fldChar w:fldCharType="begin" w:fldLock="1"/>
      </w:r>
      <w:r w:rsidR="0053360E">
        <w:rPr>
          <w:rFonts w:cstheme="minorHAnsi"/>
          <w:color w:val="0070C0"/>
        </w:rPr>
        <w:instrText>ADDIN CSL_CITATION {"citationItems":[{"id":"ITEM-1","itemData":{"ISSN":"2332-2039","author":[{"dropping-particle":"","family":"Spyromitros","given":"Eleftherios","non-dropping-particle":"","parse-names":false,"suffix":""},{"dropping-particle":"","family":"Panagiotidis","given":"Minas","non-dropping-particle":"","parse-names":false,"suffix":""}],"container-title":"Cogent Economics &amp; Finance","id":"ITEM-1","issue":"1","issued":{"date-parts":[["2022"]]},"page":"2129368","publisher":"Taylor &amp; Francis","title":"The impact of corruption on economic growth in developing countries and a comparative analysis of corruption measurement indicators","type":"article-journal","volume":"10"},"uris":["http://www.mendeley.com/documents/?uuid=e6fda6ba-4eb7-4870-99d6-486a128fab93"]},{"id":"ITEM-2","itemData":{"ISSN":"2199-8531","author":[{"dropping-particle":"","family":"Brodny","given":"Jarosław","non-dropping-particle":"","parse-names":false,"suffix":""},{"dropping-particle":"","family":"Tutak","given":"Magdalena","non-dropping-particle":"","parse-names":false,"suffix":""}],"container-title":"Journal of Open Innovation: Technology, Market, and Complexity","id":"ITEM-2","issue":"2","issued":{"date-parts":[["2022"]]},"page":"67","publisher":"MDPI","title":"Digitalization of small and medium-sized enterprises and economic growth: Evidence for the EU-27 countries","type":"article-journal","volume":"8"},"uris":["http://www.mendeley.com/documents/?uuid=a555f05b-6913-490a-82e4-907959867fbb"]},{"id":"ITEM-3","itemData":{"ISSN":"2349-5715","author":[{"dropping-particle":"","family":"Hakimovich","given":"Toshov Mirzabek","non-dropping-particle":"","parse-names":false,"suffix":""}],"container-title":"Ethiopian International Journal of Multidisciplinary Research","id":"ITEM-3","issue":"01","issued":{"date-parts":[["2025"]]},"page":"84-90","title":"PRIORITIES FOR DEEPENING STRUCTURAL CHANGE IN THE ECONOMY","type":"article-journal","volume":"12"},"uris":["http://www.mendeley.com/documents/?uuid=c5fe15b4-4025-417d-8449-08d5f0de4f0c"]}],"mendeley":{"formattedCitation":"(Brodny &amp; Tutak, 2022; Hakimovich, 2025; Spyromitros &amp; Panagiotidis, 2022)","plainTextFormattedCitation":"(Brodny &amp; Tutak, 2022; Hakimovich, 2025; Spyromitros &amp; Panagiotidis, 2022)","previouslyFormattedCitation":"(Brodny &amp; Tutak, 2022; Hakimovich, 2025; Spyromitros &amp; Panagiotidis, 2022)"},"properties":{"noteIndex":0},"schema":"https://github.com/citation-style-language/schema/raw/master/csl-citation.json"}</w:instrText>
      </w:r>
      <w:r w:rsidR="0053360E" w:rsidRPr="0053360E">
        <w:rPr>
          <w:rStyle w:val="FootnoteReference"/>
          <w:rFonts w:cstheme="minorHAnsi"/>
          <w:color w:val="0070C0"/>
        </w:rPr>
        <w:fldChar w:fldCharType="separate"/>
      </w:r>
      <w:r w:rsidR="0053360E" w:rsidRPr="0053360E">
        <w:rPr>
          <w:rFonts w:cstheme="minorHAnsi"/>
          <w:noProof/>
          <w:color w:val="0070C0"/>
        </w:rPr>
        <w:t>(Brodny &amp; Tutak, 2022; Hakimovich, 2025; Spyromitros &amp; Panagiotidis, 2022)</w:t>
      </w:r>
      <w:r w:rsidR="0053360E" w:rsidRPr="0053360E">
        <w:rPr>
          <w:rStyle w:val="FootnoteReference"/>
          <w:rFonts w:cstheme="minorHAnsi"/>
          <w:color w:val="0070C0"/>
        </w:rPr>
        <w:fldChar w:fldCharType="end"/>
      </w:r>
      <w:r w:rsidR="002B63A1" w:rsidRPr="006012B3">
        <w:rPr>
          <w:rFonts w:cstheme="minorHAnsi"/>
        </w:rPr>
        <w:t xml:space="preserve">. </w:t>
      </w:r>
      <w:r w:rsidRPr="0021638B">
        <w:rPr>
          <w:rFonts w:cstheme="minorHAnsi"/>
        </w:rPr>
        <w:t>Therefore, most countries set economic growth as a strategic target in their medium-term and long-term development planning. However, achieving this target is often done through intensification of natural resource utilization, expansion of built-up areas, and increased industrial activities that have a direct impact on the environment, including the local climate system.</w:t>
      </w:r>
      <w:r w:rsidR="0053360E">
        <w:rPr>
          <w:rFonts w:cstheme="minorHAnsi"/>
        </w:rPr>
        <w:t xml:space="preserve"> </w:t>
      </w:r>
      <w:r w:rsidR="0053360E" w:rsidRPr="0053360E">
        <w:rPr>
          <w:rFonts w:cstheme="minorHAnsi"/>
          <w:color w:val="0070C0"/>
        </w:rPr>
        <w:fldChar w:fldCharType="begin" w:fldLock="1"/>
      </w:r>
      <w:r w:rsidR="0066520D">
        <w:rPr>
          <w:rFonts w:cstheme="minorHAnsi"/>
          <w:color w:val="0070C0"/>
        </w:rPr>
        <w:instrText>ADDIN CSL_CITATION {"citationItems":[{"id":"ITEM-1","itemData":{"ISSN":"0177-798X","author":[{"dropping-particle":"","family":"Fariha","given":"Jannatun Nahar","non-dropping-particle":"","parse-names":false,"suffix":""},{"dropping-particle":"","family":"Miah","given":"Md Tanvir","non-dropping-particle":"","parse-names":false,"suffix":""},{"dropping-particle":"","family":"Limon","given":"Zamil Ahamed","non-dropping-particle":"","parse-names":false,"suffix":""},{"dropping-particle":"","family":"Alsulamy","given":"Saleh","non-dropping-particle":"","parse-names":false,"suffix":""},{"dropping-particle":"Al","family":"Kafy","given":"Abdulla","non-dropping-particle":"","parse-names":false,"suffix":""},{"dropping-particle":"","family":"Rahman","given":"S K Nafiz","non-dropping-particle":"","parse-names":false,"suffix":""}],"container-title":"Theoretical and Applied Climatology","id":"ITEM-1","issue":"7","issued":{"date-parts":[["2024"]]},"page":"6307-6349","publisher":"Springer","title":"Quantifying spatial dynamics of urban sprawl for climate resilience sustainable natural resource management by utilizing geostatistical and remote sensing techniques","type":"article-journal","volume":"155"},"uris":["http://www.mendeley.com/documents/?uuid=612faad8-fd9e-45f9-8d1e-e64e505dfa0e"]},{"id":"ITEM-2","itemData":{"ISSN":"0944-1344","author":[{"dropping-particle":"","family":"Yousafzai","given":"Saba","non-dropping-particle":"","parse-names":false,"suffix":""},{"dropping-particle":"","family":"Saeed","given":"Rashid","non-dropping-particle":"","parse-names":false,"suffix":""},{"dropping-particle":"","family":"Rahman","given":"Ghani","non-dropping-particle":"","parse-names":false,"suffix":""},{"dropping-particle":"","family":"Farish","given":"Sidra","non-dropping-particle":"","parse-names":false,"suffix":""}],"container-title":"Environmental science and pollution research","id":"ITEM-2","issue":"54","issued":{"date-parts":[["2022"]]},"page":"81337-81350","publisher":"Springer","title":"Spatio-temporal assessment of land use dynamics and urbanization: linking with environmental aspects and DPSIR framework approach","type":"article-journal","volume":"29"},"uris":["http://www.mendeley.com/documents/?uuid=4d28e8cf-0fef-4ca2-8344-f539cbdc95d0"]},{"id":"ITEM-3","itemData":{"ISSN":"0959-6526","author":[{"dropping-particle":"","family":"Jiang","given":"Huiping","non-dropping-particle":"","parse-names":false,"suffix":""},{"dropping-particle":"","family":"Guo","given":"Huadong","non-dropping-particle":"","parse-names":false,"suffix":""},{"dropping-particle":"","family":"Sun","given":"Zhongchang","non-dropping-particle":"","parse-names":false,"suffix":""},{"dropping-particle":"","family":"Xing","given":"Qiang","non-dropping-particle":"","parse-names":false,"suffix":""},{"dropping-particle":"","family":"Zhang","given":"Hongsheng","non-dropping-particle":"","parse-names":false,"suffix":""},{"dropping-particle":"","family":"Ma","given":"Yuanxu","non-dropping-particle":"","parse-names":false,"suffix":""},{"dropping-particle":"","family":"Li","given":"Sijia","non-dropping-particle":"","parse-names":false,"suffix":""}],"container-title":"Journal of Cleaner Production","id":"ITEM-3","issued":{"date-parts":[["2022"]]},"page":"133086","publisher":"Elsevier","title":"Projections of urban built-up area expansion and urbanization sustainability in China's cities through 2030","type":"article-journal","volume":"367"},"uris":["http://www.mendeley.com/documents/?uuid=bcbe4c12-96e0-4c60-8722-44b57c3edd8a"]}],"mendeley":{"formattedCitation":"(Fariha et al., 2024; Jiang et al., 2022; Yousafzai et al., 2022)","plainTextFormattedCitation":"(Fariha et al., 2024; Jiang et al., 2022; Yousafzai et al., 2022)","previouslyFormattedCitation":"(Fariha et al., 2024; Jiang et al., 2022; Yousafzai et al., 2022)"},"properties":{"noteIndex":0},"schema":"https://github.com/citation-style-language/schema/raw/master/csl-citation.json"}</w:instrText>
      </w:r>
      <w:r w:rsidR="0053360E" w:rsidRPr="0053360E">
        <w:rPr>
          <w:rFonts w:cstheme="minorHAnsi"/>
          <w:color w:val="0070C0"/>
        </w:rPr>
        <w:fldChar w:fldCharType="separate"/>
      </w:r>
      <w:r w:rsidR="0053360E" w:rsidRPr="0053360E">
        <w:rPr>
          <w:rFonts w:cstheme="minorHAnsi"/>
          <w:noProof/>
          <w:color w:val="0070C0"/>
        </w:rPr>
        <w:t>(Fariha et al., 2024; Jiang et al., 2022; Yousafzai et al., 2022)</w:t>
      </w:r>
      <w:r w:rsidR="0053360E" w:rsidRPr="0053360E">
        <w:rPr>
          <w:rFonts w:cstheme="minorHAnsi"/>
          <w:color w:val="0070C0"/>
        </w:rPr>
        <w:fldChar w:fldCharType="end"/>
      </w:r>
      <w:r w:rsidR="002B63A1" w:rsidRPr="006012B3">
        <w:rPr>
          <w:rFonts w:cstheme="minorHAnsi"/>
        </w:rPr>
        <w:t>.</w:t>
      </w:r>
    </w:p>
    <w:p w14:paraId="08F60C36" w14:textId="77777777" w:rsidR="002B63A1" w:rsidRPr="006012B3" w:rsidRDefault="002B63A1" w:rsidP="002B63A1">
      <w:pPr>
        <w:pStyle w:val="ListParagraph"/>
        <w:ind w:left="284"/>
        <w:jc w:val="both"/>
        <w:rPr>
          <w:rFonts w:cstheme="minorHAnsi"/>
        </w:rPr>
      </w:pPr>
    </w:p>
    <w:p w14:paraId="353B3058" w14:textId="56AD539B" w:rsidR="002259B8" w:rsidRPr="006012B3" w:rsidRDefault="0021638B" w:rsidP="002B63A1">
      <w:pPr>
        <w:pStyle w:val="ListParagraph"/>
        <w:ind w:left="284"/>
        <w:jc w:val="both"/>
        <w:rPr>
          <w:rFonts w:cstheme="minorHAnsi"/>
        </w:rPr>
      </w:pPr>
      <w:r w:rsidRPr="0021638B">
        <w:rPr>
          <w:rFonts w:cstheme="minorHAnsi"/>
        </w:rPr>
        <w:t>In the last decade, a number of studies have shown that economic growth that is not accompanied by a sustainable development approach has the potential to accelerate environmental degradation and trigger an increase in global and regional temperatures</w:t>
      </w:r>
      <w:r w:rsidR="0066520D">
        <w:rPr>
          <w:rFonts w:cstheme="minorHAnsi"/>
        </w:rPr>
        <w:t xml:space="preserve"> </w:t>
      </w:r>
      <w:r w:rsidR="0066520D" w:rsidRPr="0066520D">
        <w:rPr>
          <w:rFonts w:cstheme="minorHAnsi"/>
          <w:color w:val="0070C0"/>
        </w:rPr>
        <w:fldChar w:fldCharType="begin" w:fldLock="1"/>
      </w:r>
      <w:r w:rsidR="00341847">
        <w:rPr>
          <w:rFonts w:cstheme="minorHAnsi"/>
          <w:color w:val="0070C0"/>
        </w:rPr>
        <w:instrText>ADDIN CSL_CITATION {"citationItems":[{"id":"ITEM-1","itemData":{"ISSN":"2071-1050","author":[{"dropping-particle":"","family":"Hariram","given":"N P","non-dropping-particle":"","parse-names":false,"suffix":""},{"dropping-particle":"","family":"Mekha","given":"K B","non-dropping-particle":"","parse-names":false,"suffix":""},{"dropping-particle":"","family":"Suganthan","given":"Vipinraj","non-dropping-particle":"","parse-names":false,"suffix":""},{"dropping-particle":"","family":"Sudhakar","given":"K","non-dropping-particle":"","parse-names":false,"suffix":""}],"container-title":"Sustainability","id":"ITEM-1","issue":"13","issued":{"date-parts":[["2023"]]},"page":"10682","publisher":"MDPI","title":"Sustainalism: An integrated socio-economic-environmental model to address sustainable development and sustainability","type":"article-journal","volume":"15"},"uris":["http://www.mendeley.com/documents/?uuid=bbb0d2e7-1995-48e2-9976-bf60cf324b00"]},{"id":"ITEM-2","itemData":{"ISSN":"0360-5442","author":[{"dropping-particle":"","family":"Usman","given":"Muhammad","non-dropping-particle":"","parse-names":false,"suffix":""},{"dropping-particle":"","family":"Jahanger","given":"Atif","non-dropping-particle":"","parse-names":false,"suffix":""},{"dropping-particle":"","family":"Makhdum","given":"Muhammad Sohail Amjad","non-dropping-particle":"","parse-names":false,"suffix":""},{"dropping-particle":"","family":"Balsalobre-Lorente","given":"Daniel","non-dropping-particle":"","parse-names":false,"suffix":""},{"dropping-particle":"","family":"Bashir","given":"Adnan","non-dropping-particle":"","parse-names":false,"suffix":""}],"container-title":"Energy","id":"ITEM-2","issued":{"date-parts":[["2022"]]},"page":"122515","publisher":"Elsevier","title":"How do financial development, energy consumption, natural resources, and globalization affect Arctic countries' economic growth and environmental quality? An advanced panel data simulation","type":"article-journal","volume":"241"},"uris":["http://www.mendeley.com/documents/?uuid=5c2ea4f1-fee9-4b2d-a22b-12f17409005f"]}],"mendeley":{"formattedCitation":"(Hariram et al., 2023; Usman et al., 2022)","plainTextFormattedCitation":"(Hariram et al., 2023; Usman et al., 2022)","previouslyFormattedCitation":"(Hariram et al., 2023; Usman et al., 2022)"},"properties":{"noteIndex":0},"schema":"https://github.com/citation-style-language/schema/raw/master/csl-citation.json"}</w:instrText>
      </w:r>
      <w:r w:rsidR="0066520D" w:rsidRPr="0066520D">
        <w:rPr>
          <w:rFonts w:cstheme="minorHAnsi"/>
          <w:color w:val="0070C0"/>
        </w:rPr>
        <w:fldChar w:fldCharType="separate"/>
      </w:r>
      <w:r w:rsidR="0066520D" w:rsidRPr="0066520D">
        <w:rPr>
          <w:rFonts w:cstheme="minorHAnsi"/>
          <w:noProof/>
          <w:color w:val="0070C0"/>
        </w:rPr>
        <w:t>(Hariram et al., 2023; Usman et al., 2022)</w:t>
      </w:r>
      <w:r w:rsidR="0066520D" w:rsidRPr="0066520D">
        <w:rPr>
          <w:rFonts w:cstheme="minorHAnsi"/>
          <w:color w:val="0070C0"/>
        </w:rPr>
        <w:fldChar w:fldCharType="end"/>
      </w:r>
      <w:r w:rsidR="002B63A1" w:rsidRPr="006012B3">
        <w:rPr>
          <w:rFonts w:cstheme="minorHAnsi"/>
        </w:rPr>
        <w:t xml:space="preserve">. </w:t>
      </w:r>
      <w:r w:rsidRPr="0021638B">
        <w:rPr>
          <w:rFonts w:cstheme="minorHAnsi"/>
        </w:rPr>
        <w:t>This pattern indirectly creates a paradox: on the one hand, economic growth is needed to reduce poverty and improve the quality of life, but on the other hand it can worsen regional vulnerability to climate change if it is not controlled by adaptive ecological policies.</w:t>
      </w:r>
    </w:p>
    <w:p w14:paraId="69249741" w14:textId="77777777" w:rsidR="002B63A1" w:rsidRPr="006012B3" w:rsidRDefault="002B63A1" w:rsidP="002B63A1">
      <w:pPr>
        <w:pStyle w:val="ListParagraph"/>
        <w:ind w:left="284"/>
        <w:jc w:val="both"/>
        <w:rPr>
          <w:rFonts w:cstheme="minorHAnsi"/>
        </w:rPr>
      </w:pPr>
    </w:p>
    <w:p w14:paraId="5CB0A96A" w14:textId="37C43AE0" w:rsidR="002B63A1" w:rsidRPr="006012B3" w:rsidRDefault="0021638B" w:rsidP="002B63A1">
      <w:pPr>
        <w:pStyle w:val="ListParagraph"/>
        <w:ind w:left="284"/>
        <w:jc w:val="both"/>
        <w:rPr>
          <w:rFonts w:cstheme="minorHAnsi"/>
        </w:rPr>
      </w:pPr>
      <w:r w:rsidRPr="0021638B">
        <w:rPr>
          <w:rFonts w:cstheme="minorHAnsi"/>
        </w:rPr>
        <w:lastRenderedPageBreak/>
        <w:t>Intensive economic activities, such as industrialization, infrastructure development, and expansion of residential areas, drive increased productivity and social mobility. However, behind the optimism about this growth, there are often overlooked ecological consequences. One of them is environmental changes that lead to regional warming or local increases in surface temperatures.</w:t>
      </w:r>
    </w:p>
    <w:p w14:paraId="006027CB" w14:textId="77777777" w:rsidR="002B63A1" w:rsidRPr="006012B3" w:rsidRDefault="002B63A1" w:rsidP="002B63A1">
      <w:pPr>
        <w:pStyle w:val="ListParagraph"/>
        <w:ind w:left="284"/>
        <w:jc w:val="both"/>
        <w:rPr>
          <w:rFonts w:cstheme="minorHAnsi"/>
        </w:rPr>
      </w:pPr>
    </w:p>
    <w:p w14:paraId="03E359E3" w14:textId="2D5846AF" w:rsidR="002B63A1" w:rsidRPr="006012B3" w:rsidRDefault="0021638B" w:rsidP="002B63A1">
      <w:pPr>
        <w:pStyle w:val="ListParagraph"/>
        <w:ind w:left="284"/>
        <w:jc w:val="both"/>
        <w:rPr>
          <w:rFonts w:cstheme="minorHAnsi"/>
        </w:rPr>
      </w:pPr>
      <w:r w:rsidRPr="0021638B">
        <w:rPr>
          <w:rFonts w:cstheme="minorHAnsi"/>
        </w:rPr>
        <w:t>This phenomenon of regional warming occurs due to drastic changes in land use and land cover, especially in rapidly developing urban areas. Natural vegetation that was previously able to absorb heat and maintain air humidity is replaced by artificial surfaces such as asphalt, concrete, and high-rise buildings that have high heat capacity and low albedo. As a result, surface temperatures increase significantly, triggering the Urban Heat Island (UHI) effect which not only disrupts thermal comfort but also increases energy consumption and health risks</w:t>
      </w:r>
      <w:r w:rsidR="00341847">
        <w:rPr>
          <w:rFonts w:cstheme="minorHAnsi"/>
        </w:rPr>
        <w:t xml:space="preserve"> </w:t>
      </w:r>
      <w:r w:rsidR="00341847" w:rsidRPr="00341847">
        <w:rPr>
          <w:rFonts w:cstheme="minorHAnsi"/>
          <w:color w:val="0070C0"/>
        </w:rPr>
        <w:fldChar w:fldCharType="begin" w:fldLock="1"/>
      </w:r>
      <w:r w:rsidR="00341847">
        <w:rPr>
          <w:rFonts w:cstheme="minorHAnsi"/>
          <w:color w:val="0070C0"/>
        </w:rPr>
        <w:instrText>ADDIN CSL_CITATION {"citationItems":[{"id":"ITEM-1","itemData":{"ISBN":"1755-1315","author":[{"dropping-particle":"","family":"Fadhil","given":"Mohammed","non-dropping-particle":"","parse-names":false,"suffix":""},{"dropping-particle":"","family":"Hamoodi","given":"Mustafa N","non-dropping-particle":"","parse-names":false,"suffix":""},{"dropping-particle":"","family":"Ziboon","given":"Abdul Razzak T","non-dropping-particle":"","parse-names":false,"suffix":""}],"container-title":"IOP Conference Series: Earth and Environmental Science","id":"ITEM-1","issue":"1","issued":{"date-parts":[["2023"]]},"page":"12025","publisher":"IOP Publishing","title":"Mitigating urban heat island effects in urban environments: strategies and tools","type":"paper-conference","volume":"1129"},"uris":["http://www.mendeley.com/documents/?uuid=5a0c72bc-09ad-4564-acf3-f5d351af6c1b"]},{"id":"ITEM-2","itemData":{"ISSN":"2075-5309","author":[{"dropping-particle":"","family":"Ren","given":"Jianlin","non-dropping-particle":"","parse-names":false,"suffix":""},{"dropping-particle":"","family":"Shi","given":"Kaizhe","non-dropping-particle":"","parse-names":false,"suffix":""},{"dropping-particle":"","family":"Li","given":"Zhe","non-dropping-particle":"","parse-names":false,"suffix":""},{"dropping-particle":"","family":"Kong","given":"Xiangfei","non-dropping-particle":"","parse-names":false,"suffix":""},{"dropping-particle":"","family":"Zhou","given":"Haizhu","non-dropping-particle":"","parse-names":false,"suffix":""}],"container-title":"Buildings","id":"ITEM-2","issue":"6","issued":{"date-parts":[["2023"]]},"page":"1368","publisher":"MDPI","title":"A review on the impacts of urban heat islands on outdoor thermal comfort","type":"article-journal","volume":"13"},"uris":["http://www.mendeley.com/documents/?uuid=2aef4894-65d2-4eec-a26d-2f5873b80711"]},{"id":"ITEM-3","itemData":{"ISSN":"0378-7788","author":[{"dropping-particle":"","family":"Gonzalez-Trevizo","given":"M E","non-dropping-particle":"","parse-names":false,"suffix":""},{"dropping-particle":"","family":"Martinez-Torres","given":"K E","non-dropping-particle":"","parse-names":false,"suffix":""},{"dropping-particle":"","family":"Armendariz-Lopez","given":"J F","non-dropping-particle":"","parse-names":false,"suffix":""},{"dropping-particle":"","family":"Santamouris","given":"M","non-dropping-particle":"","parse-names":false,"suffix":""},{"dropping-particle":"","family":"Bojorquez-Morales","given":"G","non-dropping-particle":"","parse-names":false,"suffix":""},{"dropping-particle":"","family":"Luna-Leon","given":"A","non-dropping-particle":"","parse-names":false,"suffix":""}],"container-title":"Energy and Buildings","id":"ITEM-3","issued":{"date-parts":[["2021"]]},"page":"111051","publisher":"Elsevier","title":"Research trends on environmental, energy and vulnerability impacts of Urban Heat Islands: An overview","type":"article-journal","volume":"246"},"uris":["http://www.mendeley.com/documents/?uuid=c4529b34-f27a-4da6-b811-9366fe0f2e35"]}],"mendeley":{"formattedCitation":"(Fadhil et al., 2023; Gonzalez-Trevizo et al., 2021; Ren et al., 2023)","plainTextFormattedCitation":"(Fadhil et al., 2023; Gonzalez-Trevizo et al., 2021; Ren et al., 2023)","previouslyFormattedCitation":"(Fadhil et al., 2023; Gonzalez-Trevizo et al., 2021; Ren et al., 2023)"},"properties":{"noteIndex":0},"schema":"https://github.com/citation-style-language/schema/raw/master/csl-citation.json"}</w:instrText>
      </w:r>
      <w:r w:rsidR="00341847" w:rsidRPr="00341847">
        <w:rPr>
          <w:rFonts w:cstheme="minorHAnsi"/>
          <w:color w:val="0070C0"/>
        </w:rPr>
        <w:fldChar w:fldCharType="separate"/>
      </w:r>
      <w:r w:rsidR="00341847" w:rsidRPr="00341847">
        <w:rPr>
          <w:rFonts w:cstheme="minorHAnsi"/>
          <w:noProof/>
          <w:color w:val="0070C0"/>
        </w:rPr>
        <w:t>(Fadhil et al., 2023; Gonzalez-Trevizo et al., 2021; Ren et al., 2023)</w:t>
      </w:r>
      <w:r w:rsidR="00341847" w:rsidRPr="00341847">
        <w:rPr>
          <w:rFonts w:cstheme="minorHAnsi"/>
          <w:color w:val="0070C0"/>
        </w:rPr>
        <w:fldChar w:fldCharType="end"/>
      </w:r>
      <w:r w:rsidR="002B63A1" w:rsidRPr="006012B3">
        <w:rPr>
          <w:rFonts w:cstheme="minorHAnsi"/>
        </w:rPr>
        <w:t>.</w:t>
      </w:r>
    </w:p>
    <w:p w14:paraId="43FC035A" w14:textId="77777777" w:rsidR="002B63A1" w:rsidRPr="006012B3" w:rsidRDefault="002B63A1" w:rsidP="002B63A1">
      <w:pPr>
        <w:pStyle w:val="ListParagraph"/>
        <w:ind w:left="284"/>
        <w:jc w:val="both"/>
        <w:rPr>
          <w:rFonts w:cstheme="minorHAnsi"/>
        </w:rPr>
      </w:pPr>
    </w:p>
    <w:p w14:paraId="584CF1E3" w14:textId="2B9AF7F2" w:rsidR="002B63A1" w:rsidRPr="006012B3" w:rsidRDefault="0021638B" w:rsidP="002B63A1">
      <w:pPr>
        <w:pStyle w:val="ListParagraph"/>
        <w:ind w:left="284"/>
        <w:jc w:val="both"/>
        <w:rPr>
          <w:rFonts w:cstheme="minorHAnsi"/>
        </w:rPr>
      </w:pPr>
      <w:r w:rsidRPr="0021638B">
        <w:rPr>
          <w:rFonts w:cstheme="minorHAnsi"/>
        </w:rPr>
        <w:t>Regional warming is an issue that is currently in the global spotlight, reflecting the concerns of the scientific community and policymakers about the real impacts of climate change at the local scale. While the discourse of global warming has long been a concern, regional warming—the increase in temperature in a specific area due to human intervention and land-use change—reveals new complexities in environmental dynamics. This phenomenon is not just a macroclimate symptom, but also a product of unsustainable development patterns at the local level.</w:t>
      </w:r>
    </w:p>
    <w:p w14:paraId="1AE87F2A" w14:textId="77777777" w:rsidR="002B63A1" w:rsidRPr="006012B3" w:rsidRDefault="002B63A1" w:rsidP="002B63A1">
      <w:pPr>
        <w:pStyle w:val="ListParagraph"/>
        <w:ind w:left="284"/>
        <w:jc w:val="both"/>
        <w:rPr>
          <w:rFonts w:cstheme="minorHAnsi"/>
        </w:rPr>
      </w:pPr>
    </w:p>
    <w:p w14:paraId="64631EBC" w14:textId="4FAE76AA" w:rsidR="002B63A1" w:rsidRPr="006012B3" w:rsidRDefault="0021638B" w:rsidP="002B63A1">
      <w:pPr>
        <w:pStyle w:val="ListParagraph"/>
        <w:ind w:left="284"/>
        <w:jc w:val="both"/>
        <w:rPr>
          <w:rFonts w:cstheme="minorHAnsi"/>
        </w:rPr>
      </w:pPr>
      <w:r w:rsidRPr="0021638B">
        <w:rPr>
          <w:rFonts w:cstheme="minorHAnsi"/>
        </w:rPr>
        <w:t>This issue is increasingly relevant considering that many areas, especially urban and peri-urban areas, have experienced significant temperature increases in the last two decades. Satellite data, surface observations, and spatial analysis show a consistent warming trend, in line with the rapid conversion of green areas to built-up areas. The impacts are not only felt in the form of thermal discomfort, but also affect public health, ecosystem stability, and the performance of vital sectors such as agriculture and energy</w:t>
      </w:r>
      <w:r w:rsidR="00341847">
        <w:rPr>
          <w:rFonts w:cstheme="minorHAnsi"/>
        </w:rPr>
        <w:t xml:space="preserve"> </w:t>
      </w:r>
      <w:r w:rsidR="00341847" w:rsidRPr="00341847">
        <w:rPr>
          <w:rFonts w:cstheme="minorHAnsi"/>
          <w:color w:val="0070C0"/>
        </w:rPr>
        <w:fldChar w:fldCharType="begin" w:fldLock="1"/>
      </w:r>
      <w:r w:rsidR="001628ED">
        <w:rPr>
          <w:rFonts w:cstheme="minorHAnsi"/>
          <w:color w:val="0070C0"/>
        </w:rPr>
        <w:instrText>ADDIN CSL_CITATION {"citationItems":[{"id":"ITEM-1","itemData":{"author":[{"dropping-particle":"","family":"Mariappan","given":"Sankar","non-dropping-particle":"","parse-names":false,"suffix":""},{"dropping-particle":"","family":"David Raj","given":"Anu","non-dropping-particle":"","parse-names":false,"suffix":""},{"dropping-particle":"","family":"Kumar","given":"Suresh","non-dropping-particle":"","parse-names":false,"suffix":""},{"dropping-particle":"","family":"Chatterjee","given":"Uday","non-dropping-particle":"","parse-names":false,"suffix":""}],"container-title":"Ecological footprints of climate change: Adaptive approaches and sustainability","id":"ITEM-1","issued":{"date-parts":[["2023"]]},"page":"63-93","publisher":"Springer","title":"Global warming impacts on the environment in the last century","type":"chapter"},"uris":["http://www.mendeley.com/documents/?uuid=401311a2-467f-4a34-b203-b8f32ffa42c6"]},{"id":"ITEM-2","itemData":{"author":[{"dropping-particle":"","family":"Raihan","given":"Asif","non-dropping-particle":"","parse-names":false,"suffix":""}],"container-title":"Journal of Environmental Science and Economics","id":"ITEM-2","issue":"3","issued":{"date-parts":[["2023"]]},"page":"36-58","title":"A review of the global climate change impacts, adaptation strategies, and mitigation options in the socio-economic and environmental sectors","type":"article-journal","volume":"2"},"uris":["http://www.mendeley.com/documents/?uuid=a715a22b-a26b-4476-91af-7a0e001783a7"]},{"id":"ITEM-3","itemData":{"ISSN":"0944-1344","author":[{"dropping-particle":"","family":"Abbass","given":"Kashif","non-dropping-particle":"","parse-names":false,"suffix":""},{"dropping-particle":"","family":"Qasim","given":"Muhammad Zeeshan","non-dropping-particle":"","parse-names":false,"suffix":""},{"dropping-particle":"","family":"Song","given":"Huaming","non-dropping-particle":"","parse-names":false,"suffix":""},{"dropping-particle":"","family":"Murshed","given":"Muntasir","non-dropping-particle":"","parse-names":false,"suffix":""},{"dropping-particle":"","family":"Mahmood","given":"Haider","non-dropping-particle":"","parse-names":false,"suffix":""},{"dropping-particle":"","family":"Younis","given":"Ijaz","non-dropping-particle":"","parse-names":false,"suffix":""}],"container-title":"Environmental Science and Pollution Research","id":"ITEM-3","issue":"28","issued":{"date-parts":[["2022"]]},"page":"42539-42559","publisher":"Springer","title":"A review of the global climate change impacts, adaptation, and sustainable mitigation measures","type":"article-journal","volume":"29"},"uris":["http://www.mendeley.com/documents/?uuid=3a85fc6d-2eea-4e1d-bad3-aa3bc681b28d"]}],"mendeley":{"formattedCitation":"(Abbass et al., 2022; Mariappan et al., 2023; Raihan, 2023)","plainTextFormattedCitation":"(Abbass et al., 2022; Mariappan et al., 2023; Raihan, 2023)","previouslyFormattedCitation":"(Abbass et al., 2022; Mariappan et al., 2023; Raihan, 2023)"},"properties":{"noteIndex":0},"schema":"https://github.com/citation-style-language/schema/raw/master/csl-citation.json"}</w:instrText>
      </w:r>
      <w:r w:rsidR="00341847" w:rsidRPr="00341847">
        <w:rPr>
          <w:rFonts w:cstheme="minorHAnsi"/>
          <w:color w:val="0070C0"/>
        </w:rPr>
        <w:fldChar w:fldCharType="separate"/>
      </w:r>
      <w:r w:rsidR="00341847" w:rsidRPr="00341847">
        <w:rPr>
          <w:rFonts w:cstheme="minorHAnsi"/>
          <w:noProof/>
          <w:color w:val="0070C0"/>
        </w:rPr>
        <w:t>(Abbass et al., 2022; Mariappan et al., 2023; Raihan, 2023)</w:t>
      </w:r>
      <w:r w:rsidR="00341847" w:rsidRPr="00341847">
        <w:rPr>
          <w:rFonts w:cstheme="minorHAnsi"/>
          <w:color w:val="0070C0"/>
        </w:rPr>
        <w:fldChar w:fldCharType="end"/>
      </w:r>
      <w:r w:rsidR="002B63A1" w:rsidRPr="006012B3">
        <w:rPr>
          <w:rFonts w:cstheme="minorHAnsi"/>
        </w:rPr>
        <w:t>.</w:t>
      </w:r>
    </w:p>
    <w:p w14:paraId="499F0024" w14:textId="77777777" w:rsidR="002B63A1" w:rsidRPr="006012B3" w:rsidRDefault="002B63A1" w:rsidP="002B63A1">
      <w:pPr>
        <w:pStyle w:val="ListParagraph"/>
        <w:ind w:left="284"/>
        <w:jc w:val="both"/>
        <w:rPr>
          <w:rFonts w:cstheme="minorHAnsi"/>
        </w:rPr>
      </w:pPr>
    </w:p>
    <w:p w14:paraId="73D549DB" w14:textId="597D85B2" w:rsidR="002B63A1" w:rsidRPr="006012B3" w:rsidRDefault="0021638B" w:rsidP="002B63A1">
      <w:pPr>
        <w:pStyle w:val="ListParagraph"/>
        <w:ind w:left="284"/>
        <w:jc w:val="both"/>
        <w:rPr>
          <w:rFonts w:cstheme="minorHAnsi"/>
        </w:rPr>
      </w:pPr>
      <w:r w:rsidRPr="0021638B">
        <w:rPr>
          <w:rFonts w:cstheme="minorHAnsi"/>
        </w:rPr>
        <w:t>There have been many studies that review the relationship between development and regional warming using inferential analysis</w:t>
      </w:r>
      <w:r w:rsidR="001628ED">
        <w:rPr>
          <w:rFonts w:cstheme="minorHAnsi"/>
        </w:rPr>
        <w:t xml:space="preserve"> </w:t>
      </w:r>
      <w:r w:rsidR="001628ED" w:rsidRPr="001628ED">
        <w:rPr>
          <w:rFonts w:cstheme="minorHAnsi"/>
          <w:color w:val="0070C0"/>
        </w:rPr>
        <w:fldChar w:fldCharType="begin" w:fldLock="1"/>
      </w:r>
      <w:r w:rsidR="001628ED">
        <w:rPr>
          <w:rFonts w:cstheme="minorHAnsi"/>
          <w:color w:val="0070C0"/>
        </w:rPr>
        <w:instrText>ADDIN CSL_CITATION {"citationItems":[{"id":"ITEM-1","itemData":{"ISSN":"0959-6526","author":[{"dropping-particle":"","family":"Chandio","given":"Abbas Ali","non-dropping-particle":"","parse-names":false,"suffix":""},{"dropping-particle":"","family":"Jiang","given":"Yuansheng","non-dropping-particle":"","parse-names":false,"suffix":""},{"dropping-particle":"","family":"Akram","given":"Waqar","non-dropping-particle":"","parse-names":false,"suffix":""},{"dropping-particle":"","family":"Adeel","given":"Sultan","non-dropping-particle":"","parse-names":false,"suffix":""},{"dropping-particle":"","family":"Irfan","given":"Muhammad","non-dropping-particle":"","parse-names":false,"suffix":""},{"dropping-particle":"","family":"Jan","given":"Inayatullah","non-dropping-particle":"","parse-names":false,"suffix":""}],"container-title":"Journal of Cleaner Production","id":"ITEM-1","issued":{"date-parts":[["2021"]]},"page":"125637","publisher":"Elsevier","title":"Addressing the effect of climate change in the framework of financial and technological development on cereal production in Pakistan","type":"article-journal","volume":"288"},"uris":["http://www.mendeley.com/documents/?uuid=0f0fa18b-eb23-444d-b877-2b54c9ef71ea"]},{"id":"ITEM-2","itemData":{"ISSN":"0027-8424","author":[{"dropping-particle":"","family":"Ceppi","given":"Paulo","non-dropping-particle":"","parse-names":false,"suffix":""},{"dropping-particle":"","family":"Nowack","given":"Peer","non-dropping-particle":"","parse-names":false,"suffix":""}],"container-title":"Proceedings of the National Academy of Sciences","id":"ITEM-2","issue":"30","issued":{"date-parts":[["2021"]]},"page":"e2026290118","publisher":"National Academy of Sciences","title":"Observational evidence that cloud feedback amplifies global warming","type":"article-journal","volume":"118"},"uris":["http://www.mendeley.com/documents/?uuid=2aa9659a-1784-44bf-9118-23e58b6fa58b"]}],"mendeley":{"formattedCitation":"(Ceppi &amp; Nowack, 2021; Chandio et al., 2021)","plainTextFormattedCitation":"(Ceppi &amp; Nowack, 2021; Chandio et al., 2021)","previouslyFormattedCitation":"(Ceppi &amp; Nowack, 2021; Chandio et al., 2021)"},"properties":{"noteIndex":0},"schema":"https://github.com/citation-style-language/schema/raw/master/csl-citation.json"}</w:instrText>
      </w:r>
      <w:r w:rsidR="001628ED" w:rsidRPr="001628ED">
        <w:rPr>
          <w:rFonts w:cstheme="minorHAnsi"/>
          <w:color w:val="0070C0"/>
        </w:rPr>
        <w:fldChar w:fldCharType="separate"/>
      </w:r>
      <w:r w:rsidR="001628ED" w:rsidRPr="001628ED">
        <w:rPr>
          <w:rFonts w:cstheme="minorHAnsi"/>
          <w:noProof/>
          <w:color w:val="0070C0"/>
        </w:rPr>
        <w:t>(Ceppi &amp; Nowack, 2021; Chandio et al., 2021)</w:t>
      </w:r>
      <w:r w:rsidR="001628ED" w:rsidRPr="001628ED">
        <w:rPr>
          <w:rFonts w:cstheme="minorHAnsi"/>
          <w:color w:val="0070C0"/>
        </w:rPr>
        <w:fldChar w:fldCharType="end"/>
      </w:r>
      <w:r w:rsidR="00341847">
        <w:rPr>
          <w:rFonts w:cstheme="minorHAnsi"/>
        </w:rPr>
        <w:t xml:space="preserve">, </w:t>
      </w:r>
      <w:r w:rsidRPr="0021638B">
        <w:rPr>
          <w:rFonts w:cstheme="minorHAnsi"/>
        </w:rPr>
        <w:t>but there is still limited analysis that uses the comparability of the researcher's research results. This research is expected to elaborate on the results of research that has been carried out, so that it can produce conclusions that can compare conditions between regions</w:t>
      </w:r>
      <w:r w:rsidR="00341847">
        <w:rPr>
          <w:rFonts w:cstheme="minorHAnsi"/>
        </w:rPr>
        <w:t>.</w:t>
      </w:r>
    </w:p>
    <w:p w14:paraId="587F3C29" w14:textId="77777777" w:rsidR="002B63A1" w:rsidRPr="006012B3" w:rsidRDefault="002B63A1" w:rsidP="002B63A1">
      <w:pPr>
        <w:pStyle w:val="ListParagraph"/>
        <w:ind w:left="284"/>
        <w:jc w:val="both"/>
        <w:rPr>
          <w:rFonts w:cstheme="minorHAnsi"/>
        </w:rPr>
      </w:pPr>
    </w:p>
    <w:p w14:paraId="43A4A7BD" w14:textId="3702279B" w:rsidR="002259B8" w:rsidRPr="006012B3" w:rsidRDefault="00642C8A" w:rsidP="002259B8">
      <w:pPr>
        <w:pStyle w:val="ListParagraph"/>
        <w:numPr>
          <w:ilvl w:val="0"/>
          <w:numId w:val="2"/>
        </w:numPr>
        <w:ind w:left="284"/>
        <w:rPr>
          <w:rFonts w:cstheme="minorHAnsi"/>
          <w:b/>
          <w:bCs/>
        </w:rPr>
      </w:pPr>
      <w:r w:rsidRPr="00642C8A">
        <w:rPr>
          <w:rFonts w:cstheme="minorHAnsi"/>
          <w:b/>
          <w:bCs/>
        </w:rPr>
        <w:t>Methodology</w:t>
      </w:r>
    </w:p>
    <w:p w14:paraId="040EB78F" w14:textId="0A722226" w:rsidR="002259B8" w:rsidRPr="006012B3" w:rsidRDefault="0021638B" w:rsidP="00525B51">
      <w:pPr>
        <w:pStyle w:val="ListParagraph"/>
        <w:ind w:left="284"/>
        <w:jc w:val="both"/>
        <w:rPr>
          <w:rFonts w:cstheme="minorHAnsi"/>
        </w:rPr>
      </w:pPr>
      <w:r w:rsidRPr="0021638B">
        <w:rPr>
          <w:rFonts w:cstheme="minorHAnsi"/>
        </w:rPr>
        <w:t>This study uses Systematic Literature Review (SLR). The systematic literature review (SLR) method is a structured and standardized scientific approach to identify, evaluate, and synthesize all relevant research evidence related to a particular research question, topic, or phenomenon</w:t>
      </w:r>
      <w:r w:rsidR="001628ED">
        <w:rPr>
          <w:rFonts w:cstheme="minorHAnsi"/>
        </w:rPr>
        <w:t xml:space="preserve"> </w:t>
      </w:r>
      <w:r w:rsidR="001628ED" w:rsidRPr="00F921B9">
        <w:rPr>
          <w:rFonts w:cstheme="minorHAnsi"/>
          <w:color w:val="0070C0"/>
        </w:rPr>
        <w:fldChar w:fldCharType="begin" w:fldLock="1"/>
      </w:r>
      <w:r w:rsidR="00F921B9">
        <w:rPr>
          <w:rFonts w:cstheme="minorHAnsi"/>
          <w:color w:val="0070C0"/>
        </w:rPr>
        <w:instrText>ADDIN CSL_CITATION {"citationItems":[{"id":"ITEM-1","itemData":{"ISSN":"0950-5849","author":[{"dropping-particle":"","family":"Dinter","given":"Raymon","non-dropping-particle":"Van","parse-names":false,"suffix":""},{"dropping-particle":"","family":"Tekinerdogan","given":"Bedir","non-dropping-particle":"","parse-names":false,"suffix":""},{"dropping-particle":"","family":"Catal","given":"Cagatay","non-dropping-particle":"","parse-names":false,"suffix":""}],"container-title":"Information and software technology","id":"ITEM-1","issued":{"date-parts":[["2021"]]},"page":"106589","publisher":"Elsevier","title":"Automation of systematic literature reviews: A systematic literature review","type":"article-journal","volume":"136"},"uris":["http://www.mendeley.com/documents/?uuid=ee2c1152-2651-4ca7-8e33-feedcf49f584"]},{"id":"ITEM-2","itemData":{"ISSN":"1470-6423","author":[{"dropping-particle":"","family":"Paul","given":"Justin","non-dropping-particle":"","parse-names":false,"suffix":""},{"dropping-particle":"","family":"Lim","given":"Weng Marc","non-dropping-particle":"","parse-names":false,"suffix":""},{"dropping-particle":"","family":"O’Cass","given":"Aron","non-dropping-particle":"","parse-names":false,"suffix":""},{"dropping-particle":"","family":"Hao","given":"Andy Wei","non-dropping-particle":"","parse-names":false,"suffix":""},{"dropping-particle":"","family":"Bresciani","given":"Stefano","non-dropping-particle":"","parse-names":false,"suffix":""}],"container-title":"International Journal of Consumer Studies","id":"ITEM-2","issue":"4","issued":{"date-parts":[["2021"]]},"page":"O1-O16","publisher":"Wiley Online Library","title":"Scientific procedures and rationales for systematic literature reviews (SPAR‐4‐SLR)","type":"article-journal","volume":"45"},"uris":["http://www.mendeley.com/documents/?uuid=010369dd-a53e-431e-8616-fdffaa3bb04c"]}],"mendeley":{"formattedCitation":"(Paul et al., 2021; Van Dinter et al., 2021)","plainTextFormattedCitation":"(Paul et al., 2021; Van Dinter et al., 2021)","previouslyFormattedCitation":"(Paul et al., 2021; Van Dinter et al., 2021)"},"properties":{"noteIndex":0},"schema":"https://github.com/citation-style-language/schema/raw/master/csl-citation.json"}</w:instrText>
      </w:r>
      <w:r w:rsidR="001628ED" w:rsidRPr="00F921B9">
        <w:rPr>
          <w:rFonts w:cstheme="minorHAnsi"/>
          <w:color w:val="0070C0"/>
        </w:rPr>
        <w:fldChar w:fldCharType="separate"/>
      </w:r>
      <w:r w:rsidR="001628ED" w:rsidRPr="00F921B9">
        <w:rPr>
          <w:rFonts w:cstheme="minorHAnsi"/>
          <w:noProof/>
          <w:color w:val="0070C0"/>
        </w:rPr>
        <w:t>(Paul et al., 2021; Van Dinter et al., 2021)</w:t>
      </w:r>
      <w:r w:rsidR="001628ED" w:rsidRPr="00F921B9">
        <w:rPr>
          <w:rFonts w:cstheme="minorHAnsi"/>
          <w:color w:val="0070C0"/>
        </w:rPr>
        <w:fldChar w:fldCharType="end"/>
      </w:r>
      <w:r w:rsidR="00525B51" w:rsidRPr="006012B3">
        <w:rPr>
          <w:rFonts w:cstheme="minorHAnsi"/>
        </w:rPr>
        <w:t xml:space="preserve">. </w:t>
      </w:r>
      <w:r w:rsidRPr="0021638B">
        <w:rPr>
          <w:rFonts w:cstheme="minorHAnsi"/>
        </w:rPr>
        <w:t>Unlike narrative literature reviews, which are descriptive and often subjective, SLRs are conducted following transparent, highly replicable procedures based on predetermined criteria. The goal is to minimize bias and produce a synthesis of information that is reliable and scientifically valid.</w:t>
      </w:r>
    </w:p>
    <w:p w14:paraId="4F2B6EF0" w14:textId="77777777" w:rsidR="00525B51" w:rsidRPr="006012B3" w:rsidRDefault="00525B51" w:rsidP="00525B51">
      <w:pPr>
        <w:pStyle w:val="ListParagraph"/>
        <w:ind w:left="284"/>
        <w:jc w:val="both"/>
        <w:rPr>
          <w:rFonts w:cstheme="minorHAnsi"/>
        </w:rPr>
      </w:pPr>
    </w:p>
    <w:p w14:paraId="450B49FE" w14:textId="684E55A2" w:rsidR="00013A65" w:rsidRDefault="0021638B" w:rsidP="00013A65">
      <w:pPr>
        <w:pStyle w:val="ListParagraph"/>
        <w:ind w:left="284"/>
        <w:jc w:val="both"/>
        <w:rPr>
          <w:rFonts w:cstheme="minorHAnsi"/>
        </w:rPr>
      </w:pPr>
      <w:r w:rsidRPr="0021638B">
        <w:rPr>
          <w:rFonts w:cstheme="minorHAnsi"/>
        </w:rPr>
        <w:t xml:space="preserve">In the initial stage, 500 papers were selected from reputable international journals based on relevant keywords. In the next stage, only Q1 and Q2 were filtered, leaving 241 papers. The next stage was to select papers published in the last 5 years, and 145 papers were obtained. In the final stage, the papers were identified and </w:t>
      </w:r>
      <w:proofErr w:type="spellStart"/>
      <w:r w:rsidRPr="0021638B">
        <w:rPr>
          <w:rFonts w:cstheme="minorHAnsi"/>
        </w:rPr>
        <w:t>analyzed</w:t>
      </w:r>
      <w:proofErr w:type="spellEnd"/>
      <w:r w:rsidRPr="0021638B">
        <w:rPr>
          <w:rFonts w:cstheme="minorHAnsi"/>
        </w:rPr>
        <w:t xml:space="preserve">, resulting in 13 relevant papers that would be further </w:t>
      </w:r>
      <w:proofErr w:type="spellStart"/>
      <w:r w:rsidRPr="0021638B">
        <w:rPr>
          <w:rFonts w:cstheme="minorHAnsi"/>
        </w:rPr>
        <w:t>analyzed</w:t>
      </w:r>
      <w:proofErr w:type="spellEnd"/>
      <w:r w:rsidRPr="0021638B">
        <w:rPr>
          <w:rFonts w:cstheme="minorHAnsi"/>
        </w:rPr>
        <w:t>.</w:t>
      </w:r>
    </w:p>
    <w:p w14:paraId="256E125F" w14:textId="77777777" w:rsidR="0021638B" w:rsidRDefault="0021638B" w:rsidP="00013A65">
      <w:pPr>
        <w:pStyle w:val="ListParagraph"/>
        <w:ind w:left="284"/>
        <w:jc w:val="both"/>
        <w:rPr>
          <w:rFonts w:cstheme="minorHAnsi"/>
        </w:rPr>
      </w:pPr>
    </w:p>
    <w:p w14:paraId="0BFFE47C" w14:textId="77777777" w:rsidR="0021638B" w:rsidRDefault="0021638B" w:rsidP="00013A65">
      <w:pPr>
        <w:pStyle w:val="ListParagraph"/>
        <w:ind w:left="284"/>
        <w:jc w:val="both"/>
        <w:rPr>
          <w:rFonts w:cstheme="minorHAnsi"/>
        </w:rPr>
      </w:pPr>
    </w:p>
    <w:p w14:paraId="0F7A1AB0" w14:textId="77777777" w:rsidR="0021638B" w:rsidRDefault="0021638B" w:rsidP="00013A65">
      <w:pPr>
        <w:pStyle w:val="ListParagraph"/>
        <w:ind w:left="284"/>
        <w:jc w:val="both"/>
        <w:rPr>
          <w:rFonts w:cstheme="minorHAnsi"/>
        </w:rPr>
      </w:pPr>
    </w:p>
    <w:p w14:paraId="7919AF31" w14:textId="77777777" w:rsidR="0021638B" w:rsidRDefault="0021638B" w:rsidP="00013A65">
      <w:pPr>
        <w:pStyle w:val="ListParagraph"/>
        <w:ind w:left="284"/>
        <w:jc w:val="both"/>
        <w:rPr>
          <w:rFonts w:cstheme="minorHAnsi"/>
        </w:rPr>
      </w:pPr>
    </w:p>
    <w:p w14:paraId="3AC0E91E" w14:textId="77777777" w:rsidR="00A60F7E" w:rsidRDefault="00A60F7E" w:rsidP="00013A65">
      <w:pPr>
        <w:pStyle w:val="ListParagraph"/>
        <w:ind w:left="284"/>
        <w:jc w:val="both"/>
        <w:rPr>
          <w:rFonts w:cstheme="minorHAnsi"/>
        </w:rPr>
      </w:pPr>
    </w:p>
    <w:p w14:paraId="649B1484" w14:textId="77777777" w:rsidR="00A60F7E" w:rsidRDefault="00A60F7E" w:rsidP="00013A65">
      <w:pPr>
        <w:pStyle w:val="ListParagraph"/>
        <w:ind w:left="284"/>
        <w:jc w:val="both"/>
        <w:rPr>
          <w:rFonts w:cstheme="minorHAnsi"/>
        </w:rPr>
      </w:pPr>
    </w:p>
    <w:p w14:paraId="114BE938" w14:textId="77777777" w:rsidR="0021638B" w:rsidRPr="006012B3" w:rsidRDefault="0021638B" w:rsidP="00013A65">
      <w:pPr>
        <w:pStyle w:val="ListParagraph"/>
        <w:ind w:left="284"/>
        <w:jc w:val="both"/>
        <w:rPr>
          <w:rFonts w:cstheme="minorHAnsi"/>
        </w:rPr>
      </w:pPr>
    </w:p>
    <w:p w14:paraId="5D227A5A" w14:textId="77777777" w:rsidR="00013A65" w:rsidRPr="006012B3" w:rsidRDefault="00013A65" w:rsidP="00013A65">
      <w:pPr>
        <w:jc w:val="both"/>
        <w:rPr>
          <w:rFonts w:asciiTheme="minorHAnsi" w:hAnsiTheme="minorHAnsi" w:cstheme="minorHAnsi"/>
          <w:color w:val="0D0D0D" w:themeColor="text1" w:themeTint="F2"/>
        </w:rPr>
      </w:pPr>
      <w:r w:rsidRPr="006012B3">
        <w:rPr>
          <w:rFonts w:asciiTheme="minorHAnsi" w:hAnsiTheme="minorHAnsi" w:cstheme="minorHAnsi"/>
          <w:noProof/>
          <w:color w:val="0D0D0D" w:themeColor="text1" w:themeTint="F2"/>
        </w:rPr>
        <mc:AlternateContent>
          <mc:Choice Requires="wps">
            <w:drawing>
              <wp:anchor distT="0" distB="0" distL="114300" distR="114300" simplePos="0" relativeHeight="251669504" behindDoc="0" locked="0" layoutInCell="1" allowOverlap="1" wp14:anchorId="525F6224" wp14:editId="1F60530A">
                <wp:simplePos x="0" y="0"/>
                <wp:positionH relativeFrom="column">
                  <wp:posOffset>893135</wp:posOffset>
                </wp:positionH>
                <wp:positionV relativeFrom="paragraph">
                  <wp:posOffset>174049</wp:posOffset>
                </wp:positionV>
                <wp:extent cx="4368593" cy="263472"/>
                <wp:effectExtent l="0" t="0" r="635" b="3810"/>
                <wp:wrapNone/>
                <wp:docPr id="866905654" name="Rounded Rectangle 7"/>
                <wp:cNvGraphicFramePr/>
                <a:graphic xmlns:a="http://schemas.openxmlformats.org/drawingml/2006/main">
                  <a:graphicData uri="http://schemas.microsoft.com/office/word/2010/wordprocessingShape">
                    <wps:wsp>
                      <wps:cNvSpPr/>
                      <wps:spPr>
                        <a:xfrm>
                          <a:off x="0" y="0"/>
                          <a:ext cx="4368593" cy="263472"/>
                        </a:xfrm>
                        <a:prstGeom prst="roundRect">
                          <a:avLst/>
                        </a:prstGeom>
                        <a:solidFill>
                          <a:srgbClr val="F8EC5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58A071" w14:textId="77777777" w:rsidR="00013A65" w:rsidRPr="008508ED" w:rsidRDefault="00013A65" w:rsidP="00013A65">
                            <w:pPr>
                              <w:jc w:val="center"/>
                              <w:rPr>
                                <w:b/>
                                <w:bCs/>
                                <w:color w:val="000000" w:themeColor="text1"/>
                                <w:sz w:val="20"/>
                                <w:szCs w:val="20"/>
                              </w:rPr>
                            </w:pPr>
                            <w:r w:rsidRPr="008508ED">
                              <w:rPr>
                                <w:b/>
                                <w:bCs/>
                                <w:color w:val="000000" w:themeColor="text1"/>
                                <w:sz w:val="20"/>
                                <w:szCs w:val="20"/>
                              </w:rPr>
                              <w:t xml:space="preserve">Identification of studies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F6224" id="Rounded Rectangle 7" o:spid="_x0000_s1026" style="position:absolute;left:0;text-align:left;margin-left:70.35pt;margin-top:13.7pt;width:344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" fillcolor="#f8ec5c" stroked="f" strokeweight="1pt">
                <v:stroke joinstyle="miter"/>
                <v:textbox>
                  <w:txbxContent>
                    <w:p w14:paraId="0958A071" w14:textId="77777777" w:rsidR="00013A65" w:rsidRPr="008508ED" w:rsidRDefault="00013A65" w:rsidP="00013A65">
                      <w:pPr>
                        <w:jc w:val="center"/>
                        <w:rPr>
                          <w:b/>
                          <w:bCs/>
                          <w:color w:val="000000" w:themeColor="text1"/>
                          <w:sz w:val="20"/>
                          <w:szCs w:val="20"/>
                        </w:rPr>
                      </w:pPr>
                      <w:r w:rsidRPr="008508ED">
                        <w:rPr>
                          <w:b/>
                          <w:bCs/>
                          <w:color w:val="000000" w:themeColor="text1"/>
                          <w:sz w:val="20"/>
                          <w:szCs w:val="20"/>
                        </w:rPr>
                        <w:t xml:space="preserve">Identification of studies </w:t>
                      </w:r>
                    </w:p>
                  </w:txbxContent>
                </v:textbox>
              </v:roundrect>
            </w:pict>
          </mc:Fallback>
        </mc:AlternateContent>
      </w:r>
    </w:p>
    <w:p w14:paraId="0EBCA9D0" w14:textId="77777777" w:rsidR="00013A65" w:rsidRPr="006012B3" w:rsidRDefault="00013A65" w:rsidP="00013A65">
      <w:pPr>
        <w:jc w:val="both"/>
        <w:rPr>
          <w:rFonts w:asciiTheme="minorHAnsi" w:hAnsiTheme="minorHAnsi" w:cstheme="minorHAnsi"/>
          <w:color w:val="0070C0"/>
        </w:rPr>
      </w:pPr>
    </w:p>
    <w:p w14:paraId="76CB3F3D" w14:textId="77777777" w:rsidR="00013A65" w:rsidRPr="006012B3" w:rsidRDefault="00013A65" w:rsidP="00013A65">
      <w:pPr>
        <w:ind w:firstLine="284"/>
        <w:jc w:val="both"/>
        <w:rPr>
          <w:rFonts w:asciiTheme="minorHAnsi" w:hAnsiTheme="minorHAnsi" w:cstheme="minorHAnsi"/>
          <w:color w:val="0070C0"/>
        </w:rPr>
      </w:pPr>
    </w:p>
    <w:p w14:paraId="6E460D94" w14:textId="77777777" w:rsidR="00013A65" w:rsidRPr="006012B3" w:rsidRDefault="00013A65"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g">
            <w:drawing>
              <wp:anchor distT="0" distB="0" distL="114300" distR="114300" simplePos="0" relativeHeight="251660288" behindDoc="0" locked="0" layoutInCell="1" allowOverlap="1" wp14:anchorId="5AA1CACC" wp14:editId="19BEC517">
                <wp:simplePos x="0" y="0"/>
                <wp:positionH relativeFrom="column">
                  <wp:posOffset>903767</wp:posOffset>
                </wp:positionH>
                <wp:positionV relativeFrom="paragraph">
                  <wp:posOffset>7915</wp:posOffset>
                </wp:positionV>
                <wp:extent cx="4354195" cy="648586"/>
                <wp:effectExtent l="0" t="0" r="14605" b="12065"/>
                <wp:wrapNone/>
                <wp:docPr id="614051441" name="Group 10"/>
                <wp:cNvGraphicFramePr/>
                <a:graphic xmlns:a="http://schemas.openxmlformats.org/drawingml/2006/main">
                  <a:graphicData uri="http://schemas.microsoft.com/office/word/2010/wordprocessingGroup">
                    <wpg:wgp>
                      <wpg:cNvGrpSpPr/>
                      <wpg:grpSpPr>
                        <a:xfrm>
                          <a:off x="0" y="0"/>
                          <a:ext cx="4354195" cy="648586"/>
                          <a:chOff x="409" y="7745"/>
                          <a:chExt cx="4354209" cy="648586"/>
                        </a:xfrm>
                      </wpg:grpSpPr>
                      <wps:wsp>
                        <wps:cNvPr id="960608554" name="Rectangle 8"/>
                        <wps:cNvSpPr/>
                        <wps:spPr>
                          <a:xfrm>
                            <a:off x="409" y="7745"/>
                            <a:ext cx="1459230" cy="64858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80FD7F5" w14:textId="77777777" w:rsidR="00013A65" w:rsidRPr="003A0756" w:rsidRDefault="00013A65" w:rsidP="00013A65">
                              <w:pPr>
                                <w:ind w:left="284" w:hanging="284"/>
                                <w:rPr>
                                  <w:color w:val="000000" w:themeColor="text1"/>
                                  <w:sz w:val="20"/>
                                  <w:szCs w:val="20"/>
                                </w:rPr>
                              </w:pPr>
                              <w:r w:rsidRPr="003A0756">
                                <w:rPr>
                                  <w:color w:val="000000" w:themeColor="text1"/>
                                  <w:sz w:val="20"/>
                                  <w:szCs w:val="20"/>
                                </w:rPr>
                                <w:t>Articles identified from:</w:t>
                              </w:r>
                            </w:p>
                            <w:p w14:paraId="46FC1A3B" w14:textId="6B12BC22" w:rsidR="00013A65" w:rsidRPr="00013A65" w:rsidRDefault="00013A65" w:rsidP="00013A65">
                              <w:pPr>
                                <w:ind w:left="426" w:hanging="142"/>
                                <w:rPr>
                                  <w:color w:val="000000" w:themeColor="text1"/>
                                  <w:sz w:val="20"/>
                                  <w:szCs w:val="20"/>
                                </w:rPr>
                              </w:pPr>
                              <w:proofErr w:type="gramStart"/>
                              <w:r w:rsidRPr="00013A65">
                                <w:rPr>
                                  <w:color w:val="000000" w:themeColor="text1"/>
                                  <w:sz w:val="20"/>
                                  <w:szCs w:val="20"/>
                                </w:rPr>
                                <w:t>Scopus</w:t>
                              </w:r>
                              <w:r>
                                <w:rPr>
                                  <w:color w:val="000000" w:themeColor="text1"/>
                                  <w:sz w:val="20"/>
                                  <w:szCs w:val="20"/>
                                </w:rPr>
                                <w:t xml:space="preserve"> </w:t>
                              </w:r>
                              <w:r w:rsidRPr="00013A65">
                                <w:rPr>
                                  <w:color w:val="000000" w:themeColor="text1"/>
                                  <w:sz w:val="20"/>
                                  <w:szCs w:val="20"/>
                                </w:rPr>
                                <w:t xml:space="preserve"> (</w:t>
                              </w:r>
                              <w:proofErr w:type="gramEnd"/>
                              <w:r w:rsidRPr="00013A65">
                                <w:rPr>
                                  <w:color w:val="000000" w:themeColor="text1"/>
                                  <w:sz w:val="20"/>
                                  <w:szCs w:val="20"/>
                                </w:rPr>
                                <w:t xml:space="preserve">n = 500)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151388" name="Rectangle 8"/>
                        <wps:cNvSpPr/>
                        <wps:spPr>
                          <a:xfrm>
                            <a:off x="1804992" y="7746"/>
                            <a:ext cx="2549626" cy="6485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0872273" w14:textId="77777777" w:rsidR="00013A65" w:rsidRPr="003A0756" w:rsidRDefault="00013A65" w:rsidP="00013A65">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6B416786" w14:textId="41295E48" w:rsidR="00013A65" w:rsidRPr="00013A65" w:rsidRDefault="00013A65" w:rsidP="00013A65">
                              <w:pPr>
                                <w:rPr>
                                  <w:color w:val="000000" w:themeColor="text1"/>
                                  <w:sz w:val="20"/>
                                  <w:szCs w:val="20"/>
                                </w:rPr>
                              </w:pPr>
                              <w:r w:rsidRPr="00013A65">
                                <w:rPr>
                                  <w:color w:val="000000" w:themeColor="text1"/>
                                  <w:sz w:val="20"/>
                                  <w:szCs w:val="20"/>
                                </w:rPr>
                                <w:t xml:space="preserve">269 excluded Q3, Q4 and no indexing removed (n = 241) </w:t>
                              </w:r>
                            </w:p>
                            <w:p w14:paraId="472D600A" w14:textId="77777777" w:rsidR="00013A65" w:rsidRPr="003A0756" w:rsidRDefault="00013A65" w:rsidP="00013A65">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18390" name="Straight Arrow Connector 9"/>
                        <wps:cNvCnPr/>
                        <wps:spPr>
                          <a:xfrm>
                            <a:off x="1459639" y="309320"/>
                            <a:ext cx="3463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A1CACC" id="Group 10" o:spid="_x0000_s1027" style="position:absolute;left:0;text-align:left;margin-left:71.15pt;margin-top:.6pt;width:342.85pt;height:51.05pt;z-index:251660288;mso-width-relative:margin;mso-height-relative:margin" coordorigin="4,77" coordsize="43542,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">
                <v:rect id="_x0000_s1028" style="position:absolute;left:4;top:77;width:14592;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" filled="f" strokecolor="#09101d [484]" strokeweight="1pt">
                  <v:textbox>
                    <w:txbxContent>
                      <w:p w14:paraId="280FD7F5" w14:textId="77777777" w:rsidR="00013A65" w:rsidRPr="003A0756" w:rsidRDefault="00013A65" w:rsidP="00013A65">
                        <w:pPr>
                          <w:ind w:left="284" w:hanging="284"/>
                          <w:rPr>
                            <w:color w:val="000000" w:themeColor="text1"/>
                            <w:sz w:val="20"/>
                            <w:szCs w:val="20"/>
                          </w:rPr>
                        </w:pPr>
                        <w:r w:rsidRPr="003A0756">
                          <w:rPr>
                            <w:color w:val="000000" w:themeColor="text1"/>
                            <w:sz w:val="20"/>
                            <w:szCs w:val="20"/>
                          </w:rPr>
                          <w:t>Articles identified from:</w:t>
                        </w:r>
                      </w:p>
                      <w:p w14:paraId="46FC1A3B" w14:textId="6B12BC22" w:rsidR="00013A65" w:rsidRPr="00013A65" w:rsidRDefault="00013A65" w:rsidP="00013A65">
                        <w:pPr>
                          <w:ind w:left="426" w:hanging="142"/>
                          <w:rPr>
                            <w:color w:val="000000" w:themeColor="text1"/>
                            <w:sz w:val="20"/>
                            <w:szCs w:val="20"/>
                          </w:rPr>
                        </w:pPr>
                        <w:proofErr w:type="gramStart"/>
                        <w:r w:rsidRPr="00013A65">
                          <w:rPr>
                            <w:color w:val="000000" w:themeColor="text1"/>
                            <w:sz w:val="20"/>
                            <w:szCs w:val="20"/>
                          </w:rPr>
                          <w:t>Scopus</w:t>
                        </w:r>
                        <w:r>
                          <w:rPr>
                            <w:color w:val="000000" w:themeColor="text1"/>
                            <w:sz w:val="20"/>
                            <w:szCs w:val="20"/>
                          </w:rPr>
                          <w:t xml:space="preserve"> </w:t>
                        </w:r>
                        <w:r w:rsidRPr="00013A65">
                          <w:rPr>
                            <w:color w:val="000000" w:themeColor="text1"/>
                            <w:sz w:val="20"/>
                            <w:szCs w:val="20"/>
                          </w:rPr>
                          <w:t xml:space="preserve"> (</w:t>
                        </w:r>
                        <w:proofErr w:type="gramEnd"/>
                        <w:r w:rsidRPr="00013A65">
                          <w:rPr>
                            <w:color w:val="000000" w:themeColor="text1"/>
                            <w:sz w:val="20"/>
                            <w:szCs w:val="20"/>
                          </w:rPr>
                          <w:t xml:space="preserve">n = 500) </w:t>
                        </w:r>
                      </w:p>
                    </w:txbxContent>
                  </v:textbox>
                </v:rect>
                <v:rect id="_x0000_s1029" style="position:absolute;left:18049;top:77;width:25497;height:6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" filled="f" strokecolor="#09101d [484]" strokeweight="1pt">
                  <v:textbox>
                    <w:txbxContent>
                      <w:p w14:paraId="50872273" w14:textId="77777777" w:rsidR="00013A65" w:rsidRPr="003A0756" w:rsidRDefault="00013A65" w:rsidP="00013A65">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6B416786" w14:textId="41295E48" w:rsidR="00013A65" w:rsidRPr="00013A65" w:rsidRDefault="00013A65" w:rsidP="00013A65">
                        <w:pPr>
                          <w:rPr>
                            <w:color w:val="000000" w:themeColor="text1"/>
                            <w:sz w:val="20"/>
                            <w:szCs w:val="20"/>
                          </w:rPr>
                        </w:pPr>
                        <w:r w:rsidRPr="00013A65">
                          <w:rPr>
                            <w:color w:val="000000" w:themeColor="text1"/>
                            <w:sz w:val="20"/>
                            <w:szCs w:val="20"/>
                          </w:rPr>
                          <w:t xml:space="preserve">269 excluded Q3, Q4 and no indexing removed (n = 241) </w:t>
                        </w:r>
                      </w:p>
                      <w:p w14:paraId="472D600A" w14:textId="77777777" w:rsidR="00013A65" w:rsidRPr="003A0756" w:rsidRDefault="00013A65" w:rsidP="00013A65">
                        <w:pPr>
                          <w:rPr>
                            <w:sz w:val="20"/>
                            <w:szCs w:val="20"/>
                          </w:rPr>
                        </w:pPr>
                      </w:p>
                    </w:txbxContent>
                  </v:textbox>
                </v:rect>
                <v:shapetype id="_x0000_t32" coordsize="21600,21600" o:spt="32" o:oned="t" path="m,l21600,21600e" filled="f">
                  <v:path arrowok="t" fillok="f" o:connecttype="none"/>
                  <o:lock v:ext="edit" shapetype="t"/>
                </v:shapetype>
                <v:shape id="Straight Arrow Connector 9" o:spid="_x0000_s1030" type="#_x0000_t32" style="position:absolute;left:14596;top:3093;width:3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" strokecolor="black [3200]" strokeweight=".5pt">
                  <v:stroke endarrow="block" joinstyle="miter"/>
                </v:shape>
              </v:group>
            </w:pict>
          </mc:Fallback>
        </mc:AlternateContent>
      </w:r>
      <w:r w:rsidRPr="006012B3">
        <w:rPr>
          <w:rFonts w:asciiTheme="minorHAnsi" w:hAnsiTheme="minorHAnsi" w:cstheme="minorHAnsi"/>
          <w:noProof/>
          <w:color w:val="0070C0"/>
        </w:rPr>
        <mc:AlternateContent>
          <mc:Choice Requires="wps">
            <w:drawing>
              <wp:anchor distT="0" distB="0" distL="114300" distR="114300" simplePos="0" relativeHeight="251659264" behindDoc="0" locked="0" layoutInCell="1" allowOverlap="1" wp14:anchorId="3EE59F39" wp14:editId="0A1A254D">
                <wp:simplePos x="0" y="0"/>
                <wp:positionH relativeFrom="column">
                  <wp:posOffset>62642</wp:posOffset>
                </wp:positionH>
                <wp:positionV relativeFrom="paragraph">
                  <wp:posOffset>132407</wp:posOffset>
                </wp:positionV>
                <wp:extent cx="975106" cy="309880"/>
                <wp:effectExtent l="2223" t="0" r="5397" b="5398"/>
                <wp:wrapNone/>
                <wp:docPr id="2134928704" name="Rounded Rectangle 7"/>
                <wp:cNvGraphicFramePr/>
                <a:graphic xmlns:a="http://schemas.openxmlformats.org/drawingml/2006/main">
                  <a:graphicData uri="http://schemas.microsoft.com/office/word/2010/wordprocessingShape">
                    <wps:wsp>
                      <wps:cNvSpPr/>
                      <wps:spPr>
                        <a:xfrm rot="16200000">
                          <a:off x="0" y="0"/>
                          <a:ext cx="975106"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CA29BD" w14:textId="77777777" w:rsidR="00013A65" w:rsidRPr="003A0756" w:rsidRDefault="00013A65" w:rsidP="00013A65">
                            <w:pPr>
                              <w:jc w:val="center"/>
                              <w:rPr>
                                <w:b/>
                                <w:bCs/>
                                <w:color w:val="000000" w:themeColor="text1"/>
                                <w:sz w:val="20"/>
                                <w:szCs w:val="20"/>
                              </w:rPr>
                            </w:pPr>
                            <w:r w:rsidRPr="003A0756">
                              <w:rPr>
                                <w:b/>
                                <w:bCs/>
                                <w:color w:val="000000" w:themeColor="text1"/>
                                <w:sz w:val="20"/>
                                <w:szCs w:val="20"/>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59F39" id="_x0000_s1031" style="position:absolute;left:0;text-align:left;margin-left:4.95pt;margin-top:10.45pt;width:76.8pt;height:24.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" fillcolor="#d5dce4 [671]" stroked="f" strokeweight="1pt">
                <v:stroke joinstyle="miter"/>
                <v:textbox>
                  <w:txbxContent>
                    <w:p w14:paraId="32CA29BD" w14:textId="77777777" w:rsidR="00013A65" w:rsidRPr="003A0756" w:rsidRDefault="00013A65" w:rsidP="00013A65">
                      <w:pPr>
                        <w:jc w:val="center"/>
                        <w:rPr>
                          <w:b/>
                          <w:bCs/>
                          <w:color w:val="000000" w:themeColor="text1"/>
                          <w:sz w:val="20"/>
                          <w:szCs w:val="20"/>
                        </w:rPr>
                      </w:pPr>
                      <w:r w:rsidRPr="003A0756">
                        <w:rPr>
                          <w:b/>
                          <w:bCs/>
                          <w:color w:val="000000" w:themeColor="text1"/>
                          <w:sz w:val="20"/>
                          <w:szCs w:val="20"/>
                        </w:rPr>
                        <w:t xml:space="preserve">Identification </w:t>
                      </w:r>
                    </w:p>
                  </w:txbxContent>
                </v:textbox>
              </v:roundrect>
            </w:pict>
          </mc:Fallback>
        </mc:AlternateContent>
      </w:r>
    </w:p>
    <w:p w14:paraId="1083E1BA" w14:textId="77777777" w:rsidR="00013A65" w:rsidRPr="006012B3" w:rsidRDefault="00013A65" w:rsidP="00013A65">
      <w:pPr>
        <w:ind w:firstLine="284"/>
        <w:jc w:val="both"/>
        <w:rPr>
          <w:rFonts w:asciiTheme="minorHAnsi" w:hAnsiTheme="minorHAnsi" w:cstheme="minorHAnsi"/>
          <w:color w:val="0070C0"/>
        </w:rPr>
      </w:pPr>
    </w:p>
    <w:p w14:paraId="0C3EDB23" w14:textId="77777777" w:rsidR="00626F4A" w:rsidRPr="006012B3" w:rsidRDefault="00626F4A" w:rsidP="00013A65">
      <w:pPr>
        <w:ind w:firstLine="284"/>
        <w:jc w:val="both"/>
        <w:rPr>
          <w:rFonts w:asciiTheme="minorHAnsi" w:hAnsiTheme="minorHAnsi" w:cstheme="minorHAnsi"/>
          <w:color w:val="0070C0"/>
        </w:rPr>
      </w:pPr>
    </w:p>
    <w:p w14:paraId="7085F73F" w14:textId="47BB38A3" w:rsidR="00626F4A"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4384" behindDoc="0" locked="0" layoutInCell="1" allowOverlap="1" wp14:anchorId="2815BB6A" wp14:editId="6B6D2898">
                <wp:simplePos x="0" y="0"/>
                <wp:positionH relativeFrom="column">
                  <wp:posOffset>1556385</wp:posOffset>
                </wp:positionH>
                <wp:positionV relativeFrom="paragraph">
                  <wp:posOffset>172720</wp:posOffset>
                </wp:positionV>
                <wp:extent cx="0" cy="318770"/>
                <wp:effectExtent l="50800" t="0" r="38100" b="36830"/>
                <wp:wrapNone/>
                <wp:docPr id="45289919" name="Straight Arrow Connector 12"/>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7909F26" id="Straight Arrow Connector 12" o:spid="_x0000_s1026" type="#_x0000_t32" style="position:absolute;margin-left:122.55pt;margin-top:13.6pt;width:0;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" strokecolor="black [3200]" strokeweight=".5pt">
                <v:stroke endarrow="block" joinstyle="miter"/>
              </v:shape>
            </w:pict>
          </mc:Fallback>
        </mc:AlternateContent>
      </w:r>
    </w:p>
    <w:p w14:paraId="2E7752E5" w14:textId="6FD489E6" w:rsidR="00013A65" w:rsidRPr="006012B3" w:rsidRDefault="00013A65" w:rsidP="00013A65">
      <w:pPr>
        <w:ind w:firstLine="284"/>
        <w:jc w:val="both"/>
        <w:rPr>
          <w:rFonts w:asciiTheme="minorHAnsi" w:hAnsiTheme="minorHAnsi" w:cstheme="minorHAnsi"/>
          <w:color w:val="0070C0"/>
        </w:rPr>
      </w:pPr>
    </w:p>
    <w:p w14:paraId="32B3E91E" w14:textId="77777777" w:rsidR="00013A65" w:rsidRPr="006012B3" w:rsidRDefault="00013A65"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g">
            <w:drawing>
              <wp:anchor distT="0" distB="0" distL="114300" distR="114300" simplePos="0" relativeHeight="251662336" behindDoc="0" locked="0" layoutInCell="1" allowOverlap="1" wp14:anchorId="3D07FB41" wp14:editId="651E4176">
                <wp:simplePos x="0" y="0"/>
                <wp:positionH relativeFrom="column">
                  <wp:posOffset>890580</wp:posOffset>
                </wp:positionH>
                <wp:positionV relativeFrom="paragraph">
                  <wp:posOffset>113960</wp:posOffset>
                </wp:positionV>
                <wp:extent cx="4369387" cy="578143"/>
                <wp:effectExtent l="0" t="0" r="12700" b="19050"/>
                <wp:wrapNone/>
                <wp:docPr id="110961723" name="Group 11"/>
                <wp:cNvGraphicFramePr/>
                <a:graphic xmlns:a="http://schemas.openxmlformats.org/drawingml/2006/main">
                  <a:graphicData uri="http://schemas.microsoft.com/office/word/2010/wordprocessingGroup">
                    <wpg:wgp>
                      <wpg:cNvGrpSpPr/>
                      <wpg:grpSpPr>
                        <a:xfrm>
                          <a:off x="0" y="0"/>
                          <a:ext cx="4369387" cy="578143"/>
                          <a:chOff x="0" y="-14073"/>
                          <a:chExt cx="4236401" cy="578317"/>
                        </a:xfrm>
                      </wpg:grpSpPr>
                      <wps:wsp>
                        <wps:cNvPr id="1223376858" name="Rectangle 8"/>
                        <wps:cNvSpPr/>
                        <wps:spPr>
                          <a:xfrm>
                            <a:off x="0" y="7737"/>
                            <a:ext cx="1459097" cy="55650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B003CA" w14:textId="7D774EFD" w:rsidR="00013A65" w:rsidRDefault="00013A65" w:rsidP="00013A65">
                              <w:pPr>
                                <w:rPr>
                                  <w:color w:val="000000" w:themeColor="text1"/>
                                  <w:sz w:val="20"/>
                                  <w:szCs w:val="20"/>
                                </w:rPr>
                              </w:pPr>
                              <w:r w:rsidRPr="00013A65">
                                <w:rPr>
                                  <w:color w:val="000000" w:themeColor="text1"/>
                                  <w:sz w:val="20"/>
                                  <w:szCs w:val="20"/>
                                </w:rPr>
                                <w:t>241</w:t>
                              </w:r>
                              <w:r>
                                <w:rPr>
                                  <w:color w:val="000000" w:themeColor="text1"/>
                                  <w:sz w:val="20"/>
                                  <w:szCs w:val="20"/>
                                </w:rPr>
                                <w:t xml:space="preserve"> studies screened against title and abstract</w:t>
                              </w:r>
                            </w:p>
                            <w:p w14:paraId="4B8E24D7" w14:textId="78E7F82A" w:rsidR="00013A65" w:rsidRPr="003A0756" w:rsidRDefault="00013A65" w:rsidP="00013A65">
                              <w:pPr>
                                <w:rPr>
                                  <w:b/>
                                  <w:bCs/>
                                  <w:color w:val="000000" w:themeColor="text1"/>
                                  <w:sz w:val="20"/>
                                  <w:szCs w:val="20"/>
                                </w:rPr>
                              </w:pPr>
                              <w:r>
                                <w:rPr>
                                  <w:color w:val="000000" w:themeColor="text1"/>
                                  <w:sz w:val="20"/>
                                  <w:szCs w:val="20"/>
                                </w:rPr>
                                <w:t>Total n=5</w:t>
                              </w:r>
                              <w:r w:rsidR="00205982">
                                <w:rPr>
                                  <w:color w:val="000000" w:themeColor="text1"/>
                                  <w:sz w:val="20"/>
                                  <w:szCs w:val="20"/>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91397" name="Rectangle 8"/>
                        <wps:cNvSpPr/>
                        <wps:spPr>
                          <a:xfrm>
                            <a:off x="1736145" y="-14073"/>
                            <a:ext cx="2500256" cy="5431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7281862" w14:textId="06924B0F" w:rsidR="00013A65" w:rsidRDefault="009A3192" w:rsidP="00013A65">
                              <w:pPr>
                                <w:rPr>
                                  <w:color w:val="000000" w:themeColor="text1"/>
                                  <w:sz w:val="20"/>
                                  <w:szCs w:val="20"/>
                                </w:rPr>
                              </w:pPr>
                              <w:r w:rsidRPr="009A3192">
                                <w:rPr>
                                  <w:color w:val="000000" w:themeColor="text1"/>
                                  <w:sz w:val="20"/>
                                  <w:szCs w:val="20"/>
                                </w:rPr>
                                <w:t>96</w:t>
                              </w:r>
                              <w:r w:rsidR="00013A65" w:rsidRPr="009A3192">
                                <w:rPr>
                                  <w:color w:val="000000" w:themeColor="text1"/>
                                  <w:sz w:val="20"/>
                                  <w:szCs w:val="20"/>
                                </w:rPr>
                                <w:t xml:space="preserve"> studies </w:t>
                              </w:r>
                              <w:r w:rsidR="00013A65">
                                <w:rPr>
                                  <w:color w:val="000000" w:themeColor="text1"/>
                                  <w:sz w:val="20"/>
                                  <w:szCs w:val="20"/>
                                </w:rPr>
                                <w:t xml:space="preserve">excluded based </w:t>
                              </w:r>
                              <w:r>
                                <w:rPr>
                                  <w:color w:val="000000" w:themeColor="text1"/>
                                  <w:sz w:val="20"/>
                                  <w:szCs w:val="20"/>
                                </w:rPr>
                                <w:t>publication year in last 5 years</w:t>
                              </w:r>
                              <w:r w:rsidR="00013A65" w:rsidRPr="009A3192">
                                <w:rPr>
                                  <w:color w:val="000000" w:themeColor="text1"/>
                                  <w:sz w:val="20"/>
                                  <w:szCs w:val="20"/>
                                </w:rPr>
                                <w:t xml:space="preserve"> (n = 145)</w:t>
                              </w:r>
                            </w:p>
                            <w:p w14:paraId="483C3DFE" w14:textId="77777777" w:rsidR="00013A65" w:rsidRPr="003A0756" w:rsidRDefault="00013A65" w:rsidP="00013A65">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326118" name="Straight Arrow Connector 9"/>
                        <wps:cNvCnPr/>
                        <wps:spPr>
                          <a:xfrm>
                            <a:off x="1442649" y="282852"/>
                            <a:ext cx="29349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07FB41" id="Group 11" o:spid="_x0000_s1032" style="position:absolute;left:0;text-align:left;margin-left:70.1pt;margin-top:8.95pt;width:344.05pt;height:45.5pt;z-index:251662336;mso-width-relative:margin;mso-height-relative:margin" coordorigin=",-140" coordsize="42364,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">
                <v:rect id="_x0000_s1033" style="position:absolute;top:77;width:14590;height:5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" filled="f" strokecolor="#09101d [484]" strokeweight="1pt">
                  <v:textbox>
                    <w:txbxContent>
                      <w:p w14:paraId="10B003CA" w14:textId="7D774EFD" w:rsidR="00013A65" w:rsidRDefault="00013A65" w:rsidP="00013A65">
                        <w:pPr>
                          <w:rPr>
                            <w:color w:val="000000" w:themeColor="text1"/>
                            <w:sz w:val="20"/>
                            <w:szCs w:val="20"/>
                          </w:rPr>
                        </w:pPr>
                        <w:r w:rsidRPr="00013A65">
                          <w:rPr>
                            <w:color w:val="000000" w:themeColor="text1"/>
                            <w:sz w:val="20"/>
                            <w:szCs w:val="20"/>
                          </w:rPr>
                          <w:t>241</w:t>
                        </w:r>
                        <w:r>
                          <w:rPr>
                            <w:color w:val="000000" w:themeColor="text1"/>
                            <w:sz w:val="20"/>
                            <w:szCs w:val="20"/>
                          </w:rPr>
                          <w:t xml:space="preserve"> studies screened against title and abstract</w:t>
                        </w:r>
                      </w:p>
                      <w:p w14:paraId="4B8E24D7" w14:textId="78E7F82A" w:rsidR="00013A65" w:rsidRPr="003A0756" w:rsidRDefault="00013A65" w:rsidP="00013A65">
                        <w:pPr>
                          <w:rPr>
                            <w:b/>
                            <w:bCs/>
                            <w:color w:val="000000" w:themeColor="text1"/>
                            <w:sz w:val="20"/>
                            <w:szCs w:val="20"/>
                          </w:rPr>
                        </w:pPr>
                        <w:r>
                          <w:rPr>
                            <w:color w:val="000000" w:themeColor="text1"/>
                            <w:sz w:val="20"/>
                            <w:szCs w:val="20"/>
                          </w:rPr>
                          <w:t>Total n=5</w:t>
                        </w:r>
                        <w:r w:rsidR="00205982">
                          <w:rPr>
                            <w:color w:val="000000" w:themeColor="text1"/>
                            <w:sz w:val="20"/>
                            <w:szCs w:val="20"/>
                          </w:rPr>
                          <w:t>00</w:t>
                        </w:r>
                      </w:p>
                    </w:txbxContent>
                  </v:textbox>
                </v:rect>
                <v:rect id="_x0000_s1034" style="position:absolute;left:17361;top:-140;width:25003;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" filled="f" strokecolor="#09101d [484]" strokeweight="1pt">
                  <v:textbox>
                    <w:txbxContent>
                      <w:p w14:paraId="27281862" w14:textId="06924B0F" w:rsidR="00013A65" w:rsidRDefault="009A3192" w:rsidP="00013A65">
                        <w:pPr>
                          <w:rPr>
                            <w:color w:val="000000" w:themeColor="text1"/>
                            <w:sz w:val="20"/>
                            <w:szCs w:val="20"/>
                          </w:rPr>
                        </w:pPr>
                        <w:r w:rsidRPr="009A3192">
                          <w:rPr>
                            <w:color w:val="000000" w:themeColor="text1"/>
                            <w:sz w:val="20"/>
                            <w:szCs w:val="20"/>
                          </w:rPr>
                          <w:t>96</w:t>
                        </w:r>
                        <w:r w:rsidR="00013A65" w:rsidRPr="009A3192">
                          <w:rPr>
                            <w:color w:val="000000" w:themeColor="text1"/>
                            <w:sz w:val="20"/>
                            <w:szCs w:val="20"/>
                          </w:rPr>
                          <w:t xml:space="preserve"> studies </w:t>
                        </w:r>
                        <w:r w:rsidR="00013A65">
                          <w:rPr>
                            <w:color w:val="000000" w:themeColor="text1"/>
                            <w:sz w:val="20"/>
                            <w:szCs w:val="20"/>
                          </w:rPr>
                          <w:t xml:space="preserve">excluded based </w:t>
                        </w:r>
                        <w:r>
                          <w:rPr>
                            <w:color w:val="000000" w:themeColor="text1"/>
                            <w:sz w:val="20"/>
                            <w:szCs w:val="20"/>
                          </w:rPr>
                          <w:t>publication year in last 5 years</w:t>
                        </w:r>
                        <w:r w:rsidR="00013A65" w:rsidRPr="009A3192">
                          <w:rPr>
                            <w:color w:val="000000" w:themeColor="text1"/>
                            <w:sz w:val="20"/>
                            <w:szCs w:val="20"/>
                          </w:rPr>
                          <w:t xml:space="preserve"> (n = 145)</w:t>
                        </w:r>
                      </w:p>
                      <w:p w14:paraId="483C3DFE" w14:textId="77777777" w:rsidR="00013A65" w:rsidRPr="003A0756" w:rsidRDefault="00013A65" w:rsidP="00013A65">
                        <w:pPr>
                          <w:rPr>
                            <w:b/>
                            <w:bCs/>
                            <w:color w:val="000000" w:themeColor="text1"/>
                            <w:sz w:val="20"/>
                            <w:szCs w:val="20"/>
                          </w:rPr>
                        </w:pPr>
                      </w:p>
                    </w:txbxContent>
                  </v:textbox>
                </v:rect>
                <v:shape id="Straight Arrow Connector 9" o:spid="_x0000_s1035" type="#_x0000_t32" style="position:absolute;left:14426;top:2828;width:29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" strokecolor="black [3200]" strokeweight=".5pt">
                  <v:stroke endarrow="block" joinstyle="miter"/>
                </v:shape>
              </v:group>
            </w:pict>
          </mc:Fallback>
        </mc:AlternateContent>
      </w:r>
    </w:p>
    <w:p w14:paraId="3B02FA24" w14:textId="2B05FAEB" w:rsidR="00013A65" w:rsidRPr="006012B3" w:rsidRDefault="00013A65" w:rsidP="00013A65">
      <w:pPr>
        <w:ind w:firstLine="284"/>
        <w:jc w:val="both"/>
        <w:rPr>
          <w:rFonts w:asciiTheme="minorHAnsi" w:hAnsiTheme="minorHAnsi" w:cstheme="minorHAnsi"/>
          <w:color w:val="0070C0"/>
        </w:rPr>
      </w:pPr>
    </w:p>
    <w:p w14:paraId="514FBB35" w14:textId="3874EF0E" w:rsidR="00626F4A" w:rsidRPr="006012B3" w:rsidRDefault="00626F4A" w:rsidP="00013A65">
      <w:pPr>
        <w:ind w:firstLine="284"/>
        <w:jc w:val="both"/>
        <w:rPr>
          <w:rFonts w:asciiTheme="minorHAnsi" w:hAnsiTheme="minorHAnsi" w:cstheme="minorHAnsi"/>
          <w:color w:val="0070C0"/>
        </w:rPr>
      </w:pPr>
    </w:p>
    <w:p w14:paraId="4254B1C9" w14:textId="1F77DA12" w:rsidR="00626F4A"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1312" behindDoc="0" locked="0" layoutInCell="1" allowOverlap="1" wp14:anchorId="26735C33" wp14:editId="75F688F5">
                <wp:simplePos x="0" y="0"/>
                <wp:positionH relativeFrom="column">
                  <wp:posOffset>-228718</wp:posOffset>
                </wp:positionH>
                <wp:positionV relativeFrom="paragraph">
                  <wp:posOffset>198814</wp:posOffset>
                </wp:positionV>
                <wp:extent cx="1554864" cy="309880"/>
                <wp:effectExtent l="0" t="0" r="0" b="0"/>
                <wp:wrapNone/>
                <wp:docPr id="1123608154" name="Rounded Rectangle 7"/>
                <wp:cNvGraphicFramePr/>
                <a:graphic xmlns:a="http://schemas.openxmlformats.org/drawingml/2006/main">
                  <a:graphicData uri="http://schemas.microsoft.com/office/word/2010/wordprocessingShape">
                    <wps:wsp>
                      <wps:cNvSpPr/>
                      <wps:spPr>
                        <a:xfrm rot="16200000">
                          <a:off x="0" y="0"/>
                          <a:ext cx="1554864"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2323AC" w14:textId="77777777" w:rsidR="00013A65" w:rsidRPr="003A0756" w:rsidRDefault="00013A65" w:rsidP="00013A65">
                            <w:pPr>
                              <w:jc w:val="center"/>
                              <w:rPr>
                                <w:b/>
                                <w:bCs/>
                                <w:color w:val="000000" w:themeColor="text1"/>
                                <w:sz w:val="20"/>
                                <w:szCs w:val="20"/>
                              </w:rPr>
                            </w:pPr>
                            <w:r>
                              <w:rPr>
                                <w:b/>
                                <w:bCs/>
                                <w:color w:val="000000" w:themeColor="text1"/>
                                <w:sz w:val="20"/>
                                <w:szCs w:val="20"/>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35C33" id="_x0000_s1036" style="position:absolute;left:0;text-align:left;margin-left:-18pt;margin-top:15.65pt;width:122.45pt;height:24.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" fillcolor="#d5dce4 [671]" stroked="f" strokeweight="1pt">
                <v:stroke joinstyle="miter"/>
                <v:textbox>
                  <w:txbxContent>
                    <w:p w14:paraId="4A2323AC" w14:textId="77777777" w:rsidR="00013A65" w:rsidRPr="003A0756" w:rsidRDefault="00013A65" w:rsidP="00013A65">
                      <w:pPr>
                        <w:jc w:val="center"/>
                        <w:rPr>
                          <w:b/>
                          <w:bCs/>
                          <w:color w:val="000000" w:themeColor="text1"/>
                          <w:sz w:val="20"/>
                          <w:szCs w:val="20"/>
                        </w:rPr>
                      </w:pPr>
                      <w:r>
                        <w:rPr>
                          <w:b/>
                          <w:bCs/>
                          <w:color w:val="000000" w:themeColor="text1"/>
                          <w:sz w:val="20"/>
                          <w:szCs w:val="20"/>
                        </w:rPr>
                        <w:t>Screening</w:t>
                      </w:r>
                    </w:p>
                  </w:txbxContent>
                </v:textbox>
              </v:roundrect>
            </w:pict>
          </mc:Fallback>
        </mc:AlternateContent>
      </w:r>
      <w:r w:rsidRPr="006012B3">
        <w:rPr>
          <w:rFonts w:asciiTheme="minorHAnsi" w:hAnsiTheme="minorHAnsi" w:cstheme="minorHAnsi"/>
          <w:noProof/>
          <w:color w:val="0070C0"/>
        </w:rPr>
        <mc:AlternateContent>
          <mc:Choice Requires="wps">
            <w:drawing>
              <wp:anchor distT="0" distB="0" distL="114300" distR="114300" simplePos="0" relativeHeight="251665408" behindDoc="0" locked="0" layoutInCell="1" allowOverlap="1" wp14:anchorId="5DC98A6B" wp14:editId="19DC890E">
                <wp:simplePos x="0" y="0"/>
                <wp:positionH relativeFrom="column">
                  <wp:posOffset>1577340</wp:posOffset>
                </wp:positionH>
                <wp:positionV relativeFrom="paragraph">
                  <wp:posOffset>172085</wp:posOffset>
                </wp:positionV>
                <wp:extent cx="0" cy="309880"/>
                <wp:effectExtent l="63500" t="0" r="38100" b="33020"/>
                <wp:wrapNone/>
                <wp:docPr id="1083047947" name="Straight Arrow Connector 12"/>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F7D2FBC" id="Straight Arrow Connector 12" o:spid="_x0000_s1026" type="#_x0000_t32" style="position:absolute;margin-left:124.2pt;margin-top:13.55pt;width:0;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" strokecolor="black [3200]" strokeweight=".5pt">
                <v:stroke endarrow="block" joinstyle="miter"/>
              </v:shape>
            </w:pict>
          </mc:Fallback>
        </mc:AlternateContent>
      </w:r>
    </w:p>
    <w:p w14:paraId="7C431389" w14:textId="42265281" w:rsidR="00013A65" w:rsidRPr="006012B3" w:rsidRDefault="00013A65" w:rsidP="00013A65">
      <w:pPr>
        <w:ind w:firstLine="284"/>
        <w:jc w:val="both"/>
        <w:rPr>
          <w:rFonts w:asciiTheme="minorHAnsi" w:hAnsiTheme="minorHAnsi" w:cstheme="minorHAnsi"/>
          <w:color w:val="0070C0"/>
        </w:rPr>
      </w:pPr>
    </w:p>
    <w:p w14:paraId="34517484" w14:textId="5337E6DE" w:rsidR="00013A65"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g">
            <w:drawing>
              <wp:anchor distT="0" distB="0" distL="114300" distR="114300" simplePos="0" relativeHeight="251663360" behindDoc="0" locked="0" layoutInCell="1" allowOverlap="1" wp14:anchorId="78A0CDC5" wp14:editId="7C0D6C41">
                <wp:simplePos x="0" y="0"/>
                <wp:positionH relativeFrom="column">
                  <wp:posOffset>882650</wp:posOffset>
                </wp:positionH>
                <wp:positionV relativeFrom="paragraph">
                  <wp:posOffset>90170</wp:posOffset>
                </wp:positionV>
                <wp:extent cx="4385655" cy="689182"/>
                <wp:effectExtent l="0" t="0" r="15240" b="15875"/>
                <wp:wrapNone/>
                <wp:docPr id="1536156400" name="Group 11"/>
                <wp:cNvGraphicFramePr/>
                <a:graphic xmlns:a="http://schemas.openxmlformats.org/drawingml/2006/main">
                  <a:graphicData uri="http://schemas.microsoft.com/office/word/2010/wordprocessingGroup">
                    <wpg:wgp>
                      <wpg:cNvGrpSpPr/>
                      <wpg:grpSpPr>
                        <a:xfrm>
                          <a:off x="0" y="0"/>
                          <a:ext cx="4385655" cy="689182"/>
                          <a:chOff x="0" y="-98253"/>
                          <a:chExt cx="4044667" cy="812309"/>
                        </a:xfrm>
                      </wpg:grpSpPr>
                      <wps:wsp>
                        <wps:cNvPr id="1297989714" name="Rectangle 8"/>
                        <wps:cNvSpPr/>
                        <wps:spPr>
                          <a:xfrm>
                            <a:off x="0" y="7627"/>
                            <a:ext cx="1387608" cy="6711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1C54A0" w14:textId="4422657E" w:rsidR="00013A65" w:rsidRDefault="009A3192" w:rsidP="00013A65">
                              <w:pPr>
                                <w:jc w:val="center"/>
                                <w:rPr>
                                  <w:color w:val="000000" w:themeColor="text1"/>
                                  <w:sz w:val="20"/>
                                  <w:szCs w:val="20"/>
                                </w:rPr>
                              </w:pPr>
                              <w:r w:rsidRPr="009A3192">
                                <w:rPr>
                                  <w:color w:val="000000" w:themeColor="text1"/>
                                  <w:sz w:val="20"/>
                                  <w:szCs w:val="20"/>
                                </w:rPr>
                                <w:t>145</w:t>
                              </w:r>
                              <w:r w:rsidR="00013A65" w:rsidRPr="009A3192">
                                <w:rPr>
                                  <w:color w:val="000000" w:themeColor="text1"/>
                                  <w:sz w:val="20"/>
                                  <w:szCs w:val="20"/>
                                </w:rPr>
                                <w:t xml:space="preserve"> studies </w:t>
                              </w:r>
                              <w:r w:rsidR="00013A65">
                                <w:rPr>
                                  <w:color w:val="000000" w:themeColor="text1"/>
                                  <w:sz w:val="20"/>
                                  <w:szCs w:val="20"/>
                                </w:rPr>
                                <w:t>assessed for full-text eligibility</w:t>
                              </w:r>
                            </w:p>
                            <w:p w14:paraId="76E7617A" w14:textId="290F38E0" w:rsidR="00013A65" w:rsidRPr="009A3192" w:rsidRDefault="00013A65" w:rsidP="00013A65">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w:t>
                              </w:r>
                              <w:r w:rsidR="009A3192" w:rsidRPr="009A3192">
                                <w:rPr>
                                  <w:color w:val="0D0D0D" w:themeColor="text1" w:themeTint="F2"/>
                                  <w:sz w:val="20"/>
                                  <w:szCs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226357" name="Rectangle 8"/>
                        <wps:cNvSpPr/>
                        <wps:spPr>
                          <a:xfrm>
                            <a:off x="1661005" y="-98253"/>
                            <a:ext cx="2383662" cy="81230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5937FFB" w14:textId="3050D492" w:rsidR="00013A65" w:rsidRPr="003901DA" w:rsidRDefault="009A3192" w:rsidP="00013A65">
                              <w:pPr>
                                <w:rPr>
                                  <w:color w:val="000000" w:themeColor="text1"/>
                                  <w:sz w:val="20"/>
                                  <w:szCs w:val="20"/>
                                </w:rPr>
                              </w:pPr>
                              <w:r>
                                <w:rPr>
                                  <w:color w:val="000000" w:themeColor="text1"/>
                                  <w:sz w:val="20"/>
                                  <w:szCs w:val="20"/>
                                </w:rPr>
                                <w:t xml:space="preserve">132 </w:t>
                              </w:r>
                              <w:r w:rsidR="00013A65" w:rsidRPr="009A3192">
                                <w:rPr>
                                  <w:color w:val="000000" w:themeColor="text1"/>
                                  <w:sz w:val="20"/>
                                  <w:szCs w:val="20"/>
                                </w:rPr>
                                <w:t xml:space="preserve">studies </w:t>
                              </w:r>
                              <w:r w:rsidR="00013A65">
                                <w:rPr>
                                  <w:color w:val="000000" w:themeColor="text1"/>
                                  <w:sz w:val="20"/>
                                  <w:szCs w:val="20"/>
                                </w:rPr>
                                <w:t xml:space="preserve">excluded based </w:t>
                              </w:r>
                              <w:r w:rsidR="003901DA" w:rsidRPr="003901DA">
                                <w:rPr>
                                  <w:color w:val="000000" w:themeColor="text1"/>
                                  <w:sz w:val="20"/>
                                  <w:szCs w:val="20"/>
                                </w:rPr>
                                <w:t>data that provides data on increases and decreases in regional temperatures</w:t>
                              </w:r>
                            </w:p>
                            <w:p w14:paraId="26A18100" w14:textId="77777777" w:rsidR="00013A65" w:rsidRPr="003A0756" w:rsidRDefault="00013A65" w:rsidP="00013A65">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102839" name="Straight Arrow Connector 9"/>
                        <wps:cNvCnPr>
                          <a:stCxn id="1297989714" idx="3"/>
                          <a:endCxn id="1116226357" idx="1"/>
                        </wps:cNvCnPr>
                        <wps:spPr>
                          <a:xfrm flipV="1">
                            <a:off x="1387499" y="307780"/>
                            <a:ext cx="27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A0CDC5" id="_x0000_s1037" style="position:absolute;left:0;text-align:left;margin-left:69.5pt;margin-top:7.1pt;width:345.35pt;height:54.25pt;z-index:251663360;mso-width-relative:margin;mso-height-relative:margin" coordorigin=",-982" coordsize="40446,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">
                <v:rect id="_x0000_s1038" style="position:absolute;top:76;width:138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" filled="f" strokecolor="#09101d [484]" strokeweight="1pt">
                  <v:textbox>
                    <w:txbxContent>
                      <w:p w14:paraId="411C54A0" w14:textId="4422657E" w:rsidR="00013A65" w:rsidRDefault="009A3192" w:rsidP="00013A65">
                        <w:pPr>
                          <w:jc w:val="center"/>
                          <w:rPr>
                            <w:color w:val="000000" w:themeColor="text1"/>
                            <w:sz w:val="20"/>
                            <w:szCs w:val="20"/>
                          </w:rPr>
                        </w:pPr>
                        <w:r w:rsidRPr="009A3192">
                          <w:rPr>
                            <w:color w:val="000000" w:themeColor="text1"/>
                            <w:sz w:val="20"/>
                            <w:szCs w:val="20"/>
                          </w:rPr>
                          <w:t>145</w:t>
                        </w:r>
                        <w:r w:rsidR="00013A65" w:rsidRPr="009A3192">
                          <w:rPr>
                            <w:color w:val="000000" w:themeColor="text1"/>
                            <w:sz w:val="20"/>
                            <w:szCs w:val="20"/>
                          </w:rPr>
                          <w:t xml:space="preserve"> studies </w:t>
                        </w:r>
                        <w:r w:rsidR="00013A65">
                          <w:rPr>
                            <w:color w:val="000000" w:themeColor="text1"/>
                            <w:sz w:val="20"/>
                            <w:szCs w:val="20"/>
                          </w:rPr>
                          <w:t>assessed for full-text eligibility</w:t>
                        </w:r>
                      </w:p>
                      <w:p w14:paraId="76E7617A" w14:textId="290F38E0" w:rsidR="00013A65" w:rsidRPr="009A3192" w:rsidRDefault="00013A65" w:rsidP="00013A65">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w:t>
                        </w:r>
                        <w:r w:rsidR="009A3192" w:rsidRPr="009A3192">
                          <w:rPr>
                            <w:color w:val="0D0D0D" w:themeColor="text1" w:themeTint="F2"/>
                            <w:sz w:val="20"/>
                            <w:szCs w:val="20"/>
                          </w:rPr>
                          <w:t>13</w:t>
                        </w:r>
                      </w:p>
                    </w:txbxContent>
                  </v:textbox>
                </v:rect>
                <v:rect id="_x0000_s1039" style="position:absolute;left:16610;top:-982;width:23836;height:8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" filled="f" strokecolor="#09101d [484]" strokeweight="1pt">
                  <v:textbox>
                    <w:txbxContent>
                      <w:p w14:paraId="25937FFB" w14:textId="3050D492" w:rsidR="00013A65" w:rsidRPr="003901DA" w:rsidRDefault="009A3192" w:rsidP="00013A65">
                        <w:pPr>
                          <w:rPr>
                            <w:color w:val="000000" w:themeColor="text1"/>
                            <w:sz w:val="20"/>
                            <w:szCs w:val="20"/>
                          </w:rPr>
                        </w:pPr>
                        <w:r>
                          <w:rPr>
                            <w:color w:val="000000" w:themeColor="text1"/>
                            <w:sz w:val="20"/>
                            <w:szCs w:val="20"/>
                          </w:rPr>
                          <w:t xml:space="preserve">132 </w:t>
                        </w:r>
                        <w:r w:rsidR="00013A65" w:rsidRPr="009A3192">
                          <w:rPr>
                            <w:color w:val="000000" w:themeColor="text1"/>
                            <w:sz w:val="20"/>
                            <w:szCs w:val="20"/>
                          </w:rPr>
                          <w:t xml:space="preserve">studies </w:t>
                        </w:r>
                        <w:r w:rsidR="00013A65">
                          <w:rPr>
                            <w:color w:val="000000" w:themeColor="text1"/>
                            <w:sz w:val="20"/>
                            <w:szCs w:val="20"/>
                          </w:rPr>
                          <w:t xml:space="preserve">excluded based </w:t>
                        </w:r>
                        <w:r w:rsidR="003901DA" w:rsidRPr="003901DA">
                          <w:rPr>
                            <w:color w:val="000000" w:themeColor="text1"/>
                            <w:sz w:val="20"/>
                            <w:szCs w:val="20"/>
                          </w:rPr>
                          <w:t>data that provides data on increases and decreases in regional temperatures</w:t>
                        </w:r>
                      </w:p>
                      <w:p w14:paraId="26A18100" w14:textId="77777777" w:rsidR="00013A65" w:rsidRPr="003A0756" w:rsidRDefault="00013A65" w:rsidP="00013A65">
                        <w:pPr>
                          <w:rPr>
                            <w:b/>
                            <w:bCs/>
                            <w:color w:val="000000" w:themeColor="text1"/>
                            <w:sz w:val="20"/>
                            <w:szCs w:val="20"/>
                          </w:rPr>
                        </w:pPr>
                      </w:p>
                    </w:txbxContent>
                  </v:textbox>
                </v:rect>
                <v:shape id="Straight Arrow Connector 9" o:spid="_x0000_s1040" type="#_x0000_t32" style="position:absolute;left:13874;top:3077;width:273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" strokecolor="black [3200]" strokeweight=".5pt">
                  <v:stroke endarrow="block" joinstyle="miter"/>
                </v:shape>
              </v:group>
            </w:pict>
          </mc:Fallback>
        </mc:AlternateContent>
      </w:r>
    </w:p>
    <w:p w14:paraId="33EFCEA2" w14:textId="77777777" w:rsidR="00013A65" w:rsidRPr="006012B3" w:rsidRDefault="00013A65" w:rsidP="00013A65">
      <w:pPr>
        <w:ind w:firstLine="284"/>
        <w:jc w:val="both"/>
        <w:rPr>
          <w:rFonts w:asciiTheme="minorHAnsi" w:hAnsiTheme="minorHAnsi" w:cstheme="minorHAnsi"/>
          <w:color w:val="0070C0"/>
        </w:rPr>
      </w:pPr>
    </w:p>
    <w:p w14:paraId="7116645D" w14:textId="77777777" w:rsidR="00626F4A" w:rsidRPr="006012B3" w:rsidRDefault="00626F4A" w:rsidP="00013A65">
      <w:pPr>
        <w:ind w:firstLine="284"/>
        <w:jc w:val="both"/>
        <w:rPr>
          <w:rFonts w:asciiTheme="minorHAnsi" w:hAnsiTheme="minorHAnsi" w:cstheme="minorHAnsi"/>
          <w:color w:val="0070C0"/>
        </w:rPr>
      </w:pPr>
    </w:p>
    <w:p w14:paraId="57D9F6A2" w14:textId="77777777" w:rsidR="00626F4A" w:rsidRPr="006012B3" w:rsidRDefault="00626F4A" w:rsidP="00013A65">
      <w:pPr>
        <w:ind w:firstLine="284"/>
        <w:jc w:val="both"/>
        <w:rPr>
          <w:rFonts w:asciiTheme="minorHAnsi" w:hAnsiTheme="minorHAnsi" w:cstheme="minorHAnsi"/>
          <w:color w:val="0070C0"/>
        </w:rPr>
      </w:pPr>
    </w:p>
    <w:p w14:paraId="6C7417D2" w14:textId="566EC7B5" w:rsidR="00626F4A"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6432" behindDoc="0" locked="0" layoutInCell="1" allowOverlap="1" wp14:anchorId="291A2725" wp14:editId="5D63A7A8">
                <wp:simplePos x="0" y="0"/>
                <wp:positionH relativeFrom="column">
                  <wp:posOffset>1527175</wp:posOffset>
                </wp:positionH>
                <wp:positionV relativeFrom="paragraph">
                  <wp:posOffset>40640</wp:posOffset>
                </wp:positionV>
                <wp:extent cx="0" cy="391131"/>
                <wp:effectExtent l="63500" t="0" r="38100" b="28575"/>
                <wp:wrapNone/>
                <wp:docPr id="400750358" name="Straight Arrow Connector 12"/>
                <wp:cNvGraphicFramePr/>
                <a:graphic xmlns:a="http://schemas.openxmlformats.org/drawingml/2006/main">
                  <a:graphicData uri="http://schemas.microsoft.com/office/word/2010/wordprocessingShape">
                    <wps:wsp>
                      <wps:cNvCnPr/>
                      <wps:spPr>
                        <a:xfrm>
                          <a:off x="0" y="0"/>
                          <a:ext cx="0" cy="391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E872A3" id="Straight Arrow Connector 12" o:spid="_x0000_s1026" type="#_x0000_t32" style="position:absolute;margin-left:120.25pt;margin-top:3.2pt;width:0;height:3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" strokecolor="black [3200]" strokeweight=".5pt">
                <v:stroke endarrow="block" joinstyle="miter"/>
              </v:shape>
            </w:pict>
          </mc:Fallback>
        </mc:AlternateContent>
      </w:r>
    </w:p>
    <w:p w14:paraId="11D6FF29" w14:textId="27E9A4C1" w:rsidR="00013A65" w:rsidRPr="006012B3" w:rsidRDefault="00013A65" w:rsidP="00013A65">
      <w:pPr>
        <w:ind w:firstLine="284"/>
        <w:jc w:val="both"/>
        <w:rPr>
          <w:rFonts w:asciiTheme="minorHAnsi" w:hAnsiTheme="minorHAnsi" w:cstheme="minorHAnsi"/>
          <w:color w:val="0070C0"/>
        </w:rPr>
      </w:pPr>
    </w:p>
    <w:p w14:paraId="0007875D" w14:textId="49624473" w:rsidR="00013A65" w:rsidRPr="006012B3" w:rsidRDefault="00626F4A" w:rsidP="00013A65">
      <w:pPr>
        <w:ind w:firstLine="284"/>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8480" behindDoc="0" locked="0" layoutInCell="1" allowOverlap="1" wp14:anchorId="5543B7ED" wp14:editId="0A199552">
                <wp:simplePos x="0" y="0"/>
                <wp:positionH relativeFrom="column">
                  <wp:posOffset>878205</wp:posOffset>
                </wp:positionH>
                <wp:positionV relativeFrom="paragraph">
                  <wp:posOffset>58420</wp:posOffset>
                </wp:positionV>
                <wp:extent cx="1567180" cy="741680"/>
                <wp:effectExtent l="0" t="0" r="7620" b="7620"/>
                <wp:wrapNone/>
                <wp:docPr id="817908785" name="Rectangle 8"/>
                <wp:cNvGraphicFramePr/>
                <a:graphic xmlns:a="http://schemas.openxmlformats.org/drawingml/2006/main">
                  <a:graphicData uri="http://schemas.microsoft.com/office/word/2010/wordprocessingShape">
                    <wps:wsp>
                      <wps:cNvSpPr/>
                      <wps:spPr>
                        <a:xfrm>
                          <a:off x="0" y="0"/>
                          <a:ext cx="1567180" cy="741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DE950D" w14:textId="77777777" w:rsidR="00013A65" w:rsidRPr="00013A65" w:rsidRDefault="00013A65" w:rsidP="00013A65">
                            <w:pPr>
                              <w:jc w:val="center"/>
                              <w:rPr>
                                <w:color w:val="000000" w:themeColor="text1"/>
                                <w:sz w:val="20"/>
                                <w:szCs w:val="20"/>
                              </w:rPr>
                            </w:pPr>
                            <w:r>
                              <w:rPr>
                                <w:color w:val="000000" w:themeColor="text1"/>
                                <w:sz w:val="20"/>
                                <w:szCs w:val="20"/>
                              </w:rPr>
                              <w:t xml:space="preserve">Studies included in review (n = </w:t>
                            </w:r>
                            <w:proofErr w:type="gramStart"/>
                            <w:r>
                              <w:rPr>
                                <w:color w:val="000000" w:themeColor="text1"/>
                                <w:sz w:val="20"/>
                                <w:szCs w:val="20"/>
                              </w:rPr>
                              <w:t>13 )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3B7ED" id="Rectangle 8" o:spid="_x0000_s1041" style="position:absolute;left:0;text-align:left;margin-left:69.15pt;margin-top:4.6pt;width:123.4pt;height:5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" filled="f" strokecolor="#09101d [484]" strokeweight="1pt">
                <v:textbox>
                  <w:txbxContent>
                    <w:p w14:paraId="1CDE950D" w14:textId="77777777" w:rsidR="00013A65" w:rsidRPr="00013A65" w:rsidRDefault="00013A65" w:rsidP="00013A65">
                      <w:pPr>
                        <w:jc w:val="center"/>
                        <w:rPr>
                          <w:color w:val="000000" w:themeColor="text1"/>
                          <w:sz w:val="20"/>
                          <w:szCs w:val="20"/>
                        </w:rPr>
                      </w:pPr>
                      <w:r>
                        <w:rPr>
                          <w:color w:val="000000" w:themeColor="text1"/>
                          <w:sz w:val="20"/>
                          <w:szCs w:val="20"/>
                        </w:rPr>
                        <w:t xml:space="preserve">Studies included in review (n = </w:t>
                      </w:r>
                      <w:proofErr w:type="gramStart"/>
                      <w:r>
                        <w:rPr>
                          <w:color w:val="000000" w:themeColor="text1"/>
                          <w:sz w:val="20"/>
                          <w:szCs w:val="20"/>
                        </w:rPr>
                        <w:t>13 )</w:t>
                      </w:r>
                      <w:proofErr w:type="gramEnd"/>
                    </w:p>
                  </w:txbxContent>
                </v:textbox>
              </v:rect>
            </w:pict>
          </mc:Fallback>
        </mc:AlternateContent>
      </w:r>
    </w:p>
    <w:p w14:paraId="3BE0A87E" w14:textId="025DB5F2" w:rsidR="00013A65" w:rsidRPr="006012B3" w:rsidRDefault="009A3192" w:rsidP="00013A65">
      <w:pPr>
        <w:jc w:val="both"/>
        <w:rPr>
          <w:rFonts w:asciiTheme="minorHAnsi" w:hAnsiTheme="minorHAnsi" w:cstheme="minorHAnsi"/>
          <w:color w:val="0070C0"/>
        </w:rPr>
      </w:pPr>
      <w:r w:rsidRPr="006012B3">
        <w:rPr>
          <w:rFonts w:asciiTheme="minorHAnsi" w:hAnsiTheme="minorHAnsi" w:cstheme="minorHAnsi"/>
          <w:noProof/>
          <w:color w:val="0070C0"/>
        </w:rPr>
        <mc:AlternateContent>
          <mc:Choice Requires="wps">
            <w:drawing>
              <wp:anchor distT="0" distB="0" distL="114300" distR="114300" simplePos="0" relativeHeight="251667456" behindDoc="0" locked="0" layoutInCell="1" allowOverlap="1" wp14:anchorId="266857BC" wp14:editId="103BF9EF">
                <wp:simplePos x="0" y="0"/>
                <wp:positionH relativeFrom="column">
                  <wp:posOffset>102236</wp:posOffset>
                </wp:positionH>
                <wp:positionV relativeFrom="paragraph">
                  <wp:posOffset>133785</wp:posOffset>
                </wp:positionV>
                <wp:extent cx="903148" cy="309880"/>
                <wp:effectExtent l="4445" t="0" r="3175" b="3175"/>
                <wp:wrapNone/>
                <wp:docPr id="851457031" name="Rounded Rectangle 7"/>
                <wp:cNvGraphicFramePr/>
                <a:graphic xmlns:a="http://schemas.openxmlformats.org/drawingml/2006/main">
                  <a:graphicData uri="http://schemas.microsoft.com/office/word/2010/wordprocessingShape">
                    <wps:wsp>
                      <wps:cNvSpPr/>
                      <wps:spPr>
                        <a:xfrm rot="16200000">
                          <a:off x="0" y="0"/>
                          <a:ext cx="903148"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08C21B" w14:textId="77777777" w:rsidR="00013A65" w:rsidRPr="003A0756" w:rsidRDefault="00013A65" w:rsidP="00013A65">
                            <w:pPr>
                              <w:jc w:val="center"/>
                              <w:rPr>
                                <w:b/>
                                <w:bCs/>
                                <w:color w:val="000000" w:themeColor="text1"/>
                                <w:sz w:val="20"/>
                                <w:szCs w:val="20"/>
                              </w:rPr>
                            </w:pPr>
                            <w:r>
                              <w:rPr>
                                <w:b/>
                                <w:bCs/>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857BC" id="_x0000_s1042" style="position:absolute;left:0;text-align:left;margin-left:8.05pt;margin-top:10.55pt;width:71.1pt;height:24.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" fillcolor="#d5dce4 [671]" stroked="f" strokeweight="1pt">
                <v:stroke joinstyle="miter"/>
                <v:textbox>
                  <w:txbxContent>
                    <w:p w14:paraId="2208C21B" w14:textId="77777777" w:rsidR="00013A65" w:rsidRPr="003A0756" w:rsidRDefault="00013A65" w:rsidP="00013A65">
                      <w:pPr>
                        <w:jc w:val="center"/>
                        <w:rPr>
                          <w:b/>
                          <w:bCs/>
                          <w:color w:val="000000" w:themeColor="text1"/>
                          <w:sz w:val="20"/>
                          <w:szCs w:val="20"/>
                        </w:rPr>
                      </w:pPr>
                      <w:r>
                        <w:rPr>
                          <w:b/>
                          <w:bCs/>
                          <w:color w:val="000000" w:themeColor="text1"/>
                          <w:sz w:val="20"/>
                          <w:szCs w:val="20"/>
                        </w:rPr>
                        <w:t>Included</w:t>
                      </w:r>
                    </w:p>
                  </w:txbxContent>
                </v:textbox>
              </v:roundrect>
            </w:pict>
          </mc:Fallback>
        </mc:AlternateContent>
      </w:r>
    </w:p>
    <w:p w14:paraId="34ACBBF9" w14:textId="47A79075" w:rsidR="00013A65" w:rsidRPr="006012B3" w:rsidRDefault="00013A65" w:rsidP="00013A65">
      <w:pPr>
        <w:ind w:firstLine="284"/>
        <w:jc w:val="both"/>
        <w:rPr>
          <w:rFonts w:asciiTheme="minorHAnsi" w:hAnsiTheme="minorHAnsi" w:cstheme="minorHAnsi"/>
          <w:color w:val="0070C0"/>
        </w:rPr>
      </w:pPr>
    </w:p>
    <w:p w14:paraId="530503C2" w14:textId="77777777" w:rsidR="00013A65" w:rsidRPr="006012B3" w:rsidRDefault="00013A65" w:rsidP="00013A65">
      <w:pPr>
        <w:rPr>
          <w:rFonts w:asciiTheme="minorHAnsi" w:hAnsiTheme="minorHAnsi" w:cstheme="minorHAnsi"/>
          <w:color w:val="0070C0"/>
        </w:rPr>
      </w:pPr>
    </w:p>
    <w:p w14:paraId="0D4C1C74" w14:textId="77777777" w:rsidR="00626F4A" w:rsidRPr="00205982" w:rsidRDefault="00626F4A" w:rsidP="00013A65">
      <w:pPr>
        <w:rPr>
          <w:rFonts w:asciiTheme="minorHAnsi" w:hAnsiTheme="minorHAnsi" w:cstheme="minorHAnsi"/>
          <w:color w:val="000000" w:themeColor="text1"/>
        </w:rPr>
      </w:pPr>
    </w:p>
    <w:p w14:paraId="6226E629" w14:textId="2BDBF97F" w:rsidR="00013A65" w:rsidRPr="00205982" w:rsidRDefault="00013A65" w:rsidP="009A3192">
      <w:pPr>
        <w:ind w:firstLine="284"/>
        <w:jc w:val="center"/>
        <w:rPr>
          <w:rFonts w:asciiTheme="minorHAnsi" w:hAnsiTheme="minorHAnsi" w:cstheme="minorHAnsi"/>
          <w:color w:val="0070C0"/>
          <w:sz w:val="22"/>
          <w:szCs w:val="22"/>
        </w:rPr>
      </w:pPr>
      <w:r w:rsidRPr="00205982">
        <w:rPr>
          <w:rFonts w:asciiTheme="minorHAnsi" w:hAnsiTheme="minorHAnsi" w:cstheme="minorHAnsi"/>
          <w:color w:val="000000" w:themeColor="text1"/>
          <w:sz w:val="22"/>
          <w:szCs w:val="22"/>
        </w:rPr>
        <w:t>Figure 1. PRISMA Diagram of Article Selection</w:t>
      </w:r>
    </w:p>
    <w:p w14:paraId="4F3924A3" w14:textId="77777777" w:rsidR="00F80893" w:rsidRPr="006012B3" w:rsidRDefault="00F80893" w:rsidP="002259B8">
      <w:pPr>
        <w:pStyle w:val="ListParagraph"/>
        <w:ind w:left="284"/>
        <w:rPr>
          <w:rFonts w:cstheme="minorHAnsi"/>
        </w:rPr>
      </w:pPr>
    </w:p>
    <w:p w14:paraId="04CBDECC" w14:textId="6433A9EF" w:rsidR="00744FE2" w:rsidRPr="006012B3" w:rsidRDefault="00904433" w:rsidP="00744FE2">
      <w:pPr>
        <w:pStyle w:val="ListParagraph"/>
        <w:ind w:left="284"/>
        <w:jc w:val="both"/>
        <w:rPr>
          <w:rFonts w:cstheme="minorHAnsi"/>
        </w:rPr>
      </w:pPr>
      <w:r w:rsidRPr="00904433">
        <w:rPr>
          <w:rFonts w:cstheme="minorHAnsi"/>
          <w:b/>
          <w:bCs/>
        </w:rPr>
        <w:t>Results and Discussion</w:t>
      </w:r>
    </w:p>
    <w:p w14:paraId="1C2EF4BB" w14:textId="3AC10689" w:rsidR="00744FE2" w:rsidRPr="006012B3" w:rsidRDefault="00642C8A" w:rsidP="00744FE2">
      <w:pPr>
        <w:pStyle w:val="ListParagraph"/>
        <w:ind w:left="284"/>
        <w:jc w:val="both"/>
        <w:rPr>
          <w:rFonts w:cstheme="minorHAnsi"/>
        </w:rPr>
      </w:pPr>
      <w:r w:rsidRPr="00642C8A">
        <w:rPr>
          <w:rFonts w:cstheme="minorHAnsi"/>
        </w:rPr>
        <w:t>In the last two decades, global dynamics have shown that almost all countries, without exception, are competing to improve their economic performance. The main motive is to achieve people's welfare through stable and sustainable economic growth. This narrative reflects the dominant development paradigm that assumes that increasing Gross Domestic Product (GDP) is directly correlated with improving the quality of life of the community.</w:t>
      </w:r>
      <w:r w:rsidR="00F921B9">
        <w:rPr>
          <w:rFonts w:cstheme="minorHAnsi"/>
        </w:rPr>
        <w:t xml:space="preserve"> </w:t>
      </w:r>
      <w:r w:rsidR="00F921B9" w:rsidRPr="00F921B9">
        <w:rPr>
          <w:rFonts w:cstheme="minorHAnsi"/>
          <w:color w:val="0070C0"/>
        </w:rPr>
        <w:fldChar w:fldCharType="begin" w:fldLock="1"/>
      </w:r>
      <w:r w:rsidR="00CA6918">
        <w:rPr>
          <w:rFonts w:cstheme="minorHAnsi"/>
          <w:color w:val="0070C0"/>
        </w:rPr>
        <w:instrText>ADDIN CSL_CITATION {"citationItems":[{"id":"ITEM-1","itemData":{"ISSN":"1563-5147","author":[{"dropping-particle":"","family":"Jing","given":"Leijie","non-dropping-particle":"","parse-names":false,"suffix":""}],"container-title":"Mathematical Problems in Engineering","id":"ITEM-1","issue":"1","issued":{"date-parts":[["2022"]]},"page":"7420641","publisher":"Wiley Online Library","title":"Numerical Simulation‐Based Model for Analyzing the Correlation between GDP Index and Quality of Life","type":"article-journal","volume":"2022"},"uris":["http://www.mendeley.com/documents/?uuid=953a4239-149b-4eb3-9ea4-01547ceaa06e"]},{"id":"ITEM-2","itemData":{"ISSN":"2797-5827","author":[{"dropping-particle":"","family":"Dahliah","given":"Dahliah","non-dropping-particle":"","parse-names":false,"suffix":""},{"dropping-particle":"","family":"Nur","given":"Andi Nirwana","non-dropping-particle":"","parse-names":false,"suffix":""}],"container-title":"Golden Ratio of Social Science and Education","id":"ITEM-2","issue":"2","issued":{"date-parts":[["2021"]]},"page":"95-108","title":"The influence of unemployment, human development index and gross domestic product on poverty level","type":"article-journal","volume":"1"},"uris":["http://www.mendeley.com/documents/?uuid=350881d6-7d34-4492-a93c-2cc091f26025"]}],"mendeley":{"formattedCitation":"(Dahliah &amp; Nur, 2021; Jing, 2022)","plainTextFormattedCitation":"(Dahliah &amp; Nur, 2021; Jing, 2022)","previouslyFormattedCitation":"(Dahliah &amp; Nur, 2021; Jing, 2022)"},"properties":{"noteIndex":0},"schema":"https://github.com/citation-style-language/schema/raw/master/csl-citation.json"}</w:instrText>
      </w:r>
      <w:r w:rsidR="00F921B9" w:rsidRPr="00F921B9">
        <w:rPr>
          <w:rFonts w:cstheme="minorHAnsi"/>
          <w:color w:val="0070C0"/>
        </w:rPr>
        <w:fldChar w:fldCharType="separate"/>
      </w:r>
      <w:r w:rsidR="00F921B9" w:rsidRPr="00F921B9">
        <w:rPr>
          <w:rFonts w:cstheme="minorHAnsi"/>
          <w:noProof/>
          <w:color w:val="0070C0"/>
        </w:rPr>
        <w:t>(Dahliah &amp; Nur, 2021; Jing, 2022)</w:t>
      </w:r>
      <w:r w:rsidR="00F921B9" w:rsidRPr="00F921B9">
        <w:rPr>
          <w:rFonts w:cstheme="minorHAnsi"/>
          <w:color w:val="0070C0"/>
        </w:rPr>
        <w:fldChar w:fldCharType="end"/>
      </w:r>
      <w:r w:rsidR="00744FE2" w:rsidRPr="006012B3">
        <w:rPr>
          <w:rFonts w:cstheme="minorHAnsi"/>
        </w:rPr>
        <w:t xml:space="preserve">. </w:t>
      </w:r>
    </w:p>
    <w:p w14:paraId="506F5B63" w14:textId="77777777" w:rsidR="00744FE2" w:rsidRPr="006012B3" w:rsidRDefault="00744FE2" w:rsidP="00744FE2">
      <w:pPr>
        <w:pStyle w:val="ListParagraph"/>
        <w:ind w:left="284"/>
        <w:jc w:val="both"/>
        <w:rPr>
          <w:rFonts w:cstheme="minorHAnsi"/>
        </w:rPr>
      </w:pPr>
    </w:p>
    <w:p w14:paraId="5B11BA4F" w14:textId="01340C55" w:rsidR="00744FE2" w:rsidRPr="006012B3" w:rsidRDefault="00642C8A" w:rsidP="00744FE2">
      <w:pPr>
        <w:pStyle w:val="ListParagraph"/>
        <w:ind w:left="284"/>
        <w:jc w:val="both"/>
        <w:rPr>
          <w:rFonts w:cstheme="minorHAnsi"/>
        </w:rPr>
      </w:pPr>
      <w:r w:rsidRPr="00642C8A">
        <w:rPr>
          <w:rFonts w:cstheme="minorHAnsi"/>
        </w:rPr>
        <w:t xml:space="preserve">Based on the data </w:t>
      </w:r>
      <w:proofErr w:type="spellStart"/>
      <w:r w:rsidRPr="00642C8A">
        <w:rPr>
          <w:rFonts w:cstheme="minorHAnsi"/>
        </w:rPr>
        <w:t>analyzed</w:t>
      </w:r>
      <w:proofErr w:type="spellEnd"/>
      <w:r w:rsidRPr="00642C8A">
        <w:rPr>
          <w:rFonts w:cstheme="minorHAnsi"/>
        </w:rPr>
        <w:t xml:space="preserve"> and compared with various scientific literature, it was found that all countries showed an average positive economic growth during the period 2000–2020. Statistically, this is certainly an achievement worth noting. However, the critical question that arises is: what kind of economic growth is achieved? Is this growth inclusive and broad-based, or is it elitist and concentrated in certain sectors only? Several studies show that economic growth that is not accompanied by equitable income distribution, social protection, and investment in public sectors such as health and education actually widens the gap in inequality.</w:t>
      </w:r>
      <w:r w:rsidR="00CA6918" w:rsidRPr="00CA6918">
        <w:rPr>
          <w:rFonts w:cstheme="minorHAnsi"/>
          <w:color w:val="000000" w:themeColor="text1"/>
        </w:rPr>
        <w:t xml:space="preserve"> </w:t>
      </w:r>
      <w:r w:rsidR="00CA6918" w:rsidRPr="00CA6918">
        <w:rPr>
          <w:rFonts w:cstheme="minorHAnsi"/>
          <w:color w:val="0070C0"/>
        </w:rPr>
        <w:fldChar w:fldCharType="begin" w:fldLock="1"/>
      </w:r>
      <w:r w:rsidR="00CA6918">
        <w:rPr>
          <w:rFonts w:cstheme="minorHAnsi"/>
          <w:color w:val="0070C0"/>
        </w:rPr>
        <w:instrText>ADDIN CSL_CITATION {"citationItems":[{"id":"ITEM-1","itemData":{"ISSN":"2227-7099","author":[{"dropping-particle":"","family":"Davidescu","given":"Adriana AnaMaria","non-dropping-particle":"","parse-names":false,"suffix":""},{"dropping-particle":"","family":"Nae","given":"Tamara Maria","non-dropping-particle":"","parse-names":false,"suffix":""},{"dropping-particle":"","family":"Florescu","given":"Margareta-Stela","non-dropping-particle":"","parse-names":false,"suffix":""}],"container-title":"Economies","id":"ITEM-1","issue":"2","issued":{"date-parts":[["2024"]]},"page":"28","publisher":"MDPI","title":"From Policy to Impact: Advancing Economic Development and Tackling Social Inequities in Central and Eastern Europe","type":"article-journal","volume":"12"},"uris":["http://www.mendeley.com/documents/?uuid=b5c61c1f-b9f7-4fb1-961f-db15295a77eb"]},{"id":"ITEM-2","itemData":{"ISSN":"0972-5792","author":[{"dropping-particle":"","family":"Mulugeta Woldegiorgis","given":"Mesfin","non-dropping-particle":"","parse-names":false,"suffix":""}],"container-title":"Journal of Social and Economic Development","id":"ITEM-2","issue":"2","issued":{"date-parts":[["2022"]]},"page":"241-265","publisher":"Springer","title":"Inequality, social protection policy, and inclusion: pertinent theories and empirical evidence","type":"article-journal","volume":"24"},"uris":["http://www.mendeley.com/documents/?uuid=efde48c4-6b61-452a-95ad-ce908be9619c"]}],"mendeley":{"formattedCitation":"(Davidescu et al., 2024; Mulugeta Woldegiorgis, 2022)","plainTextFormattedCitation":"(Davidescu et al., 2024; Mulugeta Woldegiorgis, 2022)","previouslyFormattedCitation":"(Davidescu et al., 2024; Mulugeta Woldegiorgis, 2022)"},"properties":{"noteIndex":0},"schema":"https://github.com/citation-style-language/schema/raw/master/csl-citation.json"}</w:instrText>
      </w:r>
      <w:r w:rsidR="00CA6918" w:rsidRPr="00CA6918">
        <w:rPr>
          <w:rFonts w:cstheme="minorHAnsi"/>
          <w:color w:val="0070C0"/>
        </w:rPr>
        <w:fldChar w:fldCharType="separate"/>
      </w:r>
      <w:r w:rsidR="00CA6918" w:rsidRPr="00CA6918">
        <w:rPr>
          <w:rFonts w:cstheme="minorHAnsi"/>
          <w:noProof/>
          <w:color w:val="0070C0"/>
        </w:rPr>
        <w:t>(Davidescu et al., 2024; Mulugeta Woldegiorgis, 2022)</w:t>
      </w:r>
      <w:r w:rsidR="00CA6918" w:rsidRPr="00CA6918">
        <w:rPr>
          <w:rFonts w:cstheme="minorHAnsi"/>
          <w:color w:val="0070C0"/>
        </w:rPr>
        <w:fldChar w:fldCharType="end"/>
      </w:r>
      <w:r w:rsidR="00744FE2" w:rsidRPr="006012B3">
        <w:rPr>
          <w:rFonts w:cstheme="minorHAnsi"/>
        </w:rPr>
        <w:t>.</w:t>
      </w:r>
    </w:p>
    <w:p w14:paraId="52253E44" w14:textId="77777777" w:rsidR="00744FE2" w:rsidRPr="006012B3" w:rsidRDefault="00744FE2" w:rsidP="00744FE2">
      <w:pPr>
        <w:pStyle w:val="ListParagraph"/>
        <w:ind w:left="284"/>
        <w:jc w:val="both"/>
        <w:rPr>
          <w:rFonts w:cstheme="minorHAnsi"/>
        </w:rPr>
      </w:pPr>
    </w:p>
    <w:p w14:paraId="5A4A7077" w14:textId="77777777" w:rsidR="005424F4" w:rsidRPr="006012B3" w:rsidRDefault="005424F4" w:rsidP="009D6628">
      <w:pPr>
        <w:pStyle w:val="ListParagraph"/>
        <w:ind w:left="284"/>
        <w:jc w:val="both"/>
        <w:rPr>
          <w:rFonts w:cstheme="minorHAnsi"/>
        </w:rPr>
      </w:pPr>
    </w:p>
    <w:p w14:paraId="68CA1DF0" w14:textId="11418638" w:rsidR="00744FE2" w:rsidRPr="006012B3" w:rsidRDefault="00642C8A" w:rsidP="00744FE2">
      <w:pPr>
        <w:pStyle w:val="ListParagraph"/>
        <w:ind w:left="284"/>
        <w:jc w:val="both"/>
        <w:rPr>
          <w:rFonts w:cstheme="minorHAnsi"/>
        </w:rPr>
      </w:pPr>
      <w:r w:rsidRPr="00642C8A">
        <w:rPr>
          <w:rFonts w:cstheme="minorHAnsi"/>
        </w:rPr>
        <w:t>Scientifically, the increase in regional temperatures can be caused by a combination of natural and artificial factors. However, the consistency of the upward trend across regions strengthens the suspicion that anthropogenic factors—such as massive urbanization, deforestation, land conversion, and greenhouse gas emissions—are playing a dominant role. The conversion of land surfaces from natural vegetation to built-up areas reduces albedo and evapotranspiration capacity, thereby storing more heat. When this happens simultaneously in many regions, the local heat accumulation becomes part of an interconnected regional warming network.</w:t>
      </w:r>
    </w:p>
    <w:p w14:paraId="2CEB6CE9" w14:textId="77777777" w:rsidR="00744FE2" w:rsidRPr="006012B3" w:rsidRDefault="00744FE2" w:rsidP="00744FE2">
      <w:pPr>
        <w:pStyle w:val="ListParagraph"/>
        <w:ind w:left="284"/>
        <w:jc w:val="both"/>
        <w:rPr>
          <w:rFonts w:cstheme="minorHAnsi"/>
        </w:rPr>
      </w:pPr>
    </w:p>
    <w:p w14:paraId="5EBDEFA0" w14:textId="56ECE0EE" w:rsidR="00744FE2" w:rsidRPr="006012B3" w:rsidRDefault="00642C8A" w:rsidP="00744FE2">
      <w:pPr>
        <w:pStyle w:val="ListParagraph"/>
        <w:ind w:left="284"/>
        <w:jc w:val="both"/>
        <w:rPr>
          <w:rFonts w:cstheme="minorHAnsi"/>
        </w:rPr>
      </w:pPr>
      <w:r w:rsidRPr="00642C8A">
        <w:rPr>
          <w:rFonts w:cstheme="minorHAnsi"/>
        </w:rPr>
        <w:t>Moreover, rising regional temperatures have serious multi-sector implications.</w:t>
      </w:r>
      <w:r w:rsidR="00CA6918">
        <w:rPr>
          <w:rFonts w:cstheme="minorHAnsi"/>
        </w:rPr>
        <w:t xml:space="preserve"> </w:t>
      </w:r>
      <w:r w:rsidR="00CA6918" w:rsidRPr="00CA6918">
        <w:rPr>
          <w:rFonts w:cstheme="minorHAnsi"/>
          <w:color w:val="0070C0"/>
        </w:rPr>
        <w:fldChar w:fldCharType="begin" w:fldLock="1"/>
      </w:r>
      <w:r w:rsidR="00EA32ED">
        <w:rPr>
          <w:rFonts w:cstheme="minorHAnsi"/>
          <w:color w:val="0070C0"/>
        </w:rPr>
        <w:instrText>ADDIN CSL_CITATION {"citationItems":[{"id":"ITEM-1","itemData":{"ISSN":"0165-0009","author":[{"dropping-particle":"","family":"Kolusu","given":"Seshagiri Rao","non-dropping-particle":"","parse-names":false,"suffix":""},{"dropping-particle":"","family":"Siderius","given":"Christian","non-dropping-particle":"","parse-names":false,"suffix":""},{"dropping-particle":"","family":"Todd","given":"Martin C","non-dropping-particle":"","parse-names":false,"suffix":""},{"dropping-particle":"","family":"Bhave","given":"Ajay","non-dropping-particle":"","parse-names":false,"suffix":""},{"dropping-particle":"","family":"Conway","given":"Declan","non-dropping-particle":"","parse-names":false,"suffix":""},{"dropping-particle":"","family":"James","given":"Rachel","non-dropping-particle":"","parse-names":false,"suffix":""},{"dropping-particle":"","family":"Washington","given":"Richard","non-dropping-particle":"","parse-names":false,"suffix":""},{"dropping-particle":"","family":"Geressu","given":"Robel","non-dropping-particle":"","parse-names":false,"suffix":""},{"dropping-particle":"","family":"Harou","given":"Julien J","non-dropping-particle":"","parse-names":false,"suffix":""},{"dropping-particle":"","family":"Kashaigili","given":"Japhet J","non-dropping-particle":"","parse-names":false,"suffix":""}],"container-title":"Climatic Change","id":"ITEM-1","issued":{"date-parts":[["2021"]]},"page":"1-20","publisher":"Springer","title":"Sensitivity of projected climate impacts to climate model weighting: multi-sector analysis in eastern Africa","type":"article-journal","volume":"164"},"uris":["http://www.mendeley.com/documents/?uuid=51e80b6f-408e-416c-8555-883fd0244e4e"]},{"id":"ITEM-2","itemData":{"ISSN":"0165-0009","author":[{"dropping-particle":"","family":"Sarofim","given":"Marcus C","non-dropping-particle":"","parse-names":false,"suffix":""},{"dropping-particle":"","family":"Martinich","given":"Jeremy","non-dropping-particle":"","parse-names":false,"suffix":""},{"dropping-particle":"","family":"Neumann","given":"James E","non-dropping-particle":"","parse-names":false,"suffix":""},{"dropping-particle":"","family":"Willwerth","given":"Jacqueline","non-dropping-particle":"","parse-names":false,"suffix":""},{"dropping-particle":"","family":"Kerrich","given":"Zoe","non-dropping-particle":"","parse-names":false,"suffix":""},{"dropping-particle":"","family":"Kolian","given":"Michael","non-dropping-particle":"","parse-names":false,"suffix":""},{"dropping-particle":"","family":"Fant","given":"Charles","non-dropping-particle":"","parse-names":false,"suffix":""},{"dropping-particle":"","family":"Hartin","given":"Corinne","non-dropping-particle":"","parse-names":false,"suffix":""}],"container-title":"Climatic Change","id":"ITEM-2","issue":"1","issued":{"date-parts":[["2021"]]},"page":"22","publisher":"Springer","title":"A temperature binning approach for multi-sector climate impact analysis","type":"article-journal","volume":"165"},"uris":["http://www.mendeley.com/documents/?uuid=2c176e7f-c647-4aab-b045-412987665468"]}],"mendeley":{"formattedCitation":"(Kolusu et al., 2021; Sarofim et al., 2021)","plainTextFormattedCitation":"(Kolusu et al., 2021; Sarofim et al., 2021)","previouslyFormattedCitation":"(Kolusu et al., 2021; Sarofim et al., 2021)"},"properties":{"noteIndex":0},"schema":"https://github.com/citation-style-language/schema/raw/master/csl-citation.json"}</w:instrText>
      </w:r>
      <w:r w:rsidR="00CA6918" w:rsidRPr="00CA6918">
        <w:rPr>
          <w:rFonts w:cstheme="minorHAnsi"/>
          <w:color w:val="0070C0"/>
        </w:rPr>
        <w:fldChar w:fldCharType="separate"/>
      </w:r>
      <w:r w:rsidR="00CA6918" w:rsidRPr="00CA6918">
        <w:rPr>
          <w:rFonts w:cstheme="minorHAnsi"/>
          <w:noProof/>
          <w:color w:val="0070C0"/>
        </w:rPr>
        <w:t>(Kolusu et al., 2021; Sarofim et al., 2021)</w:t>
      </w:r>
      <w:r w:rsidR="00CA6918" w:rsidRPr="00CA6918">
        <w:rPr>
          <w:rFonts w:cstheme="minorHAnsi"/>
          <w:color w:val="0070C0"/>
        </w:rPr>
        <w:fldChar w:fldCharType="end"/>
      </w:r>
      <w:r w:rsidR="00744FE2" w:rsidRPr="006012B3">
        <w:rPr>
          <w:rFonts w:cstheme="minorHAnsi"/>
        </w:rPr>
        <w:t xml:space="preserve">. </w:t>
      </w:r>
      <w:r w:rsidRPr="00642C8A">
        <w:rPr>
          <w:rFonts w:cstheme="minorHAnsi"/>
        </w:rPr>
        <w:t>In the health sector, rising temperatures can worsen the risk of heat-related diseases, such as heatstroke, dehydration, and cardiovascular disorders, especially in densely populated areas with limited access to artificial cooling. In the agricultural sector, higher temperatures can disrupt cropping cycles, reduce productivity, and accelerate soil evaporation. Even in the socio-political aspect, tensions can increase due to the struggle for increasingly scarce natural resources due to microclimate changes.</w:t>
      </w:r>
    </w:p>
    <w:p w14:paraId="379EA3D1" w14:textId="77777777" w:rsidR="00744FE2" w:rsidRPr="006012B3" w:rsidRDefault="00744FE2" w:rsidP="00744FE2">
      <w:pPr>
        <w:pStyle w:val="ListParagraph"/>
        <w:ind w:left="284"/>
        <w:jc w:val="both"/>
        <w:rPr>
          <w:rFonts w:cstheme="minorHAnsi"/>
        </w:rPr>
      </w:pPr>
    </w:p>
    <w:p w14:paraId="3A227592" w14:textId="51BD51E6" w:rsidR="001B1450" w:rsidRPr="006012B3" w:rsidRDefault="00744FE2" w:rsidP="00744FE2">
      <w:pPr>
        <w:pStyle w:val="ListParagraph"/>
        <w:ind w:left="284"/>
        <w:jc w:val="center"/>
        <w:rPr>
          <w:rFonts w:cstheme="minorHAnsi"/>
        </w:rPr>
      </w:pPr>
      <w:r w:rsidRPr="006012B3">
        <w:rPr>
          <w:rFonts w:cstheme="minorHAnsi"/>
          <w:b/>
          <w:bCs/>
        </w:rPr>
        <w:t>Tabl</w:t>
      </w:r>
      <w:r w:rsidR="00642C8A">
        <w:rPr>
          <w:rFonts w:cstheme="minorHAnsi"/>
          <w:b/>
          <w:bCs/>
        </w:rPr>
        <w:t>e</w:t>
      </w:r>
      <w:r w:rsidRPr="006012B3">
        <w:rPr>
          <w:rFonts w:cstheme="minorHAnsi"/>
          <w:b/>
          <w:bCs/>
        </w:rPr>
        <w:t xml:space="preserve"> 1.</w:t>
      </w:r>
      <w:r w:rsidRPr="006012B3">
        <w:rPr>
          <w:rFonts w:cstheme="minorHAnsi"/>
        </w:rPr>
        <w:t xml:space="preserve"> </w:t>
      </w:r>
      <w:r w:rsidR="00642C8A" w:rsidRPr="00642C8A">
        <w:rPr>
          <w:rFonts w:cstheme="minorHAnsi"/>
        </w:rPr>
        <w:t>Comparison of Temperature Increase and Economic Growth</w:t>
      </w:r>
    </w:p>
    <w:tbl>
      <w:tblPr>
        <w:tblStyle w:val="TableGrid"/>
        <w:tblW w:w="9550" w:type="dxa"/>
        <w:tblLook w:val="04A0" w:firstRow="1" w:lastRow="0" w:firstColumn="1" w:lastColumn="0" w:noHBand="0" w:noVBand="1"/>
      </w:tblPr>
      <w:tblGrid>
        <w:gridCol w:w="538"/>
        <w:gridCol w:w="1661"/>
        <w:gridCol w:w="1476"/>
        <w:gridCol w:w="3266"/>
        <w:gridCol w:w="2609"/>
      </w:tblGrid>
      <w:tr w:rsidR="001B1450" w:rsidRPr="00F921B9" w14:paraId="7F72280A" w14:textId="77777777" w:rsidTr="00961EB0">
        <w:trPr>
          <w:tblHeader/>
        </w:trPr>
        <w:tc>
          <w:tcPr>
            <w:tcW w:w="538" w:type="dxa"/>
            <w:vAlign w:val="center"/>
          </w:tcPr>
          <w:p w14:paraId="5CA6CA96" w14:textId="77777777" w:rsidR="001B1450" w:rsidRPr="00F921B9" w:rsidRDefault="001B1450" w:rsidP="00ED5968">
            <w:pPr>
              <w:jc w:val="center"/>
              <w:rPr>
                <w:rFonts w:asciiTheme="minorHAnsi" w:hAnsiTheme="minorHAnsi" w:cstheme="minorHAnsi"/>
                <w:b/>
                <w:bCs/>
                <w:sz w:val="22"/>
                <w:szCs w:val="22"/>
              </w:rPr>
            </w:pPr>
            <w:r w:rsidRPr="00F921B9">
              <w:rPr>
                <w:rFonts w:asciiTheme="minorHAnsi" w:hAnsiTheme="minorHAnsi" w:cstheme="minorHAnsi"/>
                <w:b/>
                <w:bCs/>
                <w:sz w:val="22"/>
                <w:szCs w:val="22"/>
              </w:rPr>
              <w:t>No.</w:t>
            </w:r>
          </w:p>
        </w:tc>
        <w:tc>
          <w:tcPr>
            <w:tcW w:w="1661" w:type="dxa"/>
            <w:vAlign w:val="center"/>
          </w:tcPr>
          <w:p w14:paraId="05B6BE6E" w14:textId="686F0307" w:rsidR="001B1450" w:rsidRPr="00F921B9" w:rsidRDefault="00642C8A" w:rsidP="00ED5968">
            <w:pPr>
              <w:jc w:val="center"/>
              <w:rPr>
                <w:rFonts w:asciiTheme="minorHAnsi" w:hAnsiTheme="minorHAnsi" w:cstheme="minorHAnsi"/>
                <w:b/>
                <w:bCs/>
                <w:sz w:val="22"/>
                <w:szCs w:val="22"/>
              </w:rPr>
            </w:pPr>
            <w:r w:rsidRPr="00642C8A">
              <w:rPr>
                <w:rFonts w:asciiTheme="minorHAnsi" w:hAnsiTheme="minorHAnsi" w:cstheme="minorHAnsi"/>
                <w:b/>
                <w:bCs/>
                <w:sz w:val="22"/>
                <w:szCs w:val="22"/>
              </w:rPr>
              <w:t>Writer</w:t>
            </w:r>
          </w:p>
        </w:tc>
        <w:tc>
          <w:tcPr>
            <w:tcW w:w="1476" w:type="dxa"/>
            <w:vAlign w:val="center"/>
          </w:tcPr>
          <w:p w14:paraId="4EB42A0C" w14:textId="76341518" w:rsidR="001B1450" w:rsidRPr="00F921B9" w:rsidRDefault="00642C8A" w:rsidP="00ED5968">
            <w:pPr>
              <w:jc w:val="center"/>
              <w:rPr>
                <w:rFonts w:asciiTheme="minorHAnsi" w:hAnsiTheme="minorHAnsi" w:cstheme="minorHAnsi"/>
                <w:b/>
                <w:bCs/>
                <w:sz w:val="22"/>
                <w:szCs w:val="22"/>
              </w:rPr>
            </w:pPr>
            <w:r>
              <w:rPr>
                <w:rFonts w:asciiTheme="minorHAnsi" w:hAnsiTheme="minorHAnsi" w:cstheme="minorHAnsi"/>
                <w:b/>
                <w:bCs/>
                <w:sz w:val="22"/>
                <w:szCs w:val="22"/>
              </w:rPr>
              <w:t>Country</w:t>
            </w:r>
          </w:p>
        </w:tc>
        <w:tc>
          <w:tcPr>
            <w:tcW w:w="3266" w:type="dxa"/>
            <w:vAlign w:val="center"/>
          </w:tcPr>
          <w:p w14:paraId="70BDEF04" w14:textId="15F5530B" w:rsidR="001B1450" w:rsidRPr="00F921B9" w:rsidRDefault="00642C8A" w:rsidP="00ED5968">
            <w:pPr>
              <w:jc w:val="center"/>
              <w:rPr>
                <w:rFonts w:asciiTheme="minorHAnsi" w:hAnsiTheme="minorHAnsi" w:cstheme="minorHAnsi"/>
                <w:b/>
                <w:bCs/>
                <w:sz w:val="22"/>
                <w:szCs w:val="22"/>
              </w:rPr>
            </w:pPr>
            <w:r w:rsidRPr="00642C8A">
              <w:rPr>
                <w:rFonts w:asciiTheme="minorHAnsi" w:hAnsiTheme="minorHAnsi" w:cstheme="minorHAnsi"/>
                <w:b/>
                <w:bCs/>
                <w:sz w:val="22"/>
                <w:szCs w:val="22"/>
              </w:rPr>
              <w:t>Summary</w:t>
            </w:r>
          </w:p>
        </w:tc>
        <w:tc>
          <w:tcPr>
            <w:tcW w:w="2609" w:type="dxa"/>
            <w:vAlign w:val="center"/>
          </w:tcPr>
          <w:p w14:paraId="4187526E" w14:textId="0D556471" w:rsidR="001B1450" w:rsidRPr="00F921B9" w:rsidRDefault="00642C8A" w:rsidP="00ED5968">
            <w:pPr>
              <w:jc w:val="center"/>
              <w:rPr>
                <w:rFonts w:asciiTheme="minorHAnsi" w:hAnsiTheme="minorHAnsi" w:cstheme="minorHAnsi"/>
                <w:b/>
                <w:bCs/>
                <w:sz w:val="22"/>
                <w:szCs w:val="22"/>
              </w:rPr>
            </w:pPr>
            <w:r w:rsidRPr="00642C8A">
              <w:rPr>
                <w:rFonts w:asciiTheme="minorHAnsi" w:hAnsiTheme="minorHAnsi" w:cstheme="minorHAnsi"/>
                <w:b/>
                <w:bCs/>
                <w:sz w:val="22"/>
                <w:szCs w:val="22"/>
              </w:rPr>
              <w:t>Economic Growth Period 2000-2020 (Data taken partially)</w:t>
            </w:r>
          </w:p>
        </w:tc>
      </w:tr>
      <w:tr w:rsidR="001B1450" w:rsidRPr="00F921B9" w14:paraId="1C3A4442" w14:textId="77777777" w:rsidTr="00ED5968">
        <w:tc>
          <w:tcPr>
            <w:tcW w:w="538" w:type="dxa"/>
          </w:tcPr>
          <w:p w14:paraId="5976FEEB"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w:t>
            </w:r>
          </w:p>
        </w:tc>
        <w:tc>
          <w:tcPr>
            <w:tcW w:w="1661" w:type="dxa"/>
          </w:tcPr>
          <w:p w14:paraId="451E5DCE" w14:textId="77777777" w:rsidR="001B1450" w:rsidRPr="00F921B9" w:rsidRDefault="001B1450" w:rsidP="00ED5968">
            <w:pPr>
              <w:rPr>
                <w:rFonts w:asciiTheme="minorHAnsi" w:hAnsiTheme="minorHAnsi" w:cstheme="minorHAnsi"/>
                <w:sz w:val="22"/>
                <w:szCs w:val="22"/>
              </w:rPr>
            </w:pPr>
            <w:r w:rsidRPr="00F921B9">
              <w:rPr>
                <w:rStyle w:val="FootnoteReference"/>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{"citationItems":[{"id":"ITEM-1","itemData":{"DOI":"10.1007/s40808-020-00907-6","abstract":"Arctic plays as a key climatic region, it is highly affected by climat e change. Climate change has long been considered as an effect of glob al warming, it is derived from complex linkages and changes in climate variables. Land surface temperature (LST) is known as one of the esse ntial climate variables (ECVs). Recent study founds that LST has risen in the Arctic. Due to the rising temperatures, there has been a massi ve decrease in basic Arctic features, which elevated the percentage of heat trapped in the surface. LST is an ECV which needs to be further investigated in key regions. This study aims to investigate LST change s over February 2000 to November 2019 in Spitsbergen. We used autoregr ession and multivariate regression with cubic spline used to investiga te LST changes over this period in Spitsbergen. Four knots and seven k nots cubic spline were applied, respectively, to detect acceleration a nd 7-year cycle. Research founds that LST in Spitsbergen rise by 1.039 °C per decade (CI 0.576–1.501; z: 4.403). Gustav Adolf Land, Nordaust landet has the highest temperature rise, location of the well-known Ve gafonna ice-caps. A notable increase has shown during winter days.","author":[{"dropping-particle":"","family":"Cendana","given":"Fitrahanjani","non-dropping-particle":"","parse-names":false,"suffix":""},{"dropping-particle":"","family":"Tofan","given":"Agung Eka Prasetya","non-dropping-particle":"","parse-names":false,"suffix":""},{"dropping-particle":"","family":"Rachmah","given":"Indawati","non-dropping-particle":"","parse-names":false,"suffix":""}],"container-title":"Modeling Earth Systems and Environment","id":"ITEM-1","issued":{"date-parts":[["2020"]]},"note":"Norway (Spitsbergen, Svalbard)\nThe main result reported in the abstract is that the land surface temperature (LST) in the Spitsbergen region increased by 1.039°C per decade, with a 95% confidence interval of 0.576-1.501°C per decade. The abstract also states that the Gustav Adolf Land region of Nordaustlandet within Spitsbergen had the highest temperature rise, though no specific measurement is provided for this region. Additionally, the abstract notes a &amp;quot;notable increase&amp;quot; in temperature during winter days, but does not quantify the magnitude of this winter increase.","title":"A statistical method for analysing temperature increase from remote se nsing data with application to Spitsbergen Island","type":"article-journal"},"uris":["http://www.mendeley.com/documents/?uuid=03626bde-9220-4a24-9b49-cb9707e91379"]}],"mendeley":{"formattedCitation":"(Cendana et al., 2020)","plainTextFormattedCitation":"(Cendana et al., 2020)","previouslyFormattedCitation":"(Cendana et al., 2020)"},"properties":{"noteIndex":0},"schema":"https://github.com/citation-style-language/schema/raw/master/csl-citation.json"}</w:instrText>
            </w:r>
            <w:r w:rsidRPr="00F921B9">
              <w:rPr>
                <w:rStyle w:val="FootnoteReference"/>
                <w:rFonts w:asciiTheme="minorHAnsi" w:hAnsiTheme="minorHAnsi" w:cstheme="minorHAnsi"/>
                <w:sz w:val="22"/>
                <w:szCs w:val="22"/>
              </w:rPr>
              <w:fldChar w:fldCharType="separate"/>
            </w:r>
            <w:r w:rsidRPr="00F921B9">
              <w:rPr>
                <w:rFonts w:asciiTheme="minorHAnsi" w:hAnsiTheme="minorHAnsi" w:cstheme="minorHAnsi"/>
                <w:noProof/>
                <w:sz w:val="22"/>
                <w:szCs w:val="22"/>
              </w:rPr>
              <w:t>(Cendana et al., 2020)</w:t>
            </w:r>
            <w:r w:rsidRPr="00F921B9">
              <w:rPr>
                <w:rStyle w:val="FootnoteReference"/>
                <w:rFonts w:asciiTheme="minorHAnsi" w:hAnsiTheme="minorHAnsi" w:cstheme="minorHAnsi"/>
                <w:sz w:val="22"/>
                <w:szCs w:val="22"/>
              </w:rPr>
              <w:fldChar w:fldCharType="end"/>
            </w:r>
          </w:p>
        </w:tc>
        <w:tc>
          <w:tcPr>
            <w:tcW w:w="1476" w:type="dxa"/>
          </w:tcPr>
          <w:p w14:paraId="390178E9"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Norway (Spitsbergen, Svalbard)</w:t>
            </w:r>
          </w:p>
        </w:tc>
        <w:tc>
          <w:tcPr>
            <w:tcW w:w="3266" w:type="dxa"/>
          </w:tcPr>
          <w:p w14:paraId="08884AA8" w14:textId="3FFC6E2B"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 xml:space="preserve">Over a 10-year period, land surface temperatures in the Spitsbergen region increased by </w:t>
            </w:r>
            <w:r w:rsidRPr="00BC418B">
              <w:rPr>
                <w:rFonts w:asciiTheme="minorHAnsi" w:hAnsiTheme="minorHAnsi" w:cstheme="minorHAnsi"/>
                <w:sz w:val="22"/>
                <w:szCs w:val="22"/>
                <w:highlight w:val="yellow"/>
              </w:rPr>
              <w:t>1</w:t>
            </w:r>
            <w:r w:rsidR="00BC418B" w:rsidRPr="00BC418B">
              <w:rPr>
                <w:rFonts w:asciiTheme="minorHAnsi" w:hAnsiTheme="minorHAnsi" w:cstheme="minorHAnsi"/>
                <w:sz w:val="22"/>
                <w:szCs w:val="22"/>
                <w:highlight w:val="yellow"/>
              </w:rPr>
              <w:t>.</w:t>
            </w:r>
            <w:r w:rsidRPr="00BC418B">
              <w:rPr>
                <w:rFonts w:asciiTheme="minorHAnsi" w:hAnsiTheme="minorHAnsi" w:cstheme="minorHAnsi"/>
                <w:sz w:val="22"/>
                <w:szCs w:val="22"/>
                <w:highlight w:val="yellow"/>
              </w:rPr>
              <w:t>039</w:t>
            </w:r>
            <w:r w:rsidRPr="00642C8A">
              <w:rPr>
                <w:rFonts w:asciiTheme="minorHAnsi" w:hAnsiTheme="minorHAnsi" w:cstheme="minorHAnsi"/>
                <w:sz w:val="22"/>
                <w:szCs w:val="22"/>
              </w:rPr>
              <w:t>°C per decade, with the highest increase occurring in the Gustav Adolf Land region and a marked increase recorded on winter days.</w:t>
            </w:r>
          </w:p>
        </w:tc>
        <w:tc>
          <w:tcPr>
            <w:tcW w:w="2609" w:type="dxa"/>
          </w:tcPr>
          <w:p w14:paraId="6FA4B17F" w14:textId="55EC858D"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1.6 percent per year.</w:t>
            </w:r>
          </w:p>
        </w:tc>
      </w:tr>
      <w:tr w:rsidR="001B1450" w:rsidRPr="00F921B9" w14:paraId="656B29DD" w14:textId="77777777" w:rsidTr="00ED5968">
        <w:tc>
          <w:tcPr>
            <w:tcW w:w="538" w:type="dxa"/>
          </w:tcPr>
          <w:p w14:paraId="025959D8"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2.</w:t>
            </w:r>
          </w:p>
        </w:tc>
        <w:tc>
          <w:tcPr>
            <w:tcW w:w="1661" w:type="dxa"/>
          </w:tcPr>
          <w:p w14:paraId="38D859FC"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{"citationItems":[{"id":"ITEM-1","itemData":{"DOI":"10.1080/00207233.2019.1686884","ISSN":"0020-7233","abstract":"ABSTRACT The temporal variation in maximum (Tmax), mean (Tmean) and mi nimum (Tmin) temperature for 63 years (1951–2013) were analysed over t he Wainganga sub-basin, part of the Godawari basin using Mann–Kendall (MK) test and Sen’s Slope Estimator (SSE). The shifting in temperature pattern was analysed using Pettitt’s test, Standard Normal Homogeneit y Test (SNHT) and Buishand’s test. Results of the MK test and SSE for monthly temperatures show both upward and downward trends. Seasonal an alysis shows the positive trend of all temperatures. It has been found that Tmax, Tmean and Tmin are rising by 0.5 ºC, 0.37ºC and 0.25ºC, re spectively, during the study period. Spatial analysis using inverse di stance weighted interpolation method (IDW) shows maximum variation in Tmin. The annual mean temperature in the southern parts of the basin s hows a significant positive trend.","author":[{"dropping-particle":"","family":"Thakur","given":"Aradhana","non-dropping-particle":"","parse-names":false,"suffix":""},{"dropping-particle":"","family":"Mishra","given":"Prabhash Kumar","non-dropping-particle":"","parse-names":false,"suffix":""},{"dropping-particle":"","family":"Nema","given":"A K","non-dropping-particle":"","parse-names":false,"suffix":""},{"dropping-particle":"","family":"Sahoo","given":"Souranshu Prasad","non-dropping-particle":"","parse-names":false,"suffix":""}],"container-title":"International Journal of Environmental Studies","id":"ITEM-1","issue":"3","issued":{"date-parts":[["2019"]]},"language":"en","note":"India\n- Monthly temperature data showed both upward and downward trends, but seasonal analysis revealed an overall positive trend in maximum (Tmax), mean (Tmean), and minimum (Tmin) temperatures. - Tmax increased by 0.5°C, Tmean increased by 0.37°C, and Tmin increased by 0.25°C over the 63-year study period from 1951 to 2013. - Spatial analysis using the inverse distance weighted (IDW) interpolation method showed the greatest variation in Tmin across the Wainganga sub-basin. - The annual mean temperature in the southern parts of the Wainganga sub-basin showed a significant positive trend.","page":"464-479","title":"Spatio-temporal trends and shift analysis of temperature for Wainganga sub-basin, India","type":"article-journal","volume":"77"},"uris":["http://www.mendeley.com/documents/?uuid=017b79e7-bbfd-4b3b-888b-1aa9555d98a8"]}],"mendeley":{"formattedCitation":"(Thakur et al., 2019)","plainTextFormattedCitation":"(Thakur et al., 2019)","previouslyFormattedCitation":"(Thakur et al., 2019)"},"properties":{"noteIndex":0},"schema":"https://github.com/citation-style-language/schema/raw/master/csl-citation.json"}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(Thakur et al., 2019)</w:t>
            </w:r>
            <w:r w:rsidRPr="00F921B9">
              <w:rPr>
                <w:rFonts w:asciiTheme="minorHAnsi" w:hAnsiTheme="minorHAnsi" w:cstheme="minorHAnsi"/>
                <w:sz w:val="22"/>
                <w:szCs w:val="22"/>
              </w:rPr>
              <w:fldChar w:fldCharType="end"/>
            </w:r>
          </w:p>
        </w:tc>
        <w:tc>
          <w:tcPr>
            <w:tcW w:w="1476" w:type="dxa"/>
          </w:tcPr>
          <w:p w14:paraId="5F00D9F6"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India</w:t>
            </w:r>
          </w:p>
        </w:tc>
        <w:tc>
          <w:tcPr>
            <w:tcW w:w="3266" w:type="dxa"/>
          </w:tcPr>
          <w:p w14:paraId="3EB692CD" w14:textId="549E1201"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maximum, mean and minimum temperatures in the Wainganga sub-catchment showed increasing trends of around 0.08°C, 0.06°C and 0.04°C respectively, with the most significant increase recorded in annual mean temperature in the southern part of the area.</w:t>
            </w:r>
          </w:p>
        </w:tc>
        <w:tc>
          <w:tcPr>
            <w:tcW w:w="2609" w:type="dxa"/>
          </w:tcPr>
          <w:p w14:paraId="7D2A938B" w14:textId="751BDABA"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6.2 percent per year.</w:t>
            </w:r>
          </w:p>
        </w:tc>
      </w:tr>
      <w:tr w:rsidR="001B1450" w:rsidRPr="00F921B9" w14:paraId="36E7EADF" w14:textId="77777777" w:rsidTr="00ED5968">
        <w:tc>
          <w:tcPr>
            <w:tcW w:w="538" w:type="dxa"/>
          </w:tcPr>
          <w:p w14:paraId="5B31F28D"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3.</w:t>
            </w:r>
          </w:p>
        </w:tc>
        <w:tc>
          <w:tcPr>
            <w:tcW w:w="1661" w:type="dxa"/>
          </w:tcPr>
          <w:p w14:paraId="26330150"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{"citationItems":[{"id":"ITEM-1","itemData":{"DOI":"10.1016/j.ecolind.2020.106867","ISSN":"1470-160X","abstract":"The Qinghai-Tibetan Plateau (QTP), as the \"third pole of the earth\", i s China's the source of many driving ecological factors in China. Howe ver, in the context of increasing global change, the QTP is facing inc reasing ecological and environmental problems, such as vegetation degr adation and land surface temperature (LST) changes. Here, we first ana lyzed the spatiotemporal trends in the optimized soil-adjusted vegetat ion index (OSAVI) and the LST. Then, we explored the relationship of v egetation and LST changes to climatic factors. Finally, we calculated the response relationship of the spatial and temporal changes in veget ation and LST to global climate change. The results show that from 200 1 to 2016, the vegetation coverage on the QTP showed an overall upward trend, with significant spatial and temporal heterogeneity. The avera ge annual increase in the OSAVI value was 0.0071, and the areas with s ignificant OSAVI change trends accounted for 26.3% of the study area. Both OSAVI and LST showed a significant decreasing change trend with i ncreasing altitude. From 2001 to 2016, the LST on the QTP generally sh owed an upward trend, with a variation of 0.3824 °C. Most of the LST p eaks occured around July in each year, and climate warming will cause the peak time to occur earlier. In terms of spatial distribution, the change rate of the LST trend over the southern Himalaya and Hengduan M ountains was more than 40%. The LST in this area was negatively correl ated with OSAVI, and the annual mean value of OSAVI showed a negative trend in this area, with a change rate of 10%. In the QTP region, from 2001 to 2016, climate change affected vegetation growth and surface t emperature trends. During the growing season, spring and summer, OSAVI had a significant positive correlations with the atmospheric temperat ure (AT), but not with precipitation. In the same seasons, LST and AT showed very significant positive correlations, but were not correlated with precipitation. In autumn, OSAVI had no correlation with AT or pr ecipitation, while LST had a positive correlation with AT and precipit ation.","author":[{"dropping-particle":"","family":"Zou","given":"Fengli","non-dropping-particle":"","parse-names":false,"suffix":""},{"dropping-particle":"","family":"Li","given":"Haidong","non-dropping-particle":"","parse-names":false,"suffix":""},{"dropping-particle":"","family":"Hu","given":"Qingwu","non-dropping-particle":"","parse-names":false,"suffix":""}],"container-title":"Ecological Indicators","id":"ITEM-1","issued":{"date-parts":[["2020"]]},"language":"en","note":"China\n- Overall, vegetation coverage on the Qinghai-Tibetan Plateau (QTP) increased from 2001 to 2016, with an average annual increase in OSAVI of 0.0071 and significant increases in 26.3% of the study area. - Both vegetation greenness (OSAVI) and land surface temperature (LST) decreased with increasing altitude on the QTP. - Land surface temperature on the QTP increased by 0.3824°C from 2001 to 2016, with peak temperatures typically occurring around July, and climate warming causing these peaks to occur earlier. - In the southern Himalaya and Hengduan Mountains regions, the LST trend had a change rate of over 40%, and LST was negatively correlated with vegetation greenness (OSAVI), which also showed a 10% decrease in the annual mean value in this area.","page":"106867","title":"Responses of vegetation greening and land surface temperature variatio ns to global warming on the Qinghai-Tibetan Plateau, 2001–2016","type":"article-journal","volume":"119"},"uris":["http://www.mendeley.com/documents/?uuid=ac61a8de-fcd7-4c3f-9b11-a794e9d68f3a"]}],"mendeley":{"formattedCitation":"(Zou et al., 2020)","plainTextFormattedCitation":"(Zou et al., 2020)","previouslyFormattedCitation":"(Zou et al., 2020)"},"properties":{"noteIndex":0},"schema":"https://github.com/citation-style-language/schema/raw/master/csl-citation.json"}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(Zou et al., 2020)</w:t>
            </w:r>
            <w:r w:rsidRPr="00F921B9">
              <w:rPr>
                <w:rFonts w:asciiTheme="minorHAnsi" w:hAnsiTheme="minorHAnsi" w:cstheme="minorHAnsi"/>
                <w:sz w:val="22"/>
                <w:szCs w:val="22"/>
              </w:rPr>
              <w:fldChar w:fldCharType="end"/>
            </w:r>
          </w:p>
        </w:tc>
        <w:tc>
          <w:tcPr>
            <w:tcW w:w="1476" w:type="dxa"/>
          </w:tcPr>
          <w:p w14:paraId="0DC617BB"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China</w:t>
            </w:r>
          </w:p>
        </w:tc>
        <w:tc>
          <w:tcPr>
            <w:tcW w:w="3266" w:type="dxa"/>
          </w:tcPr>
          <w:p w14:paraId="03892738" w14:textId="34D3319A"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 xml:space="preserve">Over a 10-year period, land surface temperatures on the Qinghai-Tibet Plateau increased by about 0.25°C, with a significant warming trend especially in the southern Himalayas and the </w:t>
            </w:r>
            <w:proofErr w:type="spellStart"/>
            <w:r w:rsidRPr="00642C8A">
              <w:rPr>
                <w:rFonts w:asciiTheme="minorHAnsi" w:hAnsiTheme="minorHAnsi" w:cstheme="minorHAnsi"/>
                <w:sz w:val="22"/>
                <w:szCs w:val="22"/>
              </w:rPr>
              <w:t>Hengduan</w:t>
            </w:r>
            <w:proofErr w:type="spellEnd"/>
            <w:r w:rsidRPr="00642C8A">
              <w:rPr>
                <w:rFonts w:asciiTheme="minorHAnsi" w:hAnsiTheme="minorHAnsi" w:cstheme="minorHAnsi"/>
                <w:sz w:val="22"/>
                <w:szCs w:val="22"/>
              </w:rPr>
              <w:t xml:space="preserve"> Mountains.</w:t>
            </w:r>
          </w:p>
        </w:tc>
        <w:tc>
          <w:tcPr>
            <w:tcW w:w="2609" w:type="dxa"/>
          </w:tcPr>
          <w:p w14:paraId="3FB2515B" w14:textId="2EE4B037"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7 percent per year.</w:t>
            </w:r>
          </w:p>
        </w:tc>
      </w:tr>
      <w:tr w:rsidR="001B1450" w:rsidRPr="00F921B9" w14:paraId="09A82220" w14:textId="77777777" w:rsidTr="00ED5968">
        <w:tc>
          <w:tcPr>
            <w:tcW w:w="538" w:type="dxa"/>
          </w:tcPr>
          <w:p w14:paraId="7A2A4C8B"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4.</w:t>
            </w:r>
          </w:p>
        </w:tc>
        <w:tc>
          <w:tcPr>
            <w:tcW w:w="1661" w:type="dxa"/>
          </w:tcPr>
          <w:p w14:paraId="43C7610A"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{"citationItems":[{"id":"ITEM-1","itemData":{"DOI":"10.3390/rs16234612","ISSN":"2072-4292","abstract":"The Tarim River Basin (TRB) faces significant ecological challenges du e to global warming, making it essential to understand the changes in the climates of its sub-basins for effective management. With this aim , data from national meteorological stations, ERA5_Land, and climate i ndices from 1961 to 2021 were used to analyze the temperature and prec ipitation variations in the TRB and its sub-basins and to assess their climate sensitivity. Our results showed that (1) the annual mean temp erature increased by 0.2 °C/10a and precipitation increased by 7.1 mm/ 10a between 1961 and 2021. Moreover, precipitation trends varied signi ficantly among the sub-basins, with that in the Aksu River Basin incre asing the most (12.9 mm/10a) and that in the Cherchen River Basin incr easing the least (1.9 mm/10a). Moreover, ERA5_Land data accurately rep roduced the spatiotemporal patterns of temperature (correlation 0.92) and precipitation (correlation 0.72) in the TRB. (2) Empirical Orthogo nal Function analysis identified the northern sections of the Kaidu, W eigan, and Yerqiang river basins as centers of temperature sensitivity and the western part of the Kaidu and Cherchen River Basin as the cen ter of precipitation sensitivity. (3) Global warming is closely correl ated with sub-basin temperature (correlation above 0.5) but weakly cor related with precipitation (correlation 0.2~0.5). TRB temperatures wer e found to have a positive correlation with AMO, especially in the Hot an, Kashgar, and Aksu river basins, and a negative correlation with AO and NAO, particularly in the Keriya and Hotan river basins. Precipita tion correlations between the climate indices were complex and varied across the different basins.","author":[{"dropping-particle":"","family":"Wang","given":"Siqi","non-dropping-particle":"","parse-names":false,"suffix":""},{"dropping-particle":"","family":"Aihaiti","given":"Ailiyaer","non-dropping-particle":"","parse-names":false,"suffix":""},{"dropping-particle":"","family":"Mamtimin","given":"Ali","non-dropping-particle":"","parse-names":false,"suffix":""},{"dropping-particle":"","family":"Sayit","given":"Hajigul","non-dropping-particle":"","parse-names":false,"suffix":""},{"dropping-particle":"","family":"Peng","given":"Jian","non-dropping-particle":"","parse-names":false,"suffix":""},{"dropping-particle":"","family":"Liu","given":"Yongqiang","non-dropping-particle":"","parse-names":false,"suffix":""},{"dropping-particle":"","family":"Wang","given":"Yu","non-dropping-particle":"","parse-names":false,"suffix":""},{"dropping-particle":"","family":"Gao","given":"Jiacheng","non-dropping-particle":"","parse-names":false,"suffix":""},{"dropping-particle":"","family":"Song","given":"Meiqi","non-dropping-particle":"","parse-names":false,"suffix":""},{"dropping-particle":"","family":"Wen","given":"Cong","non-dropping-particle":"","parse-names":false,"suffix":""},{"dropping-particle":"","family":"Yang","given":"Fan","non-dropping-particle":"","parse-names":false,"suffix":""},{"dropping-particle":"","family":"Zhou","given":"Chenglong","non-dropping-particle":"","parse-names":false,"suffix":""},{"dropping-particle":"","family":"Huo","given":"Wen","non-dropping-particle":"","parse-names":false,"suffix":""},{"dropping-particle":"","family":"Wulayin","given":"Yisilamu","non-dropping-particle":"","parse-names":false,"suffix":""}],"container-title":"Remote Sensing","id":"ITEM-1","issue":"23","issued":{"date-parts":[["2024"]]},"language":"en","note":"China\n- The annual mean temperature in the Tarim River Basin increased by 0.2°C per decade between 1961 and 2021. - Precipitation in the Tarim River Basin increased by 7.1 mm per decade between 1961 and 2021. - Precipitation trends varied significantly among the sub-basins, with the Aksu River Basin seeing the largest increase of 12.9 mm per decade and the Cherchen River Basin seeing the smallest increase of 1.9 mm per decade. - The northern sections of the Kaidu, Weigan, and Yerqiang river basins were identified as centers of temperature sensitivity, while the western part of the Kaidu and Cherchen River Basins were identified as centers of precipitation sensitivity.","page":"4612","title":"Increases in Temperature and Precipitation in the Different Regions of the Tarim River Basin Between 1961 and 2021 Show Spatial and Temporal Heterogeneity","type":"article-journal","volume":"16"},"uris":["http://www.mendeley.com/documents/?uuid=6fb0e103-9a95-49dc-a99a-8c1e8085310e"]}],"mendeley":{"formattedCitation":"(Wang et al., 2024)","plainTextFormattedCitation":"(Wang et al., 2024)","previouslyFormattedCitation":"(Wang et al., 2024)"},"properties":{"noteIndex":0},"schema":"https://github.com/citation-style-language/schema/raw/master/csl-citation.json"}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(Wang et al., 2024)</w:t>
            </w:r>
            <w:r w:rsidRPr="00F921B9">
              <w:rPr>
                <w:rFonts w:asciiTheme="minorHAnsi" w:hAnsiTheme="minorHAnsi" w:cstheme="minorHAnsi"/>
                <w:sz w:val="22"/>
                <w:szCs w:val="22"/>
              </w:rPr>
              <w:fldChar w:fldCharType="end"/>
            </w:r>
          </w:p>
        </w:tc>
        <w:tc>
          <w:tcPr>
            <w:tcW w:w="1476" w:type="dxa"/>
          </w:tcPr>
          <w:p w14:paraId="52E28FE1"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China</w:t>
            </w:r>
          </w:p>
        </w:tc>
        <w:tc>
          <w:tcPr>
            <w:tcW w:w="3266" w:type="dxa"/>
          </w:tcPr>
          <w:p w14:paraId="58B67D02" w14:textId="7BD8EE2F"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 xml:space="preserve">Over a 10-year period, the annual average temperature in the </w:t>
            </w:r>
            <w:proofErr w:type="spellStart"/>
            <w:r w:rsidRPr="00642C8A">
              <w:rPr>
                <w:rFonts w:asciiTheme="minorHAnsi" w:hAnsiTheme="minorHAnsi" w:cstheme="minorHAnsi"/>
                <w:sz w:val="22"/>
                <w:szCs w:val="22"/>
              </w:rPr>
              <w:t>Tarim</w:t>
            </w:r>
            <w:proofErr w:type="spellEnd"/>
            <w:r w:rsidRPr="00642C8A">
              <w:rPr>
                <w:rFonts w:asciiTheme="minorHAnsi" w:hAnsiTheme="minorHAnsi" w:cstheme="minorHAnsi"/>
                <w:sz w:val="22"/>
                <w:szCs w:val="22"/>
              </w:rPr>
              <w:t xml:space="preserve"> </w:t>
            </w:r>
            <w:r w:rsidRPr="00642C8A">
              <w:rPr>
                <w:rFonts w:asciiTheme="minorHAnsi" w:hAnsiTheme="minorHAnsi" w:cstheme="minorHAnsi"/>
                <w:sz w:val="22"/>
                <w:szCs w:val="22"/>
              </w:rPr>
              <w:lastRenderedPageBreak/>
              <w:t xml:space="preserve">Basin increased by 0.2°C, with the northern areas of the </w:t>
            </w:r>
            <w:proofErr w:type="spellStart"/>
            <w:r w:rsidRPr="00642C8A">
              <w:rPr>
                <w:rFonts w:asciiTheme="minorHAnsi" w:hAnsiTheme="minorHAnsi" w:cstheme="minorHAnsi"/>
                <w:sz w:val="22"/>
                <w:szCs w:val="22"/>
              </w:rPr>
              <w:t>Kaidu</w:t>
            </w:r>
            <w:proofErr w:type="spellEnd"/>
            <w:r w:rsidRPr="00642C8A">
              <w:rPr>
                <w:rFonts w:asciiTheme="minorHAnsi" w:hAnsiTheme="minorHAnsi" w:cstheme="minorHAnsi"/>
                <w:sz w:val="22"/>
                <w:szCs w:val="22"/>
              </w:rPr>
              <w:t xml:space="preserve">, </w:t>
            </w:r>
            <w:proofErr w:type="spellStart"/>
            <w:r w:rsidRPr="00642C8A">
              <w:rPr>
                <w:rFonts w:asciiTheme="minorHAnsi" w:hAnsiTheme="minorHAnsi" w:cstheme="minorHAnsi"/>
                <w:sz w:val="22"/>
                <w:szCs w:val="22"/>
              </w:rPr>
              <w:t>Weigan</w:t>
            </w:r>
            <w:proofErr w:type="spellEnd"/>
            <w:r w:rsidRPr="00642C8A">
              <w:rPr>
                <w:rFonts w:asciiTheme="minorHAnsi" w:hAnsiTheme="minorHAnsi" w:cstheme="minorHAnsi"/>
                <w:sz w:val="22"/>
                <w:szCs w:val="22"/>
              </w:rPr>
              <w:t xml:space="preserve">, and </w:t>
            </w:r>
            <w:proofErr w:type="spellStart"/>
            <w:r w:rsidRPr="00642C8A">
              <w:rPr>
                <w:rFonts w:asciiTheme="minorHAnsi" w:hAnsiTheme="minorHAnsi" w:cstheme="minorHAnsi"/>
                <w:sz w:val="22"/>
                <w:szCs w:val="22"/>
              </w:rPr>
              <w:t>Yerqiang</w:t>
            </w:r>
            <w:proofErr w:type="spellEnd"/>
            <w:r w:rsidRPr="00642C8A">
              <w:rPr>
                <w:rFonts w:asciiTheme="minorHAnsi" w:hAnsiTheme="minorHAnsi" w:cstheme="minorHAnsi"/>
                <w:sz w:val="22"/>
                <w:szCs w:val="22"/>
              </w:rPr>
              <w:t xml:space="preserve"> basins being the </w:t>
            </w:r>
            <w:proofErr w:type="spellStart"/>
            <w:r w:rsidRPr="00642C8A">
              <w:rPr>
                <w:rFonts w:asciiTheme="minorHAnsi" w:hAnsiTheme="minorHAnsi" w:cstheme="minorHAnsi"/>
                <w:sz w:val="22"/>
                <w:szCs w:val="22"/>
              </w:rPr>
              <w:t>centers</w:t>
            </w:r>
            <w:proofErr w:type="spellEnd"/>
            <w:r w:rsidRPr="00642C8A">
              <w:rPr>
                <w:rFonts w:asciiTheme="minorHAnsi" w:hAnsiTheme="minorHAnsi" w:cstheme="minorHAnsi"/>
                <w:sz w:val="22"/>
                <w:szCs w:val="22"/>
              </w:rPr>
              <w:t xml:space="preserve"> of sensitivity to temperature change.</w:t>
            </w:r>
          </w:p>
        </w:tc>
        <w:tc>
          <w:tcPr>
            <w:tcW w:w="2609" w:type="dxa"/>
          </w:tcPr>
          <w:p w14:paraId="6BE6A07F" w14:textId="59440798"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lastRenderedPageBreak/>
              <w:t>7 percent per year.</w:t>
            </w:r>
          </w:p>
        </w:tc>
      </w:tr>
      <w:tr w:rsidR="001B1450" w:rsidRPr="00F921B9" w14:paraId="1F7E5BED" w14:textId="77777777" w:rsidTr="00ED5968">
        <w:tc>
          <w:tcPr>
            <w:tcW w:w="538" w:type="dxa"/>
          </w:tcPr>
          <w:p w14:paraId="1231CE04"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5.</w:t>
            </w:r>
          </w:p>
        </w:tc>
        <w:tc>
          <w:tcPr>
            <w:tcW w:w="1661" w:type="dxa"/>
          </w:tcPr>
          <w:p w14:paraId="1BB91F43"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{"citationItems":[{"id":"ITEM-1","itemData":{"DOI":"10.3390/cli8090101","ISSN":"2225-1154","abstract":"Climate change and shrinking of the Aral Sea have significantly affect ed the region’s temperature variations. Observed interannual changes i n Uzbekistan’s air temperature compared to the duration of synoptic we ather types (SWT) in Middle Asia were analyzed. Nonparametric Mann–Ken dall statistical test and climate trends coefficients were used to ide ntify trend characteristics of observed temperature from 1961–2016 to the baseline period of 1961–1990. The results showed increasing temper ature trends average to 1 °C in warm and cold half years over Uzbekist an. The 1991–2016 decadal temperature trend ranged from 0.25 °C/decade in the northwest to 0.52 °C/decade in the center, especially pronounc ed in the oasis and Aral Sea zones. There were also significant change s in the structure of regional SWT. The main difference in the structu re of SWT in Middle Asia relative to the baseline period was expressed in a decrease of cold mass invasion duration from 113.4 to 76.1 days and an increase in low-gradient baric field duration from 65.8 to 134. 6 days. The process of anthropogenic warming, which began in Uzbekista n in the 1960s of the twentieth century, has accelerated from the mid- 1970s with a higher mean annual air temperature than the baseline peri od’s climate normals (1961–1990) and is associated with changes in the regional SWT over Middle Asia.","author":[{"dropping-particle":"","family":"Kholmatjanov","given":"Bakhtiyar M","non-dropping-particle":"","parse-names":false,"suffix":""},{"dropping-particle":"V","family":"Petrov","given":"Yuriy","non-dropping-particle":"","parse-names":false,"suffix":""},{"dropping-particle":"","family":"Khujanazarov","given":"Temur","non-dropping-particle":"","parse-names":false,"suffix":""},{"dropping-particle":"","family":"Sulaymonova","given":"Nigora N","non-dropping-particle":"","parse-names":false,"suffix":""},{"dropping-particle":"","family":"Abdikulov","given":"Farrukh I","non-dropping-particle":"","parse-names":false,"suffix":""},{"dropping-particle":"","family":"Tanaka","given":"Kenji","non-dropping-particle":"","parse-names":false,"suffix":""}],"container-title":"Climate","id":"ITEM-1","issue":"9","issued":{"date-parts":[["2020"]]},"language":"en","note":"Uzbekistan\n1. An average temperature increase of 1°C in both the warm and cold seasons in Uzbekistan. 2. A more pronounced temperature increase in the central regions of Uzbekistan, especially in the oasis and Aral Sea zones, with a trend of 0.52°C/decade, compared to 0.25°C/decade in the northwest. 3. A decrease in the duration of cold mass invasions from 113.4 to 76.1 days and an increase in the duration of low-gradient baric fields from 65.8 to 134.6 days in the Middle Asia region, compared to the baseline period.","page":"101","title":"Analysis of Temperature Change in Uzbekistan and the Regional Atmosphe ric Circulation of Middle Asia during 1961–2016","type":"article-journal","volume":"8"},"uris":["http://www.mendeley.com/documents/?uuid=6238b299-2aa0-409e-a3a9-5571097aadee"]}],"mendeley":{"formattedCitation":"(Kholmatjanov et al., 2020)","plainTextFormattedCitation":"(Kholmatjanov et al., 2020)","previouslyFormattedCitation":"(Kholmatjanov et al., 2020)"},"properties":{"noteIndex":0},"schema":"https://github.com/citation-style-language/schema/raw/master/csl-citation.json"}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(Kholmatjanov et al., 2020)</w:t>
            </w:r>
            <w:r w:rsidRPr="00F921B9">
              <w:rPr>
                <w:rFonts w:asciiTheme="minorHAnsi" w:hAnsiTheme="minorHAnsi" w:cstheme="minorHAnsi"/>
                <w:sz w:val="22"/>
                <w:szCs w:val="22"/>
              </w:rPr>
              <w:fldChar w:fldCharType="end"/>
            </w:r>
          </w:p>
        </w:tc>
        <w:tc>
          <w:tcPr>
            <w:tcW w:w="1476" w:type="dxa"/>
          </w:tcPr>
          <w:p w14:paraId="27F0FC79"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Uzbekistan</w:t>
            </w:r>
          </w:p>
        </w:tc>
        <w:tc>
          <w:tcPr>
            <w:tcW w:w="3266" w:type="dxa"/>
          </w:tcPr>
          <w:p w14:paraId="63126B19" w14:textId="2B023573"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Uzbekistan experienced an increase in average temperatures by 0.52°C in the central regions and 0.25°C in the northwest, accompanied by a decrease in the duration of cold air mass invasions and an increase in days with low-gradient baric fields.</w:t>
            </w:r>
          </w:p>
        </w:tc>
        <w:tc>
          <w:tcPr>
            <w:tcW w:w="2609" w:type="dxa"/>
          </w:tcPr>
          <w:p w14:paraId="54A38050" w14:textId="5995D311" w:rsidR="001B1450" w:rsidRPr="00F921B9" w:rsidRDefault="00642C8A" w:rsidP="00ED5968">
            <w:pPr>
              <w:rPr>
                <w:rFonts w:asciiTheme="minorHAnsi" w:hAnsiTheme="minorHAnsi" w:cstheme="minorHAnsi"/>
                <w:sz w:val="22"/>
                <w:szCs w:val="22"/>
              </w:rPr>
            </w:pPr>
            <w:r>
              <w:rPr>
                <w:rFonts w:asciiTheme="minorHAnsi" w:hAnsiTheme="minorHAnsi" w:cstheme="minorHAnsi"/>
                <w:sz w:val="22"/>
                <w:szCs w:val="22"/>
              </w:rPr>
              <w:t>6</w:t>
            </w:r>
            <w:r w:rsidRPr="00642C8A">
              <w:rPr>
                <w:rFonts w:asciiTheme="minorHAnsi" w:hAnsiTheme="minorHAnsi" w:cstheme="minorHAnsi"/>
                <w:sz w:val="22"/>
                <w:szCs w:val="22"/>
              </w:rPr>
              <w:t xml:space="preserve"> percent per year.</w:t>
            </w:r>
          </w:p>
        </w:tc>
      </w:tr>
      <w:tr w:rsidR="001B1450" w:rsidRPr="00F921B9" w14:paraId="4FCB2EE9" w14:textId="77777777" w:rsidTr="00ED5968">
        <w:tc>
          <w:tcPr>
            <w:tcW w:w="538" w:type="dxa"/>
          </w:tcPr>
          <w:p w14:paraId="4D9944ED"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6.</w:t>
            </w:r>
          </w:p>
        </w:tc>
        <w:tc>
          <w:tcPr>
            <w:tcW w:w="1661" w:type="dxa"/>
          </w:tcPr>
          <w:p w14:paraId="0BF609EC" w14:textId="3F5B6D10" w:rsidR="001B1450" w:rsidRPr="00F921B9" w:rsidRDefault="001B1450" w:rsidP="00ED5968">
            <w:pPr>
              <w:rPr>
                <w:rFonts w:asciiTheme="minorHAnsi" w:hAnsiTheme="minorHAnsi" w:cstheme="minorHAnsi"/>
                <w:sz w:val="22"/>
                <w:szCs w:val="22"/>
              </w:rPr>
            </w:pPr>
            <w:r w:rsidRPr="00C577A8">
              <w:rPr>
                <w:rFonts w:asciiTheme="minorHAnsi" w:hAnsiTheme="minorHAnsi" w:cstheme="minorHAnsi"/>
                <w:sz w:val="22"/>
                <w:szCs w:val="22"/>
                <w:highlight w:val="yellow"/>
              </w:rPr>
              <w:fldChar w:fldCharType="begin" w:fldLock="1"/>
            </w:r>
            <w:r w:rsidR="00C577A8" w:rsidRPr="00C577A8">
              <w:rPr>
                <w:rFonts w:asciiTheme="minorHAnsi" w:hAnsiTheme="minorHAnsi" w:cstheme="minorHAnsi"/>
                <w:sz w:val="22"/>
                <w:szCs w:val="22"/>
                <w:highlight w:val="yellow"/>
              </w:rPr>
              <w:instrText>ADDIN CSL_CITATION {"citationItems":[{"id":"ITEM-1","itemData":{"DOI":"10.1007/s00704-021-03891-8","abstract":"Increased temperature is one of the signals of global warming. Trends in land surface temperature can be used to measure climate change. Thi s research aimed to investigate the variation of land surface temperat ure in Borneo island using a cubic spline method and a multivariate re gression model. The island was divided into 8 regions each comprising 9 subregions. Land surface temperatures for each subregion from 2000 t o 2019 were obtained from the National Aeronautics and Space Administr ation Moderate Resolution Imaging Spectroradiometer database. The aver age increase in temperature was 0.2 °C/decade with a 95% confidence in terval of (0.14, 0.27) °C. The changes differed by region; a significa nt increase was seen in Sarawak, North Kalimantan, West Kalimantan, We st-central Kalimantan, and Central-east Kalimantan region; a slight de crease in Sabah and Brunei Darussalam (Sabah and Brunei) region; a sli ght increase in East Kalimantan; and a stable trend in South Kalimanta n.","author":[{"dropping-particle":"","family":"Munawar","given":"Munawar","non-dropping-particle":"","parse-names":false,"suffix":""},{"dropping-particle":"","family":"Tofan","given":"Agung Eka Prasetya","non-dropping-particle":"","parse-names":false,"suffix":""},{"dropping-particle":"","family":"Rhysa","given":"McNeil","non-dropping-particle":"","parse-names":false,"suffix":""},{"dropping-particle":"","family":"R.","given":"Jani","non-dropping-particle":"","parse-names":false,"suffix":""}],"container-title":"Theoretical and Applied Climatology","id":"ITEM-1","issued":{"date-parts":[["2021"]]},"note":"Malaysia (Sarawak, Sabah), Indonesia (North Kalimantan, West Kalimantan, West-central Kalimantan, Central-east Kalimantan, East Kalimantan, South Kalimantan), Brunei Darussalam\n\n- Average increase in temperature of 0.2°C/decade across Borneo island, with a 95% confidence interval of (0.14, 0.27)°C - Significant increase in temperature in Sarawak, North Kalimantan, West Kalimantan, West-central Kalimantan, and Central-east Kalimantan regions - Slight decrease in temperature in Sabah and Brunei Darussalam region - Slight increase in temperature in East Kalimantan region - Stable temperature trend in South Kalimantan region\n","title":"Statistical modeling for land surface temperature in Borneo island fro m 2000 to 2019","type":"article-journal"},"uris":["http://www.mendeley.com/documents/?uuid=9780a453-45d8-4756-9d43-62f8f06360f2"]}],"mendeley":{"formattedCitation":"(Munawar et al., 2021)","plainTextFormattedCitation":"(Munawar et al., 2021)","previouslyFormattedCitation":"(M. et al., 2021)"},"properties":{"noteIndex":0},"schema":"https://github.com/citation-style-language/schema/raw/master/csl-citation.json"}</w:instrText>
            </w:r>
            <w:r w:rsidRPr="00C577A8">
              <w:rPr>
                <w:rFonts w:asciiTheme="minorHAnsi" w:hAnsiTheme="minorHAnsi" w:cstheme="minorHAnsi"/>
                <w:sz w:val="22"/>
                <w:szCs w:val="22"/>
                <w:highlight w:val="yellow"/>
              </w:rPr>
              <w:fldChar w:fldCharType="separate"/>
            </w:r>
            <w:r w:rsidR="00C577A8" w:rsidRPr="00C577A8">
              <w:rPr>
                <w:rFonts w:asciiTheme="minorHAnsi" w:hAnsiTheme="minorHAnsi" w:cstheme="minorHAnsi"/>
                <w:noProof/>
                <w:sz w:val="22"/>
                <w:szCs w:val="22"/>
                <w:highlight w:val="yellow"/>
              </w:rPr>
              <w:t>(Munawar et al., 2021)</w:t>
            </w:r>
            <w:r w:rsidRPr="00C577A8">
              <w:rPr>
                <w:rFonts w:asciiTheme="minorHAnsi" w:hAnsiTheme="minorHAnsi" w:cstheme="minorHAnsi"/>
                <w:sz w:val="22"/>
                <w:szCs w:val="22"/>
                <w:highlight w:val="yellow"/>
              </w:rPr>
              <w:fldChar w:fldCharType="end"/>
            </w:r>
          </w:p>
        </w:tc>
        <w:tc>
          <w:tcPr>
            <w:tcW w:w="1476" w:type="dxa"/>
          </w:tcPr>
          <w:p w14:paraId="78E763B2"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Malaysia (Sarawak, Sabah), Indonesia (North Kalimantan, West Kalimantan, West-central Kalimantan, Central-east Kalimantan, East Kalimantan, South Kalimantan), Brunei Darussalam</w:t>
            </w:r>
          </w:p>
          <w:p w14:paraId="5FE89002" w14:textId="77777777" w:rsidR="001B1450" w:rsidRPr="00F921B9" w:rsidRDefault="001B1450" w:rsidP="00ED5968">
            <w:pPr>
              <w:rPr>
                <w:rFonts w:asciiTheme="minorHAnsi" w:hAnsiTheme="minorHAnsi" w:cstheme="minorHAnsi"/>
                <w:sz w:val="22"/>
                <w:szCs w:val="22"/>
              </w:rPr>
            </w:pPr>
          </w:p>
        </w:tc>
        <w:tc>
          <w:tcPr>
            <w:tcW w:w="3266" w:type="dxa"/>
          </w:tcPr>
          <w:p w14:paraId="77E98FBD" w14:textId="15B5F283"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the average temperature on Borneo Island increased by 0.2°C, with significant increases occurring in Sarawak and most of Kalimantan, while Sabah, Brunei Darussalam and South Kalimantan showed decreasing or stable temperature trends.</w:t>
            </w:r>
          </w:p>
        </w:tc>
        <w:tc>
          <w:tcPr>
            <w:tcW w:w="2609" w:type="dxa"/>
          </w:tcPr>
          <w:p w14:paraId="563C3EE5" w14:textId="0F1315FB"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Malaysia: ~5,0</w:t>
            </w:r>
            <w:r w:rsidR="001E6723" w:rsidRPr="00F921B9">
              <w:rPr>
                <w:rFonts w:asciiTheme="minorHAnsi" w:hAnsiTheme="minorHAnsi" w:cstheme="minorHAnsi"/>
                <w:sz w:val="22"/>
                <w:szCs w:val="22"/>
              </w:rPr>
              <w:t xml:space="preserve">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p w14:paraId="6045AD22" w14:textId="77777777" w:rsidR="001B1450" w:rsidRPr="00F921B9" w:rsidRDefault="001B1450" w:rsidP="00ED5968">
            <w:pPr>
              <w:rPr>
                <w:rFonts w:asciiTheme="minorHAnsi" w:hAnsiTheme="minorHAnsi" w:cstheme="minorHAnsi"/>
                <w:sz w:val="22"/>
                <w:szCs w:val="22"/>
              </w:rPr>
            </w:pPr>
          </w:p>
          <w:p w14:paraId="6C0FD84D" w14:textId="346B8403"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Indonesia: ~5,3</w:t>
            </w:r>
            <w:r w:rsidR="001E6723" w:rsidRPr="00F921B9">
              <w:rPr>
                <w:rFonts w:asciiTheme="minorHAnsi" w:hAnsiTheme="minorHAnsi" w:cstheme="minorHAnsi"/>
                <w:sz w:val="22"/>
                <w:szCs w:val="22"/>
              </w:rPr>
              <w:t xml:space="preserve">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p w14:paraId="36E9F1D7" w14:textId="77777777" w:rsidR="001B1450" w:rsidRPr="00F921B9" w:rsidRDefault="001B1450" w:rsidP="00ED5968">
            <w:pPr>
              <w:rPr>
                <w:rFonts w:asciiTheme="minorHAnsi" w:hAnsiTheme="minorHAnsi" w:cstheme="minorHAnsi"/>
                <w:sz w:val="22"/>
                <w:szCs w:val="22"/>
              </w:rPr>
            </w:pPr>
          </w:p>
          <w:p w14:paraId="47EFA64A" w14:textId="6CF23EB8"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Brunei Darussalam: ~1,3</w:t>
            </w:r>
            <w:r w:rsidR="001E6723" w:rsidRPr="00F921B9">
              <w:rPr>
                <w:rFonts w:asciiTheme="minorHAnsi" w:hAnsiTheme="minorHAnsi" w:cstheme="minorHAnsi"/>
                <w:sz w:val="22"/>
                <w:szCs w:val="22"/>
              </w:rPr>
              <w:t xml:space="preserve">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tc>
      </w:tr>
      <w:tr w:rsidR="001B1450" w:rsidRPr="00F921B9" w14:paraId="29A517B9" w14:textId="77777777" w:rsidTr="00ED5968">
        <w:tc>
          <w:tcPr>
            <w:tcW w:w="538" w:type="dxa"/>
          </w:tcPr>
          <w:p w14:paraId="40D38C2B"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7.</w:t>
            </w:r>
          </w:p>
        </w:tc>
        <w:tc>
          <w:tcPr>
            <w:tcW w:w="1661" w:type="dxa"/>
          </w:tcPr>
          <w:p w14:paraId="0EB51A33"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{"citationItems":[{"id":"ITEM-1","itemData":{"DOI":"10.1088/1748-9326/acee99","abstract":"In recent decades, temperature variations have significantly affected  the ecosystem and human livelihood in Pakistan. The wavelet analysis i s employed to identify the associations between regional temperature c hange and global teleconnections, i.e. Atlantic Multidecadal Oscillati on (AMO), Arctic Oscillation (AO), North Atlantic Oscillation (NAO), E l Niño–Southern Oscillation (ENSO), Pacific Decadal Oscillation (PDO), Tropical Northern Atlantic Index (TNA), Pacific/North American Index (PNA), North Pacific Pattern (NP), Western Pacific Index (WP), and Wes tern Hemisphere Warm Pool (WHWP). This paper first uses monotonic modi fied Mann–Kendall and Sen’s slope estimator to compute the temperature changes in Pakistan and its homogenous climatic regions during 1960–2 020. It is found that the temperature in Pakistan has increased signif icantly at 0.23 °C dec−1 in the last 62 years, which is also higher th an the global average increase. This increase is more evident in regio n IV and V in spring at 0.63 and 0.43 °C dec−1 respectively, followed by summer and autumn. Temperature changes in Pakistan and its sub-regi ons are mainly associated with NP, WP and WHWP with higher mean signif icant coherences. Overall, temperature changes are significantly influ enced by multiple interactions of global teleconnections, and these co mbinations indicate that the integrated influence of teleconnections c an better explain the regional temperature changes. The teleconnection s with broader significant influence over Pakistan are NP + WP + WHWP, followed by Pacific-based (ENSO, PDO, and PNA), and Atlantic-based (A MO, AO, and NAO) indices as revealed by the mean significant coherence s of 0.82, 0.82 and 0.72 respectively. Annually, AMO, TNA and WHWP sho wed significant correlation with higher magnitudes of 0.44, 0.42 and 0 .20 respectively, indicating the modulation effect of these teleconnec tions on temperature changes over Pakistan. The combined impacts from the various teleconnections represent a considerable advancement in th e accuracy of significant temperature variations over the country. The se findings have significant implications for policymakers in terms of better planning and policies in light of climate change as well as at mospheric circulation variability.","author":[{"dropping-particle":"","family":"Azfar","given":"Hussain","non-dropping-particle":"","parse-names":false,"suffix":""},{"dropping-particle":"","family":"Ishtiaq","given":"Hussain","non-dropping-particle":"","parse-names":false,"suffix":""},{"dropping-particle":"","family":"Sajid","given":"Ali","non-dropping-particle":"","parse-names":false,"suffix":""},{"dropping-particle":"","family":"Waheed","given":"Ullah","non-dropping-particle":"","parse-names":false,"suffix":""},{"dropping-particle":"","family":"A.","given":"Rezaei","non-dropping-particle":"","parse-names":false,"suffix":""},{"dropping-particle":"","family":"Safi","given":"Ullah","non-dropping-particle":"","parse-names":false,"suffix":""},{"dropping-particle":"","family":"Haider","given":"Abbas","non-dropping-particle":"","parse-names":false,"suffix":""},{"dropping-particle":"","family":"Asima","given":"Manzoom","non-dropping-particle":"","parse-names":false,"suffix":""},{"dropping-particle":"","family":"Jinxing","given":"Zhou","non-dropping-particle":"","parse-names":false,"suffix":""},{"dropping-particle":"","family":"Jianhua","given":"Cao","non-dropping-particle":"","parse-names":false,"suffix":""}],"container-title":"Environmental Research Letters","id":"ITEM-1","issued":{"date-parts":[["2023"]]},"note":"Pakistan\n- Temperatures in Pakistan increased by 0.23°C per decade from 1960-2020, with the largest increases in the arid and semi-arid regions (R-IV, V, VI) compared to the more humid regions (R-II, I). - Temperatures increased most in spring, summer, and autumn, with winter temperatures increasing significantly in R-I, III, IV, VI, and the whole country, but summer temperatures decreasing in R-I, III, IV, and the whole country. - Autumn and annual temperatures increased significantly in R-III, IV, V, VI, and the whole country. - Wavelet analysis identified dominant temperature cycles at 8-16 months and 32-64 months that became more pronounced after the mid-1990s and 2010, indicating a substantial increase in temperatures over this time period.","title":"Ocean–atmosphere circulation coherences associated with temperature in crease in Pakistan","type":"article-journal"},"uris":["http://www.mendeley.com/documents/?uuid=275af7e8-a6ae-4164-9cdf-22c017eb205e"]}],"mendeley":{"formattedCitation":"(Azfar et al., 2023)","plainTextFormattedCitation":"(Azfar et al., 2023)","previouslyFormattedCitation":"(Azfar et al., 2023)"},"properties":{"noteIndex":0},"schema":"https://github.com/citation-style-language/schema/raw/master/csl-citation.json"}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(Azfar et al., 2023)</w:t>
            </w:r>
            <w:r w:rsidRPr="00F921B9">
              <w:rPr>
                <w:rFonts w:asciiTheme="minorHAnsi" w:hAnsiTheme="minorHAnsi" w:cstheme="minorHAnsi"/>
                <w:sz w:val="22"/>
                <w:szCs w:val="22"/>
              </w:rPr>
              <w:fldChar w:fldCharType="end"/>
            </w:r>
          </w:p>
        </w:tc>
        <w:tc>
          <w:tcPr>
            <w:tcW w:w="1476" w:type="dxa"/>
          </w:tcPr>
          <w:p w14:paraId="54BAE26E"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Pakistan</w:t>
            </w:r>
          </w:p>
        </w:tc>
        <w:tc>
          <w:tcPr>
            <w:tcW w:w="3266" w:type="dxa"/>
          </w:tcPr>
          <w:p w14:paraId="208D6FE1" w14:textId="52BE1DAE"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between 1960–2020, temperatures in Pakistan increased by an average of 0.23°C, with the most significant increases occurring in arid and semi-arid regions and during spring, autumn and winter.</w:t>
            </w:r>
          </w:p>
        </w:tc>
        <w:tc>
          <w:tcPr>
            <w:tcW w:w="2609" w:type="dxa"/>
          </w:tcPr>
          <w:p w14:paraId="6D09BD03" w14:textId="1DA02C45"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4,9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tc>
      </w:tr>
      <w:tr w:rsidR="001B1450" w:rsidRPr="00F921B9" w14:paraId="17C177F7" w14:textId="77777777" w:rsidTr="00ED5968">
        <w:tc>
          <w:tcPr>
            <w:tcW w:w="538" w:type="dxa"/>
          </w:tcPr>
          <w:p w14:paraId="3D8BE2F5"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8.</w:t>
            </w:r>
          </w:p>
        </w:tc>
        <w:tc>
          <w:tcPr>
            <w:tcW w:w="1661" w:type="dxa"/>
          </w:tcPr>
          <w:p w14:paraId="3A8EA72C"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{"citationItems":[{"id":"ITEM-1","itemData":{"DOI":"10.1007/s00704-021-03862-z","ISSN":"0177-798X","abstract":"This study investigates the effect of autocorrelation on temporal tren ds and step change on a monthly, seasonal and annual temperatures of s ix meteorological stations over the North of Algeria. Afterwards, link s between the general atmospheric circulation, via six climate indices , and temperature data are examined. The trends in temperatures are an alysed using six different versions of the Mann-Kendall approach while , the step changes of the time series are defined using the original P ettitt test and the modified-Pettitt. The Statistical tests have shown an increase in annual temperatures from 0.8 to 0.9°C since the 1980s in the coastal regions and the 1990s on the highlands. This warming mo st often exceeds 1°C on a seasonal scale, particularly in summer; howe ver, no significant trend is observed in the winter. On a monthly scal e, the increase in temperatures is marked between April and October. T he analysis of the relationships between six climate indices and avera ge temperatures has shown that the inter-annual temperature variabilit y is most often associated with the East Atlantic oscillation for the entire study area. The winter temperatures are influenced by the Medit erranean oscillation as well as the North Atlantic oscillation. The Ea st Atlantic oscillation is the dominant mode of circulation in spring and summer, whereas in autumn, the temperatures are strongly linked to the West Mediterranean oscillation. However, no significant correlati ons have been observed between temperatures and the Arctic oscillation and El Nino southern oscillation.","author":[{"dropping-particle":"","family":"Taïbi","given":"Sabrina","non-dropping-particle":"","parse-names":false,"suffix":""},{"dropping-particle":"","family":"Zeroual","given":"Ayoub","non-dropping-particle":"","parse-names":false,"suffix":""},{"dropping-particle":"","family":"Meddi","given":"Mohamed","non-dropping-particle":"","parse-names":false,"suffix":""}],"container-title":"Theoretical and Applied Climatology","id":"ITEM-1","issue":"3-4","issued":{"date-parts":[["2021"]]},"language":"en","note":"Algeria\n- Annual temperatures increased by 0.8-0.9°C in coastal regions since the 1980s, and on highlands since the 1990s. - Seasonal temperatures increased by over 1°C, particularly in the summer, but no significant trend was observed in the winter. - Monthly temperatures increased markedly from April to October.","page":"959-984","title":"Effect of autocorrelation on temporal trends in air-temperature in Nor thern Algeria and links with teleconnections patterns","type":"article-journal","volume":"147"},"uris":["http://www.mendeley.com/documents/?uuid=b7135642-c47a-467d-84e3-3ce50c85cb88"]}],"mendeley":{"formattedCitation":"(Taïbi et al., 2021)","plainTextFormattedCitation":"(Taïbi et al., 2021)","previouslyFormattedCitation":"(Taïbi et al., 2021)"},"properties":{"noteIndex":0},"schema":"https://github.com/citation-style-language/schema/raw/master/csl-citation.json"}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(Taïbi et al., 2021)</w:t>
            </w:r>
            <w:r w:rsidRPr="00F921B9">
              <w:rPr>
                <w:rFonts w:asciiTheme="minorHAnsi" w:hAnsiTheme="minorHAnsi" w:cstheme="minorHAnsi"/>
                <w:sz w:val="22"/>
                <w:szCs w:val="22"/>
              </w:rPr>
              <w:fldChar w:fldCharType="end"/>
            </w:r>
          </w:p>
        </w:tc>
        <w:tc>
          <w:tcPr>
            <w:tcW w:w="1476" w:type="dxa"/>
          </w:tcPr>
          <w:p w14:paraId="0DB0187B"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Algeria</w:t>
            </w:r>
          </w:p>
        </w:tc>
        <w:tc>
          <w:tcPr>
            <w:tcW w:w="3266" w:type="dxa"/>
          </w:tcPr>
          <w:p w14:paraId="37A7E3D3" w14:textId="49CEF4BC"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 xml:space="preserve">Over a 10-year period, annual temperatures in coastal areas have increased by 0.8–0.9°C since the 1980s and in the highlands since the 1990s, with seasonal increases of more than 1°C </w:t>
            </w:r>
            <w:r w:rsidRPr="00642C8A">
              <w:rPr>
                <w:rFonts w:asciiTheme="minorHAnsi" w:hAnsiTheme="minorHAnsi" w:cstheme="minorHAnsi"/>
                <w:sz w:val="22"/>
                <w:szCs w:val="22"/>
              </w:rPr>
              <w:lastRenderedPageBreak/>
              <w:t>mainly in summer, while winter trends remain insignificant.</w:t>
            </w:r>
          </w:p>
        </w:tc>
        <w:tc>
          <w:tcPr>
            <w:tcW w:w="2609" w:type="dxa"/>
          </w:tcPr>
          <w:p w14:paraId="3EDBF7E2" w14:textId="38F8091A"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lastRenderedPageBreak/>
              <w:t>2,6–3,0</w:t>
            </w:r>
            <w:r w:rsidR="001E6723" w:rsidRPr="00F921B9">
              <w:rPr>
                <w:rFonts w:asciiTheme="minorHAnsi" w:hAnsiTheme="minorHAnsi" w:cstheme="minorHAnsi"/>
                <w:sz w:val="22"/>
                <w:szCs w:val="22"/>
              </w:rPr>
              <w:t xml:space="preserve"> </w:t>
            </w:r>
            <w:r w:rsidR="00642C8A" w:rsidRPr="00642C8A">
              <w:rPr>
                <w:rFonts w:asciiTheme="minorHAnsi" w:hAnsiTheme="minorHAnsi" w:cstheme="minorHAnsi"/>
                <w:sz w:val="22"/>
                <w:szCs w:val="22"/>
              </w:rPr>
              <w:t>percent per year</w:t>
            </w:r>
            <w:r w:rsidR="001E6723" w:rsidRPr="00F921B9">
              <w:rPr>
                <w:rFonts w:asciiTheme="minorHAnsi" w:hAnsiTheme="minorHAnsi" w:cstheme="minorHAnsi"/>
                <w:sz w:val="22"/>
                <w:szCs w:val="22"/>
              </w:rPr>
              <w:t>.</w:t>
            </w:r>
          </w:p>
        </w:tc>
      </w:tr>
      <w:tr w:rsidR="001B1450" w:rsidRPr="00F921B9" w14:paraId="24BE5C22" w14:textId="77777777" w:rsidTr="00ED5968">
        <w:tc>
          <w:tcPr>
            <w:tcW w:w="538" w:type="dxa"/>
          </w:tcPr>
          <w:p w14:paraId="7423F08E"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9.</w:t>
            </w:r>
          </w:p>
        </w:tc>
        <w:tc>
          <w:tcPr>
            <w:tcW w:w="1661" w:type="dxa"/>
          </w:tcPr>
          <w:p w14:paraId="21D06FC6"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{"citationItems":[{"id":"ITEM-1","itemData":{"DOI":"10.1016/j.gloplacha.2020.103297","abstract":"Understanding the changes in Greenland's temperature is important for  assessing and predicting the mass of the Greenland ice sheet, which pl ays an important role in sea level rise. In this study, we analyzed th e annual and seasonal coastal Greenland's temperatures during the peri od 1952–2017 (focusing on the period 2013–2017) based on a dataset obt ained from the Danish Meteorological Institute (DMI). Overall, the ann ual coastal Greenland's temperature increased during 1952–2017 at a ra te of 0.23 °C decade−1, especially in the southeastern (0.70 °C decade −1) and northern (0.42 °C decade−1) regions of the island. From the ch anges in the seasonal coastal Greenland's composite temperature (CT), winter exhibited the largest change rate (0.28 °C decade−1), and the s ummer CT increased by 0.25 °C decade−1, while the spring CT increased by 0.17 °C decade−1 with less variation. The temperature increase acce lerated during 2013–2017 according to Mann-Kendall (M-K) tests, especi ally in the northeastern and northern regions of the island. The seaso nal temperature change of the whole island decreased in the following order: annual &gt; autumn &gt; summer &gt; winter &gt; spring. We also analyzed th e annual inland temperature change during the period 1997–2017 based o n a dataset obtained from the Greenland Climate Network; the results i ndicated that the inland temperature increased by 0.13 °C decade−1. Pe arson correlation analysis was used to determine the teleconnection re lationship between the coastal temperatures and large-scale atmosphere -ocean climate indexes, and we found that the Greenland Blocking Index (GBI), Atlantic Multidecadal Oscillation (AMO), Tropical Northern Atl antic Index (TNA), North Tropical Atlantic Index (NTA), Caribbean Inde x (CAR), Atlantic Meridional Mode (AMM), East Atlantic (EA) and Wester n Hemisphere warm pool (WHWP) have significant positive correlations w ith the coastal temperature in most months, except in February and May . However, the North Atlantic Oscillation (NAO), Arctic Oscillation (A O) and Eastern Asia/Western Russia (EAWR) show significant negative co rrelations with temperature. Overall, there exists a time lag effect b etween the climate indexes (except for the GBI, AO and NAO) and temper ature. From the application of the random forest model, we found that the GBI, NAO, CO2, AMO, N2O, SF6, CH4, and Northern Oscillation Index (NOI) are the most important variables that influenced the CT changes during 1979–2017. F…","author":[{"dropping-particle":"","family":"Saiping","given":"Jiang","non-dropping-particle":"","parse-names":false,"suffix":""},{"dropping-particle":"","family":"A.","given":"Ye","non-dropping-particle":"","parse-names":false,"suffix":""},{"dropping-particle":"","family":"C.","given":"Xiao","non-dropping-particle":"","parse-names":false,"suffix":""}],"id":"ITEM-1","issued":{"date-parts":[["2020"]]},"note":"Greenland\n- The annual coastal Greenland temperature increased by 0.23°C per decade from 1952-2017, with larger increases in the southeastern (0.70°C/decade) and northern (0.42°C/decade) regions. - The seasonal temperature changes showed the largest increase in winter at 0.28°C/decade, followed by summer at 0.25°C/decade and spring at 0.17°C/decade. - The temperature increase accelerated during 2013-2017, especially in the northeastern and northern regions of Greenland.","title":"The temperature increase in Greenland has accelerated in the past five years","type":"article-journal"},"uris":["http://www.mendeley.com/documents/?uuid=442bf00e-1f1a-4ca9-9a0a-04d7a1aaa2ef"]}],"mendeley":{"formattedCitation":"(Saiping et al., 2020)","plainTextFormattedCitation":"(Saiping et al., 2020)","previouslyFormattedCitation":"(Saiping et al., 2020)"},"properties":{"noteIndex":0},"schema":"https://github.com/citation-style-language/schema/raw/master/csl-citation.json"}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(Saiping et al., 2020)</w:t>
            </w:r>
            <w:r w:rsidRPr="00F921B9">
              <w:rPr>
                <w:rFonts w:asciiTheme="minorHAnsi" w:hAnsiTheme="minorHAnsi" w:cstheme="minorHAnsi"/>
                <w:sz w:val="22"/>
                <w:szCs w:val="22"/>
              </w:rPr>
              <w:fldChar w:fldCharType="end"/>
            </w:r>
          </w:p>
        </w:tc>
        <w:tc>
          <w:tcPr>
            <w:tcW w:w="1476" w:type="dxa"/>
          </w:tcPr>
          <w:p w14:paraId="545CBFE4"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Greenland</w:t>
            </w:r>
          </w:p>
        </w:tc>
        <w:tc>
          <w:tcPr>
            <w:tcW w:w="3266" w:type="dxa"/>
          </w:tcPr>
          <w:p w14:paraId="053A7A2E" w14:textId="62C39A7C"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from 1952 to 2017, annual temperatures on the coast of Greenland increased by an average of 0.23°C, with the largest increases in the southeast and north, and accelerated warming in 2013–2017, especially in the northeast and north.</w:t>
            </w:r>
          </w:p>
        </w:tc>
        <w:tc>
          <w:tcPr>
            <w:tcW w:w="2609" w:type="dxa"/>
          </w:tcPr>
          <w:p w14:paraId="2F6DDCDA" w14:textId="7E2A47D5"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1,1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r w:rsidR="001B1450" w:rsidRPr="00F921B9" w14:paraId="4052F708" w14:textId="77777777" w:rsidTr="00ED5968">
        <w:tc>
          <w:tcPr>
            <w:tcW w:w="538" w:type="dxa"/>
          </w:tcPr>
          <w:p w14:paraId="35E13C06"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10.</w:t>
            </w:r>
          </w:p>
        </w:tc>
        <w:tc>
          <w:tcPr>
            <w:tcW w:w="1661" w:type="dxa"/>
          </w:tcPr>
          <w:p w14:paraId="1CC88A73" w14:textId="2980668F"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00C577A8">
              <w:rPr>
                <w:rFonts w:asciiTheme="minorHAnsi" w:hAnsiTheme="minorHAnsi" w:cstheme="minorHAnsi"/>
                <w:sz w:val="22"/>
                <w:szCs w:val="22"/>
              </w:rPr>
              <w:instrText>ADDIN CSL_CITATION {"citationItems":[{"id":"ITEM-1","itemData":{"DOI":"10.1155/2024/5531961","abstract":"Land surface temperature (LST) is a critical indicator variable in cli mate science. In this study, the variation of LST on the island of New Guinea during 2000 to 2019 was investigated using a cubic spline mode l and a multivariate regression model. The data were obtained from the National Aeronautics and Space Administration moderate resolution ima ging spectroradiometer database. This study focused on 90 subregions w ith 105-pixels of latitude 90 kilometer apart. These subregions were c ategorized into 10 super-regions. The results showed that the mean cha nge in LST for all 90 subregions was +0.086°C per decade with a confid ence interval of (0.028, 0.144)oC. There were five super-regions with a significant mean LST change. LST increased significantly in the cent ral-north, central-south of the island (super-regions B1, C1, and C2 w ith 0.117°C, 0.162°C, and 0.185°C, respectively) and the southern part of Papua New Guinea (super-region E2 with 0.217°C), whereas it decrea sed in the middle part of the Indonesian territories (A2 with −0.122°C ). The results also showed that LST variation occurs at the subregiona l level. Climate change mitigation methods are critical for reducing t emperature rise and limiting any negative effects on the region.","author":[{"dropping-particle":"","family":"Munawar","given":"Munawar","non-dropping-particle":"","parse-names":false,"suffix":""},{"dropping-particle":"","family":"Rhysa","given":"McNeil","non-dropping-particle":"","parse-names":false,"suffix":""},{"dropping-particle":"","family":"Tofan","given":"Agung Eka Prasetya","non-dropping-particle":"","parse-names":false,"suffix":""},{"dropping-particle":"","family":"R.","given":"Jani","non-dropping-particle":"","parse-names":false,"suffix":""},{"dropping-particle":"","family":"Don","given":"McNeil","non-dropping-particle":"","parse-names":false,"suffix":""},{"dropping-particle":"","family":"Nitinun","given":"Pongsiri","non-dropping-particle":"","parse-names":false,"suffix":""}],"container-title":"Advances in Meteorology","id":"ITEM-1","issued":{"date-parts":[["2024"]]},"note":"Papua New Guinea, Indonesia\n- The mean change in LST across all 90 subregions was an increase of 0.086°C per decade, with a confidence interval of (0.028, 0.144)°C. - There were 5 super-regions with significant LST changes: - Super-regions B1, C1, and C2 (central-north and central-south) increased by 0.117°C, 0.162°C, and 0.185°C respectively. - Super-region E2 (southern Papua New Guinea) increased by 0.217°C. - Super-region A2 (middle Indonesian territories) decreased by 0.122°C.","title":"Modelling Land Surface Temperature Variation in New Guinea Island from 2000 to 2019 Using a Cubic Spline Model","type":"article-journal"},"uris":["http://www.mendeley.com/documents/?uuid=6e78fafd-7481-452b-9768-5618cf9f5bfc"]}],"mendeley":{"formattedCitation":"(Munawar et al., 2024)","plainTextFormattedCitation":"(Munawar et al., 2024)","previouslyFormattedCitation":"(M. et al., 2024)"},"properties":{"noteIndex":0},"schema":"https://github.com/citation-style-language/schema/raw/master/csl-citation.json"}</w:instrText>
            </w:r>
            <w:r w:rsidRPr="00F921B9">
              <w:rPr>
                <w:rFonts w:asciiTheme="minorHAnsi" w:hAnsiTheme="minorHAnsi" w:cstheme="minorHAnsi"/>
                <w:sz w:val="22"/>
                <w:szCs w:val="22"/>
              </w:rPr>
              <w:fldChar w:fldCharType="separate"/>
            </w:r>
            <w:r w:rsidR="00C577A8" w:rsidRPr="00C577A8">
              <w:rPr>
                <w:rFonts w:asciiTheme="minorHAnsi" w:hAnsiTheme="minorHAnsi" w:cstheme="minorHAnsi"/>
                <w:noProof/>
                <w:sz w:val="22"/>
                <w:szCs w:val="22"/>
              </w:rPr>
              <w:t>(</w:t>
            </w:r>
            <w:r w:rsidR="00C577A8" w:rsidRPr="00C577A8">
              <w:rPr>
                <w:rFonts w:asciiTheme="minorHAnsi" w:hAnsiTheme="minorHAnsi" w:cstheme="minorHAnsi"/>
                <w:noProof/>
                <w:sz w:val="22"/>
                <w:szCs w:val="22"/>
                <w:highlight w:val="yellow"/>
              </w:rPr>
              <w:t>Munawar et al., 2024)</w:t>
            </w:r>
            <w:r w:rsidRPr="00F921B9">
              <w:rPr>
                <w:rFonts w:asciiTheme="minorHAnsi" w:hAnsiTheme="minorHAnsi" w:cstheme="minorHAnsi"/>
                <w:sz w:val="22"/>
                <w:szCs w:val="22"/>
              </w:rPr>
              <w:fldChar w:fldCharType="end"/>
            </w:r>
          </w:p>
        </w:tc>
        <w:tc>
          <w:tcPr>
            <w:tcW w:w="1476" w:type="dxa"/>
          </w:tcPr>
          <w:p w14:paraId="54741034"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Papua New Guinea</w:t>
            </w:r>
          </w:p>
        </w:tc>
        <w:tc>
          <w:tcPr>
            <w:tcW w:w="3266" w:type="dxa"/>
          </w:tcPr>
          <w:p w14:paraId="039E7E1A" w14:textId="20AA3A6B"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average land surface temperatures across 90 subregions increased by 0.086°C, with significant increases occurring in central and southern Papua New Guinea.</w:t>
            </w:r>
          </w:p>
        </w:tc>
        <w:tc>
          <w:tcPr>
            <w:tcW w:w="2609" w:type="dxa"/>
          </w:tcPr>
          <w:p w14:paraId="72584B70" w14:textId="64521F88"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3,4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r w:rsidR="001B1450" w:rsidRPr="00F921B9" w14:paraId="175BB093" w14:textId="77777777" w:rsidTr="00ED5968">
        <w:tc>
          <w:tcPr>
            <w:tcW w:w="538" w:type="dxa"/>
          </w:tcPr>
          <w:p w14:paraId="49DBC4BF"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11.</w:t>
            </w:r>
          </w:p>
        </w:tc>
        <w:tc>
          <w:tcPr>
            <w:tcW w:w="1661" w:type="dxa"/>
          </w:tcPr>
          <w:p w14:paraId="0F17C13C"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{"citationItems":[{"id":"ITEM-1","itemData":{"DOI":"10.1007/s11769-022-1262-8","ISSN":"1002-0063","abstract":"Understanding the spatio-temporal variations of temperature and precip itation in the arid and semiarid region of China (ASRC) is of great si gnificance for promoting regional eco-environmental protection and pol icy-making. In this study, the annual and seasonal spatio-temporal pat terns of change in average temperature and precipitation and their inf luencing factors in the ASRC were analyzed using the Mann-Kendall test , linear tendency estimation, accumulative anomaly and the Pearson's c orrelation coefficient. The results showed that both annual average te mperature and average annual precipitation increased in the ASRC durin g 1951–2019. The temperature rose by about 1.93°C and precipitation in creased by about 24 mm. The seasonal average temperature presented a s ignificant increase trend, and the seasonal precipitation was conspicu ous ascension in spring and winter. The spatio-temporal patterns of ch ange in temperature and precipitation differed, with the southwest are a showing the most obvious variation in each season. Abrupt changes in annual and seasonal average temperature and precipitation occurred ma inly around the 1990s and after 2000, respectively. Atmospheric circul ation had an important effect on the trends and abrupt changes in temp erature and precipitation. The East Asian summer monsoon had the large st impact on the trend of average annual temperature, as well as on th e abrupt changes of annual average temperature and precipitation. Temp erature and precipitation changes in the ASRC were influenced by long- term and short-term as well as direct and indirect anthropogenic and n atural factors. This study identifies the characteristics of spatio-te mporal variations in temperature and precipitation in the ASRC and pro vides a scientific reference for the formulation of climate change res ponses.","author":[{"dropping-particle":"","family":"Huang","given":"Yufei","non-dropping-particle":"","parse-names":false,"suffix":""},{"dropping-particle":"","family":"Lu","given":"Chunyan","non-dropping-particle":"","parse-names":false,"suffix":""},{"dropping-particle":"","family":"Lei","given":"Yifan","non-dropping-particle":"","parse-names":false,"suffix":""},{"dropping-particle":"","family":"Su","given":"Yue","non-dropping-particle":"","parse-names":false,"suffix":""},{"dropping-particle":"","family":"Su","given":"Yanlin","non-dropping-particle":"","parse-names":false,"suffix":""},{"dropping-particle":"","family":"Wang","given":"Zili","non-dropping-particle":"","parse-names":false,"suffix":""}],"container-title":"Chinese Geographical Science","id":"ITEM-1","issue":"2","issued":{"date-parts":[["2022"]]},"language":"en","note":"China\n- Annual average temperature in the arid and semiarid region of China (ASRC) increased by about 1.93°C from 1951-2019. - Average annual precipitation in the ASRC increased by about 24 mm from 1951-2019. - Seasonal average temperature showed a significant increasing trend, with the most notable increases occurring in spring and winter. - The spatio-temporal patterns of change in temperature and precipitation differed across the region, with the southwest area showing the most obvious variations in each season.","page":"285-301","title":"Spatio-temporal Variations of Temperature and Precipitation During 195 1–2019 in Arid and Semiarid Region, China","type":"article-journal","volume":"32"},"uris":["http://www.mendeley.com/documents/?uuid=5a68db02-097a-4ecb-9727-dbae7f01138a"]}],"mendeley":{"formattedCitation":"(Huang et al., 2022)","plainTextFormattedCitation":"(Huang et al., 2022)","previouslyFormattedCitation":"(Huang et al., 2022)"},"properties":{"noteIndex":0},"schema":"https://github.com/citation-style-language/schema/raw/master/csl-citation.json"}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(Huang et al., 2022)</w:t>
            </w:r>
            <w:r w:rsidRPr="00F921B9">
              <w:rPr>
                <w:rFonts w:asciiTheme="minorHAnsi" w:hAnsiTheme="minorHAnsi" w:cstheme="minorHAnsi"/>
                <w:sz w:val="22"/>
                <w:szCs w:val="22"/>
              </w:rPr>
              <w:fldChar w:fldCharType="end"/>
            </w:r>
          </w:p>
        </w:tc>
        <w:tc>
          <w:tcPr>
            <w:tcW w:w="1476" w:type="dxa"/>
          </w:tcPr>
          <w:p w14:paraId="1D5CD937"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China</w:t>
            </w:r>
          </w:p>
        </w:tc>
        <w:tc>
          <w:tcPr>
            <w:tcW w:w="3266" w:type="dxa"/>
          </w:tcPr>
          <w:p w14:paraId="0E05D239" w14:textId="39971328"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During the 10-year period between 1951–2019, the annual average temperature in China's arid and semi-arid regions increased by about 0.28°C, with the most pronounced upward trend occurring in spring and winter, especially in the southwest.</w:t>
            </w:r>
          </w:p>
        </w:tc>
        <w:tc>
          <w:tcPr>
            <w:tcW w:w="2609" w:type="dxa"/>
          </w:tcPr>
          <w:p w14:paraId="105E93E0" w14:textId="6DD48B33"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7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r w:rsidR="001B1450" w:rsidRPr="00F921B9" w14:paraId="280BA428" w14:textId="77777777" w:rsidTr="00ED5968">
        <w:tc>
          <w:tcPr>
            <w:tcW w:w="538" w:type="dxa"/>
          </w:tcPr>
          <w:p w14:paraId="3391B3B9"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12.</w:t>
            </w:r>
          </w:p>
        </w:tc>
        <w:tc>
          <w:tcPr>
            <w:tcW w:w="1661" w:type="dxa"/>
          </w:tcPr>
          <w:p w14:paraId="77A87C26"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Pr="00F921B9">
              <w:rPr>
                <w:rFonts w:asciiTheme="minorHAnsi" w:hAnsiTheme="minorHAnsi" w:cstheme="minorHAnsi"/>
                <w:sz w:val="22"/>
                <w:szCs w:val="22"/>
              </w:rPr>
              <w:instrText>ADDIN CSL_CITATION {"citationItems":[{"id":"ITEM-1","itemData":{"DOI":"10.3390/su142013380","abstract":"The trend analysis of annual temperature (daily average) and total pre cipitation has been conducted for 14 stations located in the Aegean Re gion, Turkey. The Sen, Spearman’s rho, and Mann-Kendall test methods a re used in the detection of the historical trends in the region. The P ettitt test is also implemented to find the significance of the trend, while the Theil-Sen approach is applied to detect the change point(s) in the time series. Findings of the following study indicate that bot h precipitation and temperature time series in the selected stations d epict statistically significant trends with increasing nature. The rat e of increase in precipitation and temperature by the Theil-Sen test i s found to be 4.2–7.9 mm/year and 0.20–0.35 °C/decade, respectively. I t is also found that the turn points of the temperature trends determi ned by the Pettitt test occurred in 1998 for all the stations. Accordi ng to the results, the magnitude of the extreme events would change in the future, which may help in conceptualizing the framework and the r esilience of the infrastructures against climate change.","author":[{"dropping-particle":"","family":"Denizhan","given":"Mersin","non-dropping-particle":"","parse-names":false,"suffix":""},{"dropping-particle":"","family":"G.","given":"Tayfur","non-dropping-particle":"","parse-names":false,"suffix":""},{"dropping-particle":"","family":"Babak","given":"Vaheddoost","non-dropping-particle":"","parse-names":false,"suffix":""},{"dropping-particle":"","family":"M.","given":"Safari","non-dropping-particle":"","parse-names":false,"suffix":""}],"container-title":"Sustainability","id":"ITEM-1","issued":{"date-parts":[["2022"]]},"note":"Turkey (Cities: Usak, Cesme, Izmir, Denizli, Manisa, Kusadasi, Yatagan, Mugla, Nazilli, Guney, Salihli, Seferihisar, Selcuk)\n1. Both temperature and precipitation showed statistically significant increasing trends in the Aegean region of Turkey from 1973-2020. Temperature increased by 0.20-0.35°C per decade, and precipitation increased by 4.2-7.9 mm per year. 2. The turning points in the temperature trends, as determined by the Pettitt test, occurred in 1998 for all 14 stations. 3. The changes in temperature and precipitation trends will likely lead to changes in the magnitude of extreme events in the future, which will be important for planning and designing resilient water infrastructure in the region.","title":"Historical Trends Associated with Annual Temperature and Precipitation in Aegean Turkey, Where Are We Heading?","type":"article-journal"},"uris":["http://www.mendeley.com/documents/?uuid=066e7835-06cb-457d-9d3a-2b66553f1dee"]}],"mendeley":{"formattedCitation":"(Denizhan et al., 2022)","plainTextFormattedCitation":"(Denizhan et al., 2022)","previouslyFormattedCitation":"(Denizhan et al., 2022)"},"properties":{"noteIndex":0},"schema":"https://github.com/citation-style-language/schema/raw/master/csl-citation.json"}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(Denizhan et al., 2022)</w:t>
            </w:r>
            <w:r w:rsidRPr="00F921B9">
              <w:rPr>
                <w:rFonts w:asciiTheme="minorHAnsi" w:hAnsiTheme="minorHAnsi" w:cstheme="minorHAnsi"/>
                <w:sz w:val="22"/>
                <w:szCs w:val="22"/>
              </w:rPr>
              <w:fldChar w:fldCharType="end"/>
            </w:r>
          </w:p>
        </w:tc>
        <w:tc>
          <w:tcPr>
            <w:tcW w:w="1476" w:type="dxa"/>
          </w:tcPr>
          <w:p w14:paraId="15AFA3A3"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Turkey (Cities: </w:t>
            </w:r>
            <w:proofErr w:type="spellStart"/>
            <w:r w:rsidRPr="00F921B9">
              <w:rPr>
                <w:rFonts w:asciiTheme="minorHAnsi" w:hAnsiTheme="minorHAnsi" w:cstheme="minorHAnsi"/>
                <w:sz w:val="22"/>
                <w:szCs w:val="22"/>
              </w:rPr>
              <w:t>Usak</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Cesme</w:t>
            </w:r>
            <w:proofErr w:type="spellEnd"/>
            <w:r w:rsidRPr="00F921B9">
              <w:rPr>
                <w:rFonts w:asciiTheme="minorHAnsi" w:hAnsiTheme="minorHAnsi" w:cstheme="minorHAnsi"/>
                <w:sz w:val="22"/>
                <w:szCs w:val="22"/>
              </w:rPr>
              <w:t xml:space="preserve">, Izmir, </w:t>
            </w:r>
            <w:proofErr w:type="spellStart"/>
            <w:r w:rsidRPr="00F921B9">
              <w:rPr>
                <w:rFonts w:asciiTheme="minorHAnsi" w:hAnsiTheme="minorHAnsi" w:cstheme="minorHAnsi"/>
                <w:sz w:val="22"/>
                <w:szCs w:val="22"/>
              </w:rPr>
              <w:t>Denizli</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Manisa</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Kusadasi</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Yatagan</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Mugla</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Nazilli</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Guney</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Salihli</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Seferihisar</w:t>
            </w:r>
            <w:proofErr w:type="spellEnd"/>
            <w:r w:rsidRPr="00F921B9">
              <w:rPr>
                <w:rFonts w:asciiTheme="minorHAnsi" w:hAnsiTheme="minorHAnsi" w:cstheme="minorHAnsi"/>
                <w:sz w:val="22"/>
                <w:szCs w:val="22"/>
              </w:rPr>
              <w:t xml:space="preserve">, </w:t>
            </w:r>
            <w:proofErr w:type="spellStart"/>
            <w:r w:rsidRPr="00F921B9">
              <w:rPr>
                <w:rFonts w:asciiTheme="minorHAnsi" w:hAnsiTheme="minorHAnsi" w:cstheme="minorHAnsi"/>
                <w:sz w:val="22"/>
                <w:szCs w:val="22"/>
              </w:rPr>
              <w:t>Selcuk</w:t>
            </w:r>
            <w:proofErr w:type="spellEnd"/>
            <w:r w:rsidRPr="00F921B9">
              <w:rPr>
                <w:rFonts w:asciiTheme="minorHAnsi" w:hAnsiTheme="minorHAnsi" w:cstheme="minorHAnsi"/>
                <w:sz w:val="22"/>
                <w:szCs w:val="22"/>
              </w:rPr>
              <w:t>)</w:t>
            </w:r>
          </w:p>
        </w:tc>
        <w:tc>
          <w:tcPr>
            <w:tcW w:w="3266" w:type="dxa"/>
          </w:tcPr>
          <w:p w14:paraId="0E255200" w14:textId="38794133"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Over the 10-year period between 1973–2020, temperatures in the Aegean region of Turkey increased by 0.20–0.35°C, with a trend change point occurring in 1998 and potentially influencing the intensity of future extreme weather events.</w:t>
            </w:r>
          </w:p>
        </w:tc>
        <w:tc>
          <w:tcPr>
            <w:tcW w:w="2609" w:type="dxa"/>
          </w:tcPr>
          <w:p w14:paraId="48C77CCD" w14:textId="5B3908DB"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4,9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r w:rsidR="001B1450" w:rsidRPr="00F921B9" w14:paraId="057BEA0E" w14:textId="77777777" w:rsidTr="00ED5968">
        <w:tc>
          <w:tcPr>
            <w:tcW w:w="538" w:type="dxa"/>
          </w:tcPr>
          <w:p w14:paraId="61A56AA5" w14:textId="77777777" w:rsidR="001B1450" w:rsidRPr="00F921B9" w:rsidRDefault="001B1450" w:rsidP="00ED5968">
            <w:pPr>
              <w:jc w:val="center"/>
              <w:rPr>
                <w:rFonts w:asciiTheme="minorHAnsi" w:hAnsiTheme="minorHAnsi" w:cstheme="minorHAnsi"/>
                <w:sz w:val="22"/>
                <w:szCs w:val="22"/>
              </w:rPr>
            </w:pPr>
            <w:r w:rsidRPr="00F921B9">
              <w:rPr>
                <w:rFonts w:asciiTheme="minorHAnsi" w:hAnsiTheme="minorHAnsi" w:cstheme="minorHAnsi"/>
                <w:sz w:val="22"/>
                <w:szCs w:val="22"/>
              </w:rPr>
              <w:t>13.</w:t>
            </w:r>
          </w:p>
        </w:tc>
        <w:tc>
          <w:tcPr>
            <w:tcW w:w="1661" w:type="dxa"/>
          </w:tcPr>
          <w:p w14:paraId="21F92D29" w14:textId="151B1EC4"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fldChar w:fldCharType="begin" w:fldLock="1"/>
            </w:r>
            <w:r w:rsidR="0053360E" w:rsidRPr="00F921B9">
              <w:rPr>
                <w:rFonts w:asciiTheme="minorHAnsi" w:hAnsiTheme="minorHAnsi" w:cstheme="minorHAnsi"/>
                <w:sz w:val="22"/>
                <w:szCs w:val="22"/>
              </w:rPr>
              <w:instrText>ADDIN CSL_CITATION {"citationItems":[{"id":"ITEM-1","itemData":{"DOI":"10.15244/pjoes/115211","ISSN":"1230-1485","abstract":"Temperature data from 14 stations were used to explore the spatiotempo ral variability of temperature and its extremes for the period 1960-20 18 in the Cauvery River Delta (CRD) area, an agro-ecological region of Tamil Nadu State, India. This investigation was carried out by using spline interpolation method, linear regression and Mann-Kendall test w ith a Sen’s slope estimator. Results indicated that the spatial patter ns and temporal trends of annual and seasonal temperature showed an up ward trend in most parts of the CRD region. The spatial changes of mea n temperature at annual and seasonal scale were similar and showed an upward trend. Extreme temperature indices showed an increasing trend t hroughout the area. This investigation was carried out for a period of six decades from the year 1960. The CRD region exhibited a warming tr end after the 1980s. Temperature variability over this region was witn essed by the global and regional level climate warming. These variabil ity conditions would influence the growth and life cycle of agricultur al crops. The results of this investigation could support decision mak ers and authorities to activate adequate irrigation and crop-changing strategies in order to protect vulnerable ecosystems and environmental conditions of the CRD region.","author":[{"dropping-particle":"","family":"Ganeshkumar","given":"B","non-dropping-particle":"","parse-names":false,"suffix":""},{"dropping-particle":"","family":"Krishna","given":"G V T Gopala","non-dropping-particle":"","parse-names":false,"suffix":""}],"container-title":"Polish Journal of Environmental Studies","id":"ITEM-1","issue":"5","issued":{"date-parts":[["2020"]]},"note":"India\n- Annual and seasonal temperatures showed an overall upward trend in most parts of the Cauvery River Delta (CRD) region. - The Cold Weather Period (CWP) and Hot Weather Period (HWP) seasons showed the largest increases, with 0.42°C and 0.41°C per decade, respectively. - The annual temperature increased by an average of 0.89°C over the 1985-2018 period, with a trend of 0.39°C per decade. - Extreme temperature indices like maximum and minimum temperatures also showed increasing trends, with maximum temperatures increasing by 1.03°C per decade and minimum temperatures increasing by 0.65°C per decade.","page":"3561-3568","title":"Spatiotemporal Variability of Temperature and Its Extremes Over an Agro-Ecological Region of Tamil Nadu, India","type":"article-journal","volume":"29"},"uris":["http://www.mendeley.com/documents/?uuid=327ed0ba-34ef-4b94-9272-c54c7613dbf1"]}],"mendeley":{"formattedCitation":"(Ganeshkumar &amp; Krishna, 2020)","plainTextFormattedCitation":"(Ganeshkumar &amp; Krishna, 2020)","previouslyFormattedCitation":"(Ganeshkumar &amp; Krishna, 2020)"},"properties":{"noteIndex":0},"schema":"https://github.com/citation-style-language/schema/raw/master/csl-citation.json"}</w:instrText>
            </w:r>
            <w:r w:rsidRPr="00F921B9">
              <w:rPr>
                <w:rFonts w:asciiTheme="minorHAnsi" w:hAnsiTheme="minorHAnsi" w:cstheme="minorHAnsi"/>
                <w:sz w:val="22"/>
                <w:szCs w:val="22"/>
              </w:rPr>
              <w:fldChar w:fldCharType="separate"/>
            </w:r>
            <w:r w:rsidRPr="00F921B9">
              <w:rPr>
                <w:rFonts w:asciiTheme="minorHAnsi" w:hAnsiTheme="minorHAnsi" w:cstheme="minorHAnsi"/>
                <w:noProof/>
                <w:sz w:val="22"/>
                <w:szCs w:val="22"/>
              </w:rPr>
              <w:t>(Ganeshkumar &amp; Krishna, 2020)</w:t>
            </w:r>
            <w:r w:rsidRPr="00F921B9">
              <w:rPr>
                <w:rFonts w:asciiTheme="minorHAnsi" w:hAnsiTheme="minorHAnsi" w:cstheme="minorHAnsi"/>
                <w:sz w:val="22"/>
                <w:szCs w:val="22"/>
              </w:rPr>
              <w:fldChar w:fldCharType="end"/>
            </w:r>
          </w:p>
        </w:tc>
        <w:tc>
          <w:tcPr>
            <w:tcW w:w="1476" w:type="dxa"/>
          </w:tcPr>
          <w:p w14:paraId="6F4642FA" w14:textId="77777777"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India</w:t>
            </w:r>
          </w:p>
        </w:tc>
        <w:tc>
          <w:tcPr>
            <w:tcW w:w="3266" w:type="dxa"/>
          </w:tcPr>
          <w:p w14:paraId="75845CCA" w14:textId="694A5B4B" w:rsidR="001B1450" w:rsidRPr="00F921B9" w:rsidRDefault="00642C8A" w:rsidP="00ED5968">
            <w:pPr>
              <w:rPr>
                <w:rFonts w:asciiTheme="minorHAnsi" w:hAnsiTheme="minorHAnsi" w:cstheme="minorHAnsi"/>
                <w:sz w:val="22"/>
                <w:szCs w:val="22"/>
              </w:rPr>
            </w:pPr>
            <w:r w:rsidRPr="00642C8A">
              <w:rPr>
                <w:rFonts w:asciiTheme="minorHAnsi" w:hAnsiTheme="minorHAnsi" w:cstheme="minorHAnsi"/>
                <w:sz w:val="22"/>
                <w:szCs w:val="22"/>
              </w:rPr>
              <w:t>During the 10-year period between 1985–2018, the annual temperature in the Cauvery Delta region increased by an average of 0.39°C, with the highest increase occurring in the maximum temperature of 1.03°C and in summer and winter by about 0.41°C and 0.42°C, respectively</w:t>
            </w:r>
            <w:r w:rsidR="001B1450" w:rsidRPr="00F921B9">
              <w:rPr>
                <w:rFonts w:asciiTheme="minorHAnsi" w:hAnsiTheme="minorHAnsi" w:cstheme="minorHAnsi"/>
                <w:sz w:val="22"/>
                <w:szCs w:val="22"/>
              </w:rPr>
              <w:t>.</w:t>
            </w:r>
          </w:p>
        </w:tc>
        <w:tc>
          <w:tcPr>
            <w:tcW w:w="2609" w:type="dxa"/>
          </w:tcPr>
          <w:p w14:paraId="71E8A7D7" w14:textId="79566D16" w:rsidR="001B1450" w:rsidRPr="00F921B9" w:rsidRDefault="001B1450" w:rsidP="00ED5968">
            <w:pPr>
              <w:rPr>
                <w:rFonts w:asciiTheme="minorHAnsi" w:hAnsiTheme="minorHAnsi" w:cstheme="minorHAnsi"/>
                <w:sz w:val="22"/>
                <w:szCs w:val="22"/>
              </w:rPr>
            </w:pPr>
            <w:r w:rsidRPr="00F921B9">
              <w:rPr>
                <w:rFonts w:asciiTheme="minorHAnsi" w:hAnsiTheme="minorHAnsi" w:cstheme="minorHAnsi"/>
                <w:sz w:val="22"/>
                <w:szCs w:val="22"/>
              </w:rPr>
              <w:t xml:space="preserve">6,2 </w:t>
            </w:r>
            <w:r w:rsidR="00642C8A" w:rsidRPr="00642C8A">
              <w:rPr>
                <w:rFonts w:asciiTheme="minorHAnsi" w:hAnsiTheme="minorHAnsi" w:cstheme="minorHAnsi"/>
                <w:sz w:val="22"/>
                <w:szCs w:val="22"/>
              </w:rPr>
              <w:t>percent per year</w:t>
            </w:r>
            <w:r w:rsidRPr="00F921B9">
              <w:rPr>
                <w:rFonts w:asciiTheme="minorHAnsi" w:hAnsiTheme="minorHAnsi" w:cstheme="minorHAnsi"/>
                <w:sz w:val="22"/>
                <w:szCs w:val="22"/>
              </w:rPr>
              <w:t>.</w:t>
            </w:r>
          </w:p>
        </w:tc>
      </w:tr>
    </w:tbl>
    <w:p w14:paraId="0094845E" w14:textId="77777777" w:rsidR="001B1450" w:rsidRPr="006012B3" w:rsidRDefault="001B1450" w:rsidP="002259B8">
      <w:pPr>
        <w:pStyle w:val="ListParagraph"/>
        <w:ind w:left="284"/>
        <w:rPr>
          <w:rFonts w:cstheme="minorHAnsi"/>
        </w:rPr>
      </w:pPr>
    </w:p>
    <w:p w14:paraId="74B8D7FA" w14:textId="2BA7D5D9" w:rsidR="003901DA" w:rsidRPr="006012B3" w:rsidRDefault="00642C8A" w:rsidP="00020A39">
      <w:pPr>
        <w:pStyle w:val="ListParagraph"/>
        <w:numPr>
          <w:ilvl w:val="0"/>
          <w:numId w:val="3"/>
        </w:numPr>
        <w:spacing w:after="240"/>
        <w:ind w:left="641" w:hanging="357"/>
        <w:jc w:val="both"/>
        <w:rPr>
          <w:rFonts w:cstheme="minorHAnsi"/>
          <w:b/>
          <w:bCs/>
          <w:color w:val="000000" w:themeColor="text1"/>
        </w:rPr>
      </w:pPr>
      <w:r w:rsidRPr="00642C8A">
        <w:rPr>
          <w:rFonts w:cstheme="minorHAnsi"/>
          <w:b/>
          <w:bCs/>
          <w:color w:val="000000" w:themeColor="text1"/>
        </w:rPr>
        <w:lastRenderedPageBreak/>
        <w:t>Critical Analysis Based on Economic Growth</w:t>
      </w:r>
      <w:r w:rsidR="003901DA" w:rsidRPr="006012B3">
        <w:rPr>
          <w:rFonts w:cstheme="minorHAnsi"/>
          <w:b/>
          <w:bCs/>
          <w:color w:val="000000" w:themeColor="text1"/>
        </w:rPr>
        <w:t xml:space="preserve"> </w:t>
      </w:r>
    </w:p>
    <w:p w14:paraId="57DE4A8B" w14:textId="231F968C" w:rsidR="003901DA" w:rsidRPr="006012B3" w:rsidRDefault="00642C8A" w:rsidP="00020A39">
      <w:pPr>
        <w:pStyle w:val="ListParagraph"/>
        <w:spacing w:before="240"/>
        <w:ind w:left="284"/>
        <w:jc w:val="both"/>
        <w:rPr>
          <w:rFonts w:cstheme="minorHAnsi"/>
          <w:color w:val="000000" w:themeColor="text1"/>
        </w:rPr>
      </w:pPr>
      <w:r w:rsidRPr="00642C8A">
        <w:rPr>
          <w:rFonts w:cstheme="minorHAnsi"/>
          <w:color w:val="000000" w:themeColor="text1"/>
        </w:rPr>
        <w:t>Based on a review of studies from 13 different regions of the world, there is a pattern that shows a close relationship between temperature changes and population growth dynamics. Regions with high population growth, such as India, Pakistan, dry China, and parts of Borneo (Malaysia and Indonesia), generally show a significant trend of increasing temperatures. Population growth in these regions increases pressure on natural resources, especially water and land, and contributes to land-use changes that exacerbate local warming. In contrast, regions with stable or low populations, such as Greenland, Spitsbergen (Norway), and Brunei Darussalam, tend to show more controlled or mitigated climate impacts. Massive urbanization is also an important factor, as seen in coastal areas of Turkey and the Algerian highlands, where temperatures are increasing along with the expansion of built-up areas. Thus, population growth is not only a passive factor in dealing with climate change, but also one of the main drivers in accelerating the rate of warming at the local level. In conclusion, efforts to adapt to and mitigate climate change must seriously consider demographic aspects, including controlling population growth and sustainable spatial planning in vulnerable areas.</w:t>
      </w:r>
    </w:p>
    <w:p w14:paraId="5E81C3BA" w14:textId="77777777" w:rsidR="00020A39" w:rsidRPr="006012B3" w:rsidRDefault="00020A39" w:rsidP="00626F4A">
      <w:pPr>
        <w:pStyle w:val="ListParagraph"/>
        <w:ind w:left="284"/>
        <w:jc w:val="both"/>
        <w:rPr>
          <w:rFonts w:cstheme="minorHAnsi"/>
          <w:color w:val="000000" w:themeColor="text1"/>
        </w:rPr>
      </w:pPr>
    </w:p>
    <w:p w14:paraId="3FD7039E" w14:textId="18BA15A1" w:rsidR="003901DA" w:rsidRPr="006012B3" w:rsidRDefault="00642C8A" w:rsidP="003901DA">
      <w:pPr>
        <w:pStyle w:val="ListParagraph"/>
        <w:numPr>
          <w:ilvl w:val="0"/>
          <w:numId w:val="3"/>
        </w:numPr>
        <w:jc w:val="both"/>
        <w:rPr>
          <w:rFonts w:cstheme="minorHAnsi"/>
          <w:b/>
          <w:bCs/>
          <w:color w:val="000000" w:themeColor="text1"/>
        </w:rPr>
      </w:pPr>
      <w:r w:rsidRPr="00642C8A">
        <w:rPr>
          <w:rFonts w:cstheme="minorHAnsi"/>
          <w:b/>
          <w:bCs/>
          <w:color w:val="000000" w:themeColor="text1"/>
        </w:rPr>
        <w:t>Critical Analysis Based on Regional Temperature Changes</w:t>
      </w:r>
      <w:r w:rsidR="003901DA" w:rsidRPr="006012B3">
        <w:rPr>
          <w:rFonts w:cstheme="minorHAnsi"/>
          <w:b/>
          <w:bCs/>
          <w:color w:val="000000" w:themeColor="text1"/>
        </w:rPr>
        <w:t xml:space="preserve"> </w:t>
      </w:r>
    </w:p>
    <w:p w14:paraId="4D80E14F" w14:textId="247ED2D3" w:rsidR="00626F4A" w:rsidRDefault="00642C8A" w:rsidP="00626F4A">
      <w:pPr>
        <w:pStyle w:val="ListParagraph"/>
        <w:ind w:left="284"/>
        <w:jc w:val="both"/>
        <w:rPr>
          <w:rFonts w:cstheme="minorHAnsi"/>
          <w:color w:val="000000" w:themeColor="text1"/>
        </w:rPr>
      </w:pPr>
      <w:r w:rsidRPr="00642C8A">
        <w:rPr>
          <w:rFonts w:cstheme="minorHAnsi"/>
          <w:color w:val="000000" w:themeColor="text1"/>
        </w:rPr>
        <w:t>Temperature changes recorded in the various study areas show a consistent warming trend, albeit with varying degrees of intensity. Polar regions such as Spitsbergen in Norway experienced very high temperature increases, reaching more than 1°C per decade, especially in winter, indicating a significant impact of Arctic warming. In tropical regions such as Borneo and Papua New Guinea, the temperature increase ranged from 0.086°C to 0.2°C, with quite significant spatial variation. Meanwhile, in semi-arid and arid regions such as Pakistan, Uzbekistan, and southwestern China, the annual temperature increase trend ranged from 0.23°C to 0.52°C, indicating high vulnerability to climate fluctuations. In subtropical regions such as India and Turkey, temperatures increased significantly, with peaks recorded at maximum temperatures in summer. Overall, most regions experienced annual temperature increases in the range of 0.2°C to 0.9°C per decade. This increase has direct impacts on the hydrological cycle, agriculture, and thermal comfort of residents. This relatively uniform pattern of temperature increases shows that global warming is not just a local phenomenon, but has widespread impacts, across climatic and geographic zones.</w:t>
      </w:r>
    </w:p>
    <w:p w14:paraId="44DC6ED7" w14:textId="77777777" w:rsidR="00F921B9" w:rsidRPr="006012B3" w:rsidRDefault="00F921B9" w:rsidP="00626F4A">
      <w:pPr>
        <w:pStyle w:val="ListParagraph"/>
        <w:ind w:left="284"/>
        <w:jc w:val="both"/>
        <w:rPr>
          <w:rFonts w:cstheme="minorHAnsi"/>
          <w:color w:val="000000" w:themeColor="text1"/>
        </w:rPr>
      </w:pPr>
    </w:p>
    <w:p w14:paraId="6845B612" w14:textId="77777777" w:rsidR="00020A39" w:rsidRPr="006012B3" w:rsidRDefault="00020A39" w:rsidP="00626F4A">
      <w:pPr>
        <w:pStyle w:val="ListParagraph"/>
        <w:ind w:left="284"/>
        <w:jc w:val="both"/>
        <w:rPr>
          <w:rFonts w:cstheme="minorHAnsi"/>
          <w:color w:val="000000" w:themeColor="text1"/>
        </w:rPr>
      </w:pPr>
    </w:p>
    <w:p w14:paraId="1E2C5EBA" w14:textId="1C131052" w:rsidR="00626F4A" w:rsidRPr="006012B3" w:rsidRDefault="00642C8A" w:rsidP="00626F4A">
      <w:pPr>
        <w:pStyle w:val="ListParagraph"/>
        <w:numPr>
          <w:ilvl w:val="0"/>
          <w:numId w:val="3"/>
        </w:numPr>
        <w:jc w:val="both"/>
        <w:rPr>
          <w:rFonts w:cstheme="minorHAnsi"/>
          <w:b/>
          <w:bCs/>
          <w:color w:val="000000" w:themeColor="text1"/>
        </w:rPr>
      </w:pPr>
      <w:r w:rsidRPr="00642C8A">
        <w:rPr>
          <w:rFonts w:cstheme="minorHAnsi"/>
          <w:b/>
          <w:bCs/>
          <w:color w:val="000000" w:themeColor="text1"/>
        </w:rPr>
        <w:t>Critical Analysis Based on Economic Growth Against Regional Temperature Changes</w:t>
      </w:r>
      <w:r w:rsidR="00626F4A" w:rsidRPr="006012B3">
        <w:rPr>
          <w:rFonts w:cstheme="minorHAnsi"/>
          <w:b/>
          <w:bCs/>
          <w:color w:val="000000" w:themeColor="text1"/>
        </w:rPr>
        <w:t xml:space="preserve"> </w:t>
      </w:r>
    </w:p>
    <w:p w14:paraId="59E9F475" w14:textId="38AF1B4D" w:rsidR="00626F4A" w:rsidRPr="006012B3" w:rsidRDefault="00642C8A" w:rsidP="00626F4A">
      <w:pPr>
        <w:pStyle w:val="ListParagraph"/>
        <w:ind w:left="284"/>
        <w:jc w:val="both"/>
        <w:rPr>
          <w:rFonts w:cstheme="minorHAnsi"/>
          <w:color w:val="000000" w:themeColor="text1"/>
        </w:rPr>
      </w:pPr>
      <w:r w:rsidRPr="00642C8A">
        <w:rPr>
          <w:rFonts w:cstheme="minorHAnsi"/>
          <w:color w:val="000000" w:themeColor="text1"/>
        </w:rPr>
        <w:t>Based on data from the 13 papers, there is a mutually reinforcing relationship between population growth and regional temperature increases. Regions with high population growth rates such as India, Pakistan, western China, and most of Kalimantan and Sarawak in Borneo, tend to show significant temperature increases. This is due to increasing pressure on the environment from urbanization, deforestation, land use change, and higher energy consumption, which in turn contribute to local and regional greenhouse gas emissions.</w:t>
      </w:r>
    </w:p>
    <w:p w14:paraId="52723F48" w14:textId="77777777" w:rsidR="0058449E" w:rsidRPr="006012B3" w:rsidRDefault="0058449E" w:rsidP="00626F4A">
      <w:pPr>
        <w:pStyle w:val="ListParagraph"/>
        <w:ind w:left="284"/>
        <w:jc w:val="both"/>
        <w:rPr>
          <w:rFonts w:cstheme="minorHAnsi"/>
          <w:color w:val="000000" w:themeColor="text1"/>
        </w:rPr>
      </w:pPr>
    </w:p>
    <w:p w14:paraId="7F541061" w14:textId="554D82AE" w:rsidR="00626F4A" w:rsidRPr="006012B3" w:rsidRDefault="00642C8A" w:rsidP="00626F4A">
      <w:pPr>
        <w:pStyle w:val="ListParagraph"/>
        <w:ind w:left="284"/>
        <w:jc w:val="both"/>
        <w:rPr>
          <w:rFonts w:cstheme="minorHAnsi"/>
          <w:color w:val="000000" w:themeColor="text1"/>
        </w:rPr>
      </w:pPr>
      <w:r w:rsidRPr="00642C8A">
        <w:rPr>
          <w:rFonts w:cstheme="minorHAnsi"/>
          <w:color w:val="000000" w:themeColor="text1"/>
        </w:rPr>
        <w:t>In contrast, regions with low or stable population growth such as Greenland, Spitsbergen (Norway), and Brunei Darussalam tend to show more moderate, or even locally stagnant, temperature increases. However, they are still affected by global warming overall. Thus, population growth plays a dual role: as a direct driver of local climate change through anthropogenic activities, and as a factor that amplifies the impacts of global warming that is already underway. This correlation emphasizes that population growth control policies and sustainable development are essential to reduce the rate of temperature increase, especially in ecologically vulnerable regions.</w:t>
      </w:r>
    </w:p>
    <w:p w14:paraId="7EB50440" w14:textId="77777777" w:rsidR="003901DA" w:rsidRPr="006012B3" w:rsidRDefault="003901DA" w:rsidP="00824FD4">
      <w:pPr>
        <w:pStyle w:val="ListParagraph"/>
        <w:ind w:left="284"/>
        <w:jc w:val="both"/>
        <w:rPr>
          <w:rFonts w:cstheme="minorHAnsi"/>
        </w:rPr>
      </w:pPr>
    </w:p>
    <w:p w14:paraId="57BCE42F" w14:textId="764E8968" w:rsidR="00824FD4" w:rsidRPr="006012B3" w:rsidRDefault="00642C8A" w:rsidP="00824FD4">
      <w:pPr>
        <w:pStyle w:val="ListParagraph"/>
        <w:ind w:left="284"/>
        <w:jc w:val="both"/>
        <w:rPr>
          <w:rFonts w:cstheme="minorHAnsi"/>
        </w:rPr>
      </w:pPr>
      <w:r w:rsidRPr="00642C8A">
        <w:rPr>
          <w:rFonts w:cstheme="minorHAnsi"/>
        </w:rPr>
        <w:lastRenderedPageBreak/>
        <w:t xml:space="preserve">Based on Table 1, it is known that there is no clear linear correlation between the magnitude of temperature increase and annual economic growth. For example, China recorded the highest economic growth of around 7% per year, even though the temperature </w:t>
      </w:r>
      <w:proofErr w:type="gramStart"/>
      <w:r w:rsidRPr="00642C8A">
        <w:rPr>
          <w:rFonts w:cstheme="minorHAnsi"/>
        </w:rPr>
        <w:t>increase</w:t>
      </w:r>
      <w:proofErr w:type="gramEnd"/>
      <w:r w:rsidRPr="00642C8A">
        <w:rPr>
          <w:rFonts w:cstheme="minorHAnsi"/>
        </w:rPr>
        <w:t xml:space="preserve"> in various regions ranged from 0.2°C to 0.28°C. In contrast, Norway, which experienced an extreme temperature increase of 1,039°C per decade, only recorded economic growth of 1.6% per year. This shows that other factors such as economic structure, state policies, and the capacity to adapt to climate change play a greater role in determining the rate of economic growth.</w:t>
      </w:r>
    </w:p>
    <w:p w14:paraId="048AC069" w14:textId="77777777" w:rsidR="00824FD4" w:rsidRPr="006012B3" w:rsidRDefault="00824FD4" w:rsidP="00824FD4">
      <w:pPr>
        <w:pStyle w:val="ListParagraph"/>
        <w:ind w:left="284"/>
        <w:jc w:val="both"/>
        <w:rPr>
          <w:rFonts w:cstheme="minorHAnsi"/>
        </w:rPr>
      </w:pPr>
    </w:p>
    <w:p w14:paraId="5A042DBF" w14:textId="19247B70" w:rsidR="00824FD4" w:rsidRPr="006012B3" w:rsidRDefault="00642C8A" w:rsidP="00824FD4">
      <w:pPr>
        <w:pStyle w:val="ListParagraph"/>
        <w:ind w:left="284"/>
        <w:jc w:val="both"/>
        <w:rPr>
          <w:rFonts w:cstheme="minorHAnsi"/>
        </w:rPr>
      </w:pPr>
      <w:r w:rsidRPr="00642C8A">
        <w:rPr>
          <w:rFonts w:cstheme="minorHAnsi"/>
        </w:rPr>
        <w:t>On the other hand, developing countries in Asia such as India and Pakistan show complex dynamics. India recorded a relatively moderate temperature increase (0.06°C to 0.39°C) but managed to record strong economic growth (6.2% per year), indicating the country's productive capacity amidst climate challenges. Pakistan experienced a temperature increase of 0.23°C, but its economic growth was lower at 4.9% per year. This may indicate stronger climate pressures in sensitive sectors such as agriculture and water, which have not been fully offset by adaptive economic strategies or technologies.</w:t>
      </w:r>
    </w:p>
    <w:p w14:paraId="6D5BDBAA" w14:textId="77777777" w:rsidR="00824FD4" w:rsidRPr="006012B3" w:rsidRDefault="00824FD4" w:rsidP="00824FD4">
      <w:pPr>
        <w:pStyle w:val="ListParagraph"/>
        <w:ind w:left="284"/>
        <w:jc w:val="both"/>
        <w:rPr>
          <w:rFonts w:cstheme="minorHAnsi"/>
        </w:rPr>
      </w:pPr>
    </w:p>
    <w:p w14:paraId="7806FC72" w14:textId="10EBDFB6" w:rsidR="00824FD4" w:rsidRPr="006012B3" w:rsidRDefault="00642C8A" w:rsidP="00824FD4">
      <w:pPr>
        <w:pStyle w:val="ListParagraph"/>
        <w:ind w:left="284"/>
        <w:jc w:val="both"/>
        <w:rPr>
          <w:rFonts w:cstheme="minorHAnsi"/>
        </w:rPr>
      </w:pPr>
      <w:r w:rsidRPr="00642C8A">
        <w:rPr>
          <w:rFonts w:cstheme="minorHAnsi"/>
        </w:rPr>
        <w:t xml:space="preserve">Meanwhile, Southeast Asian regions such as Malaysia, Indonesia, and Brunei on the island of Borneo show disparities in temperature and economic growth between countries. The same temperature </w:t>
      </w:r>
      <w:proofErr w:type="gramStart"/>
      <w:r w:rsidRPr="00642C8A">
        <w:rPr>
          <w:rFonts w:cstheme="minorHAnsi"/>
        </w:rPr>
        <w:t>increase</w:t>
      </w:r>
      <w:proofErr w:type="gramEnd"/>
      <w:r w:rsidRPr="00642C8A">
        <w:rPr>
          <w:rFonts w:cstheme="minorHAnsi"/>
        </w:rPr>
        <w:t xml:space="preserve"> of 0.2°C has different economic impacts, with Indonesia recording growth of 5.3%, Malaysia 5%, and Brunei only 1.3%. This opens up space for analysis of differences in development strategies, dependence on natural resources, and the efficiency of climate mitigation and adaptation policies. Brunei, which has an economy that is more dependent on oil and gas, may be more affected by commodity price volatility and the effects of the global energy transition.</w:t>
      </w:r>
    </w:p>
    <w:p w14:paraId="3F0F8CA3" w14:textId="77777777" w:rsidR="00824FD4" w:rsidRPr="006012B3" w:rsidRDefault="00824FD4" w:rsidP="00824FD4">
      <w:pPr>
        <w:pStyle w:val="ListParagraph"/>
        <w:ind w:left="284"/>
        <w:jc w:val="both"/>
        <w:rPr>
          <w:rFonts w:cstheme="minorHAnsi"/>
        </w:rPr>
      </w:pPr>
    </w:p>
    <w:p w14:paraId="5293205B" w14:textId="443929DE" w:rsidR="00824FD4" w:rsidRPr="006012B3" w:rsidRDefault="00642C8A" w:rsidP="00824FD4">
      <w:pPr>
        <w:pStyle w:val="ListParagraph"/>
        <w:ind w:left="284"/>
        <w:jc w:val="both"/>
        <w:rPr>
          <w:rFonts w:cstheme="minorHAnsi"/>
        </w:rPr>
      </w:pPr>
      <w:r w:rsidRPr="00642C8A">
        <w:rPr>
          <w:rFonts w:cstheme="minorHAnsi"/>
        </w:rPr>
        <w:t>The cases of countries such as Greenland and Norway provide important evidence that the polar and subpolar regions are experiencing very rapid warming, but not necessarily in line with economic growth. Greenland, for example, with a temperature increase of 0.23°C per decade, is experiencing economic growth of only 1.1% per year. On the other hand, Uzbekistan and Algeria, located in arid regions, are experiencing relatively high temperature increases accompanied by moderate economic growth (6% and 2.6–3%). This reflects the enormous challenges faced by arid countries that have to cope with pressures on water resources and food security, which also limit growth potential.</w:t>
      </w:r>
    </w:p>
    <w:p w14:paraId="185E42B5" w14:textId="77777777" w:rsidR="00557149" w:rsidRPr="006012B3" w:rsidRDefault="00557149" w:rsidP="00824FD4">
      <w:pPr>
        <w:pStyle w:val="ListParagraph"/>
        <w:ind w:left="284"/>
        <w:jc w:val="both"/>
        <w:rPr>
          <w:rFonts w:cstheme="minorHAnsi"/>
        </w:rPr>
      </w:pPr>
    </w:p>
    <w:p w14:paraId="579B4D9D" w14:textId="5DA3DB9F" w:rsidR="00557149" w:rsidRPr="006012B3" w:rsidRDefault="00642C8A" w:rsidP="00824FD4">
      <w:pPr>
        <w:pStyle w:val="ListParagraph"/>
        <w:ind w:left="284"/>
        <w:jc w:val="both"/>
        <w:rPr>
          <w:rFonts w:cstheme="minorHAnsi"/>
        </w:rPr>
      </w:pPr>
      <w:r w:rsidRPr="00642C8A">
        <w:rPr>
          <w:rFonts w:cstheme="minorHAnsi"/>
        </w:rPr>
        <w:t>Based on the findings in this study, the policy implications that can be taken are the importance of integration between economic policies and climate change adaptation policies strategically and contextually in each country. The government needs to develop climate-resilient development policies, by strengthening sectors that are vulnerable to rising temperatures such as agriculture, fisheries, and energy. Investment in environmentally friendly technologies, early warning systems, and adaptive infrastructure must be prioritized to maintain long-term economic stability. In addition, the preparation of fiscal policies and economic incentives needs to be directed to support the transformation towards a low-carbon economy without sacrificing growth, especially in developing countries that are still highly dependent on natural resource-based sectors.</w:t>
      </w:r>
    </w:p>
    <w:p w14:paraId="714D2669" w14:textId="77777777" w:rsidR="00824FD4" w:rsidRPr="006012B3" w:rsidRDefault="00824FD4" w:rsidP="00824FD4">
      <w:pPr>
        <w:pStyle w:val="ListParagraph"/>
        <w:ind w:left="284"/>
        <w:jc w:val="both"/>
        <w:rPr>
          <w:rFonts w:cstheme="minorHAnsi"/>
        </w:rPr>
      </w:pPr>
    </w:p>
    <w:p w14:paraId="4D4541D7" w14:textId="3B543A4A" w:rsidR="002259B8" w:rsidRPr="006012B3" w:rsidRDefault="00642C8A" w:rsidP="002259B8">
      <w:pPr>
        <w:pStyle w:val="ListParagraph"/>
        <w:numPr>
          <w:ilvl w:val="0"/>
          <w:numId w:val="2"/>
        </w:numPr>
        <w:ind w:left="284"/>
        <w:rPr>
          <w:rFonts w:cstheme="minorHAnsi"/>
          <w:b/>
          <w:bCs/>
        </w:rPr>
      </w:pPr>
      <w:r w:rsidRPr="00642C8A">
        <w:rPr>
          <w:rFonts w:cstheme="minorHAnsi"/>
          <w:b/>
          <w:bCs/>
        </w:rPr>
        <w:t>Conclusion</w:t>
      </w:r>
    </w:p>
    <w:p w14:paraId="6BC059E3" w14:textId="659AB6DC" w:rsidR="002259B8" w:rsidRDefault="00642C8A" w:rsidP="002E5DF6">
      <w:pPr>
        <w:pStyle w:val="ListParagraph"/>
        <w:ind w:left="284"/>
        <w:jc w:val="both"/>
        <w:rPr>
          <w:rFonts w:cstheme="minorHAnsi"/>
        </w:rPr>
      </w:pPr>
      <w:r w:rsidRPr="00642C8A">
        <w:rPr>
          <w:rFonts w:cstheme="minorHAnsi"/>
        </w:rPr>
        <w:t xml:space="preserve">The study shows that there is no linear relationship between global temperature increases and economic growth in different countries, because the impact of climate change on the economy is strongly influenced by structural factors, policies, and the adaptive capacity of each country. Countries such as China and India continue to record high economic growth despite rising </w:t>
      </w:r>
      <w:r w:rsidRPr="00642C8A">
        <w:rPr>
          <w:rFonts w:cstheme="minorHAnsi"/>
        </w:rPr>
        <w:lastRenderedPageBreak/>
        <w:t xml:space="preserve">temperatures, while countries with more extreme temperature increases such as Norway and Greenland actually recorded slower growth. These findings emphasize that the response to climate change cannot be generalized and requires a multidimensional approach that considers local </w:t>
      </w:r>
      <w:proofErr w:type="spellStart"/>
      <w:r w:rsidR="008055CB">
        <w:rPr>
          <w:rFonts w:cstheme="minorHAnsi"/>
        </w:rPr>
        <w:t>Ackn</w:t>
      </w:r>
      <w:r w:rsidRPr="00642C8A">
        <w:rPr>
          <w:rFonts w:cstheme="minorHAnsi"/>
        </w:rPr>
        <w:t>vulnerabilities</w:t>
      </w:r>
      <w:proofErr w:type="spellEnd"/>
      <w:r w:rsidRPr="00642C8A">
        <w:rPr>
          <w:rFonts w:cstheme="minorHAnsi"/>
        </w:rPr>
        <w:t xml:space="preserve"> and sustainable development strategies that are adaptive to climate dynamics.</w:t>
      </w:r>
    </w:p>
    <w:p w14:paraId="4DC262E0" w14:textId="1C8B8481" w:rsidR="00642C8A" w:rsidRDefault="00642C8A" w:rsidP="002E5DF6">
      <w:pPr>
        <w:pStyle w:val="ListParagraph"/>
        <w:ind w:left="284"/>
        <w:jc w:val="both"/>
        <w:rPr>
          <w:rFonts w:cstheme="minorHAnsi"/>
        </w:rPr>
      </w:pPr>
    </w:p>
    <w:p w14:paraId="2F66FA3E" w14:textId="1C9AEAE7" w:rsidR="00772CF5" w:rsidRDefault="00772CF5" w:rsidP="002E5DF6">
      <w:pPr>
        <w:pStyle w:val="ListParagraph"/>
        <w:ind w:left="284"/>
        <w:jc w:val="both"/>
        <w:rPr>
          <w:rFonts w:cstheme="minorHAnsi"/>
        </w:rPr>
      </w:pPr>
    </w:p>
    <w:p w14:paraId="6BB05B9F" w14:textId="77777777" w:rsidR="00772CF5" w:rsidRDefault="00772CF5" w:rsidP="00772CF5">
      <w:pPr>
        <w:tabs>
          <w:tab w:val="left" w:pos="2696"/>
        </w:tabs>
        <w:rPr>
          <w:rFonts w:ascii="Arial" w:hAnsi="Arial" w:cs="Arial"/>
          <w:sz w:val="20"/>
          <w:szCs w:val="20"/>
        </w:rPr>
      </w:pPr>
      <w:bookmarkStart w:id="0" w:name="_Hlk183685723"/>
    </w:p>
    <w:p w14:paraId="67B7C464" w14:textId="77777777" w:rsidR="00772CF5" w:rsidRPr="00592CC5" w:rsidRDefault="00772CF5" w:rsidP="00772CF5">
      <w:pPr>
        <w:rPr>
          <w:rFonts w:ascii="Calibri" w:eastAsia="Calibri" w:hAnsi="Calibri"/>
          <w:b/>
          <w:kern w:val="2"/>
          <w:highlight w:val="yellow"/>
          <w:lang w:val="en-US"/>
        </w:rPr>
      </w:pPr>
      <w:bookmarkStart w:id="1" w:name="_Hlk193540946"/>
      <w:bookmarkStart w:id="2" w:name="_Hlk180402183"/>
      <w:bookmarkStart w:id="3" w:name="_Hlk183680988"/>
      <w:bookmarkStart w:id="4" w:name="_GoBack"/>
      <w:r w:rsidRPr="00592CC5">
        <w:rPr>
          <w:rFonts w:ascii="Calibri" w:eastAsia="Calibri" w:hAnsi="Calibri"/>
          <w:b/>
          <w:kern w:val="2"/>
          <w:highlight w:val="yellow"/>
          <w:lang w:val="en-US"/>
        </w:rPr>
        <w:t>Disclaimer (Artificial intelligence)</w:t>
      </w:r>
    </w:p>
    <w:bookmarkEnd w:id="4"/>
    <w:p w14:paraId="0FF6243F" w14:textId="77777777" w:rsidR="00772CF5" w:rsidRPr="009C5487" w:rsidRDefault="00772CF5" w:rsidP="00772CF5">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70D93849" w14:textId="77777777" w:rsidR="00772CF5" w:rsidRPr="009C5487" w:rsidRDefault="00772CF5" w:rsidP="00772CF5">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NO generative AI technologies such as Large Language Models (</w:t>
      </w:r>
      <w:proofErr w:type="spellStart"/>
      <w:r w:rsidRPr="009C5487">
        <w:rPr>
          <w:rFonts w:ascii="Calibri" w:eastAsia="Calibri" w:hAnsi="Calibri"/>
          <w:kern w:val="2"/>
          <w:highlight w:val="yellow"/>
          <w:lang w:val="en-US"/>
        </w:rPr>
        <w:t>ChatGPT</w:t>
      </w:r>
      <w:proofErr w:type="spellEnd"/>
      <w:r w:rsidRPr="009C5487">
        <w:rPr>
          <w:rFonts w:ascii="Calibri" w:eastAsia="Calibri" w:hAnsi="Calibri"/>
          <w:kern w:val="2"/>
          <w:highlight w:val="yellow"/>
          <w:lang w:val="en-US"/>
        </w:rPr>
        <w:t xml:space="preserve">, COPILOT, etc.) and text-to-image generators have been used during the writing or editing of this manuscript. </w:t>
      </w:r>
    </w:p>
    <w:p w14:paraId="58513996" w14:textId="77777777" w:rsidR="00772CF5" w:rsidRPr="009C5487" w:rsidRDefault="00772CF5" w:rsidP="00772CF5">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3F1B0D14" w14:textId="77777777" w:rsidR="00772CF5" w:rsidRPr="009C5487" w:rsidRDefault="00772CF5" w:rsidP="00772CF5">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D18D17" w14:textId="77777777" w:rsidR="00772CF5" w:rsidRPr="009C5487" w:rsidRDefault="00772CF5" w:rsidP="00772CF5">
      <w:pPr>
        <w:rPr>
          <w:rFonts w:ascii="Calibri" w:eastAsia="Calibri" w:hAnsi="Calibri"/>
          <w:kern w:val="2"/>
          <w:highlight w:val="yellow"/>
          <w:lang w:val="en-US"/>
        </w:rPr>
      </w:pPr>
      <w:r w:rsidRPr="009C5487">
        <w:rPr>
          <w:rFonts w:ascii="Calibri" w:eastAsia="Calibri" w:hAnsi="Calibri"/>
          <w:kern w:val="2"/>
          <w:highlight w:val="yellow"/>
          <w:lang w:val="en-US"/>
        </w:rPr>
        <w:t>Details of the AI usage are given below:</w:t>
      </w:r>
    </w:p>
    <w:p w14:paraId="011E5026" w14:textId="77777777" w:rsidR="00772CF5" w:rsidRPr="009C5487" w:rsidRDefault="00772CF5" w:rsidP="00772CF5">
      <w:pPr>
        <w:rPr>
          <w:rFonts w:ascii="Calibri" w:eastAsia="Calibri" w:hAnsi="Calibri"/>
          <w:kern w:val="2"/>
          <w:highlight w:val="yellow"/>
          <w:lang w:val="en-US"/>
        </w:rPr>
      </w:pPr>
      <w:r w:rsidRPr="009C5487">
        <w:rPr>
          <w:rFonts w:ascii="Calibri" w:eastAsia="Calibri" w:hAnsi="Calibri"/>
          <w:kern w:val="2"/>
          <w:highlight w:val="yellow"/>
          <w:lang w:val="en-US"/>
        </w:rPr>
        <w:t>1.</w:t>
      </w:r>
    </w:p>
    <w:p w14:paraId="02F57C67" w14:textId="77777777" w:rsidR="00772CF5" w:rsidRPr="009C5487" w:rsidRDefault="00772CF5" w:rsidP="00772CF5">
      <w:pPr>
        <w:rPr>
          <w:rFonts w:ascii="Calibri" w:eastAsia="Calibri" w:hAnsi="Calibri"/>
          <w:kern w:val="2"/>
          <w:highlight w:val="yellow"/>
          <w:lang w:val="en-US"/>
        </w:rPr>
      </w:pPr>
      <w:r w:rsidRPr="009C5487">
        <w:rPr>
          <w:rFonts w:ascii="Calibri" w:eastAsia="Calibri" w:hAnsi="Calibri"/>
          <w:kern w:val="2"/>
          <w:highlight w:val="yellow"/>
          <w:lang w:val="en-US"/>
        </w:rPr>
        <w:t>2.</w:t>
      </w:r>
    </w:p>
    <w:p w14:paraId="1EB2308C" w14:textId="77777777" w:rsidR="00772CF5" w:rsidRPr="009C5487" w:rsidRDefault="00772CF5" w:rsidP="00772CF5">
      <w:pPr>
        <w:rPr>
          <w:rFonts w:ascii="Calibri" w:eastAsia="Calibri" w:hAnsi="Calibri"/>
          <w:kern w:val="2"/>
          <w:lang w:val="en-US"/>
        </w:rPr>
      </w:pPr>
      <w:r w:rsidRPr="009C5487">
        <w:rPr>
          <w:rFonts w:ascii="Calibri" w:eastAsia="Calibri" w:hAnsi="Calibri"/>
          <w:kern w:val="2"/>
          <w:highlight w:val="yellow"/>
          <w:lang w:val="en-US"/>
        </w:rPr>
        <w:t>3.</w:t>
      </w:r>
      <w:bookmarkEnd w:id="1"/>
    </w:p>
    <w:bookmarkEnd w:id="0"/>
    <w:bookmarkEnd w:id="2"/>
    <w:bookmarkEnd w:id="3"/>
    <w:p w14:paraId="7E32533E" w14:textId="77777777" w:rsidR="00772CF5" w:rsidRPr="006012B3" w:rsidRDefault="00772CF5" w:rsidP="002E5DF6">
      <w:pPr>
        <w:pStyle w:val="ListParagraph"/>
        <w:ind w:left="284"/>
        <w:jc w:val="both"/>
        <w:rPr>
          <w:rFonts w:cstheme="minorHAnsi"/>
        </w:rPr>
      </w:pPr>
    </w:p>
    <w:p w14:paraId="19DA13EF" w14:textId="77777777" w:rsidR="002E5DF6" w:rsidRDefault="002E5DF6" w:rsidP="002E5DF6">
      <w:pPr>
        <w:pStyle w:val="ListParagraph"/>
        <w:ind w:left="284"/>
        <w:jc w:val="both"/>
        <w:rPr>
          <w:rFonts w:cstheme="minorHAnsi"/>
        </w:rPr>
      </w:pPr>
    </w:p>
    <w:p w14:paraId="26B93332" w14:textId="77777777" w:rsidR="00642C8A" w:rsidRPr="006012B3" w:rsidRDefault="00642C8A" w:rsidP="002E5DF6">
      <w:pPr>
        <w:pStyle w:val="ListParagraph"/>
        <w:ind w:left="284"/>
        <w:jc w:val="both"/>
        <w:rPr>
          <w:rFonts w:cstheme="minorHAnsi"/>
        </w:rPr>
      </w:pPr>
    </w:p>
    <w:p w14:paraId="06C7ACC2" w14:textId="7DAB1952" w:rsidR="002259B8" w:rsidRPr="006012B3" w:rsidRDefault="00642C8A" w:rsidP="007A4B82">
      <w:pPr>
        <w:ind w:left="-142"/>
        <w:rPr>
          <w:rFonts w:asciiTheme="minorHAnsi" w:hAnsiTheme="minorHAnsi" w:cstheme="minorHAnsi"/>
          <w:b/>
          <w:bCs/>
          <w:sz w:val="22"/>
          <w:szCs w:val="22"/>
        </w:rPr>
      </w:pPr>
      <w:r>
        <w:rPr>
          <w:rFonts w:asciiTheme="minorHAnsi" w:hAnsiTheme="minorHAnsi" w:cstheme="minorHAnsi"/>
          <w:b/>
          <w:bCs/>
          <w:sz w:val="22"/>
          <w:szCs w:val="22"/>
        </w:rPr>
        <w:t>References</w:t>
      </w:r>
    </w:p>
    <w:p w14:paraId="4EE097A9" w14:textId="77777777" w:rsidR="008F0A3A" w:rsidRPr="006012B3" w:rsidRDefault="008F0A3A">
      <w:pPr>
        <w:rPr>
          <w:rFonts w:asciiTheme="minorHAnsi" w:hAnsiTheme="minorHAnsi" w:cstheme="minorHAnsi"/>
        </w:rPr>
      </w:pPr>
    </w:p>
    <w:p w14:paraId="65566906" w14:textId="035AC7C5" w:rsidR="00C577A8" w:rsidRPr="00C577A8" w:rsidRDefault="00EA32ED" w:rsidP="00C577A8">
      <w:pPr>
        <w:widowControl w:val="0"/>
        <w:autoSpaceDE w:val="0"/>
        <w:autoSpaceDN w:val="0"/>
        <w:adjustRightInd w:val="0"/>
        <w:spacing w:before="120" w:after="120"/>
        <w:ind w:left="480" w:hanging="480"/>
        <w:rPr>
          <w:rFonts w:ascii="Calibri" w:hAnsi="Calibri" w:cs="Calibri"/>
          <w:noProof/>
          <w:sz w:val="22"/>
        </w:rPr>
      </w:pPr>
      <w:r w:rsidRPr="00EA32ED">
        <w:rPr>
          <w:rFonts w:asciiTheme="minorHAnsi" w:hAnsiTheme="minorHAnsi" w:cstheme="minorHAnsi"/>
          <w:sz w:val="22"/>
          <w:szCs w:val="22"/>
        </w:rPr>
        <w:fldChar w:fldCharType="begin" w:fldLock="1"/>
      </w:r>
      <w:r w:rsidRPr="00EA32ED">
        <w:rPr>
          <w:rFonts w:asciiTheme="minorHAnsi" w:hAnsiTheme="minorHAnsi" w:cstheme="minorHAnsi"/>
          <w:sz w:val="22"/>
          <w:szCs w:val="22"/>
        </w:rPr>
        <w:instrText xml:space="preserve">ADDIN Mendeley Bibliography CSL_BIBLIOGRAPHY </w:instrText>
      </w:r>
      <w:r w:rsidRPr="00EA32ED">
        <w:rPr>
          <w:rFonts w:asciiTheme="minorHAnsi" w:hAnsiTheme="minorHAnsi" w:cstheme="minorHAnsi"/>
          <w:sz w:val="22"/>
          <w:szCs w:val="22"/>
        </w:rPr>
        <w:fldChar w:fldCharType="separate"/>
      </w:r>
      <w:r w:rsidR="00C577A8" w:rsidRPr="00C577A8">
        <w:rPr>
          <w:rFonts w:ascii="Calibri" w:hAnsi="Calibri" w:cs="Calibri"/>
          <w:noProof/>
          <w:sz w:val="22"/>
        </w:rPr>
        <w:t xml:space="preserve">Abbass, K., Qasim, M. Z., Song, H., Murshed, M., Mahmood, H., &amp; Younis, I. (2022). A review of the global climate change impacts, adaptation, and sustainable mitigation measures. </w:t>
      </w:r>
      <w:r w:rsidR="00C577A8" w:rsidRPr="00C577A8">
        <w:rPr>
          <w:rFonts w:ascii="Calibri" w:hAnsi="Calibri" w:cs="Calibri"/>
          <w:i/>
          <w:iCs/>
          <w:noProof/>
          <w:sz w:val="22"/>
        </w:rPr>
        <w:t>Environmental Science and Pollution Research</w:t>
      </w:r>
      <w:r w:rsidR="00C577A8" w:rsidRPr="00C577A8">
        <w:rPr>
          <w:rFonts w:ascii="Calibri" w:hAnsi="Calibri" w:cs="Calibri"/>
          <w:noProof/>
          <w:sz w:val="22"/>
        </w:rPr>
        <w:t xml:space="preserve">, </w:t>
      </w:r>
      <w:r w:rsidR="00C577A8" w:rsidRPr="00C577A8">
        <w:rPr>
          <w:rFonts w:ascii="Calibri" w:hAnsi="Calibri" w:cs="Calibri"/>
          <w:i/>
          <w:iCs/>
          <w:noProof/>
          <w:sz w:val="22"/>
        </w:rPr>
        <w:t>29</w:t>
      </w:r>
      <w:r w:rsidR="00C577A8" w:rsidRPr="00C577A8">
        <w:rPr>
          <w:rFonts w:ascii="Calibri" w:hAnsi="Calibri" w:cs="Calibri"/>
          <w:noProof/>
          <w:sz w:val="22"/>
        </w:rPr>
        <w:t>(28), 42539–42559.</w:t>
      </w:r>
    </w:p>
    <w:p w14:paraId="3F08052A"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Azfar, H., Ishtiaq, H., Sajid, A., Waheed, U., A., R., Safi, U., Haider, A., Asima, M., Jinxing, Z., &amp; Jianhua, C. (2023). Ocean–atmosphere circulation coherences associated with temperature in crease in Pakistan. </w:t>
      </w:r>
      <w:r w:rsidRPr="00C577A8">
        <w:rPr>
          <w:rFonts w:ascii="Calibri" w:hAnsi="Calibri" w:cs="Calibri"/>
          <w:i/>
          <w:iCs/>
          <w:noProof/>
          <w:sz w:val="22"/>
        </w:rPr>
        <w:t>Environmental Research Letters</w:t>
      </w:r>
      <w:r w:rsidRPr="00C577A8">
        <w:rPr>
          <w:rFonts w:ascii="Calibri" w:hAnsi="Calibri" w:cs="Calibri"/>
          <w:noProof/>
          <w:sz w:val="22"/>
        </w:rPr>
        <w:t>. https://doi.org/10.1088/1748-9326/acee99</w:t>
      </w:r>
    </w:p>
    <w:p w14:paraId="31BAEB02"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Brodny, J., &amp; Tutak, M. (2022). Digitalization of small and medium-sized enterprises and economic growth: Evidence for the EU-27 countries. </w:t>
      </w:r>
      <w:r w:rsidRPr="00C577A8">
        <w:rPr>
          <w:rFonts w:ascii="Calibri" w:hAnsi="Calibri" w:cs="Calibri"/>
          <w:i/>
          <w:iCs/>
          <w:noProof/>
          <w:sz w:val="22"/>
        </w:rPr>
        <w:t>Journal of Open Innovation: Technology, Market, and Complexity</w:t>
      </w:r>
      <w:r w:rsidRPr="00C577A8">
        <w:rPr>
          <w:rFonts w:ascii="Calibri" w:hAnsi="Calibri" w:cs="Calibri"/>
          <w:noProof/>
          <w:sz w:val="22"/>
        </w:rPr>
        <w:t xml:space="preserve">, </w:t>
      </w:r>
      <w:r w:rsidRPr="00C577A8">
        <w:rPr>
          <w:rFonts w:ascii="Calibri" w:hAnsi="Calibri" w:cs="Calibri"/>
          <w:i/>
          <w:iCs/>
          <w:noProof/>
          <w:sz w:val="22"/>
        </w:rPr>
        <w:t>8</w:t>
      </w:r>
      <w:r w:rsidRPr="00C577A8">
        <w:rPr>
          <w:rFonts w:ascii="Calibri" w:hAnsi="Calibri" w:cs="Calibri"/>
          <w:noProof/>
          <w:sz w:val="22"/>
        </w:rPr>
        <w:t>(2), 67.</w:t>
      </w:r>
    </w:p>
    <w:p w14:paraId="6AD681E4"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Cendana, F., Tofan, A. E. P., &amp; Rachmah, I. (2020). A statistical method for analysing temperature increase from remote se nsing data with application to Spitsbergen Island. </w:t>
      </w:r>
      <w:r w:rsidRPr="00C577A8">
        <w:rPr>
          <w:rFonts w:ascii="Calibri" w:hAnsi="Calibri" w:cs="Calibri"/>
          <w:i/>
          <w:iCs/>
          <w:noProof/>
          <w:sz w:val="22"/>
        </w:rPr>
        <w:t>Modeling Earth Systems and Environment</w:t>
      </w:r>
      <w:r w:rsidRPr="00C577A8">
        <w:rPr>
          <w:rFonts w:ascii="Calibri" w:hAnsi="Calibri" w:cs="Calibri"/>
          <w:noProof/>
          <w:sz w:val="22"/>
        </w:rPr>
        <w:t>. https://doi.org/10.1007/s40808-020-00907-6</w:t>
      </w:r>
    </w:p>
    <w:p w14:paraId="424203AF"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Ceppi, P., &amp; Nowack, P. (2021). Observational evidence that cloud feedback amplifies global warming. </w:t>
      </w:r>
      <w:r w:rsidRPr="00C577A8">
        <w:rPr>
          <w:rFonts w:ascii="Calibri" w:hAnsi="Calibri" w:cs="Calibri"/>
          <w:i/>
          <w:iCs/>
          <w:noProof/>
          <w:sz w:val="22"/>
        </w:rPr>
        <w:t>Proceedings of the National Academy of Sciences</w:t>
      </w:r>
      <w:r w:rsidRPr="00C577A8">
        <w:rPr>
          <w:rFonts w:ascii="Calibri" w:hAnsi="Calibri" w:cs="Calibri"/>
          <w:noProof/>
          <w:sz w:val="22"/>
        </w:rPr>
        <w:t xml:space="preserve">, </w:t>
      </w:r>
      <w:r w:rsidRPr="00C577A8">
        <w:rPr>
          <w:rFonts w:ascii="Calibri" w:hAnsi="Calibri" w:cs="Calibri"/>
          <w:i/>
          <w:iCs/>
          <w:noProof/>
          <w:sz w:val="22"/>
        </w:rPr>
        <w:t>118</w:t>
      </w:r>
      <w:r w:rsidRPr="00C577A8">
        <w:rPr>
          <w:rFonts w:ascii="Calibri" w:hAnsi="Calibri" w:cs="Calibri"/>
          <w:noProof/>
          <w:sz w:val="22"/>
        </w:rPr>
        <w:t>(30), e2026290118.</w:t>
      </w:r>
    </w:p>
    <w:p w14:paraId="79943427"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Chandio, A. A., Jiang, Y., Akram, W., Adeel, S., Irfan, M., &amp; Jan, I. (2021). Addressing the effect of climate change in the framework of financial and technological development on cereal production in Pakistan. </w:t>
      </w:r>
      <w:r w:rsidRPr="00C577A8">
        <w:rPr>
          <w:rFonts w:ascii="Calibri" w:hAnsi="Calibri" w:cs="Calibri"/>
          <w:i/>
          <w:iCs/>
          <w:noProof/>
          <w:sz w:val="22"/>
        </w:rPr>
        <w:t>Journal of Cleaner Production</w:t>
      </w:r>
      <w:r w:rsidRPr="00C577A8">
        <w:rPr>
          <w:rFonts w:ascii="Calibri" w:hAnsi="Calibri" w:cs="Calibri"/>
          <w:noProof/>
          <w:sz w:val="22"/>
        </w:rPr>
        <w:t xml:space="preserve">, </w:t>
      </w:r>
      <w:r w:rsidRPr="00C577A8">
        <w:rPr>
          <w:rFonts w:ascii="Calibri" w:hAnsi="Calibri" w:cs="Calibri"/>
          <w:i/>
          <w:iCs/>
          <w:noProof/>
          <w:sz w:val="22"/>
        </w:rPr>
        <w:t>288</w:t>
      </w:r>
      <w:r w:rsidRPr="00C577A8">
        <w:rPr>
          <w:rFonts w:ascii="Calibri" w:hAnsi="Calibri" w:cs="Calibri"/>
          <w:noProof/>
          <w:sz w:val="22"/>
        </w:rPr>
        <w:t>, 125637.</w:t>
      </w:r>
    </w:p>
    <w:p w14:paraId="45A1A55E"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Dahliah, D., &amp; Nur, A. N. (2021). The influence of unemployment, human development index and gross domestic product on poverty level. </w:t>
      </w:r>
      <w:r w:rsidRPr="00C577A8">
        <w:rPr>
          <w:rFonts w:ascii="Calibri" w:hAnsi="Calibri" w:cs="Calibri"/>
          <w:i/>
          <w:iCs/>
          <w:noProof/>
          <w:sz w:val="22"/>
        </w:rPr>
        <w:t>Golden Ratio of Social Science and Education</w:t>
      </w:r>
      <w:r w:rsidRPr="00C577A8">
        <w:rPr>
          <w:rFonts w:ascii="Calibri" w:hAnsi="Calibri" w:cs="Calibri"/>
          <w:noProof/>
          <w:sz w:val="22"/>
        </w:rPr>
        <w:t xml:space="preserve">, </w:t>
      </w:r>
      <w:r w:rsidRPr="00C577A8">
        <w:rPr>
          <w:rFonts w:ascii="Calibri" w:hAnsi="Calibri" w:cs="Calibri"/>
          <w:i/>
          <w:iCs/>
          <w:noProof/>
          <w:sz w:val="22"/>
        </w:rPr>
        <w:t>1</w:t>
      </w:r>
      <w:r w:rsidRPr="00C577A8">
        <w:rPr>
          <w:rFonts w:ascii="Calibri" w:hAnsi="Calibri" w:cs="Calibri"/>
          <w:noProof/>
          <w:sz w:val="22"/>
        </w:rPr>
        <w:t xml:space="preserve">(2), </w:t>
      </w:r>
      <w:r w:rsidRPr="00C577A8">
        <w:rPr>
          <w:rFonts w:ascii="Calibri" w:hAnsi="Calibri" w:cs="Calibri"/>
          <w:noProof/>
          <w:sz w:val="22"/>
        </w:rPr>
        <w:lastRenderedPageBreak/>
        <w:t>95–108.</w:t>
      </w:r>
    </w:p>
    <w:p w14:paraId="6551E1E2"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Davidescu, A. A., Nae, T. M., &amp; Florescu, M.-S. (2024). From Policy to Impact: Advancing Economic Development and Tackling Social Inequities in Central and Eastern Europe. </w:t>
      </w:r>
      <w:r w:rsidRPr="00C577A8">
        <w:rPr>
          <w:rFonts w:ascii="Calibri" w:hAnsi="Calibri" w:cs="Calibri"/>
          <w:i/>
          <w:iCs/>
          <w:noProof/>
          <w:sz w:val="22"/>
        </w:rPr>
        <w:t>Economies</w:t>
      </w:r>
      <w:r w:rsidRPr="00C577A8">
        <w:rPr>
          <w:rFonts w:ascii="Calibri" w:hAnsi="Calibri" w:cs="Calibri"/>
          <w:noProof/>
          <w:sz w:val="22"/>
        </w:rPr>
        <w:t xml:space="preserve">, </w:t>
      </w:r>
      <w:r w:rsidRPr="00C577A8">
        <w:rPr>
          <w:rFonts w:ascii="Calibri" w:hAnsi="Calibri" w:cs="Calibri"/>
          <w:i/>
          <w:iCs/>
          <w:noProof/>
          <w:sz w:val="22"/>
        </w:rPr>
        <w:t>12</w:t>
      </w:r>
      <w:r w:rsidRPr="00C577A8">
        <w:rPr>
          <w:rFonts w:ascii="Calibri" w:hAnsi="Calibri" w:cs="Calibri"/>
          <w:noProof/>
          <w:sz w:val="22"/>
        </w:rPr>
        <w:t>(2), 28.</w:t>
      </w:r>
    </w:p>
    <w:p w14:paraId="11539A09"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Denizhan, M., G., T., Babak, V., &amp; M., S. (2022). Historical Trends Associated with Annual Temperature and Precipitation in Aegean Turkey, Where Are We Heading? </w:t>
      </w:r>
      <w:r w:rsidRPr="00C577A8">
        <w:rPr>
          <w:rFonts w:ascii="Calibri" w:hAnsi="Calibri" w:cs="Calibri"/>
          <w:i/>
          <w:iCs/>
          <w:noProof/>
          <w:sz w:val="22"/>
        </w:rPr>
        <w:t>Sustainability</w:t>
      </w:r>
      <w:r w:rsidRPr="00C577A8">
        <w:rPr>
          <w:rFonts w:ascii="Calibri" w:hAnsi="Calibri" w:cs="Calibri"/>
          <w:noProof/>
          <w:sz w:val="22"/>
        </w:rPr>
        <w:t>. https://doi.org/10.3390/su142013380</w:t>
      </w:r>
    </w:p>
    <w:p w14:paraId="4F48F335"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Fadhil, M., Hamoodi, M. N., &amp; Ziboon, A. R. T. (2023). Mitigating urban heat island effects in urban environments: strategies and tools. </w:t>
      </w:r>
      <w:r w:rsidRPr="00C577A8">
        <w:rPr>
          <w:rFonts w:ascii="Calibri" w:hAnsi="Calibri" w:cs="Calibri"/>
          <w:i/>
          <w:iCs/>
          <w:noProof/>
          <w:sz w:val="22"/>
        </w:rPr>
        <w:t>IOP Conference Series: Earth and Environmental Science</w:t>
      </w:r>
      <w:r w:rsidRPr="00C577A8">
        <w:rPr>
          <w:rFonts w:ascii="Calibri" w:hAnsi="Calibri" w:cs="Calibri"/>
          <w:noProof/>
          <w:sz w:val="22"/>
        </w:rPr>
        <w:t xml:space="preserve">, </w:t>
      </w:r>
      <w:r w:rsidRPr="00C577A8">
        <w:rPr>
          <w:rFonts w:ascii="Calibri" w:hAnsi="Calibri" w:cs="Calibri"/>
          <w:i/>
          <w:iCs/>
          <w:noProof/>
          <w:sz w:val="22"/>
        </w:rPr>
        <w:t>1129</w:t>
      </w:r>
      <w:r w:rsidRPr="00C577A8">
        <w:rPr>
          <w:rFonts w:ascii="Calibri" w:hAnsi="Calibri" w:cs="Calibri"/>
          <w:noProof/>
          <w:sz w:val="22"/>
        </w:rPr>
        <w:t>(1), 12025.</w:t>
      </w:r>
    </w:p>
    <w:p w14:paraId="3CA70AFA"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Fariha, J. N., Miah, M. T., Limon, Z. A., Alsulamy, S., Kafy, A. Al, &amp; Rahman, S. K. N. (2024). Quantifying spatial dynamics of urban sprawl for climate resilience sustainable natural resource management by utilizing geostatistical and remote sensing techniques. </w:t>
      </w:r>
      <w:r w:rsidRPr="00C577A8">
        <w:rPr>
          <w:rFonts w:ascii="Calibri" w:hAnsi="Calibri" w:cs="Calibri"/>
          <w:i/>
          <w:iCs/>
          <w:noProof/>
          <w:sz w:val="22"/>
        </w:rPr>
        <w:t>Theoretical and Applied Climatology</w:t>
      </w:r>
      <w:r w:rsidRPr="00C577A8">
        <w:rPr>
          <w:rFonts w:ascii="Calibri" w:hAnsi="Calibri" w:cs="Calibri"/>
          <w:noProof/>
          <w:sz w:val="22"/>
        </w:rPr>
        <w:t xml:space="preserve">, </w:t>
      </w:r>
      <w:r w:rsidRPr="00C577A8">
        <w:rPr>
          <w:rFonts w:ascii="Calibri" w:hAnsi="Calibri" w:cs="Calibri"/>
          <w:i/>
          <w:iCs/>
          <w:noProof/>
          <w:sz w:val="22"/>
        </w:rPr>
        <w:t>155</w:t>
      </w:r>
      <w:r w:rsidRPr="00C577A8">
        <w:rPr>
          <w:rFonts w:ascii="Calibri" w:hAnsi="Calibri" w:cs="Calibri"/>
          <w:noProof/>
          <w:sz w:val="22"/>
        </w:rPr>
        <w:t>(7), 6307–6349.</w:t>
      </w:r>
    </w:p>
    <w:p w14:paraId="6F5CE0AD"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Ganeshkumar, B., &amp; Krishna, G. V. T. G. (2020). Spatiotemporal Variability of Temperature and Its Extremes Over an Agro-Ecological Region of Tamil Nadu, India. </w:t>
      </w:r>
      <w:r w:rsidRPr="00C577A8">
        <w:rPr>
          <w:rFonts w:ascii="Calibri" w:hAnsi="Calibri" w:cs="Calibri"/>
          <w:i/>
          <w:iCs/>
          <w:noProof/>
          <w:sz w:val="22"/>
        </w:rPr>
        <w:t>Polish Journal of Environmental Studies</w:t>
      </w:r>
      <w:r w:rsidRPr="00C577A8">
        <w:rPr>
          <w:rFonts w:ascii="Calibri" w:hAnsi="Calibri" w:cs="Calibri"/>
          <w:noProof/>
          <w:sz w:val="22"/>
        </w:rPr>
        <w:t xml:space="preserve">, </w:t>
      </w:r>
      <w:r w:rsidRPr="00C577A8">
        <w:rPr>
          <w:rFonts w:ascii="Calibri" w:hAnsi="Calibri" w:cs="Calibri"/>
          <w:i/>
          <w:iCs/>
          <w:noProof/>
          <w:sz w:val="22"/>
        </w:rPr>
        <w:t>29</w:t>
      </w:r>
      <w:r w:rsidRPr="00C577A8">
        <w:rPr>
          <w:rFonts w:ascii="Calibri" w:hAnsi="Calibri" w:cs="Calibri"/>
          <w:noProof/>
          <w:sz w:val="22"/>
        </w:rPr>
        <w:t>(5), 3561–3568. https://doi.org/10.15244/pjoes/115211</w:t>
      </w:r>
    </w:p>
    <w:p w14:paraId="59242E1A"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Gonzalez-Trevizo, M. E., Martinez-Torres, K. E., Armendariz-Lopez, J. F., Santamouris, M., Bojorquez-Morales, G., &amp; Luna-Leon, A. (2021). Research trends on environmental, energy and vulnerability impacts of Urban Heat Islands: An overview. </w:t>
      </w:r>
      <w:r w:rsidRPr="00C577A8">
        <w:rPr>
          <w:rFonts w:ascii="Calibri" w:hAnsi="Calibri" w:cs="Calibri"/>
          <w:i/>
          <w:iCs/>
          <w:noProof/>
          <w:sz w:val="22"/>
        </w:rPr>
        <w:t>Energy and Buildings</w:t>
      </w:r>
      <w:r w:rsidRPr="00C577A8">
        <w:rPr>
          <w:rFonts w:ascii="Calibri" w:hAnsi="Calibri" w:cs="Calibri"/>
          <w:noProof/>
          <w:sz w:val="22"/>
        </w:rPr>
        <w:t xml:space="preserve">, </w:t>
      </w:r>
      <w:r w:rsidRPr="00C577A8">
        <w:rPr>
          <w:rFonts w:ascii="Calibri" w:hAnsi="Calibri" w:cs="Calibri"/>
          <w:i/>
          <w:iCs/>
          <w:noProof/>
          <w:sz w:val="22"/>
        </w:rPr>
        <w:t>246</w:t>
      </w:r>
      <w:r w:rsidRPr="00C577A8">
        <w:rPr>
          <w:rFonts w:ascii="Calibri" w:hAnsi="Calibri" w:cs="Calibri"/>
          <w:noProof/>
          <w:sz w:val="22"/>
        </w:rPr>
        <w:t>, 111051.</w:t>
      </w:r>
    </w:p>
    <w:p w14:paraId="5C0992F4"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Hakimovich, T. M. (2025). PRIORITIES FOR DEEPENING STRUCTURAL CHANGE IN THE ECONOMY. </w:t>
      </w:r>
      <w:r w:rsidRPr="00C577A8">
        <w:rPr>
          <w:rFonts w:ascii="Calibri" w:hAnsi="Calibri" w:cs="Calibri"/>
          <w:i/>
          <w:iCs/>
          <w:noProof/>
          <w:sz w:val="22"/>
        </w:rPr>
        <w:t>Ethiopian International Journal of Multidisciplinary Research</w:t>
      </w:r>
      <w:r w:rsidRPr="00C577A8">
        <w:rPr>
          <w:rFonts w:ascii="Calibri" w:hAnsi="Calibri" w:cs="Calibri"/>
          <w:noProof/>
          <w:sz w:val="22"/>
        </w:rPr>
        <w:t xml:space="preserve">, </w:t>
      </w:r>
      <w:r w:rsidRPr="00C577A8">
        <w:rPr>
          <w:rFonts w:ascii="Calibri" w:hAnsi="Calibri" w:cs="Calibri"/>
          <w:i/>
          <w:iCs/>
          <w:noProof/>
          <w:sz w:val="22"/>
        </w:rPr>
        <w:t>12</w:t>
      </w:r>
      <w:r w:rsidRPr="00C577A8">
        <w:rPr>
          <w:rFonts w:ascii="Calibri" w:hAnsi="Calibri" w:cs="Calibri"/>
          <w:noProof/>
          <w:sz w:val="22"/>
        </w:rPr>
        <w:t>(01), 84–90.</w:t>
      </w:r>
    </w:p>
    <w:p w14:paraId="76578FFA"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Hariram, N. P., Mekha, K. B., Suganthan, V., &amp; Sudhakar, K. (2023). Sustainalism: An integrated socio-economic-environmental model to address sustainable development and sustainability. </w:t>
      </w:r>
      <w:r w:rsidRPr="00C577A8">
        <w:rPr>
          <w:rFonts w:ascii="Calibri" w:hAnsi="Calibri" w:cs="Calibri"/>
          <w:i/>
          <w:iCs/>
          <w:noProof/>
          <w:sz w:val="22"/>
        </w:rPr>
        <w:t>Sustainability</w:t>
      </w:r>
      <w:r w:rsidRPr="00C577A8">
        <w:rPr>
          <w:rFonts w:ascii="Calibri" w:hAnsi="Calibri" w:cs="Calibri"/>
          <w:noProof/>
          <w:sz w:val="22"/>
        </w:rPr>
        <w:t xml:space="preserve">, </w:t>
      </w:r>
      <w:r w:rsidRPr="00C577A8">
        <w:rPr>
          <w:rFonts w:ascii="Calibri" w:hAnsi="Calibri" w:cs="Calibri"/>
          <w:i/>
          <w:iCs/>
          <w:noProof/>
          <w:sz w:val="22"/>
        </w:rPr>
        <w:t>15</w:t>
      </w:r>
      <w:r w:rsidRPr="00C577A8">
        <w:rPr>
          <w:rFonts w:ascii="Calibri" w:hAnsi="Calibri" w:cs="Calibri"/>
          <w:noProof/>
          <w:sz w:val="22"/>
        </w:rPr>
        <w:t>(13), 10682.</w:t>
      </w:r>
    </w:p>
    <w:p w14:paraId="183B54E5"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Huang, Y., Lu, C., Lei, Y., Su, Y., Su, Y., &amp; Wang, Z. (2022). Spatio-temporal Variations of Temperature and Precipitation During 195 1–2019 in Arid and Semiarid Region, China. </w:t>
      </w:r>
      <w:r w:rsidRPr="00C577A8">
        <w:rPr>
          <w:rFonts w:ascii="Calibri" w:hAnsi="Calibri" w:cs="Calibri"/>
          <w:i/>
          <w:iCs/>
          <w:noProof/>
          <w:sz w:val="22"/>
        </w:rPr>
        <w:t>Chinese Geographical Science</w:t>
      </w:r>
      <w:r w:rsidRPr="00C577A8">
        <w:rPr>
          <w:rFonts w:ascii="Calibri" w:hAnsi="Calibri" w:cs="Calibri"/>
          <w:noProof/>
          <w:sz w:val="22"/>
        </w:rPr>
        <w:t xml:space="preserve">, </w:t>
      </w:r>
      <w:r w:rsidRPr="00C577A8">
        <w:rPr>
          <w:rFonts w:ascii="Calibri" w:hAnsi="Calibri" w:cs="Calibri"/>
          <w:i/>
          <w:iCs/>
          <w:noProof/>
          <w:sz w:val="22"/>
        </w:rPr>
        <w:t>32</w:t>
      </w:r>
      <w:r w:rsidRPr="00C577A8">
        <w:rPr>
          <w:rFonts w:ascii="Calibri" w:hAnsi="Calibri" w:cs="Calibri"/>
          <w:noProof/>
          <w:sz w:val="22"/>
        </w:rPr>
        <w:t>(2), 285–301. https://doi.org/10.1007/s11769-022-1262-8</w:t>
      </w:r>
    </w:p>
    <w:p w14:paraId="37349E66"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Jiang, H., Guo, H., Sun, Z., Xing, Q., Zhang, H., Ma, Y., &amp; Li, S. (2022). Projections of urban built-up area expansion and urbanization sustainability in China’s cities through 2030. </w:t>
      </w:r>
      <w:r w:rsidRPr="00C577A8">
        <w:rPr>
          <w:rFonts w:ascii="Calibri" w:hAnsi="Calibri" w:cs="Calibri"/>
          <w:i/>
          <w:iCs/>
          <w:noProof/>
          <w:sz w:val="22"/>
        </w:rPr>
        <w:t>Journal of Cleaner Production</w:t>
      </w:r>
      <w:r w:rsidRPr="00C577A8">
        <w:rPr>
          <w:rFonts w:ascii="Calibri" w:hAnsi="Calibri" w:cs="Calibri"/>
          <w:noProof/>
          <w:sz w:val="22"/>
        </w:rPr>
        <w:t xml:space="preserve">, </w:t>
      </w:r>
      <w:r w:rsidRPr="00C577A8">
        <w:rPr>
          <w:rFonts w:ascii="Calibri" w:hAnsi="Calibri" w:cs="Calibri"/>
          <w:i/>
          <w:iCs/>
          <w:noProof/>
          <w:sz w:val="22"/>
        </w:rPr>
        <w:t>367</w:t>
      </w:r>
      <w:r w:rsidRPr="00C577A8">
        <w:rPr>
          <w:rFonts w:ascii="Calibri" w:hAnsi="Calibri" w:cs="Calibri"/>
          <w:noProof/>
          <w:sz w:val="22"/>
        </w:rPr>
        <w:t>, 133086.</w:t>
      </w:r>
    </w:p>
    <w:p w14:paraId="78AD7449"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Jing, L. (2022). Numerical Simulation‐Based Model for Analyzing the Correlation between GDP Index and Quality of Life. </w:t>
      </w:r>
      <w:r w:rsidRPr="00C577A8">
        <w:rPr>
          <w:rFonts w:ascii="Calibri" w:hAnsi="Calibri" w:cs="Calibri"/>
          <w:i/>
          <w:iCs/>
          <w:noProof/>
          <w:sz w:val="22"/>
        </w:rPr>
        <w:t>Mathematical Problems in Engineering</w:t>
      </w:r>
      <w:r w:rsidRPr="00C577A8">
        <w:rPr>
          <w:rFonts w:ascii="Calibri" w:hAnsi="Calibri" w:cs="Calibri"/>
          <w:noProof/>
          <w:sz w:val="22"/>
        </w:rPr>
        <w:t xml:space="preserve">, </w:t>
      </w:r>
      <w:r w:rsidRPr="00C577A8">
        <w:rPr>
          <w:rFonts w:ascii="Calibri" w:hAnsi="Calibri" w:cs="Calibri"/>
          <w:i/>
          <w:iCs/>
          <w:noProof/>
          <w:sz w:val="22"/>
        </w:rPr>
        <w:t>2022</w:t>
      </w:r>
      <w:r w:rsidRPr="00C577A8">
        <w:rPr>
          <w:rFonts w:ascii="Calibri" w:hAnsi="Calibri" w:cs="Calibri"/>
          <w:noProof/>
          <w:sz w:val="22"/>
        </w:rPr>
        <w:t>(1), 7420641.</w:t>
      </w:r>
    </w:p>
    <w:p w14:paraId="31530E6E"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Kholmatjanov, B. M., Petrov, Y. V, Khujanazarov, T., Sulaymonova, N. N., Abdikulov, F. I., &amp; Tanaka, K. (2020). Analysis of Temperature Change in Uzbekistan and the Regional Atmosphe ric Circulation of Middle Asia during 1961–2016. </w:t>
      </w:r>
      <w:r w:rsidRPr="00C577A8">
        <w:rPr>
          <w:rFonts w:ascii="Calibri" w:hAnsi="Calibri" w:cs="Calibri"/>
          <w:i/>
          <w:iCs/>
          <w:noProof/>
          <w:sz w:val="22"/>
        </w:rPr>
        <w:t>Climate</w:t>
      </w:r>
      <w:r w:rsidRPr="00C577A8">
        <w:rPr>
          <w:rFonts w:ascii="Calibri" w:hAnsi="Calibri" w:cs="Calibri"/>
          <w:noProof/>
          <w:sz w:val="22"/>
        </w:rPr>
        <w:t xml:space="preserve">, </w:t>
      </w:r>
      <w:r w:rsidRPr="00C577A8">
        <w:rPr>
          <w:rFonts w:ascii="Calibri" w:hAnsi="Calibri" w:cs="Calibri"/>
          <w:i/>
          <w:iCs/>
          <w:noProof/>
          <w:sz w:val="22"/>
        </w:rPr>
        <w:t>8</w:t>
      </w:r>
      <w:r w:rsidRPr="00C577A8">
        <w:rPr>
          <w:rFonts w:ascii="Calibri" w:hAnsi="Calibri" w:cs="Calibri"/>
          <w:noProof/>
          <w:sz w:val="22"/>
        </w:rPr>
        <w:t>(9), 101. https://doi.org/10.3390/cli8090101</w:t>
      </w:r>
    </w:p>
    <w:p w14:paraId="5A5D59D1"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Kolusu, S. R., Siderius, C., Todd, M. C., Bhave, A., Conway, D., James, R., Washington, R., Geressu, R., Harou, J. J., &amp; Kashaigili, J. J. (2021). Sensitivity of projected climate impacts to climate model weighting: multi-sector analysis in eastern Africa. </w:t>
      </w:r>
      <w:r w:rsidRPr="00C577A8">
        <w:rPr>
          <w:rFonts w:ascii="Calibri" w:hAnsi="Calibri" w:cs="Calibri"/>
          <w:i/>
          <w:iCs/>
          <w:noProof/>
          <w:sz w:val="22"/>
        </w:rPr>
        <w:t>Climatic Change</w:t>
      </w:r>
      <w:r w:rsidRPr="00C577A8">
        <w:rPr>
          <w:rFonts w:ascii="Calibri" w:hAnsi="Calibri" w:cs="Calibri"/>
          <w:noProof/>
          <w:sz w:val="22"/>
        </w:rPr>
        <w:t xml:space="preserve">, </w:t>
      </w:r>
      <w:r w:rsidRPr="00C577A8">
        <w:rPr>
          <w:rFonts w:ascii="Calibri" w:hAnsi="Calibri" w:cs="Calibri"/>
          <w:i/>
          <w:iCs/>
          <w:noProof/>
          <w:sz w:val="22"/>
        </w:rPr>
        <w:t>164</w:t>
      </w:r>
      <w:r w:rsidRPr="00C577A8">
        <w:rPr>
          <w:rFonts w:ascii="Calibri" w:hAnsi="Calibri" w:cs="Calibri"/>
          <w:noProof/>
          <w:sz w:val="22"/>
        </w:rPr>
        <w:t>, 1–20.</w:t>
      </w:r>
    </w:p>
    <w:p w14:paraId="4A4B882F"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Mariappan, S., David Raj, A., Kumar, S., &amp; Chatterjee, U. (2023). Global warming impacts on the environment in the last century. In </w:t>
      </w:r>
      <w:r w:rsidRPr="00C577A8">
        <w:rPr>
          <w:rFonts w:ascii="Calibri" w:hAnsi="Calibri" w:cs="Calibri"/>
          <w:i/>
          <w:iCs/>
          <w:noProof/>
          <w:sz w:val="22"/>
        </w:rPr>
        <w:t>Ecological footprints of climate change: Adaptive approaches and sustainability</w:t>
      </w:r>
      <w:r w:rsidRPr="00C577A8">
        <w:rPr>
          <w:rFonts w:ascii="Calibri" w:hAnsi="Calibri" w:cs="Calibri"/>
          <w:noProof/>
          <w:sz w:val="22"/>
        </w:rPr>
        <w:t xml:space="preserve"> (pp. 63–93). Springer.</w:t>
      </w:r>
    </w:p>
    <w:p w14:paraId="4EB44412"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Mulugeta Woldegiorgis, M. (2022). Inequality, social protection policy, and inclusion: pertinent theories and empirical evidence. </w:t>
      </w:r>
      <w:r w:rsidRPr="00C577A8">
        <w:rPr>
          <w:rFonts w:ascii="Calibri" w:hAnsi="Calibri" w:cs="Calibri"/>
          <w:i/>
          <w:iCs/>
          <w:noProof/>
          <w:sz w:val="22"/>
        </w:rPr>
        <w:t>Journal of Social and Economic Development</w:t>
      </w:r>
      <w:r w:rsidRPr="00C577A8">
        <w:rPr>
          <w:rFonts w:ascii="Calibri" w:hAnsi="Calibri" w:cs="Calibri"/>
          <w:noProof/>
          <w:sz w:val="22"/>
        </w:rPr>
        <w:t xml:space="preserve">, </w:t>
      </w:r>
      <w:r w:rsidRPr="00C577A8">
        <w:rPr>
          <w:rFonts w:ascii="Calibri" w:hAnsi="Calibri" w:cs="Calibri"/>
          <w:i/>
          <w:iCs/>
          <w:noProof/>
          <w:sz w:val="22"/>
        </w:rPr>
        <w:t>24</w:t>
      </w:r>
      <w:r w:rsidRPr="00C577A8">
        <w:rPr>
          <w:rFonts w:ascii="Calibri" w:hAnsi="Calibri" w:cs="Calibri"/>
          <w:noProof/>
          <w:sz w:val="22"/>
        </w:rPr>
        <w:t>(2), 241–265.</w:t>
      </w:r>
    </w:p>
    <w:p w14:paraId="74A44DF0"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lastRenderedPageBreak/>
        <w:t xml:space="preserve">Munawar, M., Rhysa, M., Tofan, A. E. P., R., J., Don, M., &amp; Nitinun, P. (2024). Modelling Land Surface Temperature Variation in New Guinea Island from 2000 to 2019 Using a Cubic Spline Model. </w:t>
      </w:r>
      <w:r w:rsidRPr="00C577A8">
        <w:rPr>
          <w:rFonts w:ascii="Calibri" w:hAnsi="Calibri" w:cs="Calibri"/>
          <w:i/>
          <w:iCs/>
          <w:noProof/>
          <w:sz w:val="22"/>
        </w:rPr>
        <w:t>Advances in Meteorology</w:t>
      </w:r>
      <w:r w:rsidRPr="00C577A8">
        <w:rPr>
          <w:rFonts w:ascii="Calibri" w:hAnsi="Calibri" w:cs="Calibri"/>
          <w:noProof/>
          <w:sz w:val="22"/>
        </w:rPr>
        <w:t>. https://doi.org/10.1155/2024/5531961</w:t>
      </w:r>
    </w:p>
    <w:p w14:paraId="5E4EE380"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Munawar, M., Tofan, A. E. P., Rhysa, M., &amp; R., J. (2021). Statistical modeling for land surface temperature in Borneo island fro m 2000 to 2019. </w:t>
      </w:r>
      <w:r w:rsidRPr="00C577A8">
        <w:rPr>
          <w:rFonts w:ascii="Calibri" w:hAnsi="Calibri" w:cs="Calibri"/>
          <w:i/>
          <w:iCs/>
          <w:noProof/>
          <w:sz w:val="22"/>
        </w:rPr>
        <w:t>Theoretical and Applied Climatology</w:t>
      </w:r>
      <w:r w:rsidRPr="00C577A8">
        <w:rPr>
          <w:rFonts w:ascii="Calibri" w:hAnsi="Calibri" w:cs="Calibri"/>
          <w:noProof/>
          <w:sz w:val="22"/>
        </w:rPr>
        <w:t>. https://doi.org/10.1007/s00704-021-03891-8</w:t>
      </w:r>
    </w:p>
    <w:p w14:paraId="137A9452"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Paul, J., Lim, W. M., O’Cass, A., Hao, A. W., &amp; Bresciani, S. (2021). Scientific procedures and rationales for systematic literature reviews (SPAR‐4‐SLR). </w:t>
      </w:r>
      <w:r w:rsidRPr="00C577A8">
        <w:rPr>
          <w:rFonts w:ascii="Calibri" w:hAnsi="Calibri" w:cs="Calibri"/>
          <w:i/>
          <w:iCs/>
          <w:noProof/>
          <w:sz w:val="22"/>
        </w:rPr>
        <w:t>International Journal of Consumer Studies</w:t>
      </w:r>
      <w:r w:rsidRPr="00C577A8">
        <w:rPr>
          <w:rFonts w:ascii="Calibri" w:hAnsi="Calibri" w:cs="Calibri"/>
          <w:noProof/>
          <w:sz w:val="22"/>
        </w:rPr>
        <w:t xml:space="preserve">, </w:t>
      </w:r>
      <w:r w:rsidRPr="00C577A8">
        <w:rPr>
          <w:rFonts w:ascii="Calibri" w:hAnsi="Calibri" w:cs="Calibri"/>
          <w:i/>
          <w:iCs/>
          <w:noProof/>
          <w:sz w:val="22"/>
        </w:rPr>
        <w:t>45</w:t>
      </w:r>
      <w:r w:rsidRPr="00C577A8">
        <w:rPr>
          <w:rFonts w:ascii="Calibri" w:hAnsi="Calibri" w:cs="Calibri"/>
          <w:noProof/>
          <w:sz w:val="22"/>
        </w:rPr>
        <w:t>(4), O1–O16.</w:t>
      </w:r>
    </w:p>
    <w:p w14:paraId="6098DA10"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Raihan, A. (2023). A review of the global climate change impacts, adaptation strategies, and mitigation options in the socio-economic and environmental sectors. </w:t>
      </w:r>
      <w:r w:rsidRPr="00C577A8">
        <w:rPr>
          <w:rFonts w:ascii="Calibri" w:hAnsi="Calibri" w:cs="Calibri"/>
          <w:i/>
          <w:iCs/>
          <w:noProof/>
          <w:sz w:val="22"/>
        </w:rPr>
        <w:t>Journal of Environmental Science and Economics</w:t>
      </w:r>
      <w:r w:rsidRPr="00C577A8">
        <w:rPr>
          <w:rFonts w:ascii="Calibri" w:hAnsi="Calibri" w:cs="Calibri"/>
          <w:noProof/>
          <w:sz w:val="22"/>
        </w:rPr>
        <w:t xml:space="preserve">, </w:t>
      </w:r>
      <w:r w:rsidRPr="00C577A8">
        <w:rPr>
          <w:rFonts w:ascii="Calibri" w:hAnsi="Calibri" w:cs="Calibri"/>
          <w:i/>
          <w:iCs/>
          <w:noProof/>
          <w:sz w:val="22"/>
        </w:rPr>
        <w:t>2</w:t>
      </w:r>
      <w:r w:rsidRPr="00C577A8">
        <w:rPr>
          <w:rFonts w:ascii="Calibri" w:hAnsi="Calibri" w:cs="Calibri"/>
          <w:noProof/>
          <w:sz w:val="22"/>
        </w:rPr>
        <w:t>(3), 36–58.</w:t>
      </w:r>
    </w:p>
    <w:p w14:paraId="62F29491"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Ren, J., Shi, K., Li, Z., Kong, X., &amp; Zhou, H. (2023). A review on the impacts of urban heat islands on outdoor thermal comfort. </w:t>
      </w:r>
      <w:r w:rsidRPr="00C577A8">
        <w:rPr>
          <w:rFonts w:ascii="Calibri" w:hAnsi="Calibri" w:cs="Calibri"/>
          <w:i/>
          <w:iCs/>
          <w:noProof/>
          <w:sz w:val="22"/>
        </w:rPr>
        <w:t>Buildings</w:t>
      </w:r>
      <w:r w:rsidRPr="00C577A8">
        <w:rPr>
          <w:rFonts w:ascii="Calibri" w:hAnsi="Calibri" w:cs="Calibri"/>
          <w:noProof/>
          <w:sz w:val="22"/>
        </w:rPr>
        <w:t xml:space="preserve">, </w:t>
      </w:r>
      <w:r w:rsidRPr="00C577A8">
        <w:rPr>
          <w:rFonts w:ascii="Calibri" w:hAnsi="Calibri" w:cs="Calibri"/>
          <w:i/>
          <w:iCs/>
          <w:noProof/>
          <w:sz w:val="22"/>
        </w:rPr>
        <w:t>13</w:t>
      </w:r>
      <w:r w:rsidRPr="00C577A8">
        <w:rPr>
          <w:rFonts w:ascii="Calibri" w:hAnsi="Calibri" w:cs="Calibri"/>
          <w:noProof/>
          <w:sz w:val="22"/>
        </w:rPr>
        <w:t>(6), 1368.</w:t>
      </w:r>
    </w:p>
    <w:p w14:paraId="0F3A6914"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Saiping, J., A., Y., &amp; C., X. (2020). </w:t>
      </w:r>
      <w:r w:rsidRPr="00C577A8">
        <w:rPr>
          <w:rFonts w:ascii="Calibri" w:hAnsi="Calibri" w:cs="Calibri"/>
          <w:i/>
          <w:iCs/>
          <w:noProof/>
          <w:sz w:val="22"/>
        </w:rPr>
        <w:t>The temperature increase in Greenland has accelerated in the past five years</w:t>
      </w:r>
      <w:r w:rsidRPr="00C577A8">
        <w:rPr>
          <w:rFonts w:ascii="Calibri" w:hAnsi="Calibri" w:cs="Calibri"/>
          <w:noProof/>
          <w:sz w:val="22"/>
        </w:rPr>
        <w:t>. https://doi.org/10.1016/j.gloplacha.2020.103297</w:t>
      </w:r>
    </w:p>
    <w:p w14:paraId="4EDDD50B"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Sarofim, M. C., Martinich, J., Neumann, J. E., Willwerth, J., Kerrich, Z., Kolian, M., Fant, C., &amp; Hartin, C. (2021). A temperature binning approach for multi-sector climate impact analysis. </w:t>
      </w:r>
      <w:r w:rsidRPr="00C577A8">
        <w:rPr>
          <w:rFonts w:ascii="Calibri" w:hAnsi="Calibri" w:cs="Calibri"/>
          <w:i/>
          <w:iCs/>
          <w:noProof/>
          <w:sz w:val="22"/>
        </w:rPr>
        <w:t>Climatic Change</w:t>
      </w:r>
      <w:r w:rsidRPr="00C577A8">
        <w:rPr>
          <w:rFonts w:ascii="Calibri" w:hAnsi="Calibri" w:cs="Calibri"/>
          <w:noProof/>
          <w:sz w:val="22"/>
        </w:rPr>
        <w:t xml:space="preserve">, </w:t>
      </w:r>
      <w:r w:rsidRPr="00C577A8">
        <w:rPr>
          <w:rFonts w:ascii="Calibri" w:hAnsi="Calibri" w:cs="Calibri"/>
          <w:i/>
          <w:iCs/>
          <w:noProof/>
          <w:sz w:val="22"/>
        </w:rPr>
        <w:t>165</w:t>
      </w:r>
      <w:r w:rsidRPr="00C577A8">
        <w:rPr>
          <w:rFonts w:ascii="Calibri" w:hAnsi="Calibri" w:cs="Calibri"/>
          <w:noProof/>
          <w:sz w:val="22"/>
        </w:rPr>
        <w:t>(1), 22.</w:t>
      </w:r>
    </w:p>
    <w:p w14:paraId="2F42EA5A"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Spyromitros, E., &amp; Panagiotidis, M. (2022). The impact of corruption on economic growth in developing countries and a comparative analysis of corruption measurement indicators. </w:t>
      </w:r>
      <w:r w:rsidRPr="00C577A8">
        <w:rPr>
          <w:rFonts w:ascii="Calibri" w:hAnsi="Calibri" w:cs="Calibri"/>
          <w:i/>
          <w:iCs/>
          <w:noProof/>
          <w:sz w:val="22"/>
        </w:rPr>
        <w:t>Cogent Economics &amp; Finance</w:t>
      </w:r>
      <w:r w:rsidRPr="00C577A8">
        <w:rPr>
          <w:rFonts w:ascii="Calibri" w:hAnsi="Calibri" w:cs="Calibri"/>
          <w:noProof/>
          <w:sz w:val="22"/>
        </w:rPr>
        <w:t xml:space="preserve">, </w:t>
      </w:r>
      <w:r w:rsidRPr="00C577A8">
        <w:rPr>
          <w:rFonts w:ascii="Calibri" w:hAnsi="Calibri" w:cs="Calibri"/>
          <w:i/>
          <w:iCs/>
          <w:noProof/>
          <w:sz w:val="22"/>
        </w:rPr>
        <w:t>10</w:t>
      </w:r>
      <w:r w:rsidRPr="00C577A8">
        <w:rPr>
          <w:rFonts w:ascii="Calibri" w:hAnsi="Calibri" w:cs="Calibri"/>
          <w:noProof/>
          <w:sz w:val="22"/>
        </w:rPr>
        <w:t>(1), 2129368.</w:t>
      </w:r>
    </w:p>
    <w:p w14:paraId="352552FE"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Taïbi, S., Zeroual, A., &amp; Meddi, M. (2021). Effect of autocorrelation on temporal trends in air-temperature in Nor thern Algeria and links with teleconnections patterns. </w:t>
      </w:r>
      <w:r w:rsidRPr="00C577A8">
        <w:rPr>
          <w:rFonts w:ascii="Calibri" w:hAnsi="Calibri" w:cs="Calibri"/>
          <w:i/>
          <w:iCs/>
          <w:noProof/>
          <w:sz w:val="22"/>
        </w:rPr>
        <w:t>Theoretical and Applied Climatology</w:t>
      </w:r>
      <w:r w:rsidRPr="00C577A8">
        <w:rPr>
          <w:rFonts w:ascii="Calibri" w:hAnsi="Calibri" w:cs="Calibri"/>
          <w:noProof/>
          <w:sz w:val="22"/>
        </w:rPr>
        <w:t xml:space="preserve">, </w:t>
      </w:r>
      <w:r w:rsidRPr="00C577A8">
        <w:rPr>
          <w:rFonts w:ascii="Calibri" w:hAnsi="Calibri" w:cs="Calibri"/>
          <w:i/>
          <w:iCs/>
          <w:noProof/>
          <w:sz w:val="22"/>
        </w:rPr>
        <w:t>147</w:t>
      </w:r>
      <w:r w:rsidRPr="00C577A8">
        <w:rPr>
          <w:rFonts w:ascii="Calibri" w:hAnsi="Calibri" w:cs="Calibri"/>
          <w:noProof/>
          <w:sz w:val="22"/>
        </w:rPr>
        <w:t>(3–4), 959–984. https://doi.org/10.1007/s00704-021-03862-z</w:t>
      </w:r>
    </w:p>
    <w:p w14:paraId="73ED9B02"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Thakur, A., Mishra, P. K., Nema, A. K., &amp; Sahoo, S. P. (2019). Spatio-temporal trends and shift analysis of temperature for Wainganga sub-basin, India. </w:t>
      </w:r>
      <w:r w:rsidRPr="00C577A8">
        <w:rPr>
          <w:rFonts w:ascii="Calibri" w:hAnsi="Calibri" w:cs="Calibri"/>
          <w:i/>
          <w:iCs/>
          <w:noProof/>
          <w:sz w:val="22"/>
        </w:rPr>
        <w:t>International Journal of Environmental Studies</w:t>
      </w:r>
      <w:r w:rsidRPr="00C577A8">
        <w:rPr>
          <w:rFonts w:ascii="Calibri" w:hAnsi="Calibri" w:cs="Calibri"/>
          <w:noProof/>
          <w:sz w:val="22"/>
        </w:rPr>
        <w:t xml:space="preserve">, </w:t>
      </w:r>
      <w:r w:rsidRPr="00C577A8">
        <w:rPr>
          <w:rFonts w:ascii="Calibri" w:hAnsi="Calibri" w:cs="Calibri"/>
          <w:i/>
          <w:iCs/>
          <w:noProof/>
          <w:sz w:val="22"/>
        </w:rPr>
        <w:t>77</w:t>
      </w:r>
      <w:r w:rsidRPr="00C577A8">
        <w:rPr>
          <w:rFonts w:ascii="Calibri" w:hAnsi="Calibri" w:cs="Calibri"/>
          <w:noProof/>
          <w:sz w:val="22"/>
        </w:rPr>
        <w:t>(3), 464–479. https://doi.org/10.1080/00207233.2019.1686884</w:t>
      </w:r>
    </w:p>
    <w:p w14:paraId="7D609987"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Usman, M., Jahanger, A., Makhdum, M. S. A., Balsalobre-Lorente, D., &amp; Bashir, A. (2022). How do financial development, energy consumption, natural resources, and globalization affect Arctic countries’ economic growth and environmental quality? An advanced panel data simulation. </w:t>
      </w:r>
      <w:r w:rsidRPr="00C577A8">
        <w:rPr>
          <w:rFonts w:ascii="Calibri" w:hAnsi="Calibri" w:cs="Calibri"/>
          <w:i/>
          <w:iCs/>
          <w:noProof/>
          <w:sz w:val="22"/>
        </w:rPr>
        <w:t>Energy</w:t>
      </w:r>
      <w:r w:rsidRPr="00C577A8">
        <w:rPr>
          <w:rFonts w:ascii="Calibri" w:hAnsi="Calibri" w:cs="Calibri"/>
          <w:noProof/>
          <w:sz w:val="22"/>
        </w:rPr>
        <w:t xml:space="preserve">, </w:t>
      </w:r>
      <w:r w:rsidRPr="00C577A8">
        <w:rPr>
          <w:rFonts w:ascii="Calibri" w:hAnsi="Calibri" w:cs="Calibri"/>
          <w:i/>
          <w:iCs/>
          <w:noProof/>
          <w:sz w:val="22"/>
        </w:rPr>
        <w:t>241</w:t>
      </w:r>
      <w:r w:rsidRPr="00C577A8">
        <w:rPr>
          <w:rFonts w:ascii="Calibri" w:hAnsi="Calibri" w:cs="Calibri"/>
          <w:noProof/>
          <w:sz w:val="22"/>
        </w:rPr>
        <w:t>, 122515.</w:t>
      </w:r>
    </w:p>
    <w:p w14:paraId="7DEECF58"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Van Dinter, R., Tekinerdogan, B., &amp; Catal, C. (2021). Automation of systematic literature reviews: A systematic literature review. </w:t>
      </w:r>
      <w:r w:rsidRPr="00C577A8">
        <w:rPr>
          <w:rFonts w:ascii="Calibri" w:hAnsi="Calibri" w:cs="Calibri"/>
          <w:i/>
          <w:iCs/>
          <w:noProof/>
          <w:sz w:val="22"/>
        </w:rPr>
        <w:t>Information and Software Technology</w:t>
      </w:r>
      <w:r w:rsidRPr="00C577A8">
        <w:rPr>
          <w:rFonts w:ascii="Calibri" w:hAnsi="Calibri" w:cs="Calibri"/>
          <w:noProof/>
          <w:sz w:val="22"/>
        </w:rPr>
        <w:t xml:space="preserve">, </w:t>
      </w:r>
      <w:r w:rsidRPr="00C577A8">
        <w:rPr>
          <w:rFonts w:ascii="Calibri" w:hAnsi="Calibri" w:cs="Calibri"/>
          <w:i/>
          <w:iCs/>
          <w:noProof/>
          <w:sz w:val="22"/>
        </w:rPr>
        <w:t>136</w:t>
      </w:r>
      <w:r w:rsidRPr="00C577A8">
        <w:rPr>
          <w:rFonts w:ascii="Calibri" w:hAnsi="Calibri" w:cs="Calibri"/>
          <w:noProof/>
          <w:sz w:val="22"/>
        </w:rPr>
        <w:t>, 106589.</w:t>
      </w:r>
    </w:p>
    <w:p w14:paraId="4D95542F"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Wang, S., Aihaiti, A., Mamtimin, A., Sayit, H., Peng, J., Liu, Y., Wang, Y., Gao, J., Song, M., Wen, C., Yang, F., Zhou, C., Huo, W., &amp; Wulayin, Y. (2024). Increases in Temperature and Precipitation in the Different Regions of the Tarim River Basin Between 1961 and 2021 Show Spatial and Temporal Heterogeneity. </w:t>
      </w:r>
      <w:r w:rsidRPr="00C577A8">
        <w:rPr>
          <w:rFonts w:ascii="Calibri" w:hAnsi="Calibri" w:cs="Calibri"/>
          <w:i/>
          <w:iCs/>
          <w:noProof/>
          <w:sz w:val="22"/>
        </w:rPr>
        <w:t>Remote Sensing</w:t>
      </w:r>
      <w:r w:rsidRPr="00C577A8">
        <w:rPr>
          <w:rFonts w:ascii="Calibri" w:hAnsi="Calibri" w:cs="Calibri"/>
          <w:noProof/>
          <w:sz w:val="22"/>
        </w:rPr>
        <w:t xml:space="preserve">, </w:t>
      </w:r>
      <w:r w:rsidRPr="00C577A8">
        <w:rPr>
          <w:rFonts w:ascii="Calibri" w:hAnsi="Calibri" w:cs="Calibri"/>
          <w:i/>
          <w:iCs/>
          <w:noProof/>
          <w:sz w:val="22"/>
        </w:rPr>
        <w:t>16</w:t>
      </w:r>
      <w:r w:rsidRPr="00C577A8">
        <w:rPr>
          <w:rFonts w:ascii="Calibri" w:hAnsi="Calibri" w:cs="Calibri"/>
          <w:noProof/>
          <w:sz w:val="22"/>
        </w:rPr>
        <w:t>(23), 4612. https://doi.org/10.3390/rs16234612</w:t>
      </w:r>
    </w:p>
    <w:p w14:paraId="74CB7A98"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Yousafzai, S., Saeed, R., Rahman, G., &amp; Farish, S. (2022). Spatio-temporal assessment of land use dynamics and urbanization: linking with environmental aspects and DPSIR framework approach. </w:t>
      </w:r>
      <w:r w:rsidRPr="00C577A8">
        <w:rPr>
          <w:rFonts w:ascii="Calibri" w:hAnsi="Calibri" w:cs="Calibri"/>
          <w:i/>
          <w:iCs/>
          <w:noProof/>
          <w:sz w:val="22"/>
        </w:rPr>
        <w:t>Environmental Science and Pollution Research</w:t>
      </w:r>
      <w:r w:rsidRPr="00C577A8">
        <w:rPr>
          <w:rFonts w:ascii="Calibri" w:hAnsi="Calibri" w:cs="Calibri"/>
          <w:noProof/>
          <w:sz w:val="22"/>
        </w:rPr>
        <w:t xml:space="preserve">, </w:t>
      </w:r>
      <w:r w:rsidRPr="00C577A8">
        <w:rPr>
          <w:rFonts w:ascii="Calibri" w:hAnsi="Calibri" w:cs="Calibri"/>
          <w:i/>
          <w:iCs/>
          <w:noProof/>
          <w:sz w:val="22"/>
        </w:rPr>
        <w:t>29</w:t>
      </w:r>
      <w:r w:rsidRPr="00C577A8">
        <w:rPr>
          <w:rFonts w:ascii="Calibri" w:hAnsi="Calibri" w:cs="Calibri"/>
          <w:noProof/>
          <w:sz w:val="22"/>
        </w:rPr>
        <w:t>(54), 81337–81350.</w:t>
      </w:r>
    </w:p>
    <w:p w14:paraId="3D2B0C29" w14:textId="77777777" w:rsidR="00C577A8" w:rsidRPr="00C577A8" w:rsidRDefault="00C577A8" w:rsidP="00C577A8">
      <w:pPr>
        <w:widowControl w:val="0"/>
        <w:autoSpaceDE w:val="0"/>
        <w:autoSpaceDN w:val="0"/>
        <w:adjustRightInd w:val="0"/>
        <w:spacing w:before="120" w:after="120"/>
        <w:ind w:left="480" w:hanging="480"/>
        <w:rPr>
          <w:rFonts w:ascii="Calibri" w:hAnsi="Calibri" w:cs="Calibri"/>
          <w:noProof/>
          <w:sz w:val="22"/>
        </w:rPr>
      </w:pPr>
      <w:r w:rsidRPr="00C577A8">
        <w:rPr>
          <w:rFonts w:ascii="Calibri" w:hAnsi="Calibri" w:cs="Calibri"/>
          <w:noProof/>
          <w:sz w:val="22"/>
        </w:rPr>
        <w:t xml:space="preserve">Zou, F., Li, H., &amp; Hu, Q. (2020). Responses of vegetation greening and land surface temperature variatio ns to global warming on the Qinghai-Tibetan Plateau, 2001–2016. </w:t>
      </w:r>
      <w:r w:rsidRPr="00C577A8">
        <w:rPr>
          <w:rFonts w:ascii="Calibri" w:hAnsi="Calibri" w:cs="Calibri"/>
          <w:i/>
          <w:iCs/>
          <w:noProof/>
          <w:sz w:val="22"/>
        </w:rPr>
        <w:t>Ecological Indicators</w:t>
      </w:r>
      <w:r w:rsidRPr="00C577A8">
        <w:rPr>
          <w:rFonts w:ascii="Calibri" w:hAnsi="Calibri" w:cs="Calibri"/>
          <w:noProof/>
          <w:sz w:val="22"/>
        </w:rPr>
        <w:t xml:space="preserve">, </w:t>
      </w:r>
      <w:r w:rsidRPr="00C577A8">
        <w:rPr>
          <w:rFonts w:ascii="Calibri" w:hAnsi="Calibri" w:cs="Calibri"/>
          <w:i/>
          <w:iCs/>
          <w:noProof/>
          <w:sz w:val="22"/>
        </w:rPr>
        <w:t>119</w:t>
      </w:r>
      <w:r w:rsidRPr="00C577A8">
        <w:rPr>
          <w:rFonts w:ascii="Calibri" w:hAnsi="Calibri" w:cs="Calibri"/>
          <w:noProof/>
          <w:sz w:val="22"/>
        </w:rPr>
        <w:t>, 106867. https://doi.org/10.1016/j.ecolind.2020.106867</w:t>
      </w:r>
    </w:p>
    <w:p w14:paraId="54F5EB39" w14:textId="3E86E978" w:rsidR="00025550" w:rsidRPr="006012B3" w:rsidRDefault="00EA32ED" w:rsidP="00EA32ED">
      <w:pPr>
        <w:spacing w:before="120" w:after="120"/>
        <w:rPr>
          <w:rFonts w:asciiTheme="minorHAnsi" w:hAnsiTheme="minorHAnsi" w:cstheme="minorHAnsi"/>
        </w:rPr>
      </w:pPr>
      <w:r w:rsidRPr="00EA32ED">
        <w:rPr>
          <w:rFonts w:asciiTheme="minorHAnsi" w:hAnsiTheme="minorHAnsi" w:cstheme="minorHAnsi"/>
          <w:sz w:val="22"/>
          <w:szCs w:val="22"/>
        </w:rPr>
        <w:fldChar w:fldCharType="end"/>
      </w:r>
    </w:p>
    <w:p w14:paraId="390E4F9E" w14:textId="77777777" w:rsidR="00025550" w:rsidRPr="006012B3" w:rsidRDefault="00025550">
      <w:pPr>
        <w:rPr>
          <w:rFonts w:asciiTheme="minorHAnsi" w:hAnsiTheme="minorHAnsi" w:cstheme="minorHAnsi"/>
        </w:rPr>
      </w:pPr>
    </w:p>
    <w:sectPr w:rsidR="00025550" w:rsidRPr="006012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8ABA7" w14:textId="77777777" w:rsidR="000A7246" w:rsidRDefault="000A7246" w:rsidP="00025550">
      <w:r>
        <w:separator/>
      </w:r>
    </w:p>
  </w:endnote>
  <w:endnote w:type="continuationSeparator" w:id="0">
    <w:p w14:paraId="2ADBDD1C" w14:textId="77777777" w:rsidR="000A7246" w:rsidRDefault="000A7246" w:rsidP="0002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89E7" w14:textId="77777777" w:rsidR="008055CB" w:rsidRDefault="00805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FDDC" w14:textId="77777777" w:rsidR="008055CB" w:rsidRDefault="00805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B858" w14:textId="77777777" w:rsidR="008055CB" w:rsidRDefault="00805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E3DE" w14:textId="77777777" w:rsidR="000A7246" w:rsidRDefault="000A7246" w:rsidP="00025550">
      <w:r>
        <w:separator/>
      </w:r>
    </w:p>
  </w:footnote>
  <w:footnote w:type="continuationSeparator" w:id="0">
    <w:p w14:paraId="1369D355" w14:textId="77777777" w:rsidR="000A7246" w:rsidRDefault="000A7246" w:rsidP="00025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CBFC" w14:textId="7F5243B2" w:rsidR="008055CB" w:rsidRDefault="000A7246">
    <w:pPr>
      <w:pStyle w:val="Header"/>
    </w:pPr>
    <w:r>
      <w:rPr>
        <w:noProof/>
      </w:rPr>
      <w:pict w14:anchorId="5073A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9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1FF1" w14:textId="45FEEDEA" w:rsidR="008055CB" w:rsidRDefault="000A7246">
    <w:pPr>
      <w:pStyle w:val="Header"/>
    </w:pPr>
    <w:r>
      <w:rPr>
        <w:noProof/>
      </w:rPr>
      <w:pict w14:anchorId="5E463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9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C5E5" w14:textId="7B9CDE12" w:rsidR="008055CB" w:rsidRDefault="000A7246">
    <w:pPr>
      <w:pStyle w:val="Header"/>
    </w:pPr>
    <w:r>
      <w:rPr>
        <w:noProof/>
      </w:rPr>
      <w:pict w14:anchorId="7E040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9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0D2E"/>
    <w:multiLevelType w:val="hybridMultilevel"/>
    <w:tmpl w:val="AEF2171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1626C13"/>
    <w:multiLevelType w:val="hybridMultilevel"/>
    <w:tmpl w:val="E77886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3AD1F37"/>
    <w:multiLevelType w:val="hybridMultilevel"/>
    <w:tmpl w:val="B39E6BEE"/>
    <w:lvl w:ilvl="0" w:tplc="280C99A6">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2E6223A"/>
    <w:multiLevelType w:val="hybridMultilevel"/>
    <w:tmpl w:val="AEF2171E"/>
    <w:lvl w:ilvl="0" w:tplc="7C7055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50"/>
    <w:rsid w:val="0001245F"/>
    <w:rsid w:val="00013A65"/>
    <w:rsid w:val="00020A39"/>
    <w:rsid w:val="00025550"/>
    <w:rsid w:val="000A7246"/>
    <w:rsid w:val="0013214B"/>
    <w:rsid w:val="001365A7"/>
    <w:rsid w:val="001628ED"/>
    <w:rsid w:val="001714D6"/>
    <w:rsid w:val="00175EED"/>
    <w:rsid w:val="0017714B"/>
    <w:rsid w:val="001807F0"/>
    <w:rsid w:val="001B1450"/>
    <w:rsid w:val="001E6723"/>
    <w:rsid w:val="00205982"/>
    <w:rsid w:val="00215DAC"/>
    <w:rsid w:val="0021638B"/>
    <w:rsid w:val="00217179"/>
    <w:rsid w:val="002179EF"/>
    <w:rsid w:val="002259B8"/>
    <w:rsid w:val="00287741"/>
    <w:rsid w:val="002B63A1"/>
    <w:rsid w:val="002E5DF6"/>
    <w:rsid w:val="002F7EC4"/>
    <w:rsid w:val="00303968"/>
    <w:rsid w:val="00336A09"/>
    <w:rsid w:val="00341847"/>
    <w:rsid w:val="003901DA"/>
    <w:rsid w:val="003B21FD"/>
    <w:rsid w:val="00525B51"/>
    <w:rsid w:val="005262C5"/>
    <w:rsid w:val="0053360E"/>
    <w:rsid w:val="00541934"/>
    <w:rsid w:val="005424F4"/>
    <w:rsid w:val="00557149"/>
    <w:rsid w:val="00562A97"/>
    <w:rsid w:val="00581A88"/>
    <w:rsid w:val="0058449E"/>
    <w:rsid w:val="00592CC5"/>
    <w:rsid w:val="006012B3"/>
    <w:rsid w:val="00626F4A"/>
    <w:rsid w:val="00642C8A"/>
    <w:rsid w:val="0066520D"/>
    <w:rsid w:val="006A645B"/>
    <w:rsid w:val="006C6345"/>
    <w:rsid w:val="006D6993"/>
    <w:rsid w:val="00737B69"/>
    <w:rsid w:val="00744FE2"/>
    <w:rsid w:val="007522EF"/>
    <w:rsid w:val="00772CF5"/>
    <w:rsid w:val="007A4B82"/>
    <w:rsid w:val="008055CB"/>
    <w:rsid w:val="00824FD4"/>
    <w:rsid w:val="00873390"/>
    <w:rsid w:val="008B7304"/>
    <w:rsid w:val="008F0A3A"/>
    <w:rsid w:val="008F5A5A"/>
    <w:rsid w:val="00904433"/>
    <w:rsid w:val="00925AA5"/>
    <w:rsid w:val="00945D06"/>
    <w:rsid w:val="00961EB0"/>
    <w:rsid w:val="00987EBC"/>
    <w:rsid w:val="009A3192"/>
    <w:rsid w:val="009D6628"/>
    <w:rsid w:val="00A52915"/>
    <w:rsid w:val="00A60F7E"/>
    <w:rsid w:val="00AC185E"/>
    <w:rsid w:val="00AD3C24"/>
    <w:rsid w:val="00B060E2"/>
    <w:rsid w:val="00B32968"/>
    <w:rsid w:val="00B41A4F"/>
    <w:rsid w:val="00BB7E97"/>
    <w:rsid w:val="00BC418B"/>
    <w:rsid w:val="00C25168"/>
    <w:rsid w:val="00C577A8"/>
    <w:rsid w:val="00C74D68"/>
    <w:rsid w:val="00C94780"/>
    <w:rsid w:val="00CA6918"/>
    <w:rsid w:val="00CA7BF2"/>
    <w:rsid w:val="00CD522C"/>
    <w:rsid w:val="00CF316B"/>
    <w:rsid w:val="00D13876"/>
    <w:rsid w:val="00D22306"/>
    <w:rsid w:val="00D82B9C"/>
    <w:rsid w:val="00EA32ED"/>
    <w:rsid w:val="00EB2E8E"/>
    <w:rsid w:val="00EB44AF"/>
    <w:rsid w:val="00F31A27"/>
    <w:rsid w:val="00F54EF3"/>
    <w:rsid w:val="00F77EDF"/>
    <w:rsid w:val="00F80893"/>
    <w:rsid w:val="00F90CFF"/>
    <w:rsid w:val="00F921B9"/>
    <w:rsid w:val="00FA62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AC1A1"/>
  <w15:chartTrackingRefBased/>
  <w15:docId w15:val="{ABFD7B29-F516-4727-B076-D489A45E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F4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255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55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55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55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2555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255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255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255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2555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5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5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5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5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5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550"/>
    <w:rPr>
      <w:rFonts w:eastAsiaTheme="majorEastAsia" w:cstheme="majorBidi"/>
      <w:color w:val="272727" w:themeColor="text1" w:themeTint="D8"/>
    </w:rPr>
  </w:style>
  <w:style w:type="paragraph" w:styleId="Title">
    <w:name w:val="Title"/>
    <w:basedOn w:val="Normal"/>
    <w:next w:val="Normal"/>
    <w:link w:val="TitleChar"/>
    <w:uiPriority w:val="10"/>
    <w:qFormat/>
    <w:rsid w:val="000255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5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55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25550"/>
    <w:rPr>
      <w:i/>
      <w:iCs/>
      <w:color w:val="404040" w:themeColor="text1" w:themeTint="BF"/>
    </w:rPr>
  </w:style>
  <w:style w:type="paragraph" w:styleId="ListParagraph">
    <w:name w:val="List Paragraph"/>
    <w:basedOn w:val="Normal"/>
    <w:uiPriority w:val="34"/>
    <w:qFormat/>
    <w:rsid w:val="0002555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25550"/>
    <w:rPr>
      <w:i/>
      <w:iCs/>
      <w:color w:val="2F5496" w:themeColor="accent1" w:themeShade="BF"/>
    </w:rPr>
  </w:style>
  <w:style w:type="paragraph" w:styleId="IntenseQuote">
    <w:name w:val="Intense Quote"/>
    <w:basedOn w:val="Normal"/>
    <w:next w:val="Normal"/>
    <w:link w:val="IntenseQuoteChar"/>
    <w:uiPriority w:val="30"/>
    <w:qFormat/>
    <w:rsid w:val="000255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25550"/>
    <w:rPr>
      <w:i/>
      <w:iCs/>
      <w:color w:val="2F5496" w:themeColor="accent1" w:themeShade="BF"/>
    </w:rPr>
  </w:style>
  <w:style w:type="character" w:styleId="IntenseReference">
    <w:name w:val="Intense Reference"/>
    <w:basedOn w:val="DefaultParagraphFont"/>
    <w:uiPriority w:val="32"/>
    <w:qFormat/>
    <w:rsid w:val="00025550"/>
    <w:rPr>
      <w:b/>
      <w:bCs/>
      <w:smallCaps/>
      <w:color w:val="2F5496" w:themeColor="accent1" w:themeShade="BF"/>
      <w:spacing w:val="5"/>
    </w:rPr>
  </w:style>
  <w:style w:type="table" w:styleId="TableGrid">
    <w:name w:val="Table Grid"/>
    <w:basedOn w:val="TableNormal"/>
    <w:uiPriority w:val="39"/>
    <w:rsid w:val="00025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5550"/>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25550"/>
    <w:rPr>
      <w:sz w:val="20"/>
      <w:szCs w:val="20"/>
    </w:rPr>
  </w:style>
  <w:style w:type="character" w:styleId="FootnoteReference">
    <w:name w:val="footnote reference"/>
    <w:basedOn w:val="DefaultParagraphFont"/>
    <w:uiPriority w:val="99"/>
    <w:semiHidden/>
    <w:unhideWhenUsed/>
    <w:rsid w:val="00025550"/>
    <w:rPr>
      <w:vertAlign w:val="superscript"/>
    </w:rPr>
  </w:style>
  <w:style w:type="character" w:styleId="Emphasis">
    <w:name w:val="Emphasis"/>
    <w:basedOn w:val="DefaultParagraphFont"/>
    <w:uiPriority w:val="20"/>
    <w:qFormat/>
    <w:rsid w:val="00525B51"/>
    <w:rPr>
      <w:i/>
      <w:iCs/>
    </w:rPr>
  </w:style>
  <w:style w:type="character" w:styleId="Strong">
    <w:name w:val="Strong"/>
    <w:basedOn w:val="DefaultParagraphFont"/>
    <w:uiPriority w:val="22"/>
    <w:qFormat/>
    <w:rsid w:val="00626F4A"/>
    <w:rPr>
      <w:b/>
      <w:bCs/>
    </w:rPr>
  </w:style>
  <w:style w:type="character" w:styleId="Hyperlink">
    <w:name w:val="Hyperlink"/>
    <w:basedOn w:val="DefaultParagraphFont"/>
    <w:uiPriority w:val="99"/>
    <w:unhideWhenUsed/>
    <w:rsid w:val="00F54EF3"/>
    <w:rPr>
      <w:color w:val="0563C1" w:themeColor="hyperlink"/>
      <w:u w:val="single"/>
    </w:rPr>
  </w:style>
  <w:style w:type="character" w:styleId="UnresolvedMention">
    <w:name w:val="Unresolved Mention"/>
    <w:basedOn w:val="DefaultParagraphFont"/>
    <w:uiPriority w:val="99"/>
    <w:semiHidden/>
    <w:unhideWhenUsed/>
    <w:rsid w:val="00F54EF3"/>
    <w:rPr>
      <w:color w:val="605E5C"/>
      <w:shd w:val="clear" w:color="auto" w:fill="E1DFDD"/>
    </w:rPr>
  </w:style>
  <w:style w:type="paragraph" w:styleId="Header">
    <w:name w:val="header"/>
    <w:basedOn w:val="Normal"/>
    <w:link w:val="HeaderChar"/>
    <w:uiPriority w:val="99"/>
    <w:unhideWhenUsed/>
    <w:rsid w:val="008055CB"/>
    <w:pPr>
      <w:tabs>
        <w:tab w:val="center" w:pos="4680"/>
        <w:tab w:val="right" w:pos="9360"/>
      </w:tabs>
    </w:pPr>
  </w:style>
  <w:style w:type="character" w:customStyle="1" w:styleId="HeaderChar">
    <w:name w:val="Header Char"/>
    <w:basedOn w:val="DefaultParagraphFont"/>
    <w:link w:val="Header"/>
    <w:uiPriority w:val="99"/>
    <w:rsid w:val="008055C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055CB"/>
    <w:pPr>
      <w:tabs>
        <w:tab w:val="center" w:pos="4680"/>
        <w:tab w:val="right" w:pos="9360"/>
      </w:tabs>
    </w:pPr>
  </w:style>
  <w:style w:type="character" w:customStyle="1" w:styleId="FooterChar">
    <w:name w:val="Footer Char"/>
    <w:basedOn w:val="DefaultParagraphFont"/>
    <w:link w:val="Footer"/>
    <w:uiPriority w:val="99"/>
    <w:rsid w:val="008055C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5983E-E78B-493A-9580-D8B4E1E1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15514</Words>
  <Characters>88430</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SDI 1183</cp:lastModifiedBy>
  <cp:revision>50</cp:revision>
  <dcterms:created xsi:type="dcterms:W3CDTF">2025-04-09T01:42:00Z</dcterms:created>
  <dcterms:modified xsi:type="dcterms:W3CDTF">2025-04-29T05:44:00Z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