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663D2" w14:textId="77777777" w:rsidR="00754C9A" w:rsidRDefault="00754C9A" w:rsidP="00441B6F">
      <w:pPr>
        <w:pStyle w:val="Title"/>
        <w:spacing w:after="0"/>
        <w:jc w:val="both"/>
        <w:rPr>
          <w:rFonts w:ascii="Arial" w:hAnsi="Arial" w:cs="Arial"/>
        </w:rPr>
      </w:pPr>
    </w:p>
    <w:p w14:paraId="15101C8C" w14:textId="1DC57010" w:rsidR="00163BC4" w:rsidRPr="00163BC4" w:rsidRDefault="00916F79" w:rsidP="00441B6F">
      <w:pPr>
        <w:pStyle w:val="Author"/>
        <w:spacing w:line="240" w:lineRule="auto"/>
        <w:rPr>
          <w:rFonts w:ascii="Arial" w:hAnsi="Arial" w:cs="Arial"/>
          <w:bCs/>
          <w:iCs/>
          <w:kern w:val="28"/>
          <w:sz w:val="36"/>
        </w:rPr>
      </w:pPr>
      <w:r w:rsidRPr="00916F79">
        <w:rPr>
          <w:rFonts w:ascii="Arial" w:hAnsi="Arial" w:cs="Arial"/>
          <w:bCs/>
          <w:iCs/>
          <w:kern w:val="28"/>
          <w:sz w:val="36"/>
        </w:rPr>
        <w:t>Mapping of Climate Change Impact through the Climate Vulnerability Index in India</w:t>
      </w:r>
      <w:r w:rsidR="00231920">
        <w:rPr>
          <w:rFonts w:ascii="Arial" w:hAnsi="Arial" w:cs="Arial"/>
          <w:bCs/>
          <w:iCs/>
          <w:kern w:val="28"/>
          <w:sz w:val="36"/>
        </w:rPr>
        <w:t xml:space="preserve"> </w:t>
      </w:r>
    </w:p>
    <w:p w14:paraId="2623F59C" w14:textId="77777777" w:rsidR="00A258C3" w:rsidRPr="00790ADA" w:rsidRDefault="00A258C3" w:rsidP="00441B6F">
      <w:pPr>
        <w:pStyle w:val="Author"/>
        <w:spacing w:line="240" w:lineRule="auto"/>
        <w:jc w:val="both"/>
        <w:rPr>
          <w:rFonts w:ascii="Arial" w:hAnsi="Arial" w:cs="Arial"/>
          <w:sz w:val="36"/>
        </w:rPr>
      </w:pPr>
    </w:p>
    <w:p w14:paraId="368B8079" w14:textId="77777777" w:rsidR="002C57D2" w:rsidRPr="00FB3A86" w:rsidRDefault="002C57D2" w:rsidP="00441B6F">
      <w:pPr>
        <w:pStyle w:val="Affiliation"/>
        <w:spacing w:after="0" w:line="240" w:lineRule="auto"/>
        <w:jc w:val="both"/>
        <w:rPr>
          <w:rFonts w:ascii="Arial" w:hAnsi="Arial" w:cs="Arial"/>
        </w:rPr>
      </w:pPr>
    </w:p>
    <w:p w14:paraId="20CC62EC" w14:textId="77777777" w:rsidR="00B01FCD" w:rsidRPr="00FB3A86" w:rsidRDefault="00CF6B1B" w:rsidP="00441B6F">
      <w:pPr>
        <w:pStyle w:val="Copyright"/>
        <w:spacing w:after="0" w:line="240" w:lineRule="auto"/>
        <w:jc w:val="both"/>
        <w:rPr>
          <w:rFonts w:ascii="Arial" w:hAnsi="Arial" w:cs="Arial"/>
        </w:rPr>
        <w:sectPr w:rsidR="00B01FCD" w:rsidRPr="00FB3A86" w:rsidSect="000568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F08DD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BFBBDB7" w14:textId="42CE9939" w:rsidR="00B01FCD" w:rsidRDefault="00B01FCD" w:rsidP="00441B6F">
      <w:pPr>
        <w:pStyle w:val="AbstHead"/>
        <w:spacing w:after="0"/>
        <w:jc w:val="both"/>
        <w:rPr>
          <w:rFonts w:ascii="Arial" w:hAnsi="Arial" w:cs="Arial"/>
        </w:rPr>
      </w:pPr>
      <w:r w:rsidRPr="00FB3A86">
        <w:rPr>
          <w:rFonts w:ascii="Arial" w:hAnsi="Arial" w:cs="Arial"/>
        </w:rPr>
        <w:t>ABSTRACT</w:t>
      </w:r>
    </w:p>
    <w:p w14:paraId="63AA085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B3C4D34" w14:textId="77777777" w:rsidTr="001E44FE">
        <w:tc>
          <w:tcPr>
            <w:tcW w:w="9576" w:type="dxa"/>
            <w:shd w:val="clear" w:color="auto" w:fill="F2F2F2"/>
          </w:tcPr>
          <w:p w14:paraId="6A668D01" w14:textId="6FE2496A" w:rsidR="00505F06" w:rsidRPr="00BA1B01" w:rsidRDefault="00C1279A" w:rsidP="00441B6F">
            <w:pPr>
              <w:pStyle w:val="Body"/>
              <w:spacing w:after="0"/>
              <w:rPr>
                <w:rFonts w:ascii="Arial" w:eastAsia="Calibri" w:hAnsi="Arial" w:cs="Arial"/>
                <w:szCs w:val="22"/>
              </w:rPr>
            </w:pPr>
            <w:r w:rsidRPr="00C1279A">
              <w:rPr>
                <w:rFonts w:ascii="Arial" w:eastAsia="Calibri" w:hAnsi="Arial" w:cs="Arial"/>
                <w:szCs w:val="22"/>
              </w:rPr>
              <w:t xml:space="preserve">India has a diverse range of climates and agro-ecosystems, making it necessary to identify the country's most vulnerable states to the climate change. This study analyses the Climate Vulnerability Index (CVI) comprising both crop and dairy indicators for 18 states of India. </w:t>
            </w:r>
            <w:r w:rsidR="005B0829" w:rsidRPr="003C7D2F">
              <w:rPr>
                <w:rFonts w:ascii="Arial" w:eastAsia="Calibri" w:hAnsi="Arial" w:cs="Arial"/>
                <w:szCs w:val="22"/>
                <w:highlight w:val="yellow"/>
              </w:rPr>
              <w:t>The study used PCA method to compute the weight of the selected variables.</w:t>
            </w:r>
            <w:r w:rsidR="005B0829">
              <w:rPr>
                <w:rFonts w:ascii="Arial" w:eastAsia="Calibri" w:hAnsi="Arial" w:cs="Arial"/>
                <w:szCs w:val="22"/>
              </w:rPr>
              <w:t xml:space="preserve"> </w:t>
            </w:r>
            <w:r w:rsidRPr="00C1279A">
              <w:rPr>
                <w:rFonts w:ascii="Arial" w:eastAsia="Calibri" w:hAnsi="Arial" w:cs="Arial"/>
                <w:szCs w:val="22"/>
              </w:rPr>
              <w:t>The computation of index was based on the Intergovernmental Panel on Climate Change (IPCC) approach. The state-wise vulnerability indices were calculated and categorized as Exposure Index (EI), Sensitivity Index (SI), Adaptive Capacity Index (ACI) and overall Climate Vulnerability Index (CVI). The states were classified as high, moderate and less vulnerable on the basis of magnitude of the index. Tamil Nadu has the highest exposure Index to climate (0.84) and the lowest was in Odisha (0.26). In case of sensitivity, the highest was in Bihar (0.79), while the lowest was in Punjab (0.17). The highest adaptive capacity was observed in West Bengal (0.52) and the lowest was in Odisha (0.20). Overall, CVI was highest in Tamil Nadu (0.71) and lowest in Punjab (0.42).</w:t>
            </w:r>
            <w:r w:rsidR="00346FD9" w:rsidRPr="00423C0D">
              <w:rPr>
                <w:rFonts w:ascii="Arial" w:hAnsi="Arial" w:cs="Arial"/>
              </w:rPr>
              <w:t xml:space="preserve"> </w:t>
            </w:r>
            <w:r w:rsidR="00346FD9" w:rsidRPr="00346FD9">
              <w:rPr>
                <w:rFonts w:ascii="Arial" w:hAnsi="Arial" w:cs="Arial"/>
                <w:highlight w:val="yellow"/>
              </w:rPr>
              <w:t>In light of the identified vulnerabilities and the potential impact of extreme climatic events, it is imperative to develop location-specific contingency planning to effectively address and mitigate the challenges anticipated in the near future.</w:t>
            </w:r>
          </w:p>
        </w:tc>
      </w:tr>
    </w:tbl>
    <w:p w14:paraId="536ACF08" w14:textId="77777777" w:rsidR="00636EB2" w:rsidRDefault="00636EB2" w:rsidP="00441B6F">
      <w:pPr>
        <w:pStyle w:val="Body"/>
        <w:spacing w:after="0"/>
        <w:rPr>
          <w:rFonts w:ascii="Arial" w:hAnsi="Arial" w:cs="Arial"/>
          <w:i/>
        </w:rPr>
      </w:pPr>
    </w:p>
    <w:p w14:paraId="43954B96" w14:textId="63C53C49" w:rsidR="00A24E7E" w:rsidRDefault="00A24E7E" w:rsidP="00441B6F">
      <w:pPr>
        <w:pStyle w:val="Body"/>
        <w:spacing w:after="0"/>
        <w:rPr>
          <w:rFonts w:ascii="Arial" w:hAnsi="Arial" w:cs="Arial"/>
          <w:i/>
        </w:rPr>
      </w:pPr>
      <w:r w:rsidRPr="00686468">
        <w:rPr>
          <w:rFonts w:ascii="Arial" w:hAnsi="Arial" w:cs="Arial"/>
          <w:b/>
          <w:i/>
        </w:rPr>
        <w:t>Keywords:</w:t>
      </w:r>
      <w:r>
        <w:rPr>
          <w:rFonts w:ascii="Arial" w:hAnsi="Arial" w:cs="Arial"/>
          <w:i/>
        </w:rPr>
        <w:t xml:space="preserve"> </w:t>
      </w:r>
      <w:r w:rsidR="00CF6F49" w:rsidRPr="00CF6F49">
        <w:rPr>
          <w:rFonts w:ascii="Arial" w:hAnsi="Arial" w:cs="Arial"/>
          <w:i/>
        </w:rPr>
        <w:t>Climate Vulnerability Index (CVI), Principal Component Analysis (PCA), exposure, sensitivity, adaptive capacity, IPCC approach</w:t>
      </w:r>
      <w:r w:rsidR="0086082B">
        <w:rPr>
          <w:rFonts w:ascii="Arial" w:hAnsi="Arial" w:cs="Arial"/>
          <w:i/>
        </w:rPr>
        <w:t>, climate change</w:t>
      </w:r>
    </w:p>
    <w:p w14:paraId="51817FA0" w14:textId="77777777" w:rsidR="00790ADA" w:rsidRDefault="00790ADA" w:rsidP="00441B6F">
      <w:pPr>
        <w:pStyle w:val="Body"/>
        <w:spacing w:after="0"/>
        <w:rPr>
          <w:rFonts w:ascii="Arial" w:hAnsi="Arial" w:cs="Arial"/>
          <w:i/>
        </w:rPr>
      </w:pPr>
    </w:p>
    <w:p w14:paraId="449FB354" w14:textId="08E1D71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DAF8657" w14:textId="77777777" w:rsidR="00790ADA" w:rsidRPr="00FB3A86" w:rsidRDefault="00790ADA" w:rsidP="00441B6F">
      <w:pPr>
        <w:pStyle w:val="AbstHead"/>
        <w:spacing w:after="0"/>
        <w:jc w:val="both"/>
        <w:rPr>
          <w:rFonts w:ascii="Arial" w:hAnsi="Arial" w:cs="Arial"/>
        </w:rPr>
      </w:pPr>
    </w:p>
    <w:p w14:paraId="0769D33C" w14:textId="77777777" w:rsidR="0036721F" w:rsidRPr="0036721F" w:rsidRDefault="0036721F" w:rsidP="0036721F">
      <w:pPr>
        <w:pStyle w:val="Body"/>
        <w:rPr>
          <w:rFonts w:ascii="Arial" w:hAnsi="Arial" w:cs="Arial"/>
        </w:rPr>
      </w:pPr>
      <w:r w:rsidRPr="0036721F">
        <w:rPr>
          <w:rFonts w:ascii="Arial" w:hAnsi="Arial" w:cs="Arial"/>
        </w:rPr>
        <w:t xml:space="preserve">The footmark of climate change seen in every corner of the globe. The Intergovernmental Panel on Climate Change (IPCC) in 2014, Identifying the significant signal of ongoing climate change and its adversative effects on biophysical and socio-economic systems. It is crucial to note that the impact of climate change is not uniform across regions and time. Unpredictable weather patterns, escalating sea levels and melting glaciers are major events due to climate change. </w:t>
      </w:r>
    </w:p>
    <w:p w14:paraId="01D94878" w14:textId="4BE1C809" w:rsidR="0036721F" w:rsidRPr="0036721F" w:rsidRDefault="0036721F" w:rsidP="0036721F">
      <w:pPr>
        <w:pStyle w:val="Body"/>
        <w:rPr>
          <w:rFonts w:ascii="Arial" w:hAnsi="Arial" w:cs="Arial"/>
        </w:rPr>
      </w:pPr>
      <w:r w:rsidRPr="0036721F">
        <w:rPr>
          <w:rFonts w:ascii="Arial" w:hAnsi="Arial" w:cs="Arial"/>
        </w:rPr>
        <w:t>The German Watch Global Climate Risk Index for 2019, which positioned India as the 7</w:t>
      </w:r>
      <w:r w:rsidRPr="00724B7C">
        <w:rPr>
          <w:rFonts w:ascii="Arial" w:hAnsi="Arial" w:cs="Arial"/>
          <w:vertAlign w:val="superscript"/>
        </w:rPr>
        <w:t>th</w:t>
      </w:r>
      <w:r w:rsidRPr="0036721F">
        <w:rPr>
          <w:rFonts w:ascii="Arial" w:hAnsi="Arial" w:cs="Arial"/>
        </w:rPr>
        <w:t xml:space="preserve"> most vulnerable out of 181 countries, stresses the country's high exposure and vulnerability to extreme weather events, based on quantified impacts in terms of fatalities and economic losses from 2000 to 2019 (Eckstein </w:t>
      </w:r>
      <w:r w:rsidR="002450A2" w:rsidRPr="002450A2">
        <w:rPr>
          <w:rFonts w:ascii="Arial" w:hAnsi="Arial" w:cs="Arial"/>
          <w:i/>
          <w:iCs/>
        </w:rPr>
        <w:t>et al.,</w:t>
      </w:r>
      <w:r w:rsidRPr="0036721F">
        <w:rPr>
          <w:rFonts w:ascii="Arial" w:hAnsi="Arial" w:cs="Arial"/>
        </w:rPr>
        <w:t xml:space="preserve"> 2021). The growing frequency and intensity of climate change-related events, such as heatwaves, floods</w:t>
      </w:r>
      <w:r w:rsidR="006B3D2C">
        <w:rPr>
          <w:rFonts w:ascii="Arial" w:hAnsi="Arial" w:cs="Arial"/>
        </w:rPr>
        <w:t xml:space="preserve"> and</w:t>
      </w:r>
      <w:r w:rsidRPr="0036721F">
        <w:rPr>
          <w:rFonts w:ascii="Arial" w:hAnsi="Arial" w:cs="Arial"/>
        </w:rPr>
        <w:t xml:space="preserve"> monsoons, coupled with the depletion of groundwater reserves </w:t>
      </w:r>
      <w:r w:rsidRPr="004C6E84">
        <w:rPr>
          <w:rFonts w:ascii="Arial" w:hAnsi="Arial" w:cs="Arial"/>
          <w:i/>
          <w:iCs/>
        </w:rPr>
        <w:t>etc</w:t>
      </w:r>
      <w:r w:rsidRPr="0036721F">
        <w:rPr>
          <w:rFonts w:ascii="Arial" w:hAnsi="Arial" w:cs="Arial"/>
        </w:rPr>
        <w:t>.</w:t>
      </w:r>
      <w:r w:rsidR="00A64FDC">
        <w:rPr>
          <w:rFonts w:ascii="Arial" w:hAnsi="Arial" w:cs="Arial"/>
        </w:rPr>
        <w:t>,</w:t>
      </w:r>
      <w:r w:rsidRPr="0036721F">
        <w:rPr>
          <w:rFonts w:ascii="Arial" w:hAnsi="Arial" w:cs="Arial"/>
        </w:rPr>
        <w:t xml:space="preserve"> are imposing substantial challenges on India's natural environment, economy and society.  During 2023, 09 cyclonic disturbances, developed over the North Indian Ocean (NIO) against the normal of 11.2 per year during 1965- 2022. (IMD, 2023). </w:t>
      </w:r>
      <w:r w:rsidR="00AC21D5" w:rsidRPr="005410C3">
        <w:rPr>
          <w:rFonts w:ascii="Arial" w:hAnsi="Arial" w:cs="Arial"/>
          <w:highlight w:val="yellow"/>
        </w:rPr>
        <w:t>Additionally</w:t>
      </w:r>
      <w:r w:rsidR="00AC21D5">
        <w:rPr>
          <w:rFonts w:ascii="Arial" w:hAnsi="Arial" w:cs="Arial"/>
        </w:rPr>
        <w:t>,</w:t>
      </w:r>
      <w:r w:rsidRPr="0036721F">
        <w:rPr>
          <w:rFonts w:ascii="Arial" w:hAnsi="Arial" w:cs="Arial"/>
        </w:rPr>
        <w:t xml:space="preserve"> in 2022, 15 states in India grappled with the multifaceted consequences of heatwaves, underscoring the risks posed to well-being and GDP (IMD, 2022). The adverse impacts, including health crises, agricultural setbacks and water scarcity, highlight the urgent need for comprehensive climate action. India’s first-ever climate change assessment report carried out in 2020, has revealed that the country’s average temperature is expected to rise by 4.4 degree Celsius by the end of the year 2100 </w:t>
      </w:r>
      <w:r w:rsidRPr="0036721F">
        <w:rPr>
          <w:rFonts w:ascii="Arial" w:hAnsi="Arial" w:cs="Arial"/>
        </w:rPr>
        <w:lastRenderedPageBreak/>
        <w:t xml:space="preserve">(Krishnan </w:t>
      </w:r>
      <w:r w:rsidR="002450A2" w:rsidRPr="002450A2">
        <w:rPr>
          <w:rFonts w:ascii="Arial" w:hAnsi="Arial" w:cs="Arial"/>
          <w:i/>
          <w:iCs/>
        </w:rPr>
        <w:t>et al.,</w:t>
      </w:r>
      <w:r w:rsidRPr="0036721F">
        <w:rPr>
          <w:rFonts w:ascii="Arial" w:hAnsi="Arial" w:cs="Arial"/>
        </w:rPr>
        <w:t xml:space="preserve"> 2020). Floods, which have already incurred a cost of US$26.3 billion, have further stressed the economic toll, exceedingly approximately 0.5% of the country's GDP (World Meteorological Organization, 2021). Many scientists </w:t>
      </w:r>
      <w:r w:rsidR="005410C3" w:rsidRPr="005410C3">
        <w:rPr>
          <w:rFonts w:ascii="Arial" w:hAnsi="Arial" w:cs="Arial"/>
          <w:highlight w:val="yellow"/>
        </w:rPr>
        <w:t>analysed</w:t>
      </w:r>
      <w:r w:rsidRPr="0036721F">
        <w:rPr>
          <w:rFonts w:ascii="Arial" w:hAnsi="Arial" w:cs="Arial"/>
        </w:rPr>
        <w:t xml:space="preserve"> the potential impact on financial and social ramifications of climate-related vulnerability in India, projecting a staggering cost of US$35 trillion over the next 50 years, particularly impacting critical sectors like health and agricultural (Anonymous, 2021). </w:t>
      </w:r>
    </w:p>
    <w:p w14:paraId="07BDC265" w14:textId="610D17F0" w:rsidR="0036721F" w:rsidRPr="0036721F" w:rsidRDefault="0036721F" w:rsidP="0036721F">
      <w:pPr>
        <w:pStyle w:val="Body"/>
        <w:rPr>
          <w:rFonts w:ascii="Arial" w:hAnsi="Arial" w:cs="Arial"/>
        </w:rPr>
      </w:pPr>
      <w:r w:rsidRPr="0036721F">
        <w:rPr>
          <w:rFonts w:ascii="Arial" w:hAnsi="Arial" w:cs="Arial"/>
        </w:rPr>
        <w:t xml:space="preserve">This non-uniform impact across globe demands a systematic assessment of vulnerability for agro-ecosystems, economic factors, social groups </w:t>
      </w:r>
      <w:r w:rsidRPr="00536BD6">
        <w:rPr>
          <w:rFonts w:ascii="Arial" w:hAnsi="Arial" w:cs="Arial"/>
          <w:i/>
          <w:iCs/>
        </w:rPr>
        <w:t>etc</w:t>
      </w:r>
      <w:r w:rsidRPr="0036721F">
        <w:rPr>
          <w:rFonts w:ascii="Arial" w:hAnsi="Arial" w:cs="Arial"/>
        </w:rPr>
        <w:t>.</w:t>
      </w:r>
      <w:r w:rsidR="00536BD6" w:rsidRPr="00EB610E">
        <w:rPr>
          <w:rFonts w:ascii="Arial" w:hAnsi="Arial" w:cs="Arial"/>
          <w:i/>
          <w:iCs/>
        </w:rPr>
        <w:t>,</w:t>
      </w:r>
      <w:r w:rsidRPr="0036721F">
        <w:rPr>
          <w:rFonts w:ascii="Arial" w:hAnsi="Arial" w:cs="Arial"/>
        </w:rPr>
        <w:t xml:space="preserve"> serving as a critical step to identify appropriate adaptation measures for combating climate change and coping with current climate risks, as emphasized by O'Brien </w:t>
      </w:r>
      <w:r w:rsidR="002450A2" w:rsidRPr="002450A2">
        <w:rPr>
          <w:rFonts w:ascii="Arial" w:hAnsi="Arial" w:cs="Arial"/>
          <w:i/>
          <w:iCs/>
        </w:rPr>
        <w:t>et al.</w:t>
      </w:r>
      <w:r w:rsidRPr="0036721F">
        <w:rPr>
          <w:rFonts w:ascii="Arial" w:hAnsi="Arial" w:cs="Arial"/>
        </w:rPr>
        <w:t xml:space="preserve"> (2008). </w:t>
      </w:r>
    </w:p>
    <w:p w14:paraId="15D742E9" w14:textId="77777777" w:rsidR="0036721F" w:rsidRPr="0036721F" w:rsidRDefault="0036721F" w:rsidP="0036721F">
      <w:pPr>
        <w:pStyle w:val="Body"/>
        <w:rPr>
          <w:rFonts w:ascii="Arial" w:hAnsi="Arial" w:cs="Arial"/>
        </w:rPr>
      </w:pPr>
      <w:r w:rsidRPr="0036721F">
        <w:rPr>
          <w:rFonts w:ascii="Arial" w:hAnsi="Arial" w:cs="Arial"/>
        </w:rPr>
        <w:t xml:space="preserve">This study's primary goal is to conduct a climate change impact through the Climate Vulnerability Index in India, employing the contextual approach of vulnerability, which will be helpful in the developing of mitigating and also identify the adaptation strategies for the region. </w:t>
      </w:r>
    </w:p>
    <w:p w14:paraId="7E2EA12C" w14:textId="1B4A13DD" w:rsidR="0036721F" w:rsidRPr="0036721F" w:rsidRDefault="0036721F" w:rsidP="003C687F">
      <w:pPr>
        <w:pStyle w:val="Body"/>
        <w:numPr>
          <w:ilvl w:val="0"/>
          <w:numId w:val="32"/>
        </w:numPr>
        <w:spacing w:after="0"/>
        <w:ind w:left="709" w:hanging="425"/>
        <w:rPr>
          <w:rFonts w:ascii="Arial" w:hAnsi="Arial" w:cs="Arial"/>
        </w:rPr>
      </w:pPr>
      <w:r w:rsidRPr="0036721F">
        <w:rPr>
          <w:rFonts w:ascii="Arial" w:hAnsi="Arial" w:cs="Arial"/>
        </w:rPr>
        <w:t>How can the Climate Vulnerability Index (CVI) be effectively utilized to identify and categorize the most vulnerable states and regions in India?</w:t>
      </w:r>
    </w:p>
    <w:p w14:paraId="5DEA234F" w14:textId="2656DA3A" w:rsidR="0036721F" w:rsidRPr="0036721F" w:rsidRDefault="0036721F" w:rsidP="003C687F">
      <w:pPr>
        <w:pStyle w:val="Body"/>
        <w:numPr>
          <w:ilvl w:val="0"/>
          <w:numId w:val="32"/>
        </w:numPr>
        <w:spacing w:after="0"/>
        <w:ind w:left="709" w:hanging="425"/>
        <w:rPr>
          <w:rFonts w:ascii="Arial" w:hAnsi="Arial" w:cs="Arial"/>
        </w:rPr>
      </w:pPr>
      <w:r w:rsidRPr="0036721F">
        <w:rPr>
          <w:rFonts w:ascii="Arial" w:hAnsi="Arial" w:cs="Arial"/>
        </w:rPr>
        <w:t xml:space="preserve">What is the significance of the prioritizing investments for climate adaptation in the country? </w:t>
      </w:r>
    </w:p>
    <w:p w14:paraId="64229ECA" w14:textId="6CFE99FE" w:rsidR="00790ADA" w:rsidRPr="00FB3A86" w:rsidRDefault="0036721F" w:rsidP="00D77BC9">
      <w:pPr>
        <w:pStyle w:val="Body"/>
        <w:numPr>
          <w:ilvl w:val="0"/>
          <w:numId w:val="32"/>
        </w:numPr>
        <w:ind w:left="709" w:hanging="425"/>
        <w:rPr>
          <w:rFonts w:ascii="Arial" w:hAnsi="Arial" w:cs="Arial"/>
        </w:rPr>
      </w:pPr>
      <w:r w:rsidRPr="0036721F">
        <w:rPr>
          <w:rFonts w:ascii="Arial" w:hAnsi="Arial" w:cs="Arial"/>
        </w:rPr>
        <w:t>In what ways does the research contribute to enhancing decision-making processes related to climate resilience by employing the Climate Vulnerability Index.</w:t>
      </w:r>
    </w:p>
    <w:p w14:paraId="1F328D8B" w14:textId="2FF4BAEF" w:rsidR="007F7B32" w:rsidRDefault="00902823" w:rsidP="00D77BC9">
      <w:pPr>
        <w:pStyle w:val="AbstHead"/>
        <w:jc w:val="both"/>
        <w:rPr>
          <w:rFonts w:ascii="Arial" w:hAnsi="Arial" w:cs="Arial"/>
        </w:rPr>
      </w:pPr>
      <w:r>
        <w:rPr>
          <w:rFonts w:ascii="Arial" w:hAnsi="Arial" w:cs="Arial"/>
        </w:rPr>
        <w:t xml:space="preserve">2. </w:t>
      </w:r>
      <w:r w:rsidR="006B57D0">
        <w:rPr>
          <w:rFonts w:ascii="Arial" w:hAnsi="Arial" w:cs="Arial"/>
        </w:rPr>
        <w:t>methodology</w:t>
      </w:r>
    </w:p>
    <w:p w14:paraId="555F0CA1" w14:textId="002A5E08" w:rsidR="00495E76" w:rsidRDefault="00AA74E0" w:rsidP="00495E76">
      <w:pPr>
        <w:pStyle w:val="Body"/>
        <w:rPr>
          <w:rFonts w:ascii="Arial" w:hAnsi="Arial" w:cs="Arial"/>
        </w:rPr>
      </w:pPr>
      <w:r w:rsidRPr="00C30A0F">
        <w:rPr>
          <w:rFonts w:ascii="Arial" w:hAnsi="Arial" w:cs="Arial"/>
          <w:b/>
          <w:caps/>
          <w:sz w:val="22"/>
        </w:rPr>
        <w:t xml:space="preserve">2.1 </w:t>
      </w:r>
      <w:r w:rsidR="00D663FA" w:rsidRPr="00D663FA">
        <w:rPr>
          <w:rFonts w:ascii="Arial" w:hAnsi="Arial" w:cs="Arial"/>
          <w:b/>
          <w:sz w:val="22"/>
        </w:rPr>
        <w:t xml:space="preserve">Study </w:t>
      </w:r>
      <w:r w:rsidR="00D663FA">
        <w:rPr>
          <w:rFonts w:ascii="Arial" w:hAnsi="Arial" w:cs="Arial"/>
          <w:b/>
          <w:sz w:val="22"/>
        </w:rPr>
        <w:t>A</w:t>
      </w:r>
      <w:r w:rsidR="00D663FA" w:rsidRPr="00D663FA">
        <w:rPr>
          <w:rFonts w:ascii="Arial" w:hAnsi="Arial" w:cs="Arial"/>
          <w:b/>
          <w:sz w:val="22"/>
        </w:rPr>
        <w:t xml:space="preserve">rea and </w:t>
      </w:r>
      <w:r w:rsidR="00D663FA">
        <w:rPr>
          <w:rFonts w:ascii="Arial" w:hAnsi="Arial" w:cs="Arial"/>
          <w:b/>
          <w:sz w:val="22"/>
        </w:rPr>
        <w:t>S</w:t>
      </w:r>
      <w:r w:rsidR="00D663FA" w:rsidRPr="00D663FA">
        <w:rPr>
          <w:rFonts w:ascii="Arial" w:hAnsi="Arial" w:cs="Arial"/>
          <w:b/>
          <w:sz w:val="22"/>
        </w:rPr>
        <w:t xml:space="preserve">ources of </w:t>
      </w:r>
      <w:r w:rsidR="00D663FA">
        <w:rPr>
          <w:rFonts w:ascii="Arial" w:hAnsi="Arial" w:cs="Arial"/>
          <w:b/>
          <w:sz w:val="22"/>
        </w:rPr>
        <w:t>D</w:t>
      </w:r>
      <w:r w:rsidR="00D663FA" w:rsidRPr="00D663FA">
        <w:rPr>
          <w:rFonts w:ascii="Arial" w:hAnsi="Arial" w:cs="Arial"/>
          <w:b/>
          <w:sz w:val="22"/>
        </w:rPr>
        <w:t xml:space="preserve">ata </w:t>
      </w:r>
    </w:p>
    <w:p w14:paraId="32E9D2A9" w14:textId="2B3618B8" w:rsidR="00495E76" w:rsidRPr="00495E76" w:rsidRDefault="00495E76" w:rsidP="00495E76">
      <w:pPr>
        <w:pStyle w:val="Body"/>
        <w:rPr>
          <w:rFonts w:ascii="Arial" w:hAnsi="Arial" w:cs="Arial"/>
        </w:rPr>
      </w:pPr>
      <w:r w:rsidRPr="00495E76">
        <w:rPr>
          <w:rFonts w:ascii="Arial" w:hAnsi="Arial" w:cs="Arial"/>
        </w:rPr>
        <w:t>India, identified as the 7</w:t>
      </w:r>
      <w:r w:rsidRPr="002B1DB2">
        <w:rPr>
          <w:rFonts w:ascii="Arial" w:hAnsi="Arial" w:cs="Arial"/>
          <w:vertAlign w:val="superscript"/>
        </w:rPr>
        <w:t>th</w:t>
      </w:r>
      <w:r w:rsidRPr="00495E76">
        <w:rPr>
          <w:rFonts w:ascii="Arial" w:hAnsi="Arial" w:cs="Arial"/>
        </w:rPr>
        <w:t xml:space="preserve"> most vulnerable country to climate extremes, serves as the focal point of this study. Among the 29 states in India as of 2023, nine were excluded due to a lack of climate-related data from the International Crops Research Institute for the Semi-Arid Tropics (ICRISAT). Post this exclusion, the study focuses on the remaining 20 states, excluding Telangana due to its formation in 2014, leading to unavailability of rural population density and literacy data, while Jharkhand was excluded due to limitations related to its crop diversification index. Consequently, this study focuses on an in-depth analysis of the climate vulnerability index for the remaining 18 states in India.</w:t>
      </w:r>
    </w:p>
    <w:p w14:paraId="2F85630D" w14:textId="54C76AC7" w:rsidR="00505F06" w:rsidRDefault="00495E76" w:rsidP="00A735A6">
      <w:pPr>
        <w:pStyle w:val="Body"/>
        <w:rPr>
          <w:rFonts w:ascii="Arial" w:hAnsi="Arial" w:cs="Arial"/>
        </w:rPr>
      </w:pPr>
      <w:r w:rsidRPr="00495E76">
        <w:rPr>
          <w:rFonts w:ascii="Arial" w:hAnsi="Arial" w:cs="Arial"/>
        </w:rPr>
        <w:t>The study retrieved a comprehensive dataset covering various climate variables, as well as crops and animal husbandry production for the 18 selected states in India. The climate data, including state-level rainfall and temperature records spanning 57 years (1958-2015), were sourced from ICRISAT. Concurrently, state-level crop production data, covering aspects such as area, yield of major crops, net sown area and gross cropped area for the agricultural years 2017–19, were gathered from published report by respective state governments. Additionally, state-level dairy production data for the same period were obtained from the Department of Animal Husbandry and Veterinary Sciences report of India, alongside insights from the Livestock Census and other official reports.</w:t>
      </w:r>
    </w:p>
    <w:p w14:paraId="4A6900D9" w14:textId="77777777" w:rsidR="00CB3831" w:rsidRDefault="00CB3831" w:rsidP="00A735A6">
      <w:pPr>
        <w:pStyle w:val="Body"/>
        <w:rPr>
          <w:rFonts w:ascii="Arial" w:hAnsi="Arial" w:cs="Arial"/>
        </w:rPr>
      </w:pPr>
    </w:p>
    <w:p w14:paraId="5F8B1CCD" w14:textId="69B0C123" w:rsidR="00495E76" w:rsidRPr="00966385" w:rsidRDefault="00AA74E0" w:rsidP="00495E76">
      <w:pPr>
        <w:pStyle w:val="Body"/>
        <w:rPr>
          <w:rFonts w:ascii="Arial" w:hAnsi="Arial" w:cs="Arial"/>
          <w:b/>
        </w:rPr>
      </w:pPr>
      <w:r w:rsidRPr="00486B07">
        <w:rPr>
          <w:rFonts w:ascii="Arial" w:hAnsi="Arial" w:cs="Arial"/>
          <w:b/>
          <w:sz w:val="22"/>
        </w:rPr>
        <w:t>2.</w:t>
      </w:r>
      <w:r w:rsidR="00495E76" w:rsidRPr="00486B07">
        <w:rPr>
          <w:rFonts w:ascii="Arial" w:hAnsi="Arial" w:cs="Arial"/>
          <w:b/>
          <w:sz w:val="22"/>
        </w:rPr>
        <w:t>2</w:t>
      </w:r>
      <w:r w:rsidRPr="00966385">
        <w:rPr>
          <w:rFonts w:ascii="Arial" w:hAnsi="Arial" w:cs="Arial"/>
          <w:b/>
        </w:rPr>
        <w:t xml:space="preserve"> </w:t>
      </w:r>
      <w:r w:rsidR="00495E76" w:rsidRPr="00486B07">
        <w:rPr>
          <w:rFonts w:ascii="Arial" w:hAnsi="Arial" w:cs="Arial"/>
          <w:b/>
          <w:sz w:val="22"/>
        </w:rPr>
        <w:t>Vulnerability</w:t>
      </w:r>
      <w:r w:rsidR="00495E76" w:rsidRPr="00966385">
        <w:rPr>
          <w:rFonts w:ascii="Arial" w:hAnsi="Arial" w:cs="Arial"/>
          <w:b/>
        </w:rPr>
        <w:t xml:space="preserve"> </w:t>
      </w:r>
      <w:r w:rsidR="009D2A50" w:rsidRPr="00486B07">
        <w:rPr>
          <w:rFonts w:ascii="Arial" w:hAnsi="Arial" w:cs="Arial"/>
          <w:b/>
          <w:sz w:val="22"/>
        </w:rPr>
        <w:t>E</w:t>
      </w:r>
      <w:r w:rsidR="00495E76" w:rsidRPr="00486B07">
        <w:rPr>
          <w:rFonts w:ascii="Arial" w:hAnsi="Arial" w:cs="Arial"/>
          <w:b/>
          <w:sz w:val="22"/>
        </w:rPr>
        <w:t>stimation</w:t>
      </w:r>
      <w:r w:rsidR="00495E76" w:rsidRPr="00966385">
        <w:rPr>
          <w:rFonts w:ascii="Arial" w:hAnsi="Arial" w:cs="Arial"/>
          <w:b/>
        </w:rPr>
        <w:t xml:space="preserve"> </w:t>
      </w:r>
    </w:p>
    <w:p w14:paraId="465A76FB" w14:textId="5A62CA49" w:rsidR="00505F06" w:rsidRDefault="00495E76" w:rsidP="00495E76">
      <w:pPr>
        <w:pStyle w:val="Body"/>
        <w:rPr>
          <w:rFonts w:ascii="Arial" w:hAnsi="Arial" w:cs="Arial"/>
        </w:rPr>
      </w:pPr>
      <w:r w:rsidRPr="00495E76">
        <w:rPr>
          <w:rFonts w:ascii="Arial" w:hAnsi="Arial" w:cs="Arial"/>
        </w:rPr>
        <w:lastRenderedPageBreak/>
        <w:t>Vulnerability is the function of the character, magnitude and rate of climate variation to which a system is exposed, the sensitivity and adaptive capacity. According to Local Government Division (2023), calculation of CVI was calculated with the given formula:</w:t>
      </w:r>
    </w:p>
    <w:p w14:paraId="5A7566CE" w14:textId="5C1A107C" w:rsidR="00495E76" w:rsidRDefault="00495E76" w:rsidP="00495E76">
      <w:pPr>
        <w:pStyle w:val="Body"/>
        <w:rPr>
          <w:rFonts w:ascii="Arial" w:hAnsi="Arial" w:cs="Arial"/>
        </w:rPr>
      </w:pPr>
      <m:oMathPara>
        <m:oMath>
          <m:r>
            <w:rPr>
              <w:rFonts w:ascii="Cambria Math" w:hAnsi="Cambria Math"/>
            </w:rPr>
            <m:t>CVI=</m:t>
          </m:r>
          <m:f>
            <m:fPr>
              <m:ctrlPr>
                <w:rPr>
                  <w:rFonts w:ascii="Cambria Math" w:hAnsi="Cambria Math"/>
                  <w:i/>
                </w:rPr>
              </m:ctrlPr>
            </m:fPr>
            <m:num>
              <m:d>
                <m:dPr>
                  <m:ctrlPr>
                    <w:rPr>
                      <w:rFonts w:ascii="Cambria Math" w:hAnsi="Cambria Math"/>
                      <w:i/>
                    </w:rPr>
                  </m:ctrlPr>
                </m:dPr>
                <m:e>
                  <m:r>
                    <w:rPr>
                      <w:rFonts w:ascii="Cambria Math" w:hAnsi="Cambria Math"/>
                    </w:rPr>
                    <m:t>E+S</m:t>
                  </m:r>
                </m:e>
              </m:d>
              <m:r>
                <w:rPr>
                  <w:rFonts w:ascii="Cambria Math" w:hAnsi="Cambria Math"/>
                </w:rPr>
                <m:t>+(1-AC)</m:t>
              </m:r>
            </m:num>
            <m:den>
              <m:r>
                <w:rPr>
                  <w:rFonts w:ascii="Cambria Math" w:hAnsi="Cambria Math"/>
                </w:rPr>
                <m:t>3</m:t>
              </m:r>
            </m:den>
          </m:f>
          <m:r>
            <w:rPr>
              <w:rFonts w:ascii="Cambria Math" w:hAnsi="Cambria Math"/>
            </w:rPr>
            <m:t xml:space="preserve">             …(1)</m:t>
          </m:r>
        </m:oMath>
      </m:oMathPara>
    </w:p>
    <w:p w14:paraId="3B7BC92B" w14:textId="06B9BE5C" w:rsidR="00166FF0" w:rsidRDefault="00166FF0" w:rsidP="00166FF0">
      <w:pPr>
        <w:pStyle w:val="Body"/>
        <w:rPr>
          <w:rFonts w:ascii="Arial" w:hAnsi="Arial" w:cs="Arial"/>
        </w:rPr>
      </w:pPr>
      <w:r w:rsidRPr="00166FF0">
        <w:rPr>
          <w:rFonts w:ascii="Arial" w:hAnsi="Arial" w:cs="Arial"/>
        </w:rPr>
        <w:t>The amalgamation of exposure and sensitivity in Equation (1) is referred to as 'potential impact'</w:t>
      </w:r>
      <w:r w:rsidR="006B3D2C">
        <w:rPr>
          <w:rFonts w:ascii="Arial" w:hAnsi="Arial" w:cs="Arial"/>
        </w:rPr>
        <w:t xml:space="preserve"> and</w:t>
      </w:r>
      <w:r w:rsidRPr="00166FF0">
        <w:rPr>
          <w:rFonts w:ascii="Arial" w:hAnsi="Arial" w:cs="Arial"/>
        </w:rPr>
        <w:t xml:space="preserve"> a high index score in this context can signify significant harm, if the region or production system has a high degree of index score. Consequently, the vulnerability level of a region is determined by the magnitude of potential impact relative to the adaptive capacity of that region or production system, as elucidated by Sendhil </w:t>
      </w:r>
      <w:r w:rsidR="002450A2" w:rsidRPr="002450A2">
        <w:rPr>
          <w:rFonts w:ascii="Arial" w:hAnsi="Arial" w:cs="Arial"/>
          <w:i/>
          <w:iCs/>
        </w:rPr>
        <w:t>et al.</w:t>
      </w:r>
      <w:r w:rsidRPr="00166FF0">
        <w:rPr>
          <w:rFonts w:ascii="Arial" w:hAnsi="Arial" w:cs="Arial"/>
        </w:rPr>
        <w:t xml:space="preserve"> (2018) and Balaganesh </w:t>
      </w:r>
      <w:r w:rsidR="002450A2" w:rsidRPr="002450A2">
        <w:rPr>
          <w:rFonts w:ascii="Arial" w:hAnsi="Arial" w:cs="Arial"/>
          <w:i/>
          <w:iCs/>
        </w:rPr>
        <w:t>et al.</w:t>
      </w:r>
      <w:r w:rsidRPr="00166FF0">
        <w:rPr>
          <w:rFonts w:ascii="Arial" w:hAnsi="Arial" w:cs="Arial"/>
        </w:rPr>
        <w:t xml:space="preserve"> (2020).</w:t>
      </w:r>
    </w:p>
    <w:p w14:paraId="18BC0F3F" w14:textId="7FBDC7D6" w:rsidR="009D2A50" w:rsidRDefault="009D2A50" w:rsidP="00166FF0">
      <w:pPr>
        <w:pStyle w:val="Body"/>
        <w:rPr>
          <w:rFonts w:ascii="Arial" w:hAnsi="Arial" w:cs="Arial"/>
          <w:b/>
          <w:u w:val="single"/>
        </w:rPr>
      </w:pPr>
      <w:r w:rsidRPr="00486B07">
        <w:rPr>
          <w:rFonts w:ascii="Arial" w:hAnsi="Arial" w:cs="Arial"/>
          <w:b/>
          <w:bCs/>
          <w:u w:val="single"/>
        </w:rPr>
        <w:t xml:space="preserve">2.2.1 </w:t>
      </w:r>
      <w:r w:rsidRPr="00486B07">
        <w:rPr>
          <w:rFonts w:ascii="Arial" w:hAnsi="Arial" w:cs="Arial"/>
          <w:b/>
          <w:u w:val="single"/>
        </w:rPr>
        <w:t>Steps in vulnerability assessment</w:t>
      </w:r>
    </w:p>
    <w:p w14:paraId="7ED210C3" w14:textId="77777777" w:rsidR="00137F2F" w:rsidRPr="00137F2F" w:rsidRDefault="00137F2F" w:rsidP="00137F2F">
      <w:pPr>
        <w:pStyle w:val="Body"/>
        <w:rPr>
          <w:rFonts w:ascii="Arial" w:hAnsi="Arial" w:cs="Arial"/>
        </w:rPr>
      </w:pPr>
      <w:r w:rsidRPr="00137F2F">
        <w:rPr>
          <w:rFonts w:ascii="Arial" w:hAnsi="Arial" w:cs="Arial"/>
        </w:rPr>
        <w:t>The following steps have been used to assess the state level climate vulnerability index.</w:t>
      </w:r>
    </w:p>
    <w:p w14:paraId="0F914177" w14:textId="5BD9F3E9" w:rsidR="00137F2F" w:rsidRDefault="00137F2F" w:rsidP="00137F2F">
      <w:pPr>
        <w:pStyle w:val="Body"/>
        <w:rPr>
          <w:rFonts w:ascii="Arial" w:hAnsi="Arial" w:cs="Arial"/>
          <w:b/>
          <w:bCs/>
        </w:rPr>
      </w:pPr>
      <w:r w:rsidRPr="00137F2F">
        <w:rPr>
          <w:rFonts w:ascii="Arial" w:hAnsi="Arial" w:cs="Arial"/>
          <w:b/>
          <w:bCs/>
        </w:rPr>
        <w:t>Step 1: Identification of suitable indicators</w:t>
      </w:r>
    </w:p>
    <w:p w14:paraId="429BFF6A" w14:textId="2AA613F5" w:rsidR="004E463D" w:rsidRDefault="004E463D" w:rsidP="00137F2F">
      <w:pPr>
        <w:pStyle w:val="Body"/>
        <w:rPr>
          <w:rFonts w:ascii="Arial" w:hAnsi="Arial" w:cs="Arial"/>
        </w:rPr>
      </w:pPr>
      <w:r w:rsidRPr="004E463D">
        <w:rPr>
          <w:rFonts w:ascii="Arial" w:hAnsi="Arial" w:cs="Arial"/>
        </w:rPr>
        <w:t>The selection of indicators holds an importance in vulnerability assessment studies. Therefore, meticulous attention has been devoted to finalizing the total 28 variables, out of which 9 for exposure index, 8 sensitivity and 11 for adaptive index were selected through a comprehensive review of published literature, ensuring a well-informed understanding of the prior functional relationships, as detailed in Tables 1.</w:t>
      </w:r>
    </w:p>
    <w:p w14:paraId="6415C400" w14:textId="094B2E39" w:rsidR="00827696" w:rsidRDefault="00827696" w:rsidP="00827696">
      <w:pPr>
        <w:tabs>
          <w:tab w:val="left" w:pos="1080"/>
        </w:tabs>
        <w:jc w:val="both"/>
        <w:rPr>
          <w:rFonts w:ascii="Arial" w:hAnsi="Arial"/>
          <w:b/>
        </w:rPr>
      </w:pPr>
      <w:r>
        <w:rPr>
          <w:rFonts w:ascii="Arial" w:hAnsi="Arial"/>
          <w:b/>
        </w:rPr>
        <w:t>Table 1.</w:t>
      </w:r>
      <w:r w:rsidRPr="00DC3180">
        <w:rPr>
          <w:rFonts w:ascii="Arial" w:hAnsi="Arial"/>
          <w:b/>
        </w:rPr>
        <w:tab/>
      </w:r>
      <w:r w:rsidRPr="00827696">
        <w:rPr>
          <w:rFonts w:ascii="Arial" w:hAnsi="Arial"/>
          <w:b/>
        </w:rPr>
        <w:t xml:space="preserve">Identification of suitable indicators </w:t>
      </w:r>
    </w:p>
    <w:p w14:paraId="4B33DE13" w14:textId="77777777" w:rsidR="003D2447" w:rsidRDefault="003D2447" w:rsidP="00827696">
      <w:pPr>
        <w:tabs>
          <w:tab w:val="left" w:pos="1080"/>
        </w:tabs>
        <w:jc w:val="both"/>
        <w:rPr>
          <w:rFonts w:ascii="Arial" w:hAnsi="Arial"/>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3401"/>
        <w:gridCol w:w="1322"/>
        <w:gridCol w:w="1688"/>
        <w:gridCol w:w="1350"/>
      </w:tblGrid>
      <w:tr w:rsidR="003D2447" w:rsidRPr="00AD768B" w14:paraId="7BA0F135" w14:textId="77777777" w:rsidTr="00A70F44">
        <w:trPr>
          <w:jc w:val="center"/>
        </w:trPr>
        <w:tc>
          <w:tcPr>
            <w:tcW w:w="397" w:type="pct"/>
            <w:tcBorders>
              <w:top w:val="single" w:sz="4" w:space="0" w:color="auto"/>
              <w:bottom w:val="single" w:sz="4" w:space="0" w:color="auto"/>
            </w:tcBorders>
          </w:tcPr>
          <w:p w14:paraId="10848667"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Sr. No</w:t>
            </w:r>
          </w:p>
        </w:tc>
        <w:tc>
          <w:tcPr>
            <w:tcW w:w="2022" w:type="pct"/>
            <w:tcBorders>
              <w:top w:val="single" w:sz="4" w:space="0" w:color="auto"/>
              <w:bottom w:val="single" w:sz="4" w:space="0" w:color="auto"/>
            </w:tcBorders>
            <w:vAlign w:val="center"/>
          </w:tcPr>
          <w:p w14:paraId="4724D7F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Variables</w:t>
            </w:r>
          </w:p>
        </w:tc>
        <w:tc>
          <w:tcPr>
            <w:tcW w:w="778" w:type="pct"/>
            <w:tcBorders>
              <w:top w:val="single" w:sz="4" w:space="0" w:color="auto"/>
              <w:bottom w:val="single" w:sz="4" w:space="0" w:color="auto"/>
            </w:tcBorders>
            <w:vAlign w:val="center"/>
          </w:tcPr>
          <w:p w14:paraId="6B7CE6B4"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Unit</w:t>
            </w:r>
          </w:p>
        </w:tc>
        <w:tc>
          <w:tcPr>
            <w:tcW w:w="1005" w:type="pct"/>
            <w:tcBorders>
              <w:top w:val="single" w:sz="4" w:space="0" w:color="auto"/>
              <w:bottom w:val="single" w:sz="4" w:space="0" w:color="auto"/>
            </w:tcBorders>
            <w:vAlign w:val="center"/>
          </w:tcPr>
          <w:p w14:paraId="31AB836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Variable label</w:t>
            </w:r>
          </w:p>
        </w:tc>
        <w:tc>
          <w:tcPr>
            <w:tcW w:w="798" w:type="pct"/>
            <w:tcBorders>
              <w:top w:val="single" w:sz="4" w:space="0" w:color="auto"/>
              <w:bottom w:val="single" w:sz="4" w:space="0" w:color="auto"/>
            </w:tcBorders>
            <w:vAlign w:val="center"/>
          </w:tcPr>
          <w:p w14:paraId="1BDCAB3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Functional relationship</w:t>
            </w:r>
          </w:p>
        </w:tc>
      </w:tr>
      <w:tr w:rsidR="003D2447" w:rsidRPr="00AD768B" w14:paraId="42513134" w14:textId="77777777" w:rsidTr="00A70F44">
        <w:trPr>
          <w:jc w:val="center"/>
        </w:trPr>
        <w:tc>
          <w:tcPr>
            <w:tcW w:w="397" w:type="pct"/>
            <w:tcBorders>
              <w:top w:val="single" w:sz="4" w:space="0" w:color="auto"/>
              <w:bottom w:val="single" w:sz="4" w:space="0" w:color="auto"/>
            </w:tcBorders>
          </w:tcPr>
          <w:p w14:paraId="6852801A"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40095D68"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Exposure</w:t>
            </w:r>
          </w:p>
        </w:tc>
      </w:tr>
      <w:tr w:rsidR="003D2447" w:rsidRPr="00AD768B" w14:paraId="2957707C" w14:textId="77777777" w:rsidTr="00F32F05">
        <w:trPr>
          <w:jc w:val="center"/>
        </w:trPr>
        <w:tc>
          <w:tcPr>
            <w:tcW w:w="397" w:type="pct"/>
            <w:tcBorders>
              <w:top w:val="single" w:sz="4" w:space="0" w:color="auto"/>
            </w:tcBorders>
            <w:vAlign w:val="center"/>
          </w:tcPr>
          <w:p w14:paraId="3FD96A3D"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w:t>
            </w:r>
          </w:p>
        </w:tc>
        <w:tc>
          <w:tcPr>
            <w:tcW w:w="2022" w:type="pct"/>
            <w:tcBorders>
              <w:top w:val="single" w:sz="4" w:space="0" w:color="auto"/>
            </w:tcBorders>
            <w:vAlign w:val="center"/>
          </w:tcPr>
          <w:p w14:paraId="12CD718B"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kharif minimum temperature</w:t>
            </w:r>
          </w:p>
        </w:tc>
        <w:tc>
          <w:tcPr>
            <w:tcW w:w="778" w:type="pct"/>
            <w:tcBorders>
              <w:top w:val="single" w:sz="4" w:space="0" w:color="auto"/>
            </w:tcBorders>
            <w:vAlign w:val="center"/>
          </w:tcPr>
          <w:p w14:paraId="6E898AA1"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tcBorders>
              <w:top w:val="single" w:sz="4" w:space="0" w:color="auto"/>
            </w:tcBorders>
            <w:vAlign w:val="center"/>
          </w:tcPr>
          <w:p w14:paraId="2D9837F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K_Min_T</w:t>
            </w:r>
          </w:p>
        </w:tc>
        <w:tc>
          <w:tcPr>
            <w:tcW w:w="798" w:type="pct"/>
            <w:tcBorders>
              <w:top w:val="single" w:sz="4" w:space="0" w:color="auto"/>
            </w:tcBorders>
            <w:vAlign w:val="center"/>
          </w:tcPr>
          <w:p w14:paraId="43A8447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5B6B0A7" w14:textId="77777777" w:rsidTr="00F32F05">
        <w:trPr>
          <w:jc w:val="center"/>
        </w:trPr>
        <w:tc>
          <w:tcPr>
            <w:tcW w:w="397" w:type="pct"/>
            <w:vAlign w:val="center"/>
          </w:tcPr>
          <w:p w14:paraId="1A83041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2F3FAA70"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rabi minimum temperature</w:t>
            </w:r>
          </w:p>
        </w:tc>
        <w:tc>
          <w:tcPr>
            <w:tcW w:w="778" w:type="pct"/>
            <w:vAlign w:val="center"/>
          </w:tcPr>
          <w:p w14:paraId="387A4F3F"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473F0571"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R_Min_T</w:t>
            </w:r>
          </w:p>
        </w:tc>
        <w:tc>
          <w:tcPr>
            <w:tcW w:w="798" w:type="pct"/>
            <w:vAlign w:val="center"/>
          </w:tcPr>
          <w:p w14:paraId="57C0ACEC"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BC7BB93" w14:textId="77777777" w:rsidTr="00F32F05">
        <w:trPr>
          <w:jc w:val="center"/>
        </w:trPr>
        <w:tc>
          <w:tcPr>
            <w:tcW w:w="397" w:type="pct"/>
            <w:vAlign w:val="center"/>
          </w:tcPr>
          <w:p w14:paraId="1CA3C51F"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51CDF08E"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summer minimum temperature</w:t>
            </w:r>
          </w:p>
        </w:tc>
        <w:tc>
          <w:tcPr>
            <w:tcW w:w="778" w:type="pct"/>
            <w:vAlign w:val="center"/>
          </w:tcPr>
          <w:p w14:paraId="64925D9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5E1C3F51"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S_Min_T</w:t>
            </w:r>
          </w:p>
        </w:tc>
        <w:tc>
          <w:tcPr>
            <w:tcW w:w="798" w:type="pct"/>
            <w:vAlign w:val="center"/>
          </w:tcPr>
          <w:p w14:paraId="7CB5F6BD"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8DC9119" w14:textId="77777777" w:rsidTr="00F32F05">
        <w:trPr>
          <w:jc w:val="center"/>
        </w:trPr>
        <w:tc>
          <w:tcPr>
            <w:tcW w:w="397" w:type="pct"/>
            <w:vAlign w:val="center"/>
          </w:tcPr>
          <w:p w14:paraId="6873ED9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426F7993"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kharif maximum temperature</w:t>
            </w:r>
          </w:p>
        </w:tc>
        <w:tc>
          <w:tcPr>
            <w:tcW w:w="778" w:type="pct"/>
            <w:vAlign w:val="center"/>
          </w:tcPr>
          <w:p w14:paraId="4997D89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15BF62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K_Max_T</w:t>
            </w:r>
          </w:p>
        </w:tc>
        <w:tc>
          <w:tcPr>
            <w:tcW w:w="798" w:type="pct"/>
            <w:vAlign w:val="center"/>
          </w:tcPr>
          <w:p w14:paraId="20005C2B"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D3E83B0" w14:textId="77777777" w:rsidTr="00F32F05">
        <w:trPr>
          <w:jc w:val="center"/>
        </w:trPr>
        <w:tc>
          <w:tcPr>
            <w:tcW w:w="397" w:type="pct"/>
            <w:vAlign w:val="center"/>
          </w:tcPr>
          <w:p w14:paraId="50B73DC1"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20C8EE81"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rabi maximum temperature</w:t>
            </w:r>
          </w:p>
        </w:tc>
        <w:tc>
          <w:tcPr>
            <w:tcW w:w="778" w:type="pct"/>
            <w:vAlign w:val="center"/>
          </w:tcPr>
          <w:p w14:paraId="5772991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267D31B"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R_Max_T</w:t>
            </w:r>
          </w:p>
        </w:tc>
        <w:tc>
          <w:tcPr>
            <w:tcW w:w="798" w:type="pct"/>
            <w:vAlign w:val="center"/>
          </w:tcPr>
          <w:p w14:paraId="441AA526"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ED72314" w14:textId="77777777" w:rsidTr="00F32F05">
        <w:trPr>
          <w:jc w:val="center"/>
        </w:trPr>
        <w:tc>
          <w:tcPr>
            <w:tcW w:w="397" w:type="pct"/>
            <w:vAlign w:val="center"/>
          </w:tcPr>
          <w:p w14:paraId="724ECB7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53E01D25"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summer maximum temperature</w:t>
            </w:r>
          </w:p>
        </w:tc>
        <w:tc>
          <w:tcPr>
            <w:tcW w:w="778" w:type="pct"/>
            <w:vAlign w:val="center"/>
          </w:tcPr>
          <w:p w14:paraId="57CB05F5"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22B068F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S_Max_T</w:t>
            </w:r>
          </w:p>
        </w:tc>
        <w:tc>
          <w:tcPr>
            <w:tcW w:w="798" w:type="pct"/>
            <w:vAlign w:val="center"/>
          </w:tcPr>
          <w:p w14:paraId="64B780DA"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EB8AB6E" w14:textId="77777777" w:rsidTr="00F32F05">
        <w:trPr>
          <w:jc w:val="center"/>
        </w:trPr>
        <w:tc>
          <w:tcPr>
            <w:tcW w:w="397" w:type="pct"/>
            <w:vAlign w:val="center"/>
          </w:tcPr>
          <w:p w14:paraId="4E69A815"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4662042C"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kharif precipitation</w:t>
            </w:r>
          </w:p>
        </w:tc>
        <w:tc>
          <w:tcPr>
            <w:tcW w:w="778" w:type="pct"/>
            <w:vAlign w:val="center"/>
          </w:tcPr>
          <w:p w14:paraId="3946DDF5"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EBDCEE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K_Pre</w:t>
            </w:r>
          </w:p>
        </w:tc>
        <w:tc>
          <w:tcPr>
            <w:tcW w:w="798" w:type="pct"/>
            <w:vAlign w:val="center"/>
          </w:tcPr>
          <w:p w14:paraId="02B7580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3543FCCF" w14:textId="77777777" w:rsidTr="00F32F05">
        <w:trPr>
          <w:jc w:val="center"/>
        </w:trPr>
        <w:tc>
          <w:tcPr>
            <w:tcW w:w="397" w:type="pct"/>
            <w:vAlign w:val="center"/>
          </w:tcPr>
          <w:p w14:paraId="1D957F3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vAlign w:val="center"/>
          </w:tcPr>
          <w:p w14:paraId="0B3E532D"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rabi precipitation</w:t>
            </w:r>
          </w:p>
        </w:tc>
        <w:tc>
          <w:tcPr>
            <w:tcW w:w="778" w:type="pct"/>
            <w:vAlign w:val="center"/>
          </w:tcPr>
          <w:p w14:paraId="710991ED"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1730343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R_Pre</w:t>
            </w:r>
          </w:p>
        </w:tc>
        <w:tc>
          <w:tcPr>
            <w:tcW w:w="798" w:type="pct"/>
            <w:vAlign w:val="center"/>
          </w:tcPr>
          <w:p w14:paraId="2F5043C1"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FFE19CF" w14:textId="77777777" w:rsidTr="00F32F05">
        <w:trPr>
          <w:jc w:val="center"/>
        </w:trPr>
        <w:tc>
          <w:tcPr>
            <w:tcW w:w="397" w:type="pct"/>
            <w:tcBorders>
              <w:bottom w:val="single" w:sz="4" w:space="0" w:color="auto"/>
            </w:tcBorders>
            <w:vAlign w:val="center"/>
          </w:tcPr>
          <w:p w14:paraId="0C4665C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9</w:t>
            </w:r>
          </w:p>
        </w:tc>
        <w:tc>
          <w:tcPr>
            <w:tcW w:w="2022" w:type="pct"/>
            <w:tcBorders>
              <w:bottom w:val="single" w:sz="4" w:space="0" w:color="auto"/>
            </w:tcBorders>
            <w:vAlign w:val="center"/>
          </w:tcPr>
          <w:p w14:paraId="03BBF95D"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summer precipitation</w:t>
            </w:r>
          </w:p>
        </w:tc>
        <w:tc>
          <w:tcPr>
            <w:tcW w:w="778" w:type="pct"/>
            <w:tcBorders>
              <w:bottom w:val="single" w:sz="4" w:space="0" w:color="auto"/>
            </w:tcBorders>
            <w:vAlign w:val="center"/>
          </w:tcPr>
          <w:p w14:paraId="5D5A0561"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tcBorders>
              <w:bottom w:val="single" w:sz="4" w:space="0" w:color="auto"/>
            </w:tcBorders>
            <w:vAlign w:val="center"/>
          </w:tcPr>
          <w:p w14:paraId="618D349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S_Pre</w:t>
            </w:r>
          </w:p>
        </w:tc>
        <w:tc>
          <w:tcPr>
            <w:tcW w:w="798" w:type="pct"/>
            <w:tcBorders>
              <w:bottom w:val="single" w:sz="4" w:space="0" w:color="auto"/>
            </w:tcBorders>
            <w:vAlign w:val="center"/>
          </w:tcPr>
          <w:p w14:paraId="0127D409"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5753BD2" w14:textId="77777777" w:rsidTr="00A70F44">
        <w:trPr>
          <w:jc w:val="center"/>
        </w:trPr>
        <w:tc>
          <w:tcPr>
            <w:tcW w:w="397" w:type="pct"/>
            <w:tcBorders>
              <w:top w:val="single" w:sz="4" w:space="0" w:color="auto"/>
              <w:bottom w:val="single" w:sz="4" w:space="0" w:color="auto"/>
            </w:tcBorders>
          </w:tcPr>
          <w:p w14:paraId="0231116A"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2F75CE39"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Sensitivity</w:t>
            </w:r>
          </w:p>
        </w:tc>
      </w:tr>
      <w:tr w:rsidR="003D2447" w:rsidRPr="00AD768B" w14:paraId="3D967ED2" w14:textId="77777777" w:rsidTr="00F32F05">
        <w:trPr>
          <w:jc w:val="center"/>
        </w:trPr>
        <w:tc>
          <w:tcPr>
            <w:tcW w:w="397" w:type="pct"/>
            <w:tcBorders>
              <w:top w:val="single" w:sz="4" w:space="0" w:color="auto"/>
            </w:tcBorders>
            <w:vAlign w:val="center"/>
          </w:tcPr>
          <w:p w14:paraId="0D84D35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lastRenderedPageBreak/>
              <w:t>1</w:t>
            </w:r>
          </w:p>
        </w:tc>
        <w:tc>
          <w:tcPr>
            <w:tcW w:w="2022" w:type="pct"/>
            <w:tcBorders>
              <w:top w:val="single" w:sz="4" w:space="0" w:color="auto"/>
            </w:tcBorders>
            <w:vAlign w:val="center"/>
          </w:tcPr>
          <w:p w14:paraId="3BAC613C"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Area of major crops to the total cropped area</w:t>
            </w:r>
          </w:p>
        </w:tc>
        <w:tc>
          <w:tcPr>
            <w:tcW w:w="778" w:type="pct"/>
            <w:tcBorders>
              <w:top w:val="single" w:sz="4" w:space="0" w:color="auto"/>
            </w:tcBorders>
            <w:vAlign w:val="center"/>
          </w:tcPr>
          <w:p w14:paraId="5F1B103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tcBorders>
              <w:top w:val="single" w:sz="4" w:space="0" w:color="auto"/>
            </w:tcBorders>
            <w:vAlign w:val="center"/>
          </w:tcPr>
          <w:p w14:paraId="2C49EA8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AMC/TCA</w:t>
            </w:r>
          </w:p>
        </w:tc>
        <w:tc>
          <w:tcPr>
            <w:tcW w:w="798" w:type="pct"/>
            <w:tcBorders>
              <w:top w:val="single" w:sz="4" w:space="0" w:color="auto"/>
            </w:tcBorders>
            <w:vAlign w:val="center"/>
          </w:tcPr>
          <w:p w14:paraId="2AB6B04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7311038" w14:textId="77777777" w:rsidTr="00F32F05">
        <w:trPr>
          <w:jc w:val="center"/>
        </w:trPr>
        <w:tc>
          <w:tcPr>
            <w:tcW w:w="397" w:type="pct"/>
            <w:vAlign w:val="center"/>
          </w:tcPr>
          <w:p w14:paraId="518C1A0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06CE586E"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Yield of major crops</w:t>
            </w:r>
          </w:p>
        </w:tc>
        <w:tc>
          <w:tcPr>
            <w:tcW w:w="778" w:type="pct"/>
            <w:vAlign w:val="center"/>
          </w:tcPr>
          <w:p w14:paraId="3523330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kg/ha</w:t>
            </w:r>
          </w:p>
        </w:tc>
        <w:tc>
          <w:tcPr>
            <w:tcW w:w="1005" w:type="pct"/>
            <w:vAlign w:val="center"/>
          </w:tcPr>
          <w:p w14:paraId="226A5151"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YMC</w:t>
            </w:r>
          </w:p>
        </w:tc>
        <w:tc>
          <w:tcPr>
            <w:tcW w:w="798" w:type="pct"/>
            <w:vAlign w:val="center"/>
          </w:tcPr>
          <w:p w14:paraId="63BE50DD"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B97E40D" w14:textId="77777777" w:rsidTr="00F32F05">
        <w:trPr>
          <w:jc w:val="center"/>
        </w:trPr>
        <w:tc>
          <w:tcPr>
            <w:tcW w:w="397" w:type="pct"/>
            <w:vAlign w:val="center"/>
          </w:tcPr>
          <w:p w14:paraId="5047F75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73E83A30"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gross unirrigated area to gross sown area</w:t>
            </w:r>
          </w:p>
        </w:tc>
        <w:tc>
          <w:tcPr>
            <w:tcW w:w="778" w:type="pct"/>
            <w:vAlign w:val="center"/>
          </w:tcPr>
          <w:p w14:paraId="2F0D3A2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297BACA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GUA/GSA</w:t>
            </w:r>
          </w:p>
        </w:tc>
        <w:tc>
          <w:tcPr>
            <w:tcW w:w="798" w:type="pct"/>
            <w:vAlign w:val="center"/>
          </w:tcPr>
          <w:p w14:paraId="089C348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4C34B60" w14:textId="77777777" w:rsidTr="00F32F05">
        <w:trPr>
          <w:jc w:val="center"/>
        </w:trPr>
        <w:tc>
          <w:tcPr>
            <w:tcW w:w="397" w:type="pct"/>
            <w:vAlign w:val="center"/>
          </w:tcPr>
          <w:p w14:paraId="3D14ABB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5D0CD2B7"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Milk production</w:t>
            </w:r>
          </w:p>
        </w:tc>
        <w:tc>
          <w:tcPr>
            <w:tcW w:w="778" w:type="pct"/>
            <w:vAlign w:val="center"/>
          </w:tcPr>
          <w:p w14:paraId="4FFC8FA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000 tonnes</w:t>
            </w:r>
          </w:p>
        </w:tc>
        <w:tc>
          <w:tcPr>
            <w:tcW w:w="1005" w:type="pct"/>
            <w:vAlign w:val="center"/>
          </w:tcPr>
          <w:p w14:paraId="271F8CA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MP</w:t>
            </w:r>
          </w:p>
        </w:tc>
        <w:tc>
          <w:tcPr>
            <w:tcW w:w="798" w:type="pct"/>
            <w:vAlign w:val="center"/>
          </w:tcPr>
          <w:p w14:paraId="0062AE3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B0ED349" w14:textId="77777777" w:rsidTr="00F32F05">
        <w:trPr>
          <w:jc w:val="center"/>
        </w:trPr>
        <w:tc>
          <w:tcPr>
            <w:tcW w:w="397" w:type="pct"/>
            <w:vAlign w:val="center"/>
          </w:tcPr>
          <w:p w14:paraId="332F8D53"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424D7D26"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 xml:space="preserve">Stage of ground water extraction </w:t>
            </w:r>
          </w:p>
        </w:tc>
        <w:tc>
          <w:tcPr>
            <w:tcW w:w="778" w:type="pct"/>
            <w:vAlign w:val="center"/>
          </w:tcPr>
          <w:p w14:paraId="31C6E609"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3673A8D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GWE</w:t>
            </w:r>
          </w:p>
        </w:tc>
        <w:tc>
          <w:tcPr>
            <w:tcW w:w="798" w:type="pct"/>
            <w:vAlign w:val="center"/>
          </w:tcPr>
          <w:p w14:paraId="0E20CAC0"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8F0008A" w14:textId="77777777" w:rsidTr="00F32F05">
        <w:trPr>
          <w:jc w:val="center"/>
        </w:trPr>
        <w:tc>
          <w:tcPr>
            <w:tcW w:w="397" w:type="pct"/>
            <w:vAlign w:val="center"/>
          </w:tcPr>
          <w:p w14:paraId="22CC5F7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1576A701"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Average farm size</w:t>
            </w:r>
          </w:p>
        </w:tc>
        <w:tc>
          <w:tcPr>
            <w:tcW w:w="778" w:type="pct"/>
            <w:vAlign w:val="center"/>
          </w:tcPr>
          <w:p w14:paraId="03F19E3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Ha</w:t>
            </w:r>
          </w:p>
        </w:tc>
        <w:tc>
          <w:tcPr>
            <w:tcW w:w="1005" w:type="pct"/>
            <w:vAlign w:val="center"/>
          </w:tcPr>
          <w:p w14:paraId="675071E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AFS</w:t>
            </w:r>
          </w:p>
        </w:tc>
        <w:tc>
          <w:tcPr>
            <w:tcW w:w="798" w:type="pct"/>
            <w:vAlign w:val="center"/>
          </w:tcPr>
          <w:p w14:paraId="142FCD9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36C4EF19" w14:textId="77777777" w:rsidTr="00F32F05">
        <w:trPr>
          <w:jc w:val="center"/>
        </w:trPr>
        <w:tc>
          <w:tcPr>
            <w:tcW w:w="397" w:type="pct"/>
            <w:vAlign w:val="center"/>
          </w:tcPr>
          <w:p w14:paraId="7A51755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220E6D55"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Rural population density</w:t>
            </w:r>
          </w:p>
        </w:tc>
        <w:tc>
          <w:tcPr>
            <w:tcW w:w="778" w:type="pct"/>
            <w:vAlign w:val="center"/>
          </w:tcPr>
          <w:p w14:paraId="1E8525A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No. of persons/km</w:t>
            </w:r>
            <w:r w:rsidRPr="005635C2">
              <w:rPr>
                <w:rFonts w:ascii="Arial" w:hAnsi="Arial" w:cs="Arial"/>
                <w:sz w:val="20"/>
                <w:szCs w:val="20"/>
                <w:vertAlign w:val="superscript"/>
              </w:rPr>
              <w:t>2</w:t>
            </w:r>
          </w:p>
        </w:tc>
        <w:tc>
          <w:tcPr>
            <w:tcW w:w="1005" w:type="pct"/>
            <w:vAlign w:val="center"/>
          </w:tcPr>
          <w:p w14:paraId="750348D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RPD</w:t>
            </w:r>
          </w:p>
        </w:tc>
        <w:tc>
          <w:tcPr>
            <w:tcW w:w="798" w:type="pct"/>
            <w:vAlign w:val="center"/>
          </w:tcPr>
          <w:p w14:paraId="1A0E6EF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E6B99F8" w14:textId="77777777" w:rsidTr="00F32F05">
        <w:trPr>
          <w:jc w:val="center"/>
        </w:trPr>
        <w:tc>
          <w:tcPr>
            <w:tcW w:w="397" w:type="pct"/>
            <w:tcBorders>
              <w:bottom w:val="single" w:sz="4" w:space="0" w:color="auto"/>
            </w:tcBorders>
            <w:vAlign w:val="center"/>
          </w:tcPr>
          <w:p w14:paraId="3C15705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tcBorders>
              <w:bottom w:val="single" w:sz="4" w:space="0" w:color="auto"/>
            </w:tcBorders>
            <w:vAlign w:val="center"/>
          </w:tcPr>
          <w:p w14:paraId="1D83A6C7"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small &amp; marginal farmers to total farmers</w:t>
            </w:r>
          </w:p>
        </w:tc>
        <w:tc>
          <w:tcPr>
            <w:tcW w:w="778" w:type="pct"/>
            <w:tcBorders>
              <w:bottom w:val="single" w:sz="4" w:space="0" w:color="auto"/>
            </w:tcBorders>
            <w:vAlign w:val="center"/>
          </w:tcPr>
          <w:p w14:paraId="5EA1ECB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tcBorders>
              <w:bottom w:val="single" w:sz="4" w:space="0" w:color="auto"/>
            </w:tcBorders>
            <w:vAlign w:val="center"/>
          </w:tcPr>
          <w:p w14:paraId="0503332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SMF/TF</w:t>
            </w:r>
          </w:p>
        </w:tc>
        <w:tc>
          <w:tcPr>
            <w:tcW w:w="798" w:type="pct"/>
            <w:tcBorders>
              <w:bottom w:val="single" w:sz="4" w:space="0" w:color="auto"/>
            </w:tcBorders>
            <w:vAlign w:val="center"/>
          </w:tcPr>
          <w:p w14:paraId="66CF0123"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107B9FF" w14:textId="77777777" w:rsidTr="00A70F44">
        <w:trPr>
          <w:jc w:val="center"/>
        </w:trPr>
        <w:tc>
          <w:tcPr>
            <w:tcW w:w="397" w:type="pct"/>
            <w:tcBorders>
              <w:top w:val="single" w:sz="4" w:space="0" w:color="auto"/>
              <w:bottom w:val="single" w:sz="4" w:space="0" w:color="auto"/>
            </w:tcBorders>
          </w:tcPr>
          <w:p w14:paraId="70FE9B67"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729CB63A"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Adaptive Capacity</w:t>
            </w:r>
          </w:p>
        </w:tc>
      </w:tr>
      <w:tr w:rsidR="003D2447" w:rsidRPr="00AD768B" w14:paraId="0CFEE451" w14:textId="77777777" w:rsidTr="00F32F05">
        <w:trPr>
          <w:jc w:val="center"/>
        </w:trPr>
        <w:tc>
          <w:tcPr>
            <w:tcW w:w="397" w:type="pct"/>
            <w:tcBorders>
              <w:top w:val="single" w:sz="4" w:space="0" w:color="auto"/>
            </w:tcBorders>
            <w:vAlign w:val="center"/>
          </w:tcPr>
          <w:p w14:paraId="207726E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w:t>
            </w:r>
          </w:p>
        </w:tc>
        <w:tc>
          <w:tcPr>
            <w:tcW w:w="2022" w:type="pct"/>
            <w:tcBorders>
              <w:top w:val="single" w:sz="4" w:space="0" w:color="auto"/>
            </w:tcBorders>
            <w:vAlign w:val="center"/>
          </w:tcPr>
          <w:p w14:paraId="161C5FC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Crop diversification</w:t>
            </w:r>
          </w:p>
        </w:tc>
        <w:tc>
          <w:tcPr>
            <w:tcW w:w="778" w:type="pct"/>
            <w:tcBorders>
              <w:top w:val="single" w:sz="4" w:space="0" w:color="auto"/>
            </w:tcBorders>
            <w:vAlign w:val="center"/>
          </w:tcPr>
          <w:p w14:paraId="599273C6" w14:textId="77777777" w:rsidR="003D2447" w:rsidRPr="005635C2" w:rsidRDefault="003D2447" w:rsidP="00A70F44">
            <w:pPr>
              <w:spacing w:line="276" w:lineRule="auto"/>
              <w:jc w:val="center"/>
              <w:rPr>
                <w:rFonts w:ascii="Arial" w:hAnsi="Arial" w:cs="Arial"/>
                <w:sz w:val="20"/>
                <w:szCs w:val="20"/>
              </w:rPr>
            </w:pPr>
          </w:p>
        </w:tc>
        <w:tc>
          <w:tcPr>
            <w:tcW w:w="1005" w:type="pct"/>
            <w:tcBorders>
              <w:top w:val="single" w:sz="4" w:space="0" w:color="auto"/>
            </w:tcBorders>
            <w:vAlign w:val="center"/>
          </w:tcPr>
          <w:p w14:paraId="6270506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CD</w:t>
            </w:r>
          </w:p>
        </w:tc>
        <w:tc>
          <w:tcPr>
            <w:tcW w:w="798" w:type="pct"/>
            <w:tcBorders>
              <w:top w:val="single" w:sz="4" w:space="0" w:color="auto"/>
            </w:tcBorders>
            <w:vAlign w:val="center"/>
          </w:tcPr>
          <w:p w14:paraId="09C95CE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AFFF70D" w14:textId="77777777" w:rsidTr="00F32F05">
        <w:trPr>
          <w:jc w:val="center"/>
        </w:trPr>
        <w:tc>
          <w:tcPr>
            <w:tcW w:w="397" w:type="pct"/>
            <w:vAlign w:val="center"/>
          </w:tcPr>
          <w:p w14:paraId="2989A05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1FD8E3D4"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Cropping intensity</w:t>
            </w:r>
          </w:p>
        </w:tc>
        <w:tc>
          <w:tcPr>
            <w:tcW w:w="778" w:type="pct"/>
            <w:vAlign w:val="center"/>
          </w:tcPr>
          <w:p w14:paraId="5EA8F4A9"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12BEDD8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CI</w:t>
            </w:r>
          </w:p>
        </w:tc>
        <w:tc>
          <w:tcPr>
            <w:tcW w:w="798" w:type="pct"/>
            <w:vAlign w:val="center"/>
          </w:tcPr>
          <w:p w14:paraId="3F452742"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5F63200" w14:textId="77777777" w:rsidTr="00F32F05">
        <w:trPr>
          <w:jc w:val="center"/>
        </w:trPr>
        <w:tc>
          <w:tcPr>
            <w:tcW w:w="397" w:type="pct"/>
            <w:vAlign w:val="center"/>
          </w:tcPr>
          <w:p w14:paraId="28B5930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58D63D32"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Irrigation intensity</w:t>
            </w:r>
          </w:p>
        </w:tc>
        <w:tc>
          <w:tcPr>
            <w:tcW w:w="778" w:type="pct"/>
            <w:vAlign w:val="center"/>
          </w:tcPr>
          <w:p w14:paraId="2DF6963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67ED506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II</w:t>
            </w:r>
          </w:p>
        </w:tc>
        <w:tc>
          <w:tcPr>
            <w:tcW w:w="798" w:type="pct"/>
            <w:vAlign w:val="center"/>
          </w:tcPr>
          <w:p w14:paraId="1633A2B8"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4D9F4B5" w14:textId="77777777" w:rsidTr="00F32F05">
        <w:trPr>
          <w:jc w:val="center"/>
        </w:trPr>
        <w:tc>
          <w:tcPr>
            <w:tcW w:w="397" w:type="pct"/>
            <w:vAlign w:val="center"/>
          </w:tcPr>
          <w:p w14:paraId="60E91CF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6A08157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Literacy rate</w:t>
            </w:r>
          </w:p>
        </w:tc>
        <w:tc>
          <w:tcPr>
            <w:tcW w:w="778" w:type="pct"/>
            <w:vAlign w:val="center"/>
          </w:tcPr>
          <w:p w14:paraId="532BDD0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54CC3AB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LR</w:t>
            </w:r>
          </w:p>
        </w:tc>
        <w:tc>
          <w:tcPr>
            <w:tcW w:w="798" w:type="pct"/>
            <w:vAlign w:val="center"/>
          </w:tcPr>
          <w:p w14:paraId="39F5C6D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7A30FB6" w14:textId="77777777" w:rsidTr="00F32F05">
        <w:trPr>
          <w:jc w:val="center"/>
        </w:trPr>
        <w:tc>
          <w:tcPr>
            <w:tcW w:w="397" w:type="pct"/>
            <w:vAlign w:val="center"/>
          </w:tcPr>
          <w:p w14:paraId="588D8BF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49402048"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area under pasture &amp; grazing land to gross sown area</w:t>
            </w:r>
          </w:p>
        </w:tc>
        <w:tc>
          <w:tcPr>
            <w:tcW w:w="778" w:type="pct"/>
            <w:vAlign w:val="center"/>
          </w:tcPr>
          <w:p w14:paraId="3C234CE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314A6FEC"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P&amp;G/GSA</w:t>
            </w:r>
          </w:p>
        </w:tc>
        <w:tc>
          <w:tcPr>
            <w:tcW w:w="798" w:type="pct"/>
            <w:vAlign w:val="center"/>
          </w:tcPr>
          <w:p w14:paraId="0FB46C15"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919DCA1" w14:textId="77777777" w:rsidTr="00F32F05">
        <w:trPr>
          <w:jc w:val="center"/>
        </w:trPr>
        <w:tc>
          <w:tcPr>
            <w:tcW w:w="397" w:type="pct"/>
            <w:vAlign w:val="center"/>
          </w:tcPr>
          <w:p w14:paraId="659E87C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0DCC45F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Density of dairy animals</w:t>
            </w:r>
          </w:p>
        </w:tc>
        <w:tc>
          <w:tcPr>
            <w:tcW w:w="778" w:type="pct"/>
            <w:vAlign w:val="center"/>
          </w:tcPr>
          <w:p w14:paraId="70A42E8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No. of animal/km</w:t>
            </w:r>
            <w:r w:rsidRPr="005635C2">
              <w:rPr>
                <w:rFonts w:ascii="Arial" w:hAnsi="Arial" w:cs="Arial"/>
                <w:sz w:val="20"/>
                <w:szCs w:val="20"/>
                <w:vertAlign w:val="superscript"/>
              </w:rPr>
              <w:t>2</w:t>
            </w:r>
          </w:p>
        </w:tc>
        <w:tc>
          <w:tcPr>
            <w:tcW w:w="1005" w:type="pct"/>
            <w:vAlign w:val="center"/>
          </w:tcPr>
          <w:p w14:paraId="6599D42C"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DDA</w:t>
            </w:r>
          </w:p>
        </w:tc>
        <w:tc>
          <w:tcPr>
            <w:tcW w:w="798" w:type="pct"/>
            <w:vAlign w:val="center"/>
          </w:tcPr>
          <w:p w14:paraId="596D81D0"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593087D" w14:textId="77777777" w:rsidTr="00F32F05">
        <w:trPr>
          <w:jc w:val="center"/>
        </w:trPr>
        <w:tc>
          <w:tcPr>
            <w:tcW w:w="397" w:type="pct"/>
            <w:vAlign w:val="center"/>
          </w:tcPr>
          <w:p w14:paraId="5032050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29F8812A"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Proportion of area insured to gross sown area</w:t>
            </w:r>
          </w:p>
        </w:tc>
        <w:tc>
          <w:tcPr>
            <w:tcW w:w="778" w:type="pct"/>
            <w:vAlign w:val="center"/>
          </w:tcPr>
          <w:p w14:paraId="3D80000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728CCE5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AI/GSA</w:t>
            </w:r>
          </w:p>
        </w:tc>
        <w:tc>
          <w:tcPr>
            <w:tcW w:w="798" w:type="pct"/>
            <w:vAlign w:val="center"/>
          </w:tcPr>
          <w:p w14:paraId="1ED61291"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0BB95BB" w14:textId="77777777" w:rsidTr="00F32F05">
        <w:trPr>
          <w:jc w:val="center"/>
        </w:trPr>
        <w:tc>
          <w:tcPr>
            <w:tcW w:w="397" w:type="pct"/>
            <w:vAlign w:val="center"/>
          </w:tcPr>
          <w:p w14:paraId="44B965A6"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vAlign w:val="center"/>
          </w:tcPr>
          <w:p w14:paraId="177D5AAA"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GSVA of agriculture sector to its GSDP</w:t>
            </w:r>
          </w:p>
        </w:tc>
        <w:tc>
          <w:tcPr>
            <w:tcW w:w="778" w:type="pct"/>
            <w:vAlign w:val="center"/>
          </w:tcPr>
          <w:p w14:paraId="3F0BD891"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447FFDFB"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GSVA_A/GSDP</w:t>
            </w:r>
          </w:p>
        </w:tc>
        <w:tc>
          <w:tcPr>
            <w:tcW w:w="798" w:type="pct"/>
            <w:vAlign w:val="center"/>
          </w:tcPr>
          <w:p w14:paraId="7D3F4EB6"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DA21098" w14:textId="77777777" w:rsidTr="00F32F05">
        <w:trPr>
          <w:jc w:val="center"/>
        </w:trPr>
        <w:tc>
          <w:tcPr>
            <w:tcW w:w="397" w:type="pct"/>
            <w:vAlign w:val="center"/>
          </w:tcPr>
          <w:p w14:paraId="376BD2EB"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9</w:t>
            </w:r>
          </w:p>
        </w:tc>
        <w:tc>
          <w:tcPr>
            <w:tcW w:w="2022" w:type="pct"/>
            <w:vAlign w:val="center"/>
          </w:tcPr>
          <w:p w14:paraId="3E874CC0"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indigenous population per 1000 bovine population</w:t>
            </w:r>
          </w:p>
        </w:tc>
        <w:tc>
          <w:tcPr>
            <w:tcW w:w="778" w:type="pct"/>
            <w:vAlign w:val="center"/>
          </w:tcPr>
          <w:p w14:paraId="67983CB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vAlign w:val="center"/>
          </w:tcPr>
          <w:p w14:paraId="565DFF9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IP/1000_BP</w:t>
            </w:r>
          </w:p>
        </w:tc>
        <w:tc>
          <w:tcPr>
            <w:tcW w:w="798" w:type="pct"/>
            <w:vAlign w:val="center"/>
          </w:tcPr>
          <w:p w14:paraId="6F2305CA"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8D95371" w14:textId="77777777" w:rsidTr="00F32F05">
        <w:trPr>
          <w:jc w:val="center"/>
        </w:trPr>
        <w:tc>
          <w:tcPr>
            <w:tcW w:w="397" w:type="pct"/>
            <w:vAlign w:val="center"/>
          </w:tcPr>
          <w:p w14:paraId="3D635496"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10</w:t>
            </w:r>
          </w:p>
        </w:tc>
        <w:tc>
          <w:tcPr>
            <w:tcW w:w="2022" w:type="pct"/>
            <w:vAlign w:val="center"/>
          </w:tcPr>
          <w:p w14:paraId="26B0CF44"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Number of Veterinary Institutions per 1000 bovine population</w:t>
            </w:r>
          </w:p>
        </w:tc>
        <w:tc>
          <w:tcPr>
            <w:tcW w:w="778" w:type="pct"/>
            <w:vAlign w:val="center"/>
          </w:tcPr>
          <w:p w14:paraId="680C3632"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vAlign w:val="center"/>
          </w:tcPr>
          <w:p w14:paraId="37881BD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VI/1000_BP</w:t>
            </w:r>
          </w:p>
        </w:tc>
        <w:tc>
          <w:tcPr>
            <w:tcW w:w="798" w:type="pct"/>
            <w:vAlign w:val="center"/>
          </w:tcPr>
          <w:p w14:paraId="7BA0F4B9"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E1CC940" w14:textId="77777777" w:rsidTr="00F32F05">
        <w:trPr>
          <w:jc w:val="center"/>
        </w:trPr>
        <w:tc>
          <w:tcPr>
            <w:tcW w:w="397" w:type="pct"/>
            <w:tcBorders>
              <w:bottom w:val="single" w:sz="4" w:space="0" w:color="auto"/>
            </w:tcBorders>
            <w:vAlign w:val="center"/>
          </w:tcPr>
          <w:p w14:paraId="7463082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11</w:t>
            </w:r>
          </w:p>
        </w:tc>
        <w:tc>
          <w:tcPr>
            <w:tcW w:w="2022" w:type="pct"/>
            <w:tcBorders>
              <w:bottom w:val="single" w:sz="4" w:space="0" w:color="auto"/>
            </w:tcBorders>
            <w:vAlign w:val="center"/>
          </w:tcPr>
          <w:p w14:paraId="163D259A" w14:textId="2AFA6CBC"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 xml:space="preserve">Number of Artificial Insemination (AI) </w:t>
            </w:r>
            <w:r w:rsidR="00EE13D5" w:rsidRPr="00EE13D5">
              <w:rPr>
                <w:rFonts w:ascii="Arial" w:hAnsi="Arial" w:cs="Arial"/>
                <w:sz w:val="20"/>
                <w:szCs w:val="20"/>
                <w:highlight w:val="yellow"/>
              </w:rPr>
              <w:t>centers</w:t>
            </w:r>
            <w:r w:rsidRPr="005635C2">
              <w:rPr>
                <w:rFonts w:ascii="Arial" w:hAnsi="Arial" w:cs="Arial"/>
                <w:sz w:val="20"/>
                <w:szCs w:val="20"/>
              </w:rPr>
              <w:t xml:space="preserve"> per 1000 female bovine</w:t>
            </w:r>
          </w:p>
        </w:tc>
        <w:tc>
          <w:tcPr>
            <w:tcW w:w="778" w:type="pct"/>
            <w:tcBorders>
              <w:bottom w:val="single" w:sz="4" w:space="0" w:color="auto"/>
            </w:tcBorders>
            <w:vAlign w:val="center"/>
          </w:tcPr>
          <w:p w14:paraId="42D83F9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tcBorders>
              <w:bottom w:val="single" w:sz="4" w:space="0" w:color="auto"/>
            </w:tcBorders>
            <w:vAlign w:val="center"/>
          </w:tcPr>
          <w:p w14:paraId="7D0D4C7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AI/1000_BP</w:t>
            </w:r>
          </w:p>
        </w:tc>
        <w:tc>
          <w:tcPr>
            <w:tcW w:w="798" w:type="pct"/>
            <w:tcBorders>
              <w:bottom w:val="single" w:sz="4" w:space="0" w:color="auto"/>
            </w:tcBorders>
            <w:vAlign w:val="center"/>
          </w:tcPr>
          <w:p w14:paraId="023C4B2E"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bl>
    <w:p w14:paraId="77B6900B" w14:textId="77777777" w:rsidR="009417AC" w:rsidRPr="009417AC" w:rsidRDefault="009417AC" w:rsidP="009417AC">
      <w:pPr>
        <w:pStyle w:val="Body"/>
        <w:spacing w:before="240"/>
        <w:rPr>
          <w:rFonts w:ascii="Arial" w:hAnsi="Arial" w:cs="Arial"/>
          <w:b/>
          <w:bCs/>
        </w:rPr>
      </w:pPr>
      <w:r w:rsidRPr="009417AC">
        <w:rPr>
          <w:rFonts w:ascii="Arial" w:hAnsi="Arial" w:cs="Arial"/>
          <w:b/>
          <w:bCs/>
        </w:rPr>
        <w:t>Step 2: Normalization of the indicators</w:t>
      </w:r>
    </w:p>
    <w:p w14:paraId="781CC116" w14:textId="7E1D829D" w:rsidR="009417AC" w:rsidRDefault="009417AC" w:rsidP="009417AC">
      <w:pPr>
        <w:pStyle w:val="Body"/>
        <w:rPr>
          <w:rFonts w:ascii="Arial" w:hAnsi="Arial" w:cs="Arial"/>
        </w:rPr>
      </w:pPr>
      <w:r w:rsidRPr="009417AC">
        <w:rPr>
          <w:rFonts w:ascii="Arial" w:hAnsi="Arial" w:cs="Arial"/>
        </w:rPr>
        <w:t xml:space="preserve">To ensure comparability among indicators measured on different scales, normalization is imperative, as emphasized by Vincent (2004), Varadan and Kumar (2015), Kale </w:t>
      </w:r>
      <w:r w:rsidR="002450A2" w:rsidRPr="002450A2">
        <w:rPr>
          <w:rFonts w:ascii="Arial" w:hAnsi="Arial" w:cs="Arial"/>
          <w:i/>
          <w:iCs/>
        </w:rPr>
        <w:t>et al.</w:t>
      </w:r>
      <w:r w:rsidRPr="009417AC">
        <w:rPr>
          <w:rFonts w:ascii="Arial" w:hAnsi="Arial" w:cs="Arial"/>
        </w:rPr>
        <w:t xml:space="preserve"> (2016), Kumar </w:t>
      </w:r>
      <w:r w:rsidR="002450A2" w:rsidRPr="002450A2">
        <w:rPr>
          <w:rFonts w:ascii="Arial" w:hAnsi="Arial" w:cs="Arial"/>
          <w:i/>
          <w:iCs/>
        </w:rPr>
        <w:t>et al.</w:t>
      </w:r>
      <w:r w:rsidRPr="009417AC">
        <w:rPr>
          <w:rFonts w:ascii="Arial" w:hAnsi="Arial" w:cs="Arial"/>
        </w:rPr>
        <w:t xml:space="preserve"> (2016), Ponnusamy </w:t>
      </w:r>
      <w:r w:rsidR="002450A2" w:rsidRPr="002450A2">
        <w:rPr>
          <w:rFonts w:ascii="Arial" w:hAnsi="Arial" w:cs="Arial"/>
          <w:i/>
          <w:iCs/>
        </w:rPr>
        <w:t>et al.</w:t>
      </w:r>
      <w:r w:rsidRPr="009417AC">
        <w:rPr>
          <w:rFonts w:ascii="Arial" w:hAnsi="Arial" w:cs="Arial"/>
        </w:rPr>
        <w:t xml:space="preserve"> (2016), Mahida and Sendhil (2017), Sendhil </w:t>
      </w:r>
      <w:r w:rsidR="002450A2" w:rsidRPr="002450A2">
        <w:rPr>
          <w:rFonts w:ascii="Arial" w:hAnsi="Arial" w:cs="Arial"/>
          <w:i/>
          <w:iCs/>
        </w:rPr>
        <w:t>et al.</w:t>
      </w:r>
      <w:r w:rsidRPr="009417AC">
        <w:rPr>
          <w:rFonts w:ascii="Arial" w:hAnsi="Arial" w:cs="Arial"/>
        </w:rPr>
        <w:t xml:space="preserve"> (2018) and Balaganesh </w:t>
      </w:r>
      <w:r w:rsidR="002450A2" w:rsidRPr="002450A2">
        <w:rPr>
          <w:rFonts w:ascii="Arial" w:hAnsi="Arial" w:cs="Arial"/>
          <w:i/>
          <w:iCs/>
        </w:rPr>
        <w:t>et al.</w:t>
      </w:r>
      <w:r w:rsidRPr="009417AC">
        <w:rPr>
          <w:rFonts w:ascii="Arial" w:hAnsi="Arial" w:cs="Arial"/>
        </w:rPr>
        <w:t xml:space="preserve"> (2020). In instances where indicators exhibit a positive functional relationship with their respective index, the normalization process involves applying the following equation.</w:t>
      </w:r>
    </w:p>
    <w:p w14:paraId="217637F7" w14:textId="3AE6084E" w:rsidR="008A7E5C" w:rsidRPr="008A7E5C" w:rsidRDefault="008A7E5C" w:rsidP="009417AC">
      <w:pPr>
        <w:pStyle w:val="Body"/>
        <w:rPr>
          <w:rFonts w:ascii="Arial" w:hAnsi="Arial" w:cs="Arial"/>
          <w:sz w:val="24"/>
          <w:szCs w:val="24"/>
        </w:rPr>
      </w:pPr>
      <m:oMathPara>
        <m:oMath>
          <m:r>
            <w:rPr>
              <w:rFonts w:ascii="Cambria Math" w:hAnsi="Cambria Math"/>
            </w:rPr>
            <m:t>Normalization=</m:t>
          </m:r>
          <m:f>
            <m:fPr>
              <m:ctrlPr>
                <w:rPr>
                  <w:rFonts w:ascii="Cambria Math" w:hAnsi="Cambria Math"/>
                  <w:i/>
                </w:rPr>
              </m:ctrlPr>
            </m:fPr>
            <m:num>
              <m:d>
                <m:dPr>
                  <m:ctrlPr>
                    <w:rPr>
                      <w:rFonts w:ascii="Cambria Math" w:hAnsi="Cambria Math"/>
                      <w:i/>
                    </w:rPr>
                  </m:ctrlPr>
                </m:dPr>
                <m:e>
                  <m:r>
                    <w:rPr>
                      <w:rFonts w:ascii="Cambria Math" w:hAnsi="Cambria Math"/>
                    </w:rPr>
                    <m:t>Actual value-Minimum value</m:t>
                  </m:r>
                </m:e>
              </m:d>
            </m:num>
            <m:den>
              <m:d>
                <m:dPr>
                  <m:ctrlPr>
                    <w:rPr>
                      <w:rFonts w:ascii="Cambria Math" w:hAnsi="Cambria Math"/>
                      <w:i/>
                    </w:rPr>
                  </m:ctrlPr>
                </m:dPr>
                <m:e>
                  <m:r>
                    <w:rPr>
                      <w:rFonts w:ascii="Cambria Math" w:hAnsi="Cambria Math"/>
                    </w:rPr>
                    <m:t>Maximum value-Minimum value</m:t>
                  </m:r>
                </m:e>
              </m:d>
            </m:den>
          </m:f>
        </m:oMath>
      </m:oMathPara>
    </w:p>
    <w:p w14:paraId="24BEC74B" w14:textId="512D7353" w:rsidR="008A7E5C" w:rsidRDefault="008A7E5C" w:rsidP="009417AC">
      <w:pPr>
        <w:pStyle w:val="Body"/>
        <w:rPr>
          <w:rFonts w:ascii="Arial" w:hAnsi="Arial" w:cs="Arial"/>
        </w:rPr>
      </w:pPr>
      <w:r w:rsidRPr="008A7E5C">
        <w:rPr>
          <w:rFonts w:ascii="Arial" w:hAnsi="Arial" w:cs="Arial"/>
        </w:rPr>
        <w:t>Conversely, in cases where a negative functional relationship is observed, the normalization process employs the following equation.</w:t>
      </w:r>
    </w:p>
    <w:p w14:paraId="5E4A29AA" w14:textId="50292DBC" w:rsidR="008A7E5C" w:rsidRPr="00076910" w:rsidRDefault="008A7E5C" w:rsidP="009417AC">
      <w:pPr>
        <w:pStyle w:val="Body"/>
        <w:rPr>
          <w:rFonts w:ascii="Arial" w:hAnsi="Arial" w:cs="Arial"/>
          <w:sz w:val="24"/>
          <w:szCs w:val="24"/>
        </w:rPr>
      </w:pPr>
      <m:oMathPara>
        <m:oMath>
          <m:r>
            <w:rPr>
              <w:rFonts w:ascii="Cambria Math" w:hAnsi="Cambria Math" w:cs="Arial"/>
            </w:rPr>
            <w:lastRenderedPageBreak/>
            <m:t>Normalization=</m:t>
          </m:r>
          <m:f>
            <m:fPr>
              <m:ctrlPr>
                <w:rPr>
                  <w:rFonts w:ascii="Cambria Math" w:hAnsi="Cambria Math" w:cs="Arial"/>
                  <w:i/>
                </w:rPr>
              </m:ctrlPr>
            </m:fPr>
            <m:num>
              <m:d>
                <m:dPr>
                  <m:ctrlPr>
                    <w:rPr>
                      <w:rFonts w:ascii="Cambria Math" w:hAnsi="Cambria Math" w:cs="Arial"/>
                      <w:i/>
                    </w:rPr>
                  </m:ctrlPr>
                </m:dPr>
                <m:e>
                  <m:r>
                    <w:rPr>
                      <w:rFonts w:ascii="Cambria Math" w:hAnsi="Cambria Math" w:cs="Arial"/>
                    </w:rPr>
                    <m:t>Maximum value-Actual value</m:t>
                  </m:r>
                </m:e>
              </m:d>
            </m:num>
            <m:den>
              <m:d>
                <m:dPr>
                  <m:ctrlPr>
                    <w:rPr>
                      <w:rFonts w:ascii="Cambria Math" w:hAnsi="Cambria Math" w:cs="Arial"/>
                      <w:i/>
                    </w:rPr>
                  </m:ctrlPr>
                </m:dPr>
                <m:e>
                  <m:r>
                    <w:rPr>
                      <w:rFonts w:ascii="Cambria Math" w:hAnsi="Cambria Math" w:cs="Arial"/>
                    </w:rPr>
                    <m:t>Maximum value-Minimum value</m:t>
                  </m:r>
                </m:e>
              </m:d>
            </m:den>
          </m:f>
        </m:oMath>
      </m:oMathPara>
    </w:p>
    <w:p w14:paraId="2D0A70EE" w14:textId="77777777" w:rsidR="008A7E5C" w:rsidRPr="008A7E5C" w:rsidRDefault="008A7E5C" w:rsidP="008A7E5C">
      <w:pPr>
        <w:pStyle w:val="Body"/>
        <w:rPr>
          <w:rFonts w:ascii="Arial" w:hAnsi="Arial" w:cs="Arial"/>
          <w:b/>
          <w:bCs/>
        </w:rPr>
      </w:pPr>
      <w:r w:rsidRPr="008A7E5C">
        <w:rPr>
          <w:rFonts w:ascii="Arial" w:hAnsi="Arial" w:cs="Arial"/>
          <w:b/>
          <w:bCs/>
        </w:rPr>
        <w:t>Step 3: Assignment of weights to indicators</w:t>
      </w:r>
    </w:p>
    <w:p w14:paraId="00BE3707" w14:textId="5E4BFA7B" w:rsidR="008A7E5C" w:rsidRDefault="008A7E5C" w:rsidP="008A7E5C">
      <w:pPr>
        <w:pStyle w:val="Body"/>
        <w:rPr>
          <w:rFonts w:ascii="Arial" w:hAnsi="Arial" w:cs="Arial"/>
        </w:rPr>
      </w:pPr>
      <w:r w:rsidRPr="008A7E5C">
        <w:rPr>
          <w:rFonts w:ascii="Arial" w:hAnsi="Arial" w:cs="Arial"/>
        </w:rPr>
        <w:t xml:space="preserve">Subsequent to the normalization of indicators, weights were allocated based on their influence on vulnerability. Among the available methods for weight assignment, such as equal weights, inverse of variance, expert opinion and principal component analysis (PCA), each presenting its own set of advantages and disadvantages (Varadan and Kumar, 2015; Sendhil </w:t>
      </w:r>
      <w:r w:rsidR="002450A2" w:rsidRPr="002450A2">
        <w:rPr>
          <w:rFonts w:ascii="Arial" w:hAnsi="Arial" w:cs="Arial"/>
          <w:i/>
          <w:iCs/>
        </w:rPr>
        <w:t>et al.,</w:t>
      </w:r>
      <w:r w:rsidRPr="008A7E5C">
        <w:rPr>
          <w:rFonts w:ascii="Arial" w:hAnsi="Arial" w:cs="Arial"/>
        </w:rPr>
        <w:t xml:space="preserve"> 2018; Balaganesh </w:t>
      </w:r>
      <w:r w:rsidR="002450A2" w:rsidRPr="002450A2">
        <w:rPr>
          <w:rFonts w:ascii="Arial" w:hAnsi="Arial" w:cs="Arial"/>
          <w:i/>
          <w:iCs/>
        </w:rPr>
        <w:t>et al.,</w:t>
      </w:r>
      <w:r w:rsidRPr="008A7E5C">
        <w:rPr>
          <w:rFonts w:ascii="Arial" w:hAnsi="Arial" w:cs="Arial"/>
        </w:rPr>
        <w:t xml:space="preserve"> 2020), PCA emerged as the preferred technique in this study. The functional formulation is outlined as follows:</w:t>
      </w:r>
    </w:p>
    <w:p w14:paraId="6191F0A2" w14:textId="288A5A23" w:rsidR="004F011B" w:rsidRPr="004F011B" w:rsidRDefault="00CF6B1B" w:rsidP="008A7E5C">
      <w:pPr>
        <w:pStyle w:val="Body"/>
        <w:rPr>
          <w:rFonts w:ascii="Arial" w:hAnsi="Arial" w:cs="Arial"/>
          <w:sz w:val="24"/>
          <w:szCs w:val="24"/>
        </w:rPr>
      </w:pPr>
      <m:oMathPara>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m:rPr>
                  <m:sty m:val="p"/>
                </m:rP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m:oMathPara>
    </w:p>
    <w:p w14:paraId="5950E97B" w14:textId="77777777" w:rsidR="004F011B" w:rsidRPr="004F011B" w:rsidRDefault="004F011B" w:rsidP="004F011B">
      <w:pPr>
        <w:pStyle w:val="Body"/>
        <w:rPr>
          <w:rFonts w:ascii="Arial" w:hAnsi="Arial" w:cs="Arial"/>
        </w:rPr>
      </w:pPr>
      <w:r w:rsidRPr="004F011B">
        <w:rPr>
          <w:rFonts w:ascii="Arial" w:hAnsi="Arial" w:cs="Arial"/>
        </w:rPr>
        <w:t xml:space="preserve">Where, </w:t>
      </w:r>
      <w:proofErr w:type="spellStart"/>
      <w:r w:rsidRPr="004F011B">
        <w:rPr>
          <w:rFonts w:ascii="Arial" w:hAnsi="Arial" w:cs="Arial"/>
        </w:rPr>
        <w:t>X</w:t>
      </w:r>
      <w:r w:rsidRPr="00076910">
        <w:rPr>
          <w:rFonts w:ascii="Arial" w:hAnsi="Arial" w:cs="Arial"/>
          <w:vertAlign w:val="subscript"/>
        </w:rPr>
        <w:t>t</w:t>
      </w:r>
      <w:proofErr w:type="spellEnd"/>
      <w:r w:rsidRPr="004F011B">
        <w:rPr>
          <w:rFonts w:ascii="Arial" w:hAnsi="Arial" w:cs="Arial"/>
        </w:rPr>
        <w:t xml:space="preserve"> indicates the N -dimensional vector of variables influencing vulnerability; t represents the r × 1 common factor; F</w:t>
      </w:r>
      <w:r w:rsidRPr="00076910">
        <w:rPr>
          <w:rFonts w:ascii="Arial" w:hAnsi="Arial" w:cs="Arial"/>
          <w:vertAlign w:val="subscript"/>
        </w:rPr>
        <w:t>t</w:t>
      </w:r>
      <w:r w:rsidRPr="004F011B">
        <w:rPr>
          <w:rFonts w:ascii="Arial" w:hAnsi="Arial" w:cs="Arial"/>
        </w:rPr>
        <w:t xml:space="preserve"> represents the factor loading; et represents the associated idiosyncratic error-term of order N × 1.</w:t>
      </w:r>
    </w:p>
    <w:p w14:paraId="3B2AA45A" w14:textId="101A043B" w:rsidR="004F011B" w:rsidRDefault="004F011B" w:rsidP="004F011B">
      <w:pPr>
        <w:pStyle w:val="Body"/>
        <w:rPr>
          <w:rFonts w:ascii="Arial" w:hAnsi="Arial" w:cs="Arial"/>
        </w:rPr>
      </w:pPr>
      <w:r w:rsidRPr="004F011B">
        <w:rPr>
          <w:rFonts w:ascii="Arial" w:hAnsi="Arial" w:cs="Arial"/>
        </w:rPr>
        <w:t>The weights from the PCA were calculated with the following equation.</w:t>
      </w:r>
    </w:p>
    <w:p w14:paraId="6A05B8A5" w14:textId="03147BF1" w:rsidR="004F011B" w:rsidRPr="004F011B" w:rsidRDefault="00CF6B1B" w:rsidP="004F011B">
      <w:pPr>
        <w:pStyle w:val="Body"/>
        <w:rPr>
          <w:rFonts w:ascii="Arial" w:hAnsi="Arial" w:cs="Arial"/>
          <w:sz w:val="24"/>
          <w:szCs w:val="24"/>
        </w:rPr>
      </w:pPr>
      <m:oMathPara>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ij</m:t>
                      </m:r>
                    </m:sub>
                  </m:sSub>
                </m:e>
              </m:d>
              <m:sSub>
                <m:sSubPr>
                  <m:ctrlPr>
                    <w:rPr>
                      <w:rFonts w:ascii="Cambria Math" w:hAnsi="Cambria Math"/>
                      <w:i/>
                    </w:rPr>
                  </m:ctrlPr>
                </m:sSubPr>
                <m:e>
                  <m:r>
                    <w:rPr>
                      <w:rFonts w:ascii="Cambria Math" w:hAnsi="Cambria Math"/>
                    </w:rPr>
                    <m:t>E</m:t>
                  </m:r>
                </m:e>
                <m:sub>
                  <m:r>
                    <w:rPr>
                      <w:rFonts w:ascii="Cambria Math" w:hAnsi="Cambria Math"/>
                    </w:rPr>
                    <m:t>j</m:t>
                  </m:r>
                </m:sub>
              </m:sSub>
            </m:e>
          </m:nary>
        </m:oMath>
      </m:oMathPara>
    </w:p>
    <w:p w14:paraId="78FC74B5" w14:textId="77777777" w:rsidR="004F011B" w:rsidRPr="004F011B" w:rsidRDefault="004F011B" w:rsidP="004F011B">
      <w:pPr>
        <w:pStyle w:val="Body"/>
        <w:rPr>
          <w:rFonts w:ascii="Arial" w:hAnsi="Arial" w:cs="Arial"/>
        </w:rPr>
      </w:pPr>
      <w:r w:rsidRPr="004F011B">
        <w:rPr>
          <w:rFonts w:ascii="Arial" w:hAnsi="Arial" w:cs="Arial"/>
        </w:rPr>
        <w:t>Where, W</w:t>
      </w:r>
      <w:r w:rsidRPr="00B1344C">
        <w:rPr>
          <w:rFonts w:ascii="Arial" w:hAnsi="Arial" w:cs="Arial"/>
          <w:vertAlign w:val="subscript"/>
        </w:rPr>
        <w:t>i</w:t>
      </w:r>
      <w:r w:rsidRPr="004F011B">
        <w:rPr>
          <w:rFonts w:ascii="Arial" w:hAnsi="Arial" w:cs="Arial"/>
        </w:rPr>
        <w:t xml:space="preserve"> represents the weight of the </w:t>
      </w:r>
      <w:proofErr w:type="spellStart"/>
      <w:r w:rsidRPr="004F011B">
        <w:rPr>
          <w:rFonts w:ascii="Arial" w:hAnsi="Arial" w:cs="Arial"/>
        </w:rPr>
        <w:t>i</w:t>
      </w:r>
      <w:r w:rsidRPr="00B1344C">
        <w:rPr>
          <w:rFonts w:ascii="Arial" w:hAnsi="Arial" w:cs="Arial"/>
          <w:vertAlign w:val="superscript"/>
        </w:rPr>
        <w:t>th</w:t>
      </w:r>
      <w:proofErr w:type="spellEnd"/>
      <w:r w:rsidRPr="004F011B">
        <w:rPr>
          <w:rFonts w:ascii="Arial" w:hAnsi="Arial" w:cs="Arial"/>
        </w:rPr>
        <w:t xml:space="preserve"> variable; </w:t>
      </w:r>
      <w:proofErr w:type="spellStart"/>
      <w:r w:rsidRPr="004F011B">
        <w:rPr>
          <w:rFonts w:ascii="Arial" w:hAnsi="Arial" w:cs="Arial"/>
        </w:rPr>
        <w:t>E</w:t>
      </w:r>
      <w:r w:rsidRPr="00B1344C">
        <w:rPr>
          <w:rFonts w:ascii="Arial" w:hAnsi="Arial" w:cs="Arial"/>
          <w:vertAlign w:val="subscript"/>
        </w:rPr>
        <w:t>j</w:t>
      </w:r>
      <w:proofErr w:type="spellEnd"/>
      <w:r w:rsidRPr="004F011B">
        <w:rPr>
          <w:rFonts w:ascii="Arial" w:hAnsi="Arial" w:cs="Arial"/>
        </w:rPr>
        <w:t xml:space="preserve"> represents the Eigen value of the </w:t>
      </w:r>
      <w:proofErr w:type="spellStart"/>
      <w:r w:rsidRPr="004F011B">
        <w:rPr>
          <w:rFonts w:ascii="Arial" w:hAnsi="Arial" w:cs="Arial"/>
        </w:rPr>
        <w:t>j</w:t>
      </w:r>
      <w:r w:rsidRPr="00B1344C">
        <w:rPr>
          <w:rFonts w:ascii="Arial" w:hAnsi="Arial" w:cs="Arial"/>
          <w:vertAlign w:val="superscript"/>
        </w:rPr>
        <w:t>th</w:t>
      </w:r>
      <w:proofErr w:type="spellEnd"/>
      <w:r w:rsidRPr="004F011B">
        <w:rPr>
          <w:rFonts w:ascii="Arial" w:hAnsi="Arial" w:cs="Arial"/>
        </w:rPr>
        <w:t xml:space="preserve"> factor; </w:t>
      </w:r>
      <w:proofErr w:type="spellStart"/>
      <w:r w:rsidRPr="004F011B">
        <w:rPr>
          <w:rFonts w:ascii="Arial" w:hAnsi="Arial" w:cs="Arial"/>
        </w:rPr>
        <w:t>L</w:t>
      </w:r>
      <w:r w:rsidRPr="00B1344C">
        <w:rPr>
          <w:rFonts w:ascii="Arial" w:hAnsi="Arial" w:cs="Arial"/>
          <w:vertAlign w:val="subscript"/>
        </w:rPr>
        <w:t>ij</w:t>
      </w:r>
      <w:proofErr w:type="spellEnd"/>
      <w:r w:rsidRPr="004F011B">
        <w:rPr>
          <w:rFonts w:ascii="Arial" w:hAnsi="Arial" w:cs="Arial"/>
        </w:rPr>
        <w:t xml:space="preserve"> represents the loading value of the </w:t>
      </w:r>
      <w:proofErr w:type="spellStart"/>
      <w:r w:rsidRPr="004F011B">
        <w:rPr>
          <w:rFonts w:ascii="Arial" w:hAnsi="Arial" w:cs="Arial"/>
        </w:rPr>
        <w:t>i</w:t>
      </w:r>
      <w:r w:rsidRPr="00B1344C">
        <w:rPr>
          <w:rFonts w:ascii="Arial" w:hAnsi="Arial" w:cs="Arial"/>
          <w:vertAlign w:val="superscript"/>
        </w:rPr>
        <w:t>th</w:t>
      </w:r>
      <w:proofErr w:type="spellEnd"/>
      <w:r w:rsidRPr="004F011B">
        <w:rPr>
          <w:rFonts w:ascii="Arial" w:hAnsi="Arial" w:cs="Arial"/>
        </w:rPr>
        <w:t xml:space="preserve"> variable on </w:t>
      </w:r>
      <w:proofErr w:type="spellStart"/>
      <w:r w:rsidRPr="004F011B">
        <w:rPr>
          <w:rFonts w:ascii="Arial" w:hAnsi="Arial" w:cs="Arial"/>
        </w:rPr>
        <w:t>j</w:t>
      </w:r>
      <w:r w:rsidRPr="00B1344C">
        <w:rPr>
          <w:rFonts w:ascii="Arial" w:hAnsi="Arial" w:cs="Arial"/>
          <w:vertAlign w:val="superscript"/>
        </w:rPr>
        <w:t>th</w:t>
      </w:r>
      <w:proofErr w:type="spellEnd"/>
      <w:r w:rsidRPr="004F011B">
        <w:rPr>
          <w:rFonts w:ascii="Arial" w:hAnsi="Arial" w:cs="Arial"/>
        </w:rPr>
        <w:t xml:space="preserve"> factor.</w:t>
      </w:r>
    </w:p>
    <w:p w14:paraId="08162C05" w14:textId="77777777" w:rsidR="004F011B" w:rsidRPr="004F011B" w:rsidRDefault="004F011B" w:rsidP="004F011B">
      <w:pPr>
        <w:pStyle w:val="Body"/>
        <w:rPr>
          <w:rFonts w:ascii="Arial" w:hAnsi="Arial" w:cs="Arial"/>
          <w:b/>
          <w:bCs/>
        </w:rPr>
      </w:pPr>
      <w:r w:rsidRPr="004F011B">
        <w:rPr>
          <w:rFonts w:ascii="Arial" w:hAnsi="Arial" w:cs="Arial"/>
          <w:b/>
          <w:bCs/>
        </w:rPr>
        <w:t>Step 4: Climate Vulnerability Index (CVI)</w:t>
      </w:r>
    </w:p>
    <w:p w14:paraId="4A664FF7" w14:textId="0ABA811B" w:rsidR="004F011B" w:rsidRDefault="004F011B" w:rsidP="004F011B">
      <w:pPr>
        <w:pStyle w:val="Body"/>
        <w:rPr>
          <w:rFonts w:ascii="Arial" w:hAnsi="Arial" w:cs="Arial"/>
        </w:rPr>
      </w:pPr>
      <w:r w:rsidRPr="004F011B">
        <w:rPr>
          <w:rFonts w:ascii="Arial" w:hAnsi="Arial" w:cs="Arial"/>
        </w:rPr>
        <w:t>Subsequently, the Exposure, Sensitivity</w:t>
      </w:r>
      <w:r w:rsidR="006B3D2C">
        <w:rPr>
          <w:rFonts w:ascii="Arial" w:hAnsi="Arial" w:cs="Arial"/>
        </w:rPr>
        <w:t xml:space="preserve"> and</w:t>
      </w:r>
      <w:r w:rsidRPr="004F011B">
        <w:rPr>
          <w:rFonts w:ascii="Arial" w:hAnsi="Arial" w:cs="Arial"/>
        </w:rPr>
        <w:t xml:space="preserve"> Adaptive Capacity indices were computed individually, incorporating their respective indicators and calculated weights, as per the formulation provided by Sendhil </w:t>
      </w:r>
      <w:r w:rsidR="002450A2" w:rsidRPr="002450A2">
        <w:rPr>
          <w:rFonts w:ascii="Arial" w:hAnsi="Arial" w:cs="Arial"/>
          <w:i/>
          <w:iCs/>
        </w:rPr>
        <w:t>et al.</w:t>
      </w:r>
      <w:r w:rsidRPr="004F011B">
        <w:rPr>
          <w:rFonts w:ascii="Arial" w:hAnsi="Arial" w:cs="Arial"/>
        </w:rPr>
        <w:t xml:space="preserve"> (2018) and Balaganesh </w:t>
      </w:r>
      <w:r w:rsidR="002450A2" w:rsidRPr="002450A2">
        <w:rPr>
          <w:rFonts w:ascii="Arial" w:hAnsi="Arial" w:cs="Arial"/>
          <w:i/>
          <w:iCs/>
        </w:rPr>
        <w:t>et al.</w:t>
      </w:r>
      <w:r w:rsidRPr="004F011B">
        <w:rPr>
          <w:rFonts w:ascii="Arial" w:hAnsi="Arial" w:cs="Arial"/>
        </w:rPr>
        <w:t xml:space="preserve"> (2020).</w:t>
      </w:r>
    </w:p>
    <w:p w14:paraId="7804E229" w14:textId="5992C0EA" w:rsidR="00976415" w:rsidRPr="00976415" w:rsidRDefault="00CF6B1B" w:rsidP="004F011B">
      <w:pPr>
        <w:pStyle w:val="Body"/>
        <w:rPr>
          <w:rFonts w:ascii="Arial" w:hAnsi="Arial" w:cs="Arial"/>
        </w:rPr>
      </w:pPr>
      <m:oMathPara>
        <m:oMath>
          <m:sSub>
            <m:sSubPr>
              <m:ctrlPr>
                <w:rPr>
                  <w:rFonts w:ascii="Cambria Math" w:hAnsi="Cambria Math"/>
                  <w:i/>
                </w:rPr>
              </m:ctrlPr>
            </m:sSubPr>
            <m:e>
              <m:r>
                <w:rPr>
                  <w:rFonts w:ascii="Cambria Math" w:hAnsi="Cambria Math"/>
                </w:rPr>
                <m:t>Index</m:t>
              </m:r>
            </m:e>
            <m:sub>
              <m:r>
                <w:rPr>
                  <w:rFonts w:ascii="Cambria Math" w:hAnsi="Cambria Math"/>
                </w:rPr>
                <m:t>state</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W</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m:oMathPara>
    </w:p>
    <w:p w14:paraId="5A71EFE5" w14:textId="77777777" w:rsidR="00976415" w:rsidRPr="00976415" w:rsidRDefault="00976415" w:rsidP="00976415">
      <w:pPr>
        <w:pStyle w:val="Body"/>
        <w:rPr>
          <w:rFonts w:ascii="Arial" w:hAnsi="Arial" w:cs="Arial"/>
        </w:rPr>
      </w:pPr>
      <w:r w:rsidRPr="00976415">
        <w:rPr>
          <w:rFonts w:ascii="Arial" w:hAnsi="Arial" w:cs="Arial"/>
        </w:rPr>
        <w:t xml:space="preserve">Where, Xi represents the normalized value of </w:t>
      </w:r>
      <w:proofErr w:type="spellStart"/>
      <w:r w:rsidRPr="00976415">
        <w:rPr>
          <w:rFonts w:ascii="Arial" w:hAnsi="Arial" w:cs="Arial"/>
        </w:rPr>
        <w:t>i</w:t>
      </w:r>
      <w:r w:rsidRPr="001E63CB">
        <w:rPr>
          <w:rFonts w:ascii="Arial" w:hAnsi="Arial" w:cs="Arial"/>
          <w:highlight w:val="yellow"/>
          <w:vertAlign w:val="superscript"/>
        </w:rPr>
        <w:t>th</w:t>
      </w:r>
      <w:proofErr w:type="spellEnd"/>
      <w:r w:rsidRPr="00976415">
        <w:rPr>
          <w:rFonts w:ascii="Arial" w:hAnsi="Arial" w:cs="Arial"/>
        </w:rPr>
        <w:t xml:space="preserve"> variable; Wi is the weight of </w:t>
      </w:r>
      <w:proofErr w:type="spellStart"/>
      <w:r w:rsidRPr="00976415">
        <w:rPr>
          <w:rFonts w:ascii="Arial" w:hAnsi="Arial" w:cs="Arial"/>
        </w:rPr>
        <w:t>i</w:t>
      </w:r>
      <w:r w:rsidRPr="001E63CB">
        <w:rPr>
          <w:rFonts w:ascii="Arial" w:hAnsi="Arial" w:cs="Arial"/>
          <w:highlight w:val="yellow"/>
          <w:vertAlign w:val="superscript"/>
        </w:rPr>
        <w:t>th</w:t>
      </w:r>
      <w:proofErr w:type="spellEnd"/>
      <w:r w:rsidRPr="00976415">
        <w:rPr>
          <w:rFonts w:ascii="Arial" w:hAnsi="Arial" w:cs="Arial"/>
        </w:rPr>
        <w:t xml:space="preserve"> variable</w:t>
      </w:r>
    </w:p>
    <w:p w14:paraId="094D9BDE" w14:textId="600CFBDB" w:rsidR="00976415" w:rsidRDefault="00976415" w:rsidP="00976415">
      <w:pPr>
        <w:pStyle w:val="Body"/>
        <w:rPr>
          <w:rFonts w:ascii="Arial" w:hAnsi="Arial" w:cs="Arial"/>
        </w:rPr>
      </w:pPr>
      <w:r w:rsidRPr="00976415">
        <w:rPr>
          <w:rFonts w:ascii="Arial" w:hAnsi="Arial" w:cs="Arial"/>
        </w:rPr>
        <w:t>Finally, Climate Vulnerability Index (CVI) was calculated as per the IPCC approach, using Eq. (1).</w:t>
      </w:r>
    </w:p>
    <w:p w14:paraId="30515A5C" w14:textId="162712B7" w:rsidR="00976415" w:rsidRPr="00976415" w:rsidRDefault="00976415" w:rsidP="00976415">
      <w:pPr>
        <w:pStyle w:val="Body"/>
        <w:rPr>
          <w:rFonts w:ascii="Arial" w:hAnsi="Arial" w:cs="Arial"/>
        </w:rPr>
      </w:pPr>
      <m:oMathPara>
        <m:oMath>
          <m:r>
            <w:rPr>
              <w:rFonts w:ascii="Cambria Math" w:hAnsi="Cambria Math"/>
            </w:rPr>
            <m:t>CVI=</m:t>
          </m:r>
          <m:f>
            <m:fPr>
              <m:ctrlPr>
                <w:rPr>
                  <w:rFonts w:ascii="Cambria Math" w:hAnsi="Cambria Math"/>
                  <w:i/>
                </w:rPr>
              </m:ctrlPr>
            </m:fPr>
            <m:num>
              <m:d>
                <m:dPr>
                  <m:ctrlPr>
                    <w:rPr>
                      <w:rFonts w:ascii="Cambria Math" w:hAnsi="Cambria Math"/>
                      <w:i/>
                    </w:rPr>
                  </m:ctrlPr>
                </m:dPr>
                <m:e>
                  <m:r>
                    <w:rPr>
                      <w:rFonts w:ascii="Cambria Math" w:hAnsi="Cambria Math"/>
                    </w:rPr>
                    <m:t>E+S</m:t>
                  </m:r>
                </m:e>
              </m:d>
              <m:r>
                <w:rPr>
                  <w:rFonts w:ascii="Cambria Math" w:hAnsi="Cambria Math"/>
                </w:rPr>
                <m:t>+(1-AC)</m:t>
              </m:r>
            </m:num>
            <m:den>
              <m:r>
                <w:rPr>
                  <w:rFonts w:ascii="Cambria Math" w:hAnsi="Cambria Math"/>
                </w:rPr>
                <m:t>3</m:t>
              </m:r>
            </m:den>
          </m:f>
        </m:oMath>
      </m:oMathPara>
    </w:p>
    <w:p w14:paraId="739E8FA4" w14:textId="77777777" w:rsidR="00976415" w:rsidRPr="00976415" w:rsidRDefault="00976415" w:rsidP="00976415">
      <w:pPr>
        <w:pStyle w:val="Body"/>
        <w:rPr>
          <w:rFonts w:ascii="Arial" w:hAnsi="Arial" w:cs="Arial"/>
          <w:b/>
          <w:bCs/>
        </w:rPr>
      </w:pPr>
      <w:r w:rsidRPr="00976415">
        <w:rPr>
          <w:rFonts w:ascii="Arial" w:hAnsi="Arial" w:cs="Arial"/>
          <w:b/>
          <w:bCs/>
        </w:rPr>
        <w:t>Step 5: Categorization of States</w:t>
      </w:r>
    </w:p>
    <w:p w14:paraId="24F96CEF" w14:textId="48111B41" w:rsidR="00976415" w:rsidRPr="00976415" w:rsidRDefault="00976415" w:rsidP="00976415">
      <w:pPr>
        <w:pStyle w:val="Body"/>
        <w:rPr>
          <w:rFonts w:ascii="Arial" w:hAnsi="Arial" w:cs="Arial"/>
        </w:rPr>
      </w:pPr>
      <w:r w:rsidRPr="00976415">
        <w:rPr>
          <w:rFonts w:ascii="Arial" w:hAnsi="Arial" w:cs="Arial"/>
        </w:rPr>
        <w:t>The states in India were classified into high, moderate</w:t>
      </w:r>
      <w:r w:rsidR="006B3D2C">
        <w:rPr>
          <w:rFonts w:ascii="Arial" w:hAnsi="Arial" w:cs="Arial"/>
        </w:rPr>
        <w:t xml:space="preserve"> and</w:t>
      </w:r>
      <w:r w:rsidRPr="00976415">
        <w:rPr>
          <w:rFonts w:ascii="Arial" w:hAnsi="Arial" w:cs="Arial"/>
        </w:rPr>
        <w:t xml:space="preserve"> low vulnerability categories based on the computed Climate Vulnerability Index (CVI), employing mean and standard deviation (SD) norm as outlined by Ayyoob </w:t>
      </w:r>
      <w:r w:rsidR="002450A2" w:rsidRPr="002450A2">
        <w:rPr>
          <w:rFonts w:ascii="Arial" w:hAnsi="Arial" w:cs="Arial"/>
          <w:i/>
          <w:iCs/>
        </w:rPr>
        <w:t>et al.</w:t>
      </w:r>
      <w:r w:rsidRPr="00976415">
        <w:rPr>
          <w:rFonts w:ascii="Arial" w:hAnsi="Arial" w:cs="Arial"/>
        </w:rPr>
        <w:t xml:space="preserve"> (2013), Rana </w:t>
      </w:r>
      <w:r w:rsidR="002450A2" w:rsidRPr="002450A2">
        <w:rPr>
          <w:rFonts w:ascii="Arial" w:hAnsi="Arial" w:cs="Arial"/>
          <w:i/>
          <w:iCs/>
        </w:rPr>
        <w:t>et al.</w:t>
      </w:r>
      <w:r w:rsidRPr="00976415">
        <w:rPr>
          <w:rFonts w:ascii="Arial" w:hAnsi="Arial" w:cs="Arial"/>
        </w:rPr>
        <w:t xml:space="preserve"> (2015), Kale </w:t>
      </w:r>
      <w:r w:rsidR="002450A2" w:rsidRPr="002450A2">
        <w:rPr>
          <w:rFonts w:ascii="Arial" w:hAnsi="Arial" w:cs="Arial"/>
          <w:i/>
          <w:iCs/>
        </w:rPr>
        <w:t>et al.</w:t>
      </w:r>
      <w:r w:rsidRPr="00976415">
        <w:rPr>
          <w:rFonts w:ascii="Arial" w:hAnsi="Arial" w:cs="Arial"/>
        </w:rPr>
        <w:t xml:space="preserve"> (2016), Sendhil </w:t>
      </w:r>
      <w:r w:rsidR="002450A2" w:rsidRPr="002450A2">
        <w:rPr>
          <w:rFonts w:ascii="Arial" w:hAnsi="Arial" w:cs="Arial"/>
          <w:i/>
          <w:iCs/>
        </w:rPr>
        <w:t>et al.</w:t>
      </w:r>
      <w:r w:rsidRPr="00976415">
        <w:rPr>
          <w:rFonts w:ascii="Arial" w:hAnsi="Arial" w:cs="Arial"/>
        </w:rPr>
        <w:t xml:space="preserve"> (2018) and Balaganesh </w:t>
      </w:r>
      <w:r w:rsidR="002450A2" w:rsidRPr="002450A2">
        <w:rPr>
          <w:rFonts w:ascii="Arial" w:hAnsi="Arial" w:cs="Arial"/>
          <w:i/>
          <w:iCs/>
        </w:rPr>
        <w:t>et al.</w:t>
      </w:r>
      <w:r w:rsidRPr="00976415">
        <w:rPr>
          <w:rFonts w:ascii="Arial" w:hAnsi="Arial" w:cs="Arial"/>
        </w:rPr>
        <w:t xml:space="preserve"> (2020). The categorization is detailed as follows:</w:t>
      </w:r>
    </w:p>
    <w:p w14:paraId="0FD4C519" w14:textId="09954346" w:rsidR="00976415" w:rsidRPr="00976415" w:rsidRDefault="00976415" w:rsidP="00976415">
      <w:pPr>
        <w:pStyle w:val="Body"/>
        <w:numPr>
          <w:ilvl w:val="0"/>
          <w:numId w:val="34"/>
        </w:numPr>
        <w:spacing w:after="0"/>
        <w:ind w:left="567" w:hanging="283"/>
        <w:rPr>
          <w:rFonts w:ascii="Arial" w:hAnsi="Arial" w:cs="Arial"/>
        </w:rPr>
      </w:pPr>
      <w:r w:rsidRPr="00976415">
        <w:rPr>
          <w:rFonts w:ascii="Arial" w:hAnsi="Arial" w:cs="Arial"/>
        </w:rPr>
        <w:t xml:space="preserve">High = Index &gt; (Mean + 0.5 SD) </w:t>
      </w:r>
    </w:p>
    <w:p w14:paraId="709A135D" w14:textId="453EC165" w:rsidR="00976415" w:rsidRPr="00976415" w:rsidRDefault="00976415" w:rsidP="00976415">
      <w:pPr>
        <w:pStyle w:val="Body"/>
        <w:numPr>
          <w:ilvl w:val="0"/>
          <w:numId w:val="34"/>
        </w:numPr>
        <w:spacing w:after="0"/>
        <w:ind w:left="567" w:hanging="283"/>
        <w:rPr>
          <w:rFonts w:ascii="Arial" w:hAnsi="Arial" w:cs="Arial"/>
        </w:rPr>
      </w:pPr>
      <w:r w:rsidRPr="00976415">
        <w:rPr>
          <w:rFonts w:ascii="Arial" w:hAnsi="Arial" w:cs="Arial"/>
        </w:rPr>
        <w:t xml:space="preserve">Moderate = (Mean – 0.5 SD) &lt; Index &lt; (Mean + 0.5 SD) </w:t>
      </w:r>
    </w:p>
    <w:p w14:paraId="07C794A9" w14:textId="3D2DB869" w:rsidR="00790ADA" w:rsidRPr="00395907" w:rsidRDefault="00976415" w:rsidP="00395907">
      <w:pPr>
        <w:pStyle w:val="Body"/>
        <w:numPr>
          <w:ilvl w:val="0"/>
          <w:numId w:val="34"/>
        </w:numPr>
        <w:ind w:left="567" w:hanging="283"/>
        <w:rPr>
          <w:rFonts w:ascii="Arial" w:hAnsi="Arial" w:cs="Arial"/>
        </w:rPr>
      </w:pPr>
      <w:r w:rsidRPr="00395907">
        <w:rPr>
          <w:rFonts w:ascii="Arial" w:hAnsi="Arial" w:cs="Arial"/>
        </w:rPr>
        <w:lastRenderedPageBreak/>
        <w:t>Low = Index &lt; (Mean – 0.5 SD)</w:t>
      </w:r>
    </w:p>
    <w:p w14:paraId="0E9ECE1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55391E" w14:textId="77777777" w:rsidR="00790ADA" w:rsidRPr="00FB3A86" w:rsidRDefault="00790ADA" w:rsidP="00441B6F">
      <w:pPr>
        <w:pStyle w:val="Head1"/>
        <w:spacing w:after="0"/>
        <w:jc w:val="both"/>
        <w:rPr>
          <w:rFonts w:ascii="Arial" w:hAnsi="Arial" w:cs="Arial"/>
        </w:rPr>
      </w:pPr>
    </w:p>
    <w:p w14:paraId="6563E2AC" w14:textId="272BAC8C" w:rsidR="00790ADA" w:rsidRDefault="00A72E47" w:rsidP="004F3EB0">
      <w:pPr>
        <w:pStyle w:val="Body"/>
        <w:rPr>
          <w:rFonts w:ascii="Arial" w:hAnsi="Arial" w:cs="Arial"/>
        </w:rPr>
      </w:pPr>
      <w:r w:rsidRPr="00A72E47">
        <w:rPr>
          <w:rFonts w:ascii="Arial" w:hAnsi="Arial" w:cs="Arial"/>
        </w:rPr>
        <w:t>The weightage of nine appropriate exposure index indicators, eight appropriate sensitivity index indicators</w:t>
      </w:r>
      <w:r w:rsidR="006B3D2C">
        <w:rPr>
          <w:rFonts w:ascii="Arial" w:hAnsi="Arial" w:cs="Arial"/>
        </w:rPr>
        <w:t xml:space="preserve"> and</w:t>
      </w:r>
      <w:r w:rsidRPr="00A72E47">
        <w:rPr>
          <w:rFonts w:ascii="Arial" w:hAnsi="Arial" w:cs="Arial"/>
        </w:rPr>
        <w:t xml:space="preserve"> eleven appropriate adaptive capacity index indicators is shown in </w:t>
      </w:r>
      <w:r w:rsidR="004014CE">
        <w:rPr>
          <w:rFonts w:ascii="Arial" w:hAnsi="Arial" w:cs="Arial"/>
        </w:rPr>
        <w:t>Fig.</w:t>
      </w:r>
      <w:r w:rsidRPr="00A72E47">
        <w:rPr>
          <w:rFonts w:ascii="Arial" w:hAnsi="Arial" w:cs="Arial"/>
        </w:rPr>
        <w:t xml:space="preserve"> 1. In PCA higher the weight of an attribute, the more relevant it is considered.</w:t>
      </w:r>
    </w:p>
    <w:p w14:paraId="31CFC999" w14:textId="0DD6072B" w:rsidR="004F3EB0" w:rsidRDefault="004F3EB0" w:rsidP="00441B6F">
      <w:pPr>
        <w:pStyle w:val="Body"/>
        <w:spacing w:after="0"/>
        <w:rPr>
          <w:rFonts w:ascii="Arial" w:hAnsi="Arial" w:cs="Arial"/>
        </w:rPr>
      </w:pPr>
      <w:r>
        <w:rPr>
          <w:noProof/>
        </w:rPr>
        <w:drawing>
          <wp:inline distT="0" distB="0" distL="0" distR="0" wp14:anchorId="66DDC24D" wp14:editId="6F575307">
            <wp:extent cx="5212080" cy="4984750"/>
            <wp:effectExtent l="0" t="0" r="0" b="0"/>
            <wp:docPr id="595685202" name="Chart 1">
              <a:extLst xmlns:a="http://schemas.openxmlformats.org/drawingml/2006/main">
                <a:ext uri="{FF2B5EF4-FFF2-40B4-BE49-F238E27FC236}">
                  <a16:creationId xmlns:a16="http://schemas.microsoft.com/office/drawing/2014/main" id="{71546624-2614-54DA-505F-E9C07EAA6E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B5DCB7" w14:textId="23A003F6" w:rsidR="004F3EB0" w:rsidRPr="008247A6" w:rsidRDefault="004F3EB0" w:rsidP="00285C34">
      <w:pPr>
        <w:autoSpaceDE w:val="0"/>
        <w:autoSpaceDN w:val="0"/>
        <w:adjustRightInd w:val="0"/>
        <w:spacing w:after="240"/>
        <w:jc w:val="center"/>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4F3EB0">
        <w:rPr>
          <w:rFonts w:ascii="Arial" w:hAnsi="Arial" w:cs="Arial"/>
          <w:b/>
          <w:bCs/>
          <w:szCs w:val="22"/>
        </w:rPr>
        <w:t>Weightage of suitable indicators of exposure, sensitivity and adaptive capacity</w:t>
      </w:r>
    </w:p>
    <w:p w14:paraId="650E3A6C" w14:textId="4EFDC3A3" w:rsidR="00860D1B" w:rsidRPr="00860D1B" w:rsidRDefault="00860D1B" w:rsidP="00860D1B">
      <w:pPr>
        <w:pStyle w:val="Body"/>
        <w:rPr>
          <w:rFonts w:ascii="Arial" w:hAnsi="Arial" w:cs="Arial"/>
        </w:rPr>
      </w:pPr>
      <w:r w:rsidRPr="00860D1B">
        <w:rPr>
          <w:rFonts w:ascii="Arial" w:hAnsi="Arial" w:cs="Arial"/>
        </w:rPr>
        <w:t>Across various states in India, including Andhra Pradesh, Bihar, Chhattisgarh, Gujarat, Karnataka, Madhya Pradesh, Maharashtra, Odisha, Tamil Nadu</w:t>
      </w:r>
      <w:r w:rsidR="006B3D2C">
        <w:rPr>
          <w:rFonts w:ascii="Arial" w:hAnsi="Arial" w:cs="Arial"/>
        </w:rPr>
        <w:t xml:space="preserve"> and</w:t>
      </w:r>
      <w:r w:rsidRPr="00860D1B">
        <w:rPr>
          <w:rFonts w:ascii="Arial" w:hAnsi="Arial" w:cs="Arial"/>
        </w:rPr>
        <w:t xml:space="preserve"> West Bengal, the variable trend in kharif maximum temperature (K_Max_T) was found to have a higher weightage, indicating its greater relevance to the exposure index for these states. Moreover, the variable share of small &amp; marginal farmers to total farmers (SMF/TF) was found to have a higher weightage across a number of Indian states, including West Bengal, Himachal Pradesh, Kerala, Odisha, Tamil Nadu, Uttar Pradesh</w:t>
      </w:r>
      <w:r w:rsidR="006B3D2C">
        <w:rPr>
          <w:rFonts w:ascii="Arial" w:hAnsi="Arial" w:cs="Arial"/>
        </w:rPr>
        <w:t xml:space="preserve"> and</w:t>
      </w:r>
      <w:r w:rsidRPr="00860D1B">
        <w:rPr>
          <w:rFonts w:ascii="Arial" w:hAnsi="Arial" w:cs="Arial"/>
        </w:rPr>
        <w:t xml:space="preserve"> Uttarakhand for sensitivity index. Furthermore, cropping intensity (CI) and proportion of area insured to gross sown area (AI/GSA) have a higher number of states with a high weightage among all adaptive capacity </w:t>
      </w:r>
      <w:r w:rsidRPr="00860D1B">
        <w:rPr>
          <w:rFonts w:ascii="Arial" w:hAnsi="Arial" w:cs="Arial"/>
        </w:rPr>
        <w:lastRenderedPageBreak/>
        <w:t>indicators. States like Assam, Haryana, Punjab, Uttar Pradesh, Uttarakhand</w:t>
      </w:r>
      <w:r w:rsidR="006B3D2C">
        <w:rPr>
          <w:rFonts w:ascii="Arial" w:hAnsi="Arial" w:cs="Arial"/>
        </w:rPr>
        <w:t xml:space="preserve"> and</w:t>
      </w:r>
      <w:r w:rsidRPr="00860D1B">
        <w:rPr>
          <w:rFonts w:ascii="Arial" w:hAnsi="Arial" w:cs="Arial"/>
        </w:rPr>
        <w:t xml:space="preserve"> West Bengal are highly weighted CI indicators, whereas Chhattisgarh, Madhya Pradesh, Maharashtra, Odisha, Rajasthan</w:t>
      </w:r>
      <w:r w:rsidR="006B3D2C">
        <w:rPr>
          <w:rFonts w:ascii="Arial" w:hAnsi="Arial" w:cs="Arial"/>
        </w:rPr>
        <w:t xml:space="preserve"> and</w:t>
      </w:r>
      <w:r w:rsidRPr="00860D1B">
        <w:rPr>
          <w:rFonts w:ascii="Arial" w:hAnsi="Arial" w:cs="Arial"/>
        </w:rPr>
        <w:t xml:space="preserve"> Tamil Nadu are highly weighted AI/GSA indicators. It indicated that, the variables with the high weightage are more important in formulating the different mitigating strategies to climate change.  </w:t>
      </w:r>
    </w:p>
    <w:p w14:paraId="6DE43C44" w14:textId="1EBE8B33" w:rsidR="00860D1B" w:rsidRPr="00860D1B" w:rsidRDefault="00860D1B" w:rsidP="00860D1B">
      <w:pPr>
        <w:pStyle w:val="Body"/>
        <w:rPr>
          <w:rFonts w:ascii="Arial" w:hAnsi="Arial" w:cs="Arial"/>
        </w:rPr>
      </w:pPr>
      <w:r w:rsidRPr="00860D1B">
        <w:rPr>
          <w:rFonts w:ascii="Arial" w:hAnsi="Arial" w:cs="Arial"/>
        </w:rPr>
        <w:t>The Exposure Index of 9 meteorological indicators for the 18 states of India is presented in Table 2, The state with most exposures to climatic factors is Tamil Nadu (0.84), while Odisha had the lowest exposure (0.26) to climatic factors. The states were classified under high exposure to climatic factors follows as Tamil Nadu, Karnataka, Kerala</w:t>
      </w:r>
      <w:r w:rsidR="006B3D2C">
        <w:rPr>
          <w:rFonts w:ascii="Arial" w:hAnsi="Arial" w:cs="Arial"/>
        </w:rPr>
        <w:t xml:space="preserve"> and</w:t>
      </w:r>
      <w:r w:rsidRPr="00860D1B">
        <w:rPr>
          <w:rFonts w:ascii="Arial" w:hAnsi="Arial" w:cs="Arial"/>
        </w:rPr>
        <w:t xml:space="preserve"> Andhra Pradesh.  The states fell into the moderate exposure category follow as Rajasthan, Bihar, Gujarat, Assam, Haryana, Uttar Pradesh, Maharashtra</w:t>
      </w:r>
      <w:r w:rsidR="006B3D2C">
        <w:rPr>
          <w:rFonts w:ascii="Arial" w:hAnsi="Arial" w:cs="Arial"/>
        </w:rPr>
        <w:t xml:space="preserve"> and</w:t>
      </w:r>
      <w:r w:rsidRPr="00860D1B">
        <w:rPr>
          <w:rFonts w:ascii="Arial" w:hAnsi="Arial" w:cs="Arial"/>
        </w:rPr>
        <w:t xml:space="preserve"> Madhya Pradesh; and Punjab, West Bengal, Himachal Pradesh, Uttarakhand, Chhattisgarh</w:t>
      </w:r>
      <w:r w:rsidR="006B3D2C">
        <w:rPr>
          <w:rFonts w:ascii="Arial" w:hAnsi="Arial" w:cs="Arial"/>
        </w:rPr>
        <w:t xml:space="preserve"> and</w:t>
      </w:r>
      <w:r w:rsidRPr="00860D1B">
        <w:rPr>
          <w:rFonts w:ascii="Arial" w:hAnsi="Arial" w:cs="Arial"/>
        </w:rPr>
        <w:t xml:space="preserve"> Odisha were categorized as having low exposure.</w:t>
      </w:r>
    </w:p>
    <w:p w14:paraId="67E8E048" w14:textId="0CDC05CA" w:rsidR="00860D1B" w:rsidRPr="00860D1B" w:rsidRDefault="00860D1B" w:rsidP="00860D1B">
      <w:pPr>
        <w:pStyle w:val="Body"/>
        <w:rPr>
          <w:rFonts w:ascii="Arial" w:hAnsi="Arial" w:cs="Arial"/>
        </w:rPr>
      </w:pPr>
      <w:r w:rsidRPr="00860D1B">
        <w:rPr>
          <w:rFonts w:ascii="Arial" w:hAnsi="Arial" w:cs="Arial"/>
        </w:rPr>
        <w:t xml:space="preserve">The Sensitivity index for the 18 states of India, as presented in Table 2, indicated that Bihar had the highest sensitivity (0.79), while Punjab exhibited the lowest sensitivity (0.17). The mean sensitivity index was calculated to be 0.58.  A high divergence of 0.62 has been found in sensitivity due to its wider range among all the states. The categorization based on sensitivity levels revealed that seven states as Bihar, Assam, Kerala, Odisha, West </w:t>
      </w:r>
      <w:r w:rsidR="001E63CB" w:rsidRPr="001E63CB">
        <w:rPr>
          <w:rFonts w:ascii="Arial" w:hAnsi="Arial" w:cs="Arial"/>
          <w:highlight w:val="yellow"/>
        </w:rPr>
        <w:t>Bengal</w:t>
      </w:r>
      <w:r w:rsidRPr="00860D1B">
        <w:rPr>
          <w:rFonts w:ascii="Arial" w:hAnsi="Arial" w:cs="Arial"/>
        </w:rPr>
        <w:t>, Uttarakhand and Chhattisgarh were classified as highly sensitive to climatic vulnerability of agricultural system, whereas another seven states as moderately sensitive</w:t>
      </w:r>
      <w:r w:rsidR="006B3D2C">
        <w:rPr>
          <w:rFonts w:ascii="Arial" w:hAnsi="Arial" w:cs="Arial"/>
        </w:rPr>
        <w:t xml:space="preserve"> and</w:t>
      </w:r>
      <w:r w:rsidRPr="00860D1B">
        <w:rPr>
          <w:rFonts w:ascii="Arial" w:hAnsi="Arial" w:cs="Arial"/>
        </w:rPr>
        <w:t xml:space="preserve"> four states as less sensitive.</w:t>
      </w:r>
    </w:p>
    <w:p w14:paraId="1618CC7E" w14:textId="67231BFC" w:rsidR="00790ADA" w:rsidRDefault="00860D1B" w:rsidP="00AF4BD5">
      <w:pPr>
        <w:pStyle w:val="Body"/>
        <w:rPr>
          <w:rFonts w:ascii="Arial" w:hAnsi="Arial" w:cs="Arial"/>
        </w:rPr>
      </w:pPr>
      <w:r w:rsidRPr="00860D1B">
        <w:rPr>
          <w:rFonts w:ascii="Arial" w:hAnsi="Arial" w:cs="Arial"/>
        </w:rPr>
        <w:t>The Adaptive Capacity index for the 18 states of India is illustrated in Table 2. West Bengal exhibited the highest adaptive capacity (0.52), while Odisha showed the lowest adaptive capacity (0.20). The mean adaptive capacity index was calculated to be 0.32, with a standard deviation of 0.08. A divergence of 0.32 has been observed in adaptive capacity. The categorization based on adaptive capacity levels revealed that four states were classified as highly adaptive to climate, seven states as moderately adaptive</w:t>
      </w:r>
      <w:r w:rsidR="006B3D2C">
        <w:rPr>
          <w:rFonts w:ascii="Arial" w:hAnsi="Arial" w:cs="Arial"/>
        </w:rPr>
        <w:t xml:space="preserve"> and</w:t>
      </w:r>
      <w:r w:rsidRPr="00860D1B">
        <w:rPr>
          <w:rFonts w:ascii="Arial" w:hAnsi="Arial" w:cs="Arial"/>
        </w:rPr>
        <w:t xml:space="preserve"> seven states possessed low adaptive capacity.</w:t>
      </w:r>
    </w:p>
    <w:p w14:paraId="5069BB37" w14:textId="17F4B2A7" w:rsidR="00863BD3" w:rsidRDefault="009500A6" w:rsidP="00F21D46">
      <w:pPr>
        <w:tabs>
          <w:tab w:val="left" w:pos="1080"/>
        </w:tabs>
        <w:spacing w:after="240"/>
        <w:ind w:left="993" w:hanging="993"/>
        <w:jc w:val="both"/>
        <w:rPr>
          <w:rFonts w:ascii="Arial" w:hAnsi="Arial"/>
          <w:b/>
        </w:rPr>
      </w:pPr>
      <w:r>
        <w:rPr>
          <w:rFonts w:ascii="Arial" w:hAnsi="Arial"/>
          <w:b/>
        </w:rPr>
        <w:t xml:space="preserve">Table </w:t>
      </w:r>
      <w:r w:rsidR="008B4686">
        <w:rPr>
          <w:rFonts w:ascii="Arial" w:hAnsi="Arial"/>
          <w:b/>
        </w:rPr>
        <w:t>2</w:t>
      </w:r>
      <w:r>
        <w:rPr>
          <w:rFonts w:ascii="Arial" w:hAnsi="Arial"/>
          <w:b/>
        </w:rPr>
        <w:t>.</w:t>
      </w:r>
      <w:r w:rsidR="00863BD3" w:rsidRPr="00DC3180">
        <w:rPr>
          <w:rFonts w:ascii="Arial" w:hAnsi="Arial"/>
          <w:b/>
        </w:rPr>
        <w:tab/>
      </w:r>
      <w:r w:rsidR="00AF4BD5" w:rsidRPr="00AF4BD5">
        <w:rPr>
          <w:rFonts w:ascii="Arial" w:hAnsi="Arial"/>
          <w:b/>
        </w:rPr>
        <w:t xml:space="preserve">Exposure, </w:t>
      </w:r>
      <w:r w:rsidR="00616D31" w:rsidRPr="00AF4BD5">
        <w:rPr>
          <w:rFonts w:ascii="Arial" w:hAnsi="Arial"/>
          <w:b/>
        </w:rPr>
        <w:t xml:space="preserve">sensitivity, adaptive capacity and climate vulnerability index for the </w:t>
      </w:r>
      <w:r w:rsidR="00616D31">
        <w:rPr>
          <w:rFonts w:ascii="Arial" w:hAnsi="Arial"/>
          <w:b/>
        </w:rPr>
        <w:t>s</w:t>
      </w:r>
      <w:r w:rsidR="00616D31" w:rsidRPr="00AF4BD5">
        <w:rPr>
          <w:rFonts w:ascii="Arial" w:hAnsi="Arial"/>
          <w:b/>
        </w:rPr>
        <w:t>tates of</w:t>
      </w:r>
      <w:r w:rsidR="00AF4BD5" w:rsidRPr="00AF4BD5">
        <w:rPr>
          <w:rFonts w:ascii="Arial" w:hAnsi="Arial"/>
          <w:b/>
        </w:rPr>
        <w:t xml:space="preserve"> India </w:t>
      </w:r>
    </w:p>
    <w:tbl>
      <w:tblPr>
        <w:tblStyle w:val="TableGrid"/>
        <w:tblW w:w="51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39"/>
        <w:gridCol w:w="1083"/>
        <w:gridCol w:w="739"/>
        <w:gridCol w:w="1083"/>
        <w:gridCol w:w="739"/>
        <w:gridCol w:w="1083"/>
        <w:gridCol w:w="739"/>
        <w:gridCol w:w="1083"/>
      </w:tblGrid>
      <w:tr w:rsidR="00D54A24" w:rsidRPr="00D54A24" w14:paraId="578F22D0" w14:textId="77777777" w:rsidTr="00A70F44">
        <w:tc>
          <w:tcPr>
            <w:tcW w:w="757" w:type="pct"/>
            <w:vMerge w:val="restart"/>
            <w:tcBorders>
              <w:top w:val="single" w:sz="4" w:space="0" w:color="auto"/>
            </w:tcBorders>
            <w:vAlign w:val="center"/>
          </w:tcPr>
          <w:p w14:paraId="25DB7D7B"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States</w:t>
            </w:r>
          </w:p>
        </w:tc>
        <w:tc>
          <w:tcPr>
            <w:tcW w:w="1034" w:type="pct"/>
            <w:gridSpan w:val="2"/>
            <w:tcBorders>
              <w:top w:val="single" w:sz="4" w:space="0" w:color="auto"/>
              <w:bottom w:val="single" w:sz="4" w:space="0" w:color="auto"/>
            </w:tcBorders>
            <w:vAlign w:val="center"/>
          </w:tcPr>
          <w:p w14:paraId="7069A8C1"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Exposure Index</w:t>
            </w:r>
          </w:p>
        </w:tc>
        <w:tc>
          <w:tcPr>
            <w:tcW w:w="1035" w:type="pct"/>
            <w:gridSpan w:val="2"/>
            <w:tcBorders>
              <w:top w:val="single" w:sz="4" w:space="0" w:color="auto"/>
              <w:bottom w:val="single" w:sz="4" w:space="0" w:color="auto"/>
            </w:tcBorders>
            <w:vAlign w:val="center"/>
          </w:tcPr>
          <w:p w14:paraId="207BE27C"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Sensitivity Index</w:t>
            </w:r>
          </w:p>
        </w:tc>
        <w:tc>
          <w:tcPr>
            <w:tcW w:w="1035" w:type="pct"/>
            <w:gridSpan w:val="2"/>
            <w:tcBorders>
              <w:top w:val="single" w:sz="4" w:space="0" w:color="auto"/>
              <w:bottom w:val="single" w:sz="4" w:space="0" w:color="auto"/>
            </w:tcBorders>
            <w:vAlign w:val="center"/>
          </w:tcPr>
          <w:p w14:paraId="4BAC77F4"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Adaptive Capacity Index</w:t>
            </w:r>
          </w:p>
        </w:tc>
        <w:tc>
          <w:tcPr>
            <w:tcW w:w="1140" w:type="pct"/>
            <w:gridSpan w:val="2"/>
            <w:tcBorders>
              <w:top w:val="single" w:sz="4" w:space="0" w:color="auto"/>
              <w:bottom w:val="single" w:sz="4" w:space="0" w:color="auto"/>
            </w:tcBorders>
            <w:vAlign w:val="center"/>
          </w:tcPr>
          <w:p w14:paraId="32829B5E"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 xml:space="preserve">Climate Vulnerability </w:t>
            </w:r>
          </w:p>
        </w:tc>
      </w:tr>
      <w:tr w:rsidR="00D54A24" w:rsidRPr="00D54A24" w14:paraId="6CFB98CC" w14:textId="77777777" w:rsidTr="00A70F44">
        <w:tc>
          <w:tcPr>
            <w:tcW w:w="757" w:type="pct"/>
            <w:vMerge/>
            <w:tcBorders>
              <w:bottom w:val="single" w:sz="4" w:space="0" w:color="auto"/>
            </w:tcBorders>
            <w:vAlign w:val="center"/>
          </w:tcPr>
          <w:p w14:paraId="2937723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p>
        </w:tc>
        <w:tc>
          <w:tcPr>
            <w:tcW w:w="423" w:type="pct"/>
            <w:tcBorders>
              <w:top w:val="single" w:sz="4" w:space="0" w:color="auto"/>
              <w:bottom w:val="single" w:sz="4" w:space="0" w:color="auto"/>
            </w:tcBorders>
            <w:vAlign w:val="center"/>
          </w:tcPr>
          <w:p w14:paraId="4F2543A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Index</w:t>
            </w:r>
          </w:p>
        </w:tc>
        <w:tc>
          <w:tcPr>
            <w:tcW w:w="611" w:type="pct"/>
            <w:tcBorders>
              <w:top w:val="single" w:sz="4" w:space="0" w:color="auto"/>
              <w:bottom w:val="single" w:sz="4" w:space="0" w:color="auto"/>
            </w:tcBorders>
            <w:vAlign w:val="center"/>
          </w:tcPr>
          <w:p w14:paraId="63A0524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1882338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611" w:type="pct"/>
            <w:tcBorders>
              <w:top w:val="single" w:sz="4" w:space="0" w:color="auto"/>
              <w:bottom w:val="single" w:sz="4" w:space="0" w:color="auto"/>
            </w:tcBorders>
            <w:vAlign w:val="center"/>
          </w:tcPr>
          <w:p w14:paraId="55FECC6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2AF484E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611" w:type="pct"/>
            <w:tcBorders>
              <w:top w:val="single" w:sz="4" w:space="0" w:color="auto"/>
              <w:bottom w:val="single" w:sz="4" w:space="0" w:color="auto"/>
            </w:tcBorders>
            <w:vAlign w:val="center"/>
          </w:tcPr>
          <w:p w14:paraId="019A7014"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1CCA558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716" w:type="pct"/>
            <w:tcBorders>
              <w:top w:val="single" w:sz="4" w:space="0" w:color="auto"/>
              <w:bottom w:val="single" w:sz="4" w:space="0" w:color="auto"/>
            </w:tcBorders>
            <w:vAlign w:val="center"/>
          </w:tcPr>
          <w:p w14:paraId="1940FB76"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Category</w:t>
            </w:r>
          </w:p>
        </w:tc>
      </w:tr>
      <w:tr w:rsidR="00D54A24" w:rsidRPr="00D54A24" w14:paraId="20123DD9" w14:textId="77777777" w:rsidTr="00A70F44">
        <w:tc>
          <w:tcPr>
            <w:tcW w:w="757" w:type="pct"/>
            <w:tcBorders>
              <w:top w:val="single" w:sz="4" w:space="0" w:color="auto"/>
            </w:tcBorders>
            <w:vAlign w:val="center"/>
          </w:tcPr>
          <w:p w14:paraId="0B21B1C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Andhra Pradesh</w:t>
            </w:r>
          </w:p>
        </w:tc>
        <w:tc>
          <w:tcPr>
            <w:tcW w:w="423" w:type="pct"/>
            <w:tcBorders>
              <w:top w:val="single" w:sz="4" w:space="0" w:color="auto"/>
            </w:tcBorders>
            <w:vAlign w:val="center"/>
          </w:tcPr>
          <w:p w14:paraId="26ADCB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0.68</w:t>
            </w:r>
          </w:p>
        </w:tc>
        <w:tc>
          <w:tcPr>
            <w:tcW w:w="611" w:type="pct"/>
            <w:tcBorders>
              <w:top w:val="single" w:sz="4" w:space="0" w:color="auto"/>
            </w:tcBorders>
            <w:vAlign w:val="center"/>
          </w:tcPr>
          <w:p w14:paraId="74566E6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tcBorders>
              <w:top w:val="single" w:sz="4" w:space="0" w:color="auto"/>
            </w:tcBorders>
            <w:vAlign w:val="center"/>
          </w:tcPr>
          <w:p w14:paraId="32D749B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611" w:type="pct"/>
            <w:tcBorders>
              <w:top w:val="single" w:sz="4" w:space="0" w:color="auto"/>
            </w:tcBorders>
            <w:vAlign w:val="center"/>
          </w:tcPr>
          <w:p w14:paraId="08334CD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tcBorders>
              <w:top w:val="single" w:sz="4" w:space="0" w:color="auto"/>
            </w:tcBorders>
            <w:vAlign w:val="center"/>
          </w:tcPr>
          <w:p w14:paraId="3317B4C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0.30</w:t>
            </w:r>
          </w:p>
        </w:tc>
        <w:tc>
          <w:tcPr>
            <w:tcW w:w="611" w:type="pct"/>
            <w:tcBorders>
              <w:top w:val="single" w:sz="4" w:space="0" w:color="auto"/>
            </w:tcBorders>
            <w:vAlign w:val="center"/>
          </w:tcPr>
          <w:p w14:paraId="2F7E82D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tcBorders>
              <w:top w:val="single" w:sz="4" w:space="0" w:color="auto"/>
            </w:tcBorders>
            <w:vAlign w:val="center"/>
          </w:tcPr>
          <w:p w14:paraId="236D6DE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716" w:type="pct"/>
            <w:tcBorders>
              <w:top w:val="single" w:sz="4" w:space="0" w:color="auto"/>
            </w:tcBorders>
            <w:vAlign w:val="center"/>
          </w:tcPr>
          <w:p w14:paraId="381F33C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634AA42F" w14:textId="77777777" w:rsidTr="00A70F44">
        <w:tc>
          <w:tcPr>
            <w:tcW w:w="757" w:type="pct"/>
            <w:vAlign w:val="center"/>
          </w:tcPr>
          <w:p w14:paraId="76DB7E8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Assam</w:t>
            </w:r>
          </w:p>
        </w:tc>
        <w:tc>
          <w:tcPr>
            <w:tcW w:w="423" w:type="pct"/>
            <w:vAlign w:val="center"/>
          </w:tcPr>
          <w:p w14:paraId="5D91F2E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0.48</w:t>
            </w:r>
          </w:p>
        </w:tc>
        <w:tc>
          <w:tcPr>
            <w:tcW w:w="611" w:type="pct"/>
            <w:vAlign w:val="center"/>
          </w:tcPr>
          <w:p w14:paraId="4321984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7ADB093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0.74</w:t>
            </w:r>
          </w:p>
        </w:tc>
        <w:tc>
          <w:tcPr>
            <w:tcW w:w="611" w:type="pct"/>
            <w:vAlign w:val="center"/>
          </w:tcPr>
          <w:p w14:paraId="3FFDA31A"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0066FCB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0.26</w:t>
            </w:r>
          </w:p>
        </w:tc>
        <w:tc>
          <w:tcPr>
            <w:tcW w:w="611" w:type="pct"/>
            <w:vAlign w:val="center"/>
          </w:tcPr>
          <w:p w14:paraId="09FA551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639E63C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0.65</w:t>
            </w:r>
          </w:p>
        </w:tc>
        <w:tc>
          <w:tcPr>
            <w:tcW w:w="716" w:type="pct"/>
            <w:vAlign w:val="center"/>
          </w:tcPr>
          <w:p w14:paraId="4E6712D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5604413C" w14:textId="77777777" w:rsidTr="00A70F44">
        <w:tc>
          <w:tcPr>
            <w:tcW w:w="757" w:type="pct"/>
            <w:vAlign w:val="center"/>
          </w:tcPr>
          <w:p w14:paraId="4189965C"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Bihar</w:t>
            </w:r>
          </w:p>
        </w:tc>
        <w:tc>
          <w:tcPr>
            <w:tcW w:w="423" w:type="pct"/>
            <w:vAlign w:val="center"/>
          </w:tcPr>
          <w:p w14:paraId="565A27D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0.53</w:t>
            </w:r>
          </w:p>
        </w:tc>
        <w:tc>
          <w:tcPr>
            <w:tcW w:w="611" w:type="pct"/>
            <w:vAlign w:val="center"/>
          </w:tcPr>
          <w:p w14:paraId="5BB7CDA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55887D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0.79</w:t>
            </w:r>
          </w:p>
        </w:tc>
        <w:tc>
          <w:tcPr>
            <w:tcW w:w="611" w:type="pct"/>
            <w:vAlign w:val="center"/>
          </w:tcPr>
          <w:p w14:paraId="2060CBC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C7573D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611" w:type="pct"/>
            <w:vAlign w:val="center"/>
          </w:tcPr>
          <w:p w14:paraId="00EAF3C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5097C56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716" w:type="pct"/>
            <w:vAlign w:val="center"/>
          </w:tcPr>
          <w:p w14:paraId="697C062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50946F3B" w14:textId="77777777" w:rsidTr="00A70F44">
        <w:tc>
          <w:tcPr>
            <w:tcW w:w="757" w:type="pct"/>
            <w:vAlign w:val="center"/>
          </w:tcPr>
          <w:p w14:paraId="7C477070"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Chhattisgarh</w:t>
            </w:r>
          </w:p>
        </w:tc>
        <w:tc>
          <w:tcPr>
            <w:tcW w:w="423" w:type="pct"/>
            <w:vAlign w:val="center"/>
          </w:tcPr>
          <w:p w14:paraId="5BB16A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0.36</w:t>
            </w:r>
          </w:p>
        </w:tc>
        <w:tc>
          <w:tcPr>
            <w:tcW w:w="611" w:type="pct"/>
            <w:vAlign w:val="center"/>
          </w:tcPr>
          <w:p w14:paraId="40414E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245F0F2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611" w:type="pct"/>
            <w:vAlign w:val="center"/>
          </w:tcPr>
          <w:p w14:paraId="6DD5D3E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F2EA18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0.25</w:t>
            </w:r>
          </w:p>
        </w:tc>
        <w:tc>
          <w:tcPr>
            <w:tcW w:w="611" w:type="pct"/>
            <w:vAlign w:val="center"/>
          </w:tcPr>
          <w:p w14:paraId="7AF88240"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AA9BDE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c>
          <w:tcPr>
            <w:tcW w:w="716" w:type="pct"/>
            <w:vAlign w:val="center"/>
          </w:tcPr>
          <w:p w14:paraId="4CE6E2B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0886D2B2" w14:textId="77777777" w:rsidTr="00A70F44">
        <w:tc>
          <w:tcPr>
            <w:tcW w:w="757" w:type="pct"/>
            <w:vAlign w:val="center"/>
          </w:tcPr>
          <w:p w14:paraId="697C01B9"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Gujarat</w:t>
            </w:r>
          </w:p>
        </w:tc>
        <w:tc>
          <w:tcPr>
            <w:tcW w:w="423" w:type="pct"/>
            <w:vAlign w:val="center"/>
          </w:tcPr>
          <w:p w14:paraId="555B077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0.49</w:t>
            </w:r>
          </w:p>
        </w:tc>
        <w:tc>
          <w:tcPr>
            <w:tcW w:w="611" w:type="pct"/>
            <w:vAlign w:val="center"/>
          </w:tcPr>
          <w:p w14:paraId="203B858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267F5A1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0.51</w:t>
            </w:r>
          </w:p>
        </w:tc>
        <w:tc>
          <w:tcPr>
            <w:tcW w:w="611" w:type="pct"/>
            <w:vAlign w:val="center"/>
          </w:tcPr>
          <w:p w14:paraId="7EAF5B4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4E6EF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0.35</w:t>
            </w:r>
          </w:p>
        </w:tc>
        <w:tc>
          <w:tcPr>
            <w:tcW w:w="611" w:type="pct"/>
            <w:vAlign w:val="center"/>
          </w:tcPr>
          <w:p w14:paraId="6404CDD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275929C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0.55</w:t>
            </w:r>
          </w:p>
        </w:tc>
        <w:tc>
          <w:tcPr>
            <w:tcW w:w="716" w:type="pct"/>
            <w:vAlign w:val="center"/>
          </w:tcPr>
          <w:p w14:paraId="22A3FF5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78588FDB" w14:textId="77777777" w:rsidTr="00A70F44">
        <w:tc>
          <w:tcPr>
            <w:tcW w:w="757" w:type="pct"/>
            <w:vAlign w:val="center"/>
          </w:tcPr>
          <w:p w14:paraId="374DAB5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Haryana</w:t>
            </w:r>
          </w:p>
        </w:tc>
        <w:tc>
          <w:tcPr>
            <w:tcW w:w="423" w:type="pct"/>
            <w:vAlign w:val="center"/>
          </w:tcPr>
          <w:p w14:paraId="39B2F6A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0.46</w:t>
            </w:r>
          </w:p>
        </w:tc>
        <w:tc>
          <w:tcPr>
            <w:tcW w:w="611" w:type="pct"/>
            <w:vAlign w:val="center"/>
          </w:tcPr>
          <w:p w14:paraId="21AE556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80EB18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0.43</w:t>
            </w:r>
          </w:p>
        </w:tc>
        <w:tc>
          <w:tcPr>
            <w:tcW w:w="611" w:type="pct"/>
            <w:vAlign w:val="center"/>
          </w:tcPr>
          <w:p w14:paraId="26BE27F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681116D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0.41</w:t>
            </w:r>
          </w:p>
        </w:tc>
        <w:tc>
          <w:tcPr>
            <w:tcW w:w="611" w:type="pct"/>
            <w:vAlign w:val="center"/>
          </w:tcPr>
          <w:p w14:paraId="72A5E83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61CB0D2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0.50</w:t>
            </w:r>
          </w:p>
        </w:tc>
        <w:tc>
          <w:tcPr>
            <w:tcW w:w="716" w:type="pct"/>
            <w:vAlign w:val="center"/>
          </w:tcPr>
          <w:p w14:paraId="45C381D5"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2CBFE886" w14:textId="77777777" w:rsidTr="00A70F44">
        <w:tc>
          <w:tcPr>
            <w:tcW w:w="757" w:type="pct"/>
            <w:vAlign w:val="center"/>
          </w:tcPr>
          <w:p w14:paraId="7893CFB3"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Himachal Pradesh</w:t>
            </w:r>
          </w:p>
        </w:tc>
        <w:tc>
          <w:tcPr>
            <w:tcW w:w="423" w:type="pct"/>
            <w:vAlign w:val="center"/>
          </w:tcPr>
          <w:p w14:paraId="5993EBB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0.39</w:t>
            </w:r>
          </w:p>
        </w:tc>
        <w:tc>
          <w:tcPr>
            <w:tcW w:w="611" w:type="pct"/>
            <w:vAlign w:val="center"/>
          </w:tcPr>
          <w:p w14:paraId="1AC644F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35072C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0.57</w:t>
            </w:r>
          </w:p>
        </w:tc>
        <w:tc>
          <w:tcPr>
            <w:tcW w:w="611" w:type="pct"/>
            <w:vAlign w:val="center"/>
          </w:tcPr>
          <w:p w14:paraId="004FF4D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1671A17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0.43</w:t>
            </w:r>
          </w:p>
        </w:tc>
        <w:tc>
          <w:tcPr>
            <w:tcW w:w="611" w:type="pct"/>
            <w:vAlign w:val="center"/>
          </w:tcPr>
          <w:p w14:paraId="204B601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06B32E9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0.51</w:t>
            </w:r>
          </w:p>
        </w:tc>
        <w:tc>
          <w:tcPr>
            <w:tcW w:w="716" w:type="pct"/>
            <w:vAlign w:val="center"/>
          </w:tcPr>
          <w:p w14:paraId="230FB5D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72FF8B3F" w14:textId="77777777" w:rsidTr="00A70F44">
        <w:tc>
          <w:tcPr>
            <w:tcW w:w="757" w:type="pct"/>
            <w:vAlign w:val="center"/>
          </w:tcPr>
          <w:p w14:paraId="59483A5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Karnataka</w:t>
            </w:r>
          </w:p>
        </w:tc>
        <w:tc>
          <w:tcPr>
            <w:tcW w:w="423" w:type="pct"/>
            <w:vAlign w:val="center"/>
          </w:tcPr>
          <w:p w14:paraId="42F2F76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0.71</w:t>
            </w:r>
          </w:p>
        </w:tc>
        <w:tc>
          <w:tcPr>
            <w:tcW w:w="611" w:type="pct"/>
            <w:vAlign w:val="center"/>
          </w:tcPr>
          <w:p w14:paraId="7E09A4B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53012E8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0.62</w:t>
            </w:r>
          </w:p>
        </w:tc>
        <w:tc>
          <w:tcPr>
            <w:tcW w:w="611" w:type="pct"/>
            <w:vAlign w:val="center"/>
          </w:tcPr>
          <w:p w14:paraId="6F633C2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4D084E3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0.27</w:t>
            </w:r>
          </w:p>
        </w:tc>
        <w:tc>
          <w:tcPr>
            <w:tcW w:w="611" w:type="pct"/>
            <w:vAlign w:val="center"/>
          </w:tcPr>
          <w:p w14:paraId="52AE1D2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7CA1345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0.69</w:t>
            </w:r>
          </w:p>
        </w:tc>
        <w:tc>
          <w:tcPr>
            <w:tcW w:w="716" w:type="pct"/>
            <w:vAlign w:val="center"/>
          </w:tcPr>
          <w:p w14:paraId="4F61B8E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74ABB697" w14:textId="77777777" w:rsidTr="00A70F44">
        <w:tc>
          <w:tcPr>
            <w:tcW w:w="757" w:type="pct"/>
            <w:vAlign w:val="center"/>
          </w:tcPr>
          <w:p w14:paraId="508DF07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Kerala</w:t>
            </w:r>
          </w:p>
        </w:tc>
        <w:tc>
          <w:tcPr>
            <w:tcW w:w="423" w:type="pct"/>
            <w:vAlign w:val="center"/>
          </w:tcPr>
          <w:p w14:paraId="704ED36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0.70</w:t>
            </w:r>
          </w:p>
        </w:tc>
        <w:tc>
          <w:tcPr>
            <w:tcW w:w="611" w:type="pct"/>
            <w:vAlign w:val="center"/>
          </w:tcPr>
          <w:p w14:paraId="1B101B6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53F7753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611" w:type="pct"/>
            <w:vAlign w:val="center"/>
          </w:tcPr>
          <w:p w14:paraId="5758870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7A42409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611" w:type="pct"/>
            <w:vAlign w:val="center"/>
          </w:tcPr>
          <w:p w14:paraId="5AB58BA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01BC07A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0.70</w:t>
            </w:r>
          </w:p>
        </w:tc>
        <w:tc>
          <w:tcPr>
            <w:tcW w:w="716" w:type="pct"/>
            <w:vAlign w:val="center"/>
          </w:tcPr>
          <w:p w14:paraId="257E2DB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0B751D60" w14:textId="77777777" w:rsidTr="00A70F44">
        <w:tc>
          <w:tcPr>
            <w:tcW w:w="757" w:type="pct"/>
            <w:vAlign w:val="center"/>
          </w:tcPr>
          <w:p w14:paraId="7A88C726"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Madhya Pradesh</w:t>
            </w:r>
          </w:p>
        </w:tc>
        <w:tc>
          <w:tcPr>
            <w:tcW w:w="423" w:type="pct"/>
            <w:vAlign w:val="center"/>
          </w:tcPr>
          <w:p w14:paraId="6C4CE63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0.45</w:t>
            </w:r>
          </w:p>
        </w:tc>
        <w:tc>
          <w:tcPr>
            <w:tcW w:w="611" w:type="pct"/>
            <w:vAlign w:val="center"/>
          </w:tcPr>
          <w:p w14:paraId="5D292EC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0FF4CEA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0.54</w:t>
            </w:r>
          </w:p>
        </w:tc>
        <w:tc>
          <w:tcPr>
            <w:tcW w:w="611" w:type="pct"/>
            <w:vAlign w:val="center"/>
          </w:tcPr>
          <w:p w14:paraId="3DA7C8C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68CDA53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0.37</w:t>
            </w:r>
          </w:p>
        </w:tc>
        <w:tc>
          <w:tcPr>
            <w:tcW w:w="611" w:type="pct"/>
            <w:vAlign w:val="center"/>
          </w:tcPr>
          <w:p w14:paraId="34495BD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7D5648C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0.54</w:t>
            </w:r>
          </w:p>
        </w:tc>
        <w:tc>
          <w:tcPr>
            <w:tcW w:w="716" w:type="pct"/>
            <w:vAlign w:val="center"/>
          </w:tcPr>
          <w:p w14:paraId="7232370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644311F1" w14:textId="77777777" w:rsidTr="00A70F44">
        <w:tc>
          <w:tcPr>
            <w:tcW w:w="757" w:type="pct"/>
            <w:vAlign w:val="center"/>
          </w:tcPr>
          <w:p w14:paraId="26F490AB"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lastRenderedPageBreak/>
              <w:t>Maharashtra</w:t>
            </w:r>
          </w:p>
        </w:tc>
        <w:tc>
          <w:tcPr>
            <w:tcW w:w="423" w:type="pct"/>
            <w:vAlign w:val="center"/>
          </w:tcPr>
          <w:p w14:paraId="0F5EAAB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0.45</w:t>
            </w:r>
          </w:p>
        </w:tc>
        <w:tc>
          <w:tcPr>
            <w:tcW w:w="611" w:type="pct"/>
            <w:vAlign w:val="center"/>
          </w:tcPr>
          <w:p w14:paraId="3DC809F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E33409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0.62</w:t>
            </w:r>
          </w:p>
        </w:tc>
        <w:tc>
          <w:tcPr>
            <w:tcW w:w="611" w:type="pct"/>
            <w:vAlign w:val="center"/>
          </w:tcPr>
          <w:p w14:paraId="4F42B8DA"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4DBA59A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0.28</w:t>
            </w:r>
          </w:p>
        </w:tc>
        <w:tc>
          <w:tcPr>
            <w:tcW w:w="611" w:type="pct"/>
            <w:vAlign w:val="center"/>
          </w:tcPr>
          <w:p w14:paraId="010E99C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2DA0D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716" w:type="pct"/>
            <w:vAlign w:val="center"/>
          </w:tcPr>
          <w:p w14:paraId="7980FBA6"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2A6D1D47" w14:textId="77777777" w:rsidTr="00A70F44">
        <w:tc>
          <w:tcPr>
            <w:tcW w:w="757" w:type="pct"/>
            <w:vAlign w:val="center"/>
          </w:tcPr>
          <w:p w14:paraId="7C142BBB"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Odisha</w:t>
            </w:r>
          </w:p>
        </w:tc>
        <w:tc>
          <w:tcPr>
            <w:tcW w:w="423" w:type="pct"/>
            <w:vAlign w:val="center"/>
          </w:tcPr>
          <w:p w14:paraId="2CDE955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0.26</w:t>
            </w:r>
          </w:p>
        </w:tc>
        <w:tc>
          <w:tcPr>
            <w:tcW w:w="611" w:type="pct"/>
            <w:vAlign w:val="center"/>
          </w:tcPr>
          <w:p w14:paraId="72137CA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70A2C56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611" w:type="pct"/>
            <w:vAlign w:val="center"/>
          </w:tcPr>
          <w:p w14:paraId="2F7CB2A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5DDE723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0.20</w:t>
            </w:r>
          </w:p>
        </w:tc>
        <w:tc>
          <w:tcPr>
            <w:tcW w:w="611" w:type="pct"/>
            <w:vAlign w:val="center"/>
          </w:tcPr>
          <w:p w14:paraId="39D118CD"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5B1425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c>
          <w:tcPr>
            <w:tcW w:w="716" w:type="pct"/>
            <w:vAlign w:val="center"/>
          </w:tcPr>
          <w:p w14:paraId="1C4BFE7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02639389" w14:textId="77777777" w:rsidTr="00A70F44">
        <w:tc>
          <w:tcPr>
            <w:tcW w:w="757" w:type="pct"/>
            <w:vAlign w:val="center"/>
          </w:tcPr>
          <w:p w14:paraId="3708F9AC"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Punjab</w:t>
            </w:r>
          </w:p>
        </w:tc>
        <w:tc>
          <w:tcPr>
            <w:tcW w:w="423" w:type="pct"/>
            <w:vAlign w:val="center"/>
          </w:tcPr>
          <w:p w14:paraId="6E5EFCE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0.43</w:t>
            </w:r>
          </w:p>
        </w:tc>
        <w:tc>
          <w:tcPr>
            <w:tcW w:w="611" w:type="pct"/>
            <w:vAlign w:val="center"/>
          </w:tcPr>
          <w:p w14:paraId="4D18CCF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B7CB9A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0.17</w:t>
            </w:r>
          </w:p>
        </w:tc>
        <w:tc>
          <w:tcPr>
            <w:tcW w:w="611" w:type="pct"/>
            <w:vAlign w:val="center"/>
          </w:tcPr>
          <w:p w14:paraId="0AEC5C1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96DA2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3E3C735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3021DB0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0.42</w:t>
            </w:r>
          </w:p>
        </w:tc>
        <w:tc>
          <w:tcPr>
            <w:tcW w:w="716" w:type="pct"/>
            <w:vAlign w:val="center"/>
          </w:tcPr>
          <w:p w14:paraId="1DDB5549"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42E85709" w14:textId="77777777" w:rsidTr="00A70F44">
        <w:tc>
          <w:tcPr>
            <w:tcW w:w="757" w:type="pct"/>
            <w:vAlign w:val="center"/>
          </w:tcPr>
          <w:p w14:paraId="411FA338"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Rajasthan</w:t>
            </w:r>
          </w:p>
        </w:tc>
        <w:tc>
          <w:tcPr>
            <w:tcW w:w="423" w:type="pct"/>
            <w:vAlign w:val="center"/>
          </w:tcPr>
          <w:p w14:paraId="75C57AE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0.55</w:t>
            </w:r>
          </w:p>
        </w:tc>
        <w:tc>
          <w:tcPr>
            <w:tcW w:w="611" w:type="pct"/>
            <w:vAlign w:val="center"/>
          </w:tcPr>
          <w:p w14:paraId="3407EAE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2ECC29D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0.34</w:t>
            </w:r>
          </w:p>
        </w:tc>
        <w:tc>
          <w:tcPr>
            <w:tcW w:w="611" w:type="pct"/>
            <w:vAlign w:val="center"/>
          </w:tcPr>
          <w:p w14:paraId="696DE93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38996B4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70B468E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5428C93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0.52</w:t>
            </w:r>
          </w:p>
        </w:tc>
        <w:tc>
          <w:tcPr>
            <w:tcW w:w="716" w:type="pct"/>
            <w:vAlign w:val="center"/>
          </w:tcPr>
          <w:p w14:paraId="3BBC53D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4F4C1AA7" w14:textId="77777777" w:rsidTr="00A70F44">
        <w:tc>
          <w:tcPr>
            <w:tcW w:w="757" w:type="pct"/>
            <w:vAlign w:val="center"/>
          </w:tcPr>
          <w:p w14:paraId="665FD380"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Tamil Nadu</w:t>
            </w:r>
          </w:p>
        </w:tc>
        <w:tc>
          <w:tcPr>
            <w:tcW w:w="423" w:type="pct"/>
            <w:vAlign w:val="center"/>
          </w:tcPr>
          <w:p w14:paraId="0541D08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0.84</w:t>
            </w:r>
          </w:p>
        </w:tc>
        <w:tc>
          <w:tcPr>
            <w:tcW w:w="611" w:type="pct"/>
            <w:vAlign w:val="center"/>
          </w:tcPr>
          <w:p w14:paraId="48E9D4F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4D9CB0B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0.55</w:t>
            </w:r>
          </w:p>
        </w:tc>
        <w:tc>
          <w:tcPr>
            <w:tcW w:w="611" w:type="pct"/>
            <w:vAlign w:val="center"/>
          </w:tcPr>
          <w:p w14:paraId="0F356A2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0F35263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0.26</w:t>
            </w:r>
          </w:p>
        </w:tc>
        <w:tc>
          <w:tcPr>
            <w:tcW w:w="611" w:type="pct"/>
            <w:vAlign w:val="center"/>
          </w:tcPr>
          <w:p w14:paraId="0506F41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76CF5C2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716" w:type="pct"/>
            <w:vAlign w:val="center"/>
          </w:tcPr>
          <w:p w14:paraId="0C0FA57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186DD645" w14:textId="77777777" w:rsidTr="00A70F44">
        <w:tc>
          <w:tcPr>
            <w:tcW w:w="757" w:type="pct"/>
            <w:vAlign w:val="center"/>
          </w:tcPr>
          <w:p w14:paraId="35A750A2"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Uttar Pradesh</w:t>
            </w:r>
          </w:p>
        </w:tc>
        <w:tc>
          <w:tcPr>
            <w:tcW w:w="423" w:type="pct"/>
            <w:vAlign w:val="center"/>
          </w:tcPr>
          <w:p w14:paraId="6ECD3A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0.46</w:t>
            </w:r>
          </w:p>
        </w:tc>
        <w:tc>
          <w:tcPr>
            <w:tcW w:w="611" w:type="pct"/>
            <w:vAlign w:val="center"/>
          </w:tcPr>
          <w:p w14:paraId="523BF7A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6199931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611" w:type="pct"/>
            <w:vAlign w:val="center"/>
          </w:tcPr>
          <w:p w14:paraId="5BABF09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6E3A46B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4CB6F31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21982CF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716" w:type="pct"/>
            <w:vAlign w:val="center"/>
          </w:tcPr>
          <w:p w14:paraId="6602E73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42825EFF" w14:textId="77777777" w:rsidTr="00A70F44">
        <w:tc>
          <w:tcPr>
            <w:tcW w:w="757" w:type="pct"/>
            <w:vAlign w:val="center"/>
          </w:tcPr>
          <w:p w14:paraId="48C1D701"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Uttarakhand</w:t>
            </w:r>
          </w:p>
        </w:tc>
        <w:tc>
          <w:tcPr>
            <w:tcW w:w="423" w:type="pct"/>
            <w:vAlign w:val="center"/>
          </w:tcPr>
          <w:p w14:paraId="4F62153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0.36</w:t>
            </w:r>
          </w:p>
        </w:tc>
        <w:tc>
          <w:tcPr>
            <w:tcW w:w="611" w:type="pct"/>
            <w:vAlign w:val="center"/>
          </w:tcPr>
          <w:p w14:paraId="00D475E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71BC357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0.67</w:t>
            </w:r>
          </w:p>
        </w:tc>
        <w:tc>
          <w:tcPr>
            <w:tcW w:w="611" w:type="pct"/>
            <w:vAlign w:val="center"/>
          </w:tcPr>
          <w:p w14:paraId="5C5B5365"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69B2E2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0.28</w:t>
            </w:r>
          </w:p>
        </w:tc>
        <w:tc>
          <w:tcPr>
            <w:tcW w:w="611" w:type="pct"/>
            <w:vAlign w:val="center"/>
          </w:tcPr>
          <w:p w14:paraId="7A4717B6"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1465972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716" w:type="pct"/>
            <w:vAlign w:val="center"/>
          </w:tcPr>
          <w:p w14:paraId="1863AA20"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1E5365F4" w14:textId="77777777" w:rsidTr="00A70F44">
        <w:tc>
          <w:tcPr>
            <w:tcW w:w="757" w:type="pct"/>
            <w:vAlign w:val="center"/>
          </w:tcPr>
          <w:p w14:paraId="1E834085"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West Bengal</w:t>
            </w:r>
          </w:p>
        </w:tc>
        <w:tc>
          <w:tcPr>
            <w:tcW w:w="423" w:type="pct"/>
            <w:vAlign w:val="center"/>
          </w:tcPr>
          <w:p w14:paraId="2C4EE6A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0.42</w:t>
            </w:r>
          </w:p>
        </w:tc>
        <w:tc>
          <w:tcPr>
            <w:tcW w:w="611" w:type="pct"/>
            <w:vAlign w:val="center"/>
          </w:tcPr>
          <w:p w14:paraId="69F3D20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9CC972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0.70</w:t>
            </w:r>
          </w:p>
        </w:tc>
        <w:tc>
          <w:tcPr>
            <w:tcW w:w="611" w:type="pct"/>
            <w:vAlign w:val="center"/>
          </w:tcPr>
          <w:p w14:paraId="48CF99B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5F4A016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0.52</w:t>
            </w:r>
          </w:p>
        </w:tc>
        <w:tc>
          <w:tcPr>
            <w:tcW w:w="611" w:type="pct"/>
            <w:vAlign w:val="center"/>
          </w:tcPr>
          <w:p w14:paraId="35250ED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69B7CF1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0.53</w:t>
            </w:r>
          </w:p>
        </w:tc>
        <w:tc>
          <w:tcPr>
            <w:tcW w:w="716" w:type="pct"/>
            <w:vAlign w:val="center"/>
          </w:tcPr>
          <w:p w14:paraId="4B91400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15DEC8DC" w14:textId="77777777" w:rsidTr="00A70F44">
        <w:tc>
          <w:tcPr>
            <w:tcW w:w="757" w:type="pct"/>
            <w:vAlign w:val="center"/>
          </w:tcPr>
          <w:p w14:paraId="007B07B4"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Mean</w:t>
            </w:r>
          </w:p>
        </w:tc>
        <w:tc>
          <w:tcPr>
            <w:tcW w:w="1034" w:type="pct"/>
            <w:gridSpan w:val="2"/>
            <w:vAlign w:val="center"/>
          </w:tcPr>
          <w:p w14:paraId="0AE3318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0.50</w:t>
            </w:r>
          </w:p>
        </w:tc>
        <w:tc>
          <w:tcPr>
            <w:tcW w:w="1035" w:type="pct"/>
            <w:gridSpan w:val="2"/>
            <w:vAlign w:val="center"/>
          </w:tcPr>
          <w:p w14:paraId="48EEBC5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1035" w:type="pct"/>
            <w:gridSpan w:val="2"/>
            <w:vAlign w:val="center"/>
          </w:tcPr>
          <w:p w14:paraId="09BB32F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1140" w:type="pct"/>
            <w:gridSpan w:val="2"/>
            <w:vAlign w:val="center"/>
          </w:tcPr>
          <w:p w14:paraId="6D9F5DC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r>
      <w:tr w:rsidR="00D54A24" w:rsidRPr="00D54A24" w14:paraId="5A3297C8" w14:textId="77777777" w:rsidTr="00A70F44">
        <w:tc>
          <w:tcPr>
            <w:tcW w:w="757" w:type="pct"/>
            <w:tcBorders>
              <w:bottom w:val="single" w:sz="4" w:space="0" w:color="auto"/>
            </w:tcBorders>
            <w:vAlign w:val="center"/>
          </w:tcPr>
          <w:p w14:paraId="1ECC60BD"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SD</w:t>
            </w:r>
          </w:p>
        </w:tc>
        <w:tc>
          <w:tcPr>
            <w:tcW w:w="1034" w:type="pct"/>
            <w:gridSpan w:val="2"/>
            <w:tcBorders>
              <w:bottom w:val="single" w:sz="4" w:space="0" w:color="auto"/>
            </w:tcBorders>
            <w:vAlign w:val="center"/>
          </w:tcPr>
          <w:p w14:paraId="21A7EAB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0.15</w:t>
            </w:r>
          </w:p>
        </w:tc>
        <w:tc>
          <w:tcPr>
            <w:tcW w:w="1035" w:type="pct"/>
            <w:gridSpan w:val="2"/>
            <w:tcBorders>
              <w:bottom w:val="single" w:sz="4" w:space="0" w:color="auto"/>
            </w:tcBorders>
            <w:vAlign w:val="center"/>
          </w:tcPr>
          <w:p w14:paraId="41E3F67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0.15</w:t>
            </w:r>
          </w:p>
        </w:tc>
        <w:tc>
          <w:tcPr>
            <w:tcW w:w="1035" w:type="pct"/>
            <w:gridSpan w:val="2"/>
            <w:tcBorders>
              <w:bottom w:val="single" w:sz="4" w:space="0" w:color="auto"/>
            </w:tcBorders>
            <w:vAlign w:val="center"/>
          </w:tcPr>
          <w:p w14:paraId="617450A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0.08</w:t>
            </w:r>
          </w:p>
        </w:tc>
        <w:tc>
          <w:tcPr>
            <w:tcW w:w="1140" w:type="pct"/>
            <w:gridSpan w:val="2"/>
            <w:tcBorders>
              <w:bottom w:val="single" w:sz="4" w:space="0" w:color="auto"/>
            </w:tcBorders>
            <w:vAlign w:val="center"/>
          </w:tcPr>
          <w:p w14:paraId="46482EA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0.08</w:t>
            </w:r>
          </w:p>
        </w:tc>
      </w:tr>
    </w:tbl>
    <w:p w14:paraId="3761C3BD" w14:textId="6FA49B90" w:rsidR="00863BD3" w:rsidRDefault="003922DD" w:rsidP="00E30792">
      <w:pPr>
        <w:pStyle w:val="BodyText3"/>
        <w:tabs>
          <w:tab w:val="left" w:pos="1080"/>
        </w:tabs>
        <w:spacing w:after="240"/>
        <w:ind w:left="1077" w:hanging="1077"/>
        <w:jc w:val="both"/>
        <w:rPr>
          <w:rFonts w:ascii="Arial" w:hAnsi="Arial"/>
          <w:b/>
          <w:sz w:val="20"/>
          <w:szCs w:val="20"/>
        </w:rPr>
      </w:pPr>
      <w:r>
        <w:rPr>
          <w:rFonts w:ascii="Arial" w:hAnsi="Arial"/>
          <w:bCs/>
          <w:i/>
          <w:sz w:val="18"/>
        </w:rPr>
        <w:t>Note:</w:t>
      </w:r>
      <w:r w:rsidR="00BF54C8" w:rsidRPr="00BF54C8">
        <w:t xml:space="preserve"> </w:t>
      </w:r>
      <w:r w:rsidR="00BF54C8" w:rsidRPr="00BF54C8">
        <w:rPr>
          <w:rFonts w:ascii="Arial" w:hAnsi="Arial"/>
          <w:bCs/>
          <w:i/>
          <w:sz w:val="18"/>
        </w:rPr>
        <w:t>H=High, M=Moderate and L=Low</w:t>
      </w:r>
    </w:p>
    <w:p w14:paraId="5AC10ECF" w14:textId="0FF770C1" w:rsidR="00E30792" w:rsidRDefault="00E30792" w:rsidP="00441B6F">
      <w:pPr>
        <w:pStyle w:val="Body"/>
        <w:spacing w:after="0"/>
        <w:rPr>
          <w:rFonts w:ascii="Arial" w:hAnsi="Arial" w:cs="Arial"/>
        </w:rPr>
      </w:pPr>
      <w:r w:rsidRPr="00FE5B13">
        <w:rPr>
          <w:rFonts w:ascii="Times New Roman" w:hAnsi="Times New Roman"/>
          <w:noProof/>
          <w:sz w:val="24"/>
          <w:szCs w:val="24"/>
        </w:rPr>
        <w:drawing>
          <wp:inline distT="0" distB="0" distL="0" distR="0" wp14:anchorId="22AD513D" wp14:editId="412DF74C">
            <wp:extent cx="5212080" cy="2869833"/>
            <wp:effectExtent l="0" t="0" r="0" b="0"/>
            <wp:docPr id="195520383" name="Chart 1">
              <a:extLst xmlns:a="http://schemas.openxmlformats.org/drawingml/2006/main">
                <a:ext uri="{FF2B5EF4-FFF2-40B4-BE49-F238E27FC236}">
                  <a16:creationId xmlns:a16="http://schemas.microsoft.com/office/drawing/2014/main" id="{417E8BB3-A38D-3F08-AA8E-243B82A7F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15EC79" w14:textId="77777777" w:rsidR="00BB205E" w:rsidRPr="00BB205E" w:rsidRDefault="00BB205E" w:rsidP="00BB205E">
      <w:pPr>
        <w:pStyle w:val="Body"/>
        <w:jc w:val="center"/>
        <w:rPr>
          <w:rFonts w:ascii="Arial" w:hAnsi="Arial" w:cs="Arial"/>
          <w:b/>
          <w:bCs/>
        </w:rPr>
      </w:pPr>
      <w:r w:rsidRPr="00BB205E">
        <w:rPr>
          <w:rFonts w:ascii="Arial" w:hAnsi="Arial" w:cs="Arial"/>
          <w:b/>
          <w:bCs/>
        </w:rPr>
        <w:t>Fig. 2 Radar pictorial of exposure, sensitivity and adaptive capacity indices</w:t>
      </w:r>
    </w:p>
    <w:p w14:paraId="721DC9A0" w14:textId="0BF100A8" w:rsidR="00BB205E" w:rsidRPr="00BB205E" w:rsidRDefault="00BB205E" w:rsidP="00BB205E">
      <w:pPr>
        <w:pStyle w:val="Body"/>
        <w:rPr>
          <w:rFonts w:ascii="Arial" w:hAnsi="Arial" w:cs="Arial"/>
        </w:rPr>
      </w:pPr>
      <w:r w:rsidRPr="00BB205E">
        <w:rPr>
          <w:rFonts w:ascii="Arial" w:hAnsi="Arial" w:cs="Arial"/>
        </w:rPr>
        <w:t xml:space="preserve">The inter-index values of exposure, sensitivity and adaptive capacity revealed substantial variations, as depicted in </w:t>
      </w:r>
      <w:r w:rsidR="00F226C2">
        <w:rPr>
          <w:rFonts w:ascii="Arial" w:hAnsi="Arial" w:cs="Arial"/>
        </w:rPr>
        <w:t>Fig.</w:t>
      </w:r>
      <w:r w:rsidRPr="00BB205E">
        <w:rPr>
          <w:rFonts w:ascii="Arial" w:hAnsi="Arial" w:cs="Arial"/>
        </w:rPr>
        <w:t xml:space="preserve"> </w:t>
      </w:r>
      <w:r w:rsidR="00392EE0">
        <w:rPr>
          <w:rFonts w:ascii="Arial" w:hAnsi="Arial" w:cs="Arial"/>
        </w:rPr>
        <w:t>2</w:t>
      </w:r>
      <w:r w:rsidRPr="00BB205E">
        <w:rPr>
          <w:rFonts w:ascii="Arial" w:hAnsi="Arial" w:cs="Arial"/>
        </w:rPr>
        <w:t>. Across all states, the sensitivity index exceeded both exposure and adaptive capacity, with the exception of Andhra Pradesh, Haryana, Karnataka, Punjab, Rajasthan</w:t>
      </w:r>
      <w:r w:rsidR="006B3D2C">
        <w:rPr>
          <w:rFonts w:ascii="Arial" w:hAnsi="Arial" w:cs="Arial"/>
        </w:rPr>
        <w:t xml:space="preserve"> and</w:t>
      </w:r>
      <w:r w:rsidRPr="00BB205E">
        <w:rPr>
          <w:rFonts w:ascii="Arial" w:hAnsi="Arial" w:cs="Arial"/>
        </w:rPr>
        <w:t xml:space="preserve"> Tamil Nadu. In these six states, exposure to climate vulnerability surpassed the other two dimensions. States such as Himachal Pradesh and West Bengal exhibited higher adaptive capacity than exposure but lower sensitivity. Conversely, Punjab demonstrated higher adaptive capacity than sensitivity with lower exposure to climate. Notably, among exposure, sensitivity and adaptive capacity to climate, none of the states registered a higher index with respect to adaptive capacity. In all states, either sensitivity or exposure held the highest position. The analysis of inter-index comparison revealed a consistent trend across all states, indicating lower adaptive capacity coupled with higher sensitivity and exposure. This collective pattern implies that the selected states are more susceptible to climate-related challenges, emphasizing the need for targeted interventions and adaptive strategies to enhance resilience in the face of climate vulnerabilities.</w:t>
      </w:r>
    </w:p>
    <w:p w14:paraId="7BCD0000" w14:textId="77777777" w:rsidR="00BB205E" w:rsidRPr="00BB205E" w:rsidRDefault="00BB205E" w:rsidP="00BB205E">
      <w:pPr>
        <w:pStyle w:val="Body"/>
        <w:rPr>
          <w:rFonts w:ascii="Arial" w:hAnsi="Arial" w:cs="Arial"/>
        </w:rPr>
      </w:pPr>
      <w:r w:rsidRPr="00BB205E">
        <w:rPr>
          <w:rFonts w:ascii="Arial" w:hAnsi="Arial" w:cs="Arial"/>
        </w:rPr>
        <w:t xml:space="preserve">The highest potential impact (sum of exposure and sensitivity) was observed in Kerala (1.41), followed by Tamil Nadu (1.40), Karnataka and Bihar (1.32). It indicated that, these </w:t>
      </w:r>
      <w:r w:rsidRPr="00BB205E">
        <w:rPr>
          <w:rFonts w:ascii="Arial" w:hAnsi="Arial" w:cs="Arial"/>
        </w:rPr>
        <w:lastRenderedPageBreak/>
        <w:t>states are coming under the most effected by climate change. The highly vulnerable states, Kerala ranked the highest due to its third-highest sensitivity index (0.71) and third-highest exposure index (0.70), resulting in the highest potential impact (0.71 + 0.70 = 1.41) alongside a moderate adaptive capacity (0.32). This is attributed to the highest exposure weightage for the variable trend in kharif maximum temperature (4.16), followed by trends in summer maximum temperature (4.08) and kharif precipitation (4.01). For the sensitivity indicator in Kerala, the variable stage of ground water extraction influenced the index with a weight of 3.71 points, followed by the share of small &amp; marginal farmers to total farmers (3.57) and average farm size (3.37).</w:t>
      </w:r>
    </w:p>
    <w:p w14:paraId="0285EA07" w14:textId="77777777" w:rsidR="00BB205E" w:rsidRPr="00F226C2" w:rsidRDefault="00BB205E" w:rsidP="00BB205E">
      <w:pPr>
        <w:pStyle w:val="Body"/>
        <w:rPr>
          <w:rFonts w:ascii="Arial" w:hAnsi="Arial" w:cs="Arial"/>
          <w:b/>
          <w:bCs/>
        </w:rPr>
      </w:pPr>
      <w:r w:rsidRPr="00F226C2">
        <w:rPr>
          <w:rFonts w:ascii="Arial" w:hAnsi="Arial" w:cs="Arial"/>
          <w:b/>
          <w:bCs/>
        </w:rPr>
        <w:t>Mapping of states</w:t>
      </w:r>
    </w:p>
    <w:p w14:paraId="1149A472" w14:textId="544A74F6" w:rsidR="00E30792" w:rsidRDefault="00BB205E" w:rsidP="00BB205E">
      <w:pPr>
        <w:pStyle w:val="Body"/>
        <w:spacing w:after="0"/>
        <w:rPr>
          <w:rFonts w:ascii="Arial" w:hAnsi="Arial" w:cs="Arial"/>
        </w:rPr>
      </w:pPr>
      <w:r w:rsidRPr="00BB205E">
        <w:rPr>
          <w:rFonts w:ascii="Arial" w:hAnsi="Arial" w:cs="Arial"/>
        </w:rPr>
        <w:t xml:space="preserve">Following the categorization of states as outlined in Table </w:t>
      </w:r>
      <w:r w:rsidR="004B0678">
        <w:rPr>
          <w:rFonts w:ascii="Arial" w:hAnsi="Arial" w:cs="Arial"/>
        </w:rPr>
        <w:t>3</w:t>
      </w:r>
      <w:r w:rsidRPr="00BB205E">
        <w:rPr>
          <w:rFonts w:ascii="Arial" w:hAnsi="Arial" w:cs="Arial"/>
        </w:rPr>
        <w:t xml:space="preserve">, climate vulnerability mapping was conducted for different states accordingly, as depicted in </w:t>
      </w:r>
      <w:r w:rsidR="007C2B25">
        <w:rPr>
          <w:rFonts w:ascii="Arial" w:hAnsi="Arial" w:cs="Arial"/>
        </w:rPr>
        <w:t>Fig.</w:t>
      </w:r>
      <w:r w:rsidRPr="00BB205E">
        <w:rPr>
          <w:rFonts w:ascii="Arial" w:hAnsi="Arial" w:cs="Arial"/>
        </w:rPr>
        <w:t xml:space="preserve"> </w:t>
      </w:r>
      <w:r w:rsidR="002E10FE">
        <w:rPr>
          <w:rFonts w:ascii="Arial" w:hAnsi="Arial" w:cs="Arial"/>
        </w:rPr>
        <w:t>3</w:t>
      </w:r>
      <w:r w:rsidRPr="00BB205E">
        <w:rPr>
          <w:rFonts w:ascii="Arial" w:hAnsi="Arial" w:cs="Arial"/>
        </w:rPr>
        <w:t>.</w:t>
      </w:r>
    </w:p>
    <w:p w14:paraId="2C9BF365" w14:textId="77777777" w:rsidR="00E30792" w:rsidRDefault="00E30792" w:rsidP="00441B6F">
      <w:pPr>
        <w:pStyle w:val="Body"/>
        <w:spacing w:after="0"/>
        <w:rPr>
          <w:rFonts w:ascii="Arial" w:hAnsi="Arial" w:cs="Arial"/>
        </w:rPr>
      </w:pPr>
    </w:p>
    <w:p w14:paraId="19C354E0" w14:textId="489117A3" w:rsidR="008B4686" w:rsidRDefault="008B4686" w:rsidP="000F6641">
      <w:pPr>
        <w:tabs>
          <w:tab w:val="left" w:pos="1080"/>
        </w:tabs>
        <w:spacing w:after="240"/>
        <w:jc w:val="both"/>
        <w:rPr>
          <w:rFonts w:ascii="Arial" w:hAnsi="Arial"/>
          <w:b/>
        </w:rPr>
      </w:pPr>
      <w:r>
        <w:rPr>
          <w:rFonts w:ascii="Arial" w:hAnsi="Arial"/>
          <w:b/>
        </w:rPr>
        <w:t>Table 3.</w:t>
      </w:r>
      <w:r w:rsidRPr="00DC3180">
        <w:rPr>
          <w:rFonts w:ascii="Arial" w:hAnsi="Arial"/>
          <w:b/>
        </w:rPr>
        <w:tab/>
      </w:r>
      <w:r w:rsidRPr="00827696">
        <w:rPr>
          <w:rFonts w:ascii="Arial" w:hAnsi="Arial"/>
          <w:b/>
        </w:rPr>
        <w:t xml:space="preserve">Identification of suitable indicators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1870"/>
        <w:gridCol w:w="2145"/>
        <w:gridCol w:w="1938"/>
      </w:tblGrid>
      <w:tr w:rsidR="008B4686" w:rsidRPr="008B4686" w14:paraId="550A9451" w14:textId="77777777" w:rsidTr="008B4686">
        <w:tc>
          <w:tcPr>
            <w:tcW w:w="1467" w:type="pct"/>
            <w:vMerge w:val="restart"/>
            <w:tcBorders>
              <w:top w:val="single" w:sz="4" w:space="0" w:color="auto"/>
            </w:tcBorders>
            <w:vAlign w:val="center"/>
          </w:tcPr>
          <w:p w14:paraId="71D1D90D"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Agro-climatic zone</w:t>
            </w:r>
          </w:p>
        </w:tc>
        <w:tc>
          <w:tcPr>
            <w:tcW w:w="3533" w:type="pct"/>
            <w:gridSpan w:val="3"/>
            <w:tcBorders>
              <w:top w:val="single" w:sz="4" w:space="0" w:color="auto"/>
              <w:bottom w:val="single" w:sz="4" w:space="0" w:color="auto"/>
            </w:tcBorders>
            <w:vAlign w:val="center"/>
          </w:tcPr>
          <w:p w14:paraId="1A80AA1B"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Categories of climate vulnerability</w:t>
            </w:r>
          </w:p>
        </w:tc>
      </w:tr>
      <w:tr w:rsidR="008B4686" w:rsidRPr="008B4686" w14:paraId="0D1BA3E7" w14:textId="77777777" w:rsidTr="008B4686">
        <w:tc>
          <w:tcPr>
            <w:tcW w:w="1467" w:type="pct"/>
            <w:vMerge/>
            <w:tcBorders>
              <w:bottom w:val="single" w:sz="4" w:space="0" w:color="auto"/>
            </w:tcBorders>
            <w:vAlign w:val="center"/>
          </w:tcPr>
          <w:p w14:paraId="11E8BE59" w14:textId="77777777" w:rsidR="008B4686" w:rsidRPr="008B4686" w:rsidRDefault="008B4686" w:rsidP="00A70F44">
            <w:pPr>
              <w:spacing w:line="276" w:lineRule="auto"/>
              <w:jc w:val="center"/>
              <w:rPr>
                <w:rFonts w:ascii="Arial" w:hAnsi="Arial" w:cs="Arial"/>
                <w:b/>
                <w:bCs/>
                <w:sz w:val="20"/>
                <w:szCs w:val="20"/>
              </w:rPr>
            </w:pPr>
          </w:p>
        </w:tc>
        <w:tc>
          <w:tcPr>
            <w:tcW w:w="1110" w:type="pct"/>
            <w:tcBorders>
              <w:top w:val="single" w:sz="4" w:space="0" w:color="auto"/>
              <w:bottom w:val="single" w:sz="4" w:space="0" w:color="auto"/>
            </w:tcBorders>
            <w:vAlign w:val="center"/>
          </w:tcPr>
          <w:p w14:paraId="28DB046C"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High</w:t>
            </w:r>
          </w:p>
        </w:tc>
        <w:tc>
          <w:tcPr>
            <w:tcW w:w="1273" w:type="pct"/>
            <w:tcBorders>
              <w:top w:val="single" w:sz="4" w:space="0" w:color="auto"/>
              <w:bottom w:val="single" w:sz="4" w:space="0" w:color="auto"/>
            </w:tcBorders>
            <w:vAlign w:val="center"/>
          </w:tcPr>
          <w:p w14:paraId="75455D87"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Moderate</w:t>
            </w:r>
          </w:p>
        </w:tc>
        <w:tc>
          <w:tcPr>
            <w:tcW w:w="1150" w:type="pct"/>
            <w:tcBorders>
              <w:top w:val="single" w:sz="4" w:space="0" w:color="auto"/>
              <w:bottom w:val="single" w:sz="4" w:space="0" w:color="auto"/>
            </w:tcBorders>
            <w:vAlign w:val="center"/>
          </w:tcPr>
          <w:p w14:paraId="0121EA06"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Low</w:t>
            </w:r>
          </w:p>
        </w:tc>
      </w:tr>
      <w:tr w:rsidR="008B4686" w:rsidRPr="008B4686" w14:paraId="3606E535" w14:textId="77777777" w:rsidTr="008B4686">
        <w:tc>
          <w:tcPr>
            <w:tcW w:w="1467" w:type="pct"/>
            <w:tcBorders>
              <w:top w:val="single" w:sz="4" w:space="0" w:color="auto"/>
            </w:tcBorders>
            <w:vAlign w:val="center"/>
          </w:tcPr>
          <w:p w14:paraId="786B7F7A" w14:textId="77777777" w:rsidR="008B4686" w:rsidRPr="008B4686" w:rsidRDefault="008B4686" w:rsidP="00A70F44">
            <w:pPr>
              <w:spacing w:line="276" w:lineRule="auto"/>
              <w:jc w:val="both"/>
              <w:rPr>
                <w:rFonts w:ascii="Arial" w:hAnsi="Arial" w:cs="Arial"/>
                <w:b/>
                <w:bCs/>
                <w:sz w:val="20"/>
                <w:szCs w:val="20"/>
              </w:rPr>
            </w:pPr>
            <w:bookmarkStart w:id="0" w:name="_Hlk151459590"/>
            <w:r w:rsidRPr="008B4686">
              <w:rPr>
                <w:rFonts w:ascii="Arial" w:hAnsi="Arial" w:cs="Arial"/>
                <w:color w:val="000000"/>
                <w:sz w:val="20"/>
                <w:szCs w:val="20"/>
              </w:rPr>
              <w:t xml:space="preserve">Central plateau and hills </w:t>
            </w:r>
          </w:p>
        </w:tc>
        <w:tc>
          <w:tcPr>
            <w:tcW w:w="1110" w:type="pct"/>
            <w:tcBorders>
              <w:top w:val="single" w:sz="4" w:space="0" w:color="auto"/>
            </w:tcBorders>
            <w:vAlign w:val="center"/>
          </w:tcPr>
          <w:p w14:paraId="4F06574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tcBorders>
              <w:top w:val="single" w:sz="4" w:space="0" w:color="auto"/>
            </w:tcBorders>
            <w:vAlign w:val="center"/>
          </w:tcPr>
          <w:p w14:paraId="414E387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tcBorders>
              <w:top w:val="single" w:sz="4" w:space="0" w:color="auto"/>
            </w:tcBorders>
            <w:vAlign w:val="center"/>
          </w:tcPr>
          <w:p w14:paraId="70D853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 Rajasthan</w:t>
            </w:r>
          </w:p>
        </w:tc>
      </w:tr>
      <w:tr w:rsidR="008B4686" w:rsidRPr="008B4686" w14:paraId="2072FE24" w14:textId="77777777" w:rsidTr="008B4686">
        <w:tc>
          <w:tcPr>
            <w:tcW w:w="1467" w:type="pct"/>
            <w:vAlign w:val="center"/>
          </w:tcPr>
          <w:p w14:paraId="4193E82A"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 coast plains and hills </w:t>
            </w:r>
          </w:p>
        </w:tc>
        <w:tc>
          <w:tcPr>
            <w:tcW w:w="1110" w:type="pct"/>
            <w:vAlign w:val="center"/>
          </w:tcPr>
          <w:p w14:paraId="623E58C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Andhra Pradesh, Tamil Nadu</w:t>
            </w:r>
          </w:p>
        </w:tc>
        <w:tc>
          <w:tcPr>
            <w:tcW w:w="1273" w:type="pct"/>
            <w:vAlign w:val="center"/>
          </w:tcPr>
          <w:p w14:paraId="0CE12CC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Odisha</w:t>
            </w:r>
          </w:p>
        </w:tc>
        <w:tc>
          <w:tcPr>
            <w:tcW w:w="1150" w:type="pct"/>
            <w:vAlign w:val="center"/>
          </w:tcPr>
          <w:p w14:paraId="3580922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7BFA9FD3" w14:textId="77777777" w:rsidTr="008B4686">
        <w:tc>
          <w:tcPr>
            <w:tcW w:w="1467" w:type="pct"/>
            <w:vAlign w:val="center"/>
          </w:tcPr>
          <w:p w14:paraId="768C721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Eastern Himalayan </w:t>
            </w:r>
          </w:p>
        </w:tc>
        <w:tc>
          <w:tcPr>
            <w:tcW w:w="1110" w:type="pct"/>
            <w:vAlign w:val="center"/>
          </w:tcPr>
          <w:p w14:paraId="05027D8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Assam</w:t>
            </w:r>
          </w:p>
        </w:tc>
        <w:tc>
          <w:tcPr>
            <w:tcW w:w="1273" w:type="pct"/>
            <w:vAlign w:val="center"/>
          </w:tcPr>
          <w:p w14:paraId="4B9595E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44A4A92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West Bengal</w:t>
            </w:r>
          </w:p>
        </w:tc>
      </w:tr>
      <w:tr w:rsidR="008B4686" w:rsidRPr="008B4686" w14:paraId="5B8DF504" w14:textId="77777777" w:rsidTr="008B4686">
        <w:tc>
          <w:tcPr>
            <w:tcW w:w="1467" w:type="pct"/>
            <w:vAlign w:val="center"/>
          </w:tcPr>
          <w:p w14:paraId="58D24D40"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Eastern plateau and hills </w:t>
            </w:r>
          </w:p>
        </w:tc>
        <w:tc>
          <w:tcPr>
            <w:tcW w:w="1110" w:type="pct"/>
            <w:vAlign w:val="center"/>
          </w:tcPr>
          <w:p w14:paraId="16EA63C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390350E4"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Chhattisgarh, Maharashtra, Odisha</w:t>
            </w:r>
          </w:p>
        </w:tc>
        <w:tc>
          <w:tcPr>
            <w:tcW w:w="1150" w:type="pct"/>
            <w:vAlign w:val="center"/>
          </w:tcPr>
          <w:p w14:paraId="4F43151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 West Bengal</w:t>
            </w:r>
          </w:p>
        </w:tc>
      </w:tr>
      <w:tr w:rsidR="008B4686" w:rsidRPr="008B4686" w14:paraId="2A0E319A" w14:textId="77777777" w:rsidTr="008B4686">
        <w:tc>
          <w:tcPr>
            <w:tcW w:w="1467" w:type="pct"/>
            <w:vAlign w:val="center"/>
          </w:tcPr>
          <w:p w14:paraId="6FFD817A"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Gujarat plains and hills </w:t>
            </w:r>
          </w:p>
        </w:tc>
        <w:tc>
          <w:tcPr>
            <w:tcW w:w="1110" w:type="pct"/>
            <w:vAlign w:val="center"/>
          </w:tcPr>
          <w:p w14:paraId="6B5D1C2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6E0E07A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Gujarat</w:t>
            </w:r>
          </w:p>
        </w:tc>
        <w:tc>
          <w:tcPr>
            <w:tcW w:w="1150" w:type="pct"/>
            <w:vAlign w:val="center"/>
          </w:tcPr>
          <w:p w14:paraId="2B48FC9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62FFC5" w14:textId="77777777" w:rsidTr="008B4686">
        <w:tc>
          <w:tcPr>
            <w:tcW w:w="1467" w:type="pct"/>
            <w:vAlign w:val="center"/>
          </w:tcPr>
          <w:p w14:paraId="7D919C23"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Island </w:t>
            </w:r>
          </w:p>
        </w:tc>
        <w:tc>
          <w:tcPr>
            <w:tcW w:w="1110" w:type="pct"/>
            <w:vAlign w:val="center"/>
          </w:tcPr>
          <w:p w14:paraId="561FD796"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E9E6C7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EB4A6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52C02910" w14:textId="77777777" w:rsidTr="008B4686">
        <w:tc>
          <w:tcPr>
            <w:tcW w:w="1467" w:type="pct"/>
            <w:vAlign w:val="center"/>
          </w:tcPr>
          <w:p w14:paraId="77FAE88D"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Lower Gangetic plain </w:t>
            </w:r>
          </w:p>
        </w:tc>
        <w:tc>
          <w:tcPr>
            <w:tcW w:w="1110" w:type="pct"/>
            <w:vAlign w:val="center"/>
          </w:tcPr>
          <w:p w14:paraId="6FB86E1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1638454"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1D851A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West Bengal</w:t>
            </w:r>
          </w:p>
        </w:tc>
      </w:tr>
      <w:tr w:rsidR="008B4686" w:rsidRPr="008B4686" w14:paraId="50821E84" w14:textId="77777777" w:rsidTr="008B4686">
        <w:tc>
          <w:tcPr>
            <w:tcW w:w="1467" w:type="pct"/>
            <w:vAlign w:val="center"/>
          </w:tcPr>
          <w:p w14:paraId="30F41EA9"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Middle Gangetic plain </w:t>
            </w:r>
          </w:p>
        </w:tc>
        <w:tc>
          <w:tcPr>
            <w:tcW w:w="1110" w:type="pct"/>
            <w:vAlign w:val="center"/>
          </w:tcPr>
          <w:p w14:paraId="2048F6B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Bihar</w:t>
            </w:r>
          </w:p>
        </w:tc>
        <w:tc>
          <w:tcPr>
            <w:tcW w:w="1273" w:type="pct"/>
            <w:vAlign w:val="center"/>
          </w:tcPr>
          <w:p w14:paraId="2A2C87B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vAlign w:val="center"/>
          </w:tcPr>
          <w:p w14:paraId="09605AA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15D47C30" w14:textId="77777777" w:rsidTr="008B4686">
        <w:tc>
          <w:tcPr>
            <w:tcW w:w="1467" w:type="pct"/>
            <w:vAlign w:val="center"/>
          </w:tcPr>
          <w:p w14:paraId="2AD99F19"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Southern plateau and hills </w:t>
            </w:r>
          </w:p>
        </w:tc>
        <w:tc>
          <w:tcPr>
            <w:tcW w:w="1110" w:type="pct"/>
            <w:vAlign w:val="center"/>
          </w:tcPr>
          <w:p w14:paraId="79B9403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Andhra Pradesh, Tamil Nadu, Karnataka</w:t>
            </w:r>
          </w:p>
        </w:tc>
        <w:tc>
          <w:tcPr>
            <w:tcW w:w="1273" w:type="pct"/>
            <w:vAlign w:val="center"/>
          </w:tcPr>
          <w:p w14:paraId="52E0AE4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1089E9A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F77285" w14:textId="77777777" w:rsidTr="008B4686">
        <w:tc>
          <w:tcPr>
            <w:tcW w:w="1467" w:type="pct"/>
            <w:vAlign w:val="center"/>
          </w:tcPr>
          <w:p w14:paraId="13AD07D8"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Trans Gangetic plain </w:t>
            </w:r>
          </w:p>
        </w:tc>
        <w:tc>
          <w:tcPr>
            <w:tcW w:w="1110" w:type="pct"/>
            <w:vAlign w:val="center"/>
          </w:tcPr>
          <w:p w14:paraId="7012AB1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73B092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4EDA9E4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Haryana, Punjab, Rajasthan</w:t>
            </w:r>
          </w:p>
        </w:tc>
      </w:tr>
      <w:tr w:rsidR="008B4686" w:rsidRPr="008B4686" w14:paraId="73F81090" w14:textId="77777777" w:rsidTr="008B4686">
        <w:tc>
          <w:tcPr>
            <w:tcW w:w="1467" w:type="pct"/>
            <w:vAlign w:val="center"/>
          </w:tcPr>
          <w:p w14:paraId="36F138E6"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Upper Gangetic plain </w:t>
            </w:r>
          </w:p>
        </w:tc>
        <w:tc>
          <w:tcPr>
            <w:tcW w:w="1110" w:type="pct"/>
            <w:vAlign w:val="center"/>
          </w:tcPr>
          <w:p w14:paraId="5F20AE9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03D5B07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vAlign w:val="center"/>
          </w:tcPr>
          <w:p w14:paraId="37DEA8A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00A97500" w14:textId="77777777" w:rsidTr="008B4686">
        <w:tc>
          <w:tcPr>
            <w:tcW w:w="1467" w:type="pct"/>
            <w:vAlign w:val="center"/>
          </w:tcPr>
          <w:p w14:paraId="0EA0499E"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 coast plains and ghat </w:t>
            </w:r>
          </w:p>
        </w:tc>
        <w:tc>
          <w:tcPr>
            <w:tcW w:w="1110" w:type="pct"/>
            <w:vAlign w:val="center"/>
          </w:tcPr>
          <w:p w14:paraId="3634FC0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Karnataka, Kerala, Tamil Nadu</w:t>
            </w:r>
          </w:p>
        </w:tc>
        <w:tc>
          <w:tcPr>
            <w:tcW w:w="1273" w:type="pct"/>
            <w:vAlign w:val="center"/>
          </w:tcPr>
          <w:p w14:paraId="29B66DC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Maharashtra</w:t>
            </w:r>
          </w:p>
        </w:tc>
        <w:tc>
          <w:tcPr>
            <w:tcW w:w="1150" w:type="pct"/>
            <w:vAlign w:val="center"/>
          </w:tcPr>
          <w:p w14:paraId="569DD96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E9BD9F" w14:textId="77777777" w:rsidTr="008B4686">
        <w:tc>
          <w:tcPr>
            <w:tcW w:w="1467" w:type="pct"/>
            <w:vAlign w:val="center"/>
          </w:tcPr>
          <w:p w14:paraId="7FFA1FC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dry </w:t>
            </w:r>
          </w:p>
        </w:tc>
        <w:tc>
          <w:tcPr>
            <w:tcW w:w="1110" w:type="pct"/>
            <w:vAlign w:val="center"/>
          </w:tcPr>
          <w:p w14:paraId="39A2A1B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2F21B46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B11C61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Rajasthan</w:t>
            </w:r>
          </w:p>
        </w:tc>
      </w:tr>
      <w:tr w:rsidR="008B4686" w:rsidRPr="008B4686" w14:paraId="7FA5F743" w14:textId="77777777" w:rsidTr="008B4686">
        <w:tc>
          <w:tcPr>
            <w:tcW w:w="1467" w:type="pct"/>
            <w:vAlign w:val="center"/>
          </w:tcPr>
          <w:p w14:paraId="291C3F00"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Himalayan </w:t>
            </w:r>
          </w:p>
        </w:tc>
        <w:tc>
          <w:tcPr>
            <w:tcW w:w="1110" w:type="pct"/>
            <w:vAlign w:val="center"/>
          </w:tcPr>
          <w:p w14:paraId="3BA9AC5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7745F23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Uttarakhand</w:t>
            </w:r>
          </w:p>
        </w:tc>
        <w:tc>
          <w:tcPr>
            <w:tcW w:w="1150" w:type="pct"/>
            <w:vAlign w:val="center"/>
          </w:tcPr>
          <w:p w14:paraId="516A8CB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Himachal Pradesh</w:t>
            </w:r>
          </w:p>
        </w:tc>
      </w:tr>
      <w:tr w:rsidR="008B4686" w:rsidRPr="008B4686" w14:paraId="336FB706" w14:textId="77777777" w:rsidTr="008B4686">
        <w:tc>
          <w:tcPr>
            <w:tcW w:w="1467" w:type="pct"/>
            <w:tcBorders>
              <w:bottom w:val="single" w:sz="4" w:space="0" w:color="auto"/>
            </w:tcBorders>
            <w:vAlign w:val="center"/>
          </w:tcPr>
          <w:p w14:paraId="1D0BC5E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plateau and hills </w:t>
            </w:r>
          </w:p>
        </w:tc>
        <w:tc>
          <w:tcPr>
            <w:tcW w:w="1110" w:type="pct"/>
            <w:tcBorders>
              <w:bottom w:val="single" w:sz="4" w:space="0" w:color="auto"/>
            </w:tcBorders>
            <w:vAlign w:val="center"/>
          </w:tcPr>
          <w:p w14:paraId="67B4968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tcBorders>
              <w:bottom w:val="single" w:sz="4" w:space="0" w:color="auto"/>
            </w:tcBorders>
            <w:vAlign w:val="center"/>
          </w:tcPr>
          <w:p w14:paraId="15FF57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Maharashtra</w:t>
            </w:r>
          </w:p>
        </w:tc>
        <w:tc>
          <w:tcPr>
            <w:tcW w:w="1150" w:type="pct"/>
            <w:tcBorders>
              <w:bottom w:val="single" w:sz="4" w:space="0" w:color="auto"/>
            </w:tcBorders>
            <w:vAlign w:val="center"/>
          </w:tcPr>
          <w:p w14:paraId="7FCB4053"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w:t>
            </w:r>
          </w:p>
        </w:tc>
      </w:tr>
    </w:tbl>
    <w:bookmarkEnd w:id="0"/>
    <w:p w14:paraId="4EEA3D3E" w14:textId="47AFB6A0" w:rsidR="00E30792" w:rsidRDefault="000F6641" w:rsidP="009432B6">
      <w:pPr>
        <w:pStyle w:val="Body"/>
        <w:rPr>
          <w:rFonts w:ascii="Arial" w:hAnsi="Arial" w:cs="Arial"/>
        </w:rPr>
      </w:pPr>
      <w:r w:rsidRPr="000F6641">
        <w:rPr>
          <w:rFonts w:ascii="Arial" w:hAnsi="Arial"/>
          <w:bCs/>
          <w:i/>
          <w:sz w:val="18"/>
          <w:szCs w:val="16"/>
        </w:rPr>
        <w:t>Note: Arunachal Pradesh, Delhi, Goa, Jharkhand, Manipur, Meghalaya, Mizoram, Nagaland, Sikkim, Tripura and Telangana are omitted due to lack of data</w:t>
      </w:r>
      <w:r>
        <w:rPr>
          <w:rFonts w:ascii="Arial" w:hAnsi="Arial" w:cs="Arial"/>
        </w:rPr>
        <w:t>.</w:t>
      </w:r>
    </w:p>
    <w:p w14:paraId="53D5A7A1" w14:textId="1A4BC9A7" w:rsidR="00E30792" w:rsidRPr="00AE2836" w:rsidRDefault="00B80216" w:rsidP="00441B6F">
      <w:pPr>
        <w:pStyle w:val="Body"/>
        <w:spacing w:after="0"/>
        <w:rPr>
          <w:rFonts w:ascii="Arial" w:hAnsi="Arial" w:cs="Arial"/>
        </w:rPr>
      </w:pPr>
      <w:r>
        <w:rPr>
          <w:rFonts w:ascii="Arial" w:hAnsi="Arial" w:cs="Arial"/>
          <w:noProof/>
        </w:rPr>
        <w:lastRenderedPageBreak/>
        <w:drawing>
          <wp:inline distT="0" distB="0" distL="0" distR="0" wp14:anchorId="381D8EFE" wp14:editId="133B6389">
            <wp:extent cx="5264150" cy="2679700"/>
            <wp:effectExtent l="0" t="0" r="0" b="0"/>
            <wp:docPr id="132928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150" cy="2679700"/>
                    </a:xfrm>
                    <a:prstGeom prst="rect">
                      <a:avLst/>
                    </a:prstGeom>
                    <a:noFill/>
                  </pic:spPr>
                </pic:pic>
              </a:graphicData>
            </a:graphic>
          </wp:inline>
        </w:drawing>
      </w:r>
    </w:p>
    <w:p w14:paraId="394EE607" w14:textId="77777777" w:rsidR="007A0F71" w:rsidRPr="007A0F71" w:rsidRDefault="007A0F71" w:rsidP="00423C0D">
      <w:pPr>
        <w:pStyle w:val="Body"/>
        <w:jc w:val="center"/>
        <w:rPr>
          <w:rFonts w:ascii="Arial" w:hAnsi="Arial" w:cs="Arial"/>
          <w:b/>
          <w:bCs/>
        </w:rPr>
      </w:pPr>
      <w:r w:rsidRPr="007A0F71">
        <w:rPr>
          <w:rFonts w:ascii="Arial" w:hAnsi="Arial" w:cs="Arial"/>
          <w:b/>
          <w:bCs/>
        </w:rPr>
        <w:t>Fig. 3 Mapping of climate vulnerability in India</w:t>
      </w:r>
    </w:p>
    <w:p w14:paraId="3A0FEC29" w14:textId="480541EC" w:rsidR="00790ADA" w:rsidRPr="00FB3A86" w:rsidRDefault="007A0F71" w:rsidP="001F00FA">
      <w:pPr>
        <w:pStyle w:val="Body"/>
        <w:rPr>
          <w:rFonts w:ascii="Arial" w:hAnsi="Arial" w:cs="Arial"/>
        </w:rPr>
      </w:pPr>
      <w:r w:rsidRPr="007A0F71">
        <w:rPr>
          <w:rFonts w:ascii="Arial" w:hAnsi="Arial" w:cs="Arial"/>
        </w:rPr>
        <w:t xml:space="preserve">The fifteen agro-climatic zones in India, encompass a diverse range of geographical and climatic conditions, each contributing to the nation's rich agricultural landscape.                 The analysis presented in </w:t>
      </w:r>
      <w:r w:rsidR="00D24FF2">
        <w:rPr>
          <w:rFonts w:ascii="Arial" w:hAnsi="Arial" w:cs="Arial"/>
        </w:rPr>
        <w:t>Fig.</w:t>
      </w:r>
      <w:r w:rsidRPr="007A0F71">
        <w:rPr>
          <w:rFonts w:ascii="Arial" w:hAnsi="Arial" w:cs="Arial"/>
        </w:rPr>
        <w:t xml:space="preserve"> </w:t>
      </w:r>
      <w:r w:rsidR="00CC0B93">
        <w:rPr>
          <w:rFonts w:ascii="Arial" w:hAnsi="Arial" w:cs="Arial"/>
        </w:rPr>
        <w:t>3</w:t>
      </w:r>
      <w:r w:rsidRPr="007A0F71">
        <w:rPr>
          <w:rFonts w:ascii="Arial" w:hAnsi="Arial" w:cs="Arial"/>
        </w:rPr>
        <w:t xml:space="preserve"> and Table 3 highlights that the entire Southern plateau and hills region falls under the highly vulnerable category, signifying elevated exposure and sensitivity to climate-related factors, coupled with a comparatively low adaptive capacity response. In contrast, the Lower Gangetic plain region, Trans Gangetic plain region and Western dry regions are categorized as less vulnerable to climate, indicating lower exposure and sensitivity to climate, along with sufficient adaptive capacity. The moderate vulnerable category encompasses the entire Upper Gangetic plain region and Gujarat plains and hills region.</w:t>
      </w:r>
    </w:p>
    <w:p w14:paraId="0FE3C28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FAA8285" w14:textId="77777777" w:rsidR="00790ADA" w:rsidRPr="00FB3A86" w:rsidRDefault="00790ADA" w:rsidP="00441B6F">
      <w:pPr>
        <w:pStyle w:val="ConcHead"/>
        <w:spacing w:after="0"/>
        <w:jc w:val="both"/>
        <w:rPr>
          <w:rFonts w:ascii="Arial" w:hAnsi="Arial" w:cs="Arial"/>
        </w:rPr>
      </w:pPr>
    </w:p>
    <w:p w14:paraId="1F77565D" w14:textId="6115087A" w:rsidR="00790ADA" w:rsidRDefault="00423C0D" w:rsidP="00423C0D">
      <w:pPr>
        <w:pStyle w:val="Body"/>
        <w:rPr>
          <w:rFonts w:ascii="Arial" w:hAnsi="Arial" w:cs="Arial"/>
        </w:rPr>
      </w:pPr>
      <w:r w:rsidRPr="00423C0D">
        <w:rPr>
          <w:rFonts w:ascii="Arial" w:hAnsi="Arial" w:cs="Arial"/>
        </w:rPr>
        <w:t>The vulnerability assessment for the 18 states of India, based on exposure, sensitivity, adaptive capacity indices. The categorization of states, such as Punjab's lower vulnerability attributed to low exposure and sensitivity</w:t>
      </w:r>
      <w:r w:rsidR="006B3D2C">
        <w:rPr>
          <w:rFonts w:ascii="Arial" w:hAnsi="Arial" w:cs="Arial"/>
        </w:rPr>
        <w:t xml:space="preserve"> and</w:t>
      </w:r>
      <w:r w:rsidRPr="00423C0D">
        <w:rPr>
          <w:rFonts w:ascii="Arial" w:hAnsi="Arial" w:cs="Arial"/>
        </w:rPr>
        <w:t xml:space="preserve"> Tamil Nadu's higher vulnerability due to elevated exposure and sensitivity, emphasizes the nuanced factors influencing climate vulnerability. Furthermore, the agro-climatic zones in India exhibit a broad spectrum of vulnerability, with the entire Southern plateau and hills region identified as highly vulnerable, emphasizing the need for custom-made adaptation strategies in these areas. On the other hand, regions like the Lower Gangetic plain, Trans Gangetic plain</w:t>
      </w:r>
      <w:r w:rsidR="006B3D2C">
        <w:rPr>
          <w:rFonts w:ascii="Arial" w:hAnsi="Arial" w:cs="Arial"/>
        </w:rPr>
        <w:t xml:space="preserve"> and</w:t>
      </w:r>
      <w:r w:rsidRPr="00423C0D">
        <w:rPr>
          <w:rFonts w:ascii="Arial" w:hAnsi="Arial" w:cs="Arial"/>
        </w:rPr>
        <w:t xml:space="preserve"> Western dry regions demonstrate lower vulnerability, suggesting relatively </w:t>
      </w:r>
      <w:r w:rsidR="00B61FAB" w:rsidRPr="00B61FAB">
        <w:rPr>
          <w:rFonts w:ascii="Arial" w:hAnsi="Arial" w:cs="Arial"/>
          <w:highlight w:val="yellow"/>
        </w:rPr>
        <w:t>favorable</w:t>
      </w:r>
      <w:r w:rsidRPr="00423C0D">
        <w:rPr>
          <w:rFonts w:ascii="Arial" w:hAnsi="Arial" w:cs="Arial"/>
        </w:rPr>
        <w:t xml:space="preserve"> conditions. In summary, the comprehensive vulnerability assessment serves as a foundation for informed decision-making, enabling policymakers, researchers</w:t>
      </w:r>
      <w:r w:rsidR="006B3D2C">
        <w:rPr>
          <w:rFonts w:ascii="Arial" w:hAnsi="Arial" w:cs="Arial"/>
        </w:rPr>
        <w:t xml:space="preserve"> and</w:t>
      </w:r>
      <w:r w:rsidRPr="00423C0D">
        <w:rPr>
          <w:rFonts w:ascii="Arial" w:hAnsi="Arial" w:cs="Arial"/>
        </w:rPr>
        <w:t xml:space="preserve"> stakeholders to prioritize investment plan and implement targeted measures to enhance climate resilience across different states and agro-climatic zones in India. In light of the identified vulnerabilities and the potential impact of extreme climatic events, it is imperative to develop location-specific contingency planning to effectively address and mitigate the challenges anticipated in the near future.</w:t>
      </w:r>
    </w:p>
    <w:p w14:paraId="2896F440" w14:textId="42250129" w:rsidR="00075D5C" w:rsidRDefault="00075D5C" w:rsidP="00423C0D">
      <w:pPr>
        <w:pStyle w:val="Body"/>
        <w:rPr>
          <w:rFonts w:ascii="Arial" w:hAnsi="Arial" w:cs="Arial"/>
        </w:rPr>
      </w:pPr>
    </w:p>
    <w:p w14:paraId="7710A0AB" w14:textId="77777777" w:rsidR="00075D5C" w:rsidRPr="00075D5C" w:rsidRDefault="00075D5C" w:rsidP="00075D5C">
      <w:pPr>
        <w:tabs>
          <w:tab w:val="left" w:pos="2696"/>
        </w:tabs>
        <w:spacing w:after="200" w:line="276" w:lineRule="auto"/>
        <w:rPr>
          <w:rFonts w:ascii="Arial" w:eastAsiaTheme="minorHAnsi" w:hAnsi="Arial" w:cs="Arial"/>
          <w:lang w:val="en-GB"/>
        </w:rPr>
      </w:pPr>
      <w:bookmarkStart w:id="1" w:name="_Hlk183685723"/>
    </w:p>
    <w:p w14:paraId="53F0B8E8" w14:textId="77777777" w:rsidR="00075D5C" w:rsidRPr="00686468" w:rsidRDefault="00075D5C" w:rsidP="00075D5C">
      <w:pPr>
        <w:spacing w:after="200" w:line="276" w:lineRule="auto"/>
        <w:rPr>
          <w:rFonts w:ascii="Calibri" w:eastAsia="Calibri" w:hAnsi="Calibri"/>
          <w:b/>
          <w:kern w:val="2"/>
          <w:sz w:val="22"/>
          <w:szCs w:val="22"/>
          <w:highlight w:val="yellow"/>
        </w:rPr>
      </w:pPr>
      <w:bookmarkStart w:id="2" w:name="_Hlk193540946"/>
      <w:bookmarkStart w:id="3" w:name="_Hlk180402183"/>
      <w:bookmarkStart w:id="4" w:name="_Hlk183680988"/>
      <w:r w:rsidRPr="00686468">
        <w:rPr>
          <w:rFonts w:ascii="Calibri" w:eastAsia="Calibri" w:hAnsi="Calibri"/>
          <w:b/>
          <w:kern w:val="2"/>
          <w:sz w:val="22"/>
          <w:szCs w:val="22"/>
          <w:highlight w:val="yellow"/>
        </w:rPr>
        <w:lastRenderedPageBreak/>
        <w:t>Disclaimer (Artificial intelligence)</w:t>
      </w:r>
    </w:p>
    <w:p w14:paraId="54F285B4" w14:textId="77777777" w:rsidR="00075D5C" w:rsidRPr="00075D5C" w:rsidRDefault="00075D5C" w:rsidP="00075D5C">
      <w:pPr>
        <w:spacing w:after="200" w:line="276" w:lineRule="auto"/>
        <w:rPr>
          <w:rFonts w:ascii="Calibri" w:eastAsia="Calibri" w:hAnsi="Calibri"/>
          <w:kern w:val="2"/>
          <w:sz w:val="22"/>
          <w:szCs w:val="22"/>
          <w:highlight w:val="yellow"/>
        </w:rPr>
      </w:pPr>
      <w:r w:rsidRPr="00075D5C">
        <w:rPr>
          <w:rFonts w:ascii="Calibri" w:eastAsia="Calibri" w:hAnsi="Calibri"/>
          <w:kern w:val="2"/>
          <w:sz w:val="22"/>
          <w:szCs w:val="22"/>
          <w:highlight w:val="yellow"/>
        </w:rPr>
        <w:t xml:space="preserve">Option 1: </w:t>
      </w:r>
    </w:p>
    <w:p w14:paraId="77003A08" w14:textId="77777777" w:rsidR="00075D5C" w:rsidRPr="00075D5C" w:rsidRDefault="00075D5C" w:rsidP="00075D5C">
      <w:pPr>
        <w:spacing w:after="200" w:line="276" w:lineRule="auto"/>
        <w:rPr>
          <w:rFonts w:ascii="Calibri" w:eastAsia="Calibri" w:hAnsi="Calibri"/>
          <w:kern w:val="2"/>
          <w:sz w:val="22"/>
          <w:szCs w:val="22"/>
          <w:highlight w:val="yellow"/>
        </w:rPr>
      </w:pPr>
      <w:r w:rsidRPr="00075D5C">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bookmarkEnd w:id="4"/>
    <w:p w14:paraId="4F128CC9" w14:textId="1117470D" w:rsidR="00B01FCD" w:rsidRDefault="00B01FCD" w:rsidP="00441B6F">
      <w:pPr>
        <w:pStyle w:val="ReferHead"/>
        <w:spacing w:after="0"/>
        <w:jc w:val="both"/>
        <w:rPr>
          <w:rFonts w:ascii="Arial" w:hAnsi="Arial" w:cs="Arial"/>
        </w:rPr>
      </w:pPr>
      <w:r w:rsidRPr="00FB3A86">
        <w:rPr>
          <w:rFonts w:ascii="Arial" w:hAnsi="Arial" w:cs="Arial"/>
        </w:rPr>
        <w:t>References</w:t>
      </w:r>
    </w:p>
    <w:p w14:paraId="01319909" w14:textId="77777777" w:rsidR="00441B6F" w:rsidRDefault="00441B6F" w:rsidP="00441B6F">
      <w:pPr>
        <w:pStyle w:val="Body"/>
        <w:spacing w:after="0"/>
        <w:jc w:val="left"/>
      </w:pPr>
    </w:p>
    <w:p w14:paraId="0DB12E58" w14:textId="075921B5" w:rsidR="00D81DAE" w:rsidRPr="00957370" w:rsidRDefault="00D81DAE" w:rsidP="00D81DAE">
      <w:pPr>
        <w:tabs>
          <w:tab w:val="left" w:pos="800"/>
          <w:tab w:val="center" w:pos="4513"/>
        </w:tabs>
        <w:spacing w:line="360" w:lineRule="auto"/>
        <w:ind w:left="851" w:hanging="851"/>
        <w:jc w:val="both"/>
        <w:rPr>
          <w:rStyle w:val="Hyperlink"/>
          <w:rFonts w:ascii="Arial" w:hAnsi="Arial" w:cs="Arial"/>
          <w:color w:val="0070C0"/>
          <w:shd w:val="clear" w:color="auto" w:fill="FFFFFF"/>
        </w:rPr>
      </w:pPr>
      <w:r w:rsidRPr="00D81DAE">
        <w:rPr>
          <w:rFonts w:ascii="Arial" w:hAnsi="Arial" w:cs="Arial"/>
          <w:shd w:val="clear" w:color="auto" w:fill="FFFFFF"/>
        </w:rPr>
        <w:t xml:space="preserve">Anonymous </w:t>
      </w:r>
      <w:r w:rsidR="00117F6C">
        <w:rPr>
          <w:rFonts w:ascii="Arial" w:hAnsi="Arial" w:cs="Arial"/>
          <w:shd w:val="clear" w:color="auto" w:fill="FFFFFF"/>
        </w:rPr>
        <w:t>(</w:t>
      </w:r>
      <w:r w:rsidRPr="00D81DAE">
        <w:rPr>
          <w:rFonts w:ascii="Arial" w:hAnsi="Arial" w:cs="Arial"/>
          <w:shd w:val="clear" w:color="auto" w:fill="FFFFFF"/>
        </w:rPr>
        <w:t>2021</w:t>
      </w:r>
      <w:r w:rsidR="00117F6C">
        <w:rPr>
          <w:rFonts w:ascii="Arial" w:hAnsi="Arial" w:cs="Arial"/>
          <w:shd w:val="clear" w:color="auto" w:fill="FFFFFF"/>
        </w:rPr>
        <w:t>)</w:t>
      </w:r>
      <w:r w:rsidRPr="00D81DAE">
        <w:rPr>
          <w:rFonts w:ascii="Arial" w:hAnsi="Arial" w:cs="Arial"/>
          <w:shd w:val="clear" w:color="auto" w:fill="FFFFFF"/>
        </w:rPr>
        <w:t xml:space="preserve">.  India’s turning point: How climate action can drive our economic future. Deloitte Economics Institute, United Kingdom. </w:t>
      </w:r>
      <w:hyperlink r:id="rId17" w:history="1">
        <w:r w:rsidRPr="00957370">
          <w:rPr>
            <w:rStyle w:val="Hyperlink"/>
            <w:rFonts w:ascii="Arial" w:hAnsi="Arial" w:cs="Arial"/>
            <w:color w:val="0070C0"/>
            <w:shd w:val="clear" w:color="auto" w:fill="FFFFFF"/>
          </w:rPr>
          <w:t>https://www2.deloitte.com/content/dam/Deloitte/in/Documents/about-deloitte/in-india-turning-point-noexp.pdf</w:t>
        </w:r>
      </w:hyperlink>
      <w:r w:rsidRPr="00957370">
        <w:rPr>
          <w:rStyle w:val="Hyperlink"/>
          <w:rFonts w:ascii="Arial" w:hAnsi="Arial" w:cs="Arial"/>
          <w:color w:val="0070C0"/>
          <w:shd w:val="clear" w:color="auto" w:fill="FFFFFF"/>
        </w:rPr>
        <w:t>.</w:t>
      </w:r>
    </w:p>
    <w:p w14:paraId="2DF141F4" w14:textId="7F22201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Ayyoob</w:t>
      </w:r>
      <w:r w:rsidR="00117F6C">
        <w:rPr>
          <w:rFonts w:ascii="Arial" w:hAnsi="Arial" w:cs="Arial"/>
        </w:rPr>
        <w:t>,</w:t>
      </w:r>
      <w:r w:rsidRPr="00D81DAE">
        <w:rPr>
          <w:rFonts w:ascii="Arial" w:hAnsi="Arial" w:cs="Arial"/>
        </w:rPr>
        <w:t xml:space="preserve"> K</w:t>
      </w:r>
      <w:r w:rsidR="00117F6C">
        <w:rPr>
          <w:rFonts w:ascii="Arial" w:hAnsi="Arial" w:cs="Arial"/>
        </w:rPr>
        <w:t xml:space="preserve">. </w:t>
      </w:r>
      <w:r w:rsidRPr="00D81DAE">
        <w:rPr>
          <w:rFonts w:ascii="Arial" w:hAnsi="Arial" w:cs="Arial"/>
        </w:rPr>
        <w:t>C</w:t>
      </w:r>
      <w:r w:rsidR="00117F6C">
        <w:rPr>
          <w:rFonts w:ascii="Arial" w:hAnsi="Arial" w:cs="Arial"/>
        </w:rPr>
        <w:t>.</w:t>
      </w:r>
      <w:r w:rsidRPr="00D81DAE">
        <w:rPr>
          <w:rFonts w:ascii="Arial" w:hAnsi="Arial" w:cs="Arial"/>
        </w:rPr>
        <w:t>, Krishnadas</w:t>
      </w:r>
      <w:r w:rsidR="00117F6C">
        <w:rPr>
          <w:rFonts w:ascii="Arial" w:hAnsi="Arial" w:cs="Arial"/>
        </w:rPr>
        <w:t>,</w:t>
      </w:r>
      <w:r w:rsidRPr="00D81DAE">
        <w:rPr>
          <w:rFonts w:ascii="Arial" w:hAnsi="Arial" w:cs="Arial"/>
        </w:rPr>
        <w:t xml:space="preserve"> M</w:t>
      </w:r>
      <w:r w:rsidR="00117F6C">
        <w:rPr>
          <w:rFonts w:ascii="Arial" w:hAnsi="Arial" w:cs="Arial"/>
        </w:rPr>
        <w:t>.</w:t>
      </w:r>
      <w:r w:rsidR="00D54663">
        <w:rPr>
          <w:rFonts w:ascii="Arial" w:hAnsi="Arial" w:cs="Arial"/>
        </w:rPr>
        <w:t>,</w:t>
      </w:r>
      <w:r w:rsidR="00B03750">
        <w:rPr>
          <w:rFonts w:ascii="Arial" w:hAnsi="Arial" w:cs="Arial"/>
        </w:rPr>
        <w:t xml:space="preserve"> &amp;</w:t>
      </w:r>
      <w:r w:rsidRPr="00D81DAE">
        <w:rPr>
          <w:rFonts w:ascii="Arial" w:hAnsi="Arial" w:cs="Arial"/>
        </w:rPr>
        <w:t xml:space="preserve"> </w:t>
      </w:r>
      <w:proofErr w:type="spellStart"/>
      <w:r w:rsidRPr="00D81DAE">
        <w:rPr>
          <w:rFonts w:ascii="Arial" w:hAnsi="Arial" w:cs="Arial"/>
        </w:rPr>
        <w:t>Kaeel</w:t>
      </w:r>
      <w:proofErr w:type="spellEnd"/>
      <w:r w:rsidR="00117F6C">
        <w:rPr>
          <w:rFonts w:ascii="Arial" w:hAnsi="Arial" w:cs="Arial"/>
        </w:rPr>
        <w:t>,</w:t>
      </w:r>
      <w:r w:rsidRPr="00D81DAE">
        <w:rPr>
          <w:rFonts w:ascii="Arial" w:hAnsi="Arial" w:cs="Arial"/>
        </w:rPr>
        <w:t xml:space="preserve"> F</w:t>
      </w:r>
      <w:r w:rsidR="00117F6C">
        <w:rPr>
          <w:rFonts w:ascii="Arial" w:hAnsi="Arial" w:cs="Arial"/>
        </w:rPr>
        <w:t xml:space="preserve">. </w:t>
      </w:r>
      <w:r w:rsidRPr="00D81DAE">
        <w:rPr>
          <w:rFonts w:ascii="Arial" w:hAnsi="Arial" w:cs="Arial"/>
        </w:rPr>
        <w:t>M</w:t>
      </w:r>
      <w:r w:rsidR="00117F6C">
        <w:rPr>
          <w:rFonts w:ascii="Arial" w:hAnsi="Arial" w:cs="Arial"/>
        </w:rPr>
        <w:t xml:space="preserve">. </w:t>
      </w:r>
      <w:r w:rsidRPr="00D81DAE">
        <w:rPr>
          <w:rFonts w:ascii="Arial" w:hAnsi="Arial" w:cs="Arial"/>
        </w:rPr>
        <w:t>H</w:t>
      </w:r>
      <w:r w:rsidR="00117F6C">
        <w:rPr>
          <w:rFonts w:ascii="Arial" w:hAnsi="Arial" w:cs="Arial"/>
        </w:rPr>
        <w:t>.</w:t>
      </w:r>
      <w:r w:rsidRPr="00D81DAE">
        <w:rPr>
          <w:rFonts w:ascii="Arial" w:hAnsi="Arial" w:cs="Arial"/>
        </w:rPr>
        <w:t xml:space="preserve"> (2013)</w:t>
      </w:r>
      <w:r w:rsidR="00117F6C">
        <w:rPr>
          <w:rFonts w:ascii="Arial" w:hAnsi="Arial" w:cs="Arial"/>
        </w:rPr>
        <w:t>.</w:t>
      </w:r>
      <w:r w:rsidRPr="00D81DAE">
        <w:rPr>
          <w:rFonts w:ascii="Arial" w:hAnsi="Arial" w:cs="Arial"/>
        </w:rPr>
        <w:t xml:space="preserve"> Intra-regional disparities in agricultural development in Kerala. Agricultural Update</w:t>
      </w:r>
      <w:r w:rsidR="009E709E">
        <w:rPr>
          <w:rFonts w:ascii="Arial" w:hAnsi="Arial" w:cs="Arial"/>
        </w:rPr>
        <w:t>,</w:t>
      </w:r>
      <w:r w:rsidRPr="00D81DAE">
        <w:rPr>
          <w:rFonts w:ascii="Arial" w:hAnsi="Arial" w:cs="Arial"/>
        </w:rPr>
        <w:t xml:space="preserve"> 8</w:t>
      </w:r>
      <w:r w:rsidR="009E709E">
        <w:rPr>
          <w:rFonts w:ascii="Arial" w:hAnsi="Arial" w:cs="Arial"/>
        </w:rPr>
        <w:t xml:space="preserve">, </w:t>
      </w:r>
      <w:r w:rsidRPr="00D81DAE">
        <w:rPr>
          <w:rFonts w:ascii="Arial" w:hAnsi="Arial" w:cs="Arial"/>
        </w:rPr>
        <w:t>103–106.</w:t>
      </w:r>
    </w:p>
    <w:p w14:paraId="662883C1" w14:textId="1D221CB9"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Balaganesh</w:t>
      </w:r>
      <w:r w:rsidR="006B356F">
        <w:rPr>
          <w:rFonts w:ascii="Arial" w:hAnsi="Arial" w:cs="Arial"/>
        </w:rPr>
        <w:t>,</w:t>
      </w:r>
      <w:r w:rsidRPr="00D81DAE">
        <w:rPr>
          <w:rFonts w:ascii="Arial" w:hAnsi="Arial" w:cs="Arial"/>
        </w:rPr>
        <w:t xml:space="preserve"> G</w:t>
      </w:r>
      <w:r w:rsidR="006B356F">
        <w:rPr>
          <w:rFonts w:ascii="Arial" w:hAnsi="Arial" w:cs="Arial"/>
        </w:rPr>
        <w:t>.</w:t>
      </w:r>
      <w:r w:rsidRPr="00D81DAE">
        <w:rPr>
          <w:rFonts w:ascii="Arial" w:hAnsi="Arial" w:cs="Arial"/>
        </w:rPr>
        <w:t>, Malhotra</w:t>
      </w:r>
      <w:r w:rsidR="006B356F">
        <w:rPr>
          <w:rFonts w:ascii="Arial" w:hAnsi="Arial" w:cs="Arial"/>
        </w:rPr>
        <w:t>,</w:t>
      </w:r>
      <w:r w:rsidRPr="00D81DAE">
        <w:rPr>
          <w:rFonts w:ascii="Arial" w:hAnsi="Arial" w:cs="Arial"/>
        </w:rPr>
        <w:t xml:space="preserve"> R</w:t>
      </w:r>
      <w:r w:rsidR="006B356F">
        <w:rPr>
          <w:rFonts w:ascii="Arial" w:hAnsi="Arial" w:cs="Arial"/>
        </w:rPr>
        <w:t>.</w:t>
      </w:r>
      <w:r w:rsidRPr="00D81DAE">
        <w:rPr>
          <w:rFonts w:ascii="Arial" w:hAnsi="Arial" w:cs="Arial"/>
        </w:rPr>
        <w:t>, Sendhil</w:t>
      </w:r>
      <w:r w:rsidR="006B356F">
        <w:rPr>
          <w:rFonts w:ascii="Arial" w:hAnsi="Arial" w:cs="Arial"/>
        </w:rPr>
        <w:t>,</w:t>
      </w:r>
      <w:r w:rsidRPr="00D81DAE">
        <w:rPr>
          <w:rFonts w:ascii="Arial" w:hAnsi="Arial" w:cs="Arial"/>
        </w:rPr>
        <w:t xml:space="preserve"> R</w:t>
      </w:r>
      <w:r w:rsidR="006B356F">
        <w:rPr>
          <w:rFonts w:ascii="Arial" w:hAnsi="Arial" w:cs="Arial"/>
        </w:rPr>
        <w:t>.</w:t>
      </w:r>
      <w:r w:rsidRPr="00D81DAE">
        <w:rPr>
          <w:rFonts w:ascii="Arial" w:hAnsi="Arial" w:cs="Arial"/>
        </w:rPr>
        <w:t xml:space="preserve">, </w:t>
      </w:r>
      <w:proofErr w:type="spellStart"/>
      <w:r w:rsidRPr="00D81DAE">
        <w:rPr>
          <w:rFonts w:ascii="Arial" w:hAnsi="Arial" w:cs="Arial"/>
        </w:rPr>
        <w:t>Sirohi</w:t>
      </w:r>
      <w:proofErr w:type="spellEnd"/>
      <w:r w:rsidR="006B356F">
        <w:rPr>
          <w:rFonts w:ascii="Arial" w:hAnsi="Arial" w:cs="Arial"/>
        </w:rPr>
        <w:t>,</w:t>
      </w:r>
      <w:r w:rsidRPr="00D81DAE">
        <w:rPr>
          <w:rFonts w:ascii="Arial" w:hAnsi="Arial" w:cs="Arial"/>
        </w:rPr>
        <w:t xml:space="preserve"> S</w:t>
      </w:r>
      <w:r w:rsidR="006B356F">
        <w:rPr>
          <w:rFonts w:ascii="Arial" w:hAnsi="Arial" w:cs="Arial"/>
        </w:rPr>
        <w:t>.</w:t>
      </w:r>
      <w:r w:rsidRPr="00D81DAE">
        <w:rPr>
          <w:rFonts w:ascii="Arial" w:hAnsi="Arial" w:cs="Arial"/>
        </w:rPr>
        <w:t>, Maiti</w:t>
      </w:r>
      <w:r w:rsidR="006B356F">
        <w:rPr>
          <w:rFonts w:ascii="Arial" w:hAnsi="Arial" w:cs="Arial"/>
        </w:rPr>
        <w:t>,</w:t>
      </w:r>
      <w:r w:rsidRPr="00D81DAE">
        <w:rPr>
          <w:rFonts w:ascii="Arial" w:hAnsi="Arial" w:cs="Arial"/>
        </w:rPr>
        <w:t xml:space="preserve"> S</w:t>
      </w:r>
      <w:r w:rsidR="006B356F">
        <w:rPr>
          <w:rFonts w:ascii="Arial" w:hAnsi="Arial" w:cs="Arial"/>
        </w:rPr>
        <w:t>.</w:t>
      </w:r>
      <w:r w:rsidRPr="00D81DAE">
        <w:rPr>
          <w:rFonts w:ascii="Arial" w:hAnsi="Arial" w:cs="Arial"/>
        </w:rPr>
        <w:t>, Ponnusamy</w:t>
      </w:r>
      <w:r w:rsidR="006B356F">
        <w:rPr>
          <w:rFonts w:ascii="Arial" w:hAnsi="Arial" w:cs="Arial"/>
        </w:rPr>
        <w:t>,</w:t>
      </w:r>
      <w:r w:rsidRPr="00D81DAE">
        <w:rPr>
          <w:rFonts w:ascii="Arial" w:hAnsi="Arial" w:cs="Arial"/>
        </w:rPr>
        <w:t xml:space="preserve"> K</w:t>
      </w:r>
      <w:r w:rsidR="006B356F">
        <w:rPr>
          <w:rFonts w:ascii="Arial" w:hAnsi="Arial" w:cs="Arial"/>
        </w:rPr>
        <w:t>.</w:t>
      </w:r>
      <w:r w:rsidRPr="00D81DAE">
        <w:rPr>
          <w:rFonts w:ascii="Arial" w:hAnsi="Arial" w:cs="Arial"/>
        </w:rPr>
        <w:t xml:space="preserve">, </w:t>
      </w:r>
      <w:r w:rsidR="006B356F">
        <w:rPr>
          <w:rFonts w:ascii="Arial" w:hAnsi="Arial" w:cs="Arial"/>
        </w:rPr>
        <w:t xml:space="preserve">&amp; </w:t>
      </w:r>
      <w:r w:rsidRPr="00D81DAE">
        <w:rPr>
          <w:rFonts w:ascii="Arial" w:hAnsi="Arial" w:cs="Arial"/>
        </w:rPr>
        <w:t>Sharma</w:t>
      </w:r>
      <w:r w:rsidR="006B356F">
        <w:rPr>
          <w:rFonts w:ascii="Arial" w:hAnsi="Arial" w:cs="Arial"/>
        </w:rPr>
        <w:t>,</w:t>
      </w:r>
      <w:r w:rsidRPr="00D81DAE">
        <w:rPr>
          <w:rFonts w:ascii="Arial" w:hAnsi="Arial" w:cs="Arial"/>
        </w:rPr>
        <w:t xml:space="preserve"> A</w:t>
      </w:r>
      <w:r w:rsidR="006B356F">
        <w:rPr>
          <w:rFonts w:ascii="Arial" w:hAnsi="Arial" w:cs="Arial"/>
        </w:rPr>
        <w:t xml:space="preserve">. </w:t>
      </w:r>
      <w:r w:rsidRPr="00D81DAE">
        <w:rPr>
          <w:rFonts w:ascii="Arial" w:hAnsi="Arial" w:cs="Arial"/>
        </w:rPr>
        <w:t>K</w:t>
      </w:r>
      <w:r w:rsidR="006B356F">
        <w:rPr>
          <w:rFonts w:ascii="Arial" w:hAnsi="Arial" w:cs="Arial"/>
        </w:rPr>
        <w:t>.</w:t>
      </w:r>
      <w:r w:rsidRPr="00D81DAE">
        <w:rPr>
          <w:rFonts w:ascii="Arial" w:hAnsi="Arial" w:cs="Arial"/>
        </w:rPr>
        <w:t xml:space="preserve"> (2020)</w:t>
      </w:r>
      <w:r w:rsidR="006B356F">
        <w:rPr>
          <w:rFonts w:ascii="Arial" w:hAnsi="Arial" w:cs="Arial"/>
        </w:rPr>
        <w:t>,</w:t>
      </w:r>
      <w:r w:rsidRPr="00D81DAE">
        <w:rPr>
          <w:rFonts w:ascii="Arial" w:hAnsi="Arial" w:cs="Arial"/>
        </w:rPr>
        <w:t xml:space="preserve"> Development of composite vulnerability index and district level mapping of climate change induced drought in Tamil Nadu, India. </w:t>
      </w:r>
      <w:r w:rsidR="00E94098">
        <w:rPr>
          <w:rFonts w:ascii="Arial" w:hAnsi="Arial" w:cs="Arial"/>
        </w:rPr>
        <w:t>Ecological Indicator</w:t>
      </w:r>
      <w:r w:rsidR="000130A0">
        <w:rPr>
          <w:rFonts w:ascii="Arial" w:hAnsi="Arial" w:cs="Arial"/>
        </w:rPr>
        <w:t>s</w:t>
      </w:r>
      <w:r w:rsidR="00E94098">
        <w:rPr>
          <w:rFonts w:ascii="Arial" w:hAnsi="Arial" w:cs="Arial"/>
        </w:rPr>
        <w:t>,</w:t>
      </w:r>
      <w:r w:rsidRPr="00D81DAE">
        <w:rPr>
          <w:rFonts w:ascii="Arial" w:hAnsi="Arial" w:cs="Arial"/>
        </w:rPr>
        <w:t> </w:t>
      </w:r>
      <w:r w:rsidR="009E653F" w:rsidRPr="00D81DAE">
        <w:rPr>
          <w:rFonts w:ascii="Arial" w:hAnsi="Arial" w:cs="Arial"/>
        </w:rPr>
        <w:t>113</w:t>
      </w:r>
      <w:r w:rsidR="009E653F">
        <w:rPr>
          <w:rFonts w:ascii="Arial" w:hAnsi="Arial" w:cs="Arial"/>
        </w:rPr>
        <w:t xml:space="preserve">, </w:t>
      </w:r>
      <w:r w:rsidR="009E653F" w:rsidRPr="00D81DAE">
        <w:rPr>
          <w:rFonts w:ascii="Arial" w:hAnsi="Arial" w:cs="Arial"/>
        </w:rPr>
        <w:t>106197</w:t>
      </w:r>
      <w:r w:rsidRPr="00D81DAE">
        <w:rPr>
          <w:rFonts w:ascii="Arial" w:hAnsi="Arial" w:cs="Arial"/>
        </w:rPr>
        <w:t xml:space="preserve">. </w:t>
      </w:r>
      <w:hyperlink r:id="rId18" w:history="1">
        <w:r w:rsidRPr="00957370">
          <w:rPr>
            <w:rStyle w:val="Hyperlink"/>
            <w:rFonts w:ascii="Arial" w:hAnsi="Arial" w:cs="Arial"/>
            <w:color w:val="0070C0"/>
          </w:rPr>
          <w:t>https://doi.org/10.1016/j.ecolind.2020.106197</w:t>
        </w:r>
      </w:hyperlink>
      <w:r w:rsidRPr="00957370">
        <w:rPr>
          <w:rFonts w:ascii="Arial" w:hAnsi="Arial" w:cs="Arial"/>
          <w:color w:val="0070C0"/>
        </w:rPr>
        <w:t>.</w:t>
      </w:r>
    </w:p>
    <w:p w14:paraId="1173BBE7" w14:textId="3DEDCE84"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Eckstein</w:t>
      </w:r>
      <w:r w:rsidR="009E653F">
        <w:rPr>
          <w:rFonts w:ascii="Arial" w:hAnsi="Arial" w:cs="Arial"/>
        </w:rPr>
        <w:t>,</w:t>
      </w:r>
      <w:r w:rsidRPr="00D81DAE">
        <w:rPr>
          <w:rFonts w:ascii="Arial" w:hAnsi="Arial" w:cs="Arial"/>
        </w:rPr>
        <w:t xml:space="preserve"> D</w:t>
      </w:r>
      <w:r w:rsidR="009E653F">
        <w:rPr>
          <w:rFonts w:ascii="Arial" w:hAnsi="Arial" w:cs="Arial"/>
        </w:rPr>
        <w:t>.</w:t>
      </w:r>
      <w:r w:rsidRPr="00D81DAE">
        <w:rPr>
          <w:rFonts w:ascii="Arial" w:hAnsi="Arial" w:cs="Arial"/>
        </w:rPr>
        <w:t xml:space="preserve">, </w:t>
      </w:r>
      <w:proofErr w:type="spellStart"/>
      <w:r w:rsidRPr="00D81DAE">
        <w:rPr>
          <w:rFonts w:ascii="Arial" w:hAnsi="Arial" w:cs="Arial"/>
        </w:rPr>
        <w:t>Künzel</w:t>
      </w:r>
      <w:proofErr w:type="spellEnd"/>
      <w:r w:rsidR="009E653F">
        <w:rPr>
          <w:rFonts w:ascii="Arial" w:hAnsi="Arial" w:cs="Arial"/>
        </w:rPr>
        <w:t>,</w:t>
      </w:r>
      <w:r w:rsidRPr="00D81DAE">
        <w:rPr>
          <w:rFonts w:ascii="Arial" w:hAnsi="Arial" w:cs="Arial"/>
        </w:rPr>
        <w:t xml:space="preserve"> V</w:t>
      </w:r>
      <w:r w:rsidR="009E653F">
        <w:rPr>
          <w:rFonts w:ascii="Arial" w:hAnsi="Arial" w:cs="Arial"/>
        </w:rPr>
        <w:t>.</w:t>
      </w:r>
      <w:r w:rsidRPr="00D81DAE">
        <w:rPr>
          <w:rFonts w:ascii="Arial" w:hAnsi="Arial" w:cs="Arial"/>
        </w:rPr>
        <w:t xml:space="preserve">, </w:t>
      </w:r>
      <w:r w:rsidR="009E653F">
        <w:rPr>
          <w:rFonts w:ascii="Arial" w:hAnsi="Arial" w:cs="Arial"/>
        </w:rPr>
        <w:t xml:space="preserve">&amp; </w:t>
      </w:r>
      <w:r w:rsidRPr="00D81DAE">
        <w:rPr>
          <w:rFonts w:ascii="Arial" w:hAnsi="Arial" w:cs="Arial"/>
        </w:rPr>
        <w:t>Schäfer</w:t>
      </w:r>
      <w:r w:rsidR="009E653F">
        <w:rPr>
          <w:rFonts w:ascii="Arial" w:hAnsi="Arial" w:cs="Arial"/>
        </w:rPr>
        <w:t>,</w:t>
      </w:r>
      <w:r w:rsidRPr="00D81DAE">
        <w:rPr>
          <w:rFonts w:ascii="Arial" w:hAnsi="Arial" w:cs="Arial"/>
        </w:rPr>
        <w:t xml:space="preserve"> L</w:t>
      </w:r>
      <w:r w:rsidR="009E653F">
        <w:rPr>
          <w:rFonts w:ascii="Arial" w:hAnsi="Arial" w:cs="Arial"/>
        </w:rPr>
        <w:t>.</w:t>
      </w:r>
      <w:r w:rsidRPr="00D81DAE">
        <w:rPr>
          <w:rFonts w:ascii="Arial" w:hAnsi="Arial" w:cs="Arial"/>
        </w:rPr>
        <w:t xml:space="preserve"> (2021)</w:t>
      </w:r>
      <w:r w:rsidR="009E653F">
        <w:rPr>
          <w:rFonts w:ascii="Arial" w:hAnsi="Arial" w:cs="Arial"/>
        </w:rPr>
        <w:t>.</w:t>
      </w:r>
      <w:r w:rsidRPr="00D81DAE">
        <w:rPr>
          <w:rFonts w:ascii="Arial" w:hAnsi="Arial" w:cs="Arial"/>
        </w:rPr>
        <w:t xml:space="preserve"> The global climate risk index 2021. Who suffers most from extreme weather events? Weather-related loss events in 2019 and 2000-2019.</w:t>
      </w:r>
      <w:r w:rsidR="00F60EE8">
        <w:rPr>
          <w:rFonts w:ascii="Arial" w:hAnsi="Arial" w:cs="Arial"/>
        </w:rPr>
        <w:t xml:space="preserve"> </w:t>
      </w:r>
      <w:r w:rsidRPr="00D81DAE">
        <w:rPr>
          <w:rFonts w:ascii="Arial" w:hAnsi="Arial" w:cs="Arial"/>
        </w:rPr>
        <w:t>Germanwatch.</w:t>
      </w:r>
      <w:r w:rsidR="00431F77">
        <w:rPr>
          <w:rFonts w:ascii="Arial" w:hAnsi="Arial" w:cs="Arial"/>
        </w:rPr>
        <w:t xml:space="preserve"> </w:t>
      </w:r>
      <w:hyperlink r:id="rId19" w:history="1">
        <w:r w:rsidR="00431F77" w:rsidRPr="00957370">
          <w:rPr>
            <w:rStyle w:val="Hyperlink"/>
            <w:rFonts w:ascii="Arial" w:hAnsi="Arial" w:cs="Arial"/>
            <w:color w:val="0070C0"/>
          </w:rPr>
          <w:t>https://www.germanwatch.org/sites/default/files/Global%20Climate%20Risk%20Index%202021_2.pdf</w:t>
        </w:r>
      </w:hyperlink>
      <w:r w:rsidRPr="00D81DAE">
        <w:rPr>
          <w:rFonts w:ascii="Arial" w:hAnsi="Arial" w:cs="Arial"/>
        </w:rPr>
        <w:t xml:space="preserve"> </w:t>
      </w:r>
    </w:p>
    <w:p w14:paraId="79FA839A" w14:textId="4BFA439B"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India Meteorological Department (2022)</w:t>
      </w:r>
      <w:r w:rsidR="00431F77">
        <w:rPr>
          <w:rFonts w:ascii="Arial" w:hAnsi="Arial" w:cs="Arial"/>
        </w:rPr>
        <w:t>.</w:t>
      </w:r>
      <w:r w:rsidRPr="00D81DAE">
        <w:rPr>
          <w:rFonts w:ascii="Arial" w:hAnsi="Arial" w:cs="Arial"/>
        </w:rPr>
        <w:t xml:space="preserve"> Heat wave conditions over east India during next 4-5 days, likely to commence over central, northwest &amp; west India from 27</w:t>
      </w:r>
      <w:r w:rsidRPr="00D81DAE">
        <w:rPr>
          <w:rFonts w:ascii="Arial" w:hAnsi="Arial" w:cs="Arial"/>
          <w:vertAlign w:val="superscript"/>
        </w:rPr>
        <w:t>th</w:t>
      </w:r>
      <w:r w:rsidRPr="00D81DAE">
        <w:rPr>
          <w:rFonts w:ascii="Arial" w:hAnsi="Arial" w:cs="Arial"/>
        </w:rPr>
        <w:t xml:space="preserve"> April, 2022[Pressrelease].</w:t>
      </w:r>
      <w:hyperlink r:id="rId20" w:history="1">
        <w:r w:rsidR="00AB19A5" w:rsidRPr="00957370">
          <w:rPr>
            <w:rStyle w:val="Hyperlink"/>
            <w:rFonts w:ascii="Arial" w:hAnsi="Arial" w:cs="Arial"/>
            <w:color w:val="0070C0"/>
          </w:rPr>
          <w:t>https://internal.imd.gov.in/press_release/20220426_pr_1591.pdf</w:t>
        </w:r>
      </w:hyperlink>
      <w:r w:rsidRPr="00957370">
        <w:rPr>
          <w:rFonts w:ascii="Arial" w:hAnsi="Arial" w:cs="Arial"/>
          <w:color w:val="0070C0"/>
        </w:rPr>
        <w:t>.</w:t>
      </w:r>
    </w:p>
    <w:p w14:paraId="1E72FA53" w14:textId="06A0E8D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IPCC (2014)</w:t>
      </w:r>
      <w:r w:rsidR="00AB19A5">
        <w:rPr>
          <w:rFonts w:ascii="Arial" w:hAnsi="Arial" w:cs="Arial"/>
        </w:rPr>
        <w:t>.</w:t>
      </w:r>
      <w:r w:rsidRPr="00D81DAE">
        <w:rPr>
          <w:rFonts w:ascii="Arial" w:hAnsi="Arial" w:cs="Arial"/>
        </w:rPr>
        <w:t xml:space="preserve"> Climate Change 2014: Synthesis Report. Contribution of Working Groups I, II and III to the Fifth Assessment Report of the Intergovernmental Panel on Climate Change [Core Writing Team, R.K. Pachauri and L.A. Meyer (eds.)]. IPCC, Geneva, Switzerland, 151 pp.</w:t>
      </w:r>
    </w:p>
    <w:p w14:paraId="1BFD8259" w14:textId="41DA6F54"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Kale</w:t>
      </w:r>
      <w:r w:rsidR="00AB19A5">
        <w:rPr>
          <w:rFonts w:ascii="Arial" w:hAnsi="Arial" w:cs="Arial"/>
        </w:rPr>
        <w:t>,</w:t>
      </w:r>
      <w:r w:rsidRPr="00D81DAE">
        <w:rPr>
          <w:rFonts w:ascii="Arial" w:hAnsi="Arial" w:cs="Arial"/>
        </w:rPr>
        <w:t xml:space="preserve"> R</w:t>
      </w:r>
      <w:r w:rsidR="00AB19A5">
        <w:rPr>
          <w:rFonts w:ascii="Arial" w:hAnsi="Arial" w:cs="Arial"/>
        </w:rPr>
        <w:t xml:space="preserve">. </w:t>
      </w:r>
      <w:r w:rsidRPr="00D81DAE">
        <w:rPr>
          <w:rFonts w:ascii="Arial" w:hAnsi="Arial" w:cs="Arial"/>
        </w:rPr>
        <w:t>B</w:t>
      </w:r>
      <w:r w:rsidR="00AB19A5">
        <w:rPr>
          <w:rFonts w:ascii="Arial" w:hAnsi="Arial" w:cs="Arial"/>
        </w:rPr>
        <w:t>.</w:t>
      </w:r>
      <w:r w:rsidRPr="00D81DAE">
        <w:rPr>
          <w:rFonts w:ascii="Arial" w:hAnsi="Arial" w:cs="Arial"/>
        </w:rPr>
        <w:t>, Ponnusamy</w:t>
      </w:r>
      <w:r w:rsidR="00AB19A5">
        <w:rPr>
          <w:rFonts w:ascii="Arial" w:hAnsi="Arial" w:cs="Arial"/>
        </w:rPr>
        <w:t>,</w:t>
      </w:r>
      <w:r w:rsidRPr="00D81DAE">
        <w:rPr>
          <w:rFonts w:ascii="Arial" w:hAnsi="Arial" w:cs="Arial"/>
        </w:rPr>
        <w:t xml:space="preserve"> K</w:t>
      </w:r>
      <w:r w:rsidR="00AB19A5">
        <w:rPr>
          <w:rFonts w:ascii="Arial" w:hAnsi="Arial" w:cs="Arial"/>
        </w:rPr>
        <w:t>.</w:t>
      </w:r>
      <w:r w:rsidRPr="00D81DAE">
        <w:rPr>
          <w:rFonts w:ascii="Arial" w:hAnsi="Arial" w:cs="Arial"/>
        </w:rPr>
        <w:t>, Chakravarty</w:t>
      </w:r>
      <w:r w:rsidR="00AB19A5">
        <w:rPr>
          <w:rFonts w:ascii="Arial" w:hAnsi="Arial" w:cs="Arial"/>
        </w:rPr>
        <w:t>,</w:t>
      </w:r>
      <w:r w:rsidRPr="00D81DAE">
        <w:rPr>
          <w:rFonts w:ascii="Arial" w:hAnsi="Arial" w:cs="Arial"/>
        </w:rPr>
        <w:t xml:space="preserve"> A</w:t>
      </w:r>
      <w:r w:rsidR="00AB19A5">
        <w:rPr>
          <w:rFonts w:ascii="Arial" w:hAnsi="Arial" w:cs="Arial"/>
        </w:rPr>
        <w:t xml:space="preserve">. </w:t>
      </w:r>
      <w:r w:rsidRPr="00D81DAE">
        <w:rPr>
          <w:rFonts w:ascii="Arial" w:hAnsi="Arial" w:cs="Arial"/>
        </w:rPr>
        <w:t>K</w:t>
      </w:r>
      <w:r w:rsidR="00AB19A5">
        <w:rPr>
          <w:rFonts w:ascii="Arial" w:hAnsi="Arial" w:cs="Arial"/>
        </w:rPr>
        <w:t>.</w:t>
      </w:r>
      <w:r w:rsidRPr="00D81DAE">
        <w:rPr>
          <w:rFonts w:ascii="Arial" w:hAnsi="Arial" w:cs="Arial"/>
        </w:rPr>
        <w:t>, Sendhil</w:t>
      </w:r>
      <w:r w:rsidR="00AB19A5">
        <w:rPr>
          <w:rFonts w:ascii="Arial" w:hAnsi="Arial" w:cs="Arial"/>
        </w:rPr>
        <w:t>,</w:t>
      </w:r>
      <w:r w:rsidRPr="00D81DAE">
        <w:rPr>
          <w:rFonts w:ascii="Arial" w:hAnsi="Arial" w:cs="Arial"/>
        </w:rPr>
        <w:t xml:space="preserve"> R</w:t>
      </w:r>
      <w:r w:rsidR="00AB19A5">
        <w:rPr>
          <w:rFonts w:ascii="Arial" w:hAnsi="Arial" w:cs="Arial"/>
        </w:rPr>
        <w:t>.</w:t>
      </w:r>
      <w:r w:rsidRPr="00D81DAE">
        <w:rPr>
          <w:rFonts w:ascii="Arial" w:hAnsi="Arial" w:cs="Arial"/>
        </w:rPr>
        <w:t xml:space="preserve">, </w:t>
      </w:r>
      <w:r w:rsidR="00AB19A5">
        <w:rPr>
          <w:rFonts w:ascii="Arial" w:hAnsi="Arial" w:cs="Arial"/>
        </w:rPr>
        <w:t xml:space="preserve">&amp; </w:t>
      </w:r>
      <w:r w:rsidRPr="00D81DAE">
        <w:rPr>
          <w:rFonts w:ascii="Arial" w:hAnsi="Arial" w:cs="Arial"/>
        </w:rPr>
        <w:t>Mohammad</w:t>
      </w:r>
      <w:r w:rsidR="00AB19A5">
        <w:rPr>
          <w:rFonts w:ascii="Arial" w:hAnsi="Arial" w:cs="Arial"/>
        </w:rPr>
        <w:t>,</w:t>
      </w:r>
      <w:r w:rsidRPr="00D81DAE">
        <w:rPr>
          <w:rFonts w:ascii="Arial" w:hAnsi="Arial" w:cs="Arial"/>
        </w:rPr>
        <w:t xml:space="preserve"> A</w:t>
      </w:r>
      <w:r w:rsidR="00AB19A5">
        <w:rPr>
          <w:rFonts w:ascii="Arial" w:hAnsi="Arial" w:cs="Arial"/>
        </w:rPr>
        <w:t>.</w:t>
      </w:r>
      <w:r w:rsidRPr="00D81DAE">
        <w:rPr>
          <w:rFonts w:ascii="Arial" w:hAnsi="Arial" w:cs="Arial"/>
        </w:rPr>
        <w:t xml:space="preserve"> (2016)</w:t>
      </w:r>
      <w:r w:rsidR="00AB19A5">
        <w:rPr>
          <w:rFonts w:ascii="Arial" w:hAnsi="Arial" w:cs="Arial"/>
        </w:rPr>
        <w:t>.</w:t>
      </w:r>
      <w:r w:rsidRPr="00D81DAE">
        <w:rPr>
          <w:rFonts w:ascii="Arial" w:hAnsi="Arial" w:cs="Arial"/>
        </w:rPr>
        <w:t xml:space="preserve"> Assessing resource and infrastructure disparities to strengthen Indian Dairy Sector. Indian J</w:t>
      </w:r>
      <w:r w:rsidR="00463933">
        <w:rPr>
          <w:rFonts w:ascii="Arial" w:hAnsi="Arial" w:cs="Arial"/>
        </w:rPr>
        <w:t>ournal of</w:t>
      </w:r>
      <w:r w:rsidRPr="00D81DAE">
        <w:rPr>
          <w:rFonts w:ascii="Arial" w:hAnsi="Arial" w:cs="Arial"/>
        </w:rPr>
        <w:t xml:space="preserve"> Anim</w:t>
      </w:r>
      <w:r w:rsidR="00463933">
        <w:rPr>
          <w:rFonts w:ascii="Arial" w:hAnsi="Arial" w:cs="Arial"/>
        </w:rPr>
        <w:t>al</w:t>
      </w:r>
      <w:r w:rsidRPr="00D81DAE">
        <w:rPr>
          <w:rFonts w:ascii="Arial" w:hAnsi="Arial" w:cs="Arial"/>
        </w:rPr>
        <w:t xml:space="preserve"> Sci</w:t>
      </w:r>
      <w:r w:rsidR="00463933">
        <w:rPr>
          <w:rFonts w:ascii="Arial" w:hAnsi="Arial" w:cs="Arial"/>
        </w:rPr>
        <w:t>ence,</w:t>
      </w:r>
      <w:r w:rsidRPr="00D81DAE">
        <w:rPr>
          <w:rFonts w:ascii="Arial" w:hAnsi="Arial" w:cs="Arial"/>
        </w:rPr>
        <w:t xml:space="preserve"> 86</w:t>
      </w:r>
      <w:r w:rsidR="00463933">
        <w:rPr>
          <w:rFonts w:ascii="Arial" w:hAnsi="Arial" w:cs="Arial"/>
        </w:rPr>
        <w:t xml:space="preserve">, </w:t>
      </w:r>
      <w:r w:rsidRPr="00D81DAE">
        <w:rPr>
          <w:rFonts w:ascii="Arial" w:hAnsi="Arial" w:cs="Arial"/>
        </w:rPr>
        <w:t>720–725.</w:t>
      </w:r>
    </w:p>
    <w:p w14:paraId="5E764792" w14:textId="24918D1F"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Krishnan</w:t>
      </w:r>
      <w:r w:rsidR="002F17E4">
        <w:rPr>
          <w:rFonts w:ascii="Arial" w:hAnsi="Arial" w:cs="Arial"/>
        </w:rPr>
        <w:t>,</w:t>
      </w:r>
      <w:r w:rsidRPr="00D81DAE">
        <w:rPr>
          <w:rFonts w:ascii="Arial" w:hAnsi="Arial" w:cs="Arial"/>
        </w:rPr>
        <w:t xml:space="preserve"> R</w:t>
      </w:r>
      <w:r w:rsidR="002F17E4">
        <w:rPr>
          <w:rFonts w:ascii="Arial" w:hAnsi="Arial" w:cs="Arial"/>
        </w:rPr>
        <w:t>.</w:t>
      </w:r>
      <w:r w:rsidRPr="00D81DAE">
        <w:rPr>
          <w:rFonts w:ascii="Arial" w:hAnsi="Arial" w:cs="Arial"/>
        </w:rPr>
        <w:t>, Sanjay</w:t>
      </w:r>
      <w:r w:rsidR="002F17E4">
        <w:rPr>
          <w:rFonts w:ascii="Arial" w:hAnsi="Arial" w:cs="Arial"/>
        </w:rPr>
        <w:t>,</w:t>
      </w:r>
      <w:r w:rsidRPr="00D81DAE">
        <w:rPr>
          <w:rFonts w:ascii="Arial" w:hAnsi="Arial" w:cs="Arial"/>
        </w:rPr>
        <w:t xml:space="preserve"> J</w:t>
      </w:r>
      <w:r w:rsidR="002F17E4">
        <w:rPr>
          <w:rFonts w:ascii="Arial" w:hAnsi="Arial" w:cs="Arial"/>
        </w:rPr>
        <w:t>.</w:t>
      </w:r>
      <w:r w:rsidRPr="00D81DAE">
        <w:rPr>
          <w:rFonts w:ascii="Arial" w:hAnsi="Arial" w:cs="Arial"/>
        </w:rPr>
        <w:t xml:space="preserve">, </w:t>
      </w:r>
      <w:proofErr w:type="spellStart"/>
      <w:r w:rsidRPr="00D81DAE">
        <w:rPr>
          <w:rFonts w:ascii="Arial" w:hAnsi="Arial" w:cs="Arial"/>
        </w:rPr>
        <w:t>Gnanaseelan</w:t>
      </w:r>
      <w:proofErr w:type="spellEnd"/>
      <w:r w:rsidR="002F17E4">
        <w:rPr>
          <w:rFonts w:ascii="Arial" w:hAnsi="Arial" w:cs="Arial"/>
        </w:rPr>
        <w:t>,</w:t>
      </w:r>
      <w:r w:rsidRPr="00D81DAE">
        <w:rPr>
          <w:rFonts w:ascii="Arial" w:hAnsi="Arial" w:cs="Arial"/>
        </w:rPr>
        <w:t xml:space="preserve"> C</w:t>
      </w:r>
      <w:r w:rsidR="002F17E4">
        <w:rPr>
          <w:rFonts w:ascii="Arial" w:hAnsi="Arial" w:cs="Arial"/>
        </w:rPr>
        <w:t>.</w:t>
      </w:r>
      <w:r w:rsidRPr="00D81DAE">
        <w:rPr>
          <w:rFonts w:ascii="Arial" w:hAnsi="Arial" w:cs="Arial"/>
        </w:rPr>
        <w:t>, Mujumdar</w:t>
      </w:r>
      <w:r w:rsidR="002F17E4">
        <w:rPr>
          <w:rFonts w:ascii="Arial" w:hAnsi="Arial" w:cs="Arial"/>
        </w:rPr>
        <w:t>,</w:t>
      </w:r>
      <w:r w:rsidRPr="00D81DAE">
        <w:rPr>
          <w:rFonts w:ascii="Arial" w:hAnsi="Arial" w:cs="Arial"/>
        </w:rPr>
        <w:t xml:space="preserve"> M</w:t>
      </w:r>
      <w:r w:rsidR="002F17E4">
        <w:rPr>
          <w:rFonts w:ascii="Arial" w:hAnsi="Arial" w:cs="Arial"/>
        </w:rPr>
        <w:t>.</w:t>
      </w:r>
      <w:r w:rsidRPr="00D81DAE">
        <w:rPr>
          <w:rFonts w:ascii="Arial" w:hAnsi="Arial" w:cs="Arial"/>
        </w:rPr>
        <w:t>, Kulkarni</w:t>
      </w:r>
      <w:r w:rsidR="002F17E4">
        <w:rPr>
          <w:rFonts w:ascii="Arial" w:hAnsi="Arial" w:cs="Arial"/>
        </w:rPr>
        <w:t>,</w:t>
      </w:r>
      <w:r w:rsidRPr="00D81DAE">
        <w:rPr>
          <w:rFonts w:ascii="Arial" w:hAnsi="Arial" w:cs="Arial"/>
        </w:rPr>
        <w:t xml:space="preserve"> A</w:t>
      </w:r>
      <w:r w:rsidR="002F17E4">
        <w:rPr>
          <w:rFonts w:ascii="Arial" w:hAnsi="Arial" w:cs="Arial"/>
        </w:rPr>
        <w:t>.</w:t>
      </w:r>
      <w:r w:rsidRPr="00D81DAE">
        <w:rPr>
          <w:rFonts w:ascii="Arial" w:hAnsi="Arial" w:cs="Arial"/>
        </w:rPr>
        <w:t xml:space="preserve">, </w:t>
      </w:r>
      <w:r w:rsidR="002F17E4">
        <w:rPr>
          <w:rFonts w:ascii="Arial" w:hAnsi="Arial" w:cs="Arial"/>
        </w:rPr>
        <w:t xml:space="preserve">&amp; </w:t>
      </w:r>
      <w:r w:rsidRPr="00D81DAE">
        <w:rPr>
          <w:rFonts w:ascii="Arial" w:hAnsi="Arial" w:cs="Arial"/>
        </w:rPr>
        <w:t>Chakraborty</w:t>
      </w:r>
      <w:r w:rsidR="002F17E4">
        <w:rPr>
          <w:rFonts w:ascii="Arial" w:hAnsi="Arial" w:cs="Arial"/>
        </w:rPr>
        <w:t>,</w:t>
      </w:r>
      <w:r w:rsidRPr="00D81DAE">
        <w:rPr>
          <w:rFonts w:ascii="Arial" w:hAnsi="Arial" w:cs="Arial"/>
        </w:rPr>
        <w:t xml:space="preserve"> S</w:t>
      </w:r>
      <w:r w:rsidR="002F17E4">
        <w:rPr>
          <w:rFonts w:ascii="Arial" w:hAnsi="Arial" w:cs="Arial"/>
        </w:rPr>
        <w:t>.</w:t>
      </w:r>
      <w:r w:rsidRPr="00D81DAE">
        <w:rPr>
          <w:rFonts w:ascii="Arial" w:hAnsi="Arial" w:cs="Arial"/>
        </w:rPr>
        <w:t xml:space="preserve"> (2020)</w:t>
      </w:r>
      <w:r w:rsidR="00244013">
        <w:rPr>
          <w:rFonts w:ascii="Arial" w:hAnsi="Arial" w:cs="Arial"/>
        </w:rPr>
        <w:t>.</w:t>
      </w:r>
      <w:r w:rsidRPr="00D81DAE">
        <w:rPr>
          <w:rFonts w:ascii="Arial" w:hAnsi="Arial" w:cs="Arial"/>
        </w:rPr>
        <w:t xml:space="preserve"> Assessment of climate change over the Indian region: A report of the </w:t>
      </w:r>
      <w:r w:rsidRPr="00D81DAE">
        <w:rPr>
          <w:rFonts w:ascii="Arial" w:hAnsi="Arial" w:cs="Arial"/>
        </w:rPr>
        <w:lastRenderedPageBreak/>
        <w:t xml:space="preserve">ministry of earth sciences (MOES), Government of India. Springer Nature. </w:t>
      </w:r>
      <w:hyperlink r:id="rId21" w:history="1">
        <w:r w:rsidRPr="00957370">
          <w:rPr>
            <w:rStyle w:val="Hyperlink"/>
            <w:rFonts w:ascii="Arial" w:hAnsi="Arial" w:cs="Arial"/>
            <w:color w:val="0070C0"/>
            <w:shd w:val="clear" w:color="auto" w:fill="FFFFFF"/>
          </w:rPr>
          <w:t>https://doi.org/10.1007/978-981-15-4327-2</w:t>
        </w:r>
      </w:hyperlink>
      <w:r w:rsidRPr="00957370">
        <w:rPr>
          <w:rFonts w:ascii="Arial" w:hAnsi="Arial" w:cs="Arial"/>
          <w:color w:val="0070C0"/>
          <w:shd w:val="clear" w:color="auto" w:fill="FFFFFF"/>
        </w:rPr>
        <w:t>.</w:t>
      </w:r>
    </w:p>
    <w:p w14:paraId="261FED99" w14:textId="1B8DDBEE"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Kumar</w:t>
      </w:r>
      <w:r w:rsidR="00244013">
        <w:rPr>
          <w:rFonts w:ascii="Arial" w:hAnsi="Arial" w:cs="Arial"/>
        </w:rPr>
        <w:t>,</w:t>
      </w:r>
      <w:r w:rsidRPr="00D81DAE">
        <w:rPr>
          <w:rFonts w:ascii="Arial" w:hAnsi="Arial" w:cs="Arial"/>
        </w:rPr>
        <w:t xml:space="preserve"> S</w:t>
      </w:r>
      <w:r w:rsidR="00244013">
        <w:rPr>
          <w:rFonts w:ascii="Arial" w:hAnsi="Arial" w:cs="Arial"/>
        </w:rPr>
        <w:t>.</w:t>
      </w:r>
      <w:r w:rsidRPr="00D81DAE">
        <w:rPr>
          <w:rFonts w:ascii="Arial" w:hAnsi="Arial" w:cs="Arial"/>
        </w:rPr>
        <w:t>, Raizada</w:t>
      </w:r>
      <w:r w:rsidR="00244013">
        <w:rPr>
          <w:rFonts w:ascii="Arial" w:hAnsi="Arial" w:cs="Arial"/>
        </w:rPr>
        <w:t>,</w:t>
      </w:r>
      <w:r w:rsidRPr="00D81DAE">
        <w:rPr>
          <w:rFonts w:ascii="Arial" w:hAnsi="Arial" w:cs="Arial"/>
        </w:rPr>
        <w:t xml:space="preserve"> A</w:t>
      </w:r>
      <w:r w:rsidR="00244013">
        <w:rPr>
          <w:rFonts w:ascii="Arial" w:hAnsi="Arial" w:cs="Arial"/>
        </w:rPr>
        <w:t>.</w:t>
      </w:r>
      <w:r w:rsidRPr="00D81DAE">
        <w:rPr>
          <w:rFonts w:ascii="Arial" w:hAnsi="Arial" w:cs="Arial"/>
        </w:rPr>
        <w:t>, Biswas</w:t>
      </w:r>
      <w:r w:rsidR="00244013">
        <w:rPr>
          <w:rFonts w:ascii="Arial" w:hAnsi="Arial" w:cs="Arial"/>
        </w:rPr>
        <w:t>,</w:t>
      </w:r>
      <w:r w:rsidRPr="00D81DAE">
        <w:rPr>
          <w:rFonts w:ascii="Arial" w:hAnsi="Arial" w:cs="Arial"/>
        </w:rPr>
        <w:t xml:space="preserve"> H</w:t>
      </w:r>
      <w:r w:rsidR="00244013">
        <w:rPr>
          <w:rFonts w:ascii="Arial" w:hAnsi="Arial" w:cs="Arial"/>
        </w:rPr>
        <w:t>.</w:t>
      </w:r>
      <w:r w:rsidRPr="00D81DAE">
        <w:rPr>
          <w:rFonts w:ascii="Arial" w:hAnsi="Arial" w:cs="Arial"/>
        </w:rPr>
        <w:t>, Srinivas</w:t>
      </w:r>
      <w:r w:rsidR="00244013">
        <w:rPr>
          <w:rFonts w:ascii="Arial" w:hAnsi="Arial" w:cs="Arial"/>
        </w:rPr>
        <w:t>,</w:t>
      </w:r>
      <w:r w:rsidRPr="00D81DAE">
        <w:rPr>
          <w:rFonts w:ascii="Arial" w:hAnsi="Arial" w:cs="Arial"/>
        </w:rPr>
        <w:t xml:space="preserve"> S</w:t>
      </w:r>
      <w:r w:rsidR="00244013">
        <w:rPr>
          <w:rFonts w:ascii="Arial" w:hAnsi="Arial" w:cs="Arial"/>
        </w:rPr>
        <w:t>.</w:t>
      </w:r>
      <w:r w:rsidRPr="00D81DAE">
        <w:rPr>
          <w:rFonts w:ascii="Arial" w:hAnsi="Arial" w:cs="Arial"/>
        </w:rPr>
        <w:t xml:space="preserve">, </w:t>
      </w:r>
      <w:r w:rsidR="00244013">
        <w:rPr>
          <w:rFonts w:ascii="Arial" w:hAnsi="Arial" w:cs="Arial"/>
        </w:rPr>
        <w:t xml:space="preserve">&amp; </w:t>
      </w:r>
      <w:r w:rsidRPr="00D81DAE">
        <w:rPr>
          <w:rFonts w:ascii="Arial" w:hAnsi="Arial" w:cs="Arial"/>
        </w:rPr>
        <w:t>Biswajit</w:t>
      </w:r>
      <w:r w:rsidR="00244013">
        <w:rPr>
          <w:rFonts w:ascii="Arial" w:hAnsi="Arial" w:cs="Arial"/>
        </w:rPr>
        <w:t xml:space="preserve">, </w:t>
      </w:r>
      <w:r w:rsidRPr="00D81DAE">
        <w:rPr>
          <w:rFonts w:ascii="Arial" w:hAnsi="Arial" w:cs="Arial"/>
        </w:rPr>
        <w:t>M</w:t>
      </w:r>
      <w:r w:rsidR="00244013">
        <w:rPr>
          <w:rFonts w:ascii="Arial" w:hAnsi="Arial" w:cs="Arial"/>
        </w:rPr>
        <w:t>.</w:t>
      </w:r>
      <w:r w:rsidRPr="00D81DAE">
        <w:rPr>
          <w:rFonts w:ascii="Arial" w:hAnsi="Arial" w:cs="Arial"/>
        </w:rPr>
        <w:t xml:space="preserve"> (2016)</w:t>
      </w:r>
      <w:r w:rsidR="00244013">
        <w:rPr>
          <w:rFonts w:ascii="Arial" w:hAnsi="Arial" w:cs="Arial"/>
        </w:rPr>
        <w:t>.</w:t>
      </w:r>
      <w:r w:rsidRPr="00D81DAE">
        <w:rPr>
          <w:rFonts w:ascii="Arial" w:hAnsi="Arial" w:cs="Arial"/>
        </w:rPr>
        <w:t xml:space="preserve"> Application of indicators for identifying climate change vulnerable areas in semi-arid regions of India. </w:t>
      </w:r>
      <w:r w:rsidR="00D01654">
        <w:rPr>
          <w:rFonts w:ascii="Arial" w:hAnsi="Arial" w:cs="Arial"/>
        </w:rPr>
        <w:t>Ecological Indicator</w:t>
      </w:r>
      <w:r w:rsidR="000130A0">
        <w:rPr>
          <w:rFonts w:ascii="Arial" w:hAnsi="Arial" w:cs="Arial"/>
        </w:rPr>
        <w:t>s</w:t>
      </w:r>
      <w:r w:rsidR="00D01654">
        <w:rPr>
          <w:rFonts w:ascii="Arial" w:hAnsi="Arial" w:cs="Arial"/>
        </w:rPr>
        <w:t>,</w:t>
      </w:r>
      <w:r w:rsidRPr="00D81DAE">
        <w:rPr>
          <w:rFonts w:ascii="Arial" w:hAnsi="Arial" w:cs="Arial"/>
        </w:rPr>
        <w:t xml:space="preserve"> 70</w:t>
      </w:r>
      <w:r w:rsidR="00D01654">
        <w:rPr>
          <w:rFonts w:ascii="Arial" w:hAnsi="Arial" w:cs="Arial"/>
        </w:rPr>
        <w:t xml:space="preserve">, </w:t>
      </w:r>
      <w:r w:rsidRPr="00D81DAE">
        <w:rPr>
          <w:rFonts w:ascii="Arial" w:hAnsi="Arial" w:cs="Arial"/>
        </w:rPr>
        <w:t>507–517.</w:t>
      </w:r>
    </w:p>
    <w:p w14:paraId="5AAEDBC2" w14:textId="316A7185"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Local Government Division (2023)</w:t>
      </w:r>
      <w:r w:rsidR="00031000">
        <w:rPr>
          <w:rFonts w:ascii="Arial" w:hAnsi="Arial" w:cs="Arial"/>
        </w:rPr>
        <w:t>.</w:t>
      </w:r>
      <w:r w:rsidRPr="00D81DAE">
        <w:rPr>
          <w:rFonts w:ascii="Arial" w:hAnsi="Arial" w:cs="Arial"/>
        </w:rPr>
        <w:t xml:space="preserve"> Climate Vulnerability Index. Local Government Initiative on Climate Change (</w:t>
      </w:r>
      <w:proofErr w:type="spellStart"/>
      <w:r w:rsidRPr="00D81DAE">
        <w:rPr>
          <w:rFonts w:ascii="Arial" w:hAnsi="Arial" w:cs="Arial"/>
        </w:rPr>
        <w:t>LoGIC</w:t>
      </w:r>
      <w:proofErr w:type="spellEnd"/>
      <w:r w:rsidRPr="00D81DAE">
        <w:rPr>
          <w:rFonts w:ascii="Arial" w:hAnsi="Arial" w:cs="Arial"/>
        </w:rPr>
        <w:t xml:space="preserve">) Project, United Nations Development </w:t>
      </w:r>
      <w:proofErr w:type="spellStart"/>
      <w:r w:rsidRPr="00D81DAE">
        <w:rPr>
          <w:rFonts w:ascii="Arial" w:hAnsi="Arial" w:cs="Arial"/>
        </w:rPr>
        <w:t>Programme</w:t>
      </w:r>
      <w:proofErr w:type="spellEnd"/>
      <w:r w:rsidRPr="00D81DAE">
        <w:rPr>
          <w:rFonts w:ascii="Arial" w:hAnsi="Arial" w:cs="Arial"/>
        </w:rPr>
        <w:t xml:space="preserve"> (UNDP), Bangladesh. </w:t>
      </w:r>
      <w:hyperlink r:id="rId22" w:history="1">
        <w:r w:rsidRPr="00957370">
          <w:rPr>
            <w:rStyle w:val="Hyperlink"/>
            <w:rFonts w:ascii="Arial" w:hAnsi="Arial" w:cs="Arial"/>
            <w:color w:val="0070C0"/>
          </w:rPr>
          <w:t>https://www.undp.org/bangladesh/publications/climate-vulnerability-index-draft</w:t>
        </w:r>
      </w:hyperlink>
      <w:r w:rsidRPr="00957370">
        <w:rPr>
          <w:rFonts w:ascii="Arial" w:hAnsi="Arial" w:cs="Arial"/>
          <w:color w:val="0070C0"/>
        </w:rPr>
        <w:t xml:space="preserve"> </w:t>
      </w:r>
    </w:p>
    <w:p w14:paraId="7647ED3B" w14:textId="26C16F58"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Mahida</w:t>
      </w:r>
      <w:r w:rsidR="00031000">
        <w:rPr>
          <w:rFonts w:ascii="Arial" w:hAnsi="Arial" w:cs="Arial"/>
        </w:rPr>
        <w:t>,</w:t>
      </w:r>
      <w:r w:rsidRPr="00D81DAE">
        <w:rPr>
          <w:rFonts w:ascii="Arial" w:hAnsi="Arial" w:cs="Arial"/>
        </w:rPr>
        <w:t xml:space="preserve"> D</w:t>
      </w:r>
      <w:r w:rsidR="00031000">
        <w:rPr>
          <w:rFonts w:ascii="Arial" w:hAnsi="Arial" w:cs="Arial"/>
        </w:rPr>
        <w:t>.</w:t>
      </w:r>
      <w:r w:rsidRPr="00D81DAE">
        <w:rPr>
          <w:rFonts w:ascii="Arial" w:hAnsi="Arial" w:cs="Arial"/>
        </w:rPr>
        <w:t>, Sendhil</w:t>
      </w:r>
      <w:r w:rsidR="00031000">
        <w:rPr>
          <w:rFonts w:ascii="Arial" w:hAnsi="Arial" w:cs="Arial"/>
        </w:rPr>
        <w:t>,</w:t>
      </w:r>
      <w:r w:rsidRPr="00D81DAE">
        <w:rPr>
          <w:rFonts w:ascii="Arial" w:hAnsi="Arial" w:cs="Arial"/>
        </w:rPr>
        <w:t xml:space="preserve"> R</w:t>
      </w:r>
      <w:r w:rsidR="00031000">
        <w:rPr>
          <w:rFonts w:ascii="Arial" w:hAnsi="Arial" w:cs="Arial"/>
        </w:rPr>
        <w:t>.</w:t>
      </w:r>
      <w:r w:rsidRPr="00D81DAE">
        <w:rPr>
          <w:rFonts w:ascii="Arial" w:hAnsi="Arial" w:cs="Arial"/>
        </w:rPr>
        <w:t xml:space="preserve"> (2017)</w:t>
      </w:r>
      <w:r w:rsidR="00031000">
        <w:rPr>
          <w:rFonts w:ascii="Arial" w:hAnsi="Arial" w:cs="Arial"/>
        </w:rPr>
        <w:t>.</w:t>
      </w:r>
      <w:r w:rsidRPr="00D81DAE">
        <w:rPr>
          <w:rFonts w:ascii="Arial" w:hAnsi="Arial" w:cs="Arial"/>
        </w:rPr>
        <w:t xml:space="preserve"> Principal Component Analysis (PCA) based Indexing, In: Sendhil R, Anuj Kumar, Satyavir Singh, Ajay Verma, Karnam Venkatesh and Vikas Gupta (Eds.), From Data Analysis Tools and Approaches (DATA) in Agricultural Sciences, ICAR-IIWBR, Karnal, India, ISBN No. 978-93-5300-510-8.</w:t>
      </w:r>
    </w:p>
    <w:p w14:paraId="3C604BA2" w14:textId="0E55225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O’Brien</w:t>
      </w:r>
      <w:r w:rsidR="001C0E53">
        <w:rPr>
          <w:rFonts w:ascii="Arial" w:hAnsi="Arial" w:cs="Arial"/>
        </w:rPr>
        <w:t>,</w:t>
      </w:r>
      <w:r w:rsidRPr="00D81DAE">
        <w:rPr>
          <w:rFonts w:ascii="Arial" w:hAnsi="Arial" w:cs="Arial"/>
        </w:rPr>
        <w:t xml:space="preserve"> G</w:t>
      </w:r>
      <w:r w:rsidR="001C0E53">
        <w:rPr>
          <w:rFonts w:ascii="Arial" w:hAnsi="Arial" w:cs="Arial"/>
        </w:rPr>
        <w:t>.</w:t>
      </w:r>
      <w:r w:rsidRPr="00D81DAE">
        <w:rPr>
          <w:rFonts w:ascii="Arial" w:hAnsi="Arial" w:cs="Arial"/>
        </w:rPr>
        <w:t xml:space="preserve">, </w:t>
      </w:r>
      <w:proofErr w:type="spellStart"/>
      <w:r w:rsidRPr="00D81DAE">
        <w:rPr>
          <w:rFonts w:ascii="Arial" w:hAnsi="Arial" w:cs="Arial"/>
        </w:rPr>
        <w:t>O’keefe</w:t>
      </w:r>
      <w:proofErr w:type="spellEnd"/>
      <w:r w:rsidR="001C0E53">
        <w:rPr>
          <w:rFonts w:ascii="Arial" w:hAnsi="Arial" w:cs="Arial"/>
        </w:rPr>
        <w:t>,</w:t>
      </w:r>
      <w:r w:rsidRPr="00D81DAE">
        <w:rPr>
          <w:rFonts w:ascii="Arial" w:hAnsi="Arial" w:cs="Arial"/>
        </w:rPr>
        <w:t xml:space="preserve"> P</w:t>
      </w:r>
      <w:r w:rsidR="001C0E53">
        <w:rPr>
          <w:rFonts w:ascii="Arial" w:hAnsi="Arial" w:cs="Arial"/>
        </w:rPr>
        <w:t>.</w:t>
      </w:r>
      <w:r w:rsidRPr="00D81DAE">
        <w:rPr>
          <w:rFonts w:ascii="Arial" w:hAnsi="Arial" w:cs="Arial"/>
        </w:rPr>
        <w:t>, Meena</w:t>
      </w:r>
      <w:r w:rsidR="002A0AD1">
        <w:rPr>
          <w:rFonts w:ascii="Arial" w:hAnsi="Arial" w:cs="Arial"/>
        </w:rPr>
        <w:t>,</w:t>
      </w:r>
      <w:r w:rsidRPr="00D81DAE">
        <w:rPr>
          <w:rFonts w:ascii="Arial" w:hAnsi="Arial" w:cs="Arial"/>
        </w:rPr>
        <w:t xml:space="preserve"> H</w:t>
      </w:r>
      <w:r w:rsidR="002A0AD1">
        <w:rPr>
          <w:rFonts w:ascii="Arial" w:hAnsi="Arial" w:cs="Arial"/>
        </w:rPr>
        <w:t>.</w:t>
      </w:r>
      <w:r w:rsidRPr="00D81DAE">
        <w:rPr>
          <w:rFonts w:ascii="Arial" w:hAnsi="Arial" w:cs="Arial"/>
        </w:rPr>
        <w:t>, Rose</w:t>
      </w:r>
      <w:r w:rsidR="002A0AD1">
        <w:rPr>
          <w:rFonts w:ascii="Arial" w:hAnsi="Arial" w:cs="Arial"/>
        </w:rPr>
        <w:t>,</w:t>
      </w:r>
      <w:r w:rsidRPr="00D81DAE">
        <w:rPr>
          <w:rFonts w:ascii="Arial" w:hAnsi="Arial" w:cs="Arial"/>
        </w:rPr>
        <w:t xml:space="preserve"> J</w:t>
      </w:r>
      <w:r w:rsidR="002A0AD1">
        <w:rPr>
          <w:rFonts w:ascii="Arial" w:hAnsi="Arial" w:cs="Arial"/>
        </w:rPr>
        <w:t>.</w:t>
      </w:r>
      <w:r w:rsidRPr="00D81DAE">
        <w:rPr>
          <w:rFonts w:ascii="Arial" w:hAnsi="Arial" w:cs="Arial"/>
        </w:rPr>
        <w:t xml:space="preserve">, </w:t>
      </w:r>
      <w:r w:rsidR="002A0AD1">
        <w:rPr>
          <w:rFonts w:ascii="Arial" w:hAnsi="Arial" w:cs="Arial"/>
        </w:rPr>
        <w:t xml:space="preserve">&amp; </w:t>
      </w:r>
      <w:r w:rsidRPr="00D81DAE">
        <w:rPr>
          <w:rFonts w:ascii="Arial" w:hAnsi="Arial" w:cs="Arial"/>
        </w:rPr>
        <w:t>Wilson</w:t>
      </w:r>
      <w:r w:rsidR="002A0AD1">
        <w:rPr>
          <w:rFonts w:ascii="Arial" w:hAnsi="Arial" w:cs="Arial"/>
        </w:rPr>
        <w:t>,</w:t>
      </w:r>
      <w:r w:rsidRPr="00D81DAE">
        <w:rPr>
          <w:rFonts w:ascii="Arial" w:hAnsi="Arial" w:cs="Arial"/>
        </w:rPr>
        <w:t xml:space="preserve"> L</w:t>
      </w:r>
      <w:r w:rsidR="002A0AD1">
        <w:rPr>
          <w:rFonts w:ascii="Arial" w:hAnsi="Arial" w:cs="Arial"/>
        </w:rPr>
        <w:t>.</w:t>
      </w:r>
      <w:r w:rsidRPr="00D81DAE">
        <w:rPr>
          <w:rFonts w:ascii="Arial" w:hAnsi="Arial" w:cs="Arial"/>
        </w:rPr>
        <w:t xml:space="preserve"> (2008)</w:t>
      </w:r>
      <w:r w:rsidR="002A0AD1">
        <w:rPr>
          <w:rFonts w:ascii="Arial" w:hAnsi="Arial" w:cs="Arial"/>
        </w:rPr>
        <w:t>.</w:t>
      </w:r>
      <w:r w:rsidRPr="00D81DAE">
        <w:rPr>
          <w:rFonts w:ascii="Arial" w:hAnsi="Arial" w:cs="Arial"/>
        </w:rPr>
        <w:t xml:space="preserve"> Climate adaptation from a poverty perspective. Clim</w:t>
      </w:r>
      <w:r w:rsidR="00AD67D7">
        <w:rPr>
          <w:rFonts w:ascii="Arial" w:hAnsi="Arial" w:cs="Arial"/>
        </w:rPr>
        <w:t>ate</w:t>
      </w:r>
      <w:r w:rsidRPr="00D81DAE">
        <w:rPr>
          <w:rFonts w:ascii="Arial" w:hAnsi="Arial" w:cs="Arial"/>
        </w:rPr>
        <w:t xml:space="preserve"> Policy</w:t>
      </w:r>
      <w:r w:rsidR="00AD67D7">
        <w:rPr>
          <w:rFonts w:ascii="Arial" w:hAnsi="Arial" w:cs="Arial"/>
        </w:rPr>
        <w:t>,</w:t>
      </w:r>
      <w:r w:rsidRPr="00D81DAE">
        <w:rPr>
          <w:rFonts w:ascii="Arial" w:hAnsi="Arial" w:cs="Arial"/>
        </w:rPr>
        <w:t xml:space="preserve"> 8(2)</w:t>
      </w:r>
      <w:r w:rsidR="00AD67D7">
        <w:rPr>
          <w:rFonts w:ascii="Arial" w:hAnsi="Arial" w:cs="Arial"/>
        </w:rPr>
        <w:t xml:space="preserve">, </w:t>
      </w:r>
      <w:r w:rsidRPr="00D81DAE">
        <w:rPr>
          <w:rFonts w:ascii="Arial" w:hAnsi="Arial" w:cs="Arial"/>
        </w:rPr>
        <w:t xml:space="preserve">194-201. </w:t>
      </w:r>
      <w:hyperlink r:id="rId23" w:history="1">
        <w:r w:rsidRPr="00957370">
          <w:rPr>
            <w:rStyle w:val="Hyperlink"/>
            <w:rFonts w:ascii="Arial" w:hAnsi="Arial" w:cs="Arial"/>
            <w:color w:val="0070C0"/>
          </w:rPr>
          <w:t>https://doi.org/10.3763/cpol.2007.0430</w:t>
        </w:r>
      </w:hyperlink>
      <w:r w:rsidRPr="00957370">
        <w:rPr>
          <w:rFonts w:ascii="Arial" w:hAnsi="Arial" w:cs="Arial"/>
          <w:color w:val="0070C0"/>
        </w:rPr>
        <w:t>.</w:t>
      </w:r>
    </w:p>
    <w:p w14:paraId="67E576BA" w14:textId="290EA4C5"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Ponnusamy</w:t>
      </w:r>
      <w:r w:rsidR="006D3201">
        <w:rPr>
          <w:rFonts w:ascii="Arial" w:hAnsi="Arial" w:cs="Arial"/>
        </w:rPr>
        <w:t>,</w:t>
      </w:r>
      <w:r w:rsidRPr="00D81DAE">
        <w:rPr>
          <w:rFonts w:ascii="Arial" w:hAnsi="Arial" w:cs="Arial"/>
        </w:rPr>
        <w:t xml:space="preserve"> K</w:t>
      </w:r>
      <w:r w:rsidR="006D3201">
        <w:rPr>
          <w:rFonts w:ascii="Arial" w:hAnsi="Arial" w:cs="Arial"/>
        </w:rPr>
        <w:t>.</w:t>
      </w:r>
      <w:r w:rsidRPr="00D81DAE">
        <w:rPr>
          <w:rFonts w:ascii="Arial" w:hAnsi="Arial" w:cs="Arial"/>
        </w:rPr>
        <w:t>, Sendhil</w:t>
      </w:r>
      <w:r w:rsidR="006D3201">
        <w:rPr>
          <w:rFonts w:ascii="Arial" w:hAnsi="Arial" w:cs="Arial"/>
        </w:rPr>
        <w:t>,</w:t>
      </w:r>
      <w:r w:rsidRPr="00D81DAE">
        <w:rPr>
          <w:rFonts w:ascii="Arial" w:hAnsi="Arial" w:cs="Arial"/>
        </w:rPr>
        <w:t xml:space="preserve"> R</w:t>
      </w:r>
      <w:r w:rsidR="006D3201">
        <w:rPr>
          <w:rFonts w:ascii="Arial" w:hAnsi="Arial" w:cs="Arial"/>
        </w:rPr>
        <w:t>.</w:t>
      </w:r>
      <w:r w:rsidRPr="00D81DAE">
        <w:rPr>
          <w:rFonts w:ascii="Arial" w:hAnsi="Arial" w:cs="Arial"/>
        </w:rPr>
        <w:t xml:space="preserve">, </w:t>
      </w:r>
      <w:r w:rsidR="006D3201">
        <w:rPr>
          <w:rFonts w:ascii="Arial" w:hAnsi="Arial" w:cs="Arial"/>
        </w:rPr>
        <w:t xml:space="preserve">&amp; </w:t>
      </w:r>
      <w:r w:rsidRPr="00D81DAE">
        <w:rPr>
          <w:rFonts w:ascii="Arial" w:hAnsi="Arial" w:cs="Arial"/>
        </w:rPr>
        <w:t>Krishnan</w:t>
      </w:r>
      <w:r w:rsidR="006D3201">
        <w:rPr>
          <w:rFonts w:ascii="Arial" w:hAnsi="Arial" w:cs="Arial"/>
        </w:rPr>
        <w:t>,</w:t>
      </w:r>
      <w:r w:rsidRPr="00D81DAE">
        <w:rPr>
          <w:rFonts w:ascii="Arial" w:hAnsi="Arial" w:cs="Arial"/>
        </w:rPr>
        <w:t xml:space="preserve"> M</w:t>
      </w:r>
      <w:r w:rsidR="006D3201">
        <w:rPr>
          <w:rFonts w:ascii="Arial" w:hAnsi="Arial" w:cs="Arial"/>
        </w:rPr>
        <w:t>.</w:t>
      </w:r>
      <w:r w:rsidRPr="00D81DAE">
        <w:rPr>
          <w:rFonts w:ascii="Arial" w:hAnsi="Arial" w:cs="Arial"/>
        </w:rPr>
        <w:t xml:space="preserve"> (2016)</w:t>
      </w:r>
      <w:r w:rsidR="006D3201">
        <w:rPr>
          <w:rFonts w:ascii="Arial" w:hAnsi="Arial" w:cs="Arial"/>
        </w:rPr>
        <w:t>.</w:t>
      </w:r>
      <w:r w:rsidRPr="00D81DAE">
        <w:rPr>
          <w:rFonts w:ascii="Arial" w:hAnsi="Arial" w:cs="Arial"/>
        </w:rPr>
        <w:t xml:space="preserve"> Socio-economic development of fishers in Andhra Pradesh and Telangana states in India. Indian J</w:t>
      </w:r>
      <w:r w:rsidR="00B57A29">
        <w:rPr>
          <w:rFonts w:ascii="Arial" w:hAnsi="Arial" w:cs="Arial"/>
        </w:rPr>
        <w:t>ournal of</w:t>
      </w:r>
      <w:r w:rsidRPr="00D81DAE">
        <w:rPr>
          <w:rFonts w:ascii="Arial" w:hAnsi="Arial" w:cs="Arial"/>
        </w:rPr>
        <w:t xml:space="preserve"> </w:t>
      </w:r>
      <w:r w:rsidR="000130A0" w:rsidRPr="00D81DAE">
        <w:rPr>
          <w:rFonts w:ascii="Arial" w:hAnsi="Arial" w:cs="Arial"/>
        </w:rPr>
        <w:t>Fish</w:t>
      </w:r>
      <w:r w:rsidR="000130A0">
        <w:rPr>
          <w:rFonts w:ascii="Arial" w:hAnsi="Arial" w:cs="Arial"/>
        </w:rPr>
        <w:t xml:space="preserve">eries, </w:t>
      </w:r>
      <w:r w:rsidR="000130A0" w:rsidRPr="00D81DAE">
        <w:rPr>
          <w:rFonts w:ascii="Arial" w:hAnsi="Arial" w:cs="Arial"/>
        </w:rPr>
        <w:t>63</w:t>
      </w:r>
      <w:r w:rsidRPr="00D81DAE">
        <w:rPr>
          <w:rFonts w:ascii="Arial" w:hAnsi="Arial" w:cs="Arial"/>
        </w:rPr>
        <w:t>(3)</w:t>
      </w:r>
      <w:r w:rsidR="00B57A29">
        <w:rPr>
          <w:rFonts w:ascii="Arial" w:hAnsi="Arial" w:cs="Arial"/>
        </w:rPr>
        <w:t xml:space="preserve">, </w:t>
      </w:r>
      <w:r w:rsidRPr="00D81DAE">
        <w:rPr>
          <w:rFonts w:ascii="Arial" w:hAnsi="Arial" w:cs="Arial"/>
        </w:rPr>
        <w:t>157–161.</w:t>
      </w:r>
    </w:p>
    <w:p w14:paraId="415B4F07" w14:textId="2EFC94F1"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Rana</w:t>
      </w:r>
      <w:r w:rsidR="004936A6">
        <w:rPr>
          <w:rFonts w:ascii="Arial" w:hAnsi="Arial" w:cs="Arial"/>
        </w:rPr>
        <w:t>,</w:t>
      </w:r>
      <w:r w:rsidRPr="00D81DAE">
        <w:rPr>
          <w:rFonts w:ascii="Arial" w:hAnsi="Arial" w:cs="Arial"/>
        </w:rPr>
        <w:t xml:space="preserve"> V</w:t>
      </w:r>
      <w:r w:rsidR="004936A6">
        <w:rPr>
          <w:rFonts w:ascii="Arial" w:hAnsi="Arial" w:cs="Arial"/>
        </w:rPr>
        <w:t>.</w:t>
      </w:r>
      <w:r w:rsidRPr="00D81DAE">
        <w:rPr>
          <w:rFonts w:ascii="Arial" w:hAnsi="Arial" w:cs="Arial"/>
        </w:rPr>
        <w:t>, Ram</w:t>
      </w:r>
      <w:r w:rsidR="004936A6">
        <w:rPr>
          <w:rFonts w:ascii="Arial" w:hAnsi="Arial" w:cs="Arial"/>
        </w:rPr>
        <w:t>,</w:t>
      </w:r>
      <w:r w:rsidRPr="00D81DAE">
        <w:rPr>
          <w:rFonts w:ascii="Arial" w:hAnsi="Arial" w:cs="Arial"/>
        </w:rPr>
        <w:t xml:space="preserve"> S</w:t>
      </w:r>
      <w:r w:rsidR="004936A6">
        <w:rPr>
          <w:rFonts w:ascii="Arial" w:hAnsi="Arial" w:cs="Arial"/>
        </w:rPr>
        <w:t>.</w:t>
      </w:r>
      <w:r w:rsidRPr="00D81DAE">
        <w:rPr>
          <w:rFonts w:ascii="Arial" w:hAnsi="Arial" w:cs="Arial"/>
        </w:rPr>
        <w:t>, Sendhil</w:t>
      </w:r>
      <w:r w:rsidR="004936A6">
        <w:rPr>
          <w:rFonts w:ascii="Arial" w:hAnsi="Arial" w:cs="Arial"/>
        </w:rPr>
        <w:t>,</w:t>
      </w:r>
      <w:r w:rsidRPr="00D81DAE">
        <w:rPr>
          <w:rFonts w:ascii="Arial" w:hAnsi="Arial" w:cs="Arial"/>
        </w:rPr>
        <w:t xml:space="preserve"> R</w:t>
      </w:r>
      <w:r w:rsidR="004936A6">
        <w:rPr>
          <w:rFonts w:ascii="Arial" w:hAnsi="Arial" w:cs="Arial"/>
        </w:rPr>
        <w:t>.</w:t>
      </w:r>
      <w:r w:rsidRPr="00D81DAE">
        <w:rPr>
          <w:rFonts w:ascii="Arial" w:hAnsi="Arial" w:cs="Arial"/>
        </w:rPr>
        <w:t>, Nehra</w:t>
      </w:r>
      <w:r w:rsidR="004936A6">
        <w:rPr>
          <w:rFonts w:ascii="Arial" w:hAnsi="Arial" w:cs="Arial"/>
        </w:rPr>
        <w:t>,</w:t>
      </w:r>
      <w:r w:rsidRPr="00D81DAE">
        <w:rPr>
          <w:rFonts w:ascii="Arial" w:hAnsi="Arial" w:cs="Arial"/>
        </w:rPr>
        <w:t xml:space="preserve"> K</w:t>
      </w:r>
      <w:r w:rsidR="004936A6">
        <w:rPr>
          <w:rFonts w:ascii="Arial" w:hAnsi="Arial" w:cs="Arial"/>
        </w:rPr>
        <w:t>.</w:t>
      </w:r>
      <w:r w:rsidRPr="00D81DAE">
        <w:rPr>
          <w:rFonts w:ascii="Arial" w:hAnsi="Arial" w:cs="Arial"/>
        </w:rPr>
        <w:t xml:space="preserve">, </w:t>
      </w:r>
      <w:r w:rsidR="004936A6">
        <w:rPr>
          <w:rFonts w:ascii="Arial" w:hAnsi="Arial" w:cs="Arial"/>
        </w:rPr>
        <w:t xml:space="preserve">&amp; </w:t>
      </w:r>
      <w:r w:rsidRPr="00D81DAE">
        <w:rPr>
          <w:rFonts w:ascii="Arial" w:hAnsi="Arial" w:cs="Arial"/>
        </w:rPr>
        <w:t>Sharma</w:t>
      </w:r>
      <w:r w:rsidR="004936A6">
        <w:rPr>
          <w:rFonts w:ascii="Arial" w:hAnsi="Arial" w:cs="Arial"/>
        </w:rPr>
        <w:t>,</w:t>
      </w:r>
      <w:r w:rsidRPr="00D81DAE">
        <w:rPr>
          <w:rFonts w:ascii="Arial" w:hAnsi="Arial" w:cs="Arial"/>
        </w:rPr>
        <w:t xml:space="preserve"> I</w:t>
      </w:r>
      <w:r w:rsidR="004936A6">
        <w:rPr>
          <w:rFonts w:ascii="Arial" w:hAnsi="Arial" w:cs="Arial"/>
        </w:rPr>
        <w:t>.</w:t>
      </w:r>
      <w:r w:rsidRPr="00D81DAE">
        <w:rPr>
          <w:rFonts w:ascii="Arial" w:hAnsi="Arial" w:cs="Arial"/>
        </w:rPr>
        <w:t xml:space="preserve"> </w:t>
      </w:r>
      <w:r w:rsidR="004936A6">
        <w:rPr>
          <w:rFonts w:ascii="Arial" w:hAnsi="Arial" w:cs="Arial"/>
        </w:rPr>
        <w:t>(</w:t>
      </w:r>
      <w:r w:rsidRPr="00D81DAE">
        <w:rPr>
          <w:rFonts w:ascii="Arial" w:hAnsi="Arial" w:cs="Arial"/>
        </w:rPr>
        <w:t>2015</w:t>
      </w:r>
      <w:r w:rsidR="004936A6">
        <w:rPr>
          <w:rFonts w:ascii="Arial" w:hAnsi="Arial" w:cs="Arial"/>
        </w:rPr>
        <w:t>).</w:t>
      </w:r>
      <w:r w:rsidRPr="00D81DAE">
        <w:rPr>
          <w:rFonts w:ascii="Arial" w:hAnsi="Arial" w:cs="Arial"/>
        </w:rPr>
        <w:t xml:space="preserve"> Physiological, biochemical and morphological study in wheat (</w:t>
      </w:r>
      <w:r w:rsidRPr="00D81DAE">
        <w:rPr>
          <w:rFonts w:ascii="Arial" w:hAnsi="Arial" w:cs="Arial"/>
          <w:i/>
          <w:iCs/>
        </w:rPr>
        <w:t>Triticum aestivum</w:t>
      </w:r>
      <w:r w:rsidRPr="00D81DAE">
        <w:rPr>
          <w:rFonts w:ascii="Arial" w:hAnsi="Arial" w:cs="Arial"/>
        </w:rPr>
        <w:t xml:space="preserve"> L.) RILs population for salinity tolerance. J</w:t>
      </w:r>
      <w:r w:rsidR="00010AC7">
        <w:rPr>
          <w:rFonts w:ascii="Arial" w:hAnsi="Arial" w:cs="Arial"/>
        </w:rPr>
        <w:t>ournal of</w:t>
      </w:r>
      <w:r w:rsidRPr="00D81DAE">
        <w:rPr>
          <w:rFonts w:ascii="Arial" w:hAnsi="Arial" w:cs="Arial"/>
        </w:rPr>
        <w:t xml:space="preserve"> Agric</w:t>
      </w:r>
      <w:r w:rsidR="00010AC7">
        <w:rPr>
          <w:rFonts w:ascii="Arial" w:hAnsi="Arial" w:cs="Arial"/>
        </w:rPr>
        <w:t>ultural</w:t>
      </w:r>
      <w:r w:rsidRPr="00D81DAE">
        <w:rPr>
          <w:rFonts w:ascii="Arial" w:hAnsi="Arial" w:cs="Arial"/>
        </w:rPr>
        <w:t xml:space="preserve"> Sci</w:t>
      </w:r>
      <w:r w:rsidR="00010AC7">
        <w:rPr>
          <w:rFonts w:ascii="Arial" w:hAnsi="Arial" w:cs="Arial"/>
        </w:rPr>
        <w:t>ence,</w:t>
      </w:r>
      <w:r w:rsidRPr="00D81DAE">
        <w:rPr>
          <w:rFonts w:ascii="Arial" w:hAnsi="Arial" w:cs="Arial"/>
        </w:rPr>
        <w:t xml:space="preserve"> 7</w:t>
      </w:r>
      <w:r w:rsidR="00010AC7">
        <w:rPr>
          <w:rFonts w:ascii="Arial" w:hAnsi="Arial" w:cs="Arial"/>
        </w:rPr>
        <w:t xml:space="preserve">, </w:t>
      </w:r>
      <w:r w:rsidRPr="00D81DAE">
        <w:rPr>
          <w:rFonts w:ascii="Arial" w:hAnsi="Arial" w:cs="Arial"/>
        </w:rPr>
        <w:t>119–128.</w:t>
      </w:r>
    </w:p>
    <w:p w14:paraId="0E008B20" w14:textId="2FBD867F" w:rsidR="006D1252" w:rsidRPr="006D1252" w:rsidRDefault="006D1252" w:rsidP="00D81DAE">
      <w:pPr>
        <w:tabs>
          <w:tab w:val="left" w:pos="800"/>
          <w:tab w:val="center" w:pos="4513"/>
        </w:tabs>
        <w:spacing w:line="360" w:lineRule="auto"/>
        <w:ind w:left="851" w:hanging="851"/>
        <w:jc w:val="both"/>
        <w:rPr>
          <w:rFonts w:ascii="Arial" w:hAnsi="Arial" w:cs="Arial"/>
          <w:shd w:val="clear" w:color="auto" w:fill="FFFFFF"/>
        </w:rPr>
      </w:pPr>
      <w:r w:rsidRPr="006D1252">
        <w:rPr>
          <w:rFonts w:ascii="Arial" w:hAnsi="Arial" w:cs="Arial"/>
          <w:shd w:val="clear" w:color="auto" w:fill="FFFFFF"/>
        </w:rPr>
        <w:t>Sendhil, R., Jha, A., Kumar, A., &amp; Singh, S. (2018). Extent of vulnerability in wheat producing agro-ecologies of India: Tracking from indicators of cross-section and multi-dimension data. Ecological Indicators, 89, 771-780.</w:t>
      </w:r>
    </w:p>
    <w:p w14:paraId="3F821EB8" w14:textId="43141F98" w:rsidR="009A1501" w:rsidRPr="009A1501" w:rsidRDefault="009A1501"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9A1501">
        <w:rPr>
          <w:rFonts w:ascii="Arial" w:hAnsi="Arial" w:cs="Arial"/>
          <w:color w:val="222222"/>
          <w:shd w:val="clear" w:color="auto" w:fill="FFFFFF"/>
        </w:rPr>
        <w:t>Varadan, R. J., &amp; Kumar, P. (2015). Mapping agricultural vulnerability of Tamil Nadu, India to climate change: a dynamic approach to take forward the vulnerability assessment methodology. Climatic change, 129, 159-181.</w:t>
      </w:r>
    </w:p>
    <w:p w14:paraId="7D41C665" w14:textId="7A20073C" w:rsidR="007472C4" w:rsidRDefault="007472C4"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Pr>
          <w:rFonts w:ascii="Arial" w:hAnsi="Arial" w:cs="Arial"/>
          <w:color w:val="222222"/>
          <w:shd w:val="clear" w:color="auto" w:fill="FFFFFF"/>
        </w:rPr>
        <w:t>Vincent, K. (2004). Creating an index of social vulnerability to climate change for Africa. </w:t>
      </w:r>
      <w:r w:rsidRPr="00594AA5">
        <w:rPr>
          <w:rFonts w:ascii="Arial" w:hAnsi="Arial" w:cs="Arial"/>
          <w:color w:val="222222"/>
          <w:shd w:val="clear" w:color="auto" w:fill="FFFFFF"/>
        </w:rPr>
        <w:t>Tyndall Center for Climate Change Research.</w:t>
      </w:r>
      <w:r w:rsidRPr="007472C4">
        <w:rPr>
          <w:rFonts w:ascii="Arial" w:hAnsi="Arial" w:cs="Arial"/>
          <w:color w:val="222222"/>
          <w:shd w:val="clear" w:color="auto" w:fill="FFFFFF"/>
        </w:rPr>
        <w:t xml:space="preserve"> Working Paper, 56(41), 1-50.</w:t>
      </w:r>
    </w:p>
    <w:p w14:paraId="750F4000" w14:textId="6527D703" w:rsidR="00D81DAE" w:rsidRP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World Meteorological Organization (2021)</w:t>
      </w:r>
      <w:r w:rsidR="00A768D6">
        <w:rPr>
          <w:rFonts w:ascii="Arial" w:hAnsi="Arial" w:cs="Arial"/>
        </w:rPr>
        <w:t>.</w:t>
      </w:r>
      <w:r w:rsidRPr="00D81DAE">
        <w:rPr>
          <w:rFonts w:ascii="Arial" w:hAnsi="Arial" w:cs="Arial"/>
        </w:rPr>
        <w:t xml:space="preserve"> State of the Climate in Asia 2020 (WMO No. 1273). World Meteorological Organization, </w:t>
      </w:r>
      <w:proofErr w:type="spellStart"/>
      <w:r w:rsidRPr="00D81DAE">
        <w:rPr>
          <w:rFonts w:ascii="Arial" w:hAnsi="Arial" w:cs="Arial"/>
        </w:rPr>
        <w:t>Genewa</w:t>
      </w:r>
      <w:proofErr w:type="spellEnd"/>
      <w:r w:rsidRPr="00D81DAE">
        <w:rPr>
          <w:rFonts w:ascii="Arial" w:hAnsi="Arial" w:cs="Arial"/>
        </w:rPr>
        <w:t xml:space="preserve">, Switzerland. </w:t>
      </w:r>
      <w:hyperlink r:id="rId24" w:history="1">
        <w:r w:rsidRPr="00957370">
          <w:rPr>
            <w:rStyle w:val="Hyperlink"/>
            <w:rFonts w:ascii="Arial" w:hAnsi="Arial" w:cs="Arial"/>
            <w:color w:val="0070C0"/>
          </w:rPr>
          <w:t>https://reliefweb.int/report/world/state-climate-asia-2020</w:t>
        </w:r>
      </w:hyperlink>
      <w:r w:rsidRPr="00957370">
        <w:rPr>
          <w:rFonts w:ascii="Arial" w:hAnsi="Arial" w:cs="Arial"/>
          <w:color w:val="0070C0"/>
        </w:rPr>
        <w:t>.</w:t>
      </w:r>
    </w:p>
    <w:p w14:paraId="722B2E7C" w14:textId="77777777" w:rsidR="00790ADA" w:rsidRPr="00FB3A86" w:rsidRDefault="00790ADA" w:rsidP="00441B6F">
      <w:pPr>
        <w:pStyle w:val="Body"/>
        <w:spacing w:after="0"/>
        <w:rPr>
          <w:rFonts w:ascii="Arial" w:hAnsi="Arial" w:cs="Arial"/>
        </w:rPr>
      </w:pPr>
    </w:p>
    <w:p w14:paraId="50B309FD" w14:textId="77777777" w:rsidR="004D4277" w:rsidRDefault="00B01FCD" w:rsidP="0056136E">
      <w:pPr>
        <w:pStyle w:val="Appendix"/>
        <w:jc w:val="both"/>
        <w:rPr>
          <w:rFonts w:ascii="Arial" w:hAnsi="Arial" w:cs="Arial"/>
        </w:rPr>
      </w:pPr>
      <w:r w:rsidRPr="00FB3A86">
        <w:rPr>
          <w:rFonts w:ascii="Arial" w:hAnsi="Arial" w:cs="Arial"/>
        </w:rPr>
        <w:lastRenderedPageBreak/>
        <w:t>APPENDIX</w:t>
      </w:r>
      <w:bookmarkStart w:id="5" w:name="_GoBack"/>
      <w:bookmarkEnd w:id="5"/>
    </w:p>
    <w:p w14:paraId="44762F39" w14:textId="674DA164" w:rsidR="004673A3" w:rsidRPr="0028224C" w:rsidRDefault="004673A3" w:rsidP="00D0065A">
      <w:pPr>
        <w:spacing w:after="240"/>
        <w:ind w:left="1134" w:hanging="1134"/>
        <w:jc w:val="both"/>
        <w:rPr>
          <w:rFonts w:ascii="Arial" w:hAnsi="Arial"/>
          <w:b/>
        </w:rPr>
      </w:pPr>
      <w:r w:rsidRPr="0028224C">
        <w:rPr>
          <w:rFonts w:ascii="Arial" w:hAnsi="Arial"/>
          <w:b/>
        </w:rPr>
        <w:t>Table A1. Weightage of suitable indicators of exposure, sensitivity and adaptive capacity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1"/>
        <w:gridCol w:w="1673"/>
      </w:tblGrid>
      <w:tr w:rsidR="004673A3" w:rsidRPr="00307B0A" w14:paraId="7607A099" w14:textId="77777777" w:rsidTr="00307B0A">
        <w:trPr>
          <w:jc w:val="center"/>
        </w:trPr>
        <w:tc>
          <w:tcPr>
            <w:tcW w:w="4007" w:type="pct"/>
            <w:tcBorders>
              <w:top w:val="single" w:sz="4" w:space="0" w:color="auto"/>
              <w:bottom w:val="single" w:sz="4" w:space="0" w:color="auto"/>
            </w:tcBorders>
            <w:vAlign w:val="center"/>
          </w:tcPr>
          <w:p w14:paraId="04FE6AAA"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Variables</w:t>
            </w:r>
          </w:p>
        </w:tc>
        <w:tc>
          <w:tcPr>
            <w:tcW w:w="993" w:type="pct"/>
            <w:tcBorders>
              <w:top w:val="single" w:sz="4" w:space="0" w:color="auto"/>
              <w:bottom w:val="single" w:sz="4" w:space="0" w:color="auto"/>
            </w:tcBorders>
            <w:vAlign w:val="center"/>
          </w:tcPr>
          <w:p w14:paraId="2F4E9DC7"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Weightage</w:t>
            </w:r>
          </w:p>
        </w:tc>
      </w:tr>
      <w:tr w:rsidR="004673A3" w:rsidRPr="00307B0A" w14:paraId="799C8886" w14:textId="77777777" w:rsidTr="00F37D30">
        <w:trPr>
          <w:jc w:val="center"/>
        </w:trPr>
        <w:tc>
          <w:tcPr>
            <w:tcW w:w="5000" w:type="pct"/>
            <w:gridSpan w:val="2"/>
            <w:tcBorders>
              <w:top w:val="single" w:sz="4" w:space="0" w:color="auto"/>
              <w:bottom w:val="single" w:sz="4" w:space="0" w:color="auto"/>
            </w:tcBorders>
            <w:vAlign w:val="center"/>
          </w:tcPr>
          <w:p w14:paraId="1DA90E76" w14:textId="77777777" w:rsidR="004673A3" w:rsidRPr="00307B0A" w:rsidRDefault="004673A3" w:rsidP="00F37D30">
            <w:pPr>
              <w:spacing w:line="360" w:lineRule="auto"/>
              <w:jc w:val="center"/>
              <w:rPr>
                <w:rFonts w:ascii="Arial" w:hAnsi="Arial" w:cs="Arial"/>
                <w:b/>
                <w:bCs/>
                <w:sz w:val="20"/>
                <w:szCs w:val="20"/>
              </w:rPr>
            </w:pPr>
            <w:r w:rsidRPr="00307B0A">
              <w:rPr>
                <w:rFonts w:ascii="Arial" w:hAnsi="Arial" w:cs="Arial"/>
                <w:b/>
                <w:bCs/>
                <w:sz w:val="20"/>
                <w:szCs w:val="20"/>
              </w:rPr>
              <w:t>Exposure</w:t>
            </w:r>
          </w:p>
        </w:tc>
      </w:tr>
      <w:tr w:rsidR="004673A3" w:rsidRPr="00307B0A" w14:paraId="0D31C0DC" w14:textId="77777777" w:rsidTr="00307B0A">
        <w:trPr>
          <w:jc w:val="center"/>
        </w:trPr>
        <w:tc>
          <w:tcPr>
            <w:tcW w:w="4007" w:type="pct"/>
            <w:tcBorders>
              <w:top w:val="single" w:sz="4" w:space="0" w:color="auto"/>
            </w:tcBorders>
            <w:vAlign w:val="center"/>
          </w:tcPr>
          <w:p w14:paraId="052E7DB6"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kharif minimum temperature</w:t>
            </w:r>
          </w:p>
        </w:tc>
        <w:tc>
          <w:tcPr>
            <w:tcW w:w="993" w:type="pct"/>
            <w:tcBorders>
              <w:top w:val="single" w:sz="4" w:space="0" w:color="auto"/>
            </w:tcBorders>
            <w:vAlign w:val="bottom"/>
          </w:tcPr>
          <w:p w14:paraId="63995A80"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3.024</w:t>
            </w:r>
          </w:p>
        </w:tc>
      </w:tr>
      <w:tr w:rsidR="004673A3" w:rsidRPr="00307B0A" w14:paraId="3A5E18F1" w14:textId="77777777" w:rsidTr="00307B0A">
        <w:trPr>
          <w:jc w:val="center"/>
        </w:trPr>
        <w:tc>
          <w:tcPr>
            <w:tcW w:w="4007" w:type="pct"/>
            <w:vAlign w:val="center"/>
          </w:tcPr>
          <w:p w14:paraId="48C08207"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rabi minimum temperature</w:t>
            </w:r>
          </w:p>
        </w:tc>
        <w:tc>
          <w:tcPr>
            <w:tcW w:w="993" w:type="pct"/>
            <w:vAlign w:val="bottom"/>
          </w:tcPr>
          <w:p w14:paraId="1C4912AC"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3.288</w:t>
            </w:r>
          </w:p>
        </w:tc>
      </w:tr>
      <w:tr w:rsidR="004673A3" w:rsidRPr="00307B0A" w14:paraId="5455382E" w14:textId="77777777" w:rsidTr="00307B0A">
        <w:trPr>
          <w:jc w:val="center"/>
        </w:trPr>
        <w:tc>
          <w:tcPr>
            <w:tcW w:w="4007" w:type="pct"/>
            <w:vAlign w:val="center"/>
          </w:tcPr>
          <w:p w14:paraId="46EFA1D4"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summer minimum temperature</w:t>
            </w:r>
          </w:p>
        </w:tc>
        <w:tc>
          <w:tcPr>
            <w:tcW w:w="993" w:type="pct"/>
            <w:vAlign w:val="bottom"/>
          </w:tcPr>
          <w:p w14:paraId="72201868"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2.189</w:t>
            </w:r>
          </w:p>
        </w:tc>
      </w:tr>
      <w:tr w:rsidR="004673A3" w:rsidRPr="00307B0A" w14:paraId="77B97684" w14:textId="77777777" w:rsidTr="00307B0A">
        <w:trPr>
          <w:jc w:val="center"/>
        </w:trPr>
        <w:tc>
          <w:tcPr>
            <w:tcW w:w="4007" w:type="pct"/>
            <w:vAlign w:val="center"/>
          </w:tcPr>
          <w:p w14:paraId="645913DA"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kharif maximum temperature</w:t>
            </w:r>
          </w:p>
        </w:tc>
        <w:tc>
          <w:tcPr>
            <w:tcW w:w="993" w:type="pct"/>
            <w:vAlign w:val="bottom"/>
          </w:tcPr>
          <w:p w14:paraId="485B758D"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4.164</w:t>
            </w:r>
          </w:p>
        </w:tc>
      </w:tr>
      <w:tr w:rsidR="004673A3" w:rsidRPr="00307B0A" w14:paraId="22D9F8E9" w14:textId="77777777" w:rsidTr="00307B0A">
        <w:trPr>
          <w:jc w:val="center"/>
        </w:trPr>
        <w:tc>
          <w:tcPr>
            <w:tcW w:w="4007" w:type="pct"/>
            <w:vAlign w:val="center"/>
          </w:tcPr>
          <w:p w14:paraId="21048D0F"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rabi maximum temperature</w:t>
            </w:r>
          </w:p>
        </w:tc>
        <w:tc>
          <w:tcPr>
            <w:tcW w:w="993" w:type="pct"/>
            <w:vAlign w:val="bottom"/>
          </w:tcPr>
          <w:p w14:paraId="46A42987"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3.975</w:t>
            </w:r>
          </w:p>
        </w:tc>
      </w:tr>
      <w:tr w:rsidR="004673A3" w:rsidRPr="00307B0A" w14:paraId="320D9A61" w14:textId="77777777" w:rsidTr="00307B0A">
        <w:trPr>
          <w:jc w:val="center"/>
        </w:trPr>
        <w:tc>
          <w:tcPr>
            <w:tcW w:w="4007" w:type="pct"/>
            <w:vAlign w:val="center"/>
          </w:tcPr>
          <w:p w14:paraId="1F2EC675"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summer maximum temperature</w:t>
            </w:r>
          </w:p>
        </w:tc>
        <w:tc>
          <w:tcPr>
            <w:tcW w:w="993" w:type="pct"/>
            <w:vAlign w:val="bottom"/>
          </w:tcPr>
          <w:p w14:paraId="608038BD"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4.085</w:t>
            </w:r>
          </w:p>
        </w:tc>
      </w:tr>
      <w:tr w:rsidR="004673A3" w:rsidRPr="00307B0A" w14:paraId="58804D4F" w14:textId="77777777" w:rsidTr="00307B0A">
        <w:trPr>
          <w:jc w:val="center"/>
        </w:trPr>
        <w:tc>
          <w:tcPr>
            <w:tcW w:w="4007" w:type="pct"/>
            <w:vAlign w:val="center"/>
          </w:tcPr>
          <w:p w14:paraId="4EE84E6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kharif precipitation</w:t>
            </w:r>
          </w:p>
        </w:tc>
        <w:tc>
          <w:tcPr>
            <w:tcW w:w="993" w:type="pct"/>
            <w:vAlign w:val="bottom"/>
          </w:tcPr>
          <w:p w14:paraId="4114DD73"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4.017</w:t>
            </w:r>
          </w:p>
        </w:tc>
      </w:tr>
      <w:tr w:rsidR="004673A3" w:rsidRPr="00307B0A" w14:paraId="44F825D9" w14:textId="77777777" w:rsidTr="00307B0A">
        <w:trPr>
          <w:jc w:val="center"/>
        </w:trPr>
        <w:tc>
          <w:tcPr>
            <w:tcW w:w="4007" w:type="pct"/>
            <w:vAlign w:val="center"/>
          </w:tcPr>
          <w:p w14:paraId="4D22A2F2"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rabi precipitation</w:t>
            </w:r>
          </w:p>
        </w:tc>
        <w:tc>
          <w:tcPr>
            <w:tcW w:w="993" w:type="pct"/>
            <w:vAlign w:val="bottom"/>
          </w:tcPr>
          <w:p w14:paraId="44D1F02F"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1.540</w:t>
            </w:r>
          </w:p>
        </w:tc>
      </w:tr>
      <w:tr w:rsidR="004673A3" w:rsidRPr="00307B0A" w14:paraId="1D994213" w14:textId="77777777" w:rsidTr="00307B0A">
        <w:trPr>
          <w:jc w:val="center"/>
        </w:trPr>
        <w:tc>
          <w:tcPr>
            <w:tcW w:w="4007" w:type="pct"/>
            <w:tcBorders>
              <w:bottom w:val="single" w:sz="4" w:space="0" w:color="auto"/>
            </w:tcBorders>
            <w:vAlign w:val="center"/>
          </w:tcPr>
          <w:p w14:paraId="7ED0C973"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summer precipitation</w:t>
            </w:r>
          </w:p>
        </w:tc>
        <w:tc>
          <w:tcPr>
            <w:tcW w:w="993" w:type="pct"/>
            <w:tcBorders>
              <w:bottom w:val="single" w:sz="4" w:space="0" w:color="auto"/>
            </w:tcBorders>
            <w:vAlign w:val="bottom"/>
          </w:tcPr>
          <w:p w14:paraId="2ACD35E4"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1.998</w:t>
            </w:r>
          </w:p>
        </w:tc>
      </w:tr>
      <w:tr w:rsidR="004673A3" w:rsidRPr="00307B0A" w14:paraId="5FFCA462" w14:textId="77777777" w:rsidTr="00307B0A">
        <w:trPr>
          <w:jc w:val="center"/>
        </w:trPr>
        <w:tc>
          <w:tcPr>
            <w:tcW w:w="5000" w:type="pct"/>
            <w:gridSpan w:val="2"/>
            <w:tcBorders>
              <w:top w:val="single" w:sz="4" w:space="0" w:color="auto"/>
              <w:bottom w:val="single" w:sz="4" w:space="0" w:color="auto"/>
            </w:tcBorders>
            <w:vAlign w:val="center"/>
          </w:tcPr>
          <w:p w14:paraId="1B888901"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Sensitivity</w:t>
            </w:r>
          </w:p>
        </w:tc>
      </w:tr>
      <w:tr w:rsidR="004673A3" w:rsidRPr="00307B0A" w14:paraId="05787CE2" w14:textId="77777777" w:rsidTr="00307B0A">
        <w:trPr>
          <w:jc w:val="center"/>
        </w:trPr>
        <w:tc>
          <w:tcPr>
            <w:tcW w:w="4007" w:type="pct"/>
            <w:tcBorders>
              <w:top w:val="single" w:sz="4" w:space="0" w:color="auto"/>
            </w:tcBorders>
            <w:vAlign w:val="center"/>
          </w:tcPr>
          <w:p w14:paraId="7A3B2634"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Area of major crops to the total cropped area</w:t>
            </w:r>
          </w:p>
        </w:tc>
        <w:tc>
          <w:tcPr>
            <w:tcW w:w="993" w:type="pct"/>
            <w:tcBorders>
              <w:top w:val="single" w:sz="4" w:space="0" w:color="auto"/>
            </w:tcBorders>
            <w:vAlign w:val="bottom"/>
          </w:tcPr>
          <w:p w14:paraId="4A359A97"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2.072</w:t>
            </w:r>
          </w:p>
        </w:tc>
      </w:tr>
      <w:tr w:rsidR="004673A3" w:rsidRPr="00307B0A" w14:paraId="3D8C16F3" w14:textId="77777777" w:rsidTr="00307B0A">
        <w:trPr>
          <w:jc w:val="center"/>
        </w:trPr>
        <w:tc>
          <w:tcPr>
            <w:tcW w:w="4007" w:type="pct"/>
            <w:vAlign w:val="center"/>
          </w:tcPr>
          <w:p w14:paraId="7A5B9E66"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Yield of major crops</w:t>
            </w:r>
          </w:p>
        </w:tc>
        <w:tc>
          <w:tcPr>
            <w:tcW w:w="993" w:type="pct"/>
            <w:vAlign w:val="bottom"/>
          </w:tcPr>
          <w:p w14:paraId="27D8A704"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2.358</w:t>
            </w:r>
          </w:p>
        </w:tc>
      </w:tr>
      <w:tr w:rsidR="004673A3" w:rsidRPr="00307B0A" w14:paraId="3A2EB732" w14:textId="77777777" w:rsidTr="00307B0A">
        <w:trPr>
          <w:jc w:val="center"/>
        </w:trPr>
        <w:tc>
          <w:tcPr>
            <w:tcW w:w="4007" w:type="pct"/>
            <w:vAlign w:val="center"/>
          </w:tcPr>
          <w:p w14:paraId="4259419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gross unirrigated area to gross sown area</w:t>
            </w:r>
          </w:p>
        </w:tc>
        <w:tc>
          <w:tcPr>
            <w:tcW w:w="993" w:type="pct"/>
            <w:vAlign w:val="bottom"/>
          </w:tcPr>
          <w:p w14:paraId="75362B79"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1.927</w:t>
            </w:r>
          </w:p>
        </w:tc>
      </w:tr>
      <w:tr w:rsidR="004673A3" w:rsidRPr="00307B0A" w14:paraId="46B13237" w14:textId="77777777" w:rsidTr="00307B0A">
        <w:trPr>
          <w:jc w:val="center"/>
        </w:trPr>
        <w:tc>
          <w:tcPr>
            <w:tcW w:w="4007" w:type="pct"/>
            <w:vAlign w:val="center"/>
          </w:tcPr>
          <w:p w14:paraId="2D36C4EB"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Milk production</w:t>
            </w:r>
          </w:p>
        </w:tc>
        <w:tc>
          <w:tcPr>
            <w:tcW w:w="993" w:type="pct"/>
            <w:vAlign w:val="bottom"/>
          </w:tcPr>
          <w:p w14:paraId="292D375A"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1.994</w:t>
            </w:r>
          </w:p>
        </w:tc>
      </w:tr>
      <w:tr w:rsidR="004673A3" w:rsidRPr="00307B0A" w14:paraId="7CA6E684" w14:textId="77777777" w:rsidTr="00307B0A">
        <w:trPr>
          <w:jc w:val="center"/>
        </w:trPr>
        <w:tc>
          <w:tcPr>
            <w:tcW w:w="4007" w:type="pct"/>
            <w:vAlign w:val="center"/>
          </w:tcPr>
          <w:p w14:paraId="16E03C81"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 xml:space="preserve">Stage of ground water extraction </w:t>
            </w:r>
          </w:p>
        </w:tc>
        <w:tc>
          <w:tcPr>
            <w:tcW w:w="993" w:type="pct"/>
            <w:vAlign w:val="bottom"/>
          </w:tcPr>
          <w:p w14:paraId="337DD025"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3.713</w:t>
            </w:r>
          </w:p>
        </w:tc>
      </w:tr>
      <w:tr w:rsidR="004673A3" w:rsidRPr="00307B0A" w14:paraId="35B16DEF" w14:textId="77777777" w:rsidTr="00307B0A">
        <w:trPr>
          <w:jc w:val="center"/>
        </w:trPr>
        <w:tc>
          <w:tcPr>
            <w:tcW w:w="4007" w:type="pct"/>
            <w:vAlign w:val="center"/>
          </w:tcPr>
          <w:p w14:paraId="29E6564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Average farm size</w:t>
            </w:r>
          </w:p>
        </w:tc>
        <w:tc>
          <w:tcPr>
            <w:tcW w:w="993" w:type="pct"/>
            <w:vAlign w:val="bottom"/>
          </w:tcPr>
          <w:p w14:paraId="0489CE06"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3.369</w:t>
            </w:r>
          </w:p>
        </w:tc>
      </w:tr>
      <w:tr w:rsidR="004673A3" w:rsidRPr="00307B0A" w14:paraId="1D7C755F" w14:textId="77777777" w:rsidTr="00307B0A">
        <w:trPr>
          <w:jc w:val="center"/>
        </w:trPr>
        <w:tc>
          <w:tcPr>
            <w:tcW w:w="4007" w:type="pct"/>
            <w:vAlign w:val="center"/>
          </w:tcPr>
          <w:p w14:paraId="72D334AD"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Rural population density</w:t>
            </w:r>
          </w:p>
        </w:tc>
        <w:tc>
          <w:tcPr>
            <w:tcW w:w="993" w:type="pct"/>
            <w:vAlign w:val="bottom"/>
          </w:tcPr>
          <w:p w14:paraId="2B98BC4C"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2.591</w:t>
            </w:r>
          </w:p>
        </w:tc>
      </w:tr>
      <w:tr w:rsidR="004673A3" w:rsidRPr="00307B0A" w14:paraId="6EE2CC81" w14:textId="77777777" w:rsidTr="00307B0A">
        <w:trPr>
          <w:jc w:val="center"/>
        </w:trPr>
        <w:tc>
          <w:tcPr>
            <w:tcW w:w="4007" w:type="pct"/>
            <w:tcBorders>
              <w:bottom w:val="single" w:sz="4" w:space="0" w:color="auto"/>
            </w:tcBorders>
            <w:vAlign w:val="center"/>
          </w:tcPr>
          <w:p w14:paraId="4AAF751C"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small &amp; marginal farmers to total farmers</w:t>
            </w:r>
          </w:p>
        </w:tc>
        <w:tc>
          <w:tcPr>
            <w:tcW w:w="993" w:type="pct"/>
            <w:tcBorders>
              <w:bottom w:val="single" w:sz="4" w:space="0" w:color="auto"/>
            </w:tcBorders>
            <w:vAlign w:val="bottom"/>
          </w:tcPr>
          <w:p w14:paraId="482C847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3.571</w:t>
            </w:r>
          </w:p>
        </w:tc>
      </w:tr>
      <w:tr w:rsidR="004673A3" w:rsidRPr="00307B0A" w14:paraId="72B39D9E" w14:textId="77777777" w:rsidTr="00307B0A">
        <w:trPr>
          <w:jc w:val="center"/>
        </w:trPr>
        <w:tc>
          <w:tcPr>
            <w:tcW w:w="5000" w:type="pct"/>
            <w:gridSpan w:val="2"/>
            <w:tcBorders>
              <w:top w:val="single" w:sz="4" w:space="0" w:color="auto"/>
              <w:bottom w:val="single" w:sz="4" w:space="0" w:color="auto"/>
            </w:tcBorders>
            <w:vAlign w:val="center"/>
          </w:tcPr>
          <w:p w14:paraId="0DCC53B2"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Adaptive Capacity</w:t>
            </w:r>
          </w:p>
        </w:tc>
      </w:tr>
      <w:tr w:rsidR="004673A3" w:rsidRPr="00307B0A" w14:paraId="4562BBF3" w14:textId="77777777" w:rsidTr="00307B0A">
        <w:trPr>
          <w:jc w:val="center"/>
        </w:trPr>
        <w:tc>
          <w:tcPr>
            <w:tcW w:w="4007" w:type="pct"/>
            <w:tcBorders>
              <w:top w:val="single" w:sz="4" w:space="0" w:color="auto"/>
            </w:tcBorders>
            <w:vAlign w:val="center"/>
          </w:tcPr>
          <w:p w14:paraId="6FB29AF3"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Crop diversification</w:t>
            </w:r>
          </w:p>
        </w:tc>
        <w:tc>
          <w:tcPr>
            <w:tcW w:w="993" w:type="pct"/>
            <w:tcBorders>
              <w:top w:val="single" w:sz="4" w:space="0" w:color="auto"/>
            </w:tcBorders>
            <w:vAlign w:val="bottom"/>
          </w:tcPr>
          <w:p w14:paraId="31EF537D"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3.378</w:t>
            </w:r>
          </w:p>
        </w:tc>
      </w:tr>
      <w:tr w:rsidR="004673A3" w:rsidRPr="00307B0A" w14:paraId="6FBBA81D" w14:textId="77777777" w:rsidTr="00307B0A">
        <w:trPr>
          <w:jc w:val="center"/>
        </w:trPr>
        <w:tc>
          <w:tcPr>
            <w:tcW w:w="4007" w:type="pct"/>
            <w:vAlign w:val="center"/>
          </w:tcPr>
          <w:p w14:paraId="77D13570"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Cropping intensity</w:t>
            </w:r>
          </w:p>
        </w:tc>
        <w:tc>
          <w:tcPr>
            <w:tcW w:w="993" w:type="pct"/>
            <w:vAlign w:val="bottom"/>
          </w:tcPr>
          <w:p w14:paraId="2FFBF390"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3.586</w:t>
            </w:r>
          </w:p>
        </w:tc>
      </w:tr>
      <w:tr w:rsidR="004673A3" w:rsidRPr="00307B0A" w14:paraId="0FA4BA15" w14:textId="77777777" w:rsidTr="00307B0A">
        <w:trPr>
          <w:jc w:val="center"/>
        </w:trPr>
        <w:tc>
          <w:tcPr>
            <w:tcW w:w="4007" w:type="pct"/>
            <w:vAlign w:val="center"/>
          </w:tcPr>
          <w:p w14:paraId="0D2D4159"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Irrigation intensity</w:t>
            </w:r>
          </w:p>
        </w:tc>
        <w:tc>
          <w:tcPr>
            <w:tcW w:w="993" w:type="pct"/>
            <w:vAlign w:val="bottom"/>
          </w:tcPr>
          <w:p w14:paraId="1C309A86"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3.125</w:t>
            </w:r>
          </w:p>
        </w:tc>
      </w:tr>
      <w:tr w:rsidR="004673A3" w:rsidRPr="00307B0A" w14:paraId="217FCE2E" w14:textId="77777777" w:rsidTr="00307B0A">
        <w:trPr>
          <w:jc w:val="center"/>
        </w:trPr>
        <w:tc>
          <w:tcPr>
            <w:tcW w:w="4007" w:type="pct"/>
            <w:vAlign w:val="center"/>
          </w:tcPr>
          <w:p w14:paraId="3D838255"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Literacy rate</w:t>
            </w:r>
          </w:p>
        </w:tc>
        <w:tc>
          <w:tcPr>
            <w:tcW w:w="993" w:type="pct"/>
            <w:vAlign w:val="bottom"/>
          </w:tcPr>
          <w:p w14:paraId="792BD463"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3.090</w:t>
            </w:r>
          </w:p>
        </w:tc>
      </w:tr>
      <w:tr w:rsidR="004673A3" w:rsidRPr="00307B0A" w14:paraId="14235FE4" w14:textId="77777777" w:rsidTr="00307B0A">
        <w:trPr>
          <w:jc w:val="center"/>
        </w:trPr>
        <w:tc>
          <w:tcPr>
            <w:tcW w:w="4007" w:type="pct"/>
            <w:vAlign w:val="center"/>
          </w:tcPr>
          <w:p w14:paraId="3F158A0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area under pasture &amp; grazing land to gross sown area</w:t>
            </w:r>
          </w:p>
        </w:tc>
        <w:tc>
          <w:tcPr>
            <w:tcW w:w="993" w:type="pct"/>
            <w:vAlign w:val="bottom"/>
          </w:tcPr>
          <w:p w14:paraId="385E4900"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2.167</w:t>
            </w:r>
          </w:p>
        </w:tc>
      </w:tr>
      <w:tr w:rsidR="004673A3" w:rsidRPr="00307B0A" w14:paraId="4A5770A3" w14:textId="77777777" w:rsidTr="00307B0A">
        <w:trPr>
          <w:jc w:val="center"/>
        </w:trPr>
        <w:tc>
          <w:tcPr>
            <w:tcW w:w="4007" w:type="pct"/>
            <w:vAlign w:val="center"/>
          </w:tcPr>
          <w:p w14:paraId="2C226DF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Density of dairy animals</w:t>
            </w:r>
          </w:p>
        </w:tc>
        <w:tc>
          <w:tcPr>
            <w:tcW w:w="993" w:type="pct"/>
            <w:vAlign w:val="bottom"/>
          </w:tcPr>
          <w:p w14:paraId="3FE18927"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3.424</w:t>
            </w:r>
          </w:p>
        </w:tc>
      </w:tr>
      <w:tr w:rsidR="004673A3" w:rsidRPr="00307B0A" w14:paraId="352B7D68" w14:textId="77777777" w:rsidTr="00307B0A">
        <w:trPr>
          <w:jc w:val="center"/>
        </w:trPr>
        <w:tc>
          <w:tcPr>
            <w:tcW w:w="4007" w:type="pct"/>
            <w:vAlign w:val="center"/>
          </w:tcPr>
          <w:p w14:paraId="17890465"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Proportion of area insured to gross sown area</w:t>
            </w:r>
          </w:p>
        </w:tc>
        <w:tc>
          <w:tcPr>
            <w:tcW w:w="993" w:type="pct"/>
            <w:vAlign w:val="bottom"/>
          </w:tcPr>
          <w:p w14:paraId="7E7A4EBC"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3.547</w:t>
            </w:r>
          </w:p>
        </w:tc>
      </w:tr>
      <w:tr w:rsidR="004673A3" w:rsidRPr="00307B0A" w14:paraId="7B7BE433" w14:textId="77777777" w:rsidTr="00307B0A">
        <w:trPr>
          <w:jc w:val="center"/>
        </w:trPr>
        <w:tc>
          <w:tcPr>
            <w:tcW w:w="4007" w:type="pct"/>
            <w:vAlign w:val="center"/>
          </w:tcPr>
          <w:p w14:paraId="6076C30A"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GSVA of agriculture sector to its GSDP</w:t>
            </w:r>
          </w:p>
        </w:tc>
        <w:tc>
          <w:tcPr>
            <w:tcW w:w="993" w:type="pct"/>
            <w:vAlign w:val="bottom"/>
          </w:tcPr>
          <w:p w14:paraId="472542AE"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3.023</w:t>
            </w:r>
          </w:p>
        </w:tc>
      </w:tr>
      <w:tr w:rsidR="004673A3" w:rsidRPr="00307B0A" w14:paraId="1A7DFF27" w14:textId="77777777" w:rsidTr="00307B0A">
        <w:trPr>
          <w:jc w:val="center"/>
        </w:trPr>
        <w:tc>
          <w:tcPr>
            <w:tcW w:w="4007" w:type="pct"/>
            <w:vAlign w:val="center"/>
          </w:tcPr>
          <w:p w14:paraId="5AEE744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indigenous population per 1000 bovine population</w:t>
            </w:r>
          </w:p>
        </w:tc>
        <w:tc>
          <w:tcPr>
            <w:tcW w:w="993" w:type="pct"/>
            <w:vAlign w:val="bottom"/>
          </w:tcPr>
          <w:p w14:paraId="08F0D73D"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2.921</w:t>
            </w:r>
          </w:p>
        </w:tc>
      </w:tr>
      <w:tr w:rsidR="004673A3" w:rsidRPr="00307B0A" w14:paraId="0753A2A6" w14:textId="77777777" w:rsidTr="00307B0A">
        <w:trPr>
          <w:jc w:val="center"/>
        </w:trPr>
        <w:tc>
          <w:tcPr>
            <w:tcW w:w="4007" w:type="pct"/>
            <w:vAlign w:val="center"/>
          </w:tcPr>
          <w:p w14:paraId="6EB23349"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Number of Veterinary Institutions per 1000 bovine population</w:t>
            </w:r>
          </w:p>
        </w:tc>
        <w:tc>
          <w:tcPr>
            <w:tcW w:w="993" w:type="pct"/>
            <w:vAlign w:val="bottom"/>
          </w:tcPr>
          <w:p w14:paraId="4566799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3.097</w:t>
            </w:r>
          </w:p>
        </w:tc>
      </w:tr>
      <w:tr w:rsidR="004673A3" w:rsidRPr="00307B0A" w14:paraId="547C83F5" w14:textId="77777777" w:rsidTr="00307B0A">
        <w:trPr>
          <w:jc w:val="center"/>
        </w:trPr>
        <w:tc>
          <w:tcPr>
            <w:tcW w:w="4007" w:type="pct"/>
            <w:tcBorders>
              <w:bottom w:val="single" w:sz="4" w:space="0" w:color="auto"/>
            </w:tcBorders>
            <w:vAlign w:val="center"/>
          </w:tcPr>
          <w:p w14:paraId="2E937965" w14:textId="4E8DF52D"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 xml:space="preserve">Number of Artificial Insemination (AI) </w:t>
            </w:r>
            <w:r w:rsidR="00437F4A" w:rsidRPr="00EE13D5">
              <w:rPr>
                <w:rFonts w:ascii="Arial" w:hAnsi="Arial" w:cs="Arial"/>
                <w:sz w:val="20"/>
                <w:szCs w:val="20"/>
                <w:highlight w:val="yellow"/>
              </w:rPr>
              <w:t>centers</w:t>
            </w:r>
            <w:r w:rsidRPr="00307B0A">
              <w:rPr>
                <w:rFonts w:ascii="Arial" w:hAnsi="Arial" w:cs="Arial"/>
                <w:sz w:val="20"/>
                <w:szCs w:val="20"/>
              </w:rPr>
              <w:t xml:space="preserve"> per 1000 female bovine</w:t>
            </w:r>
          </w:p>
        </w:tc>
        <w:tc>
          <w:tcPr>
            <w:tcW w:w="993" w:type="pct"/>
            <w:tcBorders>
              <w:bottom w:val="single" w:sz="4" w:space="0" w:color="auto"/>
            </w:tcBorders>
            <w:vAlign w:val="bottom"/>
          </w:tcPr>
          <w:p w14:paraId="6AA4EF4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1.540</w:t>
            </w:r>
          </w:p>
        </w:tc>
      </w:tr>
    </w:tbl>
    <w:p w14:paraId="7DA34567" w14:textId="77777777" w:rsidR="004673A3" w:rsidRPr="00FB3A86" w:rsidRDefault="004673A3" w:rsidP="00441B6F">
      <w:pPr>
        <w:pStyle w:val="Appendix"/>
        <w:spacing w:after="0"/>
        <w:jc w:val="both"/>
        <w:rPr>
          <w:rFonts w:ascii="Arial" w:hAnsi="Arial" w:cs="Arial"/>
          <w:b w:val="0"/>
        </w:rPr>
        <w:sectPr w:rsidR="004673A3" w:rsidRPr="00FB3A86" w:rsidSect="000568EE">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p w14:paraId="7BAA7215" w14:textId="77777777" w:rsidR="00B01FCD" w:rsidRPr="00FB3A86" w:rsidRDefault="00B01FCD" w:rsidP="00441B6F">
      <w:pPr>
        <w:pStyle w:val="Appendix"/>
        <w:spacing w:after="0"/>
        <w:jc w:val="both"/>
        <w:rPr>
          <w:rFonts w:ascii="Arial" w:hAnsi="Arial" w:cs="Arial"/>
          <w:b w:val="0"/>
        </w:rPr>
      </w:pPr>
    </w:p>
    <w:sectPr w:rsidR="00B01FCD" w:rsidRPr="00FB3A86" w:rsidSect="000568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8AD7" w14:textId="77777777" w:rsidR="00CF6B1B" w:rsidRDefault="00CF6B1B" w:rsidP="00C37E61">
      <w:r>
        <w:separator/>
      </w:r>
    </w:p>
  </w:endnote>
  <w:endnote w:type="continuationSeparator" w:id="0">
    <w:p w14:paraId="345CB691" w14:textId="77777777" w:rsidR="00CF6B1B" w:rsidRDefault="00CF6B1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33A7" w14:textId="77777777" w:rsidR="000568EE" w:rsidRDefault="00056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7E251" w14:textId="77777777" w:rsidR="000568EE" w:rsidRDefault="00056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CDB3" w14:textId="5199C108" w:rsidR="00754C9A" w:rsidRPr="000568EE" w:rsidRDefault="00754C9A" w:rsidP="00056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810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666D" w14:textId="77777777" w:rsidR="00CF6B1B" w:rsidRDefault="00CF6B1B" w:rsidP="00C37E61">
      <w:r>
        <w:separator/>
      </w:r>
    </w:p>
  </w:footnote>
  <w:footnote w:type="continuationSeparator" w:id="0">
    <w:p w14:paraId="2456DA1F" w14:textId="77777777" w:rsidR="00CF6B1B" w:rsidRDefault="00CF6B1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9987" w14:textId="15231076" w:rsidR="000568EE" w:rsidRDefault="00CF6B1B">
    <w:pPr>
      <w:pStyle w:val="Header"/>
    </w:pPr>
    <w:r>
      <w:rPr>
        <w:noProof/>
      </w:rPr>
      <w:pict w14:anchorId="5C8FD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AF28" w14:textId="4CC2BB6D" w:rsidR="000568EE" w:rsidRDefault="00CF6B1B">
    <w:pPr>
      <w:pStyle w:val="Header"/>
    </w:pPr>
    <w:r>
      <w:rPr>
        <w:noProof/>
      </w:rPr>
      <w:pict w14:anchorId="0E758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7313" w14:textId="5255EA96" w:rsidR="00296529" w:rsidRPr="00296529" w:rsidRDefault="00CF6B1B" w:rsidP="00296529">
    <w:pPr>
      <w:ind w:left="2160"/>
      <w:jc w:val="center"/>
      <w:rPr>
        <w:rFonts w:ascii="Times New Roman" w:eastAsia="Calibri" w:hAnsi="Times New Roman"/>
        <w:i/>
        <w:sz w:val="18"/>
        <w:szCs w:val="22"/>
      </w:rPr>
    </w:pPr>
    <w:r>
      <w:rPr>
        <w:noProof/>
      </w:rPr>
      <w:pict w14:anchorId="3FFC6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4EB5D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65F0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D53A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3BBF0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1B486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B481F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CDE6" w14:textId="06690208" w:rsidR="000568EE" w:rsidRDefault="00CF6B1B">
    <w:pPr>
      <w:pStyle w:val="Header"/>
    </w:pPr>
    <w:r>
      <w:rPr>
        <w:noProof/>
      </w:rPr>
      <w:pict w14:anchorId="1C190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4A42" w14:textId="48036C28" w:rsidR="000568EE" w:rsidRDefault="00CF6B1B">
    <w:pPr>
      <w:pStyle w:val="Header"/>
    </w:pPr>
    <w:r>
      <w:rPr>
        <w:noProof/>
      </w:rPr>
      <w:pict w14:anchorId="25730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E5EB" w14:textId="6B339BD3" w:rsidR="000568EE" w:rsidRDefault="00CF6B1B">
    <w:pPr>
      <w:pStyle w:val="Header"/>
    </w:pPr>
    <w:r>
      <w:rPr>
        <w:noProof/>
      </w:rPr>
      <w:pict w14:anchorId="7B7FA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11D47"/>
    <w:multiLevelType w:val="hybridMultilevel"/>
    <w:tmpl w:val="21F4D87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EF4F51"/>
    <w:multiLevelType w:val="hybridMultilevel"/>
    <w:tmpl w:val="E092FDB4"/>
    <w:lvl w:ilvl="0" w:tplc="5CDA7346">
      <w:start w:val="3"/>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C3970D8"/>
    <w:multiLevelType w:val="hybridMultilevel"/>
    <w:tmpl w:val="C8A4B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4840B4"/>
    <w:multiLevelType w:val="hybridMultilevel"/>
    <w:tmpl w:val="B20C2D5A"/>
    <w:lvl w:ilvl="0" w:tplc="83AC029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0F24EAA"/>
    <w:multiLevelType w:val="hybridMultilevel"/>
    <w:tmpl w:val="2A961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4"/>
  </w:num>
  <w:num w:numId="9">
    <w:abstractNumId w:val="30"/>
  </w:num>
  <w:num w:numId="10">
    <w:abstractNumId w:val="3"/>
  </w:num>
  <w:num w:numId="11">
    <w:abstractNumId w:val="22"/>
  </w:num>
  <w:num w:numId="12">
    <w:abstractNumId w:val="4"/>
  </w:num>
  <w:num w:numId="13">
    <w:abstractNumId w:val="20"/>
  </w:num>
  <w:num w:numId="14">
    <w:abstractNumId w:val="10"/>
  </w:num>
  <w:num w:numId="15">
    <w:abstractNumId w:val="26"/>
  </w:num>
  <w:num w:numId="16">
    <w:abstractNumId w:val="6"/>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5"/>
  </w:num>
  <w:num w:numId="26">
    <w:abstractNumId w:val="19"/>
  </w:num>
  <w:num w:numId="27">
    <w:abstractNumId w:val="25"/>
  </w:num>
  <w:num w:numId="28">
    <w:abstractNumId w:val="32"/>
  </w:num>
  <w:num w:numId="29">
    <w:abstractNumId w:val="29"/>
  </w:num>
  <w:num w:numId="30">
    <w:abstractNumId w:val="12"/>
  </w:num>
  <w:num w:numId="31">
    <w:abstractNumId w:val="18"/>
  </w:num>
  <w:num w:numId="32">
    <w:abstractNumId w:val="21"/>
  </w:num>
  <w:num w:numId="33">
    <w:abstractNumId w:val="23"/>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AC7"/>
    <w:rsid w:val="000130A0"/>
    <w:rsid w:val="00030174"/>
    <w:rsid w:val="00031000"/>
    <w:rsid w:val="00037F7F"/>
    <w:rsid w:val="0004579C"/>
    <w:rsid w:val="000568EE"/>
    <w:rsid w:val="000757E0"/>
    <w:rsid w:val="00075D5C"/>
    <w:rsid w:val="00076910"/>
    <w:rsid w:val="000A47FA"/>
    <w:rsid w:val="000A65D3"/>
    <w:rsid w:val="000B1E33"/>
    <w:rsid w:val="000D689F"/>
    <w:rsid w:val="000D76DD"/>
    <w:rsid w:val="000E7B7B"/>
    <w:rsid w:val="000E7D62"/>
    <w:rsid w:val="000F47B3"/>
    <w:rsid w:val="000F6641"/>
    <w:rsid w:val="00103357"/>
    <w:rsid w:val="00117F6C"/>
    <w:rsid w:val="00123C9F"/>
    <w:rsid w:val="00126190"/>
    <w:rsid w:val="00130F17"/>
    <w:rsid w:val="001320BF"/>
    <w:rsid w:val="00137F2F"/>
    <w:rsid w:val="00163BC4"/>
    <w:rsid w:val="00166FF0"/>
    <w:rsid w:val="001827BB"/>
    <w:rsid w:val="00185F22"/>
    <w:rsid w:val="00191062"/>
    <w:rsid w:val="00192B72"/>
    <w:rsid w:val="001A29D8"/>
    <w:rsid w:val="001A5CAA"/>
    <w:rsid w:val="001B0427"/>
    <w:rsid w:val="001C00E5"/>
    <w:rsid w:val="001C0E53"/>
    <w:rsid w:val="001D3A51"/>
    <w:rsid w:val="001E10D2"/>
    <w:rsid w:val="001E25B4"/>
    <w:rsid w:val="001E44FE"/>
    <w:rsid w:val="001E63CB"/>
    <w:rsid w:val="001F00FA"/>
    <w:rsid w:val="001F46A6"/>
    <w:rsid w:val="00200595"/>
    <w:rsid w:val="00202AC6"/>
    <w:rsid w:val="00204835"/>
    <w:rsid w:val="00231920"/>
    <w:rsid w:val="0023195C"/>
    <w:rsid w:val="002322E7"/>
    <w:rsid w:val="0024282C"/>
    <w:rsid w:val="00244013"/>
    <w:rsid w:val="002450A2"/>
    <w:rsid w:val="002460DC"/>
    <w:rsid w:val="00250985"/>
    <w:rsid w:val="002556F6"/>
    <w:rsid w:val="00275661"/>
    <w:rsid w:val="0028224C"/>
    <w:rsid w:val="00283105"/>
    <w:rsid w:val="00283BCF"/>
    <w:rsid w:val="00284C4C"/>
    <w:rsid w:val="00285C34"/>
    <w:rsid w:val="00287E68"/>
    <w:rsid w:val="00296529"/>
    <w:rsid w:val="002A0AD1"/>
    <w:rsid w:val="002A2426"/>
    <w:rsid w:val="002B1DB2"/>
    <w:rsid w:val="002B27FB"/>
    <w:rsid w:val="002B685A"/>
    <w:rsid w:val="002C060B"/>
    <w:rsid w:val="002C57D2"/>
    <w:rsid w:val="002C61EE"/>
    <w:rsid w:val="002C6428"/>
    <w:rsid w:val="002E0D56"/>
    <w:rsid w:val="002E10FE"/>
    <w:rsid w:val="002F17E4"/>
    <w:rsid w:val="00307B0A"/>
    <w:rsid w:val="00315186"/>
    <w:rsid w:val="00315E1E"/>
    <w:rsid w:val="0033343E"/>
    <w:rsid w:val="00342345"/>
    <w:rsid w:val="00346FD9"/>
    <w:rsid w:val="003504B4"/>
    <w:rsid w:val="003512C2"/>
    <w:rsid w:val="0036721F"/>
    <w:rsid w:val="00371FB6"/>
    <w:rsid w:val="003763C1"/>
    <w:rsid w:val="00376BBE"/>
    <w:rsid w:val="00385CA8"/>
    <w:rsid w:val="00390FBC"/>
    <w:rsid w:val="0039224F"/>
    <w:rsid w:val="003922DD"/>
    <w:rsid w:val="00392EE0"/>
    <w:rsid w:val="00395907"/>
    <w:rsid w:val="003A43A4"/>
    <w:rsid w:val="003A7E18"/>
    <w:rsid w:val="003C4C86"/>
    <w:rsid w:val="003C6258"/>
    <w:rsid w:val="003C687F"/>
    <w:rsid w:val="003C7D2F"/>
    <w:rsid w:val="003D2447"/>
    <w:rsid w:val="003D5CB3"/>
    <w:rsid w:val="003E2904"/>
    <w:rsid w:val="004014CE"/>
    <w:rsid w:val="00401927"/>
    <w:rsid w:val="0041027F"/>
    <w:rsid w:val="00412475"/>
    <w:rsid w:val="00417A30"/>
    <w:rsid w:val="00423789"/>
    <w:rsid w:val="00423C0D"/>
    <w:rsid w:val="00431F77"/>
    <w:rsid w:val="00432249"/>
    <w:rsid w:val="00437F4A"/>
    <w:rsid w:val="004400B1"/>
    <w:rsid w:val="00440F43"/>
    <w:rsid w:val="00441B6F"/>
    <w:rsid w:val="00446221"/>
    <w:rsid w:val="00450E62"/>
    <w:rsid w:val="004539DB"/>
    <w:rsid w:val="00463933"/>
    <w:rsid w:val="004673A3"/>
    <w:rsid w:val="00471A80"/>
    <w:rsid w:val="00474351"/>
    <w:rsid w:val="00486B07"/>
    <w:rsid w:val="00490188"/>
    <w:rsid w:val="004936A6"/>
    <w:rsid w:val="00495E76"/>
    <w:rsid w:val="004B0678"/>
    <w:rsid w:val="004C6E84"/>
    <w:rsid w:val="004D07CE"/>
    <w:rsid w:val="004D305E"/>
    <w:rsid w:val="004D4277"/>
    <w:rsid w:val="004D7566"/>
    <w:rsid w:val="004E4190"/>
    <w:rsid w:val="004E463D"/>
    <w:rsid w:val="004F011B"/>
    <w:rsid w:val="004F0B2D"/>
    <w:rsid w:val="004F3EB0"/>
    <w:rsid w:val="00502516"/>
    <w:rsid w:val="00505F06"/>
    <w:rsid w:val="00506828"/>
    <w:rsid w:val="00515296"/>
    <w:rsid w:val="00524A3D"/>
    <w:rsid w:val="005270B4"/>
    <w:rsid w:val="0053056E"/>
    <w:rsid w:val="00536BD6"/>
    <w:rsid w:val="005410C3"/>
    <w:rsid w:val="005518FC"/>
    <w:rsid w:val="00554FDA"/>
    <w:rsid w:val="0056136E"/>
    <w:rsid w:val="005635C2"/>
    <w:rsid w:val="00583FE4"/>
    <w:rsid w:val="00594AA5"/>
    <w:rsid w:val="005B0829"/>
    <w:rsid w:val="005C784C"/>
    <w:rsid w:val="005D17F6"/>
    <w:rsid w:val="005E5539"/>
    <w:rsid w:val="005F4A83"/>
    <w:rsid w:val="00602BF5"/>
    <w:rsid w:val="00616D31"/>
    <w:rsid w:val="00617FDD"/>
    <w:rsid w:val="00625D0B"/>
    <w:rsid w:val="00633614"/>
    <w:rsid w:val="00633F68"/>
    <w:rsid w:val="00636EB2"/>
    <w:rsid w:val="006375B8"/>
    <w:rsid w:val="0066510A"/>
    <w:rsid w:val="00673F9F"/>
    <w:rsid w:val="00686468"/>
    <w:rsid w:val="00686953"/>
    <w:rsid w:val="00687DEA"/>
    <w:rsid w:val="00687E67"/>
    <w:rsid w:val="006967F7"/>
    <w:rsid w:val="006A250C"/>
    <w:rsid w:val="006A3C5F"/>
    <w:rsid w:val="006B21D3"/>
    <w:rsid w:val="006B356F"/>
    <w:rsid w:val="006B3D2C"/>
    <w:rsid w:val="006B57D0"/>
    <w:rsid w:val="006D1252"/>
    <w:rsid w:val="006D30FF"/>
    <w:rsid w:val="006D3201"/>
    <w:rsid w:val="006D6940"/>
    <w:rsid w:val="006E102D"/>
    <w:rsid w:val="006F11EC"/>
    <w:rsid w:val="006F3E7A"/>
    <w:rsid w:val="006F4B43"/>
    <w:rsid w:val="006F7F01"/>
    <w:rsid w:val="0070082C"/>
    <w:rsid w:val="007016F2"/>
    <w:rsid w:val="00724B7C"/>
    <w:rsid w:val="007369E6"/>
    <w:rsid w:val="00746E59"/>
    <w:rsid w:val="007472C4"/>
    <w:rsid w:val="00754C9A"/>
    <w:rsid w:val="0075599A"/>
    <w:rsid w:val="00761D52"/>
    <w:rsid w:val="00763C3E"/>
    <w:rsid w:val="0077749E"/>
    <w:rsid w:val="00790ADA"/>
    <w:rsid w:val="007A0400"/>
    <w:rsid w:val="007A0F71"/>
    <w:rsid w:val="007B38FB"/>
    <w:rsid w:val="007C2B25"/>
    <w:rsid w:val="007D2288"/>
    <w:rsid w:val="007E0684"/>
    <w:rsid w:val="007E088F"/>
    <w:rsid w:val="007F7B32"/>
    <w:rsid w:val="00804BC2"/>
    <w:rsid w:val="0081431A"/>
    <w:rsid w:val="00827696"/>
    <w:rsid w:val="0083216F"/>
    <w:rsid w:val="00843528"/>
    <w:rsid w:val="00860000"/>
    <w:rsid w:val="0086082B"/>
    <w:rsid w:val="00860D1B"/>
    <w:rsid w:val="00863BD3"/>
    <w:rsid w:val="008641ED"/>
    <w:rsid w:val="00866D66"/>
    <w:rsid w:val="008671C6"/>
    <w:rsid w:val="00875803"/>
    <w:rsid w:val="00875A6E"/>
    <w:rsid w:val="00875BB3"/>
    <w:rsid w:val="00883395"/>
    <w:rsid w:val="008A7E5C"/>
    <w:rsid w:val="008A7EA3"/>
    <w:rsid w:val="008B459E"/>
    <w:rsid w:val="008B4686"/>
    <w:rsid w:val="008C1DF7"/>
    <w:rsid w:val="008E13AE"/>
    <w:rsid w:val="008E1506"/>
    <w:rsid w:val="008E37E0"/>
    <w:rsid w:val="008E710C"/>
    <w:rsid w:val="008F69D6"/>
    <w:rsid w:val="00902823"/>
    <w:rsid w:val="00915CA6"/>
    <w:rsid w:val="00916B49"/>
    <w:rsid w:val="00916F79"/>
    <w:rsid w:val="00926742"/>
    <w:rsid w:val="00927834"/>
    <w:rsid w:val="009417AC"/>
    <w:rsid w:val="009432B6"/>
    <w:rsid w:val="009500A6"/>
    <w:rsid w:val="00957370"/>
    <w:rsid w:val="009576FF"/>
    <w:rsid w:val="00957C18"/>
    <w:rsid w:val="009659BA"/>
    <w:rsid w:val="00966385"/>
    <w:rsid w:val="00967867"/>
    <w:rsid w:val="00973FF2"/>
    <w:rsid w:val="009749BF"/>
    <w:rsid w:val="00976415"/>
    <w:rsid w:val="00983040"/>
    <w:rsid w:val="009A1501"/>
    <w:rsid w:val="009B3357"/>
    <w:rsid w:val="009B3FB9"/>
    <w:rsid w:val="009B4235"/>
    <w:rsid w:val="009C2465"/>
    <w:rsid w:val="009D2A50"/>
    <w:rsid w:val="009D35A0"/>
    <w:rsid w:val="009D7EB7"/>
    <w:rsid w:val="009E048A"/>
    <w:rsid w:val="009E08E9"/>
    <w:rsid w:val="009E3DB9"/>
    <w:rsid w:val="009E653F"/>
    <w:rsid w:val="009E6E35"/>
    <w:rsid w:val="009E709E"/>
    <w:rsid w:val="009F0EDA"/>
    <w:rsid w:val="00A00185"/>
    <w:rsid w:val="00A01BEB"/>
    <w:rsid w:val="00A03B96"/>
    <w:rsid w:val="00A054B7"/>
    <w:rsid w:val="00A05B19"/>
    <w:rsid w:val="00A1134E"/>
    <w:rsid w:val="00A24E7E"/>
    <w:rsid w:val="00A258C3"/>
    <w:rsid w:val="00A347C0"/>
    <w:rsid w:val="00A51431"/>
    <w:rsid w:val="00A539AD"/>
    <w:rsid w:val="00A6076C"/>
    <w:rsid w:val="00A64FDC"/>
    <w:rsid w:val="00A72E47"/>
    <w:rsid w:val="00A735A6"/>
    <w:rsid w:val="00A768D6"/>
    <w:rsid w:val="00A94063"/>
    <w:rsid w:val="00AA253A"/>
    <w:rsid w:val="00AA6219"/>
    <w:rsid w:val="00AA74E0"/>
    <w:rsid w:val="00AB19A5"/>
    <w:rsid w:val="00AB703F"/>
    <w:rsid w:val="00AC1803"/>
    <w:rsid w:val="00AC21D5"/>
    <w:rsid w:val="00AC6BB8"/>
    <w:rsid w:val="00AD67D7"/>
    <w:rsid w:val="00AE008F"/>
    <w:rsid w:val="00AE2836"/>
    <w:rsid w:val="00AF4BD5"/>
    <w:rsid w:val="00B00F45"/>
    <w:rsid w:val="00B01FCD"/>
    <w:rsid w:val="00B03750"/>
    <w:rsid w:val="00B1344C"/>
    <w:rsid w:val="00B1776C"/>
    <w:rsid w:val="00B251AD"/>
    <w:rsid w:val="00B52583"/>
    <w:rsid w:val="00B52896"/>
    <w:rsid w:val="00B57A29"/>
    <w:rsid w:val="00B61FAB"/>
    <w:rsid w:val="00B80216"/>
    <w:rsid w:val="00B91492"/>
    <w:rsid w:val="00B95236"/>
    <w:rsid w:val="00B96BD9"/>
    <w:rsid w:val="00BA1B01"/>
    <w:rsid w:val="00BA2641"/>
    <w:rsid w:val="00BB205E"/>
    <w:rsid w:val="00BB37AA"/>
    <w:rsid w:val="00BC53A0"/>
    <w:rsid w:val="00BE487C"/>
    <w:rsid w:val="00BE62AD"/>
    <w:rsid w:val="00BF121F"/>
    <w:rsid w:val="00BF1F80"/>
    <w:rsid w:val="00BF54C8"/>
    <w:rsid w:val="00C01EFA"/>
    <w:rsid w:val="00C1279A"/>
    <w:rsid w:val="00C166EF"/>
    <w:rsid w:val="00C17EB0"/>
    <w:rsid w:val="00C24DBA"/>
    <w:rsid w:val="00C27F5F"/>
    <w:rsid w:val="00C30A0F"/>
    <w:rsid w:val="00C37E61"/>
    <w:rsid w:val="00C40D9E"/>
    <w:rsid w:val="00C42B20"/>
    <w:rsid w:val="00C70F1B"/>
    <w:rsid w:val="00C71A47"/>
    <w:rsid w:val="00C7464C"/>
    <w:rsid w:val="00C75F92"/>
    <w:rsid w:val="00C848E0"/>
    <w:rsid w:val="00C85588"/>
    <w:rsid w:val="00C96E38"/>
    <w:rsid w:val="00CA6B4D"/>
    <w:rsid w:val="00CB3831"/>
    <w:rsid w:val="00CB3E95"/>
    <w:rsid w:val="00CB737A"/>
    <w:rsid w:val="00CC0B93"/>
    <w:rsid w:val="00CC24C6"/>
    <w:rsid w:val="00CC62DA"/>
    <w:rsid w:val="00CD2619"/>
    <w:rsid w:val="00CD6755"/>
    <w:rsid w:val="00CD6856"/>
    <w:rsid w:val="00CE0089"/>
    <w:rsid w:val="00CE793C"/>
    <w:rsid w:val="00CF193C"/>
    <w:rsid w:val="00CF6B1B"/>
    <w:rsid w:val="00CF6F49"/>
    <w:rsid w:val="00D0065A"/>
    <w:rsid w:val="00D01654"/>
    <w:rsid w:val="00D05A63"/>
    <w:rsid w:val="00D15CD0"/>
    <w:rsid w:val="00D173F1"/>
    <w:rsid w:val="00D24FF2"/>
    <w:rsid w:val="00D54663"/>
    <w:rsid w:val="00D54A24"/>
    <w:rsid w:val="00D663FA"/>
    <w:rsid w:val="00D74CB0"/>
    <w:rsid w:val="00D77BC9"/>
    <w:rsid w:val="00D81DAE"/>
    <w:rsid w:val="00D8295D"/>
    <w:rsid w:val="00DB2AD6"/>
    <w:rsid w:val="00DC2A65"/>
    <w:rsid w:val="00DE00FD"/>
    <w:rsid w:val="00DE15F0"/>
    <w:rsid w:val="00DE5663"/>
    <w:rsid w:val="00DE78AA"/>
    <w:rsid w:val="00E053D0"/>
    <w:rsid w:val="00E0764E"/>
    <w:rsid w:val="00E15994"/>
    <w:rsid w:val="00E30792"/>
    <w:rsid w:val="00E3114E"/>
    <w:rsid w:val="00E31A70"/>
    <w:rsid w:val="00E35B02"/>
    <w:rsid w:val="00E535BE"/>
    <w:rsid w:val="00E66496"/>
    <w:rsid w:val="00E66B35"/>
    <w:rsid w:val="00E66E10"/>
    <w:rsid w:val="00E769F6"/>
    <w:rsid w:val="00E8407C"/>
    <w:rsid w:val="00E84F3C"/>
    <w:rsid w:val="00E94098"/>
    <w:rsid w:val="00EA012C"/>
    <w:rsid w:val="00EB2B95"/>
    <w:rsid w:val="00EB610E"/>
    <w:rsid w:val="00EC6A55"/>
    <w:rsid w:val="00ED0288"/>
    <w:rsid w:val="00EE13D5"/>
    <w:rsid w:val="00EE3018"/>
    <w:rsid w:val="00EE52CB"/>
    <w:rsid w:val="00EF581D"/>
    <w:rsid w:val="00EF7FD8"/>
    <w:rsid w:val="00F06F59"/>
    <w:rsid w:val="00F106C7"/>
    <w:rsid w:val="00F16101"/>
    <w:rsid w:val="00F17988"/>
    <w:rsid w:val="00F21D46"/>
    <w:rsid w:val="00F226C2"/>
    <w:rsid w:val="00F32F05"/>
    <w:rsid w:val="00F37D30"/>
    <w:rsid w:val="00F469F0"/>
    <w:rsid w:val="00F53273"/>
    <w:rsid w:val="00F60EE8"/>
    <w:rsid w:val="00F632F8"/>
    <w:rsid w:val="00F6714E"/>
    <w:rsid w:val="00F755E4"/>
    <w:rsid w:val="00F77D02"/>
    <w:rsid w:val="00F86DBC"/>
    <w:rsid w:val="00FB3A86"/>
    <w:rsid w:val="00FD36C8"/>
    <w:rsid w:val="00FF483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8F17B4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4686"/>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81DAE"/>
    <w:pPr>
      <w:spacing w:after="160" w:line="259" w:lineRule="auto"/>
      <w:ind w:left="720"/>
      <w:contextualSpacing/>
    </w:pPr>
    <w:rPr>
      <w:rFonts w:asciiTheme="minorHAnsi" w:eastAsiaTheme="minorHAnsi" w:hAnsiTheme="minorHAnsi" w:cstheme="minorBidi"/>
      <w:kern w:val="2"/>
      <w:sz w:val="22"/>
      <w:szCs w:val="22"/>
      <w:lang w:val="en-IN"/>
    </w:rPr>
  </w:style>
  <w:style w:type="paragraph" w:styleId="FootnoteText">
    <w:name w:val="footnote text"/>
    <w:basedOn w:val="Normal"/>
    <w:link w:val="FootnoteTextChar"/>
    <w:uiPriority w:val="99"/>
    <w:unhideWhenUsed/>
    <w:rsid w:val="00315E1E"/>
    <w:rPr>
      <w:rFonts w:ascii="Calibri" w:eastAsia="Calibri" w:hAnsi="Calibri" w:cs="Shruti"/>
      <w:lang w:val="en-IN"/>
    </w:rPr>
  </w:style>
  <w:style w:type="character" w:customStyle="1" w:styleId="FootnoteTextChar">
    <w:name w:val="Footnote Text Char"/>
    <w:basedOn w:val="DefaultParagraphFont"/>
    <w:link w:val="FootnoteText"/>
    <w:uiPriority w:val="99"/>
    <w:rsid w:val="00315E1E"/>
    <w:rPr>
      <w:rFonts w:ascii="Calibri" w:eastAsia="Calibri" w:hAnsi="Calibri" w:cs="Shrut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ecolind.2020.106197"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1007/978-981-15-4327-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2.deloitte.com/content/dam/Deloitte/in/Documents/about-deloitte/in-india-turning-point-noexp.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internal.imd.gov.in/press_release/20220426_pr_159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liefweb.int/report/world/state-climate-asia-2020"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763/cpol.2007.0430"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germanwatch.org/sites/default/files/Global%20Climate%20Risk%20Index%202021_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undp.org/bangladesh/publications/climate-vulnerability-index-draft"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nalysis\Climate%20change\17-11-2023\CVI%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nalysis\Climate%20change\17-11-2023\CVI%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Sheet4!$A$3</c:f>
              <c:strCache>
                <c:ptCount val="1"/>
                <c:pt idx="0">
                  <c:v>Andhra Pradesh</c:v>
                </c:pt>
              </c:strCache>
            </c:strRef>
          </c:tx>
          <c:spPr>
            <a:solidFill>
              <a:schemeClr val="accent1"/>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Sheet4!$B$3:$AC$3</c:f>
              <c:numCache>
                <c:formatCode>0.00</c:formatCode>
                <c:ptCount val="28"/>
                <c:pt idx="0">
                  <c:v>7.25167619703522E-2</c:v>
                </c:pt>
                <c:pt idx="1">
                  <c:v>6.5450551134121793E-2</c:v>
                </c:pt>
                <c:pt idx="2">
                  <c:v>3.2588037576088628E-2</c:v>
                </c:pt>
                <c:pt idx="3">
                  <c:v>0.12927443097841188</c:v>
                </c:pt>
                <c:pt idx="4">
                  <c:v>0.11035644095190404</c:v>
                </c:pt>
                <c:pt idx="5">
                  <c:v>8.9573747261764994E-2</c:v>
                </c:pt>
                <c:pt idx="6">
                  <c:v>0.10025993289957102</c:v>
                </c:pt>
                <c:pt idx="7">
                  <c:v>2.2171342183268852E-2</c:v>
                </c:pt>
                <c:pt idx="8">
                  <c:v>5.9139952592305013E-2</c:v>
                </c:pt>
                <c:pt idx="9">
                  <c:v>5.3760355667531373E-2</c:v>
                </c:pt>
                <c:pt idx="10">
                  <c:v>3.7154620305974474E-2</c:v>
                </c:pt>
                <c:pt idx="11">
                  <c:v>1.7253154515790257E-2</c:v>
                </c:pt>
                <c:pt idx="12">
                  <c:v>6.4960854794084852E-2</c:v>
                </c:pt>
                <c:pt idx="13">
                  <c:v>0.14148255024355327</c:v>
                </c:pt>
                <c:pt idx="14">
                  <c:v>0.1294395182569365</c:v>
                </c:pt>
                <c:pt idx="15">
                  <c:v>1.342081293303128E-2</c:v>
                </c:pt>
                <c:pt idx="16">
                  <c:v>0.13902873920698522</c:v>
                </c:pt>
                <c:pt idx="17">
                  <c:v>4.5233331980383665E-2</c:v>
                </c:pt>
                <c:pt idx="18">
                  <c:v>1.1548331023989555E-2</c:v>
                </c:pt>
                <c:pt idx="19">
                  <c:v>1.9487390755843874E-2</c:v>
                </c:pt>
                <c:pt idx="20">
                  <c:v>2.094853098672957E-2</c:v>
                </c:pt>
                <c:pt idx="21">
                  <c:v>1.6200038758059027E-3</c:v>
                </c:pt>
                <c:pt idx="22">
                  <c:v>0</c:v>
                </c:pt>
                <c:pt idx="23">
                  <c:v>5.7110845817731425E-2</c:v>
                </c:pt>
                <c:pt idx="24">
                  <c:v>3.988688222003689E-2</c:v>
                </c:pt>
                <c:pt idx="25">
                  <c:v>8.8799687438809463E-2</c:v>
                </c:pt>
                <c:pt idx="26">
                  <c:v>1.4796191407864244E-2</c:v>
                </c:pt>
                <c:pt idx="27">
                  <c:v>1.9748738401081042E-4</c:v>
                </c:pt>
              </c:numCache>
            </c:numRef>
          </c:val>
          <c:extLst>
            <c:ext xmlns:c16="http://schemas.microsoft.com/office/drawing/2014/chart" uri="{C3380CC4-5D6E-409C-BE32-E72D297353CC}">
              <c16:uniqueId val="{00000000-198B-4307-90F8-416F7FD1A3CA}"/>
            </c:ext>
          </c:extLst>
        </c:ser>
        <c:ser>
          <c:idx val="1"/>
          <c:order val="1"/>
          <c:tx>
            <c:strRef>
              <c:f>Sheet4!$A$4</c:f>
              <c:strCache>
                <c:ptCount val="1"/>
                <c:pt idx="0">
                  <c:v>Assam</c:v>
                </c:pt>
              </c:strCache>
            </c:strRef>
          </c:tx>
          <c:spPr>
            <a:solidFill>
              <a:schemeClr val="accent2"/>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Sheet4!$B$4:$AC$4</c:f>
              <c:numCache>
                <c:formatCode>0.00</c:formatCode>
                <c:ptCount val="28"/>
                <c:pt idx="0">
                  <c:v>3.493508240907478E-2</c:v>
                </c:pt>
                <c:pt idx="1">
                  <c:v>1.3229366718599088E-2</c:v>
                </c:pt>
                <c:pt idx="2">
                  <c:v>6.6048969015822495E-2</c:v>
                </c:pt>
                <c:pt idx="3">
                  <c:v>7.4957443172356461E-2</c:v>
                </c:pt>
                <c:pt idx="4">
                  <c:v>6.0089370989518436E-2</c:v>
                </c:pt>
                <c:pt idx="5">
                  <c:v>4.1318529881689575E-2</c:v>
                </c:pt>
                <c:pt idx="6">
                  <c:v>0.10925761918542996</c:v>
                </c:pt>
                <c:pt idx="7">
                  <c:v>1.445957098908838E-2</c:v>
                </c:pt>
                <c:pt idx="8">
                  <c:v>6.4712410131397585E-2</c:v>
                </c:pt>
                <c:pt idx="9">
                  <c:v>5.9221711206397763E-2</c:v>
                </c:pt>
                <c:pt idx="10">
                  <c:v>9.8546270859903307E-2</c:v>
                </c:pt>
                <c:pt idx="11">
                  <c:v>3.1011432193188318E-2</c:v>
                </c:pt>
                <c:pt idx="12">
                  <c:v>9.234640982348534E-2</c:v>
                </c:pt>
                <c:pt idx="13">
                  <c:v>0.17194736237171451</c:v>
                </c:pt>
                <c:pt idx="14">
                  <c:v>0.12219476910076468</c:v>
                </c:pt>
                <c:pt idx="15">
                  <c:v>3.1673118521953821E-2</c:v>
                </c:pt>
                <c:pt idx="16">
                  <c:v>0.13303290968661843</c:v>
                </c:pt>
                <c:pt idx="17">
                  <c:v>3.5032313710779993E-2</c:v>
                </c:pt>
                <c:pt idx="18">
                  <c:v>4.7481774251527303E-2</c:v>
                </c:pt>
                <c:pt idx="19">
                  <c:v>1.942061413674263E-2</c:v>
                </c:pt>
                <c:pt idx="20">
                  <c:v>2.1788338465039445E-2</c:v>
                </c:pt>
                <c:pt idx="21">
                  <c:v>2.5073863614601404E-3</c:v>
                </c:pt>
                <c:pt idx="22">
                  <c:v>5.4376772939295583E-2</c:v>
                </c:pt>
                <c:pt idx="23">
                  <c:v>1.1282288566417255E-2</c:v>
                </c:pt>
                <c:pt idx="24">
                  <c:v>3.8824362466148794E-2</c:v>
                </c:pt>
                <c:pt idx="25">
                  <c:v>3.1564102209565431E-2</c:v>
                </c:pt>
                <c:pt idx="26">
                  <c:v>1.364538296579803E-3</c:v>
                </c:pt>
                <c:pt idx="27">
                  <c:v>1.5267574177963338E-5</c:v>
                </c:pt>
              </c:numCache>
            </c:numRef>
          </c:val>
          <c:extLst>
            <c:ext xmlns:c16="http://schemas.microsoft.com/office/drawing/2014/chart" uri="{C3380CC4-5D6E-409C-BE32-E72D297353CC}">
              <c16:uniqueId val="{00000001-198B-4307-90F8-416F7FD1A3CA}"/>
            </c:ext>
          </c:extLst>
        </c:ser>
        <c:ser>
          <c:idx val="2"/>
          <c:order val="2"/>
          <c:tx>
            <c:strRef>
              <c:f>Sheet4!$A$5</c:f>
              <c:strCache>
                <c:ptCount val="1"/>
                <c:pt idx="0">
                  <c:v>Bihar</c:v>
                </c:pt>
              </c:strCache>
            </c:strRef>
          </c:tx>
          <c:spPr>
            <a:solidFill>
              <a:schemeClr val="accent3"/>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Sheet4!$B$5:$AC$5</c:f>
              <c:numCache>
                <c:formatCode>0.00</c:formatCode>
                <c:ptCount val="28"/>
                <c:pt idx="0">
                  <c:v>5.3461262474493225E-2</c:v>
                </c:pt>
                <c:pt idx="1">
                  <c:v>7.7983635393847242E-2</c:v>
                </c:pt>
                <c:pt idx="2">
                  <c:v>7.7396589243210495E-2</c:v>
                </c:pt>
                <c:pt idx="3">
                  <c:v>0.10122711363855781</c:v>
                </c:pt>
                <c:pt idx="4">
                  <c:v>5.7778241336075419E-2</c:v>
                </c:pt>
                <c:pt idx="5">
                  <c:v>4.6445646728322583E-2</c:v>
                </c:pt>
                <c:pt idx="6">
                  <c:v>5.7520923041741064E-2</c:v>
                </c:pt>
                <c:pt idx="7">
                  <c:v>4.0968784469083738E-2</c:v>
                </c:pt>
                <c:pt idx="8">
                  <c:v>1.8335182870562648E-2</c:v>
                </c:pt>
                <c:pt idx="9">
                  <c:v>7.4595024876259741E-2</c:v>
                </c:pt>
                <c:pt idx="10">
                  <c:v>6.8417836068649873E-2</c:v>
                </c:pt>
                <c:pt idx="11">
                  <c:v>9.0313399603426971E-3</c:v>
                </c:pt>
                <c:pt idx="12">
                  <c:v>6.692424429020491E-2</c:v>
                </c:pt>
                <c:pt idx="13">
                  <c:v>0.13057387509422635</c:v>
                </c:pt>
                <c:pt idx="14">
                  <c:v>0.15600359849623316</c:v>
                </c:pt>
                <c:pt idx="15">
                  <c:v>0.11998206762129965</c:v>
                </c:pt>
                <c:pt idx="16">
                  <c:v>0.16003477747063469</c:v>
                </c:pt>
                <c:pt idx="17">
                  <c:v>1.8983086862662982E-3</c:v>
                </c:pt>
                <c:pt idx="18">
                  <c:v>4.1659888363400344E-2</c:v>
                </c:pt>
                <c:pt idx="19">
                  <c:v>6.2367919084039172E-2</c:v>
                </c:pt>
                <c:pt idx="20">
                  <c:v>0</c:v>
                </c:pt>
                <c:pt idx="21">
                  <c:v>1.0525676130846557E-4</c:v>
                </c:pt>
                <c:pt idx="22">
                  <c:v>9.5188341622482159E-2</c:v>
                </c:pt>
                <c:pt idx="23">
                  <c:v>5.9491641839574005E-2</c:v>
                </c:pt>
                <c:pt idx="24">
                  <c:v>3.3685770248731178E-2</c:v>
                </c:pt>
                <c:pt idx="25">
                  <c:v>2.7923907937747124E-2</c:v>
                </c:pt>
                <c:pt idx="26">
                  <c:v>2.1076547579329018E-3</c:v>
                </c:pt>
                <c:pt idx="27">
                  <c:v>6.5183534981256482E-5</c:v>
                </c:pt>
              </c:numCache>
            </c:numRef>
          </c:val>
          <c:extLst>
            <c:ext xmlns:c16="http://schemas.microsoft.com/office/drawing/2014/chart" uri="{C3380CC4-5D6E-409C-BE32-E72D297353CC}">
              <c16:uniqueId val="{00000002-198B-4307-90F8-416F7FD1A3CA}"/>
            </c:ext>
          </c:extLst>
        </c:ser>
        <c:ser>
          <c:idx val="3"/>
          <c:order val="3"/>
          <c:tx>
            <c:strRef>
              <c:f>Sheet4!$A$6</c:f>
              <c:strCache>
                <c:ptCount val="1"/>
                <c:pt idx="0">
                  <c:v>Chhattisgarh</c:v>
                </c:pt>
              </c:strCache>
            </c:strRef>
          </c:tx>
          <c:spPr>
            <a:solidFill>
              <a:schemeClr val="accent4"/>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Sheet4!$B$6:$AC$6</c:f>
              <c:numCache>
                <c:formatCode>0.00</c:formatCode>
                <c:ptCount val="28"/>
                <c:pt idx="0">
                  <c:v>4.0228276713480053E-2</c:v>
                </c:pt>
                <c:pt idx="1">
                  <c:v>4.8739772121154525E-2</c:v>
                </c:pt>
                <c:pt idx="2">
                  <c:v>1.3093407954678468E-2</c:v>
                </c:pt>
                <c:pt idx="3">
                  <c:v>0.10952279904893718</c:v>
                </c:pt>
                <c:pt idx="4">
                  <c:v>4.2467007382015434E-2</c:v>
                </c:pt>
                <c:pt idx="5">
                  <c:v>2.8651535319419778E-2</c:v>
                </c:pt>
                <c:pt idx="6">
                  <c:v>1.8638064449279228E-2</c:v>
                </c:pt>
                <c:pt idx="7">
                  <c:v>2.8919141978176761E-2</c:v>
                </c:pt>
                <c:pt idx="8">
                  <c:v>2.9480097948747789E-2</c:v>
                </c:pt>
                <c:pt idx="9">
                  <c:v>6.2373727639288438E-2</c:v>
                </c:pt>
                <c:pt idx="10">
                  <c:v>0.10693419354033075</c:v>
                </c:pt>
                <c:pt idx="11">
                  <c:v>2.3027814282671286E-2</c:v>
                </c:pt>
                <c:pt idx="12">
                  <c:v>9.0564635895590426E-2</c:v>
                </c:pt>
                <c:pt idx="13">
                  <c:v>0.13400487451266524</c:v>
                </c:pt>
                <c:pt idx="14">
                  <c:v>0.11446703666751476</c:v>
                </c:pt>
                <c:pt idx="15">
                  <c:v>5.0999089145518867E-3</c:v>
                </c:pt>
                <c:pt idx="16">
                  <c:v>0.12401660450536461</c:v>
                </c:pt>
                <c:pt idx="17">
                  <c:v>2.8770245758400054E-2</c:v>
                </c:pt>
                <c:pt idx="18">
                  <c:v>9.305473345776711E-3</c:v>
                </c:pt>
                <c:pt idx="19">
                  <c:v>1.4715127007520198E-2</c:v>
                </c:pt>
                <c:pt idx="20">
                  <c:v>1.6329589856025287E-2</c:v>
                </c:pt>
                <c:pt idx="21">
                  <c:v>9.0883248940558849E-3</c:v>
                </c:pt>
                <c:pt idx="22">
                  <c:v>2.5018517940957101E-2</c:v>
                </c:pt>
                <c:pt idx="23">
                  <c:v>8.6400995095355676E-2</c:v>
                </c:pt>
                <c:pt idx="24">
                  <c:v>2.7425303280743041E-2</c:v>
                </c:pt>
                <c:pt idx="25">
                  <c:v>2.7827907127031939E-2</c:v>
                </c:pt>
                <c:pt idx="26">
                  <c:v>3.6108971415057889E-3</c:v>
                </c:pt>
                <c:pt idx="27">
                  <c:v>3.6315701026387094E-5</c:v>
                </c:pt>
              </c:numCache>
            </c:numRef>
          </c:val>
          <c:extLst>
            <c:ext xmlns:c16="http://schemas.microsoft.com/office/drawing/2014/chart" uri="{C3380CC4-5D6E-409C-BE32-E72D297353CC}">
              <c16:uniqueId val="{00000003-198B-4307-90F8-416F7FD1A3CA}"/>
            </c:ext>
          </c:extLst>
        </c:ser>
        <c:ser>
          <c:idx val="4"/>
          <c:order val="4"/>
          <c:tx>
            <c:strRef>
              <c:f>Sheet4!$A$7</c:f>
              <c:strCache>
                <c:ptCount val="1"/>
                <c:pt idx="0">
                  <c:v>Gujarat</c:v>
                </c:pt>
              </c:strCache>
            </c:strRef>
          </c:tx>
          <c:spPr>
            <a:solidFill>
              <a:schemeClr val="accent5"/>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Sheet4!$B$7:$AC$7</c:f>
              <c:numCache>
                <c:formatCode>0.00</c:formatCode>
                <c:ptCount val="28"/>
                <c:pt idx="0">
                  <c:v>7.4104720261673779E-2</c:v>
                </c:pt>
                <c:pt idx="1">
                  <c:v>3.2028993108187263E-2</c:v>
                </c:pt>
                <c:pt idx="2">
                  <c:v>6.8376685985543112E-2</c:v>
                </c:pt>
                <c:pt idx="3">
                  <c:v>8.5820840733567549E-2</c:v>
                </c:pt>
                <c:pt idx="4">
                  <c:v>5.1711525995787502E-2</c:v>
                </c:pt>
                <c:pt idx="5">
                  <c:v>5.5191904878461255E-2</c:v>
                </c:pt>
                <c:pt idx="6">
                  <c:v>8.8048787225905326E-2</c:v>
                </c:pt>
                <c:pt idx="7">
                  <c:v>0</c:v>
                </c:pt>
                <c:pt idx="8">
                  <c:v>3.5232312182649793E-2</c:v>
                </c:pt>
                <c:pt idx="9">
                  <c:v>4.9519428434895436E-2</c:v>
                </c:pt>
                <c:pt idx="10">
                  <c:v>4.4180805820695515E-2</c:v>
                </c:pt>
                <c:pt idx="11">
                  <c:v>4.6460118779935236E-3</c:v>
                </c:pt>
                <c:pt idx="12">
                  <c:v>5.4063948836218345E-2</c:v>
                </c:pt>
                <c:pt idx="13">
                  <c:v>0.11916706136701846</c:v>
                </c:pt>
                <c:pt idx="14">
                  <c:v>0.13571830085895209</c:v>
                </c:pt>
                <c:pt idx="15">
                  <c:v>9.7971934411128347E-3</c:v>
                </c:pt>
                <c:pt idx="16">
                  <c:v>8.8305236220542704E-2</c:v>
                </c:pt>
                <c:pt idx="17">
                  <c:v>7.3065714421266095E-2</c:v>
                </c:pt>
                <c:pt idx="18">
                  <c:v>2.8966268312238256E-2</c:v>
                </c:pt>
                <c:pt idx="19">
                  <c:v>4.351416311845499E-2</c:v>
                </c:pt>
                <c:pt idx="20">
                  <c:v>4.308678923439814E-2</c:v>
                </c:pt>
                <c:pt idx="21">
                  <c:v>2.7538726078414032E-3</c:v>
                </c:pt>
                <c:pt idx="22">
                  <c:v>3.0148881067206632E-2</c:v>
                </c:pt>
                <c:pt idx="23">
                  <c:v>4.9014726408142077E-2</c:v>
                </c:pt>
                <c:pt idx="24">
                  <c:v>1.8260896468056911E-2</c:v>
                </c:pt>
                <c:pt idx="25">
                  <c:v>1.7800054630832153E-2</c:v>
                </c:pt>
                <c:pt idx="26">
                  <c:v>0</c:v>
                </c:pt>
                <c:pt idx="27">
                  <c:v>4.6823945439186762E-2</c:v>
                </c:pt>
              </c:numCache>
            </c:numRef>
          </c:val>
          <c:extLst>
            <c:ext xmlns:c16="http://schemas.microsoft.com/office/drawing/2014/chart" uri="{C3380CC4-5D6E-409C-BE32-E72D297353CC}">
              <c16:uniqueId val="{00000004-198B-4307-90F8-416F7FD1A3CA}"/>
            </c:ext>
          </c:extLst>
        </c:ser>
        <c:ser>
          <c:idx val="5"/>
          <c:order val="5"/>
          <c:tx>
            <c:strRef>
              <c:f>Sheet4!$A$8</c:f>
              <c:strCache>
                <c:ptCount val="1"/>
                <c:pt idx="0">
                  <c:v>Haryana</c:v>
                </c:pt>
              </c:strCache>
            </c:strRef>
          </c:tx>
          <c:spPr>
            <a:solidFill>
              <a:schemeClr val="accent6"/>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Sheet4!$B$8:$AC$8</c:f>
              <c:numCache>
                <c:formatCode>0.00</c:formatCode>
                <c:ptCount val="28"/>
                <c:pt idx="0">
                  <c:v>7.4104720261673779E-2</c:v>
                </c:pt>
                <c:pt idx="1">
                  <c:v>0.10722749866653997</c:v>
                </c:pt>
                <c:pt idx="2">
                  <c:v>6.9831509091618491E-2</c:v>
                </c:pt>
                <c:pt idx="3">
                  <c:v>2.6960977583732958E-2</c:v>
                </c:pt>
                <c:pt idx="4">
                  <c:v>0</c:v>
                </c:pt>
                <c:pt idx="5">
                  <c:v>0</c:v>
                </c:pt>
                <c:pt idx="6">
                  <c:v>6.5875917450038651E-2</c:v>
                </c:pt>
                <c:pt idx="7">
                  <c:v>5.4464384058899563E-2</c:v>
                </c:pt>
                <c:pt idx="8">
                  <c:v>6.4352896741778715E-2</c:v>
                </c:pt>
                <c:pt idx="9">
                  <c:v>9.5934570381774845E-2</c:v>
                </c:pt>
                <c:pt idx="10">
                  <c:v>5.5320572356821274E-3</c:v>
                </c:pt>
                <c:pt idx="11">
                  <c:v>2.1165790573503224E-2</c:v>
                </c:pt>
                <c:pt idx="12">
                  <c:v>6.4922280829090809E-2</c:v>
                </c:pt>
                <c:pt idx="13">
                  <c:v>3.2865952014801185E-2</c:v>
                </c:pt>
                <c:pt idx="14">
                  <c:v>8.4039090211593115E-2</c:v>
                </c:pt>
                <c:pt idx="15">
                  <c:v>3.7578276212487584E-2</c:v>
                </c:pt>
                <c:pt idx="16">
                  <c:v>8.9064950905756335E-2</c:v>
                </c:pt>
                <c:pt idx="17">
                  <c:v>2.35302029091564E-2</c:v>
                </c:pt>
                <c:pt idx="18">
                  <c:v>0.10150124003316444</c:v>
                </c:pt>
                <c:pt idx="19">
                  <c:v>7.2739494400273899E-2</c:v>
                </c:pt>
                <c:pt idx="20">
                  <c:v>4.1430502263287004E-2</c:v>
                </c:pt>
                <c:pt idx="21">
                  <c:v>4.6513263954849355E-3</c:v>
                </c:pt>
                <c:pt idx="22">
                  <c:v>3.5899363185767169E-2</c:v>
                </c:pt>
                <c:pt idx="23">
                  <c:v>6.8117611995864205E-2</c:v>
                </c:pt>
                <c:pt idx="24">
                  <c:v>2.2040259022955918E-2</c:v>
                </c:pt>
                <c:pt idx="25">
                  <c:v>8.6783310596632822E-3</c:v>
                </c:pt>
                <c:pt idx="26">
                  <c:v>2.6359608216417991E-2</c:v>
                </c:pt>
                <c:pt idx="27">
                  <c:v>9.1073885098990736E-5</c:v>
                </c:pt>
              </c:numCache>
            </c:numRef>
          </c:val>
          <c:extLst>
            <c:ext xmlns:c16="http://schemas.microsoft.com/office/drawing/2014/chart" uri="{C3380CC4-5D6E-409C-BE32-E72D297353CC}">
              <c16:uniqueId val="{00000005-198B-4307-90F8-416F7FD1A3CA}"/>
            </c:ext>
          </c:extLst>
        </c:ser>
        <c:ser>
          <c:idx val="6"/>
          <c:order val="6"/>
          <c:tx>
            <c:strRef>
              <c:f>Sheet4!$A$9</c:f>
              <c:strCache>
                <c:ptCount val="1"/>
                <c:pt idx="0">
                  <c:v>Himachal Pradesh</c:v>
                </c:pt>
              </c:strCache>
            </c:strRef>
          </c:tx>
          <c:spPr>
            <a:solidFill>
              <a:schemeClr val="accent1">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Sheet4!$B$9:$AC$9</c:f>
              <c:numCache>
                <c:formatCode>0.00</c:formatCode>
                <c:ptCount val="28"/>
                <c:pt idx="0">
                  <c:v>4.9756026461409544E-2</c:v>
                </c:pt>
                <c:pt idx="1">
                  <c:v>0.10061281530724042</c:v>
                </c:pt>
                <c:pt idx="2">
                  <c:v>6.284835818245664E-2</c:v>
                </c:pt>
                <c:pt idx="3">
                  <c:v>1.7480194257585104E-2</c:v>
                </c:pt>
                <c:pt idx="4">
                  <c:v>1.5889016367420742E-2</c:v>
                </c:pt>
                <c:pt idx="5">
                  <c:v>1.9603682060655638E-2</c:v>
                </c:pt>
                <c:pt idx="6">
                  <c:v>5.8163614919302421E-2</c:v>
                </c:pt>
                <c:pt idx="7">
                  <c:v>2.4099284981813966E-2</c:v>
                </c:pt>
                <c:pt idx="8">
                  <c:v>4.6017713871216059E-2</c:v>
                </c:pt>
                <c:pt idx="9">
                  <c:v>6.1818220914871012E-2</c:v>
                </c:pt>
                <c:pt idx="10">
                  <c:v>6.7008816362467583E-2</c:v>
                </c:pt>
                <c:pt idx="11">
                  <c:v>2.3654460505877294E-2</c:v>
                </c:pt>
                <c:pt idx="12">
                  <c:v>9.0800440710043548E-2</c:v>
                </c:pt>
                <c:pt idx="13">
                  <c:v>0.1158536002647088</c:v>
                </c:pt>
                <c:pt idx="14">
                  <c:v>6.7617658790936966E-2</c:v>
                </c:pt>
                <c:pt idx="15">
                  <c:v>0</c:v>
                </c:pt>
                <c:pt idx="16">
                  <c:v>0.13973453712790687</c:v>
                </c:pt>
                <c:pt idx="17">
                  <c:v>1.8806588572483653E-2</c:v>
                </c:pt>
                <c:pt idx="18">
                  <c:v>7.754561121480591E-2</c:v>
                </c:pt>
                <c:pt idx="19">
                  <c:v>6.2126210544635761E-2</c:v>
                </c:pt>
                <c:pt idx="20">
                  <c:v>4.1407174277778402E-2</c:v>
                </c:pt>
                <c:pt idx="21">
                  <c:v>6.5876810325182653E-2</c:v>
                </c:pt>
                <c:pt idx="22">
                  <c:v>1.5130852537524619E-2</c:v>
                </c:pt>
                <c:pt idx="23">
                  <c:v>2.1942885590038819E-2</c:v>
                </c:pt>
                <c:pt idx="24">
                  <c:v>1.3946345949934283E-2</c:v>
                </c:pt>
                <c:pt idx="25">
                  <c:v>2.3928201000090341E-2</c:v>
                </c:pt>
                <c:pt idx="26">
                  <c:v>9.4122420171956822E-2</c:v>
                </c:pt>
                <c:pt idx="27">
                  <c:v>6.5157563413399417E-5</c:v>
                </c:pt>
              </c:numCache>
            </c:numRef>
          </c:val>
          <c:extLst>
            <c:ext xmlns:c16="http://schemas.microsoft.com/office/drawing/2014/chart" uri="{C3380CC4-5D6E-409C-BE32-E72D297353CC}">
              <c16:uniqueId val="{00000006-198B-4307-90F8-416F7FD1A3CA}"/>
            </c:ext>
          </c:extLst>
        </c:ser>
        <c:ser>
          <c:idx val="7"/>
          <c:order val="7"/>
          <c:tx>
            <c:strRef>
              <c:f>Sheet4!$A$10</c:f>
              <c:strCache>
                <c:ptCount val="1"/>
                <c:pt idx="0">
                  <c:v>Karnataka</c:v>
                </c:pt>
              </c:strCache>
            </c:strRef>
          </c:tx>
          <c:spPr>
            <a:solidFill>
              <a:schemeClr val="accent2">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Sheet4!$B$10:$AC$10</c:f>
              <c:numCache>
                <c:formatCode>0.00</c:formatCode>
                <c:ptCount val="28"/>
                <c:pt idx="0">
                  <c:v>7.3575400831233234E-2</c:v>
                </c:pt>
                <c:pt idx="1">
                  <c:v>5.7791444086511802E-2</c:v>
                </c:pt>
                <c:pt idx="2">
                  <c:v>4.3935657803476642E-2</c:v>
                </c:pt>
                <c:pt idx="3">
                  <c:v>0.13026201257488562</c:v>
                </c:pt>
                <c:pt idx="4">
                  <c:v>0.13462330231305572</c:v>
                </c:pt>
                <c:pt idx="5">
                  <c:v>0.10947902443104611</c:v>
                </c:pt>
                <c:pt idx="6">
                  <c:v>8.9976862858589371E-2</c:v>
                </c:pt>
                <c:pt idx="7">
                  <c:v>1.8797442285814894E-2</c:v>
                </c:pt>
                <c:pt idx="8">
                  <c:v>4.8893820988167067E-2</c:v>
                </c:pt>
                <c:pt idx="9">
                  <c:v>7.9083912083315236E-2</c:v>
                </c:pt>
                <c:pt idx="10">
                  <c:v>9.3874755860882841E-2</c:v>
                </c:pt>
                <c:pt idx="11">
                  <c:v>1.0614780274015091E-2</c:v>
                </c:pt>
                <c:pt idx="12">
                  <c:v>7.3965047988190966E-2</c:v>
                </c:pt>
                <c:pt idx="13">
                  <c:v>0.10940578406561974</c:v>
                </c:pt>
                <c:pt idx="14">
                  <c:v>0.11833090288413974</c:v>
                </c:pt>
                <c:pt idx="15">
                  <c:v>1.2212939769058465E-2</c:v>
                </c:pt>
                <c:pt idx="16">
                  <c:v>0.11859066799215819</c:v>
                </c:pt>
                <c:pt idx="17">
                  <c:v>4.6056293160176967E-2</c:v>
                </c:pt>
                <c:pt idx="18">
                  <c:v>1.5747724123622124E-2</c:v>
                </c:pt>
                <c:pt idx="19">
                  <c:v>4.7446982264697669E-3</c:v>
                </c:pt>
                <c:pt idx="20">
                  <c:v>3.375559503095512E-2</c:v>
                </c:pt>
                <c:pt idx="21">
                  <c:v>3.8937383380044013E-3</c:v>
                </c:pt>
                <c:pt idx="22">
                  <c:v>3.379923084170252E-2</c:v>
                </c:pt>
                <c:pt idx="23">
                  <c:v>3.7061293562570395E-2</c:v>
                </c:pt>
                <c:pt idx="24">
                  <c:v>9.9659354368542494E-3</c:v>
                </c:pt>
                <c:pt idx="25">
                  <c:v>6.0965295148473771E-2</c:v>
                </c:pt>
                <c:pt idx="26">
                  <c:v>2.0051758071776057E-2</c:v>
                </c:pt>
                <c:pt idx="27">
                  <c:v>3.7310537399029857E-4</c:v>
                </c:pt>
              </c:numCache>
            </c:numRef>
          </c:val>
          <c:extLst>
            <c:ext xmlns:c16="http://schemas.microsoft.com/office/drawing/2014/chart" uri="{C3380CC4-5D6E-409C-BE32-E72D297353CC}">
              <c16:uniqueId val="{00000007-198B-4307-90F8-416F7FD1A3CA}"/>
            </c:ext>
          </c:extLst>
        </c:ser>
        <c:ser>
          <c:idx val="8"/>
          <c:order val="8"/>
          <c:tx>
            <c:strRef>
              <c:f>Sheet4!$A$11</c:f>
              <c:strCache>
                <c:ptCount val="1"/>
                <c:pt idx="0">
                  <c:v>Kerala</c:v>
                </c:pt>
              </c:strCache>
            </c:strRef>
          </c:tx>
          <c:spPr>
            <a:solidFill>
              <a:schemeClr val="accent3">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Sheet4!$B$11:$AC$11</c:f>
              <c:numCache>
                <c:formatCode>0.00</c:formatCode>
                <c:ptCount val="28"/>
                <c:pt idx="0">
                  <c:v>6.6694248235506404E-2</c:v>
                </c:pt>
                <c:pt idx="1">
                  <c:v>6.4057986216374527E-2</c:v>
                </c:pt>
                <c:pt idx="2">
                  <c:v>3.0260320606368008E-2</c:v>
                </c:pt>
                <c:pt idx="3">
                  <c:v>0.12907691465911714</c:v>
                </c:pt>
                <c:pt idx="4">
                  <c:v>0.14054557205000345</c:v>
                </c:pt>
                <c:pt idx="5">
                  <c:v>0.1305906820348291</c:v>
                </c:pt>
                <c:pt idx="6">
                  <c:v>0.10218800853225508</c:v>
                </c:pt>
                <c:pt idx="7">
                  <c:v>4.0004813069811185E-2</c:v>
                </c:pt>
                <c:pt idx="8">
                  <c:v>0</c:v>
                </c:pt>
                <c:pt idx="9">
                  <c:v>0</c:v>
                </c:pt>
                <c:pt idx="10">
                  <c:v>6.7283055097227887E-2</c:v>
                </c:pt>
                <c:pt idx="11">
                  <c:v>8.9230482855962995E-2</c:v>
                </c:pt>
                <c:pt idx="12">
                  <c:v>8.7323447467171356E-2</c:v>
                </c:pt>
                <c:pt idx="13">
                  <c:v>0.12718765217717004</c:v>
                </c:pt>
                <c:pt idx="14">
                  <c:v>0.10963720389673354</c:v>
                </c:pt>
                <c:pt idx="15">
                  <c:v>6.0125241939980131E-2</c:v>
                </c:pt>
                <c:pt idx="16">
                  <c:v>0.16535175296635474</c:v>
                </c:pt>
                <c:pt idx="17">
                  <c:v>0.1026834037334499</c:v>
                </c:pt>
                <c:pt idx="18">
                  <c:v>1.775197992117402E-2</c:v>
                </c:pt>
                <c:pt idx="19">
                  <c:v>1.8256125113711361E-2</c:v>
                </c:pt>
                <c:pt idx="20">
                  <c:v>9.3918469657653991E-2</c:v>
                </c:pt>
                <c:pt idx="21">
                  <c:v>1.0833156243577481E-5</c:v>
                </c:pt>
                <c:pt idx="22">
                  <c:v>1.3985407151881086E-2</c:v>
                </c:pt>
                <c:pt idx="23">
                  <c:v>3.4828855749804047E-3</c:v>
                </c:pt>
                <c:pt idx="24">
                  <c:v>1.53655589933863E-3</c:v>
                </c:pt>
                <c:pt idx="25">
                  <c:v>1.3954170211555018E-2</c:v>
                </c:pt>
                <c:pt idx="26">
                  <c:v>5.1688934693993709E-2</c:v>
                </c:pt>
                <c:pt idx="27">
                  <c:v>3.7832251983396063E-5</c:v>
                </c:pt>
              </c:numCache>
            </c:numRef>
          </c:val>
          <c:extLst>
            <c:ext xmlns:c16="http://schemas.microsoft.com/office/drawing/2014/chart" uri="{C3380CC4-5D6E-409C-BE32-E72D297353CC}">
              <c16:uniqueId val="{00000008-198B-4307-90F8-416F7FD1A3CA}"/>
            </c:ext>
          </c:extLst>
        </c:ser>
        <c:ser>
          <c:idx val="9"/>
          <c:order val="9"/>
          <c:tx>
            <c:strRef>
              <c:f>Sheet4!$A$12</c:f>
              <c:strCache>
                <c:ptCount val="1"/>
                <c:pt idx="0">
                  <c:v>Madhya Pradesh</c:v>
                </c:pt>
              </c:strCache>
            </c:strRef>
          </c:tx>
          <c:spPr>
            <a:solidFill>
              <a:schemeClr val="accent4">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Sheet4!$B$12:$AC$12</c:f>
              <c:numCache>
                <c:formatCode>0.00</c:formatCode>
                <c:ptCount val="28"/>
                <c:pt idx="0">
                  <c:v>9.0513622605330121E-2</c:v>
                </c:pt>
                <c:pt idx="1">
                  <c:v>6.0576573922006341E-2</c:v>
                </c:pt>
                <c:pt idx="2">
                  <c:v>4.9754950227778177E-2</c:v>
                </c:pt>
                <c:pt idx="3">
                  <c:v>8.6018357052862288E-2</c:v>
                </c:pt>
                <c:pt idx="4">
                  <c:v>3.5244727215006003E-2</c:v>
                </c:pt>
                <c:pt idx="5">
                  <c:v>2.0508467386532052E-2</c:v>
                </c:pt>
                <c:pt idx="6">
                  <c:v>5.8163614919302421E-2</c:v>
                </c:pt>
                <c:pt idx="7">
                  <c:v>8.6757425934530282E-3</c:v>
                </c:pt>
                <c:pt idx="8">
                  <c:v>4.4579660312740556E-2</c:v>
                </c:pt>
                <c:pt idx="9">
                  <c:v>7.3819270181888594E-2</c:v>
                </c:pt>
                <c:pt idx="10">
                  <c:v>6.5486318559143109E-2</c:v>
                </c:pt>
                <c:pt idx="11">
                  <c:v>1.7966496562727887E-2</c:v>
                </c:pt>
                <c:pt idx="12">
                  <c:v>4.8529321075532615E-2</c:v>
                </c:pt>
                <c:pt idx="13">
                  <c:v>0.12235738709052608</c:v>
                </c:pt>
                <c:pt idx="14">
                  <c:v>9.9011571801014872E-2</c:v>
                </c:pt>
                <c:pt idx="15">
                  <c:v>8.5893202771400185E-3</c:v>
                </c:pt>
                <c:pt idx="16">
                  <c:v>0.1064996065542187</c:v>
                </c:pt>
                <c:pt idx="17">
                  <c:v>3.7240087680553125E-3</c:v>
                </c:pt>
                <c:pt idx="18">
                  <c:v>8.4035582368783543E-2</c:v>
                </c:pt>
                <c:pt idx="19">
                  <c:v>0</c:v>
                </c:pt>
                <c:pt idx="20">
                  <c:v>2.0202035450454129E-2</c:v>
                </c:pt>
                <c:pt idx="21">
                  <c:v>2.8829672695007535E-3</c:v>
                </c:pt>
                <c:pt idx="22">
                  <c:v>2.8758246088814995E-2</c:v>
                </c:pt>
                <c:pt idx="23">
                  <c:v>0.10782815929193897</c:v>
                </c:pt>
                <c:pt idx="24">
                  <c:v>9.1894436949392297E-2</c:v>
                </c:pt>
                <c:pt idx="25">
                  <c:v>2.5333806388574413E-2</c:v>
                </c:pt>
                <c:pt idx="26">
                  <c:v>3.1869320691477654E-4</c:v>
                </c:pt>
                <c:pt idx="27">
                  <c:v>5.4621153997960208E-5</c:v>
                </c:pt>
              </c:numCache>
            </c:numRef>
          </c:val>
          <c:extLst>
            <c:ext xmlns:c16="http://schemas.microsoft.com/office/drawing/2014/chart" uri="{C3380CC4-5D6E-409C-BE32-E72D297353CC}">
              <c16:uniqueId val="{00000009-198B-4307-90F8-416F7FD1A3CA}"/>
            </c:ext>
          </c:extLst>
        </c:ser>
        <c:ser>
          <c:idx val="10"/>
          <c:order val="10"/>
          <c:tx>
            <c:strRef>
              <c:f>Sheet4!$A$13</c:f>
              <c:strCache>
                <c:ptCount val="1"/>
                <c:pt idx="0">
                  <c:v>Maharashtra</c:v>
                </c:pt>
              </c:strCache>
            </c:strRef>
          </c:tx>
          <c:spPr>
            <a:solidFill>
              <a:schemeClr val="accent5">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Sheet4!$B$13:$AC$13</c:f>
              <c:numCache>
                <c:formatCode>0.00</c:formatCode>
                <c:ptCount val="28"/>
                <c:pt idx="0">
                  <c:v>8.3632470009603263E-2</c:v>
                </c:pt>
                <c:pt idx="1">
                  <c:v>4.8739772121154526E-3</c:v>
                </c:pt>
                <c:pt idx="2">
                  <c:v>5.1209773333853563E-2</c:v>
                </c:pt>
                <c:pt idx="3">
                  <c:v>9.2338879270294189E-2</c:v>
                </c:pt>
                <c:pt idx="4">
                  <c:v>5.3733764442550146E-2</c:v>
                </c:pt>
                <c:pt idx="5">
                  <c:v>3.6493008143682032E-2</c:v>
                </c:pt>
                <c:pt idx="6">
                  <c:v>7.6801679368581649E-2</c:v>
                </c:pt>
                <c:pt idx="7">
                  <c:v>3.3738998974539554E-3</c:v>
                </c:pt>
                <c:pt idx="8">
                  <c:v>5.230919818954638E-2</c:v>
                </c:pt>
                <c:pt idx="9">
                  <c:v>5.4643962889655541E-2</c:v>
                </c:pt>
                <c:pt idx="10">
                  <c:v>0.10696256306461628</c:v>
                </c:pt>
                <c:pt idx="11">
                  <c:v>2.9124837141074146E-2</c:v>
                </c:pt>
                <c:pt idx="12">
                  <c:v>6.1753898063265672E-2</c:v>
                </c:pt>
                <c:pt idx="13">
                  <c:v>0.12346000843707168</c:v>
                </c:pt>
                <c:pt idx="14">
                  <c:v>0.10963720389673354</c:v>
                </c:pt>
                <c:pt idx="15">
                  <c:v>1.2749772286379716E-2</c:v>
                </c:pt>
                <c:pt idx="16">
                  <c:v>0.11936331685428815</c:v>
                </c:pt>
                <c:pt idx="17">
                  <c:v>3.8369869401580818E-2</c:v>
                </c:pt>
                <c:pt idx="18">
                  <c:v>1.5270520362300231E-2</c:v>
                </c:pt>
                <c:pt idx="19">
                  <c:v>3.2599990085155468E-2</c:v>
                </c:pt>
                <c:pt idx="20">
                  <c:v>5.4167582350986704E-2</c:v>
                </c:pt>
                <c:pt idx="21">
                  <c:v>3.5961697971112414E-3</c:v>
                </c:pt>
                <c:pt idx="22">
                  <c:v>2.2450864928067575E-2</c:v>
                </c:pt>
                <c:pt idx="23">
                  <c:v>6.7262786124520135E-2</c:v>
                </c:pt>
                <c:pt idx="24">
                  <c:v>7.8725220002666373E-3</c:v>
                </c:pt>
                <c:pt idx="25">
                  <c:v>2.9798713365753175E-2</c:v>
                </c:pt>
                <c:pt idx="26">
                  <c:v>1.1393130032195966E-2</c:v>
                </c:pt>
                <c:pt idx="27">
                  <c:v>6.2621875514350968E-5</c:v>
                </c:pt>
              </c:numCache>
            </c:numRef>
          </c:val>
          <c:extLst>
            <c:ext xmlns:c16="http://schemas.microsoft.com/office/drawing/2014/chart" uri="{C3380CC4-5D6E-409C-BE32-E72D297353CC}">
              <c16:uniqueId val="{0000000A-198B-4307-90F8-416F7FD1A3CA}"/>
            </c:ext>
          </c:extLst>
        </c:ser>
        <c:ser>
          <c:idx val="11"/>
          <c:order val="11"/>
          <c:tx>
            <c:strRef>
              <c:f>Sheet4!$A$14</c:f>
              <c:strCache>
                <c:ptCount val="1"/>
                <c:pt idx="0">
                  <c:v>Odisha</c:v>
                </c:pt>
              </c:strCache>
            </c:strRef>
          </c:tx>
          <c:spPr>
            <a:solidFill>
              <a:schemeClr val="accent6">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Sheet4!$B$14:$AC$14</c:f>
              <c:numCache>
                <c:formatCode>0.00</c:formatCode>
                <c:ptCount val="28"/>
                <c:pt idx="0">
                  <c:v>0</c:v>
                </c:pt>
                <c:pt idx="1">
                  <c:v>4.1776947532418162E-3</c:v>
                </c:pt>
                <c:pt idx="2">
                  <c:v>0</c:v>
                </c:pt>
                <c:pt idx="3">
                  <c:v>0.11386815807342161</c:v>
                </c:pt>
                <c:pt idx="4">
                  <c:v>1.7333472400822625E-3</c:v>
                </c:pt>
                <c:pt idx="5">
                  <c:v>2.0508467386532052E-2</c:v>
                </c:pt>
                <c:pt idx="6">
                  <c:v>5.0129966449785512E-2</c:v>
                </c:pt>
                <c:pt idx="7">
                  <c:v>1.3977585289452102E-2</c:v>
                </c:pt>
                <c:pt idx="8">
                  <c:v>5.8960195897495578E-2</c:v>
                </c:pt>
                <c:pt idx="9">
                  <c:v>5.5659103323485747E-2</c:v>
                </c:pt>
                <c:pt idx="10">
                  <c:v>0.10920375548317469</c:v>
                </c:pt>
                <c:pt idx="11">
                  <c:v>2.5485756710942137E-2</c:v>
                </c:pt>
                <c:pt idx="12">
                  <c:v>8.8333667066806718E-2</c:v>
                </c:pt>
                <c:pt idx="13">
                  <c:v>0.13676982347303851</c:v>
                </c:pt>
                <c:pt idx="14">
                  <c:v>0.12895653497985837</c:v>
                </c:pt>
                <c:pt idx="15">
                  <c:v>1.5970767390307224E-2</c:v>
                </c:pt>
                <c:pt idx="16">
                  <c:v>0.15003738775632283</c:v>
                </c:pt>
                <c:pt idx="17">
                  <c:v>0</c:v>
                </c:pt>
                <c:pt idx="18">
                  <c:v>0</c:v>
                </c:pt>
                <c:pt idx="19">
                  <c:v>6.9022856335242489E-3</c:v>
                </c:pt>
                <c:pt idx="20">
                  <c:v>2.3327985508607547E-2</c:v>
                </c:pt>
                <c:pt idx="21">
                  <c:v>1.0661696244272543E-3</c:v>
                </c:pt>
                <c:pt idx="22">
                  <c:v>2.4833387734613271E-2</c:v>
                </c:pt>
                <c:pt idx="23">
                  <c:v>6.8216517468581719E-2</c:v>
                </c:pt>
                <c:pt idx="24">
                  <c:v>1.6753555593600894E-2</c:v>
                </c:pt>
                <c:pt idx="25">
                  <c:v>3.6460145513469884E-2</c:v>
                </c:pt>
                <c:pt idx="26">
                  <c:v>2.201742600059289E-2</c:v>
                </c:pt>
                <c:pt idx="27">
                  <c:v>9.6198011897770722E-5</c:v>
                </c:pt>
              </c:numCache>
            </c:numRef>
          </c:val>
          <c:extLst>
            <c:ext xmlns:c16="http://schemas.microsoft.com/office/drawing/2014/chart" uri="{C3380CC4-5D6E-409C-BE32-E72D297353CC}">
              <c16:uniqueId val="{0000000B-198B-4307-90F8-416F7FD1A3CA}"/>
            </c:ext>
          </c:extLst>
        </c:ser>
        <c:ser>
          <c:idx val="12"/>
          <c:order val="12"/>
          <c:tx>
            <c:strRef>
              <c:f>Sheet4!$A$15</c:f>
              <c:strCache>
                <c:ptCount val="1"/>
                <c:pt idx="0">
                  <c:v>Punjab</c:v>
                </c:pt>
              </c:strCache>
            </c:strRef>
          </c:tx>
          <c:spPr>
            <a:solidFill>
              <a:schemeClr val="accent1">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Sheet4!$B$15:$AC$15</c:f>
              <c:numCache>
                <c:formatCode>0.00</c:formatCode>
                <c:ptCount val="28"/>
                <c:pt idx="0">
                  <c:v>3.4405762978634256E-2</c:v>
                </c:pt>
                <c:pt idx="1">
                  <c:v>0.1134940407964027</c:v>
                </c:pt>
                <c:pt idx="2">
                  <c:v>5.9647747349090792E-2</c:v>
                </c:pt>
                <c:pt idx="3">
                  <c:v>0</c:v>
                </c:pt>
                <c:pt idx="4">
                  <c:v>5.4889329269271654E-3</c:v>
                </c:pt>
                <c:pt idx="5">
                  <c:v>9.3494483673896116E-3</c:v>
                </c:pt>
                <c:pt idx="6">
                  <c:v>9.029820879737005E-2</c:v>
                </c:pt>
                <c:pt idx="7">
                  <c:v>4.386069866690142E-2</c:v>
                </c:pt>
                <c:pt idx="8">
                  <c:v>7.0644381060109035E-2</c:v>
                </c:pt>
                <c:pt idx="9">
                  <c:v>7.2689677597526536E-2</c:v>
                </c:pt>
                <c:pt idx="10">
                  <c:v>0</c:v>
                </c:pt>
                <c:pt idx="11">
                  <c:v>0</c:v>
                </c:pt>
                <c:pt idx="12">
                  <c:v>5.875483559017159E-2</c:v>
                </c:pt>
                <c:pt idx="13">
                  <c:v>0</c:v>
                </c:pt>
                <c:pt idx="14">
                  <c:v>0</c:v>
                </c:pt>
                <c:pt idx="15">
                  <c:v>3.3686240461908518E-2</c:v>
                </c:pt>
                <c:pt idx="16">
                  <c:v>0</c:v>
                </c:pt>
                <c:pt idx="17">
                  <c:v>6.3589176061942792E-3</c:v>
                </c:pt>
                <c:pt idx="18">
                  <c:v>0.1077526093064811</c:v>
                </c:pt>
                <c:pt idx="19">
                  <c:v>7.3127883672674629E-2</c:v>
                </c:pt>
                <c:pt idx="20">
                  <c:v>3.5925097683255622E-2</c:v>
                </c:pt>
                <c:pt idx="21">
                  <c:v>2.0421240986594896E-5</c:v>
                </c:pt>
                <c:pt idx="22">
                  <c:v>3.0875436841185138E-2</c:v>
                </c:pt>
                <c:pt idx="23">
                  <c:v>0</c:v>
                </c:pt>
                <c:pt idx="24">
                  <c:v>4.8080842786378489E-2</c:v>
                </c:pt>
                <c:pt idx="25">
                  <c:v>0</c:v>
                </c:pt>
                <c:pt idx="26">
                  <c:v>2.5435107146175917E-2</c:v>
                </c:pt>
                <c:pt idx="27">
                  <c:v>2.0646887351841053E-4</c:v>
                </c:pt>
              </c:numCache>
            </c:numRef>
          </c:val>
          <c:extLst>
            <c:ext xmlns:c16="http://schemas.microsoft.com/office/drawing/2014/chart" uri="{C3380CC4-5D6E-409C-BE32-E72D297353CC}">
              <c16:uniqueId val="{0000000C-198B-4307-90F8-416F7FD1A3CA}"/>
            </c:ext>
          </c:extLst>
        </c:ser>
        <c:ser>
          <c:idx val="13"/>
          <c:order val="13"/>
          <c:tx>
            <c:strRef>
              <c:f>Sheet4!$A$16</c:f>
              <c:strCache>
                <c:ptCount val="1"/>
                <c:pt idx="0">
                  <c:v>Rajasthan</c:v>
                </c:pt>
              </c:strCache>
            </c:strRef>
          </c:tx>
          <c:spPr>
            <a:solidFill>
              <a:schemeClr val="accent2">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Sheet4!$B$16:$AC$16</c:f>
              <c:numCache>
                <c:formatCode>0.00</c:formatCode>
                <c:ptCount val="28"/>
                <c:pt idx="0">
                  <c:v>8.5749747731365372E-2</c:v>
                </c:pt>
                <c:pt idx="1">
                  <c:v>7.9376200311594522E-2</c:v>
                </c:pt>
                <c:pt idx="2">
                  <c:v>6.9831509091618491E-2</c:v>
                </c:pt>
                <c:pt idx="3">
                  <c:v>6.7056790400566585E-2</c:v>
                </c:pt>
                <c:pt idx="4">
                  <c:v>4.015587772857241E-2</c:v>
                </c:pt>
                <c:pt idx="5">
                  <c:v>2.8953130428045249E-2</c:v>
                </c:pt>
                <c:pt idx="6">
                  <c:v>9.029820879737005E-2</c:v>
                </c:pt>
                <c:pt idx="7">
                  <c:v>3.7594884571629787E-2</c:v>
                </c:pt>
                <c:pt idx="8">
                  <c:v>4.6017713871216059E-2</c:v>
                </c:pt>
                <c:pt idx="9">
                  <c:v>6.229049275387772E-2</c:v>
                </c:pt>
                <c:pt idx="10">
                  <c:v>8.4995094759505882E-2</c:v>
                </c:pt>
                <c:pt idx="11">
                  <c:v>2.0087683643054351E-2</c:v>
                </c:pt>
                <c:pt idx="12">
                  <c:v>3.0095336211407316E-2</c:v>
                </c:pt>
                <c:pt idx="13">
                  <c:v>2.2438624255336839E-2</c:v>
                </c:pt>
                <c:pt idx="14">
                  <c:v>4.2985511659952798E-2</c:v>
                </c:pt>
                <c:pt idx="15">
                  <c:v>5.6367414318731377E-3</c:v>
                </c:pt>
                <c:pt idx="16">
                  <c:v>7.2577826812460944E-2</c:v>
                </c:pt>
                <c:pt idx="17">
                  <c:v>2.8939131322884188E-2</c:v>
                </c:pt>
                <c:pt idx="18">
                  <c:v>4.3759584913216638E-2</c:v>
                </c:pt>
                <c:pt idx="19">
                  <c:v>2.0184666778801041E-2</c:v>
                </c:pt>
                <c:pt idx="20">
                  <c:v>9.3078662179344167E-3</c:v>
                </c:pt>
                <c:pt idx="21">
                  <c:v>3.6973889372848463E-3</c:v>
                </c:pt>
                <c:pt idx="22">
                  <c:v>3.7607927570279864E-2</c:v>
                </c:pt>
                <c:pt idx="23">
                  <c:v>7.5231741354901252E-2</c:v>
                </c:pt>
                <c:pt idx="24">
                  <c:v>4.222988567827158E-2</c:v>
                </c:pt>
                <c:pt idx="25">
                  <c:v>5.2108459510475491E-2</c:v>
                </c:pt>
                <c:pt idx="26">
                  <c:v>1.4159990973794296E-2</c:v>
                </c:pt>
                <c:pt idx="27">
                  <c:v>6.8187544612591206E-5</c:v>
                </c:pt>
              </c:numCache>
            </c:numRef>
          </c:val>
          <c:extLst>
            <c:ext xmlns:c16="http://schemas.microsoft.com/office/drawing/2014/chart" uri="{C3380CC4-5D6E-409C-BE32-E72D297353CC}">
              <c16:uniqueId val="{0000000D-198B-4307-90F8-416F7FD1A3CA}"/>
            </c:ext>
          </c:extLst>
        </c:ser>
        <c:ser>
          <c:idx val="14"/>
          <c:order val="14"/>
          <c:tx>
            <c:strRef>
              <c:f>Sheet4!$A$17</c:f>
              <c:strCache>
                <c:ptCount val="1"/>
                <c:pt idx="0">
                  <c:v>Tamil Nadu</c:v>
                </c:pt>
              </c:strCache>
            </c:strRef>
          </c:tx>
          <c:spPr>
            <a:solidFill>
              <a:schemeClr val="accent3">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Sheet4!$B$17:$AC$17</c:f>
              <c:numCache>
                <c:formatCode>0.00</c:formatCode>
                <c:ptCount val="28"/>
                <c:pt idx="0">
                  <c:v>0.10692252494898645</c:v>
                </c:pt>
                <c:pt idx="1">
                  <c:v>6.9628245887363605E-2</c:v>
                </c:pt>
                <c:pt idx="2">
                  <c:v>5.1791702576283717E-2</c:v>
                </c:pt>
                <c:pt idx="3">
                  <c:v>0.14724841603423383</c:v>
                </c:pt>
                <c:pt idx="4">
                  <c:v>0.13635664955313798</c:v>
                </c:pt>
                <c:pt idx="5">
                  <c:v>0.14446405703160078</c:v>
                </c:pt>
                <c:pt idx="6">
                  <c:v>0.14203490494105894</c:v>
                </c:pt>
                <c:pt idx="7">
                  <c:v>2.3135313582541409E-2</c:v>
                </c:pt>
                <c:pt idx="8">
                  <c:v>2.2649343545989152E-2</c:v>
                </c:pt>
                <c:pt idx="9">
                  <c:v>5.5659103323485747E-2</c:v>
                </c:pt>
                <c:pt idx="10">
                  <c:v>7.565206476146326E-4</c:v>
                </c:pt>
                <c:pt idx="11">
                  <c:v>1.5024848945864191E-2</c:v>
                </c:pt>
                <c:pt idx="12">
                  <c:v>7.1019068092744941E-2</c:v>
                </c:pt>
                <c:pt idx="13">
                  <c:v>9.3090346374348362E-2</c:v>
                </c:pt>
                <c:pt idx="14">
                  <c:v>0.13861620052142082</c:v>
                </c:pt>
                <c:pt idx="15">
                  <c:v>2.8049499030035379E-2</c:v>
                </c:pt>
                <c:pt idx="16">
                  <c:v>0.14886791407378691</c:v>
                </c:pt>
                <c:pt idx="17">
                  <c:v>4.1780071581503403E-2</c:v>
                </c:pt>
                <c:pt idx="18">
                  <c:v>1.4029790582863366E-2</c:v>
                </c:pt>
                <c:pt idx="19">
                  <c:v>1.2658503060279451E-2</c:v>
                </c:pt>
                <c:pt idx="20">
                  <c:v>3.1329484538059942E-2</c:v>
                </c:pt>
                <c:pt idx="21">
                  <c:v>1.0661696244272543E-3</c:v>
                </c:pt>
                <c:pt idx="22">
                  <c:v>4.3418043055494286E-2</c:v>
                </c:pt>
                <c:pt idx="23">
                  <c:v>5.2645970192198729E-2</c:v>
                </c:pt>
                <c:pt idx="24">
                  <c:v>8.3103706776097941E-4</c:v>
                </c:pt>
                <c:pt idx="25">
                  <c:v>3.8208864428137548E-2</c:v>
                </c:pt>
                <c:pt idx="26">
                  <c:v>2.0179035152202516E-2</c:v>
                </c:pt>
                <c:pt idx="27">
                  <c:v>3.4633661313265612E-4</c:v>
                </c:pt>
              </c:numCache>
            </c:numRef>
          </c:val>
          <c:extLst>
            <c:ext xmlns:c16="http://schemas.microsoft.com/office/drawing/2014/chart" uri="{C3380CC4-5D6E-409C-BE32-E72D297353CC}">
              <c16:uniqueId val="{0000000E-198B-4307-90F8-416F7FD1A3CA}"/>
            </c:ext>
          </c:extLst>
        </c:ser>
        <c:ser>
          <c:idx val="15"/>
          <c:order val="15"/>
          <c:tx>
            <c:strRef>
              <c:f>Sheet4!$A$18</c:f>
              <c:strCache>
                <c:ptCount val="1"/>
                <c:pt idx="0">
                  <c:v>Uttar Pradesh</c:v>
                </c:pt>
              </c:strCache>
            </c:strRef>
          </c:tx>
          <c:spPr>
            <a:solidFill>
              <a:schemeClr val="accent4">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Sheet4!$B$18:$AC$18</c:f>
              <c:numCache>
                <c:formatCode>0.00</c:formatCode>
                <c:ptCount val="28"/>
                <c:pt idx="0">
                  <c:v>9.5806816909735387E-2</c:v>
                </c:pt>
                <c:pt idx="1">
                  <c:v>0.11627917063189723</c:v>
                </c:pt>
                <c:pt idx="2">
                  <c:v>6.2266428940026493E-2</c:v>
                </c:pt>
                <c:pt idx="3">
                  <c:v>7.0217051509282535E-2</c:v>
                </c:pt>
                <c:pt idx="4">
                  <c:v>2.8889120668037709E-2</c:v>
                </c:pt>
                <c:pt idx="5">
                  <c:v>9.9526385846405545E-3</c:v>
                </c:pt>
                <c:pt idx="6">
                  <c:v>0</c:v>
                </c:pt>
                <c:pt idx="7">
                  <c:v>3.9522827370174901E-2</c:v>
                </c:pt>
                <c:pt idx="8">
                  <c:v>3.6850122435934732E-2</c:v>
                </c:pt>
                <c:pt idx="9">
                  <c:v>6.4494058102878948E-2</c:v>
                </c:pt>
                <c:pt idx="10">
                  <c:v>5.757122128347484E-2</c:v>
                </c:pt>
                <c:pt idx="11">
                  <c:v>5.9909050229108984E-3</c:v>
                </c:pt>
                <c:pt idx="12">
                  <c:v>0</c:v>
                </c:pt>
                <c:pt idx="13">
                  <c:v>0.10700464417897981</c:v>
                </c:pt>
                <c:pt idx="14">
                  <c:v>0.13958216707557705</c:v>
                </c:pt>
                <c:pt idx="15">
                  <c:v>7.4485511778323618E-2</c:v>
                </c:pt>
                <c:pt idx="16">
                  <c:v>0.14962021512830365</c:v>
                </c:pt>
                <c:pt idx="17">
                  <c:v>2.391724093058133E-2</c:v>
                </c:pt>
                <c:pt idx="18">
                  <c:v>6.8669621254218896E-2</c:v>
                </c:pt>
                <c:pt idx="19">
                  <c:v>3.7361135195964346E-2</c:v>
                </c:pt>
                <c:pt idx="20">
                  <c:v>2.6710543407355635E-2</c:v>
                </c:pt>
                <c:pt idx="21">
                  <c:v>1.359394215864023E-4</c:v>
                </c:pt>
                <c:pt idx="22">
                  <c:v>6.776529479248565E-2</c:v>
                </c:pt>
                <c:pt idx="23">
                  <c:v>3.5478805999090444E-2</c:v>
                </c:pt>
                <c:pt idx="24">
                  <c:v>4.6653320626320431E-2</c:v>
                </c:pt>
                <c:pt idx="25">
                  <c:v>1.8797030674986431E-2</c:v>
                </c:pt>
                <c:pt idx="26">
                  <c:v>1.7221126304557365E-3</c:v>
                </c:pt>
                <c:pt idx="27">
                  <c:v>0</c:v>
                </c:pt>
              </c:numCache>
            </c:numRef>
          </c:val>
          <c:extLst>
            <c:ext xmlns:c16="http://schemas.microsoft.com/office/drawing/2014/chart" uri="{C3380CC4-5D6E-409C-BE32-E72D297353CC}">
              <c16:uniqueId val="{0000000F-198B-4307-90F8-416F7FD1A3CA}"/>
            </c:ext>
          </c:extLst>
        </c:ser>
        <c:ser>
          <c:idx val="16"/>
          <c:order val="16"/>
          <c:tx>
            <c:strRef>
              <c:f>Sheet4!$A$19</c:f>
              <c:strCache>
                <c:ptCount val="1"/>
                <c:pt idx="0">
                  <c:v>Uttarakhand</c:v>
                </c:pt>
              </c:strCache>
            </c:strRef>
          </c:tx>
          <c:spPr>
            <a:solidFill>
              <a:schemeClr val="accent5">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Sheet4!$B$19:$AC$19</c:f>
              <c:numCache>
                <c:formatCode>0.00</c:formatCode>
                <c:ptCount val="28"/>
                <c:pt idx="0">
                  <c:v>8.4161789440043794E-2</c:v>
                </c:pt>
                <c:pt idx="1">
                  <c:v>0.10235352145442451</c:v>
                </c:pt>
                <c:pt idx="2">
                  <c:v>5.9938711970305869E-2</c:v>
                </c:pt>
                <c:pt idx="3">
                  <c:v>2.9331173415269918E-2</c:v>
                </c:pt>
                <c:pt idx="4">
                  <c:v>5.4889329269271654E-3</c:v>
                </c:pt>
                <c:pt idx="5">
                  <c:v>6.0319021725094269E-4</c:v>
                </c:pt>
                <c:pt idx="6">
                  <c:v>2.2815561653428022E-2</c:v>
                </c:pt>
                <c:pt idx="7">
                  <c:v>2.8919141978176761E-2</c:v>
                </c:pt>
                <c:pt idx="8">
                  <c:v>3.0738394812413854E-2</c:v>
                </c:pt>
                <c:pt idx="9">
                  <c:v>6.9312577633789965E-2</c:v>
                </c:pt>
                <c:pt idx="10">
                  <c:v>7.9217168313349018E-2</c:v>
                </c:pt>
                <c:pt idx="11">
                  <c:v>1.6761378453431709E-2</c:v>
                </c:pt>
                <c:pt idx="12">
                  <c:v>8.9550505441736095E-2</c:v>
                </c:pt>
                <c:pt idx="13">
                  <c:v>0.12680705191541825</c:v>
                </c:pt>
                <c:pt idx="14">
                  <c:v>0.1337863677506396</c:v>
                </c:pt>
                <c:pt idx="15">
                  <c:v>3.0867869745971944E-3</c:v>
                </c:pt>
                <c:pt idx="16">
                  <c:v>0.14688943171070704</c:v>
                </c:pt>
                <c:pt idx="17">
                  <c:v>1.4018932008689132E-2</c:v>
                </c:pt>
                <c:pt idx="18">
                  <c:v>6.3706702136471324E-2</c:v>
                </c:pt>
                <c:pt idx="19">
                  <c:v>5.3791948985224235E-2</c:v>
                </c:pt>
                <c:pt idx="20">
                  <c:v>4.2690213480751811E-2</c:v>
                </c:pt>
                <c:pt idx="21">
                  <c:v>1.1552513434242326E-2</c:v>
                </c:pt>
                <c:pt idx="22">
                  <c:v>1.6041427532626475E-2</c:v>
                </c:pt>
                <c:pt idx="23">
                  <c:v>2.2126567182228451E-2</c:v>
                </c:pt>
                <c:pt idx="24">
                  <c:v>0</c:v>
                </c:pt>
                <c:pt idx="25">
                  <c:v>2.6765415773716366E-2</c:v>
                </c:pt>
                <c:pt idx="26">
                  <c:v>2.3153785493191772E-2</c:v>
                </c:pt>
                <c:pt idx="27">
                  <c:v>2.5062195201921707E-3</c:v>
                </c:pt>
              </c:numCache>
            </c:numRef>
          </c:val>
          <c:extLst>
            <c:ext xmlns:c16="http://schemas.microsoft.com/office/drawing/2014/chart" uri="{C3380CC4-5D6E-409C-BE32-E72D297353CC}">
              <c16:uniqueId val="{00000010-198B-4307-90F8-416F7FD1A3CA}"/>
            </c:ext>
          </c:extLst>
        </c:ser>
        <c:ser>
          <c:idx val="17"/>
          <c:order val="17"/>
          <c:tx>
            <c:strRef>
              <c:f>Sheet4!$A$20</c:f>
              <c:strCache>
                <c:ptCount val="1"/>
                <c:pt idx="0">
                  <c:v>West Bengal</c:v>
                </c:pt>
              </c:strCache>
            </c:strRef>
          </c:tx>
          <c:spPr>
            <a:solidFill>
              <a:schemeClr val="accent6">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Sheet4!$B$20:$AC$20</c:f>
              <c:numCache>
                <c:formatCode>0.00</c:formatCode>
                <c:ptCount val="28"/>
                <c:pt idx="0">
                  <c:v>4.763874873964743E-3</c:v>
                </c:pt>
                <c:pt idx="1">
                  <c:v>0</c:v>
                </c:pt>
                <c:pt idx="2">
                  <c:v>5.4701348788434481E-2</c:v>
                </c:pt>
                <c:pt idx="3">
                  <c:v>9.8066852529841861E-2</c:v>
                </c:pt>
                <c:pt idx="4">
                  <c:v>3.0044685494759218E-2</c:v>
                </c:pt>
                <c:pt idx="5">
                  <c:v>2.714355977629242E-2</c:v>
                </c:pt>
                <c:pt idx="6">
                  <c:v>9.0619554736150715E-2</c:v>
                </c:pt>
                <c:pt idx="7">
                  <c:v>5.3500412659627003E-2</c:v>
                </c:pt>
                <c:pt idx="8">
                  <c:v>5.6443602170163455E-2</c:v>
                </c:pt>
                <c:pt idx="9">
                  <c:v>5.0012119538262075E-2</c:v>
                </c:pt>
                <c:pt idx="10">
                  <c:v>4.80579741397206E-2</c:v>
                </c:pt>
                <c:pt idx="11">
                  <c:v>1.194246944002088E-2</c:v>
                </c:pt>
                <c:pt idx="12">
                  <c:v>7.8626598646228479E-2</c:v>
                </c:pt>
                <c:pt idx="13">
                  <c:v>0.13488361335229807</c:v>
                </c:pt>
                <c:pt idx="14">
                  <c:v>0.13813321724434269</c:v>
                </c:pt>
                <c:pt idx="15">
                  <c:v>8.4953745866088004E-2</c:v>
                </c:pt>
                <c:pt idx="16">
                  <c:v>0.1581605824754457</c:v>
                </c:pt>
                <c:pt idx="17">
                  <c:v>5.1758251645564843E-2</c:v>
                </c:pt>
                <c:pt idx="18">
                  <c:v>0.10899333908591802</c:v>
                </c:pt>
                <c:pt idx="19">
                  <c:v>9.4985237861563682E-2</c:v>
                </c:pt>
                <c:pt idx="20">
                  <c:v>3.3778923016463729E-2</c:v>
                </c:pt>
                <c:pt idx="21">
                  <c:v>0</c:v>
                </c:pt>
                <c:pt idx="22">
                  <c:v>0.10407409004494722</c:v>
                </c:pt>
                <c:pt idx="23">
                  <c:v>3.7481641821619754E-2</c:v>
                </c:pt>
                <c:pt idx="24">
                  <c:v>3.8558151740020578E-2</c:v>
                </c:pt>
                <c:pt idx="25">
                  <c:v>4.186874059366702E-2</c:v>
                </c:pt>
                <c:pt idx="26">
                  <c:v>5.9448396833976644E-3</c:v>
                </c:pt>
                <c:pt idx="27">
                  <c:v>1.1365302376855646E-4</c:v>
                </c:pt>
              </c:numCache>
            </c:numRef>
          </c:val>
          <c:extLst>
            <c:ext xmlns:c16="http://schemas.microsoft.com/office/drawing/2014/chart" uri="{C3380CC4-5D6E-409C-BE32-E72D297353CC}">
              <c16:uniqueId val="{00000011-198B-4307-90F8-416F7FD1A3CA}"/>
            </c:ext>
          </c:extLst>
        </c:ser>
        <c:dLbls>
          <c:showLegendKey val="0"/>
          <c:showVal val="0"/>
          <c:showCatName val="0"/>
          <c:showSerName val="0"/>
          <c:showPercent val="0"/>
          <c:showBubbleSize val="0"/>
        </c:dLbls>
        <c:gapWidth val="150"/>
        <c:overlap val="100"/>
        <c:axId val="1134446560"/>
        <c:axId val="1134444640"/>
      </c:barChart>
      <c:catAx>
        <c:axId val="113444656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4444640"/>
        <c:crosses val="autoZero"/>
        <c:auto val="1"/>
        <c:lblAlgn val="ctr"/>
        <c:lblOffset val="100"/>
        <c:noMultiLvlLbl val="0"/>
      </c:catAx>
      <c:valAx>
        <c:axId val="11344446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4446560"/>
        <c:crosses val="autoZero"/>
        <c:crossBetween val="between"/>
      </c:valAx>
      <c:spPr>
        <a:noFill/>
        <a:ln>
          <a:noFill/>
        </a:ln>
        <a:effectLst/>
      </c:spPr>
    </c:plotArea>
    <c:legend>
      <c:legendPos val="b"/>
      <c:layout>
        <c:manualLayout>
          <c:xMode val="edge"/>
          <c:yMode val="edge"/>
          <c:x val="4.191338757151257E-2"/>
          <c:y val="0.83391637995397205"/>
          <c:w val="0.90952558749788448"/>
          <c:h val="0.1514208634477874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Sheet2!$B$2</c:f>
              <c:strCache>
                <c:ptCount val="1"/>
                <c:pt idx="0">
                  <c:v>Exposure</c:v>
                </c:pt>
              </c:strCache>
            </c:strRef>
          </c:tx>
          <c:spPr>
            <a:ln w="28575" cap="rnd">
              <a:solidFill>
                <a:schemeClr val="accent1"/>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Sheet2!$B$3:$B$20</c:f>
              <c:numCache>
                <c:formatCode>0.00</c:formatCode>
                <c:ptCount val="18"/>
                <c:pt idx="0">
                  <c:v>0.68133119754778848</c:v>
                </c:pt>
                <c:pt idx="1">
                  <c:v>0.47900836249297674</c:v>
                </c:pt>
                <c:pt idx="2">
                  <c:v>0.53111737919589419</c:v>
                </c:pt>
                <c:pt idx="3">
                  <c:v>0.3597401029158892</c:v>
                </c:pt>
                <c:pt idx="4">
                  <c:v>0.49051577037177552</c:v>
                </c:pt>
                <c:pt idx="5">
                  <c:v>0.46281790385428212</c:v>
                </c:pt>
                <c:pt idx="6">
                  <c:v>0.39447070640910054</c:v>
                </c:pt>
                <c:pt idx="7">
                  <c:v>0.70733496817278052</c:v>
                </c:pt>
                <c:pt idx="8">
                  <c:v>0.70341854540426496</c:v>
                </c:pt>
                <c:pt idx="9">
                  <c:v>0.45403571623501104</c:v>
                </c:pt>
                <c:pt idx="10">
                  <c:v>0.45476664986768056</c:v>
                </c:pt>
                <c:pt idx="11">
                  <c:v>0.26335541509001092</c:v>
                </c:pt>
                <c:pt idx="12">
                  <c:v>0.42718922094282497</c:v>
                </c:pt>
                <c:pt idx="13">
                  <c:v>0.54503406293197854</c:v>
                </c:pt>
                <c:pt idx="14">
                  <c:v>0.84423115810119587</c:v>
                </c:pt>
                <c:pt idx="15">
                  <c:v>0.45978417704972957</c:v>
                </c:pt>
                <c:pt idx="16">
                  <c:v>0.36435041786824079</c:v>
                </c:pt>
                <c:pt idx="17">
                  <c:v>0.41528389102923396</c:v>
                </c:pt>
              </c:numCache>
            </c:numRef>
          </c:val>
          <c:extLst>
            <c:ext xmlns:c16="http://schemas.microsoft.com/office/drawing/2014/chart" uri="{C3380CC4-5D6E-409C-BE32-E72D297353CC}">
              <c16:uniqueId val="{00000000-9FA7-4016-90CF-9D64EF9E44A9}"/>
            </c:ext>
          </c:extLst>
        </c:ser>
        <c:ser>
          <c:idx val="1"/>
          <c:order val="1"/>
          <c:tx>
            <c:strRef>
              <c:f>Sheet2!$C$2</c:f>
              <c:strCache>
                <c:ptCount val="1"/>
                <c:pt idx="0">
                  <c:v>Sensitivity</c:v>
                </c:pt>
              </c:strCache>
            </c:strRef>
          </c:tx>
          <c:spPr>
            <a:ln w="28575" cap="rnd">
              <a:solidFill>
                <a:schemeClr val="accent2"/>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Sheet2!$C$3:$C$20</c:f>
              <c:numCache>
                <c:formatCode>0.00</c:formatCode>
                <c:ptCount val="18"/>
                <c:pt idx="0">
                  <c:v>0.59650060592388721</c:v>
                </c:pt>
                <c:pt idx="1">
                  <c:v>0.73997398376402623</c:v>
                </c:pt>
                <c:pt idx="2">
                  <c:v>0.78556276387785096</c:v>
                </c:pt>
                <c:pt idx="3">
                  <c:v>0.66048879595797749</c:v>
                </c:pt>
                <c:pt idx="4">
                  <c:v>0.50539798685742898</c:v>
                </c:pt>
                <c:pt idx="5">
                  <c:v>0.43110296836468925</c:v>
                </c:pt>
                <c:pt idx="6">
                  <c:v>0.56648773467681213</c:v>
                </c:pt>
                <c:pt idx="7">
                  <c:v>0.61607879091738027</c:v>
                </c:pt>
                <c:pt idx="8">
                  <c:v>0.70613883640060071</c:v>
                </c:pt>
                <c:pt idx="9">
                  <c:v>0.54225929210219193</c:v>
                </c:pt>
                <c:pt idx="10">
                  <c:v>0.61769556263308467</c:v>
                </c:pt>
                <c:pt idx="11">
                  <c:v>0.71041679618393616</c:v>
                </c:pt>
                <c:pt idx="12">
                  <c:v>0.16513075364960664</c:v>
                </c:pt>
                <c:pt idx="13">
                  <c:v>0.34110731152746898</c:v>
                </c:pt>
                <c:pt idx="14">
                  <c:v>0.55108350100930092</c:v>
                </c:pt>
                <c:pt idx="15">
                  <c:v>0.59874872257044887</c:v>
                </c:pt>
                <c:pt idx="16">
                  <c:v>0.6654112681936688</c:v>
                </c:pt>
                <c:pt idx="17">
                  <c:v>0.70477032070240653</c:v>
                </c:pt>
              </c:numCache>
            </c:numRef>
          </c:val>
          <c:extLst>
            <c:ext xmlns:c16="http://schemas.microsoft.com/office/drawing/2014/chart" uri="{C3380CC4-5D6E-409C-BE32-E72D297353CC}">
              <c16:uniqueId val="{00000001-9FA7-4016-90CF-9D64EF9E44A9}"/>
            </c:ext>
          </c:extLst>
        </c:ser>
        <c:ser>
          <c:idx val="2"/>
          <c:order val="2"/>
          <c:tx>
            <c:strRef>
              <c:f>Sheet2!$D$2</c:f>
              <c:strCache>
                <c:ptCount val="1"/>
                <c:pt idx="0">
                  <c:v>Adaptivity</c:v>
                </c:pt>
              </c:strCache>
            </c:strRef>
          </c:tx>
          <c:spPr>
            <a:ln w="28575" cap="rnd">
              <a:solidFill>
                <a:schemeClr val="accent3"/>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Sheet2!$D$3:$D$20</c:f>
              <c:numCache>
                <c:formatCode>0.00</c:formatCode>
                <c:ptCount val="18"/>
                <c:pt idx="0">
                  <c:v>0.29962868289120542</c:v>
                </c:pt>
                <c:pt idx="1">
                  <c:v>0.2636577589777343</c:v>
                </c:pt>
                <c:pt idx="2">
                  <c:v>0.32449387283646292</c:v>
                </c:pt>
                <c:pt idx="3">
                  <c:v>0.24852869714839804</c:v>
                </c:pt>
                <c:pt idx="4">
                  <c:v>0.35343531170762343</c:v>
                </c:pt>
                <c:pt idx="5">
                  <c:v>0.40503901336713416</c:v>
                </c:pt>
                <c:pt idx="6">
                  <c:v>0.43489825774784469</c:v>
                </c:pt>
                <c:pt idx="7">
                  <c:v>0.26641466731459568</c:v>
                </c:pt>
                <c:pt idx="8">
                  <c:v>0.31730659736596517</c:v>
                </c:pt>
                <c:pt idx="9">
                  <c:v>0.36503255693642717</c:v>
                </c:pt>
                <c:pt idx="10">
                  <c:v>0.28284477032345229</c:v>
                </c:pt>
                <c:pt idx="11">
                  <c:v>0.1996736710893155</c:v>
                </c:pt>
                <c:pt idx="12">
                  <c:v>0.32778278515685011</c:v>
                </c:pt>
                <c:pt idx="13">
                  <c:v>0.32729483080245614</c:v>
                </c:pt>
                <c:pt idx="14">
                  <c:v>0.25649330589606018</c:v>
                </c:pt>
                <c:pt idx="15">
                  <c:v>0.32721104493304531</c:v>
                </c:pt>
                <c:pt idx="16">
                  <c:v>0.27635372554733401</c:v>
                </c:pt>
                <c:pt idx="17">
                  <c:v>0.51755686851693106</c:v>
                </c:pt>
              </c:numCache>
            </c:numRef>
          </c:val>
          <c:extLst>
            <c:ext xmlns:c16="http://schemas.microsoft.com/office/drawing/2014/chart" uri="{C3380CC4-5D6E-409C-BE32-E72D297353CC}">
              <c16:uniqueId val="{00000002-9FA7-4016-90CF-9D64EF9E44A9}"/>
            </c:ext>
          </c:extLst>
        </c:ser>
        <c:dLbls>
          <c:showLegendKey val="0"/>
          <c:showVal val="0"/>
          <c:showCatName val="0"/>
          <c:showSerName val="0"/>
          <c:showPercent val="0"/>
          <c:showBubbleSize val="0"/>
        </c:dLbls>
        <c:axId val="1379782175"/>
        <c:axId val="1383830079"/>
      </c:radarChart>
      <c:catAx>
        <c:axId val="137978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83830079"/>
        <c:crosses val="autoZero"/>
        <c:auto val="1"/>
        <c:lblAlgn val="ctr"/>
        <c:lblOffset val="100"/>
        <c:noMultiLvlLbl val="0"/>
      </c:catAx>
      <c:valAx>
        <c:axId val="13838300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978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24AE-38AD-4C93-986E-C8EAC566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TotalTime>
  <Pages>14</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29436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220</cp:revision>
  <cp:lastPrinted>1999-07-06T11:00:00Z</cp:lastPrinted>
  <dcterms:created xsi:type="dcterms:W3CDTF">2014-10-25T14:34:00Z</dcterms:created>
  <dcterms:modified xsi:type="dcterms:W3CDTF">2025-03-29T04:56:00Z</dcterms:modified>
</cp:coreProperties>
</file>