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3CA" w:rsidRDefault="00FC63CA">
      <w:pPr>
        <w:pStyle w:val="Title"/>
        <w:spacing w:after="0"/>
        <w:jc w:val="both"/>
        <w:rPr>
          <w:rFonts w:ascii="Arial" w:hAnsi="Arial" w:cs="Arial"/>
        </w:rPr>
      </w:pPr>
    </w:p>
    <w:p w:rsidR="00FC63CA" w:rsidRDefault="007B025A">
      <w:pPr>
        <w:pStyle w:val="Author"/>
        <w:spacing w:line="240" w:lineRule="auto"/>
        <w:rPr>
          <w:rFonts w:ascii="Arial" w:hAnsi="Arial" w:cs="Arial"/>
          <w:sz w:val="36"/>
        </w:rPr>
      </w:pPr>
      <w:r>
        <w:rPr>
          <w:rFonts w:ascii="Arial" w:hAnsi="Arial"/>
          <w:sz w:val="36"/>
        </w:rPr>
        <w:t>Sustainability report, turnover, accounting firm size</w:t>
      </w:r>
      <w:r w:rsidR="00A77678">
        <w:rPr>
          <w:rFonts w:ascii="Arial" w:hAnsi="Arial"/>
          <w:sz w:val="36"/>
        </w:rPr>
        <w:t xml:space="preserve">, </w:t>
      </w:r>
      <w:r>
        <w:rPr>
          <w:rFonts w:ascii="Arial" w:hAnsi="Arial"/>
          <w:sz w:val="36"/>
        </w:rPr>
        <w:t>corporate tax nexus and financial performance of listed Indonesian Coal companies</w:t>
      </w:r>
    </w:p>
    <w:p w:rsidR="00FC63CA" w:rsidRDefault="00FC63CA">
      <w:pPr>
        <w:pStyle w:val="Affiliation"/>
        <w:spacing w:after="0" w:line="240" w:lineRule="auto"/>
        <w:jc w:val="center"/>
        <w:rPr>
          <w:rFonts w:ascii="Arial" w:hAnsi="Arial"/>
          <w:i/>
          <w:vertAlign w:val="superscript"/>
        </w:rPr>
      </w:pPr>
    </w:p>
    <w:p w:rsidR="00FC63CA" w:rsidRDefault="00FC63CA">
      <w:pPr>
        <w:pStyle w:val="Affiliation"/>
        <w:spacing w:after="0" w:line="240" w:lineRule="auto"/>
        <w:jc w:val="center"/>
        <w:rPr>
          <w:rFonts w:ascii="Arial" w:hAnsi="Arial"/>
          <w:i/>
          <w:vertAlign w:val="superscript"/>
        </w:rPr>
      </w:pPr>
    </w:p>
    <w:p w:rsidR="00FC63CA" w:rsidRDefault="007B025A">
      <w:pPr>
        <w:pStyle w:val="Affiliation"/>
        <w:spacing w:after="0" w:line="240" w:lineRule="auto"/>
        <w:jc w:val="center"/>
        <w:rPr>
          <w:rFonts w:ascii="Arial" w:hAnsi="Arial"/>
          <w:i/>
          <w:vertAlign w:val="superscript"/>
        </w:rPr>
      </w:pPr>
      <w:r>
        <w:rPr>
          <w:rFonts w:ascii="Arial" w:hAnsi="Arial"/>
          <w:i/>
          <w:vertAlign w:val="superscript"/>
        </w:rPr>
        <w:t>ABSTRACT</w:t>
      </w:r>
    </w:p>
    <w:p w:rsidR="00FC63CA" w:rsidRDefault="007B025A">
      <w:pPr>
        <w:pStyle w:val="Copyright"/>
        <w:spacing w:after="0" w:line="240" w:lineRule="auto"/>
        <w:jc w:val="both"/>
        <w:rPr>
          <w:rFonts w:ascii="Arial" w:hAnsi="Arial" w:cs="Arial"/>
        </w:rPr>
        <w:sectPr w:rsidR="00FC63CA">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FAE587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rsidR="00FC63CA" w:rsidRDefault="00FC63CA">
      <w:pPr>
        <w:pStyle w:val="AbstHead"/>
        <w:spacing w:after="0"/>
        <w:ind w:firstLineChars="50" w:firstLine="110"/>
        <w:jc w:val="both"/>
        <w:rPr>
          <w:rFonts w:ascii="Arial" w:hAnsi="Arial" w:cs="Arial"/>
        </w:rPr>
      </w:pPr>
    </w:p>
    <w:tbl>
      <w:tblPr>
        <w:tblpPr w:leftFromText="180" w:rightFromText="180" w:vertAnchor="page" w:horzAnchor="page" w:tblpX="2135" w:tblpY="54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3"/>
      </w:tblGrid>
      <w:tr w:rsidR="00FC63CA">
        <w:tc>
          <w:tcPr>
            <w:tcW w:w="8193" w:type="dxa"/>
            <w:shd w:val="clear" w:color="auto" w:fill="F2F2F2"/>
          </w:tcPr>
          <w:p w:rsidR="00FC63CA" w:rsidRDefault="007B025A">
            <w:pPr>
              <w:pStyle w:val="NormalWeb"/>
              <w:rPr>
                <w:rFonts w:ascii="Arial Regular" w:hAnsi="Arial Regular" w:cs="Arial Regular"/>
                <w:color w:val="000000"/>
                <w:sz w:val="22"/>
                <w:szCs w:val="22"/>
              </w:rPr>
            </w:pPr>
            <w:r>
              <w:rPr>
                <w:rFonts w:ascii="Arial Regular" w:eastAsia="Arial Regular" w:hAnsi="Arial Regular" w:cs="Arial Regular"/>
                <w:color w:val="000000"/>
                <w:sz w:val="20"/>
                <w:szCs w:val="20"/>
              </w:rPr>
              <w:t>The financial performance of coal businesses listed on the Indonesia Stock Exchange (IDX) between 2021 and 2023 is examined in relation to sustainability reporting and public accounting firm size. The corporate tax turnover ratio (CTTOR) is used as an inte</w:t>
            </w:r>
            <w:r>
              <w:rPr>
                <w:rFonts w:ascii="Arial Regular" w:eastAsia="Arial Regular" w:hAnsi="Arial Regular" w:cs="Arial Regular"/>
                <w:color w:val="000000"/>
                <w:sz w:val="20"/>
                <w:szCs w:val="20"/>
              </w:rPr>
              <w:t xml:space="preserve">rvening variable, while gross profit margin is used as the dependent. Using SPSS software, multiple linear regression analysis is performed on data from 96 out of 32 </w:t>
            </w:r>
            <w:proofErr w:type="spellStart"/>
            <w:r>
              <w:rPr>
                <w:rFonts w:ascii="Arial Regular" w:eastAsia="Arial Regular" w:hAnsi="Arial Regular" w:cs="Arial Regular"/>
                <w:color w:val="000000"/>
                <w:sz w:val="20"/>
                <w:szCs w:val="20"/>
              </w:rPr>
              <w:t>organisations</w:t>
            </w:r>
            <w:proofErr w:type="spellEnd"/>
            <w:r>
              <w:rPr>
                <w:rFonts w:ascii="Arial Regular" w:eastAsia="Arial Regular" w:hAnsi="Arial Regular" w:cs="Arial Regular"/>
                <w:color w:val="000000"/>
                <w:sz w:val="20"/>
                <w:szCs w:val="20"/>
              </w:rPr>
              <w:t>. With scores of significant levels 0.015 and 0.000, the results of the first</w:t>
            </w:r>
            <w:r>
              <w:rPr>
                <w:rFonts w:ascii="Arial Regular" w:eastAsia="Arial Regular" w:hAnsi="Arial Regular" w:cs="Arial Regular"/>
                <w:color w:val="000000"/>
                <w:sz w:val="20"/>
                <w:szCs w:val="20"/>
              </w:rPr>
              <w:t xml:space="preserve"> hypothesis test accept and show that the size of public accounting firms and sustainability reporting have a significant impact on gross profit margin. This means businesses that are audited by Big Four firms and those that publish sustainability reports </w:t>
            </w:r>
            <w:r>
              <w:rPr>
                <w:rFonts w:ascii="Arial Regular" w:eastAsia="Arial Regular" w:hAnsi="Arial Regular" w:cs="Arial Regular"/>
                <w:color w:val="000000"/>
                <w:sz w:val="20"/>
                <w:szCs w:val="20"/>
              </w:rPr>
              <w:t>typically have higher profitability. The second hypothesis reveals that CTTOR is not impacted by sustainability reporting, which received a score of 0.933, but it is by public accounting firm size and gross profit margin; both have a significant level of 0</w:t>
            </w:r>
            <w:r>
              <w:rPr>
                <w:rFonts w:ascii="Arial Regular" w:eastAsia="Arial Regular" w:hAnsi="Arial Regular" w:cs="Arial Regular"/>
                <w:color w:val="000000"/>
                <w:sz w:val="20"/>
                <w:szCs w:val="20"/>
              </w:rPr>
              <w:t>.000. The second hypothesis is thus disproved, indicating that compared to sustainability disclosure alone, audit quality and operational success have a stronger correlation with tax effectiveness. There is some evidence to support the third theory. The re</w:t>
            </w:r>
            <w:r>
              <w:rPr>
                <w:rFonts w:ascii="Arial Regular" w:eastAsia="Arial Regular" w:hAnsi="Arial Regular" w:cs="Arial Regular"/>
                <w:color w:val="000000"/>
                <w:sz w:val="20"/>
                <w:szCs w:val="20"/>
              </w:rPr>
              <w:t>sults of the mediation study show that sustainability reporting has a significant mediating impact since its indirect influence on CTTOR through gross profit margin (0.1128) is larger than its direct effect (0.007). On the other hand, there appears to be l</w:t>
            </w:r>
            <w:r>
              <w:rPr>
                <w:rFonts w:ascii="Arial Regular" w:eastAsia="Arial Regular" w:hAnsi="Arial Regular" w:cs="Arial Regular"/>
                <w:color w:val="000000"/>
                <w:sz w:val="20"/>
                <w:szCs w:val="20"/>
              </w:rPr>
              <w:t xml:space="preserve">imited mediation, as the direct effect of audit firm size on CTTOR (0.368) is greater than the indirect effect. In conclusion, audit firm size directly contributes to greater financial transparency, whereas sustainability reporting indirectly improves tax </w:t>
            </w:r>
            <w:r>
              <w:rPr>
                <w:rFonts w:ascii="Arial Regular" w:eastAsia="Arial Regular" w:hAnsi="Arial Regular" w:cs="Arial Regular"/>
                <w:color w:val="000000"/>
                <w:sz w:val="20"/>
                <w:szCs w:val="20"/>
              </w:rPr>
              <w:t xml:space="preserve">efficiency through increased profitability. To more accurately evaluate sustainability quality, future research should broaden the sector focus, prolong the study period, and use </w:t>
            </w:r>
            <w:proofErr w:type="spellStart"/>
            <w:r>
              <w:rPr>
                <w:rFonts w:ascii="Arial Regular" w:eastAsia="Arial Regular" w:hAnsi="Arial Regular" w:cs="Arial Regular"/>
                <w:color w:val="000000"/>
                <w:sz w:val="20"/>
                <w:szCs w:val="20"/>
              </w:rPr>
              <w:t>standardised</w:t>
            </w:r>
            <w:proofErr w:type="spellEnd"/>
            <w:r>
              <w:rPr>
                <w:rFonts w:ascii="Arial Regular" w:eastAsia="Arial Regular" w:hAnsi="Arial Regular" w:cs="Arial Regular"/>
                <w:color w:val="000000"/>
                <w:sz w:val="20"/>
                <w:szCs w:val="20"/>
              </w:rPr>
              <w:t xml:space="preserve"> frameworks like the Global Reporting Initiative (GRI).</w:t>
            </w:r>
          </w:p>
          <w:p w:rsidR="00FC63CA" w:rsidRDefault="00FC63CA">
            <w:pPr>
              <w:pStyle w:val="Body"/>
              <w:spacing w:after="0"/>
              <w:rPr>
                <w:rFonts w:ascii="Arial Regular" w:eastAsia="Calibri" w:hAnsi="Arial Regular" w:cs="Arial Regular"/>
                <w:sz w:val="22"/>
                <w:szCs w:val="22"/>
              </w:rPr>
            </w:pPr>
          </w:p>
        </w:tc>
      </w:tr>
    </w:tbl>
    <w:p w:rsidR="00FC63CA" w:rsidRDefault="00FC63CA">
      <w:pPr>
        <w:ind w:left="1100" w:hangingChars="550" w:hanging="1100"/>
        <w:rPr>
          <w:rFonts w:ascii="Arial" w:hAnsi="Arial" w:cs="Arial"/>
          <w:i/>
        </w:rPr>
      </w:pPr>
    </w:p>
    <w:p w:rsidR="00FC63CA" w:rsidRDefault="00FC63CA">
      <w:pPr>
        <w:pStyle w:val="Body"/>
        <w:spacing w:after="0"/>
        <w:rPr>
          <w:rFonts w:ascii="Arial" w:hAnsi="Arial" w:cs="Arial"/>
          <w:i/>
        </w:rPr>
      </w:pPr>
    </w:p>
    <w:p w:rsidR="00FC63CA" w:rsidRDefault="00FC63CA">
      <w:pPr>
        <w:pStyle w:val="Body"/>
        <w:spacing w:after="0"/>
        <w:rPr>
          <w:rFonts w:ascii="Arial" w:hAnsi="Arial" w:cs="Arial"/>
          <w:i/>
        </w:rPr>
      </w:pPr>
    </w:p>
    <w:p w:rsidR="00A77678" w:rsidRDefault="00A77678" w:rsidP="00A77678">
      <w:pPr>
        <w:pStyle w:val="AbstHead"/>
        <w:spacing w:after="0"/>
        <w:ind w:left="198"/>
        <w:jc w:val="both"/>
        <w:rPr>
          <w:rFonts w:ascii="Arial" w:hAnsi="Arial" w:cs="Arial"/>
        </w:rPr>
      </w:pPr>
    </w:p>
    <w:p w:rsidR="00A77678" w:rsidRDefault="00A77678" w:rsidP="00A77678">
      <w:pPr>
        <w:pStyle w:val="AbstHead"/>
        <w:ind w:left="198"/>
        <w:jc w:val="both"/>
        <w:rPr>
          <w:rFonts w:ascii="Arial" w:hAnsi="Arial" w:cs="Arial"/>
        </w:rPr>
      </w:pPr>
      <w:r w:rsidRPr="00A77678">
        <w:rPr>
          <w:rFonts w:ascii="Arial" w:hAnsi="Arial" w:cs="Arial"/>
          <w:caps w:val="0"/>
        </w:rPr>
        <w:t xml:space="preserve">Keywords: </w:t>
      </w:r>
      <w:r w:rsidRPr="00241E87">
        <w:rPr>
          <w:rFonts w:ascii="Arial" w:hAnsi="Arial" w:cs="Arial"/>
          <w:b w:val="0"/>
          <w:caps w:val="0"/>
        </w:rPr>
        <w:t>Corporate tax to turn over ratio, gross profit margin, public accounting firm size, sustainability report, tax</w:t>
      </w:r>
    </w:p>
    <w:p w:rsidR="00FC63CA" w:rsidRDefault="007B025A">
      <w:pPr>
        <w:pStyle w:val="AbstHead"/>
        <w:numPr>
          <w:ilvl w:val="0"/>
          <w:numId w:val="2"/>
        </w:numPr>
        <w:spacing w:after="0"/>
        <w:ind w:leftChars="55" w:left="198" w:hangingChars="40" w:hanging="88"/>
        <w:jc w:val="both"/>
        <w:rPr>
          <w:rFonts w:ascii="Arial" w:hAnsi="Arial" w:cs="Arial"/>
        </w:rPr>
      </w:pPr>
      <w:r>
        <w:rPr>
          <w:rFonts w:ascii="Arial" w:hAnsi="Arial" w:cs="Arial"/>
        </w:rPr>
        <w:t xml:space="preserve">   INTRODUCTION </w:t>
      </w:r>
    </w:p>
    <w:p w:rsidR="00FC63CA" w:rsidRDefault="00FC63CA">
      <w:pPr>
        <w:pStyle w:val="AbstHead"/>
        <w:spacing w:after="0"/>
        <w:ind w:leftChars="15" w:left="30"/>
        <w:jc w:val="both"/>
        <w:rPr>
          <w:rFonts w:ascii="Arial" w:hAnsi="Arial" w:cs="Arial"/>
        </w:rPr>
      </w:pPr>
    </w:p>
    <w:p w:rsidR="00FC63CA" w:rsidRDefault="007B025A">
      <w:pPr>
        <w:pStyle w:val="NormalWeb"/>
        <w:tabs>
          <w:tab w:val="left" w:pos="630"/>
        </w:tabs>
        <w:spacing w:beforeAutospacing="0" w:afterAutospacing="0"/>
        <w:ind w:left="200" w:firstLineChars="150" w:firstLine="300"/>
        <w:jc w:val="both"/>
        <w:rPr>
          <w:rFonts w:ascii="Arial Regular" w:hAnsi="Arial Regular" w:cs="Arial Regular"/>
          <w:color w:val="000000"/>
          <w:sz w:val="20"/>
          <w:szCs w:val="20"/>
        </w:rPr>
      </w:pPr>
      <w:r>
        <w:rPr>
          <w:rFonts w:ascii="Arial Regular" w:hAnsi="Arial Regular" w:cs="Arial Regular"/>
          <w:color w:val="000000"/>
          <w:sz w:val="20"/>
          <w:szCs w:val="20"/>
        </w:rPr>
        <w:t xml:space="preserve">Companies </w:t>
      </w:r>
      <w:proofErr w:type="spellStart"/>
      <w:r>
        <w:rPr>
          <w:rFonts w:ascii="Arial Regular" w:hAnsi="Arial Regular" w:cs="Arial Regular"/>
          <w:color w:val="000000"/>
          <w:sz w:val="20"/>
          <w:szCs w:val="20"/>
        </w:rPr>
        <w:t>utilise</w:t>
      </w:r>
      <w:proofErr w:type="spellEnd"/>
      <w:r>
        <w:rPr>
          <w:rFonts w:ascii="Arial Regular" w:hAnsi="Arial Regular" w:cs="Arial Regular"/>
          <w:color w:val="000000"/>
          <w:sz w:val="20"/>
          <w:szCs w:val="20"/>
        </w:rPr>
        <w:t xml:space="preserve"> financial statements as a communication tool with external parties,</w:t>
      </w:r>
    </w:p>
    <w:p w:rsidR="00FC63CA" w:rsidRDefault="007B025A">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such as creditors and investors, who use their financial statements. Therefore, by issuing </w:t>
      </w:r>
    </w:p>
    <w:p w:rsidR="00FC63CA" w:rsidRDefault="007B025A">
      <w:pPr>
        <w:pStyle w:val="NormalWeb"/>
        <w:shd w:val="clear" w:color="auto" w:fill="F79646" w:themeFill="accent6"/>
        <w:tabs>
          <w:tab w:val="left" w:pos="630"/>
        </w:tabs>
        <w:spacing w:beforeAutospacing="0" w:afterAutospacing="0"/>
        <w:ind w:firstLineChars="50" w:firstLine="100"/>
        <w:jc w:val="both"/>
        <w:rPr>
          <w:rFonts w:ascii="Arial Regular" w:hAnsi="Arial Regular" w:cs="Arial Regular"/>
          <w:sz w:val="20"/>
          <w:szCs w:val="20"/>
        </w:rPr>
      </w:pPr>
      <w:r>
        <w:rPr>
          <w:rFonts w:ascii="Arial Regular" w:hAnsi="Arial Regular" w:cs="Arial Regular"/>
          <w:sz w:val="20"/>
          <w:szCs w:val="20"/>
        </w:rPr>
        <w:t xml:space="preserve">Regulation of the Financial Services Authority of the Republic of Indonesia Number 9 of 2023,  </w:t>
      </w:r>
    </w:p>
    <w:p w:rsidR="00FC63CA" w:rsidRDefault="007B025A">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Indonesian government in this case, the Financial Services Authority mandates that </w:t>
      </w:r>
    </w:p>
    <w:p w:rsidR="00FC63CA" w:rsidRDefault="007B025A">
      <w:pPr>
        <w:pStyle w:val="NormalWeb"/>
        <w:tabs>
          <w:tab w:val="left" w:pos="630"/>
        </w:tabs>
        <w:spacing w:beforeAutospacing="0" w:afterAutospacing="0"/>
        <w:jc w:val="both"/>
        <w:rPr>
          <w:rFonts w:ascii="Arial Regular" w:hAnsi="Arial Regular" w:cs="Arial Regular"/>
          <w:color w:val="000000"/>
          <w:sz w:val="20"/>
          <w:szCs w:val="20"/>
        </w:rPr>
      </w:pPr>
      <w:r>
        <w:rPr>
          <w:rFonts w:ascii="Arial Regular" w:hAnsi="Arial Regular" w:cs="Arial Regular"/>
          <w:color w:val="000000"/>
          <w:sz w:val="20"/>
          <w:szCs w:val="20"/>
        </w:rPr>
        <w:lastRenderedPageBreak/>
        <w:t xml:space="preserve">businesses that have achieved public accountability also employ a public accounting firm registered with the Financial Services Authority to audit the yearly financial </w:t>
      </w:r>
      <w:r>
        <w:rPr>
          <w:rFonts w:ascii="Arial Regular" w:hAnsi="Arial Regular" w:cs="Arial Regular"/>
          <w:color w:val="000000"/>
          <w:sz w:val="20"/>
          <w:szCs w:val="20"/>
        </w:rPr>
        <w:t xml:space="preserve">statements that have been prepared. All users of financial statements assume that the financial statements audited by the public accounting firm contain no substantial misstatements and are consistent with Indonesian accounting principles, and may be used </w:t>
      </w:r>
      <w:r>
        <w:rPr>
          <w:rFonts w:ascii="Arial Regular" w:hAnsi="Arial Regular" w:cs="Arial Regular"/>
          <w:color w:val="000000"/>
          <w:sz w:val="20"/>
          <w:szCs w:val="20"/>
        </w:rPr>
        <w:t xml:space="preserve">as a reference in decision-making. </w:t>
      </w:r>
      <w:sdt>
        <w:sdtPr>
          <w:rPr>
            <w:rFonts w:ascii="Arial Regular" w:hAnsi="Arial Regular" w:cs="Arial Regular"/>
            <w:color w:val="000000"/>
            <w:sz w:val="20"/>
            <w:szCs w:val="20"/>
          </w:rPr>
          <w:tag w:val="MENDELEY_CITATION_v3_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"/>
          <w:id w:val="148701925"/>
          <w:placeholder>
            <w:docPart w:val="{a62b54e7-2593-4a3a-8832-5f8dd83943a7}"/>
          </w:placeholder>
        </w:sdtPr>
        <w:sdtEndPr/>
        <w:sdtContent>
          <w:proofErr w:type="spellStart"/>
          <w:r>
            <w:rPr>
              <w:rFonts w:ascii="Arial Regular" w:eastAsia="Times New Roman" w:hAnsi="Arial Regular" w:cs="Arial Regular"/>
              <w:color w:val="000000"/>
              <w:sz w:val="20"/>
              <w:shd w:val="clear" w:color="auto" w:fill="F79646" w:themeFill="accent6"/>
            </w:rPr>
            <w:t>Mayangsari</w:t>
          </w:r>
          <w:proofErr w:type="spellEnd"/>
          <w:r>
            <w:rPr>
              <w:rFonts w:ascii="Arial Regular" w:eastAsia="Times New Roman" w:hAnsi="Arial Regular" w:cs="Arial Regular"/>
              <w:color w:val="000000"/>
              <w:sz w:val="20"/>
              <w:shd w:val="clear" w:color="auto" w:fill="F79646" w:themeFill="accent6"/>
            </w:rPr>
            <w:t xml:space="preserve"> &amp; </w:t>
          </w:r>
          <w:proofErr w:type="spellStart"/>
          <w:r>
            <w:rPr>
              <w:rFonts w:ascii="Arial Regular" w:eastAsia="Times New Roman" w:hAnsi="Arial Regular" w:cs="Arial Regular"/>
              <w:color w:val="000000"/>
              <w:sz w:val="20"/>
              <w:shd w:val="clear" w:color="auto" w:fill="F79646" w:themeFill="accent6"/>
            </w:rPr>
            <w:t>Sazangka</w:t>
          </w:r>
          <w:proofErr w:type="spellEnd"/>
          <w:r>
            <w:rPr>
              <w:rFonts w:ascii="Arial Regular" w:eastAsia="Times New Roman" w:hAnsi="Arial Regular" w:cs="Arial Regular"/>
              <w:color w:val="000000"/>
              <w:sz w:val="20"/>
              <w:shd w:val="clear" w:color="auto" w:fill="F79646" w:themeFill="accent6"/>
            </w:rPr>
            <w:t xml:space="preserve"> (2023) </w:t>
          </w:r>
        </w:sdtContent>
      </w:sdt>
      <w:r>
        <w:rPr>
          <w:rFonts w:ascii="Arial Regular" w:hAnsi="Arial Regular" w:cs="Arial Regular"/>
          <w:color w:val="000000"/>
          <w:sz w:val="20"/>
          <w:szCs w:val="20"/>
        </w:rPr>
        <w:t xml:space="preserve">concluded that the audit quality of a company can be examined from the size of the public accounting firm used by the company.  </w:t>
      </w:r>
      <w:r>
        <w:rPr>
          <w:rFonts w:ascii="Arial Regular" w:hAnsi="Arial Regular" w:cs="Arial Regular"/>
          <w:color w:val="000000"/>
          <w:sz w:val="20"/>
          <w:szCs w:val="20"/>
          <w:shd w:val="clear" w:color="auto" w:fill="F79646" w:themeFill="accent6"/>
        </w:rPr>
        <w:t xml:space="preserve">Kamil (2021) </w:t>
      </w:r>
      <w:r>
        <w:rPr>
          <w:rFonts w:ascii="Arial Regular" w:hAnsi="Arial Regular" w:cs="Arial Regular"/>
          <w:color w:val="000000"/>
          <w:sz w:val="20"/>
          <w:szCs w:val="20"/>
        </w:rPr>
        <w:t>also said that many companies and users of financ</w:t>
      </w:r>
      <w:r>
        <w:rPr>
          <w:rFonts w:ascii="Arial Regular" w:hAnsi="Arial Regular" w:cs="Arial Regular"/>
          <w:color w:val="000000"/>
          <w:sz w:val="20"/>
          <w:szCs w:val="20"/>
        </w:rPr>
        <w:t>ial statements believe that the quality of audits conducted by large public accounting firms, in this case the Big Four, is better than public accounting firms other than the Big Four (dubbed the "non-Big 4"). As a result, it is possible to conclude that a</w:t>
      </w:r>
      <w:r>
        <w:rPr>
          <w:rFonts w:ascii="Arial Regular" w:hAnsi="Arial Regular" w:cs="Arial Regular"/>
          <w:color w:val="000000"/>
          <w:sz w:val="20"/>
          <w:szCs w:val="20"/>
        </w:rPr>
        <w:t xml:space="preserve">udit quality plays an important role in protecting the integrity of financial reporting. As a result, a high-quality audit automatically raises the reliability value of financial reports, allowing investors to make sound business decisions based on </w:t>
      </w:r>
      <w:proofErr w:type="spellStart"/>
      <w:proofErr w:type="gramStart"/>
      <w:r>
        <w:rPr>
          <w:rFonts w:ascii="Arial Regular" w:hAnsi="Arial Regular" w:cs="Arial Regular"/>
          <w:color w:val="000000"/>
          <w:sz w:val="20"/>
          <w:szCs w:val="20"/>
        </w:rPr>
        <w:t>them.Th</w:t>
      </w:r>
      <w:r>
        <w:rPr>
          <w:rFonts w:ascii="Arial Regular" w:hAnsi="Arial Regular" w:cs="Arial Regular"/>
          <w:color w:val="000000"/>
          <w:sz w:val="20"/>
          <w:szCs w:val="20"/>
        </w:rPr>
        <w:t>erefore</w:t>
      </w:r>
      <w:proofErr w:type="spellEnd"/>
      <w:proofErr w:type="gramEnd"/>
      <w:r>
        <w:rPr>
          <w:rFonts w:ascii="Arial Regular" w:hAnsi="Arial Regular" w:cs="Arial Regular"/>
          <w:color w:val="000000"/>
          <w:sz w:val="20"/>
          <w:szCs w:val="20"/>
        </w:rPr>
        <w:t xml:space="preserve">, the first independent variable in this study is the type of public accounting firm, </w:t>
      </w:r>
      <w:proofErr w:type="spellStart"/>
      <w:r>
        <w:rPr>
          <w:rFonts w:ascii="Arial Regular" w:hAnsi="Arial Regular" w:cs="Arial Regular"/>
          <w:color w:val="000000"/>
          <w:sz w:val="20"/>
          <w:szCs w:val="20"/>
        </w:rPr>
        <w:t>categorised</w:t>
      </w:r>
      <w:proofErr w:type="spellEnd"/>
      <w:r>
        <w:rPr>
          <w:rFonts w:ascii="Arial Regular" w:hAnsi="Arial Regular" w:cs="Arial Regular"/>
          <w:color w:val="000000"/>
          <w:sz w:val="20"/>
          <w:szCs w:val="20"/>
        </w:rPr>
        <w:t xml:space="preserve"> as Big Four versus non-Big Four.</w:t>
      </w:r>
    </w:p>
    <w:p w:rsidR="00FC63CA" w:rsidRDefault="007B025A">
      <w:pPr>
        <w:pStyle w:val="NormalWeb"/>
        <w:tabs>
          <w:tab w:val="left" w:pos="630"/>
        </w:tabs>
        <w:ind w:firstLineChars="250" w:firstLine="500"/>
        <w:jc w:val="both"/>
        <w:rPr>
          <w:rFonts w:ascii="Arial Regular" w:hAnsi="Arial Regular" w:cs="Arial Regular"/>
          <w:sz w:val="20"/>
          <w:szCs w:val="20"/>
          <w:shd w:val="clear" w:color="auto" w:fill="F79646" w:themeFill="accent6"/>
        </w:rPr>
      </w:pPr>
      <w:proofErr w:type="spellStart"/>
      <w:r>
        <w:rPr>
          <w:rFonts w:ascii="Arial Regular" w:hAnsi="Arial Regular" w:cs="Arial Regular"/>
          <w:color w:val="000000"/>
          <w:sz w:val="20"/>
          <w:szCs w:val="20"/>
        </w:rPr>
        <w:t>Globalisation</w:t>
      </w:r>
      <w:proofErr w:type="spellEnd"/>
      <w:r>
        <w:rPr>
          <w:rFonts w:ascii="Arial Regular" w:hAnsi="Arial Regular" w:cs="Arial Regular"/>
          <w:color w:val="000000"/>
          <w:sz w:val="20"/>
          <w:szCs w:val="20"/>
        </w:rPr>
        <w:t xml:space="preserve"> has led Indonesian companies to improve their reputation and performance. This is done to attract invest</w:t>
      </w:r>
      <w:r>
        <w:rPr>
          <w:rFonts w:ascii="Arial Regular" w:hAnsi="Arial Regular" w:cs="Arial Regular"/>
          <w:color w:val="000000"/>
          <w:sz w:val="20"/>
          <w:szCs w:val="20"/>
        </w:rPr>
        <w:t xml:space="preserve">ors and </w:t>
      </w:r>
      <w:proofErr w:type="spellStart"/>
      <w:r>
        <w:rPr>
          <w:rFonts w:ascii="Arial Regular" w:hAnsi="Arial Regular" w:cs="Arial Regular"/>
          <w:color w:val="000000"/>
          <w:sz w:val="20"/>
          <w:szCs w:val="20"/>
        </w:rPr>
        <w:t>maximise</w:t>
      </w:r>
      <w:proofErr w:type="spellEnd"/>
      <w:r>
        <w:rPr>
          <w:rFonts w:ascii="Arial Regular" w:hAnsi="Arial Regular" w:cs="Arial Regular"/>
          <w:color w:val="000000"/>
          <w:sz w:val="20"/>
          <w:szCs w:val="20"/>
        </w:rPr>
        <w:t xml:space="preserve"> profits. This is in line with research by </w:t>
      </w:r>
      <w:proofErr w:type="spellStart"/>
      <w:r>
        <w:rPr>
          <w:rFonts w:ascii="Arial Regular" w:hAnsi="Arial Regular" w:cs="Arial Regular"/>
          <w:sz w:val="20"/>
          <w:szCs w:val="20"/>
          <w:shd w:val="clear" w:color="auto" w:fill="F79646" w:themeFill="accent6"/>
        </w:rPr>
        <w:t>Widjanarko</w:t>
      </w:r>
      <w:proofErr w:type="spellEnd"/>
      <w:r>
        <w:rPr>
          <w:rFonts w:ascii="Arial Regular" w:hAnsi="Arial Regular" w:cs="Arial Regular"/>
          <w:sz w:val="20"/>
          <w:szCs w:val="20"/>
          <w:shd w:val="clear" w:color="auto" w:fill="F79646" w:themeFill="accent6"/>
        </w:rPr>
        <w:t xml:space="preserve"> and </w:t>
      </w:r>
      <w:proofErr w:type="spellStart"/>
      <w:r>
        <w:rPr>
          <w:rFonts w:ascii="Arial Regular" w:hAnsi="Arial Regular" w:cs="Arial Regular"/>
          <w:sz w:val="20"/>
          <w:szCs w:val="20"/>
          <w:shd w:val="clear" w:color="auto" w:fill="F79646" w:themeFill="accent6"/>
        </w:rPr>
        <w:t>Safitri</w:t>
      </w:r>
      <w:proofErr w:type="spellEnd"/>
      <w:r>
        <w:rPr>
          <w:rFonts w:ascii="Arial Regular" w:hAnsi="Arial Regular" w:cs="Arial Regular"/>
          <w:sz w:val="20"/>
          <w:szCs w:val="20"/>
          <w:shd w:val="clear" w:color="auto" w:fill="F79646" w:themeFill="accent6"/>
        </w:rPr>
        <w:t xml:space="preserve"> (2020)</w:t>
      </w:r>
      <w:r>
        <w:rPr>
          <w:rFonts w:ascii="Arial Regular" w:hAnsi="Arial Regular" w:cs="Arial Regular"/>
          <w:color w:val="FF0000"/>
          <w:sz w:val="20"/>
          <w:szCs w:val="20"/>
        </w:rPr>
        <w:t xml:space="preserve"> </w:t>
      </w:r>
      <w:r>
        <w:rPr>
          <w:rFonts w:ascii="Arial Regular" w:hAnsi="Arial Regular" w:cs="Arial Regular"/>
          <w:sz w:val="20"/>
          <w:szCs w:val="20"/>
          <w:shd w:val="clear" w:color="auto" w:fill="F79646" w:themeFill="accent6"/>
        </w:rPr>
        <w:t xml:space="preserve">and </w:t>
      </w:r>
      <w:r>
        <w:rPr>
          <w:rFonts w:ascii="Arial" w:hAnsi="Arial"/>
          <w:sz w:val="20"/>
          <w:szCs w:val="20"/>
          <w:shd w:val="clear" w:color="auto" w:fill="F79646" w:themeFill="accent6"/>
          <w:lang w:val="sv-SE"/>
        </w:rPr>
        <w:t xml:space="preserve">Damayanty </w:t>
      </w:r>
      <w:r>
        <w:rPr>
          <w:rFonts w:ascii="Arial" w:hAnsi="Arial"/>
          <w:sz w:val="20"/>
          <w:szCs w:val="20"/>
          <w:shd w:val="clear" w:color="auto" w:fill="F79646" w:themeFill="accent6"/>
        </w:rPr>
        <w:t>and</w:t>
      </w:r>
      <w:r>
        <w:rPr>
          <w:rFonts w:ascii="Arial" w:hAnsi="Arial"/>
          <w:sz w:val="20"/>
          <w:szCs w:val="20"/>
          <w:shd w:val="clear" w:color="auto" w:fill="F79646" w:themeFill="accent6"/>
          <w:lang w:val="sv-SE"/>
        </w:rPr>
        <w:t xml:space="preserve"> Safitri</w:t>
      </w:r>
      <w:r>
        <w:rPr>
          <w:rFonts w:ascii="Arial" w:hAnsi="Arial"/>
          <w:sz w:val="20"/>
          <w:szCs w:val="20"/>
          <w:shd w:val="clear" w:color="auto" w:fill="F79646" w:themeFill="accent6"/>
        </w:rPr>
        <w:t xml:space="preserve"> </w:t>
      </w:r>
      <w:r>
        <w:rPr>
          <w:rFonts w:ascii="Arial" w:hAnsi="Arial"/>
          <w:sz w:val="20"/>
          <w:szCs w:val="20"/>
          <w:shd w:val="clear" w:color="auto" w:fill="F79646" w:themeFill="accent6"/>
          <w:lang w:val="sv-SE"/>
        </w:rPr>
        <w:t>(2022</w:t>
      </w:r>
      <w:proofErr w:type="gramStart"/>
      <w:r>
        <w:rPr>
          <w:rFonts w:ascii="Arial" w:hAnsi="Arial"/>
          <w:sz w:val="20"/>
          <w:szCs w:val="20"/>
          <w:shd w:val="clear" w:color="auto" w:fill="F79646" w:themeFill="accent6"/>
          <w:lang w:val="sv-SE"/>
        </w:rPr>
        <w:t>)</w:t>
      </w:r>
      <w:r>
        <w:rPr>
          <w:rFonts w:ascii="Arial Regular" w:hAnsi="Arial Regular" w:cs="Arial Regular"/>
          <w:sz w:val="20"/>
          <w:szCs w:val="20"/>
          <w:shd w:val="clear" w:color="auto" w:fill="F79646" w:themeFill="accent6"/>
        </w:rPr>
        <w:t xml:space="preserve"> .</w:t>
      </w:r>
      <w:r>
        <w:rPr>
          <w:rFonts w:ascii="Arial Regular" w:hAnsi="Arial Regular" w:cs="Arial Regular"/>
          <w:sz w:val="20"/>
          <w:szCs w:val="20"/>
        </w:rPr>
        <w:t>However</w:t>
      </w:r>
      <w:proofErr w:type="gramEnd"/>
      <w:r>
        <w:rPr>
          <w:rFonts w:ascii="Arial Regular" w:hAnsi="Arial Regular" w:cs="Arial Regular"/>
          <w:sz w:val="20"/>
          <w:szCs w:val="20"/>
        </w:rPr>
        <w:t>, this has a significant side effect: the issue of excessive environmental exploitation</w:t>
      </w:r>
      <w:r>
        <w:rPr>
          <w:rFonts w:ascii="Arial Regular" w:hAnsi="Arial Regular" w:cs="Arial Regular"/>
          <w:color w:val="000000"/>
          <w:sz w:val="20"/>
          <w:szCs w:val="20"/>
        </w:rPr>
        <w:t>, which will be detrimental to human li</w:t>
      </w:r>
      <w:r>
        <w:rPr>
          <w:rFonts w:ascii="Arial Regular" w:hAnsi="Arial Regular" w:cs="Arial Regular"/>
          <w:color w:val="000000"/>
          <w:sz w:val="20"/>
          <w:szCs w:val="20"/>
        </w:rPr>
        <w:t xml:space="preserve">fe now and in the future. The result will be an industry that is environmentally conscious and adheres to </w:t>
      </w:r>
      <w:r>
        <w:rPr>
          <w:rFonts w:ascii="Arial Regular" w:hAnsi="Arial Regular" w:cs="Arial Regular"/>
          <w:sz w:val="20"/>
          <w:szCs w:val="20"/>
          <w:shd w:val="clear" w:color="auto" w:fill="F79646" w:themeFill="accent6"/>
        </w:rPr>
        <w:t xml:space="preserve">Elkington's (1994) </w:t>
      </w:r>
      <w:r>
        <w:rPr>
          <w:rFonts w:ascii="Arial Regular" w:hAnsi="Arial Regular" w:cs="Arial Regular"/>
          <w:color w:val="000000"/>
          <w:sz w:val="20"/>
          <w:szCs w:val="20"/>
        </w:rPr>
        <w:t xml:space="preserve">triple bottom line concept of profit, people, and planet. </w:t>
      </w:r>
      <w:proofErr w:type="gramStart"/>
      <w:r>
        <w:rPr>
          <w:rFonts w:ascii="Arial Regular" w:hAnsi="Arial Regular" w:cs="Arial Regular"/>
          <w:sz w:val="20"/>
          <w:szCs w:val="20"/>
          <w:shd w:val="clear" w:color="auto" w:fill="F79646" w:themeFill="accent6"/>
        </w:rPr>
        <w:t>With  Circular</w:t>
      </w:r>
      <w:proofErr w:type="gramEnd"/>
      <w:r>
        <w:rPr>
          <w:rFonts w:ascii="Arial Regular" w:hAnsi="Arial Regular" w:cs="Arial Regular"/>
          <w:sz w:val="20"/>
          <w:szCs w:val="20"/>
          <w:shd w:val="clear" w:color="auto" w:fill="F79646" w:themeFill="accent6"/>
        </w:rPr>
        <w:t xml:space="preserve"> Letter Number 16 of 2021, the Financial Services Authorit</w:t>
      </w:r>
      <w:r>
        <w:rPr>
          <w:rFonts w:ascii="Arial Regular" w:hAnsi="Arial Regular" w:cs="Arial Regular"/>
          <w:color w:val="000000"/>
          <w:sz w:val="20"/>
          <w:szCs w:val="20"/>
        </w:rPr>
        <w:t xml:space="preserve">y (SEOJK) demonstrates its complete support for the idea of sustainable development by requiring all publicly accountable </w:t>
      </w:r>
      <w:r>
        <w:rPr>
          <w:rFonts w:ascii="Arial Regular" w:hAnsi="Arial Regular" w:cs="Arial Regular"/>
          <w:sz w:val="20"/>
          <w:szCs w:val="20"/>
        </w:rPr>
        <w:t xml:space="preserve">In accordance with the aforementioned rules, </w:t>
      </w:r>
      <w:proofErr w:type="spellStart"/>
      <w:r>
        <w:rPr>
          <w:rFonts w:ascii="Arial Regular" w:hAnsi="Arial Regular" w:cs="Arial Regular"/>
          <w:sz w:val="20"/>
          <w:szCs w:val="20"/>
          <w:shd w:val="clear" w:color="auto" w:fill="F79646" w:themeFill="accent6"/>
        </w:rPr>
        <w:t>Endiana</w:t>
      </w:r>
      <w:proofErr w:type="spellEnd"/>
      <w:r>
        <w:rPr>
          <w:rFonts w:ascii="Arial Regular" w:hAnsi="Arial Regular" w:cs="Arial Regular"/>
          <w:sz w:val="20"/>
          <w:szCs w:val="20"/>
          <w:shd w:val="clear" w:color="auto" w:fill="F79646" w:themeFill="accent6"/>
        </w:rPr>
        <w:t xml:space="preserve"> et al. (2021) </w:t>
      </w:r>
      <w:r>
        <w:rPr>
          <w:rFonts w:ascii="Arial Regular" w:hAnsi="Arial Regular" w:cs="Arial Regular"/>
          <w:sz w:val="20"/>
          <w:szCs w:val="20"/>
        </w:rPr>
        <w:t>discovered that sustainable reports are significant in guiding firm</w:t>
      </w:r>
      <w:r>
        <w:rPr>
          <w:rFonts w:ascii="Arial Regular" w:hAnsi="Arial Regular" w:cs="Arial Regular"/>
          <w:sz w:val="20"/>
          <w:szCs w:val="20"/>
        </w:rPr>
        <w:t xml:space="preserve"> investment decisions. It also serves as a conduit for addressing stakeholders' expectations on social responsibility and transparency. This notion is validated by research published by </w:t>
      </w:r>
      <w:r>
        <w:rPr>
          <w:rFonts w:ascii="Arial Regular" w:hAnsi="Arial Regular" w:cs="Arial Regular"/>
          <w:sz w:val="20"/>
          <w:szCs w:val="20"/>
          <w:shd w:val="clear" w:color="auto" w:fill="F79646" w:themeFill="accent6"/>
        </w:rPr>
        <w:t xml:space="preserve">Agustina and </w:t>
      </w:r>
      <w:proofErr w:type="spellStart"/>
      <w:r>
        <w:rPr>
          <w:rFonts w:ascii="Arial Regular" w:hAnsi="Arial Regular" w:cs="Arial Regular"/>
          <w:sz w:val="20"/>
          <w:szCs w:val="20"/>
          <w:shd w:val="clear" w:color="auto" w:fill="F79646" w:themeFill="accent6"/>
        </w:rPr>
        <w:t>Pradesa</w:t>
      </w:r>
      <w:proofErr w:type="spellEnd"/>
      <w:r>
        <w:rPr>
          <w:rFonts w:ascii="Arial Regular" w:hAnsi="Arial Regular" w:cs="Arial Regular"/>
          <w:sz w:val="20"/>
          <w:szCs w:val="20"/>
          <w:shd w:val="clear" w:color="auto" w:fill="F79646" w:themeFill="accent6"/>
        </w:rPr>
        <w:t xml:space="preserve"> (2024</w:t>
      </w:r>
      <w:r>
        <w:rPr>
          <w:rFonts w:ascii="Arial Regular" w:hAnsi="Arial Regular" w:cs="Arial Regular"/>
          <w:sz w:val="20"/>
          <w:szCs w:val="20"/>
        </w:rPr>
        <w:t xml:space="preserve">). As a result, the variable </w:t>
      </w:r>
      <w:proofErr w:type="spellStart"/>
      <w:r>
        <w:rPr>
          <w:rFonts w:ascii="Arial Regular" w:hAnsi="Arial Regular" w:cs="Arial Regular"/>
          <w:sz w:val="20"/>
          <w:szCs w:val="20"/>
        </w:rPr>
        <w:t>utilised</w:t>
      </w:r>
      <w:proofErr w:type="spellEnd"/>
      <w:r>
        <w:rPr>
          <w:rFonts w:ascii="Arial Regular" w:hAnsi="Arial Regular" w:cs="Arial Regular"/>
          <w:sz w:val="20"/>
          <w:szCs w:val="20"/>
        </w:rPr>
        <w:t xml:space="preserve"> in thi</w:t>
      </w:r>
      <w:r>
        <w:rPr>
          <w:rFonts w:ascii="Arial Regular" w:hAnsi="Arial Regular" w:cs="Arial Regular"/>
          <w:sz w:val="20"/>
          <w:szCs w:val="20"/>
        </w:rPr>
        <w:t xml:space="preserve">s study is that of a sustainability report, and it also </w:t>
      </w:r>
      <w:proofErr w:type="spellStart"/>
      <w:r>
        <w:rPr>
          <w:rFonts w:ascii="Arial Regular" w:hAnsi="Arial Regular" w:cs="Arial Regular"/>
          <w:sz w:val="20"/>
          <w:szCs w:val="20"/>
        </w:rPr>
        <w:t>utilises</w:t>
      </w:r>
      <w:proofErr w:type="spellEnd"/>
      <w:r>
        <w:rPr>
          <w:rFonts w:ascii="Arial Regular" w:hAnsi="Arial Regular" w:cs="Arial Regular"/>
          <w:sz w:val="20"/>
          <w:szCs w:val="20"/>
        </w:rPr>
        <w:t xml:space="preserve"> gross profit margin as a dependent profit because profit is the primary goal of forming a company and is derived from the firm's operational environment. This is consistent with the research </w:t>
      </w:r>
      <w:r>
        <w:rPr>
          <w:rFonts w:ascii="Arial Regular" w:hAnsi="Arial Regular" w:cs="Arial Regular"/>
          <w:sz w:val="20"/>
          <w:szCs w:val="20"/>
        </w:rPr>
        <w:t>done through</w:t>
      </w:r>
      <w:r>
        <w:rPr>
          <w:rFonts w:ascii="Arial Regular" w:hAnsi="Arial Regular" w:cs="Arial Regular"/>
          <w:sz w:val="20"/>
          <w:szCs w:val="20"/>
          <w:shd w:val="clear" w:color="auto" w:fill="F79646" w:themeFill="accent6"/>
        </w:rPr>
        <w:t xml:space="preserve"> Lenny (2025), which found a positive impact on gross profit margins.</w:t>
      </w:r>
    </w:p>
    <w:p w:rsidR="00FC63CA" w:rsidRDefault="007B025A">
      <w:pPr>
        <w:pStyle w:val="NormalWeb"/>
        <w:tabs>
          <w:tab w:val="left" w:pos="630"/>
        </w:tabs>
        <w:ind w:firstLineChars="250" w:firstLine="500"/>
        <w:jc w:val="both"/>
        <w:rPr>
          <w:rFonts w:ascii="Arial Regular" w:hAnsi="Arial Regular" w:cs="Arial Regular"/>
          <w:sz w:val="20"/>
          <w:szCs w:val="20"/>
        </w:rPr>
      </w:pPr>
      <w:r>
        <w:rPr>
          <w:rFonts w:ascii="Arial Regular" w:hAnsi="Arial Regular" w:cs="Arial Regular"/>
          <w:sz w:val="20"/>
          <w:szCs w:val="20"/>
        </w:rPr>
        <w:t>The final variable is the corporate tax turnover ratio (CTTOR), which serves as an intervening factor. CTTOR can be used to examine a company's compliance and tax effectivene</w:t>
      </w:r>
      <w:r>
        <w:rPr>
          <w:rFonts w:ascii="Arial Regular" w:hAnsi="Arial Regular" w:cs="Arial Regular"/>
          <w:sz w:val="20"/>
          <w:szCs w:val="20"/>
        </w:rPr>
        <w:t xml:space="preserve">ss. According to </w:t>
      </w:r>
      <w:r>
        <w:rPr>
          <w:rFonts w:ascii="Arial Regular" w:hAnsi="Arial Regular" w:cs="Arial Regular"/>
          <w:sz w:val="20"/>
          <w:szCs w:val="20"/>
          <w:shd w:val="clear" w:color="auto" w:fill="F79646" w:themeFill="accent6"/>
        </w:rPr>
        <w:t xml:space="preserve">Lenny's (2025) </w:t>
      </w:r>
      <w:r>
        <w:rPr>
          <w:rFonts w:ascii="Arial Regular" w:hAnsi="Arial Regular" w:cs="Arial Regular"/>
          <w:sz w:val="20"/>
          <w:szCs w:val="20"/>
        </w:rPr>
        <w:t>research, the sustainability report variable and corporate tax turnover ratio (CTTOR) have a clear impact on the gross profit margin variable, which is aided by the interaction between sustainability and CTTOR. However, ther</w:t>
      </w:r>
      <w:r>
        <w:rPr>
          <w:rFonts w:ascii="Arial Regular" w:hAnsi="Arial Regular" w:cs="Arial Regular"/>
          <w:sz w:val="20"/>
          <w:szCs w:val="20"/>
        </w:rPr>
        <w:t>e is a research gap: no journal has been identified that addresses the relationship between the size of the public accounting firm and the sustainability report on gross profit margin with the corporate tax turnover ratio (CTTOR) as the intervening variabl</w:t>
      </w:r>
      <w:r>
        <w:rPr>
          <w:rFonts w:ascii="Arial Regular" w:hAnsi="Arial Regular" w:cs="Arial Regular"/>
          <w:sz w:val="20"/>
          <w:szCs w:val="20"/>
        </w:rPr>
        <w:t>e. The author has already conducted a study on the same item, but the distinction is that the CTTOR variable acts as a moderating variable</w:t>
      </w:r>
    </w:p>
    <w:p w:rsidR="00FC63CA" w:rsidRDefault="007B025A">
      <w:pPr>
        <w:pStyle w:val="AbstHead"/>
        <w:numPr>
          <w:ilvl w:val="0"/>
          <w:numId w:val="3"/>
        </w:numPr>
        <w:spacing w:after="0"/>
        <w:jc w:val="both"/>
        <w:rPr>
          <w:rFonts w:ascii="Arial Regular" w:hAnsi="Arial Regular" w:cs="Arial Regular"/>
          <w:bCs/>
          <w:szCs w:val="22"/>
        </w:rPr>
      </w:pPr>
      <w:r>
        <w:rPr>
          <w:rFonts w:ascii="Arial Regular" w:hAnsi="Arial Regular" w:cs="Arial Regular"/>
          <w:szCs w:val="22"/>
        </w:rPr>
        <w:t xml:space="preserve">   </w:t>
      </w:r>
      <w:r>
        <w:rPr>
          <w:rFonts w:ascii="Arial Regular" w:hAnsi="Arial Regular" w:cs="Arial Regular"/>
          <w:bCs/>
          <w:szCs w:val="22"/>
        </w:rPr>
        <w:t xml:space="preserve">LITERATURE REVIEW </w:t>
      </w:r>
    </w:p>
    <w:p w:rsidR="00FC63CA" w:rsidRDefault="00FC63CA">
      <w:pPr>
        <w:pStyle w:val="AbstHead"/>
        <w:spacing w:after="0"/>
        <w:jc w:val="both"/>
        <w:rPr>
          <w:rFonts w:ascii="Arial Regular" w:hAnsi="Arial Regular" w:cs="Arial Regular"/>
          <w:bCs/>
          <w:szCs w:val="22"/>
        </w:rPr>
      </w:pPr>
    </w:p>
    <w:p w:rsidR="00FC63CA" w:rsidRDefault="007B025A">
      <w:pPr>
        <w:pStyle w:val="AbstHead"/>
        <w:numPr>
          <w:ilvl w:val="1"/>
          <w:numId w:val="3"/>
        </w:numPr>
        <w:spacing w:after="0"/>
        <w:jc w:val="both"/>
        <w:rPr>
          <w:rFonts w:ascii="Arial Regular" w:hAnsi="Arial Regular"/>
          <w:bCs/>
          <w:sz w:val="20"/>
        </w:rPr>
      </w:pPr>
      <w:r>
        <w:rPr>
          <w:rFonts w:ascii="Arial Regular" w:hAnsi="Arial Regular" w:cs="Arial Regular"/>
          <w:bCs/>
          <w:sz w:val="20"/>
        </w:rPr>
        <w:t xml:space="preserve"> Otoritas jasa keuangan (OJK)</w:t>
      </w:r>
    </w:p>
    <w:p w:rsidR="00FC63CA" w:rsidRDefault="007B025A">
      <w:pPr>
        <w:pStyle w:val="NormalWeb"/>
        <w:ind w:firstLineChars="250" w:firstLine="500"/>
        <w:jc w:val="both"/>
        <w:rPr>
          <w:rFonts w:ascii="Arial Regular" w:hAnsi="Arial Regular" w:cs="Arial Regular"/>
          <w:color w:val="000000"/>
          <w:sz w:val="20"/>
          <w:szCs w:val="20"/>
        </w:rPr>
      </w:pPr>
      <w:r>
        <w:rPr>
          <w:rFonts w:ascii="Arial Regular" w:hAnsi="Arial Regular" w:cs="Arial Regular"/>
          <w:sz w:val="20"/>
          <w:szCs w:val="20"/>
          <w:shd w:val="clear" w:color="auto" w:fill="F79646" w:themeFill="accent6"/>
        </w:rPr>
        <w:t>Under Law No. 21 of 2011, t</w:t>
      </w:r>
      <w:r>
        <w:rPr>
          <w:rFonts w:ascii="Arial Regular" w:hAnsi="Arial Regular" w:cs="Arial Regular"/>
          <w:color w:val="000000"/>
          <w:sz w:val="20"/>
          <w:szCs w:val="20"/>
        </w:rPr>
        <w:t xml:space="preserve">he Indonesian government established the Financial Services Authority, also known as </w:t>
      </w:r>
      <w:proofErr w:type="spellStart"/>
      <w:r>
        <w:rPr>
          <w:rFonts w:ascii="Arial Regular" w:hAnsi="Arial Regular" w:cs="Arial Regular"/>
          <w:color w:val="000000"/>
          <w:sz w:val="20"/>
          <w:szCs w:val="20"/>
        </w:rPr>
        <w:t>Otoritas</w:t>
      </w:r>
      <w:proofErr w:type="spellEnd"/>
      <w:r>
        <w:rPr>
          <w:rFonts w:ascii="Arial Regular" w:hAnsi="Arial Regular" w:cs="Arial Regular"/>
          <w:color w:val="000000"/>
          <w:sz w:val="20"/>
          <w:szCs w:val="20"/>
        </w:rPr>
        <w:t xml:space="preserve"> </w:t>
      </w:r>
      <w:proofErr w:type="spellStart"/>
      <w:r>
        <w:rPr>
          <w:rFonts w:ascii="Arial Regular" w:hAnsi="Arial Regular" w:cs="Arial Regular"/>
          <w:color w:val="000000"/>
          <w:sz w:val="20"/>
          <w:szCs w:val="20"/>
        </w:rPr>
        <w:t>Jasa</w:t>
      </w:r>
      <w:proofErr w:type="spellEnd"/>
      <w:r>
        <w:rPr>
          <w:rFonts w:ascii="Arial Regular" w:hAnsi="Arial Regular" w:cs="Arial Regular"/>
          <w:color w:val="000000"/>
          <w:sz w:val="20"/>
          <w:szCs w:val="20"/>
        </w:rPr>
        <w:t xml:space="preserve"> </w:t>
      </w:r>
      <w:proofErr w:type="spellStart"/>
      <w:r>
        <w:rPr>
          <w:rFonts w:ascii="Arial Regular" w:hAnsi="Arial Regular" w:cs="Arial Regular"/>
          <w:color w:val="000000"/>
          <w:sz w:val="20"/>
          <w:szCs w:val="20"/>
        </w:rPr>
        <w:t>Keuangan</w:t>
      </w:r>
      <w:proofErr w:type="spellEnd"/>
      <w:r>
        <w:rPr>
          <w:rFonts w:ascii="Arial Regular" w:hAnsi="Arial Regular" w:cs="Arial Regular"/>
          <w:color w:val="000000"/>
          <w:sz w:val="20"/>
          <w:szCs w:val="20"/>
        </w:rPr>
        <w:t xml:space="preserve"> (OJK), to "implement a comprehensive regulatory and supervisory framework for all financial services activities with the aim of strengthening consum</w:t>
      </w:r>
      <w:r>
        <w:rPr>
          <w:rFonts w:ascii="Arial Regular" w:hAnsi="Arial Regular" w:cs="Arial Regular"/>
          <w:color w:val="000000"/>
          <w:sz w:val="20"/>
          <w:szCs w:val="20"/>
        </w:rPr>
        <w:t>er protection, ensuring market integrity, and promoting healthy competition, thereby enhancing public and investor confidence."</w:t>
      </w:r>
    </w:p>
    <w:p w:rsidR="00FC63CA" w:rsidRDefault="007B025A">
      <w:pPr>
        <w:pStyle w:val="AbstHead"/>
        <w:numPr>
          <w:ilvl w:val="1"/>
          <w:numId w:val="3"/>
        </w:numPr>
        <w:spacing w:after="0"/>
        <w:jc w:val="both"/>
        <w:rPr>
          <w:rFonts w:ascii="Arial Regular" w:hAnsi="Arial Regular"/>
          <w:bCs/>
          <w:sz w:val="20"/>
        </w:rPr>
      </w:pPr>
      <w:r>
        <w:rPr>
          <w:rFonts w:ascii="Arial Regular" w:hAnsi="Arial Regular"/>
          <w:bCs/>
          <w:sz w:val="20"/>
        </w:rPr>
        <w:t xml:space="preserve">Public accounting firm size </w:t>
      </w:r>
    </w:p>
    <w:p w:rsidR="00FC63CA" w:rsidRDefault="007B025A">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public accounting firm's (KAP) size will be the first variable </w:t>
      </w:r>
      <w:proofErr w:type="spellStart"/>
      <w:r>
        <w:rPr>
          <w:rFonts w:ascii="Arial Regular" w:hAnsi="Arial Regular" w:cs="Arial Regular"/>
          <w:color w:val="000000"/>
          <w:sz w:val="20"/>
          <w:szCs w:val="20"/>
        </w:rPr>
        <w:t>utilised</w:t>
      </w:r>
      <w:proofErr w:type="spellEnd"/>
      <w:r>
        <w:rPr>
          <w:rFonts w:ascii="Arial Regular" w:hAnsi="Arial Regular" w:cs="Arial Regular"/>
          <w:color w:val="000000"/>
          <w:sz w:val="20"/>
          <w:szCs w:val="20"/>
        </w:rPr>
        <w:t xml:space="preserve">. The Public Accounting </w:t>
      </w:r>
      <w:r>
        <w:rPr>
          <w:rFonts w:ascii="Arial Regular" w:hAnsi="Arial Regular" w:cs="Arial Regular"/>
          <w:color w:val="000000"/>
          <w:sz w:val="20"/>
          <w:szCs w:val="20"/>
        </w:rPr>
        <w:t xml:space="preserve">Firm is an </w:t>
      </w:r>
      <w:proofErr w:type="spellStart"/>
      <w:r>
        <w:rPr>
          <w:rFonts w:ascii="Arial Regular" w:hAnsi="Arial Regular" w:cs="Arial Regular"/>
          <w:color w:val="000000"/>
          <w:sz w:val="20"/>
          <w:szCs w:val="20"/>
        </w:rPr>
        <w:t>organisation</w:t>
      </w:r>
      <w:proofErr w:type="spellEnd"/>
      <w:r>
        <w:rPr>
          <w:rFonts w:ascii="Arial Regular" w:hAnsi="Arial Regular" w:cs="Arial Regular"/>
          <w:color w:val="000000"/>
          <w:sz w:val="20"/>
          <w:szCs w:val="20"/>
        </w:rPr>
        <w:t xml:space="preserve"> that satisfies the requirements of </w:t>
      </w:r>
      <w:r>
        <w:rPr>
          <w:rFonts w:ascii="Arial Regular" w:hAnsi="Arial Regular" w:cs="Arial Regular"/>
          <w:sz w:val="20"/>
          <w:szCs w:val="20"/>
          <w:shd w:val="clear" w:color="auto" w:fill="F79646" w:themeFill="accent6"/>
        </w:rPr>
        <w:t xml:space="preserve">Law Number 5 of 2011 </w:t>
      </w:r>
      <w:r>
        <w:rPr>
          <w:rFonts w:ascii="Arial Regular" w:hAnsi="Arial Regular" w:cs="Arial Regular"/>
          <w:color w:val="000000"/>
          <w:sz w:val="20"/>
          <w:szCs w:val="20"/>
        </w:rPr>
        <w:t xml:space="preserve">pertaining to public accountants and serves as a venue for public accountants to meet and </w:t>
      </w:r>
      <w:r>
        <w:rPr>
          <w:rFonts w:ascii="Arial Regular" w:hAnsi="Arial Regular" w:cs="Arial Regular"/>
          <w:color w:val="000000"/>
          <w:sz w:val="20"/>
          <w:szCs w:val="20"/>
        </w:rPr>
        <w:lastRenderedPageBreak/>
        <w:t>complete their professional obligations. The significance of the company's financial s</w:t>
      </w:r>
      <w:r>
        <w:rPr>
          <w:rFonts w:ascii="Arial Regular" w:hAnsi="Arial Regular" w:cs="Arial Regular"/>
          <w:color w:val="000000"/>
          <w:sz w:val="20"/>
          <w:szCs w:val="20"/>
        </w:rPr>
        <w:t xml:space="preserve">tatements to its stakeholders, such as creditors and investors, makes it acceptable for a public accounting firm to audit the financial statements in order to verify their correctness. At the moment, audit firms are divided into two categories: those that </w:t>
      </w:r>
      <w:r>
        <w:rPr>
          <w:rFonts w:ascii="Arial Regular" w:hAnsi="Arial Regular" w:cs="Arial Regular"/>
          <w:color w:val="000000"/>
          <w:sz w:val="20"/>
          <w:szCs w:val="20"/>
        </w:rPr>
        <w:t>are associated with a sizable global public accounting firm, commonly referred to as the "big four", and those that are not, commonly referred to as the "niche four".</w:t>
      </w:r>
    </w:p>
    <w:p w:rsidR="00FC63CA" w:rsidRDefault="007B025A">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This is the rationale for the company's decision to select a Big Four public accounting f</w:t>
      </w:r>
      <w:r>
        <w:rPr>
          <w:rFonts w:ascii="Arial Regular" w:hAnsi="Arial Regular" w:cs="Arial Regular"/>
          <w:color w:val="000000"/>
          <w:sz w:val="20"/>
          <w:szCs w:val="20"/>
        </w:rPr>
        <w:t xml:space="preserve">irm over other public </w:t>
      </w:r>
      <w:r>
        <w:rPr>
          <w:rFonts w:ascii="Arial Regular" w:hAnsi="Arial Regular" w:cs="Arial Regular"/>
          <w:sz w:val="20"/>
          <w:szCs w:val="20"/>
        </w:rPr>
        <w:t xml:space="preserve">accounting firms (non-Big Four): the public accounting firm is more independent, and it will instantly enhance the company's reputation in the eyes of financial statement readers. According to </w:t>
      </w:r>
      <w:proofErr w:type="spellStart"/>
      <w:r>
        <w:rPr>
          <w:rFonts w:ascii="Arial Regular" w:hAnsi="Arial Regular" w:cs="Arial Regular"/>
          <w:sz w:val="20"/>
          <w:szCs w:val="20"/>
          <w:shd w:val="clear" w:color="auto" w:fill="F79646" w:themeFill="accent6"/>
        </w:rPr>
        <w:t>Rizki</w:t>
      </w:r>
      <w:proofErr w:type="spellEnd"/>
      <w:r>
        <w:rPr>
          <w:rFonts w:ascii="Arial Regular" w:hAnsi="Arial Regular" w:cs="Arial Regular"/>
          <w:sz w:val="20"/>
          <w:szCs w:val="20"/>
          <w:shd w:val="clear" w:color="auto" w:fill="F79646" w:themeFill="accent6"/>
        </w:rPr>
        <w:t xml:space="preserve"> and </w:t>
      </w:r>
      <w:proofErr w:type="spellStart"/>
      <w:r>
        <w:rPr>
          <w:rFonts w:ascii="Arial Regular" w:hAnsi="Arial Regular" w:cs="Arial Regular"/>
          <w:sz w:val="20"/>
          <w:szCs w:val="20"/>
          <w:shd w:val="clear" w:color="auto" w:fill="F79646" w:themeFill="accent6"/>
        </w:rPr>
        <w:t>Sudarno</w:t>
      </w:r>
      <w:proofErr w:type="spellEnd"/>
      <w:r>
        <w:rPr>
          <w:rFonts w:ascii="Arial Regular" w:hAnsi="Arial Regular" w:cs="Arial Regular"/>
          <w:sz w:val="20"/>
          <w:szCs w:val="20"/>
          <w:shd w:val="clear" w:color="auto" w:fill="F79646" w:themeFill="accent6"/>
        </w:rPr>
        <w:t xml:space="preserve"> (2020</w:t>
      </w:r>
      <w:r>
        <w:rPr>
          <w:rFonts w:ascii="Arial Regular" w:hAnsi="Arial Regular" w:cs="Arial Regular"/>
          <w:sz w:val="20"/>
          <w:szCs w:val="20"/>
        </w:rPr>
        <w:t>), these results s</w:t>
      </w:r>
      <w:r>
        <w:rPr>
          <w:rFonts w:ascii="Arial Regular" w:hAnsi="Arial Regular" w:cs="Arial Regular"/>
          <w:sz w:val="20"/>
          <w:szCs w:val="20"/>
        </w:rPr>
        <w:t xml:space="preserve">upport the growing notion that consumers of financial statements </w:t>
      </w:r>
      <w:proofErr w:type="spellStart"/>
      <w:r>
        <w:rPr>
          <w:rFonts w:ascii="Arial Regular" w:hAnsi="Arial Regular" w:cs="Arial Regular"/>
          <w:sz w:val="20"/>
          <w:szCs w:val="20"/>
        </w:rPr>
        <w:t>favour</w:t>
      </w:r>
      <w:proofErr w:type="spellEnd"/>
      <w:r>
        <w:rPr>
          <w:rFonts w:ascii="Arial Regular" w:hAnsi="Arial Regular" w:cs="Arial Regular"/>
          <w:sz w:val="20"/>
          <w:szCs w:val="20"/>
        </w:rPr>
        <w:t xml:space="preserve"> financial reports audited by the Big Four because they are thought to be of higher quality than those from other public accounting </w:t>
      </w:r>
      <w:proofErr w:type="spellStart"/>
      <w:r>
        <w:rPr>
          <w:rFonts w:ascii="Arial Regular" w:hAnsi="Arial Regular" w:cs="Arial Regular"/>
          <w:sz w:val="20"/>
          <w:szCs w:val="20"/>
        </w:rPr>
        <w:t>firms.</w:t>
      </w:r>
      <w:r>
        <w:rPr>
          <w:rFonts w:ascii="Arial Regular" w:hAnsi="Arial Regular" w:cs="Arial Regular"/>
          <w:color w:val="000000"/>
          <w:sz w:val="20"/>
          <w:szCs w:val="20"/>
        </w:rPr>
        <w:t>The</w:t>
      </w:r>
      <w:proofErr w:type="spellEnd"/>
      <w:r>
        <w:rPr>
          <w:rFonts w:ascii="Arial Regular" w:hAnsi="Arial Regular" w:cs="Arial Regular"/>
          <w:color w:val="000000"/>
          <w:sz w:val="20"/>
          <w:szCs w:val="20"/>
        </w:rPr>
        <w:t xml:space="preserve"> study used dummy variables to group public </w:t>
      </w:r>
      <w:r>
        <w:rPr>
          <w:rFonts w:ascii="Arial Regular" w:hAnsi="Arial Regular" w:cs="Arial Regular"/>
          <w:color w:val="000000"/>
          <w:sz w:val="20"/>
          <w:szCs w:val="20"/>
        </w:rPr>
        <w:t>accounting firms: companies that use the services of a big public accounting firm (the "big four") will be assigned a value of 1 (one"), and companies that use the services of public accounting firms other than the "big four" (the "non-big four") when audi</w:t>
      </w:r>
      <w:r>
        <w:rPr>
          <w:rFonts w:ascii="Arial Regular" w:hAnsi="Arial Regular" w:cs="Arial Regular"/>
          <w:color w:val="000000"/>
          <w:sz w:val="20"/>
          <w:szCs w:val="20"/>
        </w:rPr>
        <w:t>ting the financial statements they prepare will be assigned a value of 0 (zero).</w:t>
      </w: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Sustainability report</w:t>
      </w:r>
    </w:p>
    <w:p w:rsidR="00FC63CA" w:rsidRDefault="007B025A">
      <w:pPr>
        <w:pStyle w:val="NormalWeb"/>
        <w:ind w:firstLineChars="250" w:firstLine="500"/>
        <w:jc w:val="both"/>
        <w:rPr>
          <w:rFonts w:ascii="Arial Regular" w:hAnsi="Arial Regular" w:cs="Arial Regular"/>
          <w:color w:val="000000"/>
          <w:sz w:val="20"/>
          <w:szCs w:val="20"/>
        </w:rPr>
      </w:pPr>
      <w:r>
        <w:rPr>
          <w:rFonts w:ascii="Arial Regular" w:hAnsi="Arial Regular" w:cs="Arial Regular"/>
          <w:sz w:val="20"/>
          <w:szCs w:val="20"/>
          <w:shd w:val="clear" w:color="auto" w:fill="F79646" w:themeFill="accent6"/>
        </w:rPr>
        <w:t xml:space="preserve">In accordance with Financial Services Authority Regulation Number 51 of 2017, the </w:t>
      </w:r>
      <w:r>
        <w:rPr>
          <w:rFonts w:ascii="Arial Regular" w:hAnsi="Arial Regular" w:cs="Arial Regular"/>
          <w:color w:val="000000"/>
          <w:sz w:val="20"/>
          <w:szCs w:val="20"/>
        </w:rPr>
        <w:t xml:space="preserve">company's social, economic, and social activities that align with the </w:t>
      </w:r>
      <w:r>
        <w:rPr>
          <w:rFonts w:ascii="Arial Regular" w:hAnsi="Arial Regular" w:cs="Arial Regular"/>
          <w:color w:val="000000"/>
          <w:sz w:val="20"/>
          <w:szCs w:val="20"/>
        </w:rPr>
        <w:t xml:space="preserve">concept of sustainable development are included in the annual report that is prepared using company data on both financial and non-financial performance. Presenting sustainable reports issued by companies listed on the Indonesia Stock Exchange can be done </w:t>
      </w:r>
      <w:r>
        <w:rPr>
          <w:rFonts w:ascii="Arial Regular" w:hAnsi="Arial Regular" w:cs="Arial Regular"/>
          <w:color w:val="000000"/>
          <w:sz w:val="20"/>
          <w:szCs w:val="20"/>
        </w:rPr>
        <w:t>in two different ways because the Indonesian government currently has no standard guidelines. Some companies combine their audited financial statements and sustainable financial reports into a single report, while others keep the two reports separate.</w:t>
      </w:r>
    </w:p>
    <w:p w:rsidR="00FC63CA" w:rsidRDefault="007B025A">
      <w:pPr>
        <w:pStyle w:val="NormalWeb"/>
        <w:ind w:firstLineChars="250" w:firstLine="500"/>
        <w:jc w:val="both"/>
        <w:rPr>
          <w:rFonts w:ascii="Arial Regular" w:hAnsi="Arial Regular" w:cs="Arial Regular"/>
          <w:color w:val="000000"/>
          <w:sz w:val="20"/>
          <w:szCs w:val="20"/>
        </w:rPr>
      </w:pPr>
      <w:r>
        <w:rPr>
          <w:rFonts w:ascii="Arial Regular" w:hAnsi="Arial Regular"/>
          <w:sz w:val="20"/>
          <w:szCs w:val="20"/>
          <w:shd w:val="clear" w:color="auto" w:fill="F79646" w:themeFill="accent6"/>
        </w:rPr>
        <w:t>Acco</w:t>
      </w:r>
      <w:r>
        <w:rPr>
          <w:rFonts w:ascii="Arial Regular" w:hAnsi="Arial Regular"/>
          <w:sz w:val="20"/>
          <w:szCs w:val="20"/>
          <w:shd w:val="clear" w:color="auto" w:fill="F79646" w:themeFill="accent6"/>
        </w:rPr>
        <w:t xml:space="preserve">rding to the Financial Services Authority Circular Letter (SEOJK) Number 16 of 2021, </w:t>
      </w:r>
      <w:r>
        <w:rPr>
          <w:rFonts w:ascii="Arial Regular" w:hAnsi="Arial Regular"/>
          <w:color w:val="000000"/>
          <w:sz w:val="20"/>
          <w:szCs w:val="20"/>
        </w:rPr>
        <w:t xml:space="preserve">all businesses that have registered on a capital market in this case, the Indonesia Stock Exchange are required to publish a sustainability report with the goal of </w:t>
      </w:r>
      <w:proofErr w:type="spellStart"/>
      <w:r>
        <w:rPr>
          <w:rFonts w:ascii="Arial Regular" w:hAnsi="Arial Regular"/>
          <w:color w:val="000000"/>
          <w:sz w:val="20"/>
          <w:szCs w:val="20"/>
        </w:rPr>
        <w:t>maximis</w:t>
      </w:r>
      <w:r>
        <w:rPr>
          <w:rFonts w:ascii="Arial Regular" w:hAnsi="Arial Regular"/>
          <w:color w:val="000000"/>
          <w:sz w:val="20"/>
          <w:szCs w:val="20"/>
        </w:rPr>
        <w:t>ing</w:t>
      </w:r>
      <w:proofErr w:type="spellEnd"/>
      <w:r>
        <w:rPr>
          <w:rFonts w:ascii="Arial Regular" w:hAnsi="Arial Regular"/>
          <w:color w:val="000000"/>
          <w:sz w:val="20"/>
          <w:szCs w:val="20"/>
        </w:rPr>
        <w:t xml:space="preserve"> sustainable investment in Indonesia. Accordingly, this study will use a dummy variable, assigning a value of 1 (one) to businesses that provide sustainability reports and a rating of 0 (zero) to those that don't.</w:t>
      </w: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Gross Profit MArgin</w:t>
      </w:r>
    </w:p>
    <w:p w:rsidR="00FC63CA" w:rsidRDefault="00FC63CA">
      <w:pPr>
        <w:pStyle w:val="AbstHead"/>
        <w:spacing w:after="0"/>
        <w:ind w:left="111"/>
        <w:jc w:val="both"/>
        <w:rPr>
          <w:rFonts w:ascii="Arial Bold" w:hAnsi="Arial Bold" w:cs="Arial Bold"/>
          <w:bCs/>
          <w:sz w:val="20"/>
        </w:rPr>
      </w:pPr>
    </w:p>
    <w:p w:rsidR="00FC63CA" w:rsidRDefault="007B025A">
      <w:pPr>
        <w:jc w:val="both"/>
        <w:rPr>
          <w:rFonts w:ascii="Arial Regular" w:hAnsi="Arial Regular" w:cs="Arial Regular"/>
        </w:rPr>
      </w:pPr>
      <w:r>
        <w:rPr>
          <w:sz w:val="24"/>
          <w:szCs w:val="24"/>
        </w:rPr>
        <w:t xml:space="preserve">  </w:t>
      </w:r>
      <w:r>
        <w:rPr>
          <w:rFonts w:ascii="Arial Regular" w:hAnsi="Arial Regular" w:cs="Arial Regular"/>
        </w:rPr>
        <w:t xml:space="preserve">        The se</w:t>
      </w:r>
      <w:r>
        <w:rPr>
          <w:rFonts w:ascii="Arial Regular" w:hAnsi="Arial Regular" w:cs="Arial Regular"/>
        </w:rPr>
        <w:t>t of highly significant profitability ratios includes this one in determining how well the firm is doing at making money out of its operations and in predicting whether it will survive. Thus, it may be said that this ratio can forecast how profitable and e</w:t>
      </w:r>
      <w:r>
        <w:rPr>
          <w:rFonts w:ascii="Arial Regular" w:hAnsi="Arial Regular" w:cs="Arial Regular"/>
        </w:rPr>
        <w:t>fficient a company's business operations are in producing gross profit:</w:t>
      </w:r>
    </w:p>
    <w:p w:rsidR="00FC63CA" w:rsidRDefault="00FC63CA">
      <w:pPr>
        <w:jc w:val="both"/>
        <w:rPr>
          <w:rFonts w:ascii="Arial Regular" w:hAnsi="Arial Regular" w:cs="Arial Regular"/>
        </w:rPr>
      </w:pPr>
    </w:p>
    <w:p w:rsidR="00FC63CA" w:rsidRDefault="007B025A">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38735</wp:posOffset>
                </wp:positionV>
                <wp:extent cx="3909695" cy="478790"/>
                <wp:effectExtent l="12700" t="12700" r="14605" b="16510"/>
                <wp:wrapNone/>
                <wp:docPr id="3" name="Rounded Rectangle 3"/>
                <wp:cNvGraphicFramePr/>
                <a:graphic xmlns:a="http://schemas.openxmlformats.org/drawingml/2006/main">
                  <a:graphicData uri="http://schemas.microsoft.com/office/word/2010/wordprocessingShape">
                    <wps:wsp>
                      <wps:cNvSpPr/>
                      <wps:spPr>
                        <a:xfrm>
                          <a:off x="1095375" y="4821555"/>
                          <a:ext cx="3909695" cy="47879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FC63CA">
                            <w:pPr>
                              <w:jc w:val="center"/>
                              <w:rPr>
                                <w:rFonts w:ascii="Arial Regular" w:hAnsi="Arial Regular" w:cs="Arial Regular"/>
                              </w:rPr>
                            </w:pPr>
                          </w:p>
                          <w:p w:rsidR="00FC63CA" w:rsidRDefault="007B025A">
                            <w:pPr>
                              <w:jc w:val="center"/>
                              <w:rPr>
                                <w:rFonts w:ascii="Arial Regular" w:hAnsi="Arial Regular" w:cs="Arial Regular"/>
                              </w:rPr>
                            </w:pPr>
                            <w:r>
                              <w:rPr>
                                <w:rFonts w:ascii="Arial Regular" w:hAnsi="Arial Regular" w:cs="Arial Regular"/>
                              </w:rPr>
                              <w:t xml:space="preserve"> </w:t>
                            </w:r>
                          </w:p>
                          <w:p w:rsidR="00FC63CA" w:rsidRDefault="00FC63CA">
                            <w:pPr>
                              <w:jc w:val="center"/>
                              <w:rPr>
                                <w:rFonts w:ascii="Arial Regular" w:hAnsi="Arial Regular" w:cs="Arial Regular"/>
                              </w:rPr>
                            </w:pPr>
                          </w:p>
                          <w:p w:rsidR="00FC63CA" w:rsidRDefault="00FC63CA">
                            <w:pPr>
                              <w:jc w:val="center"/>
                              <w:rPr>
                                <w:rFonts w:ascii="Arial Regular" w:hAnsi="Arial Regular" w:cs="Arial Regular"/>
                              </w:rPr>
                            </w:pPr>
                          </w:p>
                          <w:p w:rsidR="00FC63CA" w:rsidRDefault="00FC63CA">
                            <w:pPr>
                              <w:jc w:val="center"/>
                              <w:rPr>
                                <w:rFonts w:ascii="Arial Regular" w:hAnsi="Arial Regular" w:cs="Arial Regul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3" o:spid="_x0000_s1026" style="position:absolute;margin-left:48.45pt;margin-top:3.05pt;width:307.8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" filled="f" strokecolor="#365f91 [2404]" strokeweight="2pt">
                <v:textbox>
                  <w:txbxContent>
                    <w:p w:rsidR="00FC63CA" w:rsidRDefault="00FC63CA">
                      <w:pPr>
                        <w:jc w:val="center"/>
                        <w:rPr>
                          <w:rFonts w:ascii="Arial Regular" w:hAnsi="Arial Regular" w:cs="Arial Regular"/>
                        </w:rPr>
                      </w:pPr>
                    </w:p>
                    <w:p w:rsidR="00FC63CA" w:rsidRDefault="007B025A">
                      <w:pPr>
                        <w:jc w:val="center"/>
                        <w:rPr>
                          <w:rFonts w:ascii="Arial Regular" w:hAnsi="Arial Regular" w:cs="Arial Regular"/>
                        </w:rPr>
                      </w:pPr>
                      <w:r>
                        <w:rPr>
                          <w:rFonts w:ascii="Arial Regular" w:hAnsi="Arial Regular" w:cs="Arial Regular"/>
                        </w:rPr>
                        <w:t xml:space="preserve"> </w:t>
                      </w:r>
                    </w:p>
                    <w:p w:rsidR="00FC63CA" w:rsidRDefault="00FC63CA">
                      <w:pPr>
                        <w:jc w:val="center"/>
                        <w:rPr>
                          <w:rFonts w:ascii="Arial Regular" w:hAnsi="Arial Regular" w:cs="Arial Regular"/>
                        </w:rPr>
                      </w:pPr>
                    </w:p>
                    <w:p w:rsidR="00FC63CA" w:rsidRDefault="00FC63CA">
                      <w:pPr>
                        <w:jc w:val="center"/>
                        <w:rPr>
                          <w:rFonts w:ascii="Arial Regular" w:hAnsi="Arial Regular" w:cs="Arial Regular"/>
                        </w:rPr>
                      </w:pPr>
                    </w:p>
                    <w:p w:rsidR="00FC63CA" w:rsidRDefault="00FC63CA">
                      <w:pPr>
                        <w:jc w:val="center"/>
                        <w:rPr>
                          <w:rFonts w:ascii="Arial Regular" w:hAnsi="Arial Regular" w:cs="Arial Regular"/>
                        </w:rPr>
                      </w:pPr>
                    </w:p>
                  </w:txbxContent>
                </v:textbox>
              </v:roundrect>
            </w:pict>
          </mc:Fallback>
        </mc:AlternateContent>
      </w:r>
    </w:p>
    <w:p w:rsidR="00FC63CA" w:rsidRDefault="007B025A">
      <w:pPr>
        <w:ind w:left="840" w:firstLine="420"/>
        <w:rPr>
          <w:rFonts w:ascii="Arial Regular" w:hAnsi="Arial Regular" w:cs="Arial Regular"/>
        </w:rPr>
      </w:pPr>
      <w:r>
        <w:rPr>
          <w:rFonts w:ascii="Times New Roman Regular" w:hAnsi="Times New Roman Regular" w:cs="Times New Roman Regular"/>
          <w:b/>
          <w:bCs/>
          <w:i/>
          <w:iCs/>
          <w:sz w:val="22"/>
          <w:szCs w:val="22"/>
        </w:rPr>
        <w:t xml:space="preserve"> </w:t>
      </w:r>
      <w:r>
        <w:rPr>
          <w:rFonts w:ascii="Arial Regular" w:hAnsi="Arial Regular" w:cs="Arial Regular"/>
          <w:b/>
          <w:bCs/>
          <w:i/>
          <w:iCs/>
        </w:rPr>
        <w:t xml:space="preserve">Gross profit margin </w:t>
      </w:r>
      <w:r>
        <w:rPr>
          <w:rFonts w:ascii="Arial Regular" w:hAnsi="Arial Regular" w:cs="Arial Regular"/>
          <w:b/>
          <w:bCs/>
        </w:rPr>
        <w:t>(GPM) =</w:t>
      </w:r>
      <m:oMath>
        <m:f>
          <m:fPr>
            <m:ctrlPr>
              <w:rPr>
                <w:rFonts w:ascii="DejaVu Math TeX Gyre" w:hAnsi="DejaVu Math TeX Gyre" w:cs="Arial Regular"/>
                <w:b/>
                <w:bCs/>
              </w:rPr>
            </m:ctrlPr>
          </m:fPr>
          <m:num>
            <m:r>
              <m:rPr>
                <m:sty m:val="b"/>
              </m:rPr>
              <w:rPr>
                <w:rFonts w:ascii="DejaVu Math TeX Gyre" w:hAnsi="DejaVu Math TeX Gyre" w:cs="Arial Regular"/>
              </w:rPr>
              <m:t>Gross</m:t>
            </m:r>
            <m:r>
              <m:rPr>
                <m:sty m:val="b"/>
              </m:rPr>
              <w:rPr>
                <w:rFonts w:ascii="DejaVu Math TeX Gyre" w:hAnsi="DejaVu Math TeX Gyre" w:cs="Arial Regular"/>
              </w:rPr>
              <m:t xml:space="preserve"> </m:t>
            </m:r>
            <m:r>
              <m:rPr>
                <m:sty m:val="b"/>
              </m:rPr>
              <w:rPr>
                <w:rFonts w:ascii="DejaVu Math TeX Gyre" w:hAnsi="DejaVu Math TeX Gyre" w:cs="Arial Regular"/>
              </w:rPr>
              <m:t>Profit</m:t>
            </m:r>
          </m:num>
          <m:den>
            <m:r>
              <m:rPr>
                <m:sty m:val="b"/>
              </m:rPr>
              <w:rPr>
                <w:rFonts w:ascii="DejaVu Math TeX Gyre" w:hAnsi="DejaVu Math TeX Gyre" w:cs="Arial Regular"/>
              </w:rPr>
              <m:t>Revenue</m:t>
            </m:r>
          </m:den>
        </m:f>
      </m:oMath>
      <w:r>
        <w:rPr>
          <w:rFonts w:ascii="Arial Regular" w:hAnsi="Arial Regular" w:cs="Arial Regular"/>
        </w:rPr>
        <w:t xml:space="preserve"> x 100%</w:t>
      </w:r>
    </w:p>
    <w:p w:rsidR="00FC63CA" w:rsidRDefault="00FC63CA">
      <w:pPr>
        <w:rPr>
          <w:rFonts w:ascii="Times New Roman Regular" w:hAnsi="Times New Roman Regular"/>
          <w:sz w:val="24"/>
          <w:szCs w:val="24"/>
        </w:rPr>
      </w:pPr>
    </w:p>
    <w:p w:rsidR="00FC63CA" w:rsidRDefault="00FC63CA">
      <w:pPr>
        <w:rPr>
          <w:rFonts w:ascii="Times New Roman Regular" w:hAnsi="Times New Roman Regular"/>
          <w:sz w:val="24"/>
          <w:szCs w:val="24"/>
        </w:rPr>
      </w:pP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w:t>
      </w:r>
      <w:r>
        <w:rPr>
          <w:rFonts w:ascii="Arial Bold" w:hAnsi="Arial Bold"/>
          <w:bCs/>
          <w:sz w:val="20"/>
        </w:rPr>
        <w:t>Corporate tax turn over ratio (CTTOR)</w:t>
      </w:r>
    </w:p>
    <w:p w:rsidR="00FC63CA" w:rsidRDefault="00FC63CA">
      <w:pPr>
        <w:pStyle w:val="AbstHead"/>
        <w:spacing w:after="0"/>
        <w:ind w:left="111"/>
        <w:jc w:val="both"/>
        <w:rPr>
          <w:rFonts w:ascii="Arial Bold" w:hAnsi="Arial Bold" w:cs="Arial Bold"/>
          <w:bCs/>
          <w:sz w:val="20"/>
        </w:rPr>
      </w:pPr>
    </w:p>
    <w:p w:rsidR="00FC63CA" w:rsidRDefault="007B025A">
      <w:pPr>
        <w:ind w:firstLineChars="300" w:firstLine="600"/>
        <w:jc w:val="both"/>
        <w:rPr>
          <w:rFonts w:ascii="Arial Regular" w:hAnsi="Arial Regular" w:cs="Arial Regular"/>
        </w:rPr>
      </w:pPr>
      <w:r>
        <w:rPr>
          <w:rFonts w:ascii="Arial Regular" w:hAnsi="Arial Regular" w:cs="Arial Regular"/>
        </w:rPr>
        <w:t xml:space="preserve">A company's tax efficiency must be estimated using the </w:t>
      </w:r>
      <w:r>
        <w:rPr>
          <w:rFonts w:ascii="Arial Regular" w:hAnsi="Arial Regular" w:cs="Arial Regular"/>
        </w:rPr>
        <w:t>corporate tax turnover ratio (CTTOR) in order to determine the amount of tax payable owed and to forecast the degree of compliance of an entity or company with the appropriateness of tax practices implemented in comparison to applicable tax regulations. Th</w:t>
      </w:r>
      <w:r>
        <w:rPr>
          <w:rFonts w:ascii="Arial Regular" w:hAnsi="Arial Regular" w:cs="Arial Regular"/>
        </w:rPr>
        <w:t>is allows the company to compare its capabilities with those of its competitors. The formula used is:</w:t>
      </w:r>
    </w:p>
    <w:p w:rsidR="00FC63CA" w:rsidRDefault="00FC63CA">
      <w:pPr>
        <w:ind w:firstLineChars="250" w:firstLine="500"/>
        <w:jc w:val="both"/>
        <w:rPr>
          <w:rFonts w:ascii="Arial Regular" w:hAnsi="Arial Regular" w:cs="Arial Regular"/>
        </w:rPr>
      </w:pPr>
    </w:p>
    <w:p w:rsidR="00FC63CA" w:rsidRDefault="007B025A">
      <w:pPr>
        <w:pStyle w:val="NormalWeb"/>
        <w:spacing w:beforeAutospacing="0" w:afterAutospacing="0"/>
        <w:rPr>
          <w:sz w:val="22"/>
          <w:szCs w:val="22"/>
          <w:lang w:bidi="ar"/>
        </w:rPr>
      </w:pPr>
      <w:r>
        <w:rPr>
          <w:noProof/>
        </w:rPr>
        <mc:AlternateContent>
          <mc:Choice Requires="wps">
            <w:drawing>
              <wp:anchor distT="0" distB="0" distL="114300" distR="114300" simplePos="0" relativeHeight="251662336" behindDoc="0" locked="0" layoutInCell="1" allowOverlap="1">
                <wp:simplePos x="0" y="0"/>
                <wp:positionH relativeFrom="column">
                  <wp:posOffset>325120</wp:posOffset>
                </wp:positionH>
                <wp:positionV relativeFrom="paragraph">
                  <wp:posOffset>78105</wp:posOffset>
                </wp:positionV>
                <wp:extent cx="4451985" cy="474345"/>
                <wp:effectExtent l="12700" t="12700" r="31115" b="20955"/>
                <wp:wrapNone/>
                <wp:docPr id="4" name="Rounded Rectangle 4"/>
                <wp:cNvGraphicFramePr/>
                <a:graphic xmlns:a="http://schemas.openxmlformats.org/drawingml/2006/main">
                  <a:graphicData uri="http://schemas.microsoft.com/office/word/2010/wordprocessingShape">
                    <wps:wsp>
                      <wps:cNvSpPr/>
                      <wps:spPr>
                        <a:xfrm>
                          <a:off x="0" y="0"/>
                          <a:ext cx="4451985" cy="47434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BD76450" id="Rounded Rectangle 4" o:spid="_x0000_s1026" style="position:absolute;margin-left:25.6pt;margin-top:6.15pt;width:350.5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" filled="f" strokecolor="#365f91 [2404]" strokeweight="2pt"/>
            </w:pict>
          </mc:Fallback>
        </mc:AlternateContent>
      </w:r>
    </w:p>
    <w:p w:rsidR="00FC63CA" w:rsidRDefault="007B025A">
      <w:pPr>
        <w:pStyle w:val="NormalWeb"/>
        <w:spacing w:beforeAutospacing="0" w:afterAutospacing="0"/>
        <w:ind w:firstLineChars="360" w:firstLine="723"/>
        <w:rPr>
          <w:rFonts w:ascii="Arial Regular" w:hAnsi="Arial Regular" w:cs="Arial Regular"/>
          <w:sz w:val="20"/>
          <w:szCs w:val="20"/>
          <w:lang w:bidi="ar"/>
        </w:rPr>
      </w:pPr>
      <w:r>
        <w:rPr>
          <w:rFonts w:ascii="Arial Regular" w:hAnsi="Arial Regular" w:cs="Arial Regular"/>
          <w:b/>
          <w:bCs/>
          <w:i/>
          <w:iCs/>
          <w:sz w:val="20"/>
          <w:szCs w:val="20"/>
        </w:rPr>
        <w:lastRenderedPageBreak/>
        <w:t xml:space="preserve">Corporate tax </w:t>
      </w:r>
      <w:proofErr w:type="spellStart"/>
      <w:proofErr w:type="gramStart"/>
      <w:r>
        <w:rPr>
          <w:rFonts w:ascii="Arial Regular" w:hAnsi="Arial Regular" w:cs="Arial Regular"/>
          <w:b/>
          <w:bCs/>
          <w:i/>
          <w:iCs/>
          <w:sz w:val="20"/>
          <w:szCs w:val="20"/>
        </w:rPr>
        <w:t>turn</w:t>
      </w:r>
      <w:proofErr w:type="gramEnd"/>
      <w:r>
        <w:rPr>
          <w:rFonts w:ascii="Arial Regular" w:hAnsi="Arial Regular" w:cs="Arial Regular"/>
          <w:b/>
          <w:bCs/>
          <w:i/>
          <w:iCs/>
          <w:sz w:val="20"/>
          <w:szCs w:val="20"/>
        </w:rPr>
        <w:t xml:space="preserve"> over</w:t>
      </w:r>
      <w:proofErr w:type="spellEnd"/>
      <w:r>
        <w:rPr>
          <w:rFonts w:ascii="Arial Regular" w:hAnsi="Arial Regular" w:cs="Arial Regular"/>
          <w:b/>
          <w:bCs/>
          <w:i/>
          <w:iCs/>
          <w:sz w:val="20"/>
          <w:szCs w:val="20"/>
        </w:rPr>
        <w:t xml:space="preserve"> ratio </w:t>
      </w:r>
      <w:r>
        <w:rPr>
          <w:rFonts w:ascii="Arial Regular" w:hAnsi="Arial Regular" w:cs="Arial Regular"/>
          <w:b/>
          <w:bCs/>
          <w:sz w:val="20"/>
          <w:szCs w:val="20"/>
        </w:rPr>
        <w:t>(CTTOR) =</w:t>
      </w:r>
      <m:oMath>
        <m:f>
          <m:fPr>
            <m:ctrlPr>
              <w:rPr>
                <w:rFonts w:ascii="DejaVu Math TeX Gyre" w:hAnsi="DejaVu Math TeX Gyre" w:cs="Arial Regular"/>
                <w:b/>
                <w:bCs/>
                <w:sz w:val="20"/>
                <w:szCs w:val="20"/>
              </w:rPr>
            </m:ctrlPr>
          </m:fPr>
          <m:num>
            <m:r>
              <m:rPr>
                <m:sty m:val="b"/>
              </m:rPr>
              <w:rPr>
                <w:rFonts w:ascii="DejaVu Math TeX Gyre" w:hAnsi="DejaVu Math TeX Gyre" w:cs="Arial Regular"/>
                <w:sz w:val="20"/>
                <w:szCs w:val="20"/>
              </w:rPr>
              <m:t xml:space="preserve">  </m:t>
            </m:r>
            <m:r>
              <m:rPr>
                <m:sty m:val="b"/>
              </m:rPr>
              <w:rPr>
                <w:rFonts w:ascii="DejaVu Math TeX Gyre" w:hAnsi="DejaVu Math TeX Gyre"/>
                <w:sz w:val="20"/>
                <w:szCs w:val="20"/>
              </w:rPr>
              <m:t>Income</m:t>
            </m:r>
            <m:r>
              <m:rPr>
                <m:sty m:val="b"/>
              </m:rPr>
              <w:rPr>
                <w:rFonts w:ascii="DejaVu Math TeX Gyre" w:hAnsi="DejaVu Math TeX Gyre"/>
                <w:sz w:val="20"/>
                <w:szCs w:val="20"/>
              </w:rPr>
              <m:t xml:space="preserve"> </m:t>
            </m:r>
            <m:r>
              <m:rPr>
                <m:sty m:val="b"/>
              </m:rPr>
              <w:rPr>
                <w:rFonts w:ascii="DejaVu Math TeX Gyre" w:hAnsi="DejaVu Math TeX Gyre"/>
                <w:sz w:val="20"/>
                <w:szCs w:val="20"/>
              </w:rPr>
              <m:t>taxes</m:t>
            </m:r>
            <m:r>
              <m:rPr>
                <m:sty m:val="b"/>
              </m:rPr>
              <w:rPr>
                <w:rFonts w:ascii="DejaVu Math TeX Gyre" w:hAnsi="DejaVu Math TeX Gyre"/>
                <w:sz w:val="20"/>
                <w:szCs w:val="20"/>
              </w:rPr>
              <m:t xml:space="preserve"> </m:t>
            </m:r>
            <m:r>
              <m:rPr>
                <m:sty m:val="b"/>
              </m:rPr>
              <w:rPr>
                <w:rFonts w:ascii="DejaVu Math TeX Gyre" w:hAnsi="DejaVu Math TeX Gyre"/>
                <w:sz w:val="20"/>
                <w:szCs w:val="20"/>
              </w:rPr>
              <m:t>payable</m:t>
            </m:r>
            <m:r>
              <m:rPr>
                <m:sty m:val="b"/>
              </m:rPr>
              <w:rPr>
                <w:rFonts w:ascii="DejaVu Math TeX Gyre" w:hAnsi="DejaVu Math TeX Gyre" w:cs="Arial Regular"/>
                <w:sz w:val="20"/>
                <w:szCs w:val="20"/>
              </w:rPr>
              <m:t xml:space="preserve"> </m:t>
            </m:r>
          </m:num>
          <m:den>
            <m:r>
              <m:rPr>
                <m:sty m:val="b"/>
              </m:rPr>
              <w:rPr>
                <w:rFonts w:ascii="DejaVu Math TeX Gyre" w:hAnsi="DejaVu Math TeX Gyre" w:cs="Arial Regular"/>
                <w:sz w:val="20"/>
                <w:szCs w:val="20"/>
              </w:rPr>
              <m:t>Revenue</m:t>
            </m:r>
          </m:den>
        </m:f>
      </m:oMath>
      <w:r>
        <w:rPr>
          <w:rFonts w:ascii="Arial Regular" w:hAnsi="Arial Regular" w:cs="Arial Regular"/>
          <w:b/>
          <w:bCs/>
          <w:sz w:val="20"/>
          <w:szCs w:val="20"/>
        </w:rPr>
        <w:t xml:space="preserve"> x 100%</w:t>
      </w:r>
    </w:p>
    <w:p w:rsidR="00FC63CA" w:rsidRDefault="00FC63CA">
      <w:pPr>
        <w:ind w:firstLineChars="300" w:firstLine="720"/>
        <w:jc w:val="both"/>
        <w:rPr>
          <w:sz w:val="24"/>
          <w:szCs w:val="24"/>
        </w:rPr>
      </w:pPr>
    </w:p>
    <w:p w:rsidR="00FC63CA" w:rsidRDefault="00FC63CA">
      <w:pPr>
        <w:ind w:firstLineChars="300" w:firstLine="720"/>
        <w:jc w:val="both"/>
        <w:rPr>
          <w:sz w:val="24"/>
          <w:szCs w:val="24"/>
        </w:rPr>
      </w:pP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w:t>
      </w:r>
      <w:r>
        <w:rPr>
          <w:rFonts w:ascii="Arial Bold" w:hAnsi="Arial Bold"/>
          <w:bCs/>
          <w:sz w:val="20"/>
        </w:rPr>
        <w:t>Previous Research</w:t>
      </w:r>
    </w:p>
    <w:p w:rsidR="00FC63CA" w:rsidRDefault="00FC63CA">
      <w:pPr>
        <w:pStyle w:val="AbstHead"/>
        <w:spacing w:after="0"/>
        <w:ind w:left="111"/>
        <w:jc w:val="both"/>
        <w:rPr>
          <w:rFonts w:ascii="Arial Bold" w:hAnsi="Arial Bold" w:cs="Arial Bold"/>
          <w:bCs/>
          <w:sz w:val="20"/>
        </w:rPr>
      </w:pPr>
    </w:p>
    <w:p w:rsidR="00FC63CA" w:rsidRDefault="00FC63CA">
      <w:pPr>
        <w:pStyle w:val="AbstHead"/>
        <w:spacing w:after="0"/>
        <w:ind w:left="111"/>
        <w:jc w:val="both"/>
        <w:rPr>
          <w:rFonts w:ascii="Arial Bold" w:hAnsi="Arial Bold" w:cs="Arial Bold"/>
          <w:bCs/>
          <w:sz w:val="20"/>
        </w:rPr>
      </w:pPr>
    </w:p>
    <w:p w:rsidR="00FC63CA" w:rsidRDefault="007B025A">
      <w:pPr>
        <w:jc w:val="center"/>
        <w:rPr>
          <w:rFonts w:ascii="Arial Regular" w:hAnsi="Arial Regular" w:cs="Arial Regular"/>
        </w:rPr>
      </w:pPr>
      <w:r>
        <w:rPr>
          <w:rFonts w:ascii="Arial Regular" w:hAnsi="Arial Regular" w:cs="Arial Regular"/>
          <w:b/>
          <w:lang w:val="id-ID"/>
        </w:rPr>
        <w:t>Table 1. Previous Researc</w:t>
      </w:r>
      <w:r>
        <w:rPr>
          <w:rFonts w:ascii="Arial Regular" w:hAnsi="Arial Regular" w:cs="Arial Regular"/>
          <w:b/>
          <w:lang w:val="id-ID"/>
        </w:rPr>
        <w:t>h</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132"/>
        <w:gridCol w:w="1504"/>
        <w:gridCol w:w="1912"/>
        <w:gridCol w:w="2322"/>
      </w:tblGrid>
      <w:tr w:rsidR="00FC63CA">
        <w:trPr>
          <w:tblHeader/>
          <w:jc w:val="center"/>
        </w:trPr>
        <w:tc>
          <w:tcPr>
            <w:tcW w:w="316" w:type="pct"/>
            <w:vAlign w:val="center"/>
          </w:tcPr>
          <w:p w:rsidR="00FC63CA" w:rsidRDefault="007B025A">
            <w:pPr>
              <w:jc w:val="center"/>
              <w:rPr>
                <w:rFonts w:ascii="Arial Regular" w:hAnsi="Arial Regular" w:cs="Arial Regular"/>
                <w:b/>
                <w:lang w:val="id-ID"/>
              </w:rPr>
            </w:pPr>
            <w:r>
              <w:rPr>
                <w:rFonts w:ascii="Arial Regular" w:hAnsi="Arial Regular" w:cs="Arial Regular"/>
                <w:b/>
                <w:lang w:val="id-ID"/>
              </w:rPr>
              <w:t>No.</w:t>
            </w:r>
          </w:p>
        </w:tc>
        <w:tc>
          <w:tcPr>
            <w:tcW w:w="1268" w:type="pct"/>
            <w:vAlign w:val="center"/>
          </w:tcPr>
          <w:p w:rsidR="00FC63CA" w:rsidRDefault="00FC63CA">
            <w:pPr>
              <w:jc w:val="center"/>
              <w:rPr>
                <w:rFonts w:ascii="Arial Regular" w:hAnsi="Arial Regular" w:cs="Arial Regular"/>
                <w:b/>
                <w:lang w:val="id-ID"/>
              </w:rPr>
            </w:pPr>
          </w:p>
          <w:p w:rsidR="00FC63CA" w:rsidRDefault="007B025A">
            <w:pPr>
              <w:jc w:val="center"/>
              <w:rPr>
                <w:rFonts w:ascii="Arial Regular" w:hAnsi="Arial Regular" w:cs="Arial Regular"/>
                <w:b/>
                <w:lang w:val="id-ID"/>
              </w:rPr>
            </w:pPr>
            <w:r>
              <w:rPr>
                <w:rFonts w:ascii="Arial Regular" w:hAnsi="Arial Regular" w:cs="Arial Regular"/>
                <w:b/>
                <w:lang w:val="id-ID"/>
              </w:rPr>
              <w:t>Title, Researcher Name, and Year of Literature</w:t>
            </w:r>
          </w:p>
          <w:p w:rsidR="00FC63CA" w:rsidRDefault="00FC63CA">
            <w:pPr>
              <w:jc w:val="center"/>
              <w:rPr>
                <w:rFonts w:ascii="Arial Regular" w:hAnsi="Arial Regular" w:cs="Arial Regular"/>
                <w:b/>
                <w:lang w:val="id-ID"/>
              </w:rPr>
            </w:pPr>
          </w:p>
        </w:tc>
        <w:tc>
          <w:tcPr>
            <w:tcW w:w="895" w:type="pct"/>
            <w:vAlign w:val="center"/>
          </w:tcPr>
          <w:p w:rsidR="00FC63CA" w:rsidRDefault="007B025A">
            <w:pPr>
              <w:jc w:val="center"/>
              <w:rPr>
                <w:rFonts w:ascii="Arial Regular" w:hAnsi="Arial Regular" w:cs="Arial Regular"/>
                <w:b/>
                <w:lang w:val="id-ID"/>
              </w:rPr>
            </w:pPr>
            <w:r>
              <w:rPr>
                <w:rFonts w:ascii="Arial Regular" w:hAnsi="Arial Regular" w:cs="Arial Regular"/>
                <w:b/>
                <w:lang w:val="id-ID"/>
              </w:rPr>
              <w:t>Research Variables</w:t>
            </w:r>
          </w:p>
        </w:tc>
        <w:tc>
          <w:tcPr>
            <w:tcW w:w="1138" w:type="pct"/>
            <w:vAlign w:val="center"/>
          </w:tcPr>
          <w:p w:rsidR="00FC63CA" w:rsidRDefault="007B025A">
            <w:pPr>
              <w:jc w:val="center"/>
              <w:rPr>
                <w:rFonts w:ascii="Arial Regular" w:hAnsi="Arial Regular" w:cs="Arial Regular"/>
                <w:b/>
              </w:rPr>
            </w:pPr>
            <w:r>
              <w:rPr>
                <w:rFonts w:ascii="Arial Regular" w:hAnsi="Arial Regular" w:cs="Arial Regular"/>
                <w:b/>
              </w:rPr>
              <w:t>Methodology</w:t>
            </w:r>
          </w:p>
        </w:tc>
        <w:tc>
          <w:tcPr>
            <w:tcW w:w="1381" w:type="pct"/>
            <w:vAlign w:val="center"/>
          </w:tcPr>
          <w:p w:rsidR="00FC63CA" w:rsidRDefault="007B025A">
            <w:pPr>
              <w:jc w:val="center"/>
              <w:rPr>
                <w:rFonts w:ascii="Arial Regular" w:hAnsi="Arial Regular" w:cs="Arial Regular"/>
                <w:b/>
                <w:lang w:val="id-ID"/>
              </w:rPr>
            </w:pPr>
            <w:r>
              <w:rPr>
                <w:rFonts w:ascii="Arial Regular" w:hAnsi="Arial Regular" w:cs="Arial Regular"/>
                <w:b/>
                <w:lang w:val="id-ID"/>
              </w:rPr>
              <w:t xml:space="preserve">Research Results </w:t>
            </w:r>
          </w:p>
        </w:tc>
      </w:tr>
      <w:tr w:rsidR="00FC63CA">
        <w:trPr>
          <w:jc w:val="center"/>
        </w:trPr>
        <w:tc>
          <w:tcPr>
            <w:tcW w:w="316" w:type="pct"/>
          </w:tcPr>
          <w:p w:rsidR="00FC63CA" w:rsidRDefault="007B025A">
            <w:pPr>
              <w:rPr>
                <w:rFonts w:ascii="Arial Regular" w:hAnsi="Arial Regular" w:cs="Arial Regular"/>
                <w:lang w:val="id-ID"/>
              </w:rPr>
            </w:pPr>
            <w:r>
              <w:rPr>
                <w:rFonts w:ascii="Arial Regular" w:hAnsi="Arial Regular" w:cs="Arial Regular"/>
                <w:lang w:val="id-ID"/>
              </w:rPr>
              <w:t>1.</w:t>
            </w:r>
          </w:p>
        </w:tc>
        <w:tc>
          <w:tcPr>
            <w:tcW w:w="1268" w:type="pct"/>
          </w:tcPr>
          <w:p w:rsidR="00FC63CA" w:rsidRDefault="007B025A">
            <w:pPr>
              <w:rPr>
                <w:rFonts w:ascii="Arial Regular" w:hAnsi="Arial Regular" w:cs="Arial Regular"/>
              </w:rPr>
            </w:pPr>
            <w:r>
              <w:rPr>
                <w:rFonts w:ascii="Arial Regular" w:hAnsi="Arial Regular" w:cs="Arial Regular"/>
              </w:rPr>
              <w:t xml:space="preserve">The Effect of </w:t>
            </w:r>
            <w:r>
              <w:rPr>
                <w:rFonts w:ascii="Arial Regular" w:hAnsi="Arial Regular" w:cs="Arial Regular"/>
                <w:i/>
                <w:iCs/>
              </w:rPr>
              <w:t xml:space="preserve">Sustainability Report </w:t>
            </w:r>
            <w:r>
              <w:rPr>
                <w:rFonts w:ascii="Arial Regular" w:hAnsi="Arial Regular" w:cs="Arial Regular"/>
              </w:rPr>
              <w:t xml:space="preserve">on Financial Performance (Study on the Mining Sector Listed on the Indonesia Stock Exchange for the Period </w:t>
            </w:r>
            <w:r>
              <w:rPr>
                <w:rFonts w:ascii="Arial Regular" w:hAnsi="Arial Regular" w:cs="Arial Regular"/>
              </w:rPr>
              <w:t>2018-2022).</w:t>
            </w:r>
          </w:p>
          <w:p w:rsidR="00FC63CA" w:rsidRDefault="007B025A">
            <w:pPr>
              <w:shd w:val="clear" w:color="auto" w:fill="F79646" w:themeFill="accent6"/>
              <w:rPr>
                <w:rFonts w:ascii="Arial Regular" w:hAnsi="Arial Regular" w:cs="Arial Regular"/>
              </w:rPr>
            </w:pPr>
            <w:r>
              <w:rPr>
                <w:rFonts w:ascii="Arial Regular" w:hAnsi="Arial Regular" w:cs="Arial Regular"/>
              </w:rPr>
              <w:t>(</w:t>
            </w:r>
            <w:proofErr w:type="spellStart"/>
            <w:r>
              <w:rPr>
                <w:rFonts w:ascii="Arial Regular" w:hAnsi="Arial Regular" w:cs="Arial Regular"/>
              </w:rPr>
              <w:t>Setyowati</w:t>
            </w:r>
            <w:proofErr w:type="spellEnd"/>
            <w:r>
              <w:rPr>
                <w:rFonts w:ascii="Arial Regular" w:hAnsi="Arial Regular" w:cs="Arial Regular"/>
              </w:rPr>
              <w:t xml:space="preserve"> May, </w:t>
            </w:r>
            <w:proofErr w:type="gramStart"/>
            <w:r>
              <w:rPr>
                <w:rFonts w:ascii="Arial Regular" w:hAnsi="Arial Regular" w:cs="Arial Regular"/>
                <w:i/>
                <w:iCs/>
              </w:rPr>
              <w:t xml:space="preserve">et.al, </w:t>
            </w:r>
            <w:r>
              <w:rPr>
                <w:rFonts w:ascii="Arial Regular" w:hAnsi="Arial Regular" w:cs="Arial Regular"/>
              </w:rPr>
              <w:t xml:space="preserve"> 2024</w:t>
            </w:r>
            <w:proofErr w:type="gramEnd"/>
            <w:r>
              <w:rPr>
                <w:rFonts w:ascii="Arial Regular" w:hAnsi="Arial Regular" w:cs="Arial Regular"/>
              </w:rPr>
              <w:t>)</w:t>
            </w:r>
          </w:p>
          <w:p w:rsidR="00FC63CA" w:rsidRDefault="00FC63CA">
            <w:pPr>
              <w:rPr>
                <w:rFonts w:ascii="Arial Regular" w:hAnsi="Arial Regular" w:cs="Arial Regular"/>
                <w:lang w:val="id-ID"/>
              </w:rPr>
            </w:pPr>
          </w:p>
        </w:tc>
        <w:tc>
          <w:tcPr>
            <w:tcW w:w="895" w:type="pct"/>
          </w:tcPr>
          <w:p w:rsidR="00FC63CA" w:rsidRDefault="007B025A">
            <w:pPr>
              <w:rPr>
                <w:rFonts w:ascii="Arial Regular" w:hAnsi="Arial Regular" w:cs="Arial Regular"/>
              </w:rPr>
            </w:pPr>
            <w:r>
              <w:rPr>
                <w:rFonts w:ascii="Arial Regular" w:hAnsi="Arial Regular" w:cs="Arial Regular"/>
                <w:i/>
                <w:iCs/>
              </w:rPr>
              <w:t>Return on Asset</w:t>
            </w:r>
            <w:r>
              <w:rPr>
                <w:rFonts w:ascii="Arial Regular" w:hAnsi="Arial Regular" w:cs="Arial Regular"/>
              </w:rPr>
              <w:t>, Economic Dimension, Environmental Dimension, Social Dimension</w:t>
            </w:r>
          </w:p>
        </w:tc>
        <w:tc>
          <w:tcPr>
            <w:tcW w:w="1138" w:type="pct"/>
          </w:tcPr>
          <w:p w:rsidR="00FC63CA" w:rsidRDefault="007B025A">
            <w:pPr>
              <w:rPr>
                <w:rFonts w:ascii="Arial Regular" w:hAnsi="Arial Regular" w:cs="Arial Regular"/>
              </w:rPr>
            </w:pPr>
            <w:r>
              <w:rPr>
                <w:rFonts w:ascii="Arial Regular" w:hAnsi="Arial Regular"/>
              </w:rPr>
              <w:t>Purposive sampling is used, and data analysis in quantitative research is done using EViews 12. This study included a total population</w:t>
            </w:r>
            <w:r>
              <w:rPr>
                <w:rFonts w:ascii="Arial Regular" w:hAnsi="Arial Regular"/>
              </w:rPr>
              <w:t xml:space="preserve"> of 63 companies, and six of them were used as research samples during a five-year period, for a total sample size of 30.</w:t>
            </w:r>
          </w:p>
        </w:tc>
        <w:tc>
          <w:tcPr>
            <w:tcW w:w="1381" w:type="pct"/>
            <w:shd w:val="clear" w:color="auto" w:fill="auto"/>
          </w:tcPr>
          <w:p w:rsidR="00FC63CA" w:rsidRDefault="007B025A">
            <w:pPr>
              <w:rPr>
                <w:rFonts w:ascii="Arial Regular" w:hAnsi="Arial Regular" w:cs="Arial Regular"/>
              </w:rPr>
            </w:pPr>
            <w:r>
              <w:rPr>
                <w:rFonts w:ascii="Arial Regular" w:hAnsi="Arial Regular"/>
              </w:rPr>
              <w:t>The economic dimension has a significant effect on financial performance with a probability value of 0.0013, while the opposite is tru</w:t>
            </w:r>
            <w:r>
              <w:rPr>
                <w:rFonts w:ascii="Arial Regular" w:hAnsi="Arial Regular"/>
              </w:rPr>
              <w:t>e for the environmental and social dimensions with probability values of 0.8142 and 0.2550, respectively, which is greater than the significance value of 0.005. When considered simultaneously, all dimensions of the sustainability report have an effect with</w:t>
            </w:r>
            <w:r>
              <w:rPr>
                <w:rFonts w:ascii="Arial Regular" w:hAnsi="Arial Regular"/>
              </w:rPr>
              <w:t xml:space="preserve"> a probability value (F statistic) of 0.00, which is less than the significance value of 0.05.</w:t>
            </w:r>
          </w:p>
        </w:tc>
      </w:tr>
      <w:tr w:rsidR="00FC63CA">
        <w:trPr>
          <w:jc w:val="center"/>
        </w:trPr>
        <w:tc>
          <w:tcPr>
            <w:tcW w:w="316" w:type="pct"/>
          </w:tcPr>
          <w:p w:rsidR="00FC63CA" w:rsidRDefault="007B025A">
            <w:pPr>
              <w:jc w:val="center"/>
              <w:rPr>
                <w:rFonts w:ascii="Arial Regular" w:hAnsi="Arial Regular" w:cs="Arial Regular"/>
              </w:rPr>
            </w:pPr>
            <w:r>
              <w:rPr>
                <w:rFonts w:ascii="Arial Regular" w:hAnsi="Arial Regular" w:cs="Arial Regular"/>
              </w:rPr>
              <w:t>2</w:t>
            </w:r>
          </w:p>
        </w:tc>
        <w:tc>
          <w:tcPr>
            <w:tcW w:w="1268" w:type="pct"/>
            <w:shd w:val="clear" w:color="auto" w:fill="auto"/>
          </w:tcPr>
          <w:p w:rsidR="00FC63CA" w:rsidRDefault="007B025A">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The Effect of </w:t>
            </w:r>
            <w:r>
              <w:rPr>
                <w:rFonts w:ascii="Arial Regular" w:hAnsi="Arial Regular" w:cs="Arial Regular"/>
                <w:i/>
                <w:iCs/>
                <w:sz w:val="20"/>
                <w:szCs w:val="20"/>
              </w:rPr>
              <w:t xml:space="preserve">Benchmarking </w:t>
            </w:r>
            <w:r>
              <w:rPr>
                <w:rFonts w:ascii="Arial Regular" w:hAnsi="Arial Regular" w:cs="Arial Regular"/>
                <w:sz w:val="20"/>
                <w:szCs w:val="20"/>
              </w:rPr>
              <w:t xml:space="preserve">Ratios on Tax Avoidance in Miscellaneous Industry Sector Companies Listed on the IDX in 2018-2021 </w:t>
            </w:r>
          </w:p>
          <w:p w:rsidR="00FC63CA" w:rsidRDefault="007B025A">
            <w:pPr>
              <w:pStyle w:val="NormalWeb"/>
              <w:spacing w:beforeAutospacing="0" w:afterAutospacing="0"/>
              <w:rPr>
                <w:rFonts w:ascii="Arial Regular" w:hAnsi="Arial Regular" w:cs="Arial Regular"/>
                <w:sz w:val="20"/>
                <w:szCs w:val="20"/>
                <w:lang w:val="sv-SE"/>
              </w:rPr>
            </w:pPr>
            <w:r>
              <w:rPr>
                <w:rFonts w:ascii="Arial Regular" w:hAnsi="Arial Regular" w:cs="Arial Regular"/>
                <w:sz w:val="20"/>
                <w:szCs w:val="20"/>
                <w:lang w:val="sv-SE"/>
              </w:rPr>
              <w:t>(</w:t>
            </w:r>
            <w:r>
              <w:rPr>
                <w:rFonts w:ascii="Arial Regular" w:hAnsi="Arial Regular" w:cs="Arial Regular"/>
                <w:sz w:val="20"/>
                <w:szCs w:val="20"/>
                <w:lang w:val="sv-SE" w:bidi="ar"/>
              </w:rPr>
              <w:t xml:space="preserve">Utomo </w:t>
            </w:r>
            <w:r>
              <w:rPr>
                <w:rFonts w:ascii="Arial Regular" w:hAnsi="Arial Regular" w:cs="Arial Regular"/>
                <w:sz w:val="20"/>
                <w:szCs w:val="20"/>
                <w:lang w:bidi="ar"/>
              </w:rPr>
              <w:t xml:space="preserve">and </w:t>
            </w:r>
            <w:r>
              <w:rPr>
                <w:rFonts w:ascii="Arial Regular" w:hAnsi="Arial Regular" w:cs="Arial Regular"/>
                <w:sz w:val="20"/>
                <w:szCs w:val="20"/>
                <w:lang w:val="sv-SE" w:bidi="ar"/>
              </w:rPr>
              <w:t xml:space="preserve">  Handayani</w:t>
            </w:r>
            <w:r>
              <w:rPr>
                <w:rFonts w:ascii="Arial Regular" w:eastAsia="Helvetica" w:hAnsi="Arial Regular" w:cs="Arial Regular"/>
                <w:sz w:val="20"/>
                <w:szCs w:val="20"/>
                <w:lang w:val="sv-SE" w:bidi="ar"/>
              </w:rPr>
              <w:t xml:space="preserve">, 2024) </w:t>
            </w:r>
          </w:p>
          <w:p w:rsidR="00FC63CA" w:rsidRDefault="00FC63CA">
            <w:pPr>
              <w:rPr>
                <w:rFonts w:ascii="Arial Regular" w:hAnsi="Arial Regular" w:cs="Arial Regular"/>
                <w:lang w:val="sv-SE"/>
              </w:rPr>
            </w:pPr>
          </w:p>
        </w:tc>
        <w:tc>
          <w:tcPr>
            <w:tcW w:w="895" w:type="pct"/>
          </w:tcPr>
          <w:p w:rsidR="00FC63CA" w:rsidRDefault="007B025A">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Benchmarking ratio </w:t>
            </w:r>
          </w:p>
          <w:p w:rsidR="00FC63CA" w:rsidRDefault="007B025A">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Tax avoidance </w:t>
            </w:r>
          </w:p>
          <w:p w:rsidR="00FC63CA" w:rsidRDefault="007B025A">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sz w:val="20"/>
                <w:szCs w:val="20"/>
                <w:lang w:bidi="ar"/>
              </w:rPr>
              <w:t>(</w:t>
            </w:r>
            <w:r>
              <w:rPr>
                <w:rFonts w:ascii="Arial Regular" w:eastAsia="Helvetica" w:hAnsi="Arial Regular" w:cs="Arial Regular"/>
                <w:i/>
                <w:iCs/>
                <w:sz w:val="20"/>
                <w:szCs w:val="20"/>
                <w:lang w:bidi="ar"/>
              </w:rPr>
              <w:t xml:space="preserve">Cash </w:t>
            </w:r>
            <w:r>
              <w:rPr>
                <w:rFonts w:ascii="Arial Regular" w:eastAsia="Helvetica" w:hAnsi="Arial Regular" w:cs="Arial Regular"/>
                <w:i/>
                <w:iCs/>
                <w:sz w:val="20"/>
                <w:szCs w:val="20"/>
              </w:rPr>
              <w:t xml:space="preserve">effective tax </w:t>
            </w:r>
          </w:p>
          <w:p w:rsidR="00FC63CA" w:rsidRDefault="007B025A">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i/>
                <w:iCs/>
                <w:sz w:val="20"/>
                <w:szCs w:val="20"/>
              </w:rPr>
              <w:t>rate)</w:t>
            </w:r>
          </w:p>
          <w:p w:rsidR="00FC63CA" w:rsidRDefault="00FC63CA">
            <w:pPr>
              <w:pStyle w:val="NormalWeb"/>
              <w:spacing w:beforeAutospacing="0" w:afterAutospacing="0"/>
              <w:rPr>
                <w:rFonts w:ascii="Arial Regular" w:eastAsia="Helvetica" w:hAnsi="Arial Regular" w:cs="Arial Regular"/>
                <w:sz w:val="20"/>
                <w:szCs w:val="20"/>
                <w:lang w:bidi="ar"/>
              </w:rPr>
            </w:pPr>
          </w:p>
          <w:tbl>
            <w:tblPr>
              <w:tblW w:w="0" w:type="auto"/>
              <w:tblLayout w:type="fixed"/>
              <w:tblCellMar>
                <w:left w:w="0" w:type="dxa"/>
                <w:right w:w="0" w:type="dxa"/>
              </w:tblCellMar>
              <w:tblLook w:val="04A0" w:firstRow="1" w:lastRow="0" w:firstColumn="1" w:lastColumn="0" w:noHBand="0" w:noVBand="1"/>
            </w:tblPr>
            <w:tblGrid>
              <w:gridCol w:w="8640"/>
            </w:tblGrid>
            <w:tr w:rsidR="00FC63CA">
              <w:tc>
                <w:tcPr>
                  <w:tcW w:w="8640" w:type="dxa"/>
                  <w:shd w:val="clear" w:color="auto" w:fill="auto"/>
                  <w:tcMar>
                    <w:left w:w="100" w:type="dxa"/>
                    <w:right w:w="100" w:type="dxa"/>
                  </w:tcMar>
                </w:tcPr>
                <w:p w:rsidR="00FC63CA" w:rsidRDefault="00FC63CA">
                  <w:pPr>
                    <w:pStyle w:val="NormalWeb"/>
                    <w:spacing w:beforeAutospacing="0" w:afterAutospacing="0"/>
                    <w:ind w:leftChars="-100" w:hangingChars="100" w:hanging="200"/>
                    <w:rPr>
                      <w:rFonts w:ascii="Arial Regular" w:eastAsia="Helvetica" w:hAnsi="Arial Regular" w:cs="Arial Regular"/>
                      <w:sz w:val="20"/>
                      <w:szCs w:val="20"/>
                      <w:lang w:bidi="ar"/>
                    </w:rPr>
                  </w:pPr>
                </w:p>
                <w:p w:rsidR="00FC63CA" w:rsidRDefault="00FC63CA">
                  <w:pPr>
                    <w:pStyle w:val="NormalWeb"/>
                    <w:spacing w:beforeAutospacing="0" w:afterAutospacing="0"/>
                    <w:rPr>
                      <w:rFonts w:ascii="Arial Regular" w:hAnsi="Arial Regular" w:cs="Arial Regular"/>
                      <w:sz w:val="20"/>
                      <w:szCs w:val="20"/>
                    </w:rPr>
                  </w:pPr>
                </w:p>
              </w:tc>
            </w:tr>
          </w:tbl>
          <w:p w:rsidR="00FC63CA" w:rsidRDefault="00FC63CA">
            <w:pPr>
              <w:rPr>
                <w:rFonts w:ascii="Arial Regular" w:hAnsi="Arial Regular" w:cs="Arial Regular"/>
              </w:rPr>
            </w:pPr>
          </w:p>
        </w:tc>
        <w:tc>
          <w:tcPr>
            <w:tcW w:w="1138" w:type="pct"/>
            <w:shd w:val="clear" w:color="auto" w:fill="auto"/>
          </w:tcPr>
          <w:p w:rsidR="00FC63CA" w:rsidRDefault="007B025A">
            <w:pPr>
              <w:pStyle w:val="NormalWeb"/>
              <w:spacing w:beforeAutospacing="0" w:afterAutospacing="0"/>
              <w:rPr>
                <w:rFonts w:ascii="Arial Regular" w:hAnsi="Arial Regular" w:cs="Arial Regular"/>
                <w:sz w:val="20"/>
                <w:szCs w:val="20"/>
              </w:rPr>
            </w:pPr>
            <w:r>
              <w:rPr>
                <w:rFonts w:ascii="Arial Regular" w:hAnsi="Arial Regular"/>
                <w:sz w:val="20"/>
                <w:szCs w:val="20"/>
              </w:rPr>
              <w:t xml:space="preserve">The research technique employs a quantitative approach with secondary data from companies in various industrial sectors listed on the Indonesia Stock Exchange between 2018 and 2021; the </w:t>
            </w:r>
            <w:r>
              <w:rPr>
                <w:rFonts w:ascii="Arial Regular" w:hAnsi="Arial Regular"/>
                <w:sz w:val="20"/>
                <w:szCs w:val="20"/>
              </w:rPr>
              <w:t>total number of population members is 63. The purposive sampling technique is used, with 80 financial reports as the sample.</w:t>
            </w:r>
          </w:p>
        </w:tc>
        <w:tc>
          <w:tcPr>
            <w:tcW w:w="1381" w:type="pct"/>
            <w:shd w:val="clear" w:color="auto" w:fill="auto"/>
          </w:tcPr>
          <w:p w:rsidR="00FC63CA" w:rsidRDefault="007B025A">
            <w:pPr>
              <w:rPr>
                <w:rFonts w:ascii="Arial Regular" w:hAnsi="Arial Regular" w:cs="Arial Regular"/>
              </w:rPr>
            </w:pPr>
            <w:r>
              <w:rPr>
                <w:rFonts w:ascii="Arial Regular" w:hAnsi="Arial Regular"/>
              </w:rPr>
              <w:t>Several variables, according to the report, have a major impact on tax avoidance. Operating profit margin (OPM), interest/sales rat</w:t>
            </w:r>
            <w:r>
              <w:rPr>
                <w:rFonts w:ascii="Arial Regular" w:hAnsi="Arial Regular"/>
              </w:rPr>
              <w:t>io, outside income/sales ratio, and outside expenses/sales ratio are among the variables examined. These variables have significance levels below 0.05, suggesting statistical significance. However, a number of characteristics have no bearing on tax evasion</w:t>
            </w:r>
            <w:r>
              <w:rPr>
                <w:rFonts w:ascii="Arial Regular" w:hAnsi="Arial Regular"/>
              </w:rPr>
              <w:t xml:space="preserve">. Gross profit margin (GPM), pretax profit margin (PPM), corporation tax to </w:t>
            </w:r>
            <w:r>
              <w:rPr>
                <w:rFonts w:ascii="Arial Regular" w:hAnsi="Arial Regular"/>
              </w:rPr>
              <w:lastRenderedPageBreak/>
              <w:t>turnover ratio (CTTOR), net profit margin (NPM), salary/sales ratio, rent/sales ratio, depreciation/sales ratio, ratio of outside business expenses/sales, and ratio of other inputs</w:t>
            </w:r>
            <w:r>
              <w:rPr>
                <w:rFonts w:ascii="Arial Regular" w:hAnsi="Arial Regular"/>
              </w:rPr>
              <w:t>/sales are all examples. The significance values of these factors are greater than 0.05, indicating that they have no significant impact on tax evasion.</w:t>
            </w:r>
          </w:p>
        </w:tc>
      </w:tr>
      <w:tr w:rsidR="00FC63CA">
        <w:trPr>
          <w:jc w:val="center"/>
        </w:trPr>
        <w:tc>
          <w:tcPr>
            <w:tcW w:w="316" w:type="pct"/>
            <w:shd w:val="clear" w:color="auto" w:fill="auto"/>
          </w:tcPr>
          <w:p w:rsidR="00FC63CA" w:rsidRDefault="007B025A">
            <w:pPr>
              <w:rPr>
                <w:rFonts w:ascii="Arial Regular" w:hAnsi="Arial Regular" w:cs="Arial Regular"/>
              </w:rPr>
            </w:pPr>
            <w:r>
              <w:rPr>
                <w:rFonts w:ascii="Arial Regular" w:hAnsi="Arial Regular" w:cs="Arial Regular"/>
              </w:rPr>
              <w:lastRenderedPageBreak/>
              <w:t>3</w:t>
            </w:r>
          </w:p>
        </w:tc>
        <w:tc>
          <w:tcPr>
            <w:tcW w:w="1268" w:type="pct"/>
            <w:shd w:val="clear" w:color="auto" w:fill="auto"/>
          </w:tcPr>
          <w:p w:rsidR="00FC63CA" w:rsidRDefault="007B025A">
            <w:pPr>
              <w:rPr>
                <w:rFonts w:ascii="Arial Regular" w:hAnsi="Arial Regular" w:cs="Arial Regular"/>
                <w:i/>
                <w:iCs/>
              </w:rPr>
            </w:pPr>
            <w:r>
              <w:rPr>
                <w:rFonts w:ascii="Arial Regular" w:hAnsi="Arial Regular" w:cs="Arial Regular"/>
                <w:i/>
                <w:iCs/>
              </w:rPr>
              <w:t>Analysis of sustainability reporting quality and</w:t>
            </w:r>
          </w:p>
          <w:p w:rsidR="00FC63CA" w:rsidRDefault="007B025A">
            <w:pPr>
              <w:rPr>
                <w:rFonts w:ascii="Arial Regular" w:hAnsi="Arial Regular" w:cs="Arial Regular"/>
                <w:i/>
                <w:iCs/>
              </w:rPr>
            </w:pPr>
            <w:r>
              <w:rPr>
                <w:rFonts w:ascii="Arial Regular" w:hAnsi="Arial Regular" w:cs="Arial Regular"/>
                <w:i/>
                <w:iCs/>
              </w:rPr>
              <w:t xml:space="preserve">corporate social responsibility on companies listed on the </w:t>
            </w:r>
          </w:p>
          <w:p w:rsidR="00FC63CA" w:rsidRDefault="007B025A">
            <w:pPr>
              <w:rPr>
                <w:rFonts w:ascii="Arial Regular" w:hAnsi="Arial Regular" w:cs="Arial Regular"/>
                <w:i/>
                <w:iCs/>
              </w:rPr>
            </w:pPr>
            <w:r>
              <w:rPr>
                <w:rFonts w:ascii="Arial Regular" w:hAnsi="Arial Regular" w:cs="Arial Regular"/>
                <w:i/>
                <w:iCs/>
              </w:rPr>
              <w:t>Indonesia stock exchange</w:t>
            </w:r>
          </w:p>
          <w:p w:rsidR="00FC63CA" w:rsidRDefault="007B025A">
            <w:pPr>
              <w:shd w:val="clear" w:color="auto" w:fill="F79646" w:themeFill="accent6"/>
              <w:rPr>
                <w:rFonts w:ascii="Arial Regular" w:hAnsi="Arial Regular" w:cs="Arial Regular"/>
                <w:i/>
                <w:iCs/>
              </w:rPr>
            </w:pPr>
            <w:r>
              <w:rPr>
                <w:rFonts w:ascii="Arial Regular" w:hAnsi="Arial Regular" w:cs="Arial Regular"/>
                <w:i/>
                <w:iCs/>
              </w:rPr>
              <w:t>(Sebrina, et.al, 2023)</w:t>
            </w:r>
          </w:p>
          <w:p w:rsidR="00FC63CA" w:rsidRDefault="00FC63CA">
            <w:pPr>
              <w:rPr>
                <w:rFonts w:ascii="Arial Regular" w:hAnsi="Arial Regular" w:cs="Arial Regular"/>
                <w:i/>
                <w:iCs/>
              </w:rPr>
            </w:pPr>
          </w:p>
        </w:tc>
        <w:tc>
          <w:tcPr>
            <w:tcW w:w="895" w:type="pct"/>
            <w:shd w:val="clear" w:color="auto" w:fill="auto"/>
          </w:tcPr>
          <w:p w:rsidR="00FC63CA" w:rsidRDefault="007B025A">
            <w:pPr>
              <w:rPr>
                <w:rFonts w:ascii="Arial Regular" w:hAnsi="Arial Regular" w:cs="Arial Regular"/>
                <w:i/>
                <w:iCs/>
              </w:rPr>
            </w:pPr>
            <w:r>
              <w:rPr>
                <w:rFonts w:ascii="Arial Regular" w:hAnsi="Arial Regular" w:cs="Arial Regular"/>
                <w:i/>
                <w:iCs/>
              </w:rPr>
              <w:t>Corporate social responsibility, integrated reporting and Sustainability reporting.</w:t>
            </w:r>
          </w:p>
        </w:tc>
        <w:tc>
          <w:tcPr>
            <w:tcW w:w="1138" w:type="pct"/>
            <w:shd w:val="clear" w:color="auto" w:fill="auto"/>
          </w:tcPr>
          <w:p w:rsidR="00FC63CA" w:rsidRDefault="007B025A">
            <w:pPr>
              <w:rPr>
                <w:rFonts w:ascii="Arial Regular" w:hAnsi="Arial Regular" w:cs="Arial Regular"/>
                <w:i/>
                <w:iCs/>
              </w:rPr>
            </w:pPr>
            <w:r>
              <w:rPr>
                <w:rFonts w:ascii="Arial Regular" w:hAnsi="Arial Regular"/>
                <w:i/>
                <w:iCs/>
              </w:rPr>
              <w:t>Exploratory research involving quantitative analysis was undert</w:t>
            </w:r>
            <w:r>
              <w:rPr>
                <w:rFonts w:ascii="Arial Regular" w:hAnsi="Arial Regular"/>
                <w:i/>
                <w:iCs/>
              </w:rPr>
              <w:t>aken to assess the diffusion level of non-financial reporting and the quality of sustainable reporting (also known as 'sustainability reporting') on companies listed on the Indonesia Stock Exchange from 2016 to 2019. The data was sourced from annual and su</w:t>
            </w:r>
            <w:r>
              <w:rPr>
                <w:rFonts w:ascii="Arial Regular" w:hAnsi="Arial Regular"/>
                <w:i/>
                <w:iCs/>
              </w:rPr>
              <w:t>stainability reports. The total population comprised 713 companies, and a sample of about 240 sustainability reports was selected for analysis.</w:t>
            </w:r>
          </w:p>
        </w:tc>
        <w:tc>
          <w:tcPr>
            <w:tcW w:w="1381" w:type="pct"/>
            <w:shd w:val="clear" w:color="auto" w:fill="auto"/>
          </w:tcPr>
          <w:p w:rsidR="00FC63CA" w:rsidRDefault="007B025A">
            <w:pPr>
              <w:rPr>
                <w:rFonts w:ascii="Arial Regular" w:hAnsi="Arial Regular" w:cs="Arial Regular"/>
                <w:i/>
                <w:iCs/>
              </w:rPr>
            </w:pPr>
            <w:r>
              <w:rPr>
                <w:rFonts w:ascii="Arial Regular" w:hAnsi="Arial Regular"/>
                <w:i/>
                <w:iCs/>
              </w:rPr>
              <w:t>Over the last five years (2015-2019), the distribution of sustainable reports has expanded dramatically, going f</w:t>
            </w:r>
            <w:r>
              <w:rPr>
                <w:rFonts w:ascii="Arial Regular" w:hAnsi="Arial Regular"/>
                <w:i/>
                <w:iCs/>
              </w:rPr>
              <w:t>rom 7.2% of public businesses in 2015 to 13.1% by 2019. In 2019, the content analysis of sustainable information was clearly focused on the triple bottom line, specifically the economic, which received the highest disclosure item on the sustainability repo</w:t>
            </w:r>
            <w:r>
              <w:rPr>
                <w:rFonts w:ascii="Arial Regular" w:hAnsi="Arial Regular"/>
                <w:i/>
                <w:iCs/>
              </w:rPr>
              <w:t>rt, scoring 91%. The environmental dimension garnered a 31% score, while the social dimension obtained 32%. The economic dimension's disclosure averaged 0.33, or 33%, of the total elements required to be declared in 2019</w:t>
            </w:r>
            <w:r>
              <w:rPr>
                <w:rFonts w:ascii="Arial Regular" w:hAnsi="Arial Regular" w:cs="Arial Regular"/>
                <w:i/>
                <w:iCs/>
              </w:rPr>
              <w:t xml:space="preserve">. </w:t>
            </w:r>
          </w:p>
        </w:tc>
      </w:tr>
      <w:tr w:rsidR="00FC63CA">
        <w:trPr>
          <w:jc w:val="center"/>
        </w:trPr>
        <w:tc>
          <w:tcPr>
            <w:tcW w:w="316" w:type="pct"/>
          </w:tcPr>
          <w:p w:rsidR="00FC63CA" w:rsidRDefault="007B025A">
            <w:pPr>
              <w:rPr>
                <w:rFonts w:ascii="Arial Regular" w:hAnsi="Arial Regular" w:cs="Arial Regular"/>
              </w:rPr>
            </w:pPr>
            <w:r>
              <w:rPr>
                <w:rFonts w:ascii="Arial Regular" w:hAnsi="Arial Regular" w:cs="Arial Regular"/>
              </w:rPr>
              <w:t>4</w:t>
            </w:r>
          </w:p>
        </w:tc>
        <w:tc>
          <w:tcPr>
            <w:tcW w:w="1268" w:type="pct"/>
            <w:shd w:val="clear" w:color="auto" w:fill="auto"/>
          </w:tcPr>
          <w:p w:rsidR="00FC63CA" w:rsidRDefault="007B025A">
            <w:pPr>
              <w:rPr>
                <w:rFonts w:ascii="Arial Regular" w:hAnsi="Arial Regular" w:cs="Arial Regular"/>
                <w:i/>
                <w:iCs/>
              </w:rPr>
            </w:pPr>
            <w:r>
              <w:rPr>
                <w:rFonts w:ascii="Arial Regular" w:hAnsi="Arial Regular" w:cs="Arial Regular"/>
                <w:i/>
                <w:iCs/>
              </w:rPr>
              <w:t xml:space="preserve">Sustainability Reporting and Tax Aggressiveness Before and Suring Covid -19: GCG </w:t>
            </w:r>
            <w:r>
              <w:rPr>
                <w:rFonts w:ascii="Arial Regular" w:hAnsi="Arial Regular" w:cs="Arial Regular"/>
                <w:i/>
                <w:iCs/>
              </w:rPr>
              <w:lastRenderedPageBreak/>
              <w:t>Moderating Variable.</w:t>
            </w:r>
          </w:p>
          <w:p w:rsidR="00FC63CA" w:rsidRDefault="007B025A">
            <w:pPr>
              <w:rPr>
                <w:rFonts w:ascii="Arial Regular" w:hAnsi="Arial Regular" w:cs="Arial Regular"/>
                <w:i/>
                <w:iCs/>
                <w:lang w:val="sv-SE"/>
              </w:rPr>
            </w:pPr>
            <w:r>
              <w:rPr>
                <w:rFonts w:ascii="Arial Regular" w:hAnsi="Arial Regular" w:cs="Arial Regular"/>
                <w:shd w:val="clear" w:color="auto" w:fill="F79646" w:themeFill="accent6"/>
                <w:lang w:val="sv-SE"/>
              </w:rPr>
              <w:t>(Triwacananingrum</w:t>
            </w:r>
            <w:r>
              <w:rPr>
                <w:rFonts w:ascii="Arial Regular" w:hAnsi="Arial Regular" w:cs="Arial Regular"/>
                <w:shd w:val="clear" w:color="auto" w:fill="F79646" w:themeFill="accent6"/>
              </w:rPr>
              <w:t xml:space="preserve"> and </w:t>
            </w:r>
            <w:r>
              <w:rPr>
                <w:rFonts w:ascii="Arial Regular" w:hAnsi="Arial Regular" w:cs="Arial Regular"/>
                <w:shd w:val="clear" w:color="auto" w:fill="F79646" w:themeFill="accent6"/>
                <w:lang w:val="sv-SE"/>
              </w:rPr>
              <w:t xml:space="preserve"> Wijaya, 2022)</w:t>
            </w:r>
          </w:p>
        </w:tc>
        <w:tc>
          <w:tcPr>
            <w:tcW w:w="895" w:type="pct"/>
          </w:tcPr>
          <w:p w:rsidR="00FC63CA" w:rsidRDefault="007B025A">
            <w:pPr>
              <w:rPr>
                <w:rFonts w:ascii="Arial Regular" w:hAnsi="Arial Regular" w:cs="Arial Regular"/>
                <w:i/>
                <w:iCs/>
              </w:rPr>
            </w:pPr>
            <w:r>
              <w:rPr>
                <w:rFonts w:ascii="Arial Regular" w:hAnsi="Arial Regular" w:cs="Arial Regular"/>
                <w:i/>
                <w:iCs/>
              </w:rPr>
              <w:lastRenderedPageBreak/>
              <w:t xml:space="preserve">Tax avoidance, sustainability report, corporate </w:t>
            </w:r>
            <w:r>
              <w:rPr>
                <w:rFonts w:ascii="Arial Regular" w:hAnsi="Arial Regular" w:cs="Arial Regular"/>
                <w:i/>
                <w:iCs/>
              </w:rPr>
              <w:lastRenderedPageBreak/>
              <w:t>governance on firm value: Leverage</w:t>
            </w:r>
          </w:p>
        </w:tc>
        <w:tc>
          <w:tcPr>
            <w:tcW w:w="1138" w:type="pct"/>
          </w:tcPr>
          <w:p w:rsidR="00FC63CA" w:rsidRDefault="007B025A">
            <w:pPr>
              <w:rPr>
                <w:rFonts w:ascii="Arial Regular" w:hAnsi="Arial Regular" w:cs="Arial Regular"/>
                <w:i/>
                <w:iCs/>
                <w:lang w:eastAsia="zh-CN"/>
              </w:rPr>
            </w:pPr>
            <w:r>
              <w:rPr>
                <w:rFonts w:ascii="Arial Regular" w:hAnsi="Arial Regular"/>
                <w:i/>
                <w:iCs/>
                <w:lang w:eastAsia="zh-CN"/>
              </w:rPr>
              <w:lastRenderedPageBreak/>
              <w:t>A multiple linear regression analy</w:t>
            </w:r>
            <w:r>
              <w:rPr>
                <w:rFonts w:ascii="Arial Regular" w:hAnsi="Arial Regular"/>
                <w:i/>
                <w:iCs/>
                <w:lang w:eastAsia="zh-CN"/>
              </w:rPr>
              <w:t xml:space="preserve">tical approach was employed on 100 </w:t>
            </w:r>
            <w:r>
              <w:rPr>
                <w:rFonts w:ascii="Arial Regular" w:hAnsi="Arial Regular"/>
                <w:i/>
                <w:iCs/>
                <w:lang w:eastAsia="zh-CN"/>
              </w:rPr>
              <w:lastRenderedPageBreak/>
              <w:t>businesses listed on the Indonesia Stock Exchange (IDX) from 2019 to 2020 as the research object, including financial and non-financial data acquired from fiscal statements, sustainability reports, and annual reports.</w:t>
            </w:r>
          </w:p>
        </w:tc>
        <w:tc>
          <w:tcPr>
            <w:tcW w:w="1381" w:type="pct"/>
            <w:shd w:val="clear" w:color="auto" w:fill="auto"/>
          </w:tcPr>
          <w:p w:rsidR="00FC63CA" w:rsidRDefault="007B025A">
            <w:pPr>
              <w:rPr>
                <w:rFonts w:ascii="Arial Regular" w:hAnsi="Arial Regular" w:cs="Arial Regular"/>
                <w:i/>
                <w:iCs/>
                <w:lang w:eastAsia="zh-CN"/>
              </w:rPr>
            </w:pPr>
            <w:r>
              <w:rPr>
                <w:rFonts w:ascii="Arial Regular" w:hAnsi="Arial Regular"/>
                <w:i/>
                <w:iCs/>
                <w:lang w:eastAsia="zh-CN"/>
              </w:rPr>
              <w:lastRenderedPageBreak/>
              <w:t>COV</w:t>
            </w:r>
            <w:r>
              <w:rPr>
                <w:rFonts w:ascii="Arial Regular" w:hAnsi="Arial Regular"/>
                <w:i/>
                <w:iCs/>
                <w:lang w:eastAsia="zh-CN"/>
              </w:rPr>
              <w:t xml:space="preserve">ID-19 has no effect on the relationship between disclosures in sustainability reports </w:t>
            </w:r>
            <w:r>
              <w:rPr>
                <w:rFonts w:ascii="Arial Regular" w:hAnsi="Arial Regular"/>
                <w:i/>
                <w:iCs/>
                <w:lang w:eastAsia="zh-CN"/>
              </w:rPr>
              <w:lastRenderedPageBreak/>
              <w:t xml:space="preserve">and tax aggressiveness. This is supported by a significance level of 0.248, and COVID-19 has no incremental effect on good corporate governance in terms of strengthening </w:t>
            </w:r>
            <w:r>
              <w:rPr>
                <w:rFonts w:ascii="Arial Regular" w:hAnsi="Arial Regular"/>
                <w:i/>
                <w:iCs/>
                <w:lang w:eastAsia="zh-CN"/>
              </w:rPr>
              <w:t>the negative association with sustainability. Report disclosures on tax aggression with a significance level of 0.271, demonstrating that the obtained value exceeds 0.05.</w:t>
            </w:r>
          </w:p>
        </w:tc>
      </w:tr>
      <w:tr w:rsidR="00FC63CA">
        <w:trPr>
          <w:jc w:val="center"/>
        </w:trPr>
        <w:tc>
          <w:tcPr>
            <w:tcW w:w="316" w:type="pct"/>
          </w:tcPr>
          <w:p w:rsidR="00FC63CA" w:rsidRDefault="007B025A">
            <w:pPr>
              <w:rPr>
                <w:rFonts w:ascii="Arial Regular" w:hAnsi="Arial Regular" w:cs="Arial Regular"/>
              </w:rPr>
            </w:pPr>
            <w:r>
              <w:rPr>
                <w:rFonts w:ascii="Arial Regular" w:hAnsi="Arial Regular" w:cs="Arial Regular"/>
              </w:rPr>
              <w:lastRenderedPageBreak/>
              <w:t>5</w:t>
            </w:r>
          </w:p>
        </w:tc>
        <w:tc>
          <w:tcPr>
            <w:tcW w:w="1268" w:type="pct"/>
          </w:tcPr>
          <w:p w:rsidR="00FC63CA" w:rsidRDefault="007B025A">
            <w:pPr>
              <w:rPr>
                <w:rFonts w:ascii="Arial Regular" w:hAnsi="Arial Regular" w:cs="Arial Regular"/>
                <w:i/>
              </w:rPr>
            </w:pPr>
            <w:r>
              <w:rPr>
                <w:rFonts w:ascii="Arial Regular" w:hAnsi="Arial Regular" w:cs="Arial Regular"/>
                <w:i/>
              </w:rPr>
              <w:t>The role of sustainability reporting in shareholder perception of tax avoidance</w:t>
            </w:r>
          </w:p>
          <w:p w:rsidR="00FC63CA" w:rsidRDefault="007B025A">
            <w:pPr>
              <w:rPr>
                <w:rFonts w:ascii="Arial Regular" w:hAnsi="Arial Regular" w:cs="Arial Regular"/>
                <w:i/>
                <w:iCs/>
                <w:shd w:val="clear" w:color="auto" w:fill="FFFF00"/>
              </w:rPr>
            </w:pPr>
            <w:r>
              <w:rPr>
                <w:rFonts w:ascii="Arial Regular" w:hAnsi="Arial Regular" w:cs="Arial Regular"/>
                <w:iCs/>
                <w:shd w:val="clear" w:color="auto" w:fill="F79646" w:themeFill="accent6"/>
              </w:rPr>
              <w:t>(</w:t>
            </w:r>
            <w:proofErr w:type="spellStart"/>
            <w:r>
              <w:rPr>
                <w:rFonts w:ascii="Arial Regular" w:hAnsi="Arial Regular" w:cs="Arial Regular"/>
                <w:iCs/>
                <w:shd w:val="clear" w:color="auto" w:fill="F79646" w:themeFill="accent6"/>
              </w:rPr>
              <w:t>Rudyanto</w:t>
            </w:r>
            <w:proofErr w:type="spellEnd"/>
            <w:r>
              <w:rPr>
                <w:rFonts w:ascii="Arial Regular" w:hAnsi="Arial Regular" w:cs="Arial Regular"/>
                <w:iCs/>
                <w:shd w:val="clear" w:color="auto" w:fill="F79646" w:themeFill="accent6"/>
              </w:rPr>
              <w:t xml:space="preserve"> and Pirzada, K. 2021)</w:t>
            </w:r>
          </w:p>
        </w:tc>
        <w:tc>
          <w:tcPr>
            <w:tcW w:w="895" w:type="pct"/>
          </w:tcPr>
          <w:p w:rsidR="00FC63CA" w:rsidRDefault="007B025A">
            <w:pPr>
              <w:rPr>
                <w:rFonts w:ascii="Arial Regular" w:hAnsi="Arial Regular" w:cs="Arial Regular"/>
                <w:i/>
                <w:iCs/>
              </w:rPr>
            </w:pPr>
            <w:r>
              <w:rPr>
                <w:rFonts w:ascii="Arial Regular" w:hAnsi="Arial Regular" w:cs="Arial Regular"/>
                <w:i/>
                <w:iCs/>
              </w:rPr>
              <w:t xml:space="preserve">Sustainability Report, Firm Value, Tax Avoidance </w:t>
            </w:r>
          </w:p>
        </w:tc>
        <w:tc>
          <w:tcPr>
            <w:tcW w:w="1138" w:type="pct"/>
          </w:tcPr>
          <w:p w:rsidR="00FC63CA" w:rsidRDefault="007B025A">
            <w:pPr>
              <w:pStyle w:val="p1"/>
            </w:pPr>
            <w:r>
              <w:rPr>
                <w:rFonts w:ascii="Arial Regular" w:hAnsi="Arial Regular"/>
                <w:i/>
                <w:iCs/>
                <w:color w:val="000000"/>
                <w:sz w:val="20"/>
                <w:szCs w:val="20"/>
              </w:rPr>
              <w:t xml:space="preserve">This research </w:t>
            </w:r>
            <w:proofErr w:type="spellStart"/>
            <w:r>
              <w:rPr>
                <w:rFonts w:ascii="Arial Regular" w:hAnsi="Arial Regular"/>
                <w:i/>
                <w:iCs/>
                <w:color w:val="000000"/>
                <w:sz w:val="20"/>
                <w:szCs w:val="20"/>
              </w:rPr>
              <w:t>utilises</w:t>
            </w:r>
            <w:proofErr w:type="spellEnd"/>
            <w:r>
              <w:rPr>
                <w:rFonts w:ascii="Arial Regular" w:hAnsi="Arial Regular"/>
                <w:i/>
                <w:iCs/>
                <w:color w:val="000000"/>
                <w:sz w:val="20"/>
                <w:szCs w:val="20"/>
              </w:rPr>
              <w:t xml:space="preserve"> the technique of moderated panel regression, with a dataset comprising 596 and 734 observations, respectively, to calculate two key rates: the cash effe</w:t>
            </w:r>
            <w:r>
              <w:rPr>
                <w:rFonts w:ascii="Arial Regular" w:hAnsi="Arial Regular"/>
                <w:i/>
                <w:iCs/>
                <w:color w:val="000000"/>
                <w:sz w:val="20"/>
                <w:szCs w:val="20"/>
              </w:rPr>
              <w:t xml:space="preserve">ctive tax rate (ETR) and the generally accepted accounting principles effective tax rate (GAAP ETR). The focus of this research is on non-financial firms, excluding firms operating in the oil and gas and property sectors, that are listed on the Indonesian </w:t>
            </w:r>
            <w:r>
              <w:rPr>
                <w:rFonts w:ascii="Arial Regular" w:hAnsi="Arial Regular"/>
                <w:i/>
                <w:iCs/>
                <w:color w:val="000000"/>
                <w:sz w:val="20"/>
                <w:szCs w:val="20"/>
              </w:rPr>
              <w:t>Stock Exchange. The period under scrutiny in this research extends from 2014 to 2016.</w:t>
            </w:r>
            <w:r>
              <w:t>The regression is</w:t>
            </w:r>
          </w:p>
          <w:p w:rsidR="00FC63CA" w:rsidRDefault="007B025A">
            <w:pPr>
              <w:pStyle w:val="p1"/>
            </w:pPr>
            <w:proofErr w:type="spellStart"/>
            <w:r>
              <w:t>analysed</w:t>
            </w:r>
            <w:proofErr w:type="spellEnd"/>
            <w:r>
              <w:t xml:space="preserve"> by STATA 14.</w:t>
            </w:r>
          </w:p>
          <w:p w:rsidR="00FC63CA" w:rsidRDefault="00FC63CA">
            <w:pPr>
              <w:pStyle w:val="NormalWeb"/>
              <w:rPr>
                <w:rFonts w:ascii="Arial Regular" w:hAnsi="Arial Regular" w:cs="Arial Regular"/>
                <w:i/>
                <w:iCs/>
                <w:color w:val="000000"/>
                <w:sz w:val="20"/>
                <w:szCs w:val="20"/>
              </w:rPr>
            </w:pPr>
          </w:p>
          <w:p w:rsidR="00FC63CA" w:rsidRDefault="00FC63CA">
            <w:pPr>
              <w:rPr>
                <w:rFonts w:ascii="Arial Regular" w:hAnsi="Arial Regular" w:cs="Arial Regular"/>
                <w:i/>
                <w:iCs/>
                <w:lang w:eastAsia="zh-CN"/>
              </w:rPr>
            </w:pPr>
          </w:p>
        </w:tc>
        <w:tc>
          <w:tcPr>
            <w:tcW w:w="1381" w:type="pct"/>
          </w:tcPr>
          <w:p w:rsidR="00FC63CA" w:rsidRDefault="007B025A">
            <w:pPr>
              <w:pStyle w:val="NormalWeb"/>
              <w:rPr>
                <w:rFonts w:ascii="Arial Regular" w:hAnsi="Arial Regular" w:cs="Arial Regular"/>
                <w:i/>
                <w:iCs/>
                <w:color w:val="000000"/>
                <w:sz w:val="20"/>
                <w:szCs w:val="20"/>
              </w:rPr>
            </w:pPr>
            <w:r>
              <w:rPr>
                <w:rFonts w:ascii="Arial Regular" w:hAnsi="Arial Regular"/>
                <w:i/>
                <w:iCs/>
                <w:color w:val="000000"/>
                <w:sz w:val="20"/>
                <w:szCs w:val="20"/>
              </w:rPr>
              <w:lastRenderedPageBreak/>
              <w:t>Since the average significant threshold is 0.1961 for cash ETR and 0.1784 for GAAP ETR, tax avoidance has no impact on business v</w:t>
            </w:r>
            <w:r>
              <w:rPr>
                <w:rFonts w:ascii="Arial Regular" w:hAnsi="Arial Regular"/>
                <w:i/>
                <w:iCs/>
                <w:color w:val="000000"/>
                <w:sz w:val="20"/>
                <w:szCs w:val="20"/>
              </w:rPr>
              <w:t>alue. This indicates that tax avoidance, both cash tax avoidance and GAAP tax avoidance (tax expense avoidance), is not a concern for Indonesian shareholders. This indicates that there is no moderating influence of sustainability reporting. Environmentally</w:t>
            </w:r>
            <w:r>
              <w:rPr>
                <w:rFonts w:ascii="Arial Regular" w:hAnsi="Arial Regular"/>
                <w:i/>
                <w:iCs/>
                <w:color w:val="000000"/>
                <w:sz w:val="20"/>
                <w:szCs w:val="20"/>
              </w:rPr>
              <w:t xml:space="preserve"> sensitive and non-environmentally sensitive industries are the two industrial classifications into which this study divides the samples. In environmentally sensitive businesses, GAAP ETR has a positive correlation with company value (score of 0.2014); in </w:t>
            </w:r>
            <w:r>
              <w:rPr>
                <w:rFonts w:ascii="Arial Regular" w:hAnsi="Arial Regular"/>
                <w:i/>
                <w:iCs/>
                <w:color w:val="000000"/>
                <w:sz w:val="20"/>
                <w:szCs w:val="20"/>
              </w:rPr>
              <w:t>non-environmentally sensitive industries, it has a negative correlation (score of -</w:t>
            </w:r>
            <w:r>
              <w:rPr>
                <w:rFonts w:ascii="Arial Regular" w:hAnsi="Arial Regular"/>
                <w:i/>
                <w:iCs/>
                <w:color w:val="000000"/>
                <w:sz w:val="20"/>
                <w:szCs w:val="20"/>
              </w:rPr>
              <w:lastRenderedPageBreak/>
              <w:t>0.023).</w:t>
            </w:r>
          </w:p>
          <w:p w:rsidR="00FC63CA" w:rsidRDefault="00FC63CA">
            <w:pPr>
              <w:rPr>
                <w:rFonts w:ascii="Arial Regular" w:hAnsi="Arial Regular" w:cs="Arial Regular"/>
                <w:i/>
                <w:iCs/>
                <w:lang w:eastAsia="zh-CN"/>
              </w:rPr>
            </w:pPr>
          </w:p>
        </w:tc>
      </w:tr>
      <w:tr w:rsidR="00FC63CA">
        <w:trPr>
          <w:jc w:val="center"/>
        </w:trPr>
        <w:tc>
          <w:tcPr>
            <w:tcW w:w="316" w:type="pct"/>
          </w:tcPr>
          <w:p w:rsidR="00FC63CA" w:rsidRDefault="007B025A">
            <w:pPr>
              <w:rPr>
                <w:rFonts w:ascii="Arial Regular" w:hAnsi="Arial Regular" w:cs="Arial Regular"/>
              </w:rPr>
            </w:pPr>
            <w:r>
              <w:rPr>
                <w:rFonts w:ascii="Arial Regular" w:hAnsi="Arial Regular" w:cs="Arial Regular"/>
              </w:rPr>
              <w:lastRenderedPageBreak/>
              <w:t>6</w:t>
            </w:r>
          </w:p>
        </w:tc>
        <w:tc>
          <w:tcPr>
            <w:tcW w:w="1268" w:type="pct"/>
          </w:tcPr>
          <w:p w:rsidR="00FC63CA" w:rsidRDefault="007B025A">
            <w:pPr>
              <w:rPr>
                <w:rFonts w:ascii="Arial Regular" w:hAnsi="Arial Regular" w:cs="Arial Regular"/>
                <w:iCs/>
              </w:rPr>
            </w:pPr>
            <w:r>
              <w:rPr>
                <w:rFonts w:ascii="Arial Regular" w:hAnsi="Arial Regular"/>
                <w:iCs/>
              </w:rPr>
              <w:t xml:space="preserve">The Interplay among Sustainability Reporting, Gross Profit Margin and Corporate Tax Strategies </w:t>
            </w:r>
            <w:r>
              <w:rPr>
                <w:rFonts w:ascii="Arial Regular" w:hAnsi="Arial Regular"/>
                <w:iCs/>
                <w:shd w:val="clear" w:color="auto" w:fill="F79646" w:themeFill="accent6"/>
              </w:rPr>
              <w:t>(Lenny,2025)</w:t>
            </w:r>
          </w:p>
        </w:tc>
        <w:tc>
          <w:tcPr>
            <w:tcW w:w="895" w:type="pct"/>
          </w:tcPr>
          <w:p w:rsidR="00FC63CA" w:rsidRDefault="007B025A">
            <w:pPr>
              <w:rPr>
                <w:rFonts w:ascii="Arial Regular" w:hAnsi="Arial Regular" w:cs="Arial Regular"/>
                <w:i/>
                <w:iCs/>
              </w:rPr>
            </w:pPr>
            <w:r>
              <w:rPr>
                <w:rFonts w:ascii="Arial Regular" w:hAnsi="Arial Regular" w:cs="Arial Regular"/>
                <w:i/>
                <w:iCs/>
              </w:rPr>
              <w:t>Sustainability report, gross profit margin, CTTOR</w:t>
            </w:r>
          </w:p>
        </w:tc>
        <w:tc>
          <w:tcPr>
            <w:tcW w:w="1138" w:type="pct"/>
          </w:tcPr>
          <w:p w:rsidR="00FC63CA" w:rsidRDefault="007B025A">
            <w:pPr>
              <w:rPr>
                <w:rFonts w:ascii="Arial Regular" w:hAnsi="Arial Regular" w:cs="Arial Regular"/>
                <w:i/>
                <w:iCs/>
                <w:lang w:eastAsia="zh-CN"/>
              </w:rPr>
            </w:pPr>
            <w:proofErr w:type="gramStart"/>
            <w:r>
              <w:rPr>
                <w:rFonts w:ascii="Arial Regular" w:hAnsi="Arial Regular"/>
                <w:i/>
                <w:iCs/>
                <w:lang w:eastAsia="zh-CN"/>
              </w:rPr>
              <w:t>The</w:t>
            </w:r>
            <w:r>
              <w:rPr>
                <w:rFonts w:ascii="Arial Regular" w:hAnsi="Arial Regular"/>
                <w:i/>
                <w:iCs/>
                <w:lang w:eastAsia="zh-CN"/>
              </w:rPr>
              <w:t xml:space="preserve">  data</w:t>
            </w:r>
            <w:proofErr w:type="gramEnd"/>
            <w:r>
              <w:rPr>
                <w:rFonts w:ascii="Arial Regular" w:hAnsi="Arial Regular"/>
                <w:i/>
                <w:iCs/>
                <w:lang w:eastAsia="zh-CN"/>
              </w:rPr>
              <w:t xml:space="preserve">  processing  on these  variables  will  be  assisted  by  the  SPSS program.  </w:t>
            </w:r>
            <w:proofErr w:type="gramStart"/>
            <w:r>
              <w:rPr>
                <w:rFonts w:ascii="Arial Regular" w:hAnsi="Arial Regular"/>
                <w:i/>
                <w:iCs/>
                <w:lang w:eastAsia="zh-CN"/>
              </w:rPr>
              <w:t>The  study</w:t>
            </w:r>
            <w:proofErr w:type="gramEnd"/>
            <w:r>
              <w:rPr>
                <w:rFonts w:ascii="Arial Regular" w:hAnsi="Arial Regular"/>
                <w:i/>
                <w:iCs/>
                <w:lang w:eastAsia="zh-CN"/>
              </w:rPr>
              <w:t xml:space="preserve">  population  comprises  coal-producing  </w:t>
            </w:r>
            <w:proofErr w:type="spellStart"/>
            <w:r>
              <w:rPr>
                <w:rFonts w:ascii="Arial Regular" w:hAnsi="Arial Regular"/>
                <w:i/>
                <w:iCs/>
                <w:lang w:eastAsia="zh-CN"/>
              </w:rPr>
              <w:t>companieslisted</w:t>
            </w:r>
            <w:proofErr w:type="spellEnd"/>
            <w:r>
              <w:rPr>
                <w:rFonts w:ascii="Arial Regular" w:hAnsi="Arial Regular"/>
                <w:i/>
                <w:iCs/>
                <w:lang w:eastAsia="zh-CN"/>
              </w:rPr>
              <w:t xml:space="preserve">   on  the  Indonesia Stock  Exchange  (IDX)  for  the  period  2021  to 2023,  with  a  total  of  34  c</w:t>
            </w:r>
            <w:r>
              <w:rPr>
                <w:rFonts w:ascii="Arial Regular" w:hAnsi="Arial Regular"/>
                <w:i/>
                <w:iCs/>
                <w:lang w:eastAsia="zh-CN"/>
              </w:rPr>
              <w:t>ompanies  included  in the final data set</w:t>
            </w:r>
          </w:p>
        </w:tc>
        <w:tc>
          <w:tcPr>
            <w:tcW w:w="1381" w:type="pct"/>
          </w:tcPr>
          <w:p w:rsidR="00FC63CA" w:rsidRDefault="007B025A">
            <w:pPr>
              <w:rPr>
                <w:rFonts w:ascii="Arial Italic" w:hAnsi="Arial Italic" w:cs="Arial Italic"/>
                <w:i/>
              </w:rPr>
            </w:pPr>
            <w:r>
              <w:rPr>
                <w:rFonts w:ascii="Arial Italic" w:hAnsi="Arial Italic" w:cs="Arial Italic"/>
                <w:i/>
              </w:rPr>
              <w:t xml:space="preserve">For starters, sustainability reports significantly improve gross profit margins. Secondly, CTTOR can be </w:t>
            </w:r>
            <w:proofErr w:type="spellStart"/>
            <w:r>
              <w:rPr>
                <w:rFonts w:ascii="Arial Italic" w:hAnsi="Arial Italic" w:cs="Arial Italic"/>
                <w:i/>
              </w:rPr>
              <w:t>utilised</w:t>
            </w:r>
            <w:proofErr w:type="spellEnd"/>
            <w:r>
              <w:rPr>
                <w:rFonts w:ascii="Arial Italic" w:hAnsi="Arial Italic" w:cs="Arial Italic"/>
                <w:i/>
              </w:rPr>
              <w:t xml:space="preserve"> to offset the impact of the sustainability report variable on gross profit margins. The final CTTOR, along with its relationship to sustainability, has a significant impact on gross profit margins, as both yield a value of 0.00.</w:t>
            </w:r>
          </w:p>
          <w:p w:rsidR="00FC63CA" w:rsidRDefault="00FC63CA">
            <w:pPr>
              <w:rPr>
                <w:rFonts w:ascii="Arial Italic" w:hAnsi="Arial Italic" w:cs="Arial Italic"/>
                <w:i/>
                <w:iCs/>
                <w:lang w:eastAsia="zh-CN"/>
              </w:rPr>
            </w:pPr>
          </w:p>
        </w:tc>
      </w:tr>
    </w:tbl>
    <w:p w:rsidR="00FC63CA" w:rsidRDefault="007B025A">
      <w:pPr>
        <w:pStyle w:val="NormalWeb"/>
        <w:jc w:val="both"/>
        <w:rPr>
          <w:rFonts w:ascii="Arial Regular" w:hAnsi="Arial Regular" w:cs="Arial Regular"/>
          <w:color w:val="000000"/>
          <w:sz w:val="20"/>
          <w:szCs w:val="20"/>
        </w:rPr>
      </w:pPr>
      <w:r>
        <w:rPr>
          <w:rFonts w:ascii="Arial Regular" w:hAnsi="Arial Regular" w:cs="Arial Regular"/>
          <w:color w:val="000000"/>
          <w:sz w:val="20"/>
          <w:szCs w:val="20"/>
        </w:rPr>
        <w:t xml:space="preserve">As </w:t>
      </w:r>
      <w:proofErr w:type="spellStart"/>
      <w:r>
        <w:rPr>
          <w:rFonts w:ascii="Arial Regular" w:hAnsi="Arial Regular" w:cs="Arial Regular"/>
          <w:color w:val="000000"/>
          <w:sz w:val="20"/>
          <w:szCs w:val="20"/>
        </w:rPr>
        <w:t>summarised</w:t>
      </w:r>
      <w:proofErr w:type="spellEnd"/>
      <w:r>
        <w:rPr>
          <w:rFonts w:ascii="Arial Regular" w:hAnsi="Arial Regular" w:cs="Arial Regular"/>
          <w:color w:val="000000"/>
          <w:sz w:val="20"/>
          <w:szCs w:val="20"/>
        </w:rPr>
        <w:t xml:space="preserve"> in Table 1</w:t>
      </w:r>
      <w:r>
        <w:rPr>
          <w:rFonts w:ascii="Arial Regular" w:hAnsi="Arial Regular" w:cs="Arial Regular"/>
          <w:color w:val="000000"/>
          <w:sz w:val="20"/>
          <w:szCs w:val="20"/>
        </w:rPr>
        <w:t xml:space="preserve">, previous research has explored variables such as sustainability reporting, public accounting firm size, gross profit, and cash turnover to total operating revenue (CTTOR), indicating that audit quality may be influenced by the size of the audit firm. In </w:t>
      </w:r>
      <w:r>
        <w:rPr>
          <w:rFonts w:ascii="Arial Regular" w:hAnsi="Arial Regular" w:cs="Arial Regular"/>
          <w:color w:val="000000"/>
          <w:sz w:val="20"/>
          <w:szCs w:val="20"/>
        </w:rPr>
        <w:t xml:space="preserve">particular, stakeholders often perceive that larger firms, such as the Big Four, deliver higher-quality audits </w:t>
      </w:r>
      <w:r>
        <w:rPr>
          <w:rFonts w:ascii="Arial Regular" w:hAnsi="Arial Regular" w:cs="Arial Regular"/>
          <w:sz w:val="20"/>
          <w:szCs w:val="20"/>
          <w:shd w:val="clear" w:color="auto" w:fill="F79646" w:themeFill="accent6"/>
        </w:rPr>
        <w:t>(</w:t>
      </w:r>
      <w:proofErr w:type="spellStart"/>
      <w:r>
        <w:rPr>
          <w:rFonts w:ascii="Arial Regular" w:hAnsi="Arial Regular" w:cs="Arial Regular"/>
          <w:sz w:val="20"/>
          <w:szCs w:val="20"/>
          <w:shd w:val="clear" w:color="auto" w:fill="F79646" w:themeFill="accent6"/>
        </w:rPr>
        <w:t>Rizki</w:t>
      </w:r>
      <w:proofErr w:type="spellEnd"/>
      <w:r>
        <w:rPr>
          <w:rFonts w:ascii="Arial Regular" w:hAnsi="Arial Regular" w:cs="Arial Regular"/>
          <w:sz w:val="20"/>
          <w:szCs w:val="20"/>
          <w:shd w:val="clear" w:color="auto" w:fill="F79646" w:themeFill="accent6"/>
        </w:rPr>
        <w:t xml:space="preserve"> &amp; </w:t>
      </w:r>
      <w:proofErr w:type="spellStart"/>
      <w:r>
        <w:rPr>
          <w:rFonts w:ascii="Arial Regular" w:hAnsi="Arial Regular" w:cs="Arial Regular"/>
          <w:sz w:val="20"/>
          <w:szCs w:val="20"/>
          <w:shd w:val="clear" w:color="auto" w:fill="F79646" w:themeFill="accent6"/>
        </w:rPr>
        <w:t>Sudarno</w:t>
      </w:r>
      <w:proofErr w:type="spellEnd"/>
      <w:r>
        <w:rPr>
          <w:rFonts w:ascii="Arial Regular" w:hAnsi="Arial Regular" w:cs="Arial Regular"/>
          <w:sz w:val="20"/>
          <w:szCs w:val="20"/>
          <w:shd w:val="clear" w:color="auto" w:fill="F79646" w:themeFill="accent6"/>
        </w:rPr>
        <w:t xml:space="preserve">, 2020), </w:t>
      </w:r>
      <w:r>
        <w:rPr>
          <w:rFonts w:ascii="Arial Regular" w:hAnsi="Arial Regular"/>
          <w:sz w:val="20"/>
          <w:szCs w:val="20"/>
        </w:rPr>
        <w:t xml:space="preserve">However, research conducted by </w:t>
      </w:r>
      <w:proofErr w:type="spellStart"/>
      <w:r>
        <w:rPr>
          <w:rFonts w:ascii="Arial Regular" w:hAnsi="Arial Regular"/>
          <w:sz w:val="20"/>
          <w:szCs w:val="20"/>
          <w:shd w:val="clear" w:color="auto" w:fill="F79646" w:themeFill="accent6"/>
        </w:rPr>
        <w:t>Nindita</w:t>
      </w:r>
      <w:proofErr w:type="spellEnd"/>
      <w:r>
        <w:rPr>
          <w:rFonts w:ascii="Arial Regular" w:hAnsi="Arial Regular"/>
          <w:sz w:val="20"/>
          <w:szCs w:val="20"/>
          <w:shd w:val="clear" w:color="auto" w:fill="F79646" w:themeFill="accent6"/>
        </w:rPr>
        <w:t xml:space="preserve"> and </w:t>
      </w:r>
      <w:proofErr w:type="spellStart"/>
      <w:r>
        <w:rPr>
          <w:rFonts w:ascii="Arial Regular" w:hAnsi="Arial Regular"/>
          <w:sz w:val="20"/>
          <w:szCs w:val="20"/>
          <w:shd w:val="clear" w:color="auto" w:fill="F79646" w:themeFill="accent6"/>
        </w:rPr>
        <w:t>Siregar</w:t>
      </w:r>
      <w:proofErr w:type="spellEnd"/>
      <w:r>
        <w:rPr>
          <w:rFonts w:ascii="Arial Regular" w:hAnsi="Arial Regular"/>
          <w:sz w:val="20"/>
          <w:szCs w:val="20"/>
          <w:shd w:val="clear" w:color="auto" w:fill="F79646" w:themeFill="accent6"/>
        </w:rPr>
        <w:t xml:space="preserve"> (2013)</w:t>
      </w:r>
      <w:r>
        <w:rPr>
          <w:rFonts w:ascii="Arial Regular" w:hAnsi="Arial Regular"/>
          <w:sz w:val="20"/>
          <w:szCs w:val="20"/>
        </w:rPr>
        <w:t xml:space="preserve"> definitively shows that the size of a public accounting firm d</w:t>
      </w:r>
      <w:r>
        <w:rPr>
          <w:rFonts w:ascii="Arial Regular" w:hAnsi="Arial Regular"/>
          <w:sz w:val="20"/>
          <w:szCs w:val="20"/>
        </w:rPr>
        <w:t xml:space="preserve">oes not have a significant influence on audit quality. In addition, it was confirmed that using a Big Four public accounting firm is not an assurance of high audit </w:t>
      </w:r>
      <w:proofErr w:type="spellStart"/>
      <w:proofErr w:type="gramStart"/>
      <w:r>
        <w:rPr>
          <w:rFonts w:ascii="Arial Regular" w:hAnsi="Arial Regular"/>
          <w:sz w:val="20"/>
          <w:szCs w:val="20"/>
        </w:rPr>
        <w:t>quality.</w:t>
      </w:r>
      <w:r>
        <w:rPr>
          <w:rFonts w:ascii="Arial Regular" w:hAnsi="Arial Regular" w:cs="Arial Regular"/>
          <w:color w:val="000000"/>
          <w:sz w:val="20"/>
          <w:szCs w:val="20"/>
        </w:rPr>
        <w:t>Nonetheless</w:t>
      </w:r>
      <w:proofErr w:type="spellEnd"/>
      <w:proofErr w:type="gramEnd"/>
      <w:r>
        <w:rPr>
          <w:rFonts w:ascii="Arial Regular" w:hAnsi="Arial Regular" w:cs="Arial Regular"/>
          <w:color w:val="000000"/>
          <w:sz w:val="20"/>
          <w:szCs w:val="20"/>
        </w:rPr>
        <w:t xml:space="preserve">, there is still a research vacuum in the </w:t>
      </w:r>
      <w:r>
        <w:rPr>
          <w:rFonts w:ascii="Arial Regular" w:hAnsi="Arial Regular" w:cs="Arial Regular"/>
          <w:color w:val="000000"/>
          <w:sz w:val="20"/>
          <w:szCs w:val="20"/>
          <w:shd w:val="clear" w:color="auto" w:fill="F79646" w:themeFill="accent6"/>
        </w:rPr>
        <w:t>Lenny (2025)</w:t>
      </w:r>
      <w:r>
        <w:rPr>
          <w:rFonts w:ascii="Arial Regular" w:hAnsi="Arial Regular" w:cs="Arial Regular"/>
          <w:color w:val="000000"/>
          <w:sz w:val="20"/>
          <w:szCs w:val="20"/>
        </w:rPr>
        <w:t xml:space="preserve"> study, which took </w:t>
      </w:r>
      <w:r>
        <w:rPr>
          <w:rFonts w:ascii="Arial Regular" w:hAnsi="Arial Regular" w:cs="Arial Regular"/>
          <w:color w:val="000000"/>
          <w:sz w:val="20"/>
          <w:szCs w:val="20"/>
        </w:rPr>
        <w:t>into account CTTOR, gross profit, and sustainability reporting as moderating factors but neglected to take audit firm size into consideration. With CTTOR acting as an intervening variable, the current study examines the impact of sustainability reporting o</w:t>
      </w:r>
      <w:r>
        <w:rPr>
          <w:rFonts w:ascii="Arial Regular" w:hAnsi="Arial Regular" w:cs="Arial Regular"/>
          <w:color w:val="000000"/>
          <w:sz w:val="20"/>
          <w:szCs w:val="20"/>
        </w:rPr>
        <w:t>n gross profit margin while taking public accounting firm size into consideration in order to overcome this constraint.</w:t>
      </w:r>
    </w:p>
    <w:p w:rsidR="00FC63CA" w:rsidRDefault="00FC63CA">
      <w:pPr>
        <w:pStyle w:val="NormalWeb"/>
        <w:ind w:firstLineChars="350" w:firstLine="700"/>
        <w:jc w:val="both"/>
        <w:rPr>
          <w:rFonts w:ascii="Arial Regular" w:hAnsi="Arial Regular" w:cs="Arial Regular"/>
          <w:color w:val="000000"/>
          <w:sz w:val="20"/>
          <w:szCs w:val="20"/>
        </w:rPr>
      </w:pP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HYPOTHESIS</w:t>
      </w:r>
    </w:p>
    <w:p w:rsidR="00FC63CA" w:rsidRDefault="007B025A">
      <w:pPr>
        <w:pStyle w:val="AbstHead"/>
        <w:spacing w:after="0"/>
        <w:ind w:left="111"/>
        <w:jc w:val="both"/>
        <w:rPr>
          <w:rFonts w:ascii="Arial Bold" w:hAnsi="Arial Bold" w:cs="Arial Bold"/>
          <w:bCs/>
          <w:sz w:val="20"/>
        </w:rPr>
      </w:pPr>
      <w:r>
        <w:rPr>
          <w:rFonts w:ascii="Arial Bold" w:hAnsi="Arial Bold" w:cs="Arial Bold"/>
          <w:bCs/>
          <w:sz w:val="20"/>
        </w:rPr>
        <w:t xml:space="preserve">       </w:t>
      </w:r>
    </w:p>
    <w:p w:rsidR="00FC63CA" w:rsidRDefault="007B025A">
      <w:pPr>
        <w:rPr>
          <w:rFonts w:ascii="Times New Roman Regular" w:hAnsi="Times New Roman Regular" w:cs="Times New Roman Regular"/>
          <w:iCs/>
        </w:rPr>
      </w:pPr>
      <w:r>
        <w:rPr>
          <w:rFonts w:ascii="Arial" w:hAnsi="Arial" w:cs="Arial"/>
          <w:iCs/>
        </w:rPr>
        <w:t xml:space="preserve">         </w:t>
      </w:r>
      <w:r>
        <w:rPr>
          <w:rFonts w:ascii="Arial" w:hAnsi="Arial" w:cs="Arial"/>
        </w:rPr>
        <w:t xml:space="preserve">The hypothesis to be </w:t>
      </w:r>
      <w:proofErr w:type="gramStart"/>
      <w:r>
        <w:rPr>
          <w:rFonts w:ascii="Arial" w:hAnsi="Arial" w:cs="Arial"/>
        </w:rPr>
        <w:t>tested :</w:t>
      </w:r>
      <w:proofErr w:type="gramEnd"/>
    </w:p>
    <w:p w:rsidR="00FC63CA" w:rsidRDefault="007B025A">
      <w:pPr>
        <w:rPr>
          <w:rFonts w:ascii="Arial" w:hAnsi="Arial" w:cs="Arial"/>
          <w:iCs/>
        </w:rPr>
      </w:pPr>
      <w:r>
        <w:rPr>
          <w:rFonts w:ascii="Arial" w:hAnsi="Arial" w:cs="Arial"/>
          <w:iCs/>
        </w:rPr>
        <w:t>H</w:t>
      </w:r>
      <w:r>
        <w:rPr>
          <w:rFonts w:ascii="Arial" w:hAnsi="Arial" w:cs="Arial"/>
          <w:iCs/>
          <w:vertAlign w:val="subscript"/>
        </w:rPr>
        <w:t xml:space="preserve">01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Public accounting firm size and sustainability report affects gross profit margin.</w:t>
      </w:r>
    </w:p>
    <w:p w:rsidR="00FC63CA" w:rsidRDefault="007B025A">
      <w:pPr>
        <w:rPr>
          <w:rFonts w:ascii="Arial" w:hAnsi="Arial" w:cs="Arial"/>
          <w:iCs/>
        </w:rPr>
      </w:pPr>
      <w:r>
        <w:rPr>
          <w:rFonts w:ascii="Arial" w:hAnsi="Arial" w:cs="Arial"/>
          <w:iCs/>
        </w:rPr>
        <w:t>H</w:t>
      </w:r>
      <w:r>
        <w:rPr>
          <w:rFonts w:ascii="Arial" w:hAnsi="Arial" w:cs="Arial"/>
          <w:iCs/>
          <w:vertAlign w:val="subscript"/>
        </w:rPr>
        <w:t xml:space="preserve">02 </w:t>
      </w:r>
      <w:proofErr w:type="gramStart"/>
      <w:r>
        <w:rPr>
          <w:rFonts w:ascii="Arial" w:hAnsi="Arial" w:cs="Arial"/>
          <w:iCs/>
        </w:rPr>
        <w:t xml:space="preserve">  :</w:t>
      </w:r>
      <w:proofErr w:type="gramEnd"/>
      <w:r>
        <w:rPr>
          <w:rFonts w:ascii="Arial" w:hAnsi="Arial" w:cs="Arial"/>
          <w:iCs/>
        </w:rPr>
        <w:t xml:space="preserve">  Public accounting firm size,  sustainability report, and gross profit margin affects gross </w:t>
      </w:r>
    </w:p>
    <w:p w:rsidR="00FC63CA" w:rsidRDefault="007B025A">
      <w:pPr>
        <w:ind w:firstLineChars="300" w:firstLine="600"/>
        <w:rPr>
          <w:rFonts w:ascii="Arial" w:hAnsi="Arial" w:cs="Arial"/>
          <w:iCs/>
        </w:rPr>
      </w:pPr>
      <w:r>
        <w:rPr>
          <w:rFonts w:ascii="Arial" w:hAnsi="Arial" w:cs="Arial"/>
          <w:iCs/>
        </w:rPr>
        <w:t>CTTOR</w:t>
      </w:r>
    </w:p>
    <w:p w:rsidR="00FC63CA" w:rsidRDefault="007B025A">
      <w:pPr>
        <w:rPr>
          <w:rFonts w:ascii="Arial" w:hAnsi="Arial" w:cs="Arial"/>
          <w:iCs/>
        </w:rPr>
      </w:pPr>
      <w:r>
        <w:rPr>
          <w:rFonts w:ascii="Arial" w:hAnsi="Arial" w:cs="Arial"/>
          <w:iCs/>
        </w:rPr>
        <w:t>H</w:t>
      </w:r>
      <w:r>
        <w:rPr>
          <w:rFonts w:ascii="Arial" w:hAnsi="Arial" w:cs="Arial"/>
          <w:iCs/>
          <w:vertAlign w:val="subscript"/>
        </w:rPr>
        <w:t xml:space="preserve">03 </w:t>
      </w:r>
      <w:proofErr w:type="gramStart"/>
      <w:r>
        <w:rPr>
          <w:rFonts w:ascii="Arial" w:hAnsi="Arial" w:cs="Arial"/>
          <w:iCs/>
          <w:vertAlign w:val="subscript"/>
        </w:rPr>
        <w:t xml:space="preserve">  </w:t>
      </w:r>
      <w:r>
        <w:rPr>
          <w:rFonts w:ascii="Arial" w:hAnsi="Arial" w:cs="Arial"/>
          <w:iCs/>
        </w:rPr>
        <w:t>:</w:t>
      </w:r>
      <w:proofErr w:type="gramEnd"/>
      <w:r>
        <w:rPr>
          <w:rFonts w:ascii="Arial" w:hAnsi="Arial" w:cs="Arial"/>
          <w:iCs/>
        </w:rPr>
        <w:t xml:space="preserve">   Public accounting firm size and sustainability report </w:t>
      </w:r>
      <w:r>
        <w:rPr>
          <w:rFonts w:ascii="Arial" w:hAnsi="Arial" w:cs="Arial"/>
          <w:iCs/>
        </w:rPr>
        <w:t xml:space="preserve">through gross profit margin affects  </w:t>
      </w:r>
    </w:p>
    <w:p w:rsidR="00FC63CA" w:rsidRDefault="007B025A">
      <w:pPr>
        <w:ind w:firstLineChars="300" w:firstLine="600"/>
        <w:rPr>
          <w:rFonts w:ascii="Arial" w:hAnsi="Arial" w:cs="Arial"/>
          <w:iCs/>
        </w:rPr>
      </w:pPr>
      <w:r>
        <w:rPr>
          <w:rFonts w:ascii="Arial" w:hAnsi="Arial" w:cs="Arial"/>
          <w:iCs/>
        </w:rPr>
        <w:t>CTTOR</w:t>
      </w:r>
    </w:p>
    <w:p w:rsidR="00FC63CA" w:rsidRDefault="00FC63CA">
      <w:pPr>
        <w:pStyle w:val="AbstHead"/>
        <w:spacing w:after="0"/>
        <w:jc w:val="both"/>
        <w:rPr>
          <w:rFonts w:ascii="Arial" w:hAnsi="Arial" w:cs="Arial"/>
          <w:b w:val="0"/>
          <w:iCs/>
          <w:sz w:val="20"/>
        </w:rPr>
      </w:pP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Conseptual Framework </w:t>
      </w:r>
    </w:p>
    <w:p w:rsidR="00FC63CA" w:rsidRDefault="00FC63CA">
      <w:pPr>
        <w:pStyle w:val="AbstHead"/>
        <w:spacing w:after="0"/>
        <w:jc w:val="both"/>
        <w:rPr>
          <w:rFonts w:ascii="Arial" w:hAnsi="Arial" w:cs="Arial"/>
          <w:b w:val="0"/>
          <w:iCs/>
          <w:sz w:val="20"/>
        </w:rPr>
      </w:pPr>
    </w:p>
    <w:p w:rsidR="00FC63CA" w:rsidRDefault="007B025A">
      <w:pPr>
        <w:jc w:val="both"/>
        <w:rPr>
          <w:rFonts w:ascii="Arial Regular" w:hAnsi="Arial Regular"/>
        </w:rPr>
      </w:pPr>
      <w:r>
        <w:rPr>
          <w:rFonts w:ascii="Arial Regular" w:hAnsi="Arial Regular"/>
          <w:b/>
          <w:bCs/>
        </w:rPr>
        <w:t xml:space="preserve">  </w:t>
      </w:r>
      <w:r>
        <w:rPr>
          <w:rFonts w:ascii="Arial Regular" w:hAnsi="Arial Regular"/>
        </w:rPr>
        <w:t xml:space="preserve">       Growth profit margin and corporate tax turnover ratio (CTTOR) are the dependent factors in this study, while sustainability report and public accounting firm size are the indepen</w:t>
      </w:r>
      <w:r>
        <w:rPr>
          <w:rFonts w:ascii="Arial Regular" w:hAnsi="Arial Regular"/>
        </w:rPr>
        <w:t>dent variables. This study's conceptual framework is:</w:t>
      </w:r>
    </w:p>
    <w:p w:rsidR="00FC63CA" w:rsidRDefault="00FC63CA">
      <w:pPr>
        <w:jc w:val="both"/>
        <w:rPr>
          <w:rFonts w:ascii="Arial Regular" w:hAnsi="Arial Regular"/>
        </w:rPr>
      </w:pPr>
    </w:p>
    <w:p w:rsidR="00FC63CA" w:rsidRDefault="00FC63CA">
      <w:pPr>
        <w:jc w:val="both"/>
        <w:rPr>
          <w:rFonts w:ascii="Arial Regular" w:hAnsi="Arial Regular"/>
        </w:rPr>
      </w:pPr>
    </w:p>
    <w:p w:rsidR="00FC63CA" w:rsidRDefault="00FC63CA">
      <w:pPr>
        <w:jc w:val="both"/>
        <w:rPr>
          <w:rFonts w:ascii="Arial Regular" w:hAnsi="Arial Regular"/>
        </w:rPr>
      </w:pPr>
    </w:p>
    <w:p w:rsidR="00FC63CA" w:rsidRDefault="00FC63CA">
      <w:pPr>
        <w:jc w:val="both"/>
        <w:rPr>
          <w:rFonts w:ascii="Arial Regular" w:hAnsi="Arial Regular"/>
        </w:rPr>
      </w:pPr>
    </w:p>
    <w:p w:rsidR="00FC63CA" w:rsidRDefault="00FC63CA">
      <w:pPr>
        <w:jc w:val="both"/>
        <w:rPr>
          <w:rFonts w:ascii="Arial Regular" w:hAnsi="Arial Regular"/>
        </w:rPr>
      </w:pPr>
    </w:p>
    <w:p w:rsidR="00FC63CA" w:rsidRDefault="00FC63CA">
      <w:pPr>
        <w:jc w:val="both"/>
        <w:rPr>
          <w:rFonts w:ascii="Arial Regular" w:hAnsi="Arial Regular"/>
        </w:rPr>
      </w:pPr>
    </w:p>
    <w:p w:rsidR="00FC63CA" w:rsidRDefault="007B025A">
      <w:pPr>
        <w:rPr>
          <w:rFonts w:ascii="Arial Regular" w:hAnsi="Arial Regular"/>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88900</wp:posOffset>
                </wp:positionV>
                <wp:extent cx="5154930" cy="3680460"/>
                <wp:effectExtent l="13970" t="13970" r="38100" b="39370"/>
                <wp:wrapNone/>
                <wp:docPr id="16" name="Rectangles 16"/>
                <wp:cNvGraphicFramePr/>
                <a:graphic xmlns:a="http://schemas.openxmlformats.org/drawingml/2006/main">
                  <a:graphicData uri="http://schemas.microsoft.com/office/word/2010/wordprocessingShape">
                    <wps:wsp>
                      <wps:cNvSpPr/>
                      <wps:spPr>
                        <a:xfrm>
                          <a:off x="0" y="0"/>
                          <a:ext cx="5154930" cy="3680460"/>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71067F" id="Rectangles 16" o:spid="_x0000_s1026" style="position:absolute;margin-left:-.25pt;margin-top:7pt;width:405.9pt;height:28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" filled="f" strokecolor="black [3213]" strokeweight="2.25pt"/>
            </w:pict>
          </mc:Fallback>
        </mc:AlternateContent>
      </w:r>
    </w:p>
    <w:p w:rsidR="00FC63CA" w:rsidRDefault="007B025A">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66432" behindDoc="0" locked="0" layoutInCell="1" allowOverlap="1">
                <wp:simplePos x="0" y="0"/>
                <wp:positionH relativeFrom="column">
                  <wp:posOffset>238760</wp:posOffset>
                </wp:positionH>
                <wp:positionV relativeFrom="paragraph">
                  <wp:posOffset>59055</wp:posOffset>
                </wp:positionV>
                <wp:extent cx="4603750" cy="3098800"/>
                <wp:effectExtent l="12700" t="12700" r="31750" b="38100"/>
                <wp:wrapNone/>
                <wp:docPr id="10" name="Group 10"/>
                <wp:cNvGraphicFramePr/>
                <a:graphic xmlns:a="http://schemas.openxmlformats.org/drawingml/2006/main">
                  <a:graphicData uri="http://schemas.microsoft.com/office/word/2010/wordprocessingGroup">
                    <wpg:wgp>
                      <wpg:cNvGrpSpPr/>
                      <wpg:grpSpPr>
                        <a:xfrm>
                          <a:off x="0" y="0"/>
                          <a:ext cx="4603750" cy="3098800"/>
                          <a:chOff x="2675" y="87720"/>
                          <a:chExt cx="7250" cy="4880"/>
                        </a:xfrm>
                      </wpg:grpSpPr>
                      <wps:wsp>
                        <wps:cNvPr id="9" name="Straight Connector 9"/>
                        <wps:cNvCnPr/>
                        <wps:spPr>
                          <a:xfrm>
                            <a:off x="4848" y="91681"/>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cNvPr id="43" name="Group 43"/>
                        <wpg:cNvGrpSpPr/>
                        <wpg:grpSpPr>
                          <a:xfrm>
                            <a:off x="2675" y="87720"/>
                            <a:ext cx="7250" cy="4881"/>
                            <a:chOff x="2557" y="112060"/>
                            <a:chExt cx="7250" cy="4881"/>
                          </a:xfrm>
                        </wpg:grpSpPr>
                        <wps:wsp>
                          <wps:cNvPr id="6" name="Rounded Rectangle 6"/>
                          <wps:cNvSpPr/>
                          <wps:spPr>
                            <a:xfrm>
                              <a:off x="5443" y="113795"/>
                              <a:ext cx="1834" cy="1093"/>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1"/>
                          <wps:cNvSpPr/>
                          <wps:spPr>
                            <a:xfrm>
                              <a:off x="2557" y="112060"/>
                              <a:ext cx="2174" cy="1273"/>
                            </a:xfrm>
                            <a:prstGeom prst="roundRect">
                              <a:avLst/>
                            </a:prstGeom>
                            <a:ln>
                              <a:solidFill>
                                <a:schemeClr val="bg2">
                                  <a:lumMod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ounded Rectangle 3"/>
                          <wps:cNvSpPr/>
                          <wps:spPr>
                            <a:xfrm>
                              <a:off x="7957" y="113749"/>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7"/>
                          <wps:cNvSpPr/>
                          <wps:spPr>
                            <a:xfrm>
                              <a:off x="2561" y="115393"/>
                              <a:ext cx="2150" cy="10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Straight Arrow Connector 30"/>
                          <wps:cNvCnPr/>
                          <wps:spPr>
                            <a:xfrm>
                              <a:off x="4732" y="112751"/>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8685" y="112559"/>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flipV="1">
                              <a:off x="8670" y="114865"/>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5" name="Oval 35"/>
                          <wps:cNvSpPr/>
                          <wps:spPr>
                            <a:xfrm>
                              <a:off x="8974" y="112456"/>
                              <a:ext cx="765" cy="727"/>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rsidR="00FC63CA" w:rsidRDefault="00FC63CA"/>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Oval 36"/>
                          <wps:cNvSpPr/>
                          <wps:spPr>
                            <a:xfrm>
                              <a:off x="6221" y="116215"/>
                              <a:ext cx="868" cy="727"/>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Straight Arrow Connector 37"/>
                          <wps:cNvCnPr/>
                          <wps:spPr>
                            <a:xfrm flipV="1">
                              <a:off x="6674" y="114861"/>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38" name="Straight Arrow Connector 38"/>
                          <wps:cNvCnPr/>
                          <wps:spPr>
                            <a:xfrm>
                              <a:off x="9382" y="113188"/>
                              <a:ext cx="0" cy="582"/>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8" name="Straight Connector 4"/>
                          <wps:cNvCnPr/>
                          <wps:spPr>
                            <a:xfrm>
                              <a:off x="4725" y="112567"/>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wgp>
                  </a:graphicData>
                </a:graphic>
              </wp:anchor>
            </w:drawing>
          </mc:Choice>
          <mc:Fallback>
            <w:pict>
              <v:group id="Group 10" o:spid="_x0000_s1027" style="position:absolute;left:0;text-align:left;margin-left:18.8pt;margin-top:4.65pt;width:362.5pt;height:244pt;z-index:251666432" coordorigin="2675,87720" coordsize="725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">
                <v:line id="Straight Connector 9" o:spid="_x0000_s1028" style="position:absolute;visibility:visible;mso-wrap-style:square" from="4848,91681" to="8814,9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" strokecolor="red" strokeweight="3pt"/>
                <v:group id="Group 43" o:spid="_x0000_s1029" style="position:absolute;left:2675;top:87720;width:7250;height:4881" coordorigin="2557,112060" coordsize="7250,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ounded Rectangle 6" o:spid="_x0000_s1030" style="position:absolute;left:5443;top:113795;width:1834;height:1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" fillcolor="#e5dfec [663]" strokecolor="black [3213]" strokeweight="2pt">
                    <v:textbox>
                      <w:txbxContent>
                        <w:p w:rsidR="00FC63CA" w:rsidRDefault="007B025A">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v:roundrect id="Rounded Rectangle 1" o:spid="_x0000_s1031" style="position:absolute;left:2557;top:112060;width:2174;height:1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" filled="f" strokecolor="#938953 [1614]" strokeweight="2pt"/>
                  <v:roundrect id="_x0000_s1032" style="position:absolute;left:7957;top:113749;width:1851;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" fillcolor="#f2dbdb [661]" strokecolor="black [3213]" strokeweight="2pt">
                    <v:textbo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7" o:spid="_x0000_s1033" style="position:absolute;left:2561;top:115393;width:2150;height:10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" filled="f" strokecolor="#4f81bd [3204]" strokeweight="2pt"/>
                  <v:shape id="Straight Arrow Connector 30" o:spid="_x0000_s1034" type="#_x0000_t32" style="position:absolute;left:4732;top:112751;width:1269;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" strokecolor="red" strokeweight="2pt">
                    <v:stroke endarrow="open"/>
                    <v:shadow on="t" color="black" opacity="24903f" origin=",.5" offset="0,.55556mm"/>
                  </v:shape>
                  <v:shape id="Straight Arrow Connector 33" o:spid="_x0000_s1035" type="#_x0000_t32" style="position:absolute;left:8685;top:112559;width:0;height:1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" strokecolor="red" strokeweight="2pt">
                    <v:stroke endarrow="open"/>
                    <v:shadow on="t" color="black" opacity="24903f" origin=",.5" offset="0,.55556mm"/>
                  </v:shape>
                  <v:shape id="Straight Arrow Connector 34" o:spid="_x0000_s1036" type="#_x0000_t32" style="position:absolute;left:8670;top:114865;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" strokeweight="2pt">
                    <v:stroke endarrow="open"/>
                    <v:shadow on="t" color="black" opacity="24903f" origin=",.5" offset="0,.55556mm"/>
                  </v:shape>
                  <v:oval id="Oval 35" o:spid="_x0000_s1037" style="position:absolute;left:8974;top:112456;width:765;height: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" fillcolor="#fabf8f [1945]" strokecolor="#d99594 [1941]" strokeweight="2pt">
                    <v:textbo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rsidR="00FC63CA" w:rsidRDefault="00FC63CA"/>
                      </w:txbxContent>
                    </v:textbox>
                  </v:oval>
                  <v:oval id="Oval 36" o:spid="_x0000_s1038" style="position:absolute;left:6221;top:116215;width:868;height: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" fillcolor="#fabf8f [1945]" strokecolor="#e5b8b7 [1301]" strokeweight="2pt">
                    <v:textbo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v:textbox>
                  </v:oval>
                  <v:shape id="Straight Arrow Connector 37" o:spid="_x0000_s1039" type="#_x0000_t32" style="position:absolute;left:6674;top:114861;width:0;height:1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" strokecolor="#fabf8f [1945]" strokeweight="2.5pt">
                    <v:stroke endarrow="open" endcap="round"/>
                  </v:shape>
                  <v:shape id="Straight Arrow Connector 38" o:spid="_x0000_s1040" type="#_x0000_t32" style="position:absolute;left:9382;top:113188;width:0;height: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" strokecolor="#fabf8f [1945]" strokeweight="2.5pt">
                    <v:stroke endarrow="open" endcap="round"/>
                  </v:shape>
                  <v:line id="Straight Connector 4" o:spid="_x0000_s1041" style="position:absolute;visibility:visible;mso-wrap-style:square" from="4725,112567" to="8685,1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" strokecolor="red" strokeweight="3pt"/>
                </v:group>
              </v:group>
            </w:pict>
          </mc:Fallback>
        </mc:AlternateContent>
      </w:r>
    </w:p>
    <w:p w:rsidR="00FC63CA" w:rsidRDefault="007B025A">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rsidR="00FC63CA" w:rsidRDefault="007B025A">
      <w:pPr>
        <w:ind w:firstLineChars="250" w:firstLine="60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Firm </w:t>
      </w:r>
      <w:proofErr w:type="gramStart"/>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Size  (</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rsidR="00FC63CA" w:rsidRDefault="00FC63CA">
      <w:pPr>
        <w:rPr>
          <w:rFonts w:ascii="Times New Roman Regular" w:hAnsi="Times New Roman Regular" w:cs="Times New Roman Regular"/>
          <w:sz w:val="24"/>
          <w:szCs w:val="24"/>
        </w:rPr>
      </w:pPr>
    </w:p>
    <w:p w:rsidR="00FC63CA" w:rsidRDefault="007B025A">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rsidR="00FC63CA" w:rsidRDefault="007B025A">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rsidR="00FC63CA" w:rsidRDefault="007B025A">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109855</wp:posOffset>
                </wp:positionV>
                <wp:extent cx="427355" cy="0"/>
                <wp:effectExtent l="33655" t="71120" r="46990" b="132080"/>
                <wp:wrapNone/>
                <wp:docPr id="32" name="Straight Arrow Connector 32"/>
                <wp:cNvGraphicFramePr/>
                <a:graphic xmlns:a="http://schemas.openxmlformats.org/drawingml/2006/main">
                  <a:graphicData uri="http://schemas.microsoft.com/office/word/2010/wordprocessingShape">
                    <wps:wsp>
                      <wps:cNvCnPr/>
                      <wps:spPr>
                        <a:xfrm>
                          <a:off x="0" y="0"/>
                          <a:ext cx="427355"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E3C171" id="Straight Arrow Connector 32" o:spid="_x0000_s1026" type="#_x0000_t32" style="position:absolute;margin-left:255.15pt;margin-top:8.65pt;width:33.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" strokecolor="red" strokeweight="2pt">
                <v:stroke endarrow="open"/>
                <v:shadow on="t" color="black" opacity="24903f" origin=",.5" offset="0,.55556mm"/>
              </v:shape>
            </w:pict>
          </mc:Fallback>
        </mc:AlternateContent>
      </w:r>
    </w:p>
    <w:p w:rsidR="00FC63CA" w:rsidRDefault="007B025A">
      <w:pPr>
        <w:rPr>
          <w:sz w:val="24"/>
        </w:rPr>
      </w:pPr>
      <w:r>
        <w:rPr>
          <w:sz w:val="24"/>
        </w:rPr>
        <w:t xml:space="preserve">   </w:t>
      </w:r>
    </w:p>
    <w:p w:rsidR="00FC63CA" w:rsidRDefault="007B025A">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1610360</wp:posOffset>
                </wp:positionH>
                <wp:positionV relativeFrom="paragraph">
                  <wp:posOffset>71755</wp:posOffset>
                </wp:positionV>
                <wp:extent cx="1043305" cy="632460"/>
                <wp:effectExtent l="40005" t="13970" r="34290" b="64770"/>
                <wp:wrapNone/>
                <wp:docPr id="31" name="Straight Arrow Connector 31"/>
                <wp:cNvGraphicFramePr/>
                <a:graphic xmlns:a="http://schemas.openxmlformats.org/drawingml/2006/main">
                  <a:graphicData uri="http://schemas.microsoft.com/office/word/2010/wordprocessingShape">
                    <wps:wsp>
                      <wps:cNvCnPr/>
                      <wps:spPr>
                        <a:xfrm flipV="1">
                          <a:off x="0" y="0"/>
                          <a:ext cx="1043305" cy="63246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ABDEEB" id="Straight Arrow Connector 31" o:spid="_x0000_s1026" type="#_x0000_t32" style="position:absolute;margin-left:126.8pt;margin-top:5.65pt;width:82.15pt;height:49.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" strokecolor="red" strokeweight="2pt">
                <v:stroke endarrow="open"/>
                <v:shadow on="t" color="black" opacity="24903f" origin=",.5" offset="0,.55556mm"/>
              </v:shape>
            </w:pict>
          </mc:Fallback>
        </mc:AlternateContent>
      </w:r>
    </w:p>
    <w:p w:rsidR="00FC63CA" w:rsidRDefault="00FC63CA">
      <w:pPr>
        <w:ind w:firstLineChars="250" w:firstLine="600"/>
        <w:rPr>
          <w:sz w:val="24"/>
        </w:rPr>
      </w:pPr>
    </w:p>
    <w:p w:rsidR="00FC63CA" w:rsidRDefault="00FC63CA">
      <w:pPr>
        <w:ind w:firstLineChars="250" w:firstLine="600"/>
        <w:rPr>
          <w:sz w:val="24"/>
        </w:rPr>
      </w:pPr>
    </w:p>
    <w:p w:rsidR="00FC63CA" w:rsidRDefault="00FC63CA">
      <w:pPr>
        <w:ind w:firstLineChars="350" w:firstLine="840"/>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p>
    <w:p w:rsidR="00FC63CA" w:rsidRDefault="007B025A">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rsidR="00FC63CA" w:rsidRDefault="007B025A">
      <w:pPr>
        <w:ind w:firstLineChars="350" w:firstLine="840"/>
        <w:rPr>
          <w:rFonts w:ascii="Times New Roman Regular" w:hAnsi="Times New Roman Regular" w:cs="Times New Roman Regular"/>
          <w:sz w:val="24"/>
          <w:szCs w:val="24"/>
        </w:rPr>
      </w:pPr>
      <w:proofErr w:type="gramStart"/>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proofErr w:type="gramEnd"/>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rsidR="00FC63CA" w:rsidRDefault="00FC63CA">
      <w:pPr>
        <w:tabs>
          <w:tab w:val="left" w:pos="1230"/>
        </w:tabs>
        <w:spacing w:line="360" w:lineRule="auto"/>
        <w:jc w:val="center"/>
        <w:rPr>
          <w:rFonts w:ascii="Times New Roman Regular" w:hAnsi="Times New Roman Regular" w:cs="Times New Roman Regular"/>
          <w:sz w:val="24"/>
          <w:szCs w:val="24"/>
        </w:rPr>
      </w:pPr>
    </w:p>
    <w:p w:rsidR="00FC63CA" w:rsidRDefault="00FC63CA">
      <w:pPr>
        <w:tabs>
          <w:tab w:val="left" w:pos="1230"/>
        </w:tabs>
        <w:spacing w:line="360" w:lineRule="auto"/>
        <w:jc w:val="both"/>
        <w:rPr>
          <w:rFonts w:ascii="Times New Roman" w:hAnsi="Times New Roman"/>
          <w:b/>
          <w:sz w:val="24"/>
          <w:szCs w:val="24"/>
        </w:rPr>
      </w:pPr>
    </w:p>
    <w:p w:rsidR="00FC63CA" w:rsidRDefault="007B025A">
      <w:pPr>
        <w:tabs>
          <w:tab w:val="left" w:pos="1230"/>
        </w:tabs>
        <w:spacing w:line="360" w:lineRule="auto"/>
        <w:jc w:val="center"/>
        <w:rPr>
          <w:rFonts w:ascii="Times New Roman Italic" w:hAnsi="Times New Roman Italic" w:cs="Times New Roman Italic"/>
          <w:i/>
          <w:iCs/>
          <w:sz w:val="24"/>
          <w:szCs w:val="24"/>
        </w:rPr>
      </w:pPr>
      <w:r>
        <w:rPr>
          <w:rFonts w:ascii="Times New Roman" w:hAnsi="Times New Roman"/>
          <w:b/>
          <w:sz w:val="24"/>
          <w:szCs w:val="24"/>
        </w:rPr>
        <w:t xml:space="preserve">Figure 1. </w:t>
      </w:r>
      <w:r w:rsidR="00241E87">
        <w:rPr>
          <w:rFonts w:ascii="Times New Roman" w:hAnsi="Times New Roman"/>
          <w:b/>
          <w:sz w:val="24"/>
          <w:szCs w:val="24"/>
        </w:rPr>
        <w:t>Conceptual</w:t>
      </w:r>
      <w:r>
        <w:rPr>
          <w:rFonts w:ascii="Times New Roman" w:hAnsi="Times New Roman"/>
          <w:b/>
          <w:sz w:val="24"/>
          <w:szCs w:val="24"/>
        </w:rPr>
        <w:t xml:space="preserve"> Framework </w:t>
      </w:r>
    </w:p>
    <w:p w:rsidR="00FC63CA" w:rsidRDefault="00FC63CA">
      <w:pPr>
        <w:ind w:firstLineChars="250" w:firstLine="500"/>
        <w:jc w:val="both"/>
        <w:rPr>
          <w:rFonts w:ascii="Arial Regular" w:hAnsi="Arial Regular"/>
        </w:rPr>
      </w:pPr>
    </w:p>
    <w:p w:rsidR="00FC63CA" w:rsidRDefault="00FC63CA">
      <w:pPr>
        <w:ind w:firstLineChars="250" w:firstLine="500"/>
        <w:jc w:val="both"/>
        <w:rPr>
          <w:rFonts w:ascii="Arial Regular" w:hAnsi="Arial Regular"/>
        </w:rPr>
      </w:pPr>
    </w:p>
    <w:p w:rsidR="00FC63CA" w:rsidRDefault="007B025A">
      <w:pPr>
        <w:pStyle w:val="AbstHead"/>
        <w:numPr>
          <w:ilvl w:val="0"/>
          <w:numId w:val="3"/>
        </w:numPr>
        <w:spacing w:after="0"/>
        <w:jc w:val="both"/>
        <w:rPr>
          <w:rFonts w:ascii="Arial Regular" w:hAnsi="Arial Regular" w:cs="Arial Regular"/>
          <w:bCs/>
          <w:szCs w:val="22"/>
        </w:rPr>
      </w:pPr>
      <w:r>
        <w:rPr>
          <w:rFonts w:ascii="Arial Regular" w:hAnsi="Arial Regular" w:cs="Arial Regular"/>
          <w:szCs w:val="22"/>
        </w:rPr>
        <w:t xml:space="preserve">   </w:t>
      </w:r>
      <w:r>
        <w:rPr>
          <w:rFonts w:ascii="Arial Regular" w:hAnsi="Arial Regular" w:cs="Arial Regular"/>
          <w:bCs/>
          <w:szCs w:val="22"/>
        </w:rPr>
        <w:t>METHodOLOGY</w:t>
      </w:r>
    </w:p>
    <w:p w:rsidR="00FC63CA" w:rsidRDefault="007B025A">
      <w:pPr>
        <w:pStyle w:val="NormalWeb"/>
        <w:ind w:firstLineChars="200" w:firstLine="400"/>
        <w:jc w:val="both"/>
        <w:rPr>
          <w:rFonts w:ascii="Arial Regular" w:hAnsi="Arial Regular" w:cs="Arial Regular"/>
          <w:color w:val="000000"/>
          <w:sz w:val="20"/>
          <w:szCs w:val="20"/>
        </w:rPr>
      </w:pPr>
      <w:r>
        <w:rPr>
          <w:rFonts w:ascii="Arial Regular" w:hAnsi="Arial Regular"/>
          <w:color w:val="000000"/>
          <w:sz w:val="20"/>
          <w:szCs w:val="20"/>
        </w:rPr>
        <w:t xml:space="preserve">The statistical analysis in this study goes beyond conventional approaches by integrating both direct and </w:t>
      </w:r>
      <w:r>
        <w:rPr>
          <w:rFonts w:ascii="Arial Regular" w:hAnsi="Arial Regular"/>
          <w:color w:val="000000"/>
          <w:sz w:val="20"/>
          <w:szCs w:val="20"/>
        </w:rPr>
        <w:t>indirect effects through a two-step regression process. Unlike standard analyses of coal industry financial metrics that typically focus on standalone profitability measures, our methodological framework specifically examines how sustainability reporting p</w:t>
      </w:r>
      <w:r>
        <w:rPr>
          <w:rFonts w:ascii="Arial Regular" w:hAnsi="Arial Regular"/>
          <w:color w:val="000000"/>
          <w:sz w:val="20"/>
          <w:szCs w:val="20"/>
        </w:rPr>
        <w:t>ractices and audit quality (represented by accounting firm size) create both immediate financial impacts and downstream effects on tax efficiency ratios. This approach was specifically developed to address the unique regulatory environment of Indonesia's e</w:t>
      </w:r>
      <w:r>
        <w:rPr>
          <w:rFonts w:ascii="Arial Regular" w:hAnsi="Arial Regular"/>
          <w:color w:val="000000"/>
          <w:sz w:val="20"/>
          <w:szCs w:val="20"/>
        </w:rPr>
        <w:t>xtractive industries sector, where both environmental reporting and tax compliance have become increasingly scrutinized by stakeholders</w:t>
      </w:r>
    </w:p>
    <w:p w:rsidR="00FC63CA" w:rsidRDefault="007B025A">
      <w:pPr>
        <w:pStyle w:val="NormalWeb"/>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The corporate tax turnover ratio (CTTOR) serves as an intervening variable in this quantitative study, which uses an ass</w:t>
      </w:r>
      <w:r>
        <w:rPr>
          <w:rFonts w:ascii="Arial Regular" w:hAnsi="Arial Regular" w:cs="Arial Regular"/>
          <w:color w:val="000000"/>
          <w:sz w:val="20"/>
          <w:szCs w:val="20"/>
        </w:rPr>
        <w:t>ociative explanatory research methodology to examine the relationship between sustainability reporting on gross profit margin and the size of public accounting firms. SPSS software is used for data analysis. The study's population comprises 34 coal-produci</w:t>
      </w:r>
      <w:r>
        <w:rPr>
          <w:rFonts w:ascii="Arial Regular" w:hAnsi="Arial Regular" w:cs="Arial Regular"/>
          <w:color w:val="000000"/>
          <w:sz w:val="20"/>
          <w:szCs w:val="20"/>
        </w:rPr>
        <w:t>ng businesses that were listed on the Indonesia Stock Exchange (IDX) between 2021 and 2023, producing 102 observations. Companies that fit certain criteria are chosen using a purposive sample technique, yielding 96 useful data points that include sustainab</w:t>
      </w:r>
      <w:r>
        <w:rPr>
          <w:rFonts w:ascii="Arial Regular" w:hAnsi="Arial Regular" w:cs="Arial Regular"/>
          <w:color w:val="000000"/>
          <w:sz w:val="20"/>
          <w:szCs w:val="20"/>
        </w:rPr>
        <w:t xml:space="preserve">ility and financial reports. As a precondition for multiple linear regression analysis, the data analysis process entails performing traditional assumption tests, such as normality, multicollinearity, heteroscedasticity, and autocorrelation tests. </w:t>
      </w:r>
    </w:p>
    <w:p w:rsidR="00FC63CA" w:rsidRDefault="007B025A">
      <w:pPr>
        <w:pStyle w:val="NormalWeb"/>
        <w:ind w:firstLineChars="200" w:firstLine="400"/>
        <w:jc w:val="both"/>
        <w:rPr>
          <w:rFonts w:ascii="Arial Regular" w:hAnsi="Arial Regular"/>
          <w:sz w:val="20"/>
          <w:szCs w:val="20"/>
        </w:rPr>
      </w:pPr>
      <w:r>
        <w:rPr>
          <w:rFonts w:ascii="Arial Regular" w:hAnsi="Arial Regular"/>
          <w:sz w:val="20"/>
          <w:szCs w:val="20"/>
        </w:rPr>
        <w:t>The fol</w:t>
      </w:r>
      <w:r>
        <w:rPr>
          <w:rFonts w:ascii="Arial Regular" w:hAnsi="Arial Regular"/>
          <w:sz w:val="20"/>
          <w:szCs w:val="20"/>
        </w:rPr>
        <w:t>lowing are the criteria considered for the company sample:</w:t>
      </w:r>
    </w:p>
    <w:p w:rsidR="00FC63CA" w:rsidRDefault="007B025A">
      <w:pPr>
        <w:pStyle w:val="NormalWeb"/>
        <w:spacing w:beforeAutospacing="0" w:afterAutospacing="0"/>
        <w:jc w:val="center"/>
        <w:rPr>
          <w:rFonts w:ascii="Arial Regular" w:hAnsi="Arial Regular" w:cs="Arial Regular"/>
          <w:b/>
          <w:bCs/>
          <w:sz w:val="20"/>
          <w:szCs w:val="20"/>
          <w:lang w:bidi="ar"/>
        </w:rPr>
      </w:pPr>
      <w:r>
        <w:rPr>
          <w:rFonts w:ascii="Arial Regular" w:hAnsi="Arial Regular" w:cs="Arial Regular"/>
          <w:b/>
          <w:bCs/>
          <w:sz w:val="20"/>
          <w:szCs w:val="20"/>
          <w:lang w:bidi="ar"/>
        </w:rPr>
        <w:t xml:space="preserve">Table 2. Criteria </w:t>
      </w:r>
      <w:r w:rsidR="00241E87">
        <w:rPr>
          <w:rFonts w:ascii="Arial Regular" w:hAnsi="Arial Regular" w:cs="Arial Regular"/>
          <w:b/>
          <w:bCs/>
          <w:sz w:val="20"/>
          <w:szCs w:val="20"/>
          <w:lang w:bidi="ar"/>
        </w:rPr>
        <w:t>Consider for Sample</w:t>
      </w:r>
    </w:p>
    <w:p w:rsidR="00FC63CA" w:rsidRDefault="00FC63CA">
      <w:pPr>
        <w:pStyle w:val="NormalWeb"/>
        <w:spacing w:beforeAutospacing="0" w:afterAutospacing="0"/>
        <w:rPr>
          <w:rFonts w:ascii="Arial Regular" w:hAnsi="Arial Regular" w:cs="Arial Regular"/>
          <w:sz w:val="20"/>
          <w:szCs w:val="20"/>
          <w:lang w:bidi="ar"/>
        </w:rPr>
      </w:pPr>
    </w:p>
    <w:tbl>
      <w:tblPr>
        <w:tblStyle w:val="TableGrid"/>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394"/>
        <w:gridCol w:w="2442"/>
      </w:tblGrid>
      <w:tr w:rsidR="00FC63CA">
        <w:trPr>
          <w:trHeight w:val="350"/>
        </w:trPr>
        <w:tc>
          <w:tcPr>
            <w:tcW w:w="763"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lastRenderedPageBreak/>
              <w:t>No.</w:t>
            </w:r>
          </w:p>
        </w:tc>
        <w:tc>
          <w:tcPr>
            <w:tcW w:w="4394"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Criteria </w:t>
            </w:r>
          </w:p>
        </w:tc>
        <w:tc>
          <w:tcPr>
            <w:tcW w:w="2442"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 Company</w:t>
            </w:r>
          </w:p>
        </w:tc>
      </w:tr>
      <w:tr w:rsidR="00FC63CA">
        <w:trPr>
          <w:trHeight w:val="1009"/>
        </w:trPr>
        <w:tc>
          <w:tcPr>
            <w:tcW w:w="763"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1</w:t>
            </w:r>
          </w:p>
        </w:tc>
        <w:tc>
          <w:tcPr>
            <w:tcW w:w="4394" w:type="dxa"/>
          </w:tcPr>
          <w:tbl>
            <w:tblPr>
              <w:tblW w:w="0" w:type="auto"/>
              <w:tblCellMar>
                <w:left w:w="0" w:type="dxa"/>
                <w:right w:w="0" w:type="dxa"/>
              </w:tblCellMar>
              <w:tblLook w:val="04A0" w:firstRow="1" w:lastRow="0" w:firstColumn="1" w:lastColumn="0" w:noHBand="0" w:noVBand="1"/>
            </w:tblPr>
            <w:tblGrid>
              <w:gridCol w:w="4178"/>
            </w:tblGrid>
            <w:tr w:rsidR="00FC63CA">
              <w:tc>
                <w:tcPr>
                  <w:tcW w:w="0" w:type="auto"/>
                  <w:shd w:val="clear" w:color="auto" w:fill="auto"/>
                  <w:tcMar>
                    <w:left w:w="100" w:type="dxa"/>
                    <w:right w:w="100" w:type="dxa"/>
                  </w:tcMar>
                </w:tcPr>
                <w:p w:rsidR="00FC63CA" w:rsidRDefault="007B025A">
                  <w:pPr>
                    <w:pStyle w:val="NormalWeb"/>
                    <w:spacing w:beforeAutospacing="0" w:afterAutospacing="0"/>
                    <w:rPr>
                      <w:rFonts w:ascii="Arial Regular" w:hAnsi="Arial Regular" w:cs="Arial Regular"/>
                      <w:sz w:val="20"/>
                      <w:szCs w:val="20"/>
                    </w:rPr>
                  </w:pPr>
                  <w:r>
                    <w:rPr>
                      <w:rFonts w:ascii="Arial Regular" w:hAnsi="Arial Regular" w:cs="Arial Regular"/>
                      <w:sz w:val="20"/>
                      <w:szCs w:val="20"/>
                      <w:lang w:bidi="ar"/>
                    </w:rPr>
                    <w:t>Coal companies that sell their shares on the Indonesia Stock Exchange (IDX) during the research period (2021-2023).</w:t>
                  </w:r>
                </w:p>
              </w:tc>
            </w:tr>
          </w:tbl>
          <w:p w:rsidR="00FC63CA" w:rsidRDefault="00FC63CA">
            <w:pPr>
              <w:pStyle w:val="NormalWeb"/>
              <w:spacing w:beforeAutospacing="0" w:afterAutospacing="0"/>
              <w:rPr>
                <w:rFonts w:ascii="Arial Regular" w:hAnsi="Arial Regular" w:cs="Arial Regular"/>
                <w:sz w:val="20"/>
                <w:szCs w:val="20"/>
              </w:rPr>
            </w:pPr>
          </w:p>
        </w:tc>
        <w:tc>
          <w:tcPr>
            <w:tcW w:w="2442"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34</w:t>
            </w:r>
          </w:p>
        </w:tc>
      </w:tr>
      <w:tr w:rsidR="00FC63CA">
        <w:trPr>
          <w:trHeight w:val="803"/>
        </w:trPr>
        <w:tc>
          <w:tcPr>
            <w:tcW w:w="763"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c>
          <w:tcPr>
            <w:tcW w:w="4394" w:type="dxa"/>
          </w:tcPr>
          <w:p w:rsidR="00FC63CA" w:rsidRDefault="007B025A">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Companies that did not launch complete annual reports and financial statement records during the research period (2021-2023) </w:t>
            </w:r>
          </w:p>
        </w:tc>
        <w:tc>
          <w:tcPr>
            <w:tcW w:w="2442"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r>
      <w:tr w:rsidR="00FC63CA">
        <w:trPr>
          <w:trHeight w:val="350"/>
        </w:trPr>
        <w:tc>
          <w:tcPr>
            <w:tcW w:w="5157" w:type="dxa"/>
            <w:gridSpan w:val="2"/>
          </w:tcPr>
          <w:p w:rsidR="00FC63CA" w:rsidRDefault="007B025A">
            <w:pPr>
              <w:pStyle w:val="NormalWeb"/>
              <w:spacing w:beforeAutospacing="0" w:afterAutospacing="0"/>
              <w:jc w:val="right"/>
              <w:rPr>
                <w:rFonts w:ascii="Arial Regular" w:hAnsi="Arial Regular" w:cs="Arial Regular"/>
                <w:sz w:val="20"/>
                <w:szCs w:val="20"/>
              </w:rPr>
            </w:pPr>
            <w:r>
              <w:rPr>
                <w:rFonts w:ascii="Arial Regular" w:hAnsi="Arial Regular" w:cs="Arial Regular"/>
                <w:sz w:val="20"/>
                <w:szCs w:val="20"/>
              </w:rPr>
              <w:t>Number of companies that fulfil the criteria</w:t>
            </w:r>
          </w:p>
        </w:tc>
        <w:tc>
          <w:tcPr>
            <w:tcW w:w="2442"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32</w:t>
            </w:r>
          </w:p>
        </w:tc>
      </w:tr>
      <w:tr w:rsidR="00FC63CA">
        <w:trPr>
          <w:trHeight w:val="370"/>
        </w:trPr>
        <w:tc>
          <w:tcPr>
            <w:tcW w:w="5157" w:type="dxa"/>
            <w:gridSpan w:val="2"/>
          </w:tcPr>
          <w:p w:rsidR="00FC63CA" w:rsidRDefault="007B025A">
            <w:pPr>
              <w:pStyle w:val="NormalWeb"/>
              <w:wordWrap w:val="0"/>
              <w:spacing w:beforeAutospacing="0" w:afterAutospacing="0"/>
              <w:jc w:val="right"/>
              <w:rPr>
                <w:rFonts w:ascii="Arial Regular" w:hAnsi="Arial Regular" w:cs="Arial Regular"/>
                <w:sz w:val="20"/>
                <w:szCs w:val="20"/>
              </w:rPr>
            </w:pPr>
            <w:r>
              <w:rPr>
                <w:rFonts w:ascii="Arial Regular" w:hAnsi="Arial Regular" w:cs="Arial Regular"/>
                <w:sz w:val="20"/>
                <w:szCs w:val="20"/>
              </w:rPr>
              <w:t>Years of observation period</w:t>
            </w:r>
          </w:p>
        </w:tc>
        <w:tc>
          <w:tcPr>
            <w:tcW w:w="2442"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w:t>
            </w:r>
          </w:p>
        </w:tc>
      </w:tr>
      <w:tr w:rsidR="00FC63CA">
        <w:trPr>
          <w:trHeight w:val="370"/>
        </w:trPr>
        <w:tc>
          <w:tcPr>
            <w:tcW w:w="5157" w:type="dxa"/>
            <w:gridSpan w:val="2"/>
          </w:tcPr>
          <w:p w:rsidR="00FC63CA" w:rsidRDefault="007B025A">
            <w:pPr>
              <w:pStyle w:val="NormalWeb"/>
              <w:wordWrap w:val="0"/>
              <w:spacing w:beforeAutospacing="0" w:afterAutospacing="0"/>
              <w:jc w:val="right"/>
              <w:rPr>
                <w:rFonts w:ascii="Arial Regular" w:hAnsi="Arial Regular" w:cs="Arial Regular"/>
                <w:sz w:val="20"/>
                <w:szCs w:val="20"/>
              </w:rPr>
            </w:pPr>
            <w:r>
              <w:rPr>
                <w:rFonts w:ascii="Arial Regular" w:hAnsi="Arial Regular" w:cs="Arial Regular"/>
                <w:sz w:val="20"/>
                <w:szCs w:val="20"/>
              </w:rPr>
              <w:t xml:space="preserve">Number of observation </w:t>
            </w:r>
            <w:proofErr w:type="gramStart"/>
            <w:r>
              <w:rPr>
                <w:rFonts w:ascii="Arial Regular" w:hAnsi="Arial Regular" w:cs="Arial Regular"/>
                <w:sz w:val="20"/>
                <w:szCs w:val="20"/>
              </w:rPr>
              <w:t>data  (</w:t>
            </w:r>
            <w:proofErr w:type="gramEnd"/>
            <w:r>
              <w:rPr>
                <w:rFonts w:ascii="Arial Regular" w:hAnsi="Arial Regular" w:cs="Arial Regular"/>
                <w:sz w:val="20"/>
                <w:szCs w:val="20"/>
              </w:rPr>
              <w:t xml:space="preserve">sample) </w:t>
            </w:r>
          </w:p>
        </w:tc>
        <w:tc>
          <w:tcPr>
            <w:tcW w:w="2442" w:type="dxa"/>
          </w:tcPr>
          <w:p w:rsidR="00FC63CA" w:rsidRDefault="007B025A">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96</w:t>
            </w:r>
          </w:p>
        </w:tc>
      </w:tr>
    </w:tbl>
    <w:p w:rsidR="00FC63CA" w:rsidRDefault="007B025A">
      <w:pPr>
        <w:pStyle w:val="NormalWeb"/>
        <w:spacing w:beforeAutospacing="0" w:afterAutospacing="0"/>
        <w:rPr>
          <w:rFonts w:ascii="Arial Regular" w:hAnsi="Arial Regular" w:cs="Arial Regular"/>
          <w:color w:val="000000"/>
          <w:sz w:val="16"/>
          <w:szCs w:val="16"/>
        </w:rPr>
      </w:pPr>
      <w:r>
        <w:rPr>
          <w:rFonts w:ascii="Arial Regular" w:hAnsi="Arial Regular" w:cs="Arial Regular"/>
          <w:sz w:val="16"/>
          <w:szCs w:val="16"/>
        </w:rPr>
        <w:t xml:space="preserve">  </w:t>
      </w:r>
      <w:proofErr w:type="spellStart"/>
      <w:proofErr w:type="gramStart"/>
      <w:r>
        <w:rPr>
          <w:rFonts w:ascii="Arial Regular" w:hAnsi="Arial Regular" w:cs="Arial Regular"/>
          <w:sz w:val="16"/>
          <w:szCs w:val="16"/>
        </w:rPr>
        <w:t>Souce</w:t>
      </w:r>
      <w:proofErr w:type="spellEnd"/>
      <w:r>
        <w:rPr>
          <w:rFonts w:ascii="Arial Regular" w:hAnsi="Arial Regular" w:cs="Arial Regular"/>
          <w:sz w:val="16"/>
          <w:szCs w:val="16"/>
        </w:rPr>
        <w:t xml:space="preserve"> :</w:t>
      </w:r>
      <w:proofErr w:type="gramEnd"/>
      <w:r>
        <w:rPr>
          <w:rFonts w:ascii="Arial Regular" w:hAnsi="Arial Regular" w:cs="Arial Regular"/>
          <w:sz w:val="16"/>
          <w:szCs w:val="16"/>
        </w:rPr>
        <w:t xml:space="preserve"> T</w:t>
      </w:r>
      <w:r>
        <w:rPr>
          <w:rFonts w:ascii="Arial Regular" w:hAnsi="Arial Regular" w:cs="Arial Regular"/>
          <w:color w:val="000000"/>
          <w:sz w:val="16"/>
          <w:szCs w:val="16"/>
        </w:rPr>
        <w:t>he Indonesia Stock Exchange (IDX) data</w:t>
      </w:r>
    </w:p>
    <w:p w:rsidR="00FC63CA" w:rsidRDefault="00FC63CA">
      <w:pPr>
        <w:pStyle w:val="NormalWeb"/>
        <w:spacing w:beforeAutospacing="0" w:afterAutospacing="0"/>
        <w:rPr>
          <w:rFonts w:ascii="Arial Regular" w:hAnsi="Arial Regular" w:cs="Arial Regular"/>
          <w:color w:val="000000"/>
          <w:sz w:val="20"/>
          <w:szCs w:val="20"/>
        </w:rPr>
      </w:pPr>
    </w:p>
    <w:p w:rsidR="00FC63CA" w:rsidRDefault="00FC63CA">
      <w:pPr>
        <w:pStyle w:val="NormalWeb"/>
        <w:spacing w:beforeAutospacing="0" w:afterAutospacing="0"/>
        <w:rPr>
          <w:rFonts w:ascii="Arial Regular" w:hAnsi="Arial Regular" w:cs="Arial Regular"/>
          <w:color w:val="000000"/>
          <w:sz w:val="20"/>
          <w:szCs w:val="20"/>
        </w:rPr>
      </w:pPr>
    </w:p>
    <w:p w:rsidR="00FC63CA" w:rsidRDefault="007B025A">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Linear regression equation</w:t>
      </w:r>
    </w:p>
    <w:p w:rsidR="00FC63CA" w:rsidRDefault="00FC63CA">
      <w:pPr>
        <w:pStyle w:val="NormalWeb"/>
        <w:spacing w:beforeAutospacing="0" w:afterAutospacing="0"/>
        <w:rPr>
          <w:sz w:val="23"/>
          <w:szCs w:val="23"/>
        </w:rPr>
      </w:pPr>
    </w:p>
    <w:p w:rsidR="00FC63CA" w:rsidRDefault="007B025A">
      <w:pPr>
        <w:tabs>
          <w:tab w:val="left" w:pos="420"/>
          <w:tab w:val="left" w:pos="630"/>
        </w:tabs>
        <w:rPr>
          <w:rFonts w:ascii="Times New Roman Regular" w:hAnsi="Times New Roman Regular" w:cs="Times New Roman Regular"/>
          <w:sz w:val="22"/>
          <w:szCs w:val="22"/>
        </w:rPr>
      </w:pPr>
      <w:r>
        <w:rPr>
          <w:rFonts w:ascii="Times New Roman Regular" w:hAnsi="Times New Roman Regular" w:cs="Times New Roman Regular"/>
          <w:sz w:val="22"/>
          <w:szCs w:val="22"/>
        </w:rPr>
        <w:tab/>
        <w:t xml:space="preserve">  The regression equation formula used </w:t>
      </w:r>
      <w:proofErr w:type="gramStart"/>
      <w:r>
        <w:rPr>
          <w:rFonts w:ascii="Times New Roman Regular" w:hAnsi="Times New Roman Regular" w:cs="Times New Roman Regular"/>
          <w:sz w:val="22"/>
          <w:szCs w:val="22"/>
        </w:rPr>
        <w:t>is :</w:t>
      </w:r>
      <w:proofErr w:type="gramEnd"/>
    </w:p>
    <w:p w:rsidR="00FC63CA" w:rsidRDefault="00FC63CA">
      <w:pPr>
        <w:tabs>
          <w:tab w:val="left" w:pos="420"/>
          <w:tab w:val="left" w:pos="630"/>
        </w:tabs>
        <w:rPr>
          <w:rFonts w:ascii="Times New Roman Regular" w:hAnsi="Times New Roman Regular" w:cs="Times New Roman Regular"/>
          <w:sz w:val="22"/>
          <w:szCs w:val="22"/>
        </w:rPr>
      </w:pPr>
    </w:p>
    <w:p w:rsidR="00FC63CA" w:rsidRDefault="007B025A">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w:r>
        <w:rPr>
          <w:rFonts w:ascii="Arial Regular" w:hAnsi="Arial Regular" w:cs="Arial Regular"/>
        </w:rPr>
        <w:t xml:space="preserve"> </w:t>
      </w:r>
      <w:r>
        <w:rPr>
          <w:rFonts w:ascii="Arial Regular" w:hAnsi="Arial Regular" w:cs="Arial Regular"/>
        </w:rPr>
        <w:tab/>
        <w:t xml:space="preserve">  </w:t>
      </w:r>
      <m:oMath>
        <m:sSub>
          <m:sSubPr>
            <m:ctrlPr>
              <w:rPr>
                <w:rFonts w:ascii="DejaVu Math TeX Gyre" w:hAnsi="DejaVu Math TeX Gyre" w:cs="Arial Regular"/>
              </w:rPr>
            </m:ctrlPr>
          </m:sSubPr>
          <m:e>
            <m:r>
              <m:rPr>
                <m:sty m:val="p"/>
              </m:rPr>
              <w:rPr>
                <w:rFonts w:ascii="DejaVu Math TeX Gyre" w:hAnsi="DejaVu Math TeX Gyre" w:cs="Arial Regular"/>
              </w:rPr>
              <m:t>Y</m:t>
            </m:r>
          </m:e>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+e</m:t>
        </m:r>
      </m:oMath>
      <w:r>
        <w:rPr>
          <w:rFonts w:ascii="Arial Regular" w:hAnsi="Arial Regular" w:cs="Arial Regular"/>
          <w:vertAlign w:val="subscript"/>
        </w:rPr>
        <w:t>1</w:t>
      </w:r>
      <w:r>
        <w:rPr>
          <w:rFonts w:ascii="Arial Regular" w:hAnsi="Arial Regular" w:cs="Arial Regular"/>
        </w:rPr>
        <w:t xml:space="preserve">                            ..........    equation 1</w:t>
      </w:r>
    </w:p>
    <w:p w:rsidR="00FC63CA" w:rsidRDefault="007B025A">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m:oMath>
        <m:r>
          <m:rPr>
            <m:sty m:val="p"/>
          </m:rPr>
          <w:rPr>
            <w:rFonts w:ascii="DejaVu Math TeX Gyre" w:hAnsi="DejaVu Math TeX Gyre" w:cs="Arial Regular"/>
          </w:rPr>
          <m:t xml:space="preserve">   Z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3</m:t>
            </m:r>
          </m:sub>
        </m:sSub>
        <m:r>
          <m:rPr>
            <m:sty m:val="p"/>
          </m:rPr>
          <w:rPr>
            <w:rFonts w:ascii="DejaVu Math TeX Gyre" w:hAnsi="DejaVu Math TeX Gyre" w:cs="Arial Regular"/>
          </w:rPr>
          <m:t xml:space="preserve"> Y+e</m:t>
        </m:r>
      </m:oMath>
      <w:r>
        <w:rPr>
          <w:rFonts w:ascii="Arial Regular" w:hAnsi="Arial Regular" w:cs="Arial Regular"/>
          <w:vertAlign w:val="subscript"/>
        </w:rPr>
        <w:t xml:space="preserve">  2                       </w:t>
      </w:r>
      <w:r>
        <w:rPr>
          <w:rFonts w:ascii="Arial Regular" w:hAnsi="Arial Regular" w:cs="Arial Regular"/>
        </w:rPr>
        <w:t>.......…    equation 2</w:t>
      </w:r>
    </w:p>
    <w:p w:rsidR="00FC63CA" w:rsidRDefault="00FC63CA">
      <w:pPr>
        <w:tabs>
          <w:tab w:val="left" w:pos="420"/>
          <w:tab w:val="left" w:pos="630"/>
        </w:tabs>
        <w:rPr>
          <w:rFonts w:ascii="Arial Regular" w:hAnsi="Arial Regular" w:cs="Arial Regular"/>
        </w:rPr>
      </w:pPr>
    </w:p>
    <w:p w:rsidR="00FC63CA" w:rsidRDefault="00FC63CA">
      <w:pPr>
        <w:tabs>
          <w:tab w:val="left" w:pos="420"/>
          <w:tab w:val="left" w:pos="630"/>
        </w:tabs>
        <w:rPr>
          <w:rFonts w:ascii="Times New Roman Regular" w:hAnsi="Times New Roman Regular" w:cs="Times New Roman Regular"/>
          <w:sz w:val="22"/>
          <w:szCs w:val="22"/>
        </w:rPr>
      </w:pPr>
    </w:p>
    <w:p w:rsidR="00FC63CA" w:rsidRDefault="007B025A">
      <w:pPr>
        <w:tabs>
          <w:tab w:val="left" w:pos="420"/>
          <w:tab w:val="left" w:pos="630"/>
        </w:tabs>
        <w:rPr>
          <w:rFonts w:ascii="Arial Bold" w:hAnsi="Arial Bold" w:cs="Arial Bold"/>
          <w:b/>
          <w:bCs/>
        </w:rPr>
      </w:pPr>
      <w:r>
        <w:rPr>
          <w:rFonts w:ascii="Arial Bold" w:hAnsi="Arial Bold" w:cs="Arial Bold"/>
          <w:b/>
          <w:bCs/>
        </w:rPr>
        <w:t>Description:</w:t>
      </w:r>
    </w:p>
    <w:p w:rsidR="00FC63CA" w:rsidRDefault="007B025A">
      <w:pPr>
        <w:tabs>
          <w:tab w:val="left" w:pos="420"/>
          <w:tab w:val="left" w:pos="630"/>
        </w:tabs>
        <w:rPr>
          <w:rFonts w:ascii="Arial" w:hAnsi="Arial" w:cs="Arial"/>
        </w:rPr>
      </w:pPr>
      <w:r>
        <w:rPr>
          <w:rFonts w:ascii="Arial Regular" w:hAnsi="Arial Regular" w:cs="Arial Regular"/>
        </w:rPr>
        <w:t xml:space="preserve">a </w:t>
      </w:r>
      <w:r>
        <w:rPr>
          <w:rFonts w:ascii="Arial Regular" w:hAnsi="Arial Regular" w:cs="Arial Regular"/>
        </w:rPr>
        <w:tab/>
      </w:r>
      <w:r>
        <w:rPr>
          <w:rFonts w:ascii="Arial Regular" w:hAnsi="Arial Regular" w:cs="Arial Regular"/>
        </w:rPr>
        <w:tab/>
      </w:r>
      <w:r>
        <w:rPr>
          <w:rFonts w:ascii="Arial Regular" w:hAnsi="Arial Regular" w:cs="Arial Regular"/>
        </w:rPr>
        <w:tab/>
        <w:t xml:space="preserve">   =     </w:t>
      </w:r>
      <w:r>
        <w:rPr>
          <w:rFonts w:ascii="Arial" w:hAnsi="Arial" w:cs="Arial"/>
        </w:rPr>
        <w:t>Constant</w:t>
      </w:r>
    </w:p>
    <w:p w:rsidR="00FC63CA" w:rsidRDefault="007B025A">
      <w:pPr>
        <w:tabs>
          <w:tab w:val="left" w:pos="420"/>
          <w:tab w:val="left" w:pos="630"/>
        </w:tabs>
        <w:rPr>
          <w:rFonts w:ascii="Arial" w:hAnsi="Arial" w:cs="Arial"/>
        </w:rPr>
      </w:pPr>
      <w:r>
        <w:rPr>
          <w:rFonts w:ascii="Arial" w:hAnsi="Arial" w:cs="Arial"/>
        </w:rPr>
        <w:t>x</w:t>
      </w:r>
      <w:r>
        <w:rPr>
          <w:rFonts w:ascii="Arial" w:hAnsi="Arial" w:cs="Arial"/>
          <w:vertAlign w:val="subscript"/>
        </w:rPr>
        <w:t>1</w:t>
      </w:r>
      <w:r>
        <w:rPr>
          <w:rFonts w:ascii="Arial" w:hAnsi="Arial" w:cs="Arial"/>
        </w:rPr>
        <w:tab/>
      </w:r>
      <w:r>
        <w:rPr>
          <w:rFonts w:ascii="Arial" w:hAnsi="Arial" w:cs="Arial"/>
        </w:rPr>
        <w:tab/>
      </w:r>
      <w:r>
        <w:rPr>
          <w:rFonts w:ascii="Arial" w:hAnsi="Arial" w:cs="Arial"/>
        </w:rPr>
        <w:tab/>
        <w:t xml:space="preserve">   =     Public accounting firm size</w:t>
      </w:r>
    </w:p>
    <w:p w:rsidR="00FC63CA" w:rsidRDefault="007B025A">
      <w:pPr>
        <w:tabs>
          <w:tab w:val="left" w:pos="420"/>
          <w:tab w:val="left" w:pos="630"/>
        </w:tabs>
        <w:rPr>
          <w:rFonts w:ascii="Arial" w:hAnsi="Arial" w:cs="Arial"/>
        </w:rPr>
      </w:pPr>
      <w:r>
        <w:rPr>
          <w:rFonts w:ascii="Arial" w:hAnsi="Arial" w:cs="Arial"/>
        </w:rPr>
        <w:t>x</w:t>
      </w:r>
      <w:r>
        <w:rPr>
          <w:rFonts w:ascii="Arial" w:hAnsi="Arial" w:cs="Arial"/>
          <w:vertAlign w:val="subscript"/>
        </w:rPr>
        <w:t>2</w:t>
      </w:r>
      <w:r>
        <w:rPr>
          <w:rFonts w:ascii="Arial" w:hAnsi="Arial" w:cs="Arial"/>
        </w:rPr>
        <w:tab/>
      </w:r>
      <w:r>
        <w:rPr>
          <w:rFonts w:ascii="Arial" w:hAnsi="Arial" w:cs="Arial"/>
        </w:rPr>
        <w:tab/>
        <w:t xml:space="preserve">     =     Sustainability report</w:t>
      </w:r>
    </w:p>
    <w:p w:rsidR="00FC63CA" w:rsidRDefault="007B025A">
      <w:pPr>
        <w:tabs>
          <w:tab w:val="left" w:pos="420"/>
          <w:tab w:val="left" w:pos="630"/>
        </w:tabs>
        <w:rPr>
          <w:rFonts w:ascii="Arial" w:hAnsi="Arial" w:cs="Arial"/>
        </w:rPr>
      </w:pPr>
      <w:r>
        <w:rPr>
          <w:rFonts w:ascii="Arial" w:hAnsi="Arial" w:cs="Arial"/>
        </w:rPr>
        <w:t>Y</w:t>
      </w:r>
      <w:r>
        <w:rPr>
          <w:rFonts w:ascii="Arial" w:hAnsi="Arial" w:cs="Arial"/>
          <w:vertAlign w:val="subscript"/>
        </w:rPr>
        <w:tab/>
      </w:r>
      <w:r>
        <w:rPr>
          <w:rFonts w:ascii="Arial" w:hAnsi="Arial" w:cs="Arial"/>
          <w:vertAlign w:val="subscript"/>
        </w:rPr>
        <w:tab/>
      </w:r>
      <w:r>
        <w:rPr>
          <w:rFonts w:ascii="Arial" w:hAnsi="Arial" w:cs="Arial"/>
          <w:vertAlign w:val="subscript"/>
        </w:rPr>
        <w:tab/>
        <w:t xml:space="preserve">     </w:t>
      </w:r>
      <w:r>
        <w:rPr>
          <w:rFonts w:ascii="Arial" w:hAnsi="Arial" w:cs="Arial"/>
        </w:rPr>
        <w:t>=     Gross profit margin</w:t>
      </w:r>
    </w:p>
    <w:p w:rsidR="00FC63CA" w:rsidRDefault="007B025A">
      <w:pPr>
        <w:tabs>
          <w:tab w:val="left" w:pos="420"/>
          <w:tab w:val="left" w:pos="630"/>
        </w:tabs>
        <w:rPr>
          <w:rFonts w:ascii="Arial" w:hAnsi="Arial" w:cs="Arial"/>
        </w:rPr>
      </w:pPr>
      <w:r>
        <w:rPr>
          <w:rFonts w:ascii="Arial" w:hAnsi="Arial" w:cs="Arial"/>
        </w:rPr>
        <w:t>z</w:t>
      </w:r>
      <w:r>
        <w:rPr>
          <w:rFonts w:ascii="Arial" w:hAnsi="Arial" w:cs="Arial"/>
        </w:rPr>
        <w:tab/>
      </w:r>
      <w:r>
        <w:rPr>
          <w:rFonts w:ascii="Arial" w:hAnsi="Arial" w:cs="Arial"/>
        </w:rPr>
        <w:tab/>
      </w:r>
      <w:r>
        <w:rPr>
          <w:rFonts w:ascii="Arial" w:hAnsi="Arial" w:cs="Arial"/>
        </w:rPr>
        <w:tab/>
        <w:t xml:space="preserve">   =     Corporate tax </w:t>
      </w:r>
      <w:proofErr w:type="spellStart"/>
      <w:r>
        <w:rPr>
          <w:rFonts w:ascii="Arial" w:hAnsi="Arial" w:cs="Arial"/>
        </w:rPr>
        <w:t>turn over</w:t>
      </w:r>
      <w:proofErr w:type="spellEnd"/>
      <w:r>
        <w:rPr>
          <w:rFonts w:ascii="Arial" w:hAnsi="Arial" w:cs="Arial"/>
        </w:rPr>
        <w:t xml:space="preserve"> ratio (CTTOR)</w:t>
      </w:r>
    </w:p>
    <w:p w:rsidR="00FC63CA" w:rsidRDefault="007B025A">
      <w:pPr>
        <w:tabs>
          <w:tab w:val="left" w:pos="420"/>
          <w:tab w:val="left" w:pos="630"/>
        </w:tabs>
        <w:rPr>
          <w:rFonts w:ascii="Arial" w:hAnsi="Arial" w:cs="Arial"/>
        </w:rPr>
      </w:pPr>
      <w:r>
        <w:rPr>
          <w:rFonts w:ascii="Arial" w:hAnsi="Arial" w:cs="Arial"/>
        </w:rPr>
        <w:t xml:space="preserve">β   </w:t>
      </w:r>
      <w:r>
        <w:rPr>
          <w:rFonts w:ascii="Arial" w:hAnsi="Arial" w:cs="Arial"/>
        </w:rPr>
        <w:t xml:space="preserve">           =     Regression direction coefficient</w:t>
      </w:r>
    </w:p>
    <w:p w:rsidR="00FC63CA" w:rsidRDefault="007B025A">
      <w:pPr>
        <w:tabs>
          <w:tab w:val="left" w:pos="420"/>
          <w:tab w:val="left" w:pos="630"/>
        </w:tabs>
        <w:rPr>
          <w:rFonts w:ascii="Arial" w:hAnsi="Arial" w:cs="Arial"/>
        </w:rPr>
      </w:pPr>
      <w:r>
        <w:rPr>
          <w:rFonts w:ascii="Arial" w:hAnsi="Arial" w:cs="Arial"/>
        </w:rPr>
        <w:t>e</w:t>
      </w:r>
      <w:r>
        <w:rPr>
          <w:rFonts w:ascii="Arial" w:hAnsi="Arial" w:cs="Arial"/>
          <w:vertAlign w:val="subscript"/>
        </w:rPr>
        <w:t xml:space="preserve">1 </w:t>
      </w:r>
      <w:r>
        <w:rPr>
          <w:rFonts w:ascii="Arial" w:hAnsi="Arial" w:cs="Arial"/>
        </w:rPr>
        <w:t>and e</w:t>
      </w:r>
      <w:proofErr w:type="gramStart"/>
      <w:r>
        <w:rPr>
          <w:rFonts w:ascii="Arial" w:hAnsi="Arial" w:cs="Arial"/>
          <w:vertAlign w:val="subscript"/>
        </w:rPr>
        <w:t>2</w:t>
      </w:r>
      <w:r>
        <w:rPr>
          <w:rFonts w:ascii="Arial" w:hAnsi="Arial" w:cs="Arial"/>
        </w:rPr>
        <w:t xml:space="preserve">  =</w:t>
      </w:r>
      <w:proofErr w:type="gramEnd"/>
      <w:r>
        <w:rPr>
          <w:rFonts w:ascii="Arial" w:hAnsi="Arial" w:cs="Arial"/>
        </w:rPr>
        <w:t xml:space="preserve">     Error</w:t>
      </w:r>
    </w:p>
    <w:p w:rsidR="00FC63CA" w:rsidRDefault="00FC63CA">
      <w:pPr>
        <w:tabs>
          <w:tab w:val="left" w:pos="420"/>
          <w:tab w:val="left" w:pos="630"/>
        </w:tabs>
        <w:rPr>
          <w:rFonts w:ascii="Arial" w:eastAsia="Helvetica" w:hAnsi="Arial" w:cs="Arial"/>
          <w:sz w:val="24"/>
        </w:rPr>
      </w:pPr>
    </w:p>
    <w:p w:rsidR="00FC63CA" w:rsidRDefault="007B025A">
      <w:pPr>
        <w:pStyle w:val="AbstHead"/>
        <w:numPr>
          <w:ilvl w:val="0"/>
          <w:numId w:val="3"/>
        </w:numPr>
        <w:spacing w:after="0"/>
        <w:jc w:val="both"/>
        <w:rPr>
          <w:rFonts w:ascii="Arial Bold" w:hAnsi="Arial Bold" w:cs="Arial Bold"/>
          <w:szCs w:val="22"/>
        </w:rPr>
      </w:pPr>
      <w:r>
        <w:rPr>
          <w:rFonts w:ascii="Arial Bold" w:hAnsi="Arial Bold" w:cs="Arial Bold"/>
          <w:szCs w:val="22"/>
        </w:rPr>
        <w:t xml:space="preserve">   RESULTS AND DISCUSSION</w:t>
      </w:r>
    </w:p>
    <w:p w:rsidR="00FC63CA" w:rsidRDefault="00FC63CA">
      <w:pPr>
        <w:pStyle w:val="AbstHead"/>
        <w:spacing w:after="0"/>
        <w:jc w:val="both"/>
        <w:rPr>
          <w:rFonts w:ascii="Arial Regular" w:hAnsi="Arial Regular" w:cs="Arial Regular"/>
          <w:bCs/>
          <w:szCs w:val="22"/>
        </w:rPr>
      </w:pPr>
    </w:p>
    <w:p w:rsidR="00FC63CA" w:rsidRDefault="007B025A">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CLASSICAL ASSUMPTION TEST </w:t>
      </w:r>
    </w:p>
    <w:p w:rsidR="00FC63CA" w:rsidRDefault="00FC63CA">
      <w:pPr>
        <w:pStyle w:val="NormalWeb"/>
        <w:spacing w:beforeAutospacing="0" w:afterAutospacing="0"/>
        <w:ind w:left="111"/>
        <w:rPr>
          <w:rFonts w:ascii="Arial Bold" w:hAnsi="Arial Bold" w:cs="Arial Bold"/>
          <w:b/>
          <w:bCs/>
          <w:sz w:val="20"/>
          <w:szCs w:val="20"/>
        </w:rPr>
      </w:pPr>
    </w:p>
    <w:p w:rsidR="00FC63CA" w:rsidRDefault="007B025A">
      <w:pPr>
        <w:pStyle w:val="NormalWeb"/>
        <w:spacing w:beforeAutospacing="0" w:afterAutospacing="0"/>
        <w:ind w:firstLineChars="250" w:firstLine="500"/>
        <w:jc w:val="both"/>
        <w:rPr>
          <w:rFonts w:ascii="Arial" w:hAnsi="Arial" w:cs="Arial"/>
          <w:sz w:val="20"/>
          <w:szCs w:val="20"/>
        </w:rPr>
      </w:pPr>
      <w:r>
        <w:rPr>
          <w:rFonts w:ascii="Arial" w:hAnsi="Arial"/>
          <w:sz w:val="20"/>
          <w:szCs w:val="20"/>
        </w:rPr>
        <w:t xml:space="preserve">To give a quantitative overview of the statistical properties of the variables in the study model, descriptive analysis is used. The analysis includes 96 observation samples from 2021 until 2023, as shown in Table 3. The mean, standard deviation, minimum, </w:t>
      </w:r>
      <w:r>
        <w:rPr>
          <w:rFonts w:ascii="Arial" w:hAnsi="Arial"/>
          <w:sz w:val="20"/>
          <w:szCs w:val="20"/>
        </w:rPr>
        <w:t xml:space="preserve">and maximum values for every variable are included in the descriptive statistics. Because they are measured using a dummy variable technique, the variables that indicate sustainability reporting and the size of the public accounting firm both show minimum </w:t>
      </w:r>
      <w:r>
        <w:rPr>
          <w:rFonts w:ascii="Arial" w:hAnsi="Arial"/>
          <w:sz w:val="20"/>
          <w:szCs w:val="20"/>
        </w:rPr>
        <w:t xml:space="preserve">and maximum values of 0.00 and 1.00, respectively. Their standard deviation and mean, however, are different. The sustainability report variable displays a mean of 0.8229 and a standard deviation of 0.38374, whilst the public accounting firm has a mean of </w:t>
      </w:r>
      <w:r>
        <w:rPr>
          <w:rFonts w:ascii="Arial" w:hAnsi="Arial"/>
          <w:sz w:val="20"/>
          <w:szCs w:val="20"/>
        </w:rPr>
        <w:t>0.3229 and a standard deviation of 0.47005. The gross profit's minimum, maximum, mean, and standard deviation values are - 0.96, 0.67, 0.2663, and 0.24475, respectively. The last variable, CTTOR, has minimum, maximum, mean, and standard deviation values of</w:t>
      </w:r>
      <w:r>
        <w:rPr>
          <w:rFonts w:ascii="Arial" w:hAnsi="Arial"/>
          <w:sz w:val="20"/>
          <w:szCs w:val="20"/>
        </w:rPr>
        <w:t xml:space="preserve"> - 0.01, 0.20, 0.418, and 0.04282, </w:t>
      </w:r>
      <w:proofErr w:type="spellStart"/>
      <w:proofErr w:type="gramStart"/>
      <w:r>
        <w:rPr>
          <w:rFonts w:ascii="Arial" w:hAnsi="Arial"/>
          <w:sz w:val="20"/>
          <w:szCs w:val="20"/>
        </w:rPr>
        <w:t>respectively.I</w:t>
      </w:r>
      <w:proofErr w:type="spellEnd"/>
      <w:proofErr w:type="gramEnd"/>
      <w:r>
        <w:rPr>
          <w:rFonts w:ascii="Arial" w:hAnsi="Arial"/>
          <w:sz w:val="20"/>
          <w:szCs w:val="20"/>
        </w:rPr>
        <w:t xml:space="preserve"> have improved these parts with more specific details of the unique method:</w:t>
      </w:r>
    </w:p>
    <w:p w:rsidR="00FC63CA" w:rsidRDefault="00FC63CA">
      <w:pPr>
        <w:pStyle w:val="NormalWeb"/>
        <w:spacing w:beforeAutospacing="0" w:afterAutospacing="0"/>
        <w:ind w:firstLineChars="250" w:firstLine="500"/>
        <w:jc w:val="both"/>
        <w:rPr>
          <w:rFonts w:ascii="Arial" w:hAnsi="Arial" w:cs="Arial"/>
          <w:sz w:val="20"/>
          <w:szCs w:val="20"/>
        </w:rPr>
      </w:pPr>
    </w:p>
    <w:p w:rsidR="00FC63CA" w:rsidRDefault="007B025A" w:rsidP="00075563">
      <w:pPr>
        <w:tabs>
          <w:tab w:val="left" w:pos="420"/>
          <w:tab w:val="left" w:pos="630"/>
        </w:tabs>
        <w:jc w:val="center"/>
        <w:rPr>
          <w:rFonts w:ascii="Arial Bold" w:eastAsia="Helvetica" w:hAnsi="Arial Bold" w:cs="Arial Bold"/>
          <w:b/>
        </w:rPr>
      </w:pPr>
      <w:r>
        <w:rPr>
          <w:rFonts w:ascii="Arial Bold" w:eastAsia="Helvetica" w:hAnsi="Arial Bold" w:cs="Arial Bold"/>
          <w:b/>
        </w:rPr>
        <w:t>Table 3</w:t>
      </w:r>
      <w:r w:rsidR="00075563">
        <w:rPr>
          <w:rFonts w:ascii="Arial Bold" w:eastAsia="Helvetica" w:hAnsi="Arial Bold" w:cs="Arial Bold"/>
          <w:b/>
        </w:rPr>
        <w:t xml:space="preserve">: </w:t>
      </w:r>
      <w:r>
        <w:rPr>
          <w:rFonts w:ascii="Arial Bold" w:eastAsia="Helvetica" w:hAnsi="Arial Bold" w:cs="Arial Bold"/>
          <w:b/>
        </w:rPr>
        <w:t>Descriptive Results</w:t>
      </w:r>
    </w:p>
    <w:tbl>
      <w:tblPr>
        <w:tblpPr w:leftFromText="180" w:rightFromText="180" w:vertAnchor="text" w:horzAnchor="page" w:tblpX="2110" w:tblpY="96"/>
        <w:tblOverlap w:val="never"/>
        <w:tblW w:w="7945" w:type="dxa"/>
        <w:tblBorders>
          <w:top w:val="single" w:sz="4" w:space="0" w:color="152935"/>
          <w:left w:val="single" w:sz="4" w:space="0" w:color="152935"/>
          <w:bottom w:val="single" w:sz="4" w:space="0" w:color="152935"/>
          <w:right w:val="single" w:sz="4" w:space="0" w:color="152935"/>
          <w:insideH w:val="single" w:sz="4" w:space="0" w:color="152935"/>
          <w:insideV w:val="single" w:sz="4" w:space="0" w:color="152935"/>
        </w:tblBorders>
        <w:tblLayout w:type="fixed"/>
        <w:tblCellMar>
          <w:left w:w="0" w:type="dxa"/>
          <w:right w:w="0" w:type="dxa"/>
        </w:tblCellMar>
        <w:tblLook w:val="04A0" w:firstRow="1" w:lastRow="0" w:firstColumn="1" w:lastColumn="0" w:noHBand="0" w:noVBand="1"/>
      </w:tblPr>
      <w:tblGrid>
        <w:gridCol w:w="2164"/>
        <w:gridCol w:w="796"/>
        <w:gridCol w:w="1149"/>
        <w:gridCol w:w="1183"/>
        <w:gridCol w:w="1101"/>
        <w:gridCol w:w="1552"/>
      </w:tblGrid>
      <w:tr w:rsidR="00FC63CA">
        <w:trPr>
          <w:cantSplit/>
          <w:trHeight w:val="275"/>
        </w:trPr>
        <w:tc>
          <w:tcPr>
            <w:tcW w:w="7945" w:type="dxa"/>
            <w:gridSpan w:val="6"/>
            <w:tcBorders>
              <w:tl2br w:val="nil"/>
              <w:tr2bl w:val="nil"/>
            </w:tcBorders>
            <w:shd w:val="clear" w:color="auto" w:fill="auto"/>
            <w:vAlign w:val="center"/>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Descriptive Statistics</w:t>
            </w:r>
          </w:p>
        </w:tc>
      </w:tr>
      <w:tr w:rsidR="00FC63CA">
        <w:trPr>
          <w:cantSplit/>
          <w:trHeight w:val="518"/>
        </w:trPr>
        <w:tc>
          <w:tcPr>
            <w:tcW w:w="2164" w:type="dxa"/>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c>
          <w:tcPr>
            <w:tcW w:w="796"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N</w:t>
            </w:r>
          </w:p>
        </w:tc>
        <w:tc>
          <w:tcPr>
            <w:tcW w:w="1149"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Minimum</w:t>
            </w:r>
          </w:p>
        </w:tc>
        <w:tc>
          <w:tcPr>
            <w:tcW w:w="1183"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Maximum</w:t>
            </w:r>
          </w:p>
        </w:tc>
        <w:tc>
          <w:tcPr>
            <w:tcW w:w="1101"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Mean</w:t>
            </w:r>
          </w:p>
        </w:tc>
        <w:tc>
          <w:tcPr>
            <w:tcW w:w="1552"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Deviation</w:t>
            </w:r>
          </w:p>
        </w:tc>
      </w:tr>
      <w:tr w:rsidR="00FC63CA">
        <w:trPr>
          <w:cantSplit/>
          <w:trHeight w:val="540"/>
        </w:trPr>
        <w:tc>
          <w:tcPr>
            <w:tcW w:w="2164"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lastRenderedPageBreak/>
              <w:t xml:space="preserve">Public Accountant </w:t>
            </w:r>
          </w:p>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Firm Size</w:t>
            </w:r>
          </w:p>
        </w:tc>
        <w:tc>
          <w:tcPr>
            <w:tcW w:w="796"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.3229</w:t>
            </w:r>
          </w:p>
        </w:tc>
        <w:tc>
          <w:tcPr>
            <w:tcW w:w="1552"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.47005</w:t>
            </w:r>
          </w:p>
        </w:tc>
      </w:tr>
      <w:tr w:rsidR="00FC63CA">
        <w:trPr>
          <w:cantSplit/>
          <w:trHeight w:val="518"/>
        </w:trPr>
        <w:tc>
          <w:tcPr>
            <w:tcW w:w="2164"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796"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.8229</w:t>
            </w:r>
          </w:p>
        </w:tc>
        <w:tc>
          <w:tcPr>
            <w:tcW w:w="1552"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.38374</w:t>
            </w:r>
          </w:p>
        </w:tc>
      </w:tr>
      <w:tr w:rsidR="00FC63CA">
        <w:trPr>
          <w:cantSplit/>
          <w:trHeight w:val="518"/>
        </w:trPr>
        <w:tc>
          <w:tcPr>
            <w:tcW w:w="2164"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796"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8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.67</w:t>
            </w:r>
          </w:p>
        </w:tc>
        <w:tc>
          <w:tcPr>
            <w:tcW w:w="1101"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.2663</w:t>
            </w:r>
          </w:p>
        </w:tc>
        <w:tc>
          <w:tcPr>
            <w:tcW w:w="1552"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.24475</w:t>
            </w:r>
          </w:p>
        </w:tc>
      </w:tr>
      <w:tr w:rsidR="00FC63CA">
        <w:trPr>
          <w:cantSplit/>
          <w:trHeight w:val="291"/>
        </w:trPr>
        <w:tc>
          <w:tcPr>
            <w:tcW w:w="2164"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CTTOR</w:t>
            </w:r>
          </w:p>
        </w:tc>
        <w:tc>
          <w:tcPr>
            <w:tcW w:w="796"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w:t>
            </w:r>
          </w:p>
        </w:tc>
        <w:tc>
          <w:tcPr>
            <w:tcW w:w="118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.20</w:t>
            </w:r>
          </w:p>
        </w:tc>
        <w:tc>
          <w:tcPr>
            <w:tcW w:w="1101"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.0418</w:t>
            </w:r>
          </w:p>
        </w:tc>
        <w:tc>
          <w:tcPr>
            <w:tcW w:w="1552"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.04282</w:t>
            </w:r>
          </w:p>
        </w:tc>
      </w:tr>
      <w:tr w:rsidR="00FC63CA">
        <w:trPr>
          <w:cantSplit/>
          <w:trHeight w:val="283"/>
        </w:trPr>
        <w:tc>
          <w:tcPr>
            <w:tcW w:w="2164"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Valid N (listwise)</w:t>
            </w:r>
          </w:p>
        </w:tc>
        <w:tc>
          <w:tcPr>
            <w:tcW w:w="796"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vAlign w:val="center"/>
          </w:tcPr>
          <w:p w:rsidR="00FC63CA" w:rsidRDefault="00FC63CA">
            <w:pPr>
              <w:autoSpaceDE w:val="0"/>
              <w:autoSpaceDN w:val="0"/>
              <w:adjustRightInd w:val="0"/>
              <w:rPr>
                <w:rFonts w:ascii="Arial Regular" w:hAnsi="Arial Regular" w:cs="Arial Regular"/>
              </w:rPr>
            </w:pPr>
          </w:p>
        </w:tc>
        <w:tc>
          <w:tcPr>
            <w:tcW w:w="1183" w:type="dxa"/>
            <w:tcBorders>
              <w:tl2br w:val="nil"/>
              <w:tr2bl w:val="nil"/>
            </w:tcBorders>
            <w:shd w:val="clear" w:color="auto" w:fill="auto"/>
            <w:vAlign w:val="center"/>
          </w:tcPr>
          <w:p w:rsidR="00FC63CA" w:rsidRDefault="00FC63CA">
            <w:pPr>
              <w:autoSpaceDE w:val="0"/>
              <w:autoSpaceDN w:val="0"/>
              <w:adjustRightInd w:val="0"/>
              <w:rPr>
                <w:rFonts w:ascii="Arial Regular" w:hAnsi="Arial Regular" w:cs="Arial Regular"/>
              </w:rPr>
            </w:pPr>
          </w:p>
        </w:tc>
        <w:tc>
          <w:tcPr>
            <w:tcW w:w="1101" w:type="dxa"/>
            <w:tcBorders>
              <w:tl2br w:val="nil"/>
              <w:tr2bl w:val="nil"/>
            </w:tcBorders>
            <w:shd w:val="clear" w:color="auto" w:fill="auto"/>
            <w:vAlign w:val="center"/>
          </w:tcPr>
          <w:p w:rsidR="00FC63CA" w:rsidRDefault="00FC63CA">
            <w:pPr>
              <w:autoSpaceDE w:val="0"/>
              <w:autoSpaceDN w:val="0"/>
              <w:adjustRightInd w:val="0"/>
              <w:rPr>
                <w:rFonts w:ascii="Arial Regular" w:hAnsi="Arial Regular" w:cs="Arial Regular"/>
              </w:rPr>
            </w:pPr>
          </w:p>
        </w:tc>
        <w:tc>
          <w:tcPr>
            <w:tcW w:w="1552" w:type="dxa"/>
            <w:tcBorders>
              <w:tl2br w:val="nil"/>
              <w:tr2bl w:val="nil"/>
            </w:tcBorders>
            <w:shd w:val="clear" w:color="auto" w:fill="auto"/>
            <w:vAlign w:val="center"/>
          </w:tcPr>
          <w:p w:rsidR="00FC63CA" w:rsidRDefault="00FC63CA">
            <w:pPr>
              <w:autoSpaceDE w:val="0"/>
              <w:autoSpaceDN w:val="0"/>
              <w:adjustRightInd w:val="0"/>
              <w:rPr>
                <w:rFonts w:ascii="Arial Regular" w:hAnsi="Arial Regular" w:cs="Arial Regular"/>
              </w:rPr>
            </w:pPr>
          </w:p>
        </w:tc>
      </w:tr>
    </w:tbl>
    <w:p w:rsidR="00FC63CA" w:rsidRDefault="007B025A">
      <w:pPr>
        <w:autoSpaceDE w:val="0"/>
        <w:autoSpaceDN w:val="0"/>
        <w:adjustRightInd w:val="0"/>
        <w:rPr>
          <w:rFonts w:ascii="Arial" w:eastAsia="SimSun" w:hAnsi="Arial" w:cs="Arial"/>
          <w:bCs/>
          <w:sz w:val="16"/>
          <w:szCs w:val="16"/>
          <w:vertAlign w:val="superscript"/>
        </w:rPr>
      </w:pP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w:t>
      </w:r>
      <w:r>
        <w:rPr>
          <w:rFonts w:ascii="Arial" w:eastAsia="SimSun" w:hAnsi="Arial" w:cs="Arial"/>
          <w:bCs/>
          <w:sz w:val="16"/>
          <w:szCs w:val="16"/>
          <w:vertAlign w:val="superscript"/>
        </w:rPr>
        <w:t>SPSS</w:t>
      </w:r>
    </w:p>
    <w:p w:rsidR="00FC63CA" w:rsidRDefault="007B025A">
      <w:pPr>
        <w:pStyle w:val="NormalWeb"/>
        <w:spacing w:beforeAutospacing="0" w:afterAutospacing="0"/>
        <w:ind w:firstLineChars="250" w:firstLine="500"/>
        <w:jc w:val="both"/>
        <w:rPr>
          <w:rFonts w:ascii="Arial" w:hAnsi="Arial" w:cs="Arial"/>
          <w:bCs/>
          <w:sz w:val="20"/>
          <w:szCs w:val="20"/>
        </w:rPr>
      </w:pPr>
      <w:r>
        <w:rPr>
          <w:rFonts w:ascii="Arial" w:hAnsi="Arial" w:cs="Arial"/>
          <w:bCs/>
          <w:sz w:val="20"/>
          <w:szCs w:val="20"/>
        </w:rPr>
        <w:t xml:space="preserve">Following an examination of the descriptive statistics, the normality test must be </w:t>
      </w:r>
    </w:p>
    <w:p w:rsidR="00FC63CA" w:rsidRDefault="007B025A">
      <w:pPr>
        <w:pStyle w:val="NormalWeb"/>
        <w:spacing w:beforeAutospacing="0" w:afterAutospacing="0"/>
        <w:jc w:val="both"/>
        <w:rPr>
          <w:rFonts w:ascii="Arial" w:hAnsi="Arial" w:cs="Arial"/>
          <w:bCs/>
          <w:sz w:val="20"/>
          <w:szCs w:val="20"/>
        </w:rPr>
      </w:pPr>
      <w:r>
        <w:rPr>
          <w:rFonts w:ascii="Arial" w:hAnsi="Arial" w:cs="Arial"/>
          <w:bCs/>
          <w:sz w:val="20"/>
          <w:szCs w:val="20"/>
        </w:rPr>
        <w:t>performed using the Kolmogorov-Smirnov non-parametric test to determine whether the research data from the sustainability report and the public accounting firm size va</w:t>
      </w:r>
      <w:r>
        <w:rPr>
          <w:rFonts w:ascii="Arial" w:hAnsi="Arial" w:cs="Arial"/>
          <w:bCs/>
          <w:sz w:val="20"/>
          <w:szCs w:val="20"/>
        </w:rPr>
        <w:t>riable, which are independent variables, are normal with respect to the gross profit margin, which is the dependent variable, using CTTOR. Table 4 below provides a review of the test results:</w:t>
      </w:r>
    </w:p>
    <w:p w:rsidR="00FC63CA" w:rsidRDefault="00FC63CA">
      <w:pPr>
        <w:tabs>
          <w:tab w:val="left" w:pos="420"/>
          <w:tab w:val="left" w:pos="630"/>
        </w:tabs>
        <w:rPr>
          <w:rFonts w:ascii="Arial" w:eastAsia="Helvetica" w:hAnsi="Arial" w:cs="Arial"/>
        </w:rPr>
      </w:pPr>
    </w:p>
    <w:p w:rsidR="00FC63CA" w:rsidRPr="009C39BC" w:rsidRDefault="007B025A" w:rsidP="009C39BC">
      <w:pPr>
        <w:tabs>
          <w:tab w:val="left" w:pos="420"/>
          <w:tab w:val="left" w:pos="630"/>
        </w:tabs>
        <w:jc w:val="center"/>
        <w:rPr>
          <w:rFonts w:ascii="Arial Bold" w:eastAsia="Helvetica" w:hAnsi="Arial Bold" w:cs="Arial Bold"/>
          <w:b/>
          <w:bCs/>
        </w:rPr>
      </w:pPr>
      <w:r>
        <w:rPr>
          <w:rFonts w:ascii="Arial Bold" w:eastAsia="Helvetica" w:hAnsi="Arial Bold" w:cs="Arial Bold"/>
          <w:b/>
          <w:bCs/>
        </w:rPr>
        <w:t>Table 4</w:t>
      </w:r>
      <w:r w:rsidR="009C39BC">
        <w:rPr>
          <w:rFonts w:ascii="Arial Bold" w:eastAsia="Helvetica" w:hAnsi="Arial Bold" w:cs="Arial Bold"/>
          <w:b/>
          <w:bCs/>
        </w:rPr>
        <w:t xml:space="preserve">: </w:t>
      </w:r>
      <w:r>
        <w:rPr>
          <w:rFonts w:ascii="Arial Bold" w:eastAsia="Helvetica" w:hAnsi="Arial Bold" w:cs="Arial Bold"/>
          <w:b/>
          <w:bCs/>
        </w:rPr>
        <w:t>Normality Test Results</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058"/>
      </w:tblGrid>
      <w:tr w:rsidR="00FC63CA">
        <w:trPr>
          <w:trHeight w:val="281"/>
        </w:trPr>
        <w:tc>
          <w:tcPr>
            <w:tcW w:w="8280" w:type="dxa"/>
            <w:gridSpan w:val="2"/>
          </w:tcPr>
          <w:p w:rsidR="00FC63CA" w:rsidRDefault="007B025A">
            <w:pPr>
              <w:jc w:val="center"/>
              <w:rPr>
                <w:rFonts w:ascii="Arial" w:hAnsi="Arial" w:cs="Arial"/>
                <w:sz w:val="20"/>
                <w:szCs w:val="20"/>
              </w:rPr>
            </w:pPr>
            <w:proofErr w:type="spellStart"/>
            <w:r>
              <w:rPr>
                <w:rFonts w:ascii="Arial" w:hAnsi="Arial" w:cs="Arial"/>
                <w:sz w:val="20"/>
                <w:szCs w:val="20"/>
              </w:rPr>
              <w:t>ASymp</w:t>
            </w:r>
            <w:proofErr w:type="spellEnd"/>
            <w:r>
              <w:rPr>
                <w:rFonts w:ascii="Arial" w:hAnsi="Arial" w:cs="Arial"/>
                <w:sz w:val="20"/>
                <w:szCs w:val="20"/>
              </w:rPr>
              <w:t>. Sig (2-tailed)</w:t>
            </w:r>
          </w:p>
        </w:tc>
      </w:tr>
      <w:tr w:rsidR="00FC63CA">
        <w:trPr>
          <w:trHeight w:val="281"/>
        </w:trPr>
        <w:tc>
          <w:tcPr>
            <w:tcW w:w="4222" w:type="dxa"/>
            <w:shd w:val="clear" w:color="auto" w:fill="E6E0EC" w:themeFill="accent4" w:themeFillTint="32"/>
          </w:tcPr>
          <w:p w:rsidR="00FC63CA" w:rsidRDefault="007B025A">
            <w:pPr>
              <w:jc w:val="center"/>
              <w:rPr>
                <w:rFonts w:ascii="Arial" w:hAnsi="Arial" w:cs="Arial"/>
                <w:sz w:val="20"/>
                <w:szCs w:val="20"/>
              </w:rPr>
            </w:pPr>
            <w:r>
              <w:rPr>
                <w:rFonts w:ascii="Arial" w:hAnsi="Arial" w:cs="Arial"/>
                <w:sz w:val="20"/>
                <w:szCs w:val="20"/>
              </w:rPr>
              <w:t>Equation</w:t>
            </w:r>
            <w:r>
              <w:rPr>
                <w:rFonts w:ascii="Arial" w:hAnsi="Arial" w:cs="Arial"/>
                <w:sz w:val="20"/>
                <w:szCs w:val="20"/>
              </w:rPr>
              <w:t xml:space="preserve"> 1</w:t>
            </w:r>
          </w:p>
        </w:tc>
        <w:tc>
          <w:tcPr>
            <w:tcW w:w="4058" w:type="dxa"/>
            <w:shd w:val="clear" w:color="auto" w:fill="E6E0EC" w:themeFill="accent4" w:themeFillTint="32"/>
          </w:tcPr>
          <w:p w:rsidR="00FC63CA" w:rsidRDefault="007B025A">
            <w:pPr>
              <w:jc w:val="center"/>
              <w:rPr>
                <w:rFonts w:ascii="Arial" w:hAnsi="Arial" w:cs="Arial"/>
                <w:sz w:val="20"/>
                <w:szCs w:val="20"/>
              </w:rPr>
            </w:pPr>
            <w:r>
              <w:rPr>
                <w:rFonts w:ascii="Arial" w:hAnsi="Arial" w:cs="Arial"/>
                <w:sz w:val="20"/>
                <w:szCs w:val="20"/>
              </w:rPr>
              <w:t>0.323</w:t>
            </w:r>
          </w:p>
        </w:tc>
      </w:tr>
      <w:tr w:rsidR="00FC63CA">
        <w:trPr>
          <w:trHeight w:val="299"/>
        </w:trPr>
        <w:tc>
          <w:tcPr>
            <w:tcW w:w="4222" w:type="dxa"/>
            <w:shd w:val="clear" w:color="auto" w:fill="F2DCDC" w:themeFill="accent2" w:themeFillTint="32"/>
          </w:tcPr>
          <w:p w:rsidR="00FC63CA" w:rsidRDefault="007B025A">
            <w:pPr>
              <w:jc w:val="center"/>
              <w:rPr>
                <w:rFonts w:ascii="Arial" w:hAnsi="Arial" w:cs="Arial"/>
                <w:sz w:val="20"/>
                <w:szCs w:val="20"/>
              </w:rPr>
            </w:pPr>
            <w:r>
              <w:rPr>
                <w:rFonts w:ascii="Arial" w:hAnsi="Arial" w:cs="Arial"/>
                <w:sz w:val="20"/>
                <w:szCs w:val="20"/>
              </w:rPr>
              <w:t>Equation 2</w:t>
            </w:r>
          </w:p>
        </w:tc>
        <w:tc>
          <w:tcPr>
            <w:tcW w:w="4058" w:type="dxa"/>
            <w:shd w:val="clear" w:color="auto" w:fill="F2DCDC" w:themeFill="accent2" w:themeFillTint="32"/>
          </w:tcPr>
          <w:p w:rsidR="00FC63CA" w:rsidRDefault="007B025A">
            <w:pPr>
              <w:jc w:val="center"/>
              <w:rPr>
                <w:rFonts w:ascii="Arial" w:hAnsi="Arial" w:cs="Arial"/>
                <w:sz w:val="20"/>
                <w:szCs w:val="20"/>
              </w:rPr>
            </w:pPr>
            <w:r>
              <w:rPr>
                <w:rFonts w:ascii="Arial" w:hAnsi="Arial" w:cs="Arial"/>
                <w:sz w:val="20"/>
                <w:szCs w:val="20"/>
              </w:rPr>
              <w:t>0.054</w:t>
            </w:r>
          </w:p>
        </w:tc>
      </w:tr>
    </w:tbl>
    <w:p w:rsidR="00FC63CA" w:rsidRDefault="007B025A">
      <w:pPr>
        <w:autoSpaceDE w:val="0"/>
        <w:autoSpaceDN w:val="0"/>
        <w:adjustRightInd w:val="0"/>
        <w:rPr>
          <w:rFonts w:ascii="Arial" w:eastAsia="SimSun" w:hAnsi="Arial" w:cs="Arial"/>
          <w:bCs/>
          <w:sz w:val="16"/>
          <w:szCs w:val="16"/>
          <w:vertAlign w:val="superscript"/>
        </w:rPr>
      </w:pPr>
      <w:r>
        <w:rPr>
          <w:rFonts w:ascii="Arial" w:eastAsia="Helvetica" w:hAnsi="Arial" w:cs="Arial"/>
          <w:bCs/>
          <w:sz w:val="16"/>
          <w:szCs w:val="16"/>
        </w:rPr>
        <w:t xml:space="preserve"> </w:t>
      </w: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SPSS</w:t>
      </w:r>
    </w:p>
    <w:p w:rsidR="00FC63CA" w:rsidRDefault="00FC63CA">
      <w:pPr>
        <w:pStyle w:val="NormalWeb"/>
        <w:spacing w:beforeAutospacing="0" w:afterAutospacing="0"/>
        <w:ind w:left="111"/>
        <w:rPr>
          <w:sz w:val="23"/>
          <w:szCs w:val="23"/>
        </w:rPr>
      </w:pPr>
    </w:p>
    <w:p w:rsidR="00FC63CA" w:rsidRDefault="007B025A">
      <w:pPr>
        <w:pStyle w:val="NormalWeb"/>
        <w:spacing w:beforeAutospacing="0" w:afterAutospacing="0"/>
        <w:ind w:firstLineChars="250" w:firstLine="500"/>
        <w:jc w:val="both"/>
        <w:rPr>
          <w:rFonts w:ascii="Arial Regular" w:hAnsi="Arial Regular" w:cs="Arial Regular"/>
          <w:sz w:val="20"/>
          <w:szCs w:val="20"/>
        </w:rPr>
      </w:pPr>
      <w:r>
        <w:rPr>
          <w:rFonts w:ascii="Arial Regular" w:hAnsi="Arial Regular" w:cs="Arial Regular"/>
          <w:sz w:val="20"/>
          <w:szCs w:val="20"/>
        </w:rPr>
        <w:t xml:space="preserve">This study uses two linear equations that have been described previously. The normality test results listed in Table 4 produce a value of </w:t>
      </w:r>
      <w:r>
        <w:rPr>
          <w:rFonts w:ascii="Arial Regular" w:hAnsi="Arial Regular" w:cs="Arial Regular"/>
          <w:sz w:val="20"/>
          <w:szCs w:val="20"/>
        </w:rPr>
        <w:t>0.323 for the first equation and 0.054 for the last equation. The regulation states that if the research data used is normally distributed, the significance value obtained must touch a number above 0.05 (α = 5%), but if otherwise, it is said to be not norm</w:t>
      </w:r>
      <w:r>
        <w:rPr>
          <w:rFonts w:ascii="Arial Regular" w:hAnsi="Arial Regular" w:cs="Arial Regular"/>
          <w:sz w:val="20"/>
          <w:szCs w:val="20"/>
        </w:rPr>
        <w:t>ally distributed, so the conclusions that can be drawn for the two equations are normally distributed.</w:t>
      </w:r>
    </w:p>
    <w:p w:rsidR="00FC63CA" w:rsidRDefault="007B025A">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According to the multicollinearity test, Table 5 displays the findings if the data is deemed free of multicollinearity, with a variance inflation factor </w:t>
      </w:r>
      <w:r>
        <w:rPr>
          <w:rFonts w:ascii="Arial Regular" w:hAnsi="Arial Regular"/>
          <w:sz w:val="20"/>
          <w:szCs w:val="20"/>
        </w:rPr>
        <w:t>(VIF) of less than 10 and an independent variable tolerance of greater than 0.1 (10%).</w:t>
      </w:r>
    </w:p>
    <w:p w:rsidR="00FC63CA" w:rsidRDefault="00FC63CA">
      <w:pPr>
        <w:pStyle w:val="NormalWeb"/>
        <w:spacing w:beforeAutospacing="0" w:afterAutospacing="0"/>
        <w:ind w:firstLineChars="250" w:firstLine="500"/>
        <w:jc w:val="both"/>
        <w:rPr>
          <w:rFonts w:ascii="Arial Regular" w:hAnsi="Arial Regular"/>
          <w:sz w:val="20"/>
          <w:szCs w:val="20"/>
        </w:rPr>
      </w:pPr>
    </w:p>
    <w:p w:rsidR="00FC63CA" w:rsidRDefault="00FC63CA">
      <w:pPr>
        <w:pStyle w:val="NormalWeb"/>
        <w:spacing w:beforeAutospacing="0" w:afterAutospacing="0"/>
        <w:ind w:firstLineChars="250" w:firstLine="500"/>
        <w:jc w:val="both"/>
        <w:rPr>
          <w:rFonts w:ascii="Arial Regular" w:hAnsi="Arial Regular"/>
          <w:sz w:val="20"/>
          <w:szCs w:val="20"/>
        </w:rPr>
      </w:pPr>
    </w:p>
    <w:p w:rsidR="00FC63CA" w:rsidRDefault="007B025A" w:rsidP="00E77DC9">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5</w:t>
      </w:r>
      <w:r w:rsidR="00E77DC9">
        <w:rPr>
          <w:rFonts w:ascii="Arial Regular" w:eastAsia="Helvetica" w:hAnsi="Arial Regular" w:cs="Arial Regular"/>
          <w:b/>
        </w:rPr>
        <w:t xml:space="preserve">: </w:t>
      </w:r>
      <w:r>
        <w:rPr>
          <w:rFonts w:ascii="Arial Regular" w:eastAsia="Helvetica" w:hAnsi="Arial Regular" w:cs="Arial Regular"/>
          <w:b/>
        </w:rPr>
        <w:t>Multicollinearity Test Results</w:t>
      </w:r>
    </w:p>
    <w:tbl>
      <w:tblPr>
        <w:tblStyle w:val="TableGrid"/>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114"/>
        <w:gridCol w:w="1954"/>
      </w:tblGrid>
      <w:tr w:rsidR="00FC63CA">
        <w:trPr>
          <w:trHeight w:val="323"/>
        </w:trPr>
        <w:tc>
          <w:tcPr>
            <w:tcW w:w="4131" w:type="dxa"/>
            <w:vMerge w:val="restart"/>
          </w:tcPr>
          <w:p w:rsidR="00FC63CA" w:rsidRDefault="00FC63CA">
            <w:pPr>
              <w:tabs>
                <w:tab w:val="left" w:pos="420"/>
                <w:tab w:val="left" w:pos="630"/>
              </w:tabs>
              <w:jc w:val="center"/>
              <w:rPr>
                <w:rFonts w:ascii="Arial Regular" w:eastAsia="Helvetica" w:hAnsi="Arial Regular" w:cs="Arial Regular"/>
                <w:b/>
                <w:sz w:val="20"/>
                <w:szCs w:val="20"/>
              </w:rPr>
            </w:pPr>
          </w:p>
        </w:tc>
        <w:tc>
          <w:tcPr>
            <w:tcW w:w="4068" w:type="dxa"/>
            <w:gridSpan w:val="2"/>
          </w:tcPr>
          <w:p w:rsidR="00FC63CA" w:rsidRDefault="007B025A">
            <w:pPr>
              <w:jc w:val="center"/>
              <w:rPr>
                <w:rFonts w:ascii="Arial Regular" w:eastAsia="Helvetica" w:hAnsi="Arial Regular" w:cs="Arial Regular"/>
                <w:b/>
                <w:sz w:val="20"/>
                <w:szCs w:val="20"/>
              </w:rPr>
            </w:pPr>
            <w:r>
              <w:rPr>
                <w:rFonts w:ascii="Arial Regular" w:hAnsi="Arial Regular" w:cs="Arial Regular"/>
                <w:i/>
                <w:iCs/>
                <w:sz w:val="20"/>
                <w:szCs w:val="20"/>
              </w:rPr>
              <w:t>Collinearity Statistics</w:t>
            </w:r>
          </w:p>
        </w:tc>
      </w:tr>
      <w:tr w:rsidR="00FC63CA">
        <w:trPr>
          <w:trHeight w:val="330"/>
        </w:trPr>
        <w:tc>
          <w:tcPr>
            <w:tcW w:w="4131" w:type="dxa"/>
            <w:vMerge/>
          </w:tcPr>
          <w:p w:rsidR="00FC63CA" w:rsidRDefault="00FC63CA">
            <w:pPr>
              <w:tabs>
                <w:tab w:val="left" w:pos="420"/>
                <w:tab w:val="left" w:pos="630"/>
              </w:tabs>
              <w:jc w:val="center"/>
              <w:rPr>
                <w:rFonts w:ascii="Arial Regular" w:eastAsia="Helvetica" w:hAnsi="Arial Regular" w:cs="Arial Regular"/>
                <w:b/>
                <w:sz w:val="20"/>
                <w:szCs w:val="20"/>
              </w:rPr>
            </w:pPr>
          </w:p>
        </w:tc>
        <w:tc>
          <w:tcPr>
            <w:tcW w:w="2114" w:type="dxa"/>
            <w:vAlign w:val="bottom"/>
          </w:tcPr>
          <w:p w:rsidR="00FC63CA" w:rsidRDefault="007B025A">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i/>
                <w:iCs/>
                <w:sz w:val="20"/>
                <w:szCs w:val="20"/>
              </w:rPr>
              <w:t>Tolerance</w:t>
            </w:r>
          </w:p>
        </w:tc>
        <w:tc>
          <w:tcPr>
            <w:tcW w:w="1954" w:type="dxa"/>
            <w:vAlign w:val="bottom"/>
          </w:tcPr>
          <w:p w:rsidR="00FC63CA" w:rsidRDefault="007B025A">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sz w:val="20"/>
                <w:szCs w:val="20"/>
              </w:rPr>
              <w:t>VIF</w:t>
            </w:r>
          </w:p>
        </w:tc>
      </w:tr>
      <w:tr w:rsidR="00FC63CA">
        <w:trPr>
          <w:trHeight w:val="323"/>
        </w:trPr>
        <w:tc>
          <w:tcPr>
            <w:tcW w:w="8199" w:type="dxa"/>
            <w:gridSpan w:val="3"/>
            <w:shd w:val="clear" w:color="auto" w:fill="B8CCE4" w:themeFill="accent1" w:themeFillTint="66"/>
          </w:tcPr>
          <w:p w:rsidR="00FC63CA" w:rsidRDefault="007B025A">
            <w:pPr>
              <w:tabs>
                <w:tab w:val="left" w:pos="420"/>
                <w:tab w:val="left" w:pos="630"/>
              </w:tabs>
              <w:jc w:val="right"/>
              <w:rPr>
                <w:rFonts w:ascii="Arial Regular" w:eastAsia="Helvetica" w:hAnsi="Arial Regular" w:cs="Arial Regular"/>
                <w:b/>
                <w:sz w:val="20"/>
                <w:szCs w:val="20"/>
              </w:rPr>
            </w:pPr>
            <w:r>
              <w:rPr>
                <w:rFonts w:ascii="Arial Regular" w:eastAsia="Helvetica" w:hAnsi="Arial Regular" w:cs="Arial Regular"/>
                <w:b/>
                <w:sz w:val="20"/>
                <w:szCs w:val="20"/>
              </w:rPr>
              <w:t xml:space="preserve">Equation 1 </w:t>
            </w:r>
          </w:p>
        </w:tc>
      </w:tr>
      <w:tr w:rsidR="00FC63CA">
        <w:trPr>
          <w:trHeight w:val="323"/>
        </w:trPr>
        <w:tc>
          <w:tcPr>
            <w:tcW w:w="4131" w:type="dxa"/>
          </w:tcPr>
          <w:p w:rsidR="00FC63CA" w:rsidRDefault="007B025A">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rsidR="00FC63CA" w:rsidRDefault="007B025A">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rsidR="00FC63CA" w:rsidRDefault="007B025A">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FC63CA">
        <w:trPr>
          <w:trHeight w:val="323"/>
        </w:trPr>
        <w:tc>
          <w:tcPr>
            <w:tcW w:w="4131" w:type="dxa"/>
          </w:tcPr>
          <w:p w:rsidR="00FC63CA" w:rsidRDefault="007B025A">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rsidR="00FC63CA" w:rsidRDefault="007B025A">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rsidR="00FC63CA" w:rsidRDefault="007B025A">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FC63CA">
        <w:trPr>
          <w:trHeight w:val="323"/>
        </w:trPr>
        <w:tc>
          <w:tcPr>
            <w:tcW w:w="8199" w:type="dxa"/>
            <w:gridSpan w:val="3"/>
            <w:shd w:val="clear" w:color="auto" w:fill="B8CCE4" w:themeFill="accent1" w:themeFillTint="66"/>
          </w:tcPr>
          <w:p w:rsidR="00FC63CA" w:rsidRDefault="007B025A">
            <w:pPr>
              <w:tabs>
                <w:tab w:val="left" w:pos="420"/>
                <w:tab w:val="left" w:pos="630"/>
              </w:tabs>
              <w:jc w:val="right"/>
              <w:rPr>
                <w:rFonts w:ascii="Arial" w:eastAsia="Helvetica" w:hAnsi="Arial" w:cs="Arial"/>
                <w:bCs/>
                <w:sz w:val="20"/>
                <w:szCs w:val="20"/>
              </w:rPr>
            </w:pPr>
            <w:r>
              <w:rPr>
                <w:rFonts w:ascii="Arial" w:eastAsia="Helvetica" w:hAnsi="Arial" w:cs="Arial"/>
                <w:bCs/>
                <w:sz w:val="20"/>
                <w:szCs w:val="20"/>
              </w:rPr>
              <w:t>Equation 2</w:t>
            </w:r>
          </w:p>
        </w:tc>
      </w:tr>
      <w:tr w:rsidR="00FC63CA">
        <w:trPr>
          <w:trHeight w:val="323"/>
        </w:trPr>
        <w:tc>
          <w:tcPr>
            <w:tcW w:w="4131" w:type="dxa"/>
          </w:tcPr>
          <w:p w:rsidR="00FC63CA" w:rsidRDefault="007B025A">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rsidR="00FC63CA" w:rsidRDefault="007B025A">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0.687</w:t>
            </w:r>
          </w:p>
        </w:tc>
        <w:tc>
          <w:tcPr>
            <w:tcW w:w="1954" w:type="dxa"/>
          </w:tcPr>
          <w:p w:rsidR="00FC63CA" w:rsidRDefault="007B025A">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1.455</w:t>
            </w:r>
          </w:p>
        </w:tc>
      </w:tr>
      <w:tr w:rsidR="00FC63CA">
        <w:trPr>
          <w:trHeight w:val="323"/>
        </w:trPr>
        <w:tc>
          <w:tcPr>
            <w:tcW w:w="4131" w:type="dxa"/>
          </w:tcPr>
          <w:p w:rsidR="00FC63CA" w:rsidRDefault="007B025A">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rsidR="00FC63CA" w:rsidRDefault="007B025A">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0.860</w:t>
            </w:r>
          </w:p>
        </w:tc>
        <w:tc>
          <w:tcPr>
            <w:tcW w:w="1954" w:type="dxa"/>
          </w:tcPr>
          <w:p w:rsidR="00FC63CA" w:rsidRDefault="007B025A">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1.162</w:t>
            </w:r>
          </w:p>
        </w:tc>
      </w:tr>
      <w:tr w:rsidR="00FC63CA">
        <w:trPr>
          <w:trHeight w:val="351"/>
        </w:trPr>
        <w:tc>
          <w:tcPr>
            <w:tcW w:w="4131" w:type="dxa"/>
          </w:tcPr>
          <w:p w:rsidR="00FC63CA" w:rsidRDefault="007B025A">
            <w:pPr>
              <w:tabs>
                <w:tab w:val="left" w:pos="420"/>
                <w:tab w:val="left" w:pos="630"/>
              </w:tabs>
              <w:rPr>
                <w:rFonts w:ascii="Arial" w:eastAsia="Helvetica" w:hAnsi="Arial" w:cs="Arial"/>
                <w:bCs/>
                <w:sz w:val="20"/>
                <w:szCs w:val="20"/>
              </w:rPr>
            </w:pPr>
            <w:r>
              <w:rPr>
                <w:rFonts w:ascii="Arial" w:hAnsi="Arial" w:cs="Arial"/>
                <w:bCs/>
                <w:sz w:val="20"/>
                <w:szCs w:val="20"/>
              </w:rPr>
              <w:t>CTTOR</w:t>
            </w:r>
          </w:p>
        </w:tc>
        <w:tc>
          <w:tcPr>
            <w:tcW w:w="2114" w:type="dxa"/>
          </w:tcPr>
          <w:p w:rsidR="00FC63CA" w:rsidRDefault="007B025A">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0.680</w:t>
            </w:r>
          </w:p>
        </w:tc>
        <w:tc>
          <w:tcPr>
            <w:tcW w:w="1954" w:type="dxa"/>
          </w:tcPr>
          <w:p w:rsidR="00FC63CA" w:rsidRDefault="007B025A">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1.470</w:t>
            </w:r>
          </w:p>
        </w:tc>
      </w:tr>
    </w:tbl>
    <w:p w:rsidR="00FC63CA" w:rsidRDefault="007B025A">
      <w:pPr>
        <w:autoSpaceDE w:val="0"/>
        <w:autoSpaceDN w:val="0"/>
        <w:adjustRightInd w:val="0"/>
        <w:rPr>
          <w:rFonts w:ascii="Arial" w:eastAsia="SimSun" w:hAnsi="Arial" w:cs="Arial"/>
          <w:bCs/>
          <w:sz w:val="16"/>
          <w:szCs w:val="16"/>
          <w:vertAlign w:val="superscript"/>
        </w:rPr>
      </w:pP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SPSS</w:t>
      </w:r>
    </w:p>
    <w:p w:rsidR="00FC63CA" w:rsidRDefault="00FC63CA">
      <w:pPr>
        <w:pStyle w:val="NormalWeb"/>
        <w:spacing w:beforeAutospacing="0" w:afterAutospacing="0"/>
        <w:ind w:firstLineChars="250" w:firstLine="500"/>
        <w:rPr>
          <w:rFonts w:ascii="Arial Regular" w:hAnsi="Arial Regular"/>
          <w:sz w:val="20"/>
          <w:szCs w:val="20"/>
        </w:rPr>
      </w:pPr>
    </w:p>
    <w:p w:rsidR="00FC63CA" w:rsidRDefault="007B025A">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 regression method's tolerance value and variance inflation factor (VIF) value are two metrics that can reveal whether multicollinearity is present or not. Regressions with tolerance values greater than 0.01 or VIF values less than 10 are referred to as h</w:t>
      </w:r>
      <w:r>
        <w:rPr>
          <w:rFonts w:ascii="Arial Regular" w:hAnsi="Arial Regular"/>
          <w:sz w:val="20"/>
          <w:szCs w:val="20"/>
        </w:rPr>
        <w:t xml:space="preserve">aving no multicollinearity. The variables in the two equations listed in Table 5 generate tolerance values over 0.01 with all VIF values generated below the value of 10, as can be shown from the above table. This indicates that the variables </w:t>
      </w:r>
      <w:proofErr w:type="spellStart"/>
      <w:r>
        <w:rPr>
          <w:rFonts w:ascii="Arial Regular" w:hAnsi="Arial Regular"/>
          <w:sz w:val="20"/>
          <w:szCs w:val="20"/>
        </w:rPr>
        <w:t>utilised</w:t>
      </w:r>
      <w:proofErr w:type="spellEnd"/>
      <w:r>
        <w:rPr>
          <w:rFonts w:ascii="Arial Regular" w:hAnsi="Arial Regular"/>
          <w:sz w:val="20"/>
          <w:szCs w:val="20"/>
        </w:rPr>
        <w:t xml:space="preserve"> are n</w:t>
      </w:r>
      <w:r>
        <w:rPr>
          <w:rFonts w:ascii="Arial Regular" w:hAnsi="Arial Regular"/>
          <w:sz w:val="20"/>
          <w:szCs w:val="20"/>
        </w:rPr>
        <w:t>o longer subject to multicollinearity.</w:t>
      </w:r>
    </w:p>
    <w:p w:rsidR="00FC63CA" w:rsidRDefault="007B025A">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 xml:space="preserve">The </w:t>
      </w:r>
      <w:proofErr w:type="spellStart"/>
      <w:r>
        <w:rPr>
          <w:rFonts w:ascii="Arial Regular" w:hAnsi="Arial Regular"/>
          <w:sz w:val="20"/>
          <w:szCs w:val="20"/>
        </w:rPr>
        <w:t>Glejser</w:t>
      </w:r>
      <w:proofErr w:type="spellEnd"/>
      <w:r>
        <w:rPr>
          <w:rFonts w:ascii="Arial Regular" w:hAnsi="Arial Regular"/>
          <w:sz w:val="20"/>
          <w:szCs w:val="20"/>
        </w:rPr>
        <w:t xml:space="preserve"> test, which is the next test after multicollinearity, is used to determine heteroscedasticity. It must be completed prior to the autocorrelation test, and each study's regression equation should have an eq</w:t>
      </w:r>
      <w:r>
        <w:rPr>
          <w:rFonts w:ascii="Arial Regular" w:hAnsi="Arial Regular"/>
          <w:sz w:val="20"/>
          <w:szCs w:val="20"/>
        </w:rPr>
        <w:t xml:space="preserve">ual variance of errors in each independent variable. </w:t>
      </w:r>
      <w:r>
        <w:rPr>
          <w:rFonts w:ascii="Arial Regular" w:hAnsi="Arial Regular"/>
          <w:sz w:val="20"/>
          <w:szCs w:val="20"/>
        </w:rPr>
        <w:lastRenderedPageBreak/>
        <w:t>Heteroscedasticity in the regression model can be claimed if the absolute residual value (ABS) is less than 0.05, which is the test's absolute condition. Table 6 displays the findings of the heteroscedas</w:t>
      </w:r>
      <w:r>
        <w:rPr>
          <w:rFonts w:ascii="Arial Regular" w:hAnsi="Arial Regular"/>
          <w:sz w:val="20"/>
          <w:szCs w:val="20"/>
        </w:rPr>
        <w:t>ticity test used in this investigation.</w:t>
      </w:r>
    </w:p>
    <w:p w:rsidR="00FC63CA" w:rsidRDefault="007B025A">
      <w:pPr>
        <w:pStyle w:val="NormalWeb"/>
        <w:spacing w:beforeAutospacing="0" w:afterAutospacing="0"/>
        <w:ind w:firstLineChars="250" w:firstLine="500"/>
        <w:jc w:val="both"/>
        <w:rPr>
          <w:rFonts w:ascii="Arial" w:hAnsi="Arial"/>
          <w:sz w:val="20"/>
          <w:szCs w:val="20"/>
        </w:rPr>
      </w:pPr>
      <w:r>
        <w:rPr>
          <w:rFonts w:ascii="Arial" w:hAnsi="Arial"/>
          <w:sz w:val="20"/>
          <w:szCs w:val="20"/>
        </w:rPr>
        <w:t xml:space="preserve">The two independent variables, the size of the audit company and the sustainability report, have values of 0.761 and 0.064, respectively, according to the first equation in Table 6. Values of 0.668, 0.183, and 0.618 </w:t>
      </w:r>
      <w:r>
        <w:rPr>
          <w:rFonts w:ascii="Arial" w:hAnsi="Arial"/>
          <w:sz w:val="20"/>
          <w:szCs w:val="20"/>
        </w:rPr>
        <w:t>are obtained from the second equation, which has three independent variables: audit firm size, sustainability report, and CTTOR. Since each of these values is higher than 0.05, it can be said that heteroskedasticity is not present.</w:t>
      </w:r>
    </w:p>
    <w:p w:rsidR="00FC63CA" w:rsidRDefault="00FC63CA">
      <w:pPr>
        <w:pStyle w:val="NormalWeb"/>
        <w:spacing w:beforeAutospacing="0" w:afterAutospacing="0"/>
        <w:ind w:firstLineChars="250" w:firstLine="500"/>
        <w:jc w:val="both"/>
        <w:rPr>
          <w:rFonts w:ascii="Arial" w:hAnsi="Arial"/>
          <w:sz w:val="20"/>
          <w:szCs w:val="20"/>
        </w:rPr>
      </w:pPr>
    </w:p>
    <w:p w:rsidR="00FC63CA" w:rsidRDefault="007B025A" w:rsidP="00E77DC9">
      <w:pPr>
        <w:widowControl w:val="0"/>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6</w:t>
      </w:r>
      <w:r w:rsidR="00E77DC9">
        <w:rPr>
          <w:rFonts w:ascii="Arial Regular" w:eastAsia="Helvetica" w:hAnsi="Arial Regular" w:cs="Arial Regular"/>
          <w:b/>
        </w:rPr>
        <w:t xml:space="preserve">: </w:t>
      </w:r>
      <w:r>
        <w:rPr>
          <w:rFonts w:ascii="Arial Regular" w:eastAsia="Helvetica" w:hAnsi="Arial Regular" w:cs="Arial Regular"/>
          <w:b/>
        </w:rPr>
        <w:t>Heteroscedasti</w:t>
      </w:r>
      <w:r>
        <w:rPr>
          <w:rFonts w:ascii="Arial Regular" w:eastAsia="Helvetica" w:hAnsi="Arial Regular" w:cs="Arial Regular"/>
          <w:b/>
        </w:rPr>
        <w:t>city Test Results</w:t>
      </w:r>
    </w:p>
    <w:tbl>
      <w:tblPr>
        <w:tblStyle w:val="TableGrid"/>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346"/>
        <w:gridCol w:w="2557"/>
      </w:tblGrid>
      <w:tr w:rsidR="00FC63CA">
        <w:trPr>
          <w:trHeight w:val="306"/>
        </w:trPr>
        <w:tc>
          <w:tcPr>
            <w:tcW w:w="5622" w:type="dxa"/>
            <w:gridSpan w:val="2"/>
            <w:tcBorders>
              <w:tl2br w:val="nil"/>
              <w:tr2bl w:val="nil"/>
            </w:tcBorders>
          </w:tcPr>
          <w:p w:rsidR="00FC63CA" w:rsidRDefault="00FC63CA">
            <w:pPr>
              <w:rPr>
                <w:rFonts w:ascii="Arial Regular" w:hAnsi="Arial Regular" w:cs="Arial Regular"/>
                <w:sz w:val="20"/>
                <w:szCs w:val="20"/>
              </w:rPr>
            </w:pPr>
          </w:p>
        </w:tc>
        <w:tc>
          <w:tcPr>
            <w:tcW w:w="2557" w:type="dxa"/>
            <w:tcBorders>
              <w:tl2br w:val="nil"/>
              <w:tr2bl w:val="nil"/>
            </w:tcBorders>
          </w:tcPr>
          <w:p w:rsidR="00FC63CA" w:rsidRDefault="007B025A">
            <w:pPr>
              <w:jc w:val="center"/>
              <w:rPr>
                <w:rFonts w:ascii="Arial Regular" w:hAnsi="Arial Regular" w:cs="Arial Regular"/>
                <w:sz w:val="20"/>
                <w:szCs w:val="20"/>
              </w:rPr>
            </w:pPr>
            <w:r>
              <w:rPr>
                <w:rFonts w:ascii="Arial Regular" w:hAnsi="Arial Regular" w:cs="Arial Regular"/>
                <w:i/>
                <w:iCs/>
                <w:sz w:val="20"/>
                <w:szCs w:val="20"/>
              </w:rPr>
              <w:t>Sig. (2-taied)</w:t>
            </w:r>
          </w:p>
        </w:tc>
      </w:tr>
      <w:tr w:rsidR="00FC63CA">
        <w:trPr>
          <w:trHeight w:val="348"/>
        </w:trPr>
        <w:tc>
          <w:tcPr>
            <w:tcW w:w="2276" w:type="dxa"/>
            <w:vMerge w:val="restart"/>
            <w:tcBorders>
              <w:tl2br w:val="nil"/>
              <w:tr2bl w:val="nil"/>
            </w:tcBorders>
          </w:tcPr>
          <w:p w:rsidR="00FC63CA" w:rsidRDefault="007B025A">
            <w:pPr>
              <w:rPr>
                <w:rFonts w:ascii="Arial Regular" w:hAnsi="Arial Regular" w:cs="Arial Regular"/>
                <w:sz w:val="20"/>
                <w:szCs w:val="20"/>
              </w:rPr>
            </w:pPr>
            <w:r>
              <w:rPr>
                <w:rFonts w:ascii="Arial Regular" w:hAnsi="Arial Regular" w:cs="Arial Regular"/>
                <w:sz w:val="20"/>
                <w:szCs w:val="20"/>
              </w:rPr>
              <w:t>Equation 1</w:t>
            </w:r>
          </w:p>
        </w:tc>
        <w:tc>
          <w:tcPr>
            <w:tcW w:w="3346" w:type="dxa"/>
            <w:tcBorders>
              <w:tl2br w:val="nil"/>
              <w:tr2bl w:val="nil"/>
            </w:tcBorders>
          </w:tcPr>
          <w:p w:rsidR="00FC63CA" w:rsidRDefault="007B025A">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rsidR="00FC63CA" w:rsidRDefault="007B025A">
            <w:pPr>
              <w:jc w:val="center"/>
              <w:rPr>
                <w:rFonts w:ascii="Arial Regular" w:hAnsi="Arial Regular" w:cs="Arial Regular"/>
                <w:sz w:val="20"/>
                <w:szCs w:val="20"/>
              </w:rPr>
            </w:pPr>
            <w:r>
              <w:rPr>
                <w:rFonts w:ascii="Arial Regular" w:hAnsi="Arial Regular" w:cs="Arial Regular"/>
                <w:sz w:val="20"/>
                <w:szCs w:val="20"/>
              </w:rPr>
              <w:t>0.761</w:t>
            </w:r>
          </w:p>
        </w:tc>
      </w:tr>
      <w:tr w:rsidR="00FC63CA">
        <w:trPr>
          <w:trHeight w:val="306"/>
        </w:trPr>
        <w:tc>
          <w:tcPr>
            <w:tcW w:w="2276" w:type="dxa"/>
            <w:vMerge/>
            <w:tcBorders>
              <w:tl2br w:val="nil"/>
              <w:tr2bl w:val="nil"/>
            </w:tcBorders>
          </w:tcPr>
          <w:p w:rsidR="00FC63CA" w:rsidRDefault="00FC63CA">
            <w:pPr>
              <w:rPr>
                <w:rFonts w:ascii="Arial Regular" w:hAnsi="Arial Regular" w:cs="Arial Regular"/>
                <w:sz w:val="20"/>
                <w:szCs w:val="20"/>
              </w:rPr>
            </w:pPr>
          </w:p>
        </w:tc>
        <w:tc>
          <w:tcPr>
            <w:tcW w:w="3346" w:type="dxa"/>
            <w:tcBorders>
              <w:tl2br w:val="nil"/>
              <w:tr2bl w:val="nil"/>
            </w:tcBorders>
          </w:tcPr>
          <w:p w:rsidR="00FC63CA" w:rsidRDefault="007B025A">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rsidR="00FC63CA" w:rsidRDefault="007B025A">
            <w:pPr>
              <w:jc w:val="center"/>
              <w:rPr>
                <w:rFonts w:ascii="Arial Regular" w:hAnsi="Arial Regular" w:cs="Arial Regular"/>
                <w:sz w:val="20"/>
                <w:szCs w:val="20"/>
              </w:rPr>
            </w:pPr>
            <w:r>
              <w:rPr>
                <w:rFonts w:ascii="Arial Regular" w:hAnsi="Arial Regular" w:cs="Arial Regular"/>
                <w:sz w:val="20"/>
                <w:szCs w:val="20"/>
              </w:rPr>
              <w:t>0.064</w:t>
            </w:r>
          </w:p>
        </w:tc>
      </w:tr>
      <w:tr w:rsidR="00FC63CA">
        <w:trPr>
          <w:trHeight w:val="292"/>
        </w:trPr>
        <w:tc>
          <w:tcPr>
            <w:tcW w:w="2276" w:type="dxa"/>
            <w:vMerge w:val="restart"/>
            <w:tcBorders>
              <w:tl2br w:val="nil"/>
              <w:tr2bl w:val="nil"/>
            </w:tcBorders>
          </w:tcPr>
          <w:p w:rsidR="00FC63CA" w:rsidRDefault="007B025A">
            <w:pPr>
              <w:rPr>
                <w:rFonts w:ascii="Arial Regular" w:hAnsi="Arial Regular" w:cs="Arial Regular"/>
                <w:sz w:val="20"/>
                <w:szCs w:val="20"/>
              </w:rPr>
            </w:pPr>
            <w:r>
              <w:rPr>
                <w:rFonts w:ascii="Arial Regular" w:hAnsi="Arial Regular" w:cs="Arial Regular"/>
                <w:sz w:val="20"/>
                <w:szCs w:val="20"/>
              </w:rPr>
              <w:t>Equation 2</w:t>
            </w:r>
          </w:p>
        </w:tc>
        <w:tc>
          <w:tcPr>
            <w:tcW w:w="3346" w:type="dxa"/>
            <w:tcBorders>
              <w:tl2br w:val="nil"/>
              <w:tr2bl w:val="nil"/>
            </w:tcBorders>
          </w:tcPr>
          <w:p w:rsidR="00FC63CA" w:rsidRDefault="007B025A">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rsidR="00FC63CA" w:rsidRDefault="007B025A">
            <w:pPr>
              <w:jc w:val="center"/>
              <w:rPr>
                <w:rFonts w:ascii="Arial Regular" w:hAnsi="Arial Regular" w:cs="Arial Regular"/>
                <w:sz w:val="20"/>
                <w:szCs w:val="20"/>
              </w:rPr>
            </w:pPr>
            <w:r>
              <w:rPr>
                <w:rFonts w:ascii="Arial Regular" w:hAnsi="Arial Regular" w:cs="Arial Regular"/>
                <w:sz w:val="20"/>
                <w:szCs w:val="20"/>
              </w:rPr>
              <w:t>0.668</w:t>
            </w:r>
          </w:p>
        </w:tc>
      </w:tr>
      <w:tr w:rsidR="00FC63CA">
        <w:trPr>
          <w:trHeight w:val="306"/>
        </w:trPr>
        <w:tc>
          <w:tcPr>
            <w:tcW w:w="2276" w:type="dxa"/>
            <w:vMerge/>
            <w:tcBorders>
              <w:tl2br w:val="nil"/>
              <w:tr2bl w:val="nil"/>
            </w:tcBorders>
          </w:tcPr>
          <w:p w:rsidR="00FC63CA" w:rsidRDefault="00FC63CA">
            <w:pPr>
              <w:rPr>
                <w:rFonts w:ascii="Arial Regular" w:hAnsi="Arial Regular" w:cs="Arial Regular"/>
                <w:sz w:val="20"/>
                <w:szCs w:val="20"/>
              </w:rPr>
            </w:pPr>
          </w:p>
        </w:tc>
        <w:tc>
          <w:tcPr>
            <w:tcW w:w="3346" w:type="dxa"/>
            <w:tcBorders>
              <w:tl2br w:val="nil"/>
              <w:tr2bl w:val="nil"/>
            </w:tcBorders>
          </w:tcPr>
          <w:p w:rsidR="00FC63CA" w:rsidRDefault="007B025A">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rsidR="00FC63CA" w:rsidRDefault="007B025A">
            <w:pPr>
              <w:jc w:val="center"/>
              <w:rPr>
                <w:rFonts w:ascii="Arial Regular" w:hAnsi="Arial Regular" w:cs="Arial Regular"/>
                <w:sz w:val="20"/>
                <w:szCs w:val="20"/>
              </w:rPr>
            </w:pPr>
            <w:r>
              <w:rPr>
                <w:rFonts w:ascii="Arial Regular" w:hAnsi="Arial Regular" w:cs="Arial Regular"/>
                <w:sz w:val="20"/>
                <w:szCs w:val="20"/>
              </w:rPr>
              <w:t>0.183</w:t>
            </w:r>
          </w:p>
        </w:tc>
      </w:tr>
      <w:tr w:rsidR="00FC63CA">
        <w:trPr>
          <w:trHeight w:val="315"/>
        </w:trPr>
        <w:tc>
          <w:tcPr>
            <w:tcW w:w="2276" w:type="dxa"/>
            <w:vMerge/>
            <w:tcBorders>
              <w:tl2br w:val="nil"/>
              <w:tr2bl w:val="nil"/>
            </w:tcBorders>
          </w:tcPr>
          <w:p w:rsidR="00FC63CA" w:rsidRDefault="00FC63CA">
            <w:pPr>
              <w:rPr>
                <w:rFonts w:ascii="Arial Regular" w:hAnsi="Arial Regular" w:cs="Arial Regular"/>
                <w:sz w:val="20"/>
                <w:szCs w:val="20"/>
              </w:rPr>
            </w:pPr>
          </w:p>
        </w:tc>
        <w:tc>
          <w:tcPr>
            <w:tcW w:w="3346" w:type="dxa"/>
            <w:tcBorders>
              <w:tl2br w:val="nil"/>
              <w:tr2bl w:val="nil"/>
            </w:tcBorders>
          </w:tcPr>
          <w:p w:rsidR="00FC63CA" w:rsidRDefault="007B025A">
            <w:pPr>
              <w:rPr>
                <w:rFonts w:ascii="Arial Regular" w:hAnsi="Arial Regular" w:cs="Arial Regular"/>
                <w:sz w:val="20"/>
                <w:szCs w:val="20"/>
              </w:rPr>
            </w:pPr>
            <w:r>
              <w:rPr>
                <w:rFonts w:ascii="Arial Regular" w:hAnsi="Arial Regular" w:cs="Arial Regular"/>
                <w:sz w:val="20"/>
                <w:szCs w:val="20"/>
              </w:rPr>
              <w:t>CTTOR</w:t>
            </w:r>
          </w:p>
        </w:tc>
        <w:tc>
          <w:tcPr>
            <w:tcW w:w="2557" w:type="dxa"/>
            <w:tcBorders>
              <w:tl2br w:val="nil"/>
              <w:tr2bl w:val="nil"/>
            </w:tcBorders>
          </w:tcPr>
          <w:p w:rsidR="00FC63CA" w:rsidRDefault="007B025A">
            <w:pPr>
              <w:jc w:val="center"/>
              <w:rPr>
                <w:rFonts w:ascii="Arial Regular" w:hAnsi="Arial Regular" w:cs="Arial Regular"/>
                <w:sz w:val="20"/>
                <w:szCs w:val="20"/>
              </w:rPr>
            </w:pPr>
            <w:r>
              <w:rPr>
                <w:rFonts w:ascii="Arial Regular" w:hAnsi="Arial Regular" w:cs="Arial Regular"/>
                <w:sz w:val="20"/>
                <w:szCs w:val="20"/>
              </w:rPr>
              <w:t>0.618</w:t>
            </w:r>
          </w:p>
        </w:tc>
      </w:tr>
    </w:tbl>
    <w:p w:rsidR="00FC63CA" w:rsidRDefault="007B025A">
      <w:pPr>
        <w:autoSpaceDE w:val="0"/>
        <w:autoSpaceDN w:val="0"/>
        <w:adjustRightInd w:val="0"/>
        <w:rPr>
          <w:rFonts w:ascii="Arial" w:eastAsia="SimSun" w:hAnsi="Arial" w:cs="Arial"/>
          <w:bCs/>
          <w:sz w:val="16"/>
          <w:szCs w:val="16"/>
          <w:vertAlign w:val="superscript"/>
        </w:rPr>
      </w:pP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w:t>
      </w:r>
      <w:r>
        <w:rPr>
          <w:rFonts w:ascii="Arial" w:eastAsia="SimSun" w:hAnsi="Arial"/>
          <w:bCs/>
          <w:sz w:val="16"/>
          <w:szCs w:val="16"/>
          <w:vertAlign w:val="superscript"/>
        </w:rPr>
        <w:t xml:space="preserve">Exchange (IDX) </w:t>
      </w:r>
      <w:r>
        <w:rPr>
          <w:rFonts w:ascii="Arial" w:eastAsia="SimSun" w:hAnsi="Arial" w:cs="Arial"/>
          <w:bCs/>
          <w:sz w:val="16"/>
          <w:szCs w:val="16"/>
          <w:vertAlign w:val="superscript"/>
        </w:rPr>
        <w:t xml:space="preserve">  processed using SPSS</w:t>
      </w:r>
    </w:p>
    <w:p w:rsidR="00FC63CA" w:rsidRDefault="00FC63CA">
      <w:pPr>
        <w:autoSpaceDE w:val="0"/>
        <w:autoSpaceDN w:val="0"/>
        <w:adjustRightInd w:val="0"/>
        <w:rPr>
          <w:rFonts w:ascii="Times New Roman" w:eastAsia="SimSun" w:hAnsi="Times New Roman"/>
          <w:sz w:val="16"/>
          <w:szCs w:val="16"/>
          <w:vertAlign w:val="superscript"/>
        </w:rPr>
      </w:pPr>
    </w:p>
    <w:p w:rsidR="00FC63CA" w:rsidRDefault="007B025A">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The last test, the autocorrelation test, evaluates the study's linear regression equation using Durbin Watson. Autocorrelation is absent if the Durbin-Watson (DW) value is between the Durbin-Watson (DW) and (4-DW) ran</w:t>
      </w:r>
      <w:r>
        <w:rPr>
          <w:rFonts w:ascii="Arial Regular" w:hAnsi="Arial Regular"/>
          <w:sz w:val="20"/>
          <w:szCs w:val="20"/>
        </w:rPr>
        <w:t>ges.</w:t>
      </w:r>
    </w:p>
    <w:p w:rsidR="00FC63CA" w:rsidRDefault="00FC63CA">
      <w:pPr>
        <w:pStyle w:val="NormalWeb"/>
        <w:spacing w:beforeAutospacing="0" w:afterAutospacing="0"/>
        <w:ind w:firstLineChars="250" w:firstLine="500"/>
        <w:jc w:val="both"/>
        <w:rPr>
          <w:rFonts w:ascii="Arial Regular" w:hAnsi="Arial Regular"/>
          <w:sz w:val="20"/>
          <w:szCs w:val="20"/>
        </w:rPr>
      </w:pPr>
    </w:p>
    <w:p w:rsidR="00FC63CA" w:rsidRDefault="00FC63CA">
      <w:pPr>
        <w:pStyle w:val="NormalWeb"/>
        <w:spacing w:beforeAutospacing="0" w:afterAutospacing="0"/>
        <w:ind w:firstLineChars="250" w:firstLine="500"/>
        <w:jc w:val="both"/>
        <w:rPr>
          <w:rFonts w:ascii="Arial Regular" w:hAnsi="Arial Regular"/>
          <w:sz w:val="20"/>
          <w:szCs w:val="20"/>
        </w:rPr>
      </w:pPr>
    </w:p>
    <w:p w:rsidR="00FC63CA" w:rsidRDefault="007B025A" w:rsidP="00E77DC9">
      <w:pPr>
        <w:tabs>
          <w:tab w:val="left" w:pos="420"/>
          <w:tab w:val="left" w:pos="630"/>
        </w:tabs>
        <w:jc w:val="center"/>
        <w:rPr>
          <w:rFonts w:ascii="Arial Bold" w:eastAsia="Helvetica" w:hAnsi="Arial Bold" w:cs="Arial Bold"/>
          <w:b/>
        </w:rPr>
      </w:pPr>
      <w:r>
        <w:rPr>
          <w:rFonts w:ascii="Arial Bold" w:eastAsia="Helvetica" w:hAnsi="Arial Bold" w:cs="Arial Bold"/>
          <w:b/>
        </w:rPr>
        <w:t>Table 7</w:t>
      </w:r>
      <w:r w:rsidR="00E77DC9">
        <w:rPr>
          <w:rFonts w:ascii="Arial Bold" w:eastAsia="Helvetica" w:hAnsi="Arial Bold" w:cs="Arial Bold"/>
          <w:b/>
        </w:rPr>
        <w:t xml:space="preserve">: </w:t>
      </w:r>
      <w:r>
        <w:rPr>
          <w:rFonts w:ascii="Arial Bold" w:eastAsia="Helvetica" w:hAnsi="Arial Bold" w:cs="Arial Bold"/>
          <w:b/>
        </w:rPr>
        <w:t>Autocorrelation Test Results</w:t>
      </w:r>
    </w:p>
    <w:p w:rsidR="00FC63CA" w:rsidRDefault="00FC63CA">
      <w:pPr>
        <w:tabs>
          <w:tab w:val="left" w:pos="420"/>
          <w:tab w:val="left" w:pos="630"/>
        </w:tabs>
        <w:jc w:val="center"/>
        <w:rPr>
          <w:rFonts w:ascii="Arial Bold" w:eastAsia="Helvetica" w:hAnsi="Arial Bold" w:cs="Arial Bold"/>
          <w:b/>
        </w:rPr>
      </w:pPr>
    </w:p>
    <w:tbl>
      <w:tblPr>
        <w:tblStyle w:val="TableGrid"/>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58"/>
        <w:gridCol w:w="2758"/>
      </w:tblGrid>
      <w:tr w:rsidR="00FC63CA">
        <w:trPr>
          <w:trHeight w:val="373"/>
        </w:trPr>
        <w:tc>
          <w:tcPr>
            <w:tcW w:w="2723" w:type="dxa"/>
          </w:tcPr>
          <w:p w:rsidR="00FC63CA" w:rsidRDefault="00FC63CA">
            <w:pPr>
              <w:rPr>
                <w:rFonts w:ascii="Arial" w:hAnsi="Arial" w:cs="Arial"/>
                <w:bCs/>
                <w:sz w:val="20"/>
                <w:szCs w:val="20"/>
              </w:rPr>
            </w:pPr>
          </w:p>
        </w:tc>
        <w:tc>
          <w:tcPr>
            <w:tcW w:w="2758" w:type="dxa"/>
          </w:tcPr>
          <w:p w:rsidR="00FC63CA" w:rsidRDefault="007B025A">
            <w:pPr>
              <w:jc w:val="center"/>
              <w:rPr>
                <w:rFonts w:ascii="Arial" w:hAnsi="Arial" w:cs="Arial"/>
                <w:bCs/>
                <w:sz w:val="20"/>
                <w:szCs w:val="20"/>
              </w:rPr>
            </w:pPr>
            <w:r>
              <w:rPr>
                <w:rFonts w:ascii="Arial" w:hAnsi="Arial" w:cs="Arial"/>
                <w:bCs/>
                <w:sz w:val="20"/>
                <w:szCs w:val="20"/>
              </w:rPr>
              <w:t>Durbin Watson</w:t>
            </w:r>
          </w:p>
        </w:tc>
        <w:tc>
          <w:tcPr>
            <w:tcW w:w="2758" w:type="dxa"/>
          </w:tcPr>
          <w:p w:rsidR="00FC63CA" w:rsidRDefault="007B025A">
            <w:pPr>
              <w:jc w:val="center"/>
              <w:rPr>
                <w:rFonts w:ascii="Arial" w:hAnsi="Arial" w:cs="Arial"/>
                <w:bCs/>
                <w:sz w:val="20"/>
                <w:szCs w:val="20"/>
              </w:rPr>
            </w:pPr>
            <w:r>
              <w:rPr>
                <w:rFonts w:ascii="Arial" w:hAnsi="Arial" w:cs="Arial"/>
                <w:bCs/>
                <w:sz w:val="20"/>
                <w:szCs w:val="20"/>
              </w:rPr>
              <w:t>Formula</w:t>
            </w:r>
          </w:p>
        </w:tc>
      </w:tr>
      <w:tr w:rsidR="00FC63CA">
        <w:trPr>
          <w:trHeight w:val="373"/>
        </w:trPr>
        <w:tc>
          <w:tcPr>
            <w:tcW w:w="2723" w:type="dxa"/>
            <w:shd w:val="clear" w:color="auto" w:fill="FFFC82"/>
          </w:tcPr>
          <w:p w:rsidR="00FC63CA" w:rsidRDefault="007B025A">
            <w:pPr>
              <w:rPr>
                <w:rFonts w:ascii="Arial" w:hAnsi="Arial" w:cs="Arial"/>
                <w:bCs/>
                <w:sz w:val="20"/>
                <w:szCs w:val="20"/>
              </w:rPr>
            </w:pPr>
            <w:r>
              <w:rPr>
                <w:rFonts w:ascii="Arial" w:hAnsi="Arial" w:cs="Arial"/>
                <w:bCs/>
                <w:sz w:val="20"/>
                <w:szCs w:val="20"/>
              </w:rPr>
              <w:t>Equation 1</w:t>
            </w:r>
          </w:p>
        </w:tc>
        <w:tc>
          <w:tcPr>
            <w:tcW w:w="2758" w:type="dxa"/>
            <w:shd w:val="clear" w:color="auto" w:fill="FFFC82"/>
          </w:tcPr>
          <w:p w:rsidR="00FC63CA" w:rsidRDefault="007B025A">
            <w:pPr>
              <w:jc w:val="center"/>
              <w:rPr>
                <w:rFonts w:ascii="Arial" w:hAnsi="Arial" w:cs="Arial"/>
                <w:bCs/>
                <w:sz w:val="20"/>
                <w:szCs w:val="20"/>
              </w:rPr>
            </w:pPr>
            <w:r>
              <w:rPr>
                <w:rFonts w:ascii="Arial" w:hAnsi="Arial" w:cs="Arial"/>
                <w:bCs/>
                <w:sz w:val="20"/>
                <w:szCs w:val="20"/>
              </w:rPr>
              <w:t>1.867</w:t>
            </w:r>
          </w:p>
        </w:tc>
        <w:tc>
          <w:tcPr>
            <w:tcW w:w="2758" w:type="dxa"/>
            <w:shd w:val="clear" w:color="auto" w:fill="FFFC82"/>
          </w:tcPr>
          <w:p w:rsidR="00FC63CA" w:rsidRDefault="007B025A">
            <w:pPr>
              <w:jc w:val="center"/>
              <w:rPr>
                <w:rFonts w:ascii="Arial" w:hAnsi="Arial" w:cs="Arial"/>
                <w:bCs/>
                <w:sz w:val="20"/>
                <w:szCs w:val="20"/>
              </w:rPr>
            </w:pPr>
            <w:r>
              <w:rPr>
                <w:rFonts w:ascii="Arial" w:eastAsia="SimSun" w:hAnsi="Arial" w:cs="Arial"/>
                <w:bCs/>
                <w:sz w:val="20"/>
                <w:szCs w:val="20"/>
              </w:rPr>
              <w:t>1.7103 &lt; 1.867 &lt; 2.2897</w:t>
            </w:r>
          </w:p>
        </w:tc>
      </w:tr>
      <w:tr w:rsidR="00FC63CA">
        <w:trPr>
          <w:trHeight w:val="388"/>
        </w:trPr>
        <w:tc>
          <w:tcPr>
            <w:tcW w:w="2723" w:type="dxa"/>
            <w:shd w:val="clear" w:color="auto" w:fill="71FEFF"/>
          </w:tcPr>
          <w:p w:rsidR="00FC63CA" w:rsidRDefault="007B025A">
            <w:pPr>
              <w:rPr>
                <w:rFonts w:ascii="Arial" w:hAnsi="Arial" w:cs="Arial"/>
                <w:bCs/>
                <w:sz w:val="20"/>
                <w:szCs w:val="20"/>
              </w:rPr>
            </w:pPr>
            <w:r>
              <w:rPr>
                <w:rFonts w:ascii="Arial" w:hAnsi="Arial" w:cs="Arial"/>
                <w:bCs/>
                <w:sz w:val="20"/>
                <w:szCs w:val="20"/>
              </w:rPr>
              <w:t>Equation 2</w:t>
            </w:r>
          </w:p>
        </w:tc>
        <w:tc>
          <w:tcPr>
            <w:tcW w:w="2758" w:type="dxa"/>
            <w:shd w:val="clear" w:color="auto" w:fill="71FEFF"/>
          </w:tcPr>
          <w:p w:rsidR="00FC63CA" w:rsidRDefault="007B025A">
            <w:pPr>
              <w:jc w:val="center"/>
              <w:rPr>
                <w:rFonts w:ascii="Arial" w:hAnsi="Arial" w:cs="Arial"/>
                <w:bCs/>
                <w:sz w:val="20"/>
                <w:szCs w:val="20"/>
              </w:rPr>
            </w:pPr>
            <w:r>
              <w:rPr>
                <w:rFonts w:ascii="Arial" w:hAnsi="Arial" w:cs="Arial"/>
                <w:bCs/>
                <w:sz w:val="20"/>
                <w:szCs w:val="20"/>
              </w:rPr>
              <w:t>1.863</w:t>
            </w:r>
          </w:p>
        </w:tc>
        <w:tc>
          <w:tcPr>
            <w:tcW w:w="2758" w:type="dxa"/>
            <w:shd w:val="clear" w:color="auto" w:fill="71FEFF"/>
          </w:tcPr>
          <w:p w:rsidR="00FC63CA" w:rsidRDefault="007B025A">
            <w:pPr>
              <w:jc w:val="center"/>
              <w:rPr>
                <w:rFonts w:ascii="Arial" w:hAnsi="Arial" w:cs="Arial"/>
                <w:bCs/>
                <w:sz w:val="20"/>
                <w:szCs w:val="20"/>
              </w:rPr>
            </w:pPr>
            <w:r>
              <w:rPr>
                <w:rFonts w:ascii="Arial" w:eastAsia="SimSun" w:hAnsi="Arial" w:cs="Arial"/>
                <w:bCs/>
                <w:sz w:val="20"/>
                <w:szCs w:val="20"/>
              </w:rPr>
              <w:t>1.7326 &lt; 1.863&lt;2.2674</w:t>
            </w:r>
          </w:p>
        </w:tc>
      </w:tr>
    </w:tbl>
    <w:p w:rsidR="00FC63CA" w:rsidRDefault="007B025A">
      <w:pPr>
        <w:autoSpaceDE w:val="0"/>
        <w:autoSpaceDN w:val="0"/>
        <w:adjustRightInd w:val="0"/>
        <w:rPr>
          <w:rFonts w:ascii="Arial" w:eastAsia="SimSun" w:hAnsi="Arial" w:cs="Arial"/>
          <w:bCs/>
          <w:sz w:val="16"/>
          <w:szCs w:val="16"/>
          <w:vertAlign w:val="superscript"/>
        </w:rPr>
      </w:pP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SPSS</w:t>
      </w:r>
    </w:p>
    <w:p w:rsidR="00FC63CA" w:rsidRDefault="007B025A">
      <w:pPr>
        <w:pStyle w:val="NormalWeb"/>
        <w:ind w:firstLineChars="250" w:firstLine="600"/>
        <w:jc w:val="both"/>
        <w:rPr>
          <w:rFonts w:ascii="Arial Regular" w:hAnsi="Arial Regular" w:cs="Arial Regular"/>
          <w:color w:val="000000"/>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687705</wp:posOffset>
                </wp:positionV>
                <wp:extent cx="4649470" cy="583565"/>
                <wp:effectExtent l="9525" t="9525" r="14605" b="16510"/>
                <wp:wrapNone/>
                <wp:docPr id="19" name="Round Diagonal Corner Rectangle 19"/>
                <wp:cNvGraphicFramePr/>
                <a:graphic xmlns:a="http://schemas.openxmlformats.org/drawingml/2006/main">
                  <a:graphicData uri="http://schemas.microsoft.com/office/word/2010/wordprocessingShape">
                    <wps:wsp>
                      <wps:cNvSpPr/>
                      <wps:spPr>
                        <a:xfrm>
                          <a:off x="0" y="0"/>
                          <a:ext cx="4649470" cy="583565"/>
                        </a:xfrm>
                        <a:prstGeom prst="round2Diag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EB519F" id="Round Diagonal Corner Rectangle 19" o:spid="_x0000_s1026" style="position:absolute;margin-left:8.25pt;margin-top:54.15pt;width:366.1pt;height:45.9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649470,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" path="m97263,l4649470,r,l4649470,486302v,53717,-43546,97263,-97263,97263l,583565r,l,97263c,43546,43546,,97263,xe" filled="f" strokecolor="black [3213]" strokeweight="1.5pt">
                <v:path arrowok="t" o:connecttype="custom" o:connectlocs="97263,0;4649470,0;4649470,0;4649470,486302;4552207,583565;0,583565;0,583565;0,97263;97263,0" o:connectangles="0,0,0,0,0,0,0,0,0"/>
              </v:shape>
            </w:pict>
          </mc:Fallback>
        </mc:AlternateContent>
      </w:r>
      <w:r>
        <w:rPr>
          <w:rFonts w:ascii="Arial Regular" w:hAnsi="Arial Regular" w:cs="Arial Regular"/>
          <w:color w:val="000000"/>
          <w:sz w:val="20"/>
          <w:szCs w:val="20"/>
        </w:rPr>
        <w:t xml:space="preserve">It is evident </w:t>
      </w:r>
      <w:r>
        <w:rPr>
          <w:rFonts w:ascii="Arial Regular" w:hAnsi="Arial Regular" w:cs="Arial Regular"/>
          <w:color w:val="000000"/>
          <w:sz w:val="20"/>
          <w:szCs w:val="20"/>
        </w:rPr>
        <w:t>from table 7 above that there is no autocorrelation because the Durbin-Watson value for the first equation is 1.867, while the value for the second equation is 1.863. Following data processing, the regression equation's findings are:</w:t>
      </w:r>
    </w:p>
    <w:p w:rsidR="00FC63CA" w:rsidRDefault="007B025A">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0.036 + 0.123 x</w:t>
      </w:r>
      <w:r>
        <w:rPr>
          <w:rFonts w:ascii="Times New Roman Regular" w:hAnsi="Times New Roman Regular" w:cs="Times New Roman Regular"/>
          <w:sz w:val="24"/>
          <w:szCs w:val="24"/>
          <w:vertAlign w:val="subscript"/>
        </w:rPr>
        <w:t xml:space="preserve">1 </w:t>
      </w:r>
      <w:r>
        <w:rPr>
          <w:rFonts w:ascii="Times New Roman Regular" w:hAnsi="Times New Roman Regular" w:cs="Times New Roman Regular"/>
          <w:sz w:val="24"/>
          <w:szCs w:val="24"/>
        </w:rPr>
        <w:t>+ 0.232x</w:t>
      </w:r>
      <w:r>
        <w:rPr>
          <w:rFonts w:ascii="Times New Roman Regular" w:hAnsi="Times New Roman Regular" w:cs="Times New Roman Regular"/>
          <w:sz w:val="24"/>
          <w:szCs w:val="24"/>
          <w:vertAlign w:val="subscript"/>
        </w:rPr>
        <w:t>2</w:t>
      </w:r>
      <w:r>
        <w:rPr>
          <w:rFonts w:ascii="Times New Roman Regular" w:hAnsi="Times New Roman Regular" w:cs="Times New Roman Regular"/>
          <w:sz w:val="24"/>
          <w:szCs w:val="24"/>
        </w:rPr>
        <w:tab/>
        <w:t xml:space="preserve">             ........  p. </w:t>
      </w:r>
      <w:r>
        <w:rPr>
          <w:rFonts w:ascii="Times New Roman Regular" w:eastAsia="Helvetica" w:hAnsi="Times New Roman Regular" w:cs="Times New Roman Regular"/>
          <w:b/>
          <w:sz w:val="24"/>
          <w:szCs w:val="24"/>
        </w:rPr>
        <w:t>1</w:t>
      </w:r>
    </w:p>
    <w:p w:rsidR="00FC63CA" w:rsidRDefault="007B025A">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Z = 0.008+ 0.34 x</w:t>
      </w:r>
      <w:r>
        <w:rPr>
          <w:rFonts w:ascii="Times New Roman Regular" w:hAnsi="Times New Roman Regular" w:cs="Times New Roman Regular"/>
          <w:sz w:val="24"/>
          <w:szCs w:val="24"/>
          <w:vertAlign w:val="subscript"/>
        </w:rPr>
        <w:t>1</w:t>
      </w:r>
      <w:r>
        <w:rPr>
          <w:rFonts w:ascii="Times New Roman Regular" w:hAnsi="Times New Roman Regular" w:cs="Times New Roman Regular"/>
          <w:sz w:val="24"/>
          <w:szCs w:val="24"/>
        </w:rPr>
        <w:t>+ 0.001 x</w:t>
      </w:r>
      <w:r>
        <w:rPr>
          <w:rFonts w:ascii="Times New Roman Regular" w:hAnsi="Times New Roman Regular" w:cs="Times New Roman Regular"/>
          <w:sz w:val="24"/>
          <w:szCs w:val="24"/>
          <w:vertAlign w:val="subscript"/>
        </w:rPr>
        <w:t xml:space="preserve">2 </w:t>
      </w:r>
      <w:r>
        <w:rPr>
          <w:rFonts w:ascii="Times New Roman Regular" w:hAnsi="Times New Roman Regular" w:cs="Times New Roman Regular"/>
          <w:sz w:val="24"/>
          <w:szCs w:val="24"/>
        </w:rPr>
        <w:t>+ 0.084 Y</w:t>
      </w:r>
      <w:r>
        <w:rPr>
          <w:rFonts w:ascii="Times New Roman Regular" w:hAnsi="Times New Roman Regular" w:cs="Times New Roman Regular"/>
          <w:sz w:val="24"/>
          <w:szCs w:val="24"/>
          <w:vertAlign w:val="subscript"/>
        </w:rPr>
        <w:t xml:space="preserve">               </w:t>
      </w:r>
      <w:r>
        <w:rPr>
          <w:rFonts w:ascii="Times New Roman Regular" w:hAnsi="Times New Roman Regular" w:cs="Times New Roman Regular"/>
          <w:sz w:val="24"/>
          <w:szCs w:val="24"/>
        </w:rPr>
        <w:t>........  p. 2</w:t>
      </w:r>
    </w:p>
    <w:p w:rsidR="00FC63CA" w:rsidRDefault="00FC63CA">
      <w:pPr>
        <w:autoSpaceDE w:val="0"/>
        <w:autoSpaceDN w:val="0"/>
        <w:adjustRightInd w:val="0"/>
        <w:ind w:firstLineChars="250" w:firstLine="600"/>
        <w:rPr>
          <w:rFonts w:ascii="Times New Roman" w:eastAsia="SimSun" w:hAnsi="Times New Roman"/>
          <w:sz w:val="24"/>
          <w:szCs w:val="24"/>
        </w:rPr>
      </w:pPr>
    </w:p>
    <w:p w:rsidR="00FC63CA" w:rsidRDefault="007B025A">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Prior to evaluating hypotheses, a test that is equally important is the coefficient of determination test, which determines how much the independent</w:t>
      </w:r>
      <w:r>
        <w:rPr>
          <w:rFonts w:ascii="Arial Regular" w:hAnsi="Arial Regular"/>
          <w:color w:val="000000"/>
          <w:sz w:val="20"/>
          <w:szCs w:val="20"/>
        </w:rPr>
        <w:t xml:space="preserve"> variables contribute to the dependent variable at the same time.</w:t>
      </w:r>
    </w:p>
    <w:p w:rsidR="00FC63CA" w:rsidRPr="00E77DC9" w:rsidRDefault="007B025A" w:rsidP="00E77DC9">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8</w:t>
      </w:r>
      <w:r w:rsidR="00E77DC9">
        <w:rPr>
          <w:rFonts w:ascii="Arial Regular" w:eastAsia="Helvetica" w:hAnsi="Arial Regular" w:cs="Arial Regular"/>
          <w:b/>
        </w:rPr>
        <w:t xml:space="preserve">: </w:t>
      </w:r>
      <w:r>
        <w:rPr>
          <w:rFonts w:ascii="Arial Regular" w:eastAsia="SimSun" w:hAnsi="Arial Regular" w:cs="Arial Regular"/>
          <w:b/>
          <w:bCs/>
        </w:rPr>
        <w:t>Determination Coefficient Test Results</w:t>
      </w:r>
    </w:p>
    <w:tbl>
      <w:tblPr>
        <w:tblStyle w:val="TableGrid"/>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910"/>
      </w:tblGrid>
      <w:tr w:rsidR="00FC63CA">
        <w:tc>
          <w:tcPr>
            <w:tcW w:w="3812" w:type="dxa"/>
          </w:tcPr>
          <w:p w:rsidR="00FC63CA" w:rsidRDefault="00FC63CA">
            <w:pPr>
              <w:tabs>
                <w:tab w:val="center" w:pos="4513"/>
              </w:tabs>
              <w:rPr>
                <w:rFonts w:ascii="Arial Regular" w:hAnsi="Arial Regular" w:cs="Arial Regular"/>
                <w:sz w:val="20"/>
                <w:szCs w:val="20"/>
              </w:rPr>
            </w:pPr>
          </w:p>
        </w:tc>
        <w:tc>
          <w:tcPr>
            <w:tcW w:w="3910" w:type="dxa"/>
          </w:tcPr>
          <w:p w:rsidR="00FC63CA" w:rsidRDefault="007B025A">
            <w:pPr>
              <w:tabs>
                <w:tab w:val="center" w:pos="4513"/>
              </w:tabs>
              <w:jc w:val="center"/>
              <w:rPr>
                <w:rFonts w:ascii="Arial Regular" w:hAnsi="Arial Regular" w:cs="Arial Regular"/>
                <w:sz w:val="20"/>
                <w:szCs w:val="20"/>
              </w:rPr>
            </w:pPr>
            <w:r>
              <w:rPr>
                <w:rFonts w:ascii="Arial Regular" w:hAnsi="Arial Regular" w:cs="Arial Regular"/>
                <w:sz w:val="20"/>
                <w:szCs w:val="20"/>
              </w:rPr>
              <w:t>Test Results</w:t>
            </w:r>
          </w:p>
        </w:tc>
      </w:tr>
      <w:tr w:rsidR="00FC63CA">
        <w:tc>
          <w:tcPr>
            <w:tcW w:w="3812" w:type="dxa"/>
            <w:shd w:val="clear" w:color="auto" w:fill="EBF1DE" w:themeFill="accent3" w:themeFillTint="32"/>
          </w:tcPr>
          <w:p w:rsidR="00FC63CA" w:rsidRDefault="007B025A">
            <w:pPr>
              <w:tabs>
                <w:tab w:val="center" w:pos="4513"/>
              </w:tabs>
              <w:jc w:val="right"/>
              <w:rPr>
                <w:rFonts w:ascii="Arial Regular" w:hAnsi="Arial Regular" w:cs="Arial Regular"/>
                <w:sz w:val="20"/>
                <w:szCs w:val="20"/>
              </w:rPr>
            </w:pPr>
            <w:r>
              <w:rPr>
                <w:rFonts w:ascii="Arial Regular" w:hAnsi="Arial Regular" w:cs="Arial Regular"/>
                <w:sz w:val="20"/>
                <w:szCs w:val="20"/>
              </w:rPr>
              <w:t>Equation 1</w:t>
            </w:r>
          </w:p>
        </w:tc>
        <w:tc>
          <w:tcPr>
            <w:tcW w:w="3910" w:type="dxa"/>
            <w:shd w:val="clear" w:color="auto" w:fill="EBF1DE" w:themeFill="accent3" w:themeFillTint="32"/>
          </w:tcPr>
          <w:p w:rsidR="00FC63CA" w:rsidRDefault="007B025A">
            <w:pPr>
              <w:tabs>
                <w:tab w:val="center" w:pos="4513"/>
              </w:tabs>
              <w:jc w:val="center"/>
              <w:rPr>
                <w:rFonts w:ascii="Arial Regular" w:hAnsi="Arial Regular" w:cs="Arial Regular"/>
                <w:sz w:val="20"/>
                <w:szCs w:val="20"/>
              </w:rPr>
            </w:pPr>
            <w:r>
              <w:rPr>
                <w:rFonts w:ascii="Arial Regular" w:hAnsi="Arial Regular" w:cs="Arial Regular"/>
                <w:sz w:val="20"/>
                <w:szCs w:val="20"/>
              </w:rPr>
              <w:t>0.243</w:t>
            </w:r>
          </w:p>
        </w:tc>
      </w:tr>
      <w:tr w:rsidR="00FC63CA">
        <w:tc>
          <w:tcPr>
            <w:tcW w:w="3812" w:type="dxa"/>
            <w:shd w:val="clear" w:color="auto" w:fill="E6E0EC" w:themeFill="accent4" w:themeFillTint="32"/>
          </w:tcPr>
          <w:p w:rsidR="00FC63CA" w:rsidRDefault="007B025A">
            <w:pPr>
              <w:tabs>
                <w:tab w:val="center" w:pos="4513"/>
              </w:tabs>
              <w:jc w:val="right"/>
              <w:rPr>
                <w:rFonts w:ascii="Arial Regular" w:hAnsi="Arial Regular" w:cs="Arial Regular"/>
                <w:sz w:val="20"/>
                <w:szCs w:val="20"/>
              </w:rPr>
            </w:pPr>
            <w:r>
              <w:rPr>
                <w:rFonts w:ascii="Arial Regular" w:hAnsi="Arial Regular" w:cs="Arial Regular"/>
                <w:sz w:val="20"/>
                <w:szCs w:val="20"/>
              </w:rPr>
              <w:t>Equation 2</w:t>
            </w:r>
          </w:p>
        </w:tc>
        <w:tc>
          <w:tcPr>
            <w:tcW w:w="3910" w:type="dxa"/>
            <w:shd w:val="clear" w:color="auto" w:fill="E6E0EC" w:themeFill="accent4" w:themeFillTint="32"/>
          </w:tcPr>
          <w:p w:rsidR="00FC63CA" w:rsidRDefault="007B025A">
            <w:pPr>
              <w:tabs>
                <w:tab w:val="center" w:pos="4513"/>
              </w:tabs>
              <w:jc w:val="center"/>
              <w:rPr>
                <w:rFonts w:ascii="Arial Regular" w:hAnsi="Arial Regular" w:cs="Arial Regular"/>
                <w:sz w:val="20"/>
                <w:szCs w:val="20"/>
              </w:rPr>
            </w:pPr>
            <w:r>
              <w:rPr>
                <w:rFonts w:ascii="Arial Regular" w:hAnsi="Arial Regular" w:cs="Arial Regular"/>
                <w:sz w:val="20"/>
                <w:szCs w:val="20"/>
              </w:rPr>
              <w:t>0.417</w:t>
            </w:r>
          </w:p>
        </w:tc>
      </w:tr>
    </w:tbl>
    <w:p w:rsidR="00FC63CA" w:rsidRDefault="007B025A">
      <w:pPr>
        <w:autoSpaceDE w:val="0"/>
        <w:autoSpaceDN w:val="0"/>
        <w:adjustRightInd w:val="0"/>
        <w:rPr>
          <w:rFonts w:ascii="Arial" w:eastAsia="SimSun" w:hAnsi="Arial" w:cs="Arial"/>
          <w:bCs/>
          <w:sz w:val="16"/>
          <w:szCs w:val="16"/>
          <w:vertAlign w:val="superscript"/>
        </w:rPr>
      </w:pPr>
      <w:r>
        <w:rPr>
          <w:rFonts w:ascii="Arial" w:eastAsia="Helvetica" w:hAnsi="Arial" w:cs="Arial"/>
          <w:bCs/>
          <w:sz w:val="16"/>
          <w:szCs w:val="16"/>
        </w:rPr>
        <w:t xml:space="preserve"> </w:t>
      </w: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SPSS</w:t>
      </w:r>
    </w:p>
    <w:p w:rsidR="00FC63CA" w:rsidRDefault="007B025A">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w:t>
      </w:r>
      <w:r>
        <w:rPr>
          <w:rFonts w:ascii="Arial Regular" w:hAnsi="Arial Regular"/>
          <w:color w:val="000000"/>
          <w:sz w:val="20"/>
          <w:szCs w:val="20"/>
        </w:rPr>
        <w:t>first equation's test results indicate a value of 0.243, or 24.30%. This figure suggests that the sustainability report and the public accounting firm size variable have a 24.30% impact on gross profit margin, with other variable tests not included in this</w:t>
      </w:r>
      <w:r>
        <w:rPr>
          <w:rFonts w:ascii="Arial Regular" w:hAnsi="Arial Regular"/>
          <w:color w:val="000000"/>
          <w:sz w:val="20"/>
          <w:szCs w:val="20"/>
        </w:rPr>
        <w:t xml:space="preserve"> study accounting for the remaining 75.70%.</w:t>
      </w:r>
    </w:p>
    <w:p w:rsidR="00FC63CA" w:rsidRDefault="007B025A">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lastRenderedPageBreak/>
        <w:t>With regard to the final equation, the result is 0.417, or 41.70%. This indicates that the sustainability report, the CTTOR variable, and the public accounting firm size variable have a 41.70% impact on the gross</w:t>
      </w:r>
      <w:r>
        <w:rPr>
          <w:rFonts w:ascii="Arial Regular" w:hAnsi="Arial Regular"/>
          <w:color w:val="000000"/>
          <w:sz w:val="20"/>
          <w:szCs w:val="20"/>
        </w:rPr>
        <w:t xml:space="preserve"> profit margin, with other factors accounting for the remaining 55.40%.</w:t>
      </w:r>
    </w:p>
    <w:p w:rsidR="00FC63CA" w:rsidRDefault="007B025A">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HYPOTHESIS TESTING</w:t>
      </w:r>
    </w:p>
    <w:p w:rsidR="00FC63CA" w:rsidRDefault="007B025A">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 xml:space="preserve">The primary goal of a study is to determine whether the hypothesis was correct. The SPSS software helps with this test by </w:t>
      </w:r>
      <w:proofErr w:type="spellStart"/>
      <w:r>
        <w:rPr>
          <w:rFonts w:ascii="Arial Regular" w:hAnsi="Arial Regular"/>
          <w:color w:val="000000"/>
          <w:sz w:val="20"/>
          <w:szCs w:val="20"/>
        </w:rPr>
        <w:t>utilising</w:t>
      </w:r>
      <w:proofErr w:type="spellEnd"/>
      <w:r>
        <w:rPr>
          <w:rFonts w:ascii="Arial Regular" w:hAnsi="Arial Regular"/>
          <w:color w:val="000000"/>
          <w:sz w:val="20"/>
          <w:szCs w:val="20"/>
        </w:rPr>
        <w:t xml:space="preserve"> the F test to determine the simu</w:t>
      </w:r>
      <w:r>
        <w:rPr>
          <w:rFonts w:ascii="Arial Regular" w:hAnsi="Arial Regular"/>
          <w:color w:val="000000"/>
          <w:sz w:val="20"/>
          <w:szCs w:val="20"/>
        </w:rPr>
        <w:t>ltaneous influence of the independent variables on the dependent variable used in the study or the T test to estimate the degree of influence between the independent and dependent variables. It states that a hypothesis cannot be accepted until its signific</w:t>
      </w:r>
      <w:r>
        <w:rPr>
          <w:rFonts w:ascii="Arial Regular" w:hAnsi="Arial Regular"/>
          <w:color w:val="000000"/>
          <w:sz w:val="20"/>
          <w:szCs w:val="20"/>
        </w:rPr>
        <w:t>ance value is less than 0.05 (sig &lt; 0.05).</w:t>
      </w:r>
    </w:p>
    <w:p w:rsidR="00FC63CA" w:rsidRDefault="007B025A">
      <w:pPr>
        <w:ind w:left="602" w:hangingChars="300" w:hanging="602"/>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01  </w:t>
      </w:r>
      <w:proofErr w:type="gramStart"/>
      <w:r>
        <w:rPr>
          <w:rFonts w:ascii="Arial Bold" w:hAnsi="Arial Bold" w:cs="Arial Bold"/>
          <w:b/>
          <w:bCs/>
          <w:iCs/>
          <w:vertAlign w:val="subscript"/>
        </w:rPr>
        <w:t xml:space="preserve">  </w:t>
      </w:r>
      <w:r>
        <w:rPr>
          <w:rFonts w:ascii="Arial Bold" w:hAnsi="Arial Bold" w:cs="Arial Bold"/>
          <w:b/>
          <w:bCs/>
          <w:iCs/>
        </w:rPr>
        <w:t>:</w:t>
      </w:r>
      <w:proofErr w:type="gramEnd"/>
      <w:r>
        <w:rPr>
          <w:rFonts w:ascii="Arial Bold" w:hAnsi="Arial Bold" w:cs="Arial Bold"/>
          <w:b/>
          <w:bCs/>
          <w:iCs/>
        </w:rPr>
        <w:t xml:space="preserve">  Public accounting firm size and sustainability report affects gross profit margin.</w:t>
      </w:r>
    </w:p>
    <w:p w:rsidR="00FC63CA" w:rsidRDefault="00FC63CA">
      <w:pPr>
        <w:rPr>
          <w:rFonts w:ascii="Times New Roman Italic" w:hAnsi="Times New Roman Italic" w:cs="Times New Roman Italic"/>
          <w:b/>
          <w:bCs/>
          <w:i/>
          <w:iCs/>
          <w:sz w:val="24"/>
          <w:szCs w:val="24"/>
        </w:rPr>
      </w:pPr>
    </w:p>
    <w:p w:rsidR="00FC63CA" w:rsidRDefault="007B025A" w:rsidP="00E77DC9">
      <w:pPr>
        <w:tabs>
          <w:tab w:val="left" w:pos="420"/>
          <w:tab w:val="left" w:pos="630"/>
        </w:tabs>
        <w:jc w:val="center"/>
        <w:rPr>
          <w:rFonts w:ascii="Arial Bold" w:eastAsia="Helvetica" w:hAnsi="Arial Bold" w:cs="Arial Bold"/>
          <w:b/>
        </w:rPr>
      </w:pPr>
      <w:r>
        <w:rPr>
          <w:rFonts w:ascii="Arial Bold" w:eastAsia="Helvetica" w:hAnsi="Arial Bold" w:cs="Arial Bold"/>
          <w:b/>
        </w:rPr>
        <w:t>Table 9</w:t>
      </w:r>
      <w:r w:rsidR="00E77DC9">
        <w:rPr>
          <w:rFonts w:ascii="Arial Bold" w:eastAsia="Helvetica" w:hAnsi="Arial Bold" w:cs="Arial Bold"/>
          <w:b/>
        </w:rPr>
        <w:t xml:space="preserve">: </w:t>
      </w:r>
      <w:r>
        <w:rPr>
          <w:rFonts w:ascii="Arial Bold" w:eastAsia="Helvetica" w:hAnsi="Arial Bold" w:cs="Arial Bold"/>
          <w:b/>
        </w:rPr>
        <w:t>Coefficient of Public Accountant Firm Size and Sustainability Report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859"/>
        <w:gridCol w:w="1224"/>
        <w:gridCol w:w="1224"/>
        <w:gridCol w:w="1350"/>
        <w:gridCol w:w="943"/>
        <w:gridCol w:w="945"/>
      </w:tblGrid>
      <w:tr w:rsidR="00FC63CA">
        <w:trPr>
          <w:cantSplit/>
          <w:trHeight w:val="289"/>
        </w:trPr>
        <w:tc>
          <w:tcPr>
            <w:tcW w:w="8220" w:type="dxa"/>
            <w:gridSpan w:val="7"/>
            <w:tcBorders>
              <w:tl2br w:val="nil"/>
              <w:tr2bl w:val="nil"/>
            </w:tcBorders>
            <w:shd w:val="clear" w:color="auto" w:fill="auto"/>
            <w:vAlign w:val="center"/>
          </w:tcPr>
          <w:p w:rsidR="00FC63CA" w:rsidRDefault="007B025A">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FC63CA">
        <w:trPr>
          <w:cantSplit/>
          <w:trHeight w:val="577"/>
        </w:trPr>
        <w:tc>
          <w:tcPr>
            <w:tcW w:w="2534" w:type="dxa"/>
            <w:gridSpan w:val="2"/>
            <w:vMerge w:val="restart"/>
            <w:tcBorders>
              <w:tl2br w:val="nil"/>
              <w:tr2bl w:val="nil"/>
            </w:tcBorders>
            <w:shd w:val="clear" w:color="auto" w:fill="auto"/>
            <w:vAlign w:val="bottom"/>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48" w:type="dxa"/>
            <w:gridSpan w:val="2"/>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50"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43" w:type="dxa"/>
            <w:vMerge w:val="restart"/>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5" w:type="dxa"/>
            <w:vMerge w:val="restart"/>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FC63CA">
        <w:trPr>
          <w:cantSplit/>
          <w:trHeight w:val="289"/>
        </w:trPr>
        <w:tc>
          <w:tcPr>
            <w:tcW w:w="2534" w:type="dxa"/>
            <w:gridSpan w:val="2"/>
            <w:vMerge/>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c>
          <w:tcPr>
            <w:tcW w:w="1224"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24"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50"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43" w:type="dxa"/>
            <w:vMerge/>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c>
          <w:tcPr>
            <w:tcW w:w="945" w:type="dxa"/>
            <w:vMerge/>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r>
      <w:tr w:rsidR="00FC63CA">
        <w:trPr>
          <w:cantSplit/>
          <w:trHeight w:val="307"/>
        </w:trPr>
        <w:tc>
          <w:tcPr>
            <w:tcW w:w="675" w:type="dxa"/>
            <w:vMerge w:val="restart"/>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9"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2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.036</w:t>
            </w:r>
          </w:p>
        </w:tc>
        <w:tc>
          <w:tcPr>
            <w:tcW w:w="122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.052</w:t>
            </w:r>
          </w:p>
        </w:tc>
        <w:tc>
          <w:tcPr>
            <w:tcW w:w="1350" w:type="dxa"/>
            <w:tcBorders>
              <w:tl2br w:val="nil"/>
              <w:tr2bl w:val="nil"/>
            </w:tcBorders>
            <w:shd w:val="clear" w:color="auto" w:fill="auto"/>
            <w:vAlign w:val="center"/>
          </w:tcPr>
          <w:p w:rsidR="00FC63CA" w:rsidRDefault="00FC63CA">
            <w:pPr>
              <w:autoSpaceDE w:val="0"/>
              <w:autoSpaceDN w:val="0"/>
              <w:adjustRightInd w:val="0"/>
              <w:rPr>
                <w:rFonts w:ascii="Arial Regular" w:hAnsi="Arial Regular" w:cs="Arial Regular"/>
              </w:rPr>
            </w:pPr>
          </w:p>
        </w:tc>
        <w:tc>
          <w:tcPr>
            <w:tcW w:w="94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.689</w:t>
            </w:r>
          </w:p>
        </w:tc>
        <w:tc>
          <w:tcPr>
            <w:tcW w:w="945"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.492</w:t>
            </w:r>
          </w:p>
        </w:tc>
      </w:tr>
      <w:tr w:rsidR="00FC63CA">
        <w:trPr>
          <w:cantSplit/>
          <w:trHeight w:val="307"/>
        </w:trPr>
        <w:tc>
          <w:tcPr>
            <w:tcW w:w="675" w:type="dxa"/>
            <w:vMerge/>
            <w:tcBorders>
              <w:tl2br w:val="nil"/>
              <w:tr2bl w:val="nil"/>
            </w:tcBorders>
            <w:shd w:val="clear" w:color="auto" w:fill="auto"/>
          </w:tcPr>
          <w:p w:rsidR="00FC63CA" w:rsidRDefault="00FC63CA">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rsidR="00FC63CA" w:rsidRDefault="007B025A">
            <w:pPr>
              <w:tabs>
                <w:tab w:val="left" w:pos="420"/>
                <w:tab w:val="left" w:pos="630"/>
              </w:tabs>
              <w:rPr>
                <w:rFonts w:ascii="Arial Regular" w:hAnsi="Arial Regular" w:cs="Arial Regular"/>
              </w:rPr>
            </w:pPr>
            <w:r>
              <w:rPr>
                <w:rFonts w:ascii="Arial Regular" w:eastAsia="Helvetica" w:hAnsi="Arial Regular" w:cs="Arial Regular"/>
                <w:bCs/>
              </w:rPr>
              <w:t xml:space="preserve">Public Accountant Firm Size </w:t>
            </w:r>
          </w:p>
        </w:tc>
        <w:tc>
          <w:tcPr>
            <w:tcW w:w="122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.123</w:t>
            </w:r>
          </w:p>
        </w:tc>
        <w:tc>
          <w:tcPr>
            <w:tcW w:w="122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.050</w:t>
            </w:r>
          </w:p>
        </w:tc>
        <w:tc>
          <w:tcPr>
            <w:tcW w:w="1350"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.236</w:t>
            </w:r>
          </w:p>
        </w:tc>
        <w:tc>
          <w:tcPr>
            <w:tcW w:w="94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2.481</w:t>
            </w:r>
          </w:p>
        </w:tc>
        <w:tc>
          <w:tcPr>
            <w:tcW w:w="945"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r>
      <w:tr w:rsidR="00FC63CA">
        <w:trPr>
          <w:cantSplit/>
          <w:trHeight w:val="307"/>
        </w:trPr>
        <w:tc>
          <w:tcPr>
            <w:tcW w:w="675" w:type="dxa"/>
            <w:vMerge/>
            <w:tcBorders>
              <w:tl2br w:val="nil"/>
              <w:tr2bl w:val="nil"/>
            </w:tcBorders>
            <w:shd w:val="clear" w:color="auto" w:fill="auto"/>
          </w:tcPr>
          <w:p w:rsidR="00FC63CA" w:rsidRDefault="00FC63CA">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rsidR="00FC63CA" w:rsidRDefault="007B025A">
            <w:pPr>
              <w:autoSpaceDE w:val="0"/>
              <w:autoSpaceDN w:val="0"/>
              <w:adjustRightInd w:val="0"/>
              <w:spacing w:line="320" w:lineRule="atLeast"/>
              <w:ind w:right="60"/>
              <w:rPr>
                <w:rFonts w:ascii="Arial Regular" w:hAnsi="Arial Regular" w:cs="Arial Regular"/>
              </w:rPr>
            </w:pPr>
            <w:r>
              <w:rPr>
                <w:rFonts w:ascii="Arial Regular" w:hAnsi="Arial Regular" w:cs="Arial Regular"/>
              </w:rPr>
              <w:t>Sustainability Report</w:t>
            </w:r>
          </w:p>
        </w:tc>
        <w:tc>
          <w:tcPr>
            <w:tcW w:w="122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.232</w:t>
            </w:r>
          </w:p>
        </w:tc>
        <w:tc>
          <w:tcPr>
            <w:tcW w:w="122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.061</w:t>
            </w:r>
          </w:p>
        </w:tc>
        <w:tc>
          <w:tcPr>
            <w:tcW w:w="1350"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.363</w:t>
            </w:r>
          </w:p>
        </w:tc>
        <w:tc>
          <w:tcPr>
            <w:tcW w:w="943"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3.811</w:t>
            </w:r>
          </w:p>
        </w:tc>
        <w:tc>
          <w:tcPr>
            <w:tcW w:w="945"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FC63CA">
        <w:trPr>
          <w:cantSplit/>
          <w:trHeight w:val="307"/>
        </w:trPr>
        <w:tc>
          <w:tcPr>
            <w:tcW w:w="8220" w:type="dxa"/>
            <w:gridSpan w:val="7"/>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Gross Profit Margin</w:t>
            </w:r>
          </w:p>
        </w:tc>
      </w:tr>
    </w:tbl>
    <w:p w:rsidR="00FC63CA" w:rsidRDefault="007B025A">
      <w:pPr>
        <w:autoSpaceDE w:val="0"/>
        <w:autoSpaceDN w:val="0"/>
        <w:adjustRightInd w:val="0"/>
        <w:rPr>
          <w:rFonts w:ascii="Arial" w:eastAsia="SimSun" w:hAnsi="Arial" w:cs="Arial"/>
          <w:bCs/>
          <w:sz w:val="16"/>
          <w:szCs w:val="16"/>
          <w:vertAlign w:val="superscript"/>
        </w:rPr>
      </w:pP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SPSS</w:t>
      </w:r>
    </w:p>
    <w:p w:rsidR="00FC63CA" w:rsidRDefault="00FC63CA">
      <w:pPr>
        <w:autoSpaceDE w:val="0"/>
        <w:autoSpaceDN w:val="0"/>
        <w:adjustRightInd w:val="0"/>
        <w:rPr>
          <w:rFonts w:ascii="Arial" w:eastAsia="SimSun" w:hAnsi="Arial" w:cs="Arial"/>
          <w:bCs/>
          <w:sz w:val="16"/>
          <w:szCs w:val="16"/>
          <w:vertAlign w:val="superscript"/>
        </w:rPr>
      </w:pPr>
    </w:p>
    <w:p w:rsidR="00FC63CA" w:rsidRDefault="007B025A">
      <w:pPr>
        <w:ind w:firstLineChars="250" w:firstLine="500"/>
        <w:jc w:val="both"/>
        <w:rPr>
          <w:rFonts w:ascii="Arial" w:hAnsi="Arial" w:cs="Arial"/>
        </w:rPr>
      </w:pPr>
      <w:r>
        <w:rPr>
          <w:rFonts w:ascii="Arial" w:hAnsi="Arial" w:cs="Arial"/>
        </w:rPr>
        <w:t>The regression coefficients for public accounting company size are shown in Table 9, with significance values of 0.000 for the sustainability report and 0.015 for publi</w:t>
      </w:r>
      <w:r>
        <w:rPr>
          <w:rFonts w:ascii="Arial" w:hAnsi="Arial" w:cs="Arial"/>
        </w:rPr>
        <w:t>c accounting firm size. The relevant variable has a statistically significant influence if the significance value is less than 0.05, as per the specified criterion. These findings suggest that the sustainability report and the size of the public accounting</w:t>
      </w:r>
      <w:r>
        <w:rPr>
          <w:rFonts w:ascii="Arial" w:hAnsi="Arial" w:cs="Arial"/>
        </w:rPr>
        <w:t xml:space="preserve"> firm both significantly affect the dependent variable, gross profit margin. Given their varying degrees of statistical significance, the results imply that these factors are crucial in determining profitability. So, it means the </w:t>
      </w:r>
      <w:proofErr w:type="spellStart"/>
      <w:r>
        <w:t>the</w:t>
      </w:r>
      <w:proofErr w:type="spellEnd"/>
      <w:r>
        <w:t xml:space="preserve"> hypothesis was accepte</w:t>
      </w:r>
      <w:r>
        <w:t>d.</w:t>
      </w:r>
      <w:r>
        <w:rPr>
          <w:rFonts w:ascii="Arial" w:hAnsi="Arial" w:cs="Arial"/>
        </w:rPr>
        <w:t xml:space="preserve"> </w:t>
      </w:r>
      <w:r>
        <w:rPr>
          <w:rFonts w:ascii="Arial" w:hAnsi="Arial"/>
        </w:rPr>
        <w:t xml:space="preserve">These findings are congruent with those of prior studies by Lenny (2025) and </w:t>
      </w:r>
      <w:proofErr w:type="spellStart"/>
      <w:r>
        <w:rPr>
          <w:rFonts w:ascii="Arial" w:hAnsi="Arial"/>
        </w:rPr>
        <w:t>Febriyanti</w:t>
      </w:r>
      <w:proofErr w:type="spellEnd"/>
      <w:r>
        <w:rPr>
          <w:rFonts w:ascii="Arial" w:hAnsi="Arial"/>
        </w:rPr>
        <w:t xml:space="preserve"> (2021), both of which found a substantial link between the factors studied. However, the findings differ from those of </w:t>
      </w:r>
      <w:proofErr w:type="spellStart"/>
      <w:r>
        <w:rPr>
          <w:rFonts w:ascii="Arial" w:hAnsi="Arial"/>
        </w:rPr>
        <w:t>Tarigan</w:t>
      </w:r>
      <w:proofErr w:type="spellEnd"/>
      <w:r>
        <w:rPr>
          <w:rFonts w:ascii="Arial" w:hAnsi="Arial"/>
        </w:rPr>
        <w:t xml:space="preserve"> (2015) and </w:t>
      </w:r>
      <w:proofErr w:type="spellStart"/>
      <w:r>
        <w:rPr>
          <w:rFonts w:ascii="Arial" w:hAnsi="Arial"/>
        </w:rPr>
        <w:t>Jecky</w:t>
      </w:r>
      <w:proofErr w:type="spellEnd"/>
      <w:r>
        <w:rPr>
          <w:rFonts w:ascii="Arial" w:hAnsi="Arial"/>
        </w:rPr>
        <w:t xml:space="preserve"> and Suparman (2021), </w:t>
      </w:r>
      <w:r>
        <w:rPr>
          <w:rFonts w:ascii="Arial" w:hAnsi="Arial"/>
        </w:rPr>
        <w:t>who found no such association.</w:t>
      </w:r>
    </w:p>
    <w:p w:rsidR="00FC63CA" w:rsidRDefault="00FC63CA">
      <w:pPr>
        <w:jc w:val="both"/>
        <w:rPr>
          <w:rFonts w:ascii="Arial" w:hAnsi="Arial" w:cs="Arial"/>
        </w:rPr>
      </w:pPr>
    </w:p>
    <w:p w:rsidR="00FC63CA" w:rsidRDefault="00FC63CA">
      <w:pPr>
        <w:rPr>
          <w:rFonts w:ascii="Arial Bold" w:hAnsi="Arial Bold"/>
          <w:b/>
          <w:bCs/>
        </w:rPr>
      </w:pPr>
    </w:p>
    <w:p w:rsidR="00FC63CA" w:rsidRDefault="007B025A">
      <w:pPr>
        <w:ind w:left="602" w:hangingChars="300" w:hanging="602"/>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02 </w:t>
      </w:r>
      <w:proofErr w:type="gramStart"/>
      <w:r>
        <w:rPr>
          <w:rFonts w:ascii="Arial Bold" w:hAnsi="Arial Bold" w:cs="Arial Bold"/>
          <w:b/>
          <w:bCs/>
          <w:iCs/>
        </w:rPr>
        <w:t xml:space="preserve">  :</w:t>
      </w:r>
      <w:proofErr w:type="gramEnd"/>
      <w:r>
        <w:rPr>
          <w:rFonts w:ascii="Arial Bold" w:hAnsi="Arial Bold" w:cs="Arial Bold"/>
          <w:b/>
          <w:bCs/>
          <w:iCs/>
        </w:rPr>
        <w:t xml:space="preserve">  Public accounting firm size,  sustainability report, and gross profit  margin affects CTTOR</w:t>
      </w:r>
    </w:p>
    <w:p w:rsidR="00FC63CA" w:rsidRDefault="00FC63CA">
      <w:pPr>
        <w:pStyle w:val="AbstHead"/>
        <w:spacing w:after="0"/>
        <w:jc w:val="both"/>
        <w:rPr>
          <w:rFonts w:ascii="Arial Regular" w:hAnsi="Arial Regular"/>
          <w:bCs/>
          <w:sz w:val="20"/>
        </w:rPr>
      </w:pPr>
    </w:p>
    <w:p w:rsidR="00FC63CA" w:rsidRPr="00AD690F" w:rsidRDefault="007B025A" w:rsidP="00AD690F">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10</w:t>
      </w:r>
      <w:r w:rsidR="00AD690F">
        <w:rPr>
          <w:rFonts w:ascii="Arial Regular" w:eastAsia="Helvetica" w:hAnsi="Arial Regular" w:cs="Arial Regular"/>
          <w:b/>
        </w:rPr>
        <w:t xml:space="preserve">: </w:t>
      </w:r>
      <w:r>
        <w:rPr>
          <w:rFonts w:ascii="Arial Regular" w:eastAsia="Helvetica" w:hAnsi="Arial Regular" w:cs="Arial Regular"/>
          <w:b/>
        </w:rPr>
        <w:t xml:space="preserve">Coefficient of </w:t>
      </w:r>
      <w:r>
        <w:rPr>
          <w:rFonts w:ascii="Arial Bold" w:eastAsia="Helvetica" w:hAnsi="Arial Bold" w:cs="Arial Bold"/>
          <w:b/>
        </w:rPr>
        <w:t>Public Accountant Firm Size</w:t>
      </w:r>
      <w:r>
        <w:rPr>
          <w:rFonts w:ascii="Arial Regular" w:eastAsia="Helvetica" w:hAnsi="Arial Regular" w:cs="Arial Regular"/>
          <w:b/>
        </w:rPr>
        <w:t xml:space="preserve">, </w:t>
      </w:r>
      <w:r>
        <w:rPr>
          <w:rFonts w:ascii="Arial Regular" w:eastAsia="Helvetica" w:hAnsi="Arial Regular" w:cs="Arial Regular"/>
          <w:b/>
          <w:i/>
          <w:iCs/>
        </w:rPr>
        <w:t xml:space="preserve">Sustainability Report </w:t>
      </w:r>
      <w:r>
        <w:rPr>
          <w:rFonts w:ascii="Arial Regular" w:eastAsia="Helvetica" w:hAnsi="Arial Regular" w:cs="Arial Regular"/>
          <w:b/>
        </w:rPr>
        <w:t xml:space="preserve">and </w:t>
      </w:r>
      <w:r>
        <w:rPr>
          <w:rFonts w:ascii="Arial Regular" w:eastAsia="Helvetica" w:hAnsi="Arial Regular" w:cs="Arial Regular"/>
          <w:b/>
          <w:i/>
          <w:iCs/>
        </w:rPr>
        <w:t>Gross Profit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1850"/>
        <w:gridCol w:w="1218"/>
        <w:gridCol w:w="1218"/>
        <w:gridCol w:w="1344"/>
        <w:gridCol w:w="938"/>
        <w:gridCol w:w="940"/>
      </w:tblGrid>
      <w:tr w:rsidR="00FC63CA">
        <w:trPr>
          <w:cantSplit/>
          <w:trHeight w:val="327"/>
        </w:trPr>
        <w:tc>
          <w:tcPr>
            <w:tcW w:w="8180" w:type="dxa"/>
            <w:gridSpan w:val="7"/>
            <w:tcBorders>
              <w:tl2br w:val="nil"/>
              <w:tr2bl w:val="nil"/>
            </w:tcBorders>
            <w:shd w:val="clear" w:color="auto" w:fill="auto"/>
            <w:vAlign w:val="center"/>
          </w:tcPr>
          <w:p w:rsidR="00FC63CA" w:rsidRDefault="007B025A">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b/>
                <w:bCs/>
              </w:rPr>
              <w:t>Coefficients</w:t>
            </w:r>
            <w:r>
              <w:rPr>
                <w:rFonts w:ascii="Arial Regular" w:hAnsi="Arial Regular" w:cs="Arial Regular"/>
                <w:b/>
                <w:bCs/>
                <w:vertAlign w:val="superscript"/>
              </w:rPr>
              <w:t>a</w:t>
            </w:r>
            <w:proofErr w:type="spellEnd"/>
          </w:p>
        </w:tc>
      </w:tr>
      <w:tr w:rsidR="00FC63CA">
        <w:trPr>
          <w:cantSplit/>
          <w:trHeight w:val="655"/>
        </w:trPr>
        <w:tc>
          <w:tcPr>
            <w:tcW w:w="2522" w:type="dxa"/>
            <w:gridSpan w:val="2"/>
            <w:vMerge w:val="restart"/>
            <w:tcBorders>
              <w:tl2br w:val="nil"/>
              <w:tr2bl w:val="nil"/>
            </w:tcBorders>
            <w:shd w:val="clear" w:color="auto" w:fill="auto"/>
            <w:vAlign w:val="bottom"/>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36" w:type="dxa"/>
            <w:gridSpan w:val="2"/>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Unstandardised</w:t>
            </w:r>
            <w:proofErr w:type="spellEnd"/>
            <w:r>
              <w:rPr>
                <w:rFonts w:ascii="Arial Regular" w:hAnsi="Arial Regular" w:cs="Arial Regular"/>
              </w:rPr>
              <w:t xml:space="preserve"> Coefficients</w:t>
            </w:r>
          </w:p>
        </w:tc>
        <w:tc>
          <w:tcPr>
            <w:tcW w:w="1344"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proofErr w:type="spellStart"/>
            <w:r>
              <w:rPr>
                <w:rFonts w:ascii="Arial Regular" w:hAnsi="Arial Regular" w:cs="Arial Regular"/>
              </w:rPr>
              <w:t>Standardised</w:t>
            </w:r>
            <w:proofErr w:type="spellEnd"/>
            <w:r>
              <w:rPr>
                <w:rFonts w:ascii="Arial Regular" w:hAnsi="Arial Regular" w:cs="Arial Regular"/>
              </w:rPr>
              <w:t xml:space="preserve"> Coefficients</w:t>
            </w:r>
          </w:p>
        </w:tc>
        <w:tc>
          <w:tcPr>
            <w:tcW w:w="938" w:type="dxa"/>
            <w:vMerge w:val="restart"/>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0" w:type="dxa"/>
            <w:vMerge w:val="restart"/>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FC63CA">
        <w:trPr>
          <w:cantSplit/>
          <w:trHeight w:val="327"/>
        </w:trPr>
        <w:tc>
          <w:tcPr>
            <w:tcW w:w="2522" w:type="dxa"/>
            <w:gridSpan w:val="2"/>
            <w:vMerge/>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c>
          <w:tcPr>
            <w:tcW w:w="1218"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18"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44" w:type="dxa"/>
            <w:tcBorders>
              <w:tl2br w:val="nil"/>
              <w:tr2bl w:val="nil"/>
            </w:tcBorders>
            <w:shd w:val="clear" w:color="auto" w:fill="auto"/>
            <w:vAlign w:val="bottom"/>
          </w:tcPr>
          <w:p w:rsidR="00FC63CA" w:rsidRDefault="007B025A">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38" w:type="dxa"/>
            <w:vMerge/>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c>
          <w:tcPr>
            <w:tcW w:w="940" w:type="dxa"/>
            <w:vMerge/>
            <w:tcBorders>
              <w:tl2br w:val="nil"/>
              <w:tr2bl w:val="nil"/>
            </w:tcBorders>
            <w:shd w:val="clear" w:color="auto" w:fill="auto"/>
            <w:vAlign w:val="bottom"/>
          </w:tcPr>
          <w:p w:rsidR="00FC63CA" w:rsidRDefault="00FC63CA">
            <w:pPr>
              <w:autoSpaceDE w:val="0"/>
              <w:autoSpaceDN w:val="0"/>
              <w:adjustRightInd w:val="0"/>
              <w:rPr>
                <w:rFonts w:ascii="Arial Regular" w:hAnsi="Arial Regular" w:cs="Arial Regular"/>
              </w:rPr>
            </w:pPr>
          </w:p>
        </w:tc>
      </w:tr>
      <w:tr w:rsidR="00FC63CA">
        <w:trPr>
          <w:cantSplit/>
          <w:trHeight w:val="348"/>
        </w:trPr>
        <w:tc>
          <w:tcPr>
            <w:tcW w:w="672" w:type="dxa"/>
            <w:vMerge w:val="restart"/>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0"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344" w:type="dxa"/>
            <w:tcBorders>
              <w:tl2br w:val="nil"/>
              <w:tr2bl w:val="nil"/>
            </w:tcBorders>
            <w:shd w:val="clear" w:color="auto" w:fill="auto"/>
            <w:vAlign w:val="center"/>
          </w:tcPr>
          <w:p w:rsidR="00FC63CA" w:rsidRDefault="00FC63CA">
            <w:pPr>
              <w:autoSpaceDE w:val="0"/>
              <w:autoSpaceDN w:val="0"/>
              <w:adjustRightInd w:val="0"/>
              <w:rPr>
                <w:rFonts w:ascii="Arial Regular" w:hAnsi="Arial Regular" w:cs="Arial Regular"/>
              </w:rPr>
            </w:pPr>
          </w:p>
        </w:tc>
        <w:tc>
          <w:tcPr>
            <w:tcW w:w="93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1.071</w:t>
            </w:r>
          </w:p>
        </w:tc>
        <w:tc>
          <w:tcPr>
            <w:tcW w:w="940"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.287</w:t>
            </w:r>
          </w:p>
        </w:tc>
      </w:tr>
      <w:tr w:rsidR="00FC63CA">
        <w:trPr>
          <w:cantSplit/>
          <w:trHeight w:val="348"/>
        </w:trPr>
        <w:tc>
          <w:tcPr>
            <w:tcW w:w="672" w:type="dxa"/>
            <w:vMerge/>
            <w:tcBorders>
              <w:tl2br w:val="nil"/>
              <w:tr2bl w:val="nil"/>
            </w:tcBorders>
            <w:shd w:val="clear" w:color="auto" w:fill="auto"/>
          </w:tcPr>
          <w:p w:rsidR="00FC63CA" w:rsidRDefault="00FC63CA">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eastAsia="Helvetica" w:hAnsi="Arial Regular" w:cs="Arial Regular"/>
                <w:bCs/>
              </w:rPr>
              <w:t>Public Accountant Firm Size</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.034</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134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.368</w:t>
            </w:r>
          </w:p>
        </w:tc>
        <w:tc>
          <w:tcPr>
            <w:tcW w:w="93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4.551</w:t>
            </w:r>
          </w:p>
        </w:tc>
        <w:tc>
          <w:tcPr>
            <w:tcW w:w="940"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FC63CA">
        <w:trPr>
          <w:cantSplit/>
          <w:trHeight w:val="348"/>
        </w:trPr>
        <w:tc>
          <w:tcPr>
            <w:tcW w:w="672" w:type="dxa"/>
            <w:vMerge/>
            <w:tcBorders>
              <w:tl2br w:val="nil"/>
              <w:tr2bl w:val="nil"/>
            </w:tcBorders>
            <w:shd w:val="clear" w:color="auto" w:fill="auto"/>
          </w:tcPr>
          <w:p w:rsidR="00FC63CA" w:rsidRDefault="00FC63CA">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.001</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.009</w:t>
            </w:r>
          </w:p>
        </w:tc>
        <w:tc>
          <w:tcPr>
            <w:tcW w:w="134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93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.085</w:t>
            </w:r>
          </w:p>
        </w:tc>
        <w:tc>
          <w:tcPr>
            <w:tcW w:w="940"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.933</w:t>
            </w:r>
          </w:p>
        </w:tc>
      </w:tr>
      <w:tr w:rsidR="00FC63CA">
        <w:trPr>
          <w:cantSplit/>
          <w:trHeight w:val="348"/>
        </w:trPr>
        <w:tc>
          <w:tcPr>
            <w:tcW w:w="672" w:type="dxa"/>
            <w:vMerge/>
            <w:tcBorders>
              <w:tl2br w:val="nil"/>
              <w:tr2bl w:val="nil"/>
            </w:tcBorders>
            <w:shd w:val="clear" w:color="auto" w:fill="auto"/>
          </w:tcPr>
          <w:p w:rsidR="00FC63CA" w:rsidRDefault="00FC63CA">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.084</w:t>
            </w:r>
          </w:p>
        </w:tc>
        <w:tc>
          <w:tcPr>
            <w:tcW w:w="121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c>
          <w:tcPr>
            <w:tcW w:w="1344"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.478</w:t>
            </w:r>
          </w:p>
        </w:tc>
        <w:tc>
          <w:tcPr>
            <w:tcW w:w="938"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5.600</w:t>
            </w:r>
          </w:p>
        </w:tc>
        <w:tc>
          <w:tcPr>
            <w:tcW w:w="940" w:type="dxa"/>
            <w:tcBorders>
              <w:tl2br w:val="nil"/>
              <w:tr2bl w:val="nil"/>
            </w:tcBorders>
            <w:shd w:val="clear" w:color="auto" w:fill="auto"/>
          </w:tcPr>
          <w:p w:rsidR="00FC63CA" w:rsidRDefault="007B025A">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FC63CA">
        <w:trPr>
          <w:cantSplit/>
          <w:trHeight w:val="348"/>
        </w:trPr>
        <w:tc>
          <w:tcPr>
            <w:tcW w:w="8180" w:type="dxa"/>
            <w:gridSpan w:val="7"/>
            <w:tcBorders>
              <w:tl2br w:val="nil"/>
              <w:tr2bl w:val="nil"/>
            </w:tcBorders>
            <w:shd w:val="clear" w:color="auto" w:fill="auto"/>
          </w:tcPr>
          <w:p w:rsidR="00FC63CA" w:rsidRDefault="007B025A">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CTTOR</w:t>
            </w:r>
          </w:p>
        </w:tc>
      </w:tr>
    </w:tbl>
    <w:p w:rsidR="00FC63CA" w:rsidRDefault="007B025A">
      <w:pPr>
        <w:autoSpaceDE w:val="0"/>
        <w:autoSpaceDN w:val="0"/>
        <w:adjustRightInd w:val="0"/>
        <w:rPr>
          <w:rFonts w:ascii="Arial" w:eastAsia="SimSun" w:hAnsi="Arial" w:cs="Arial"/>
          <w:bCs/>
          <w:sz w:val="16"/>
          <w:szCs w:val="16"/>
          <w:vertAlign w:val="superscript"/>
        </w:rPr>
      </w:pPr>
      <w:proofErr w:type="gramStart"/>
      <w:r>
        <w:rPr>
          <w:rFonts w:ascii="Arial" w:eastAsia="SimSun" w:hAnsi="Arial" w:cs="Arial"/>
          <w:bCs/>
          <w:sz w:val="16"/>
          <w:szCs w:val="16"/>
          <w:vertAlign w:val="superscript"/>
        </w:rPr>
        <w:t>Source :</w:t>
      </w:r>
      <w:proofErr w:type="gramEnd"/>
      <w:r>
        <w:rPr>
          <w:rFonts w:ascii="Arial" w:eastAsia="SimSun" w:hAnsi="Arial" w:cs="Arial"/>
          <w:bCs/>
          <w:sz w:val="16"/>
          <w:szCs w:val="16"/>
          <w:vertAlign w:val="superscript"/>
        </w:rPr>
        <w:t xml:space="preserve"> Secondary data from </w:t>
      </w:r>
      <w:r>
        <w:rPr>
          <w:rFonts w:ascii="Arial" w:eastAsia="SimSun" w:hAnsi="Arial"/>
          <w:bCs/>
          <w:sz w:val="16"/>
          <w:szCs w:val="16"/>
          <w:vertAlign w:val="superscript"/>
        </w:rPr>
        <w:t xml:space="preserve">The Indonesia Stock Exchange (IDX) </w:t>
      </w:r>
      <w:r>
        <w:rPr>
          <w:rFonts w:ascii="Arial" w:eastAsia="SimSun" w:hAnsi="Arial" w:cs="Arial"/>
          <w:bCs/>
          <w:sz w:val="16"/>
          <w:szCs w:val="16"/>
          <w:vertAlign w:val="superscript"/>
        </w:rPr>
        <w:t xml:space="preserve">  processed using SPSS</w:t>
      </w:r>
    </w:p>
    <w:p w:rsidR="00FC63CA" w:rsidRDefault="00FC63CA">
      <w:pPr>
        <w:autoSpaceDE w:val="0"/>
        <w:autoSpaceDN w:val="0"/>
        <w:adjustRightInd w:val="0"/>
        <w:rPr>
          <w:rFonts w:ascii="Times New Roman" w:eastAsia="SimSun" w:hAnsi="Times New Roman"/>
          <w:sz w:val="16"/>
          <w:szCs w:val="16"/>
          <w:vertAlign w:val="superscript"/>
        </w:rPr>
      </w:pPr>
    </w:p>
    <w:p w:rsidR="00FC63CA" w:rsidRDefault="007B025A">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As shown in Table 10, the second hypothesis investigates the connection among sustainability reporting, public accounting firm size, and gross profit margin on CTTOR (Cash Turnover to Total Operating Revenue). A variable is deemed to have a significant inf</w:t>
      </w:r>
      <w:r>
        <w:rPr>
          <w:rFonts w:ascii="Arial Regular" w:hAnsi="Arial Regular" w:cs="Arial Regular"/>
          <w:color w:val="000000"/>
          <w:sz w:val="20"/>
          <w:szCs w:val="20"/>
        </w:rPr>
        <w:t>luence if its significance value is less than 0.05, in accordance with the standards outlined in the first hypothesis. The three independent variables which are public accounting firm size, sustainability report, and gross profit margin have significance v</w:t>
      </w:r>
      <w:r>
        <w:rPr>
          <w:rFonts w:ascii="Arial Regular" w:hAnsi="Arial Regular" w:cs="Arial Regular"/>
          <w:color w:val="000000"/>
          <w:sz w:val="20"/>
          <w:szCs w:val="20"/>
        </w:rPr>
        <w:t xml:space="preserve">alues of 0.000, 0.993, and 0.000, respectively, based on the information in Table 10. These findings suggest that CTTOR is positively and statistically significantly impacted by both the size of public accounting firms and gross profit margin. </w:t>
      </w:r>
      <w:r>
        <w:rPr>
          <w:rFonts w:ascii="Calibri" w:hAnsi="Calibri"/>
          <w:color w:val="000000"/>
          <w:sz w:val="21"/>
          <w:szCs w:val="21"/>
        </w:rPr>
        <w:t xml:space="preserve">Conversely, </w:t>
      </w:r>
      <w:r>
        <w:rPr>
          <w:rFonts w:ascii="Calibri" w:hAnsi="Calibri"/>
          <w:color w:val="000000"/>
          <w:sz w:val="21"/>
          <w:szCs w:val="21"/>
        </w:rPr>
        <w:t>the sustainability report variable does not exhibit a significant effect on the dependent variable, as its significance value of 0.993 exceeds the accepted threshold.</w:t>
      </w:r>
    </w:p>
    <w:p w:rsidR="00FC63CA" w:rsidRDefault="00FC63CA">
      <w:pPr>
        <w:autoSpaceDE w:val="0"/>
        <w:autoSpaceDN w:val="0"/>
        <w:adjustRightInd w:val="0"/>
        <w:jc w:val="both"/>
        <w:rPr>
          <w:rFonts w:ascii="Arial Regular" w:eastAsia="SimSun" w:hAnsi="Arial Regular" w:cs="Arial Regular"/>
          <w:vertAlign w:val="superscript"/>
        </w:rPr>
      </w:pPr>
    </w:p>
    <w:p w:rsidR="00FC63CA" w:rsidRDefault="007B025A">
      <w:pPr>
        <w:ind w:left="602" w:hangingChars="300" w:hanging="602"/>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03 </w:t>
      </w:r>
      <w:proofErr w:type="gramStart"/>
      <w:r>
        <w:rPr>
          <w:rFonts w:ascii="Arial Bold" w:hAnsi="Arial Bold" w:cs="Arial Bold"/>
          <w:b/>
          <w:bCs/>
          <w:iCs/>
          <w:vertAlign w:val="subscript"/>
        </w:rPr>
        <w:t xml:space="preserve">  </w:t>
      </w:r>
      <w:r>
        <w:rPr>
          <w:rFonts w:ascii="Arial Bold" w:hAnsi="Arial Bold" w:cs="Arial Bold"/>
          <w:b/>
          <w:bCs/>
          <w:iCs/>
        </w:rPr>
        <w:t>:</w:t>
      </w:r>
      <w:proofErr w:type="gramEnd"/>
      <w:r>
        <w:rPr>
          <w:rFonts w:ascii="Arial Bold" w:hAnsi="Arial Bold" w:cs="Arial Bold"/>
          <w:b/>
          <w:bCs/>
          <w:iCs/>
        </w:rPr>
        <w:t xml:space="preserve">   Public accounting firm size and sustainability report through gross profit mar</w:t>
      </w:r>
      <w:r>
        <w:rPr>
          <w:rFonts w:ascii="Arial Bold" w:hAnsi="Arial Bold" w:cs="Arial Bold"/>
          <w:b/>
          <w:bCs/>
          <w:iCs/>
        </w:rPr>
        <w:t>gin affects  CTTOR</w:t>
      </w:r>
    </w:p>
    <w:p w:rsidR="00FC63CA" w:rsidRDefault="00FC63CA">
      <w:pPr>
        <w:pStyle w:val="AbstHead"/>
        <w:spacing w:after="0"/>
        <w:jc w:val="both"/>
        <w:rPr>
          <w:rFonts w:ascii="Arial Regular" w:hAnsi="Arial Regular"/>
          <w:bCs/>
          <w:sz w:val="20"/>
        </w:rPr>
      </w:pPr>
    </w:p>
    <w:p w:rsidR="00FC63CA" w:rsidRDefault="007B025A">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9504" behindDoc="1" locked="0" layoutInCell="1" allowOverlap="1">
                <wp:simplePos x="0" y="0"/>
                <wp:positionH relativeFrom="column">
                  <wp:posOffset>93980</wp:posOffset>
                </wp:positionH>
                <wp:positionV relativeFrom="paragraph">
                  <wp:posOffset>56515</wp:posOffset>
                </wp:positionV>
                <wp:extent cx="5086985" cy="3943985"/>
                <wp:effectExtent l="13970" t="13970" r="29845" b="29845"/>
                <wp:wrapNone/>
                <wp:docPr id="28" name="Rectangles 28"/>
                <wp:cNvGraphicFramePr/>
                <a:graphic xmlns:a="http://schemas.openxmlformats.org/drawingml/2006/main">
                  <a:graphicData uri="http://schemas.microsoft.com/office/word/2010/wordprocessingShape">
                    <wps:wsp>
                      <wps:cNvSpPr/>
                      <wps:spPr>
                        <a:xfrm>
                          <a:off x="1184275" y="5419090"/>
                          <a:ext cx="5086985" cy="3943985"/>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D11287" id="Rectangles 28" o:spid="_x0000_s1026" style="position:absolute;margin-left:7.4pt;margin-top:4.45pt;width:400.55pt;height:310.5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" filled="f" strokecolor="black [3213]" strokeweight="2.25pt"/>
            </w:pict>
          </mc:Fallback>
        </mc:AlternateContent>
      </w:r>
    </w:p>
    <w:p w:rsidR="00FC63CA" w:rsidRDefault="007B025A">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73600" behindDoc="0" locked="0" layoutInCell="1" allowOverlap="1">
                <wp:simplePos x="0" y="0"/>
                <wp:positionH relativeFrom="column">
                  <wp:posOffset>325755</wp:posOffset>
                </wp:positionH>
                <wp:positionV relativeFrom="paragraph">
                  <wp:posOffset>161290</wp:posOffset>
                </wp:positionV>
                <wp:extent cx="4630420" cy="3166110"/>
                <wp:effectExtent l="19050" t="12700" r="24130" b="21590"/>
                <wp:wrapNone/>
                <wp:docPr id="45" name="Group 45"/>
                <wp:cNvGraphicFramePr/>
                <a:graphic xmlns:a="http://schemas.openxmlformats.org/drawingml/2006/main">
                  <a:graphicData uri="http://schemas.microsoft.com/office/word/2010/wordprocessingGroup">
                    <wpg:wgp>
                      <wpg:cNvGrpSpPr/>
                      <wpg:grpSpPr>
                        <a:xfrm>
                          <a:off x="0" y="0"/>
                          <a:ext cx="4630383" cy="3166110"/>
                          <a:chOff x="2552" y="192019"/>
                          <a:chExt cx="7379" cy="4986"/>
                        </a:xfrm>
                      </wpg:grpSpPr>
                      <wps:wsp>
                        <wps:cNvPr id="46" name="Rounded Rectangle 8"/>
                        <wps:cNvSpPr/>
                        <wps:spPr>
                          <a:xfrm>
                            <a:off x="2557" y="192019"/>
                            <a:ext cx="2174" cy="1529"/>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Rounded Rectangle 15"/>
                        <wps:cNvSpPr/>
                        <wps:spPr>
                          <a:xfrm>
                            <a:off x="7957" y="193708"/>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Rounded Rectangle 25"/>
                        <wps:cNvSpPr/>
                        <wps:spPr>
                          <a:xfrm>
                            <a:off x="2552" y="195367"/>
                            <a:ext cx="2150" cy="1352"/>
                          </a:xfrm>
                          <a:prstGeom prst="roundRect">
                            <a:avLst/>
                          </a:prstGeom>
                        </wps:spPr>
                        <wps:style>
                          <a:lnRef idx="3">
                            <a:schemeClr val="accent3"/>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12"/>
                        <wps:cNvCnPr/>
                        <wps:spPr>
                          <a:xfrm>
                            <a:off x="4732" y="192710"/>
                            <a:ext cx="1355" cy="101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0" name="Straight Arrow Connector 23"/>
                        <wps:cNvCnPr/>
                        <wps:spPr>
                          <a:xfrm flipV="1">
                            <a:off x="4717" y="194813"/>
                            <a:ext cx="1370" cy="103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1" name="Straight Arrow Connector 10"/>
                        <wps:cNvCnPr/>
                        <wps:spPr>
                          <a:xfrm>
                            <a:off x="8685" y="192518"/>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2" name="Straight Arrow Connector 22"/>
                        <wps:cNvCnPr/>
                        <wps:spPr>
                          <a:xfrm flipV="1">
                            <a:off x="8670" y="194824"/>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3" name="Oval 9"/>
                        <wps:cNvSpPr/>
                        <wps:spPr>
                          <a:xfrm>
                            <a:off x="8747" y="192333"/>
                            <a:ext cx="1184" cy="809"/>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rPr>
                                  <w:rFonts w:ascii="Arial Regular" w:hAnsi="Arial Regular" w:cs="Arial Regular"/>
                                  <w:color w:val="000000" w:themeColor="text1"/>
                                  <w:sz w:val="18"/>
                                  <w:szCs w:val="18"/>
                                  <w14:shadow w14:blurRad="38100" w14:dist="19050" w14:dir="2700000" w14:sx="100000" w14:sy="100000" w14:kx="0" w14:ky="0" w14:algn="tl">
                                    <w14:schemeClr w14:val="dk1">
                                      <w14:alpha w14:val="60000"/>
                                    </w14:schemeClr>
                                  </w14:shadow>
                                  <w14:props3d w14:extrusionH="0" w14:contourW="0" w14:prstMaterial="clear"/>
                                </w:rPr>
                              </w:pPr>
                              <w:r>
                                <w:rPr>
                                  <w:rFonts w:ascii="Arial Regular" w:hAnsi="Arial Regular" w:cs="Arial Regular"/>
                                  <w:color w:val="000000" w:themeColor="text1"/>
                                  <w:sz w:val="18"/>
                                  <w:szCs w:val="18"/>
                                  <w14:shadow w14:blurRad="38100" w14:dist="19050" w14:dir="2700000" w14:sx="100000" w14:sy="100000" w14:kx="0" w14:ky="0" w14:algn="tl">
                                    <w14:schemeClr w14:val="dk1">
                                      <w14:alpha w14:val="60000"/>
                                    </w14:schemeClr>
                                  </w14:shadow>
                                  <w14:props3d w14:extrusionH="0" w14:contourW="0" w14:prstMaterial="clear"/>
                                </w:rPr>
                                <w:t>0.712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Oval 27"/>
                        <wps:cNvSpPr/>
                        <wps:spPr>
                          <a:xfrm>
                            <a:off x="5944" y="196174"/>
                            <a:ext cx="1150" cy="831"/>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Straight Arrow Connector 24"/>
                        <wps:cNvCnPr/>
                        <wps:spPr>
                          <a:xfrm flipV="1">
                            <a:off x="6557" y="194838"/>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56" name="Text Box 29"/>
                        <wps:cNvSpPr txBox="1"/>
                        <wps:spPr>
                          <a:xfrm rot="2460000">
                            <a:off x="4682" y="193239"/>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3CA" w:rsidRDefault="007B025A">
                              <w:pPr>
                                <w:jc w:val="center"/>
                                <w:rPr>
                                  <w:rFonts w:ascii="Arial Bold" w:hAnsi="Arial Bold" w:cs="Arial Bold"/>
                                  <w:b/>
                                  <w:bCs/>
                                </w:rPr>
                              </w:pPr>
                              <w:r>
                                <w:rPr>
                                  <w:rFonts w:ascii="Arial Bold" w:hAnsi="Arial Bold" w:cs="Arial Bold"/>
                                  <w:b/>
                                  <w:bCs/>
                                  <w:color w:val="010205"/>
                                  <w:sz w:val="18"/>
                                  <w:szCs w:val="18"/>
                                </w:rPr>
                                <w:t>0.236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Straight Connector 26"/>
                        <wps:cNvCnPr/>
                        <wps:spPr>
                          <a:xfrm>
                            <a:off x="4729" y="195990"/>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8" name="Straight Connector 11"/>
                        <wps:cNvCnPr/>
                        <wps:spPr>
                          <a:xfrm>
                            <a:off x="4725" y="192526"/>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9" name="Text Box 39"/>
                        <wps:cNvSpPr txBox="1"/>
                        <wps:spPr>
                          <a:xfrm rot="19860000">
                            <a:off x="4762" y="194988"/>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3CA" w:rsidRDefault="007B025A">
                              <w:pPr>
                                <w:jc w:val="center"/>
                                <w:rPr>
                                  <w:rFonts w:ascii="Arial Bold" w:hAnsi="Arial Bold" w:cs="Arial Bold"/>
                                  <w:b/>
                                  <w:bCs/>
                                </w:rPr>
                              </w:pPr>
                              <w:r>
                                <w:rPr>
                                  <w:rFonts w:ascii="Arial Bold" w:hAnsi="Arial Bold" w:cs="Arial Bold"/>
                                  <w:b/>
                                  <w:bCs/>
                                  <w:color w:val="010205"/>
                                  <w:sz w:val="18"/>
                                  <w:szCs w:val="18"/>
                                </w:rPr>
                                <w:t>0.363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40"/>
                        <wps:cNvSpPr txBox="1"/>
                        <wps:spPr>
                          <a:xfrm rot="21420000">
                            <a:off x="6224" y="192064"/>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3CA" w:rsidRDefault="007B025A">
                              <w:pPr>
                                <w:rPr>
                                  <w:rFonts w:ascii="Arial Bold" w:hAnsi="Arial Bold" w:cs="Arial Bold"/>
                                  <w:b/>
                                  <w:bCs/>
                                </w:rPr>
                              </w:pPr>
                              <w:r>
                                <w:rPr>
                                  <w:rFonts w:ascii="Arial Bold" w:hAnsi="Arial Bold" w:cs="Arial Bold"/>
                                  <w:b/>
                                  <w:bCs/>
                                </w:rPr>
                                <w:t>0.368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42"/>
                        <wps:cNvSpPr txBox="1"/>
                        <wps:spPr>
                          <a:xfrm rot="21420000">
                            <a:off x="7067" y="193813"/>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3CA" w:rsidRDefault="007B025A">
                              <w:pPr>
                                <w:rPr>
                                  <w:rFonts w:ascii="Arial Bold" w:hAnsi="Arial Bold" w:cs="Arial Bold"/>
                                  <w:b/>
                                  <w:bCs/>
                                </w:rPr>
                              </w:pPr>
                              <w:r>
                                <w:rPr>
                                  <w:rFonts w:ascii="Arial Bold" w:hAnsi="Arial Bold" w:cs="Arial Bold"/>
                                  <w:b/>
                                  <w:bCs/>
                                  <w:color w:val="010205"/>
                                  <w:sz w:val="18"/>
                                  <w:szCs w:val="18"/>
                                </w:rPr>
                                <w:t>0.478</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45" o:spid="_x0000_s1042" style="position:absolute;left:0;text-align:left;margin-left:25.65pt;margin-top:12.7pt;width:364.6pt;height:249.3pt;z-index:251673600" coordorigin="2552,192019" coordsize="7379,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">
                <v:roundrect id="Rounded Rectangle 8" o:spid="_x0000_s1043" style="position:absolute;left:2557;top:192019;width:2174;height:1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" filled="f" strokecolor="#4f81bd [3204]" strokeweight="2pt"/>
                <v:roundrect id="Rounded Rectangle 15" o:spid="_x0000_s1044" style="position:absolute;left:7957;top:193708;width:1851;height:1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" fillcolor="#f2dbdb [661]" strokecolor="black [3213]" strokeweight="2pt">
                  <v:textbox>
                    <w:txbxContent>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rsidR="00FC63CA" w:rsidRDefault="007B025A">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25" o:spid="_x0000_s1045" style="position:absolute;left:2552;top:195367;width:2150;height:1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" filled="f" strokecolor="#9bbb59 [3206]" strokeweight="3pt"/>
                <v:shape id="Straight Arrow Connector 12" o:spid="_x0000_s1046" type="#_x0000_t32" style="position:absolute;left:4732;top:192710;width:1355;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" strokecolor="red" strokeweight="2pt">
                  <v:stroke endarrow="open"/>
                  <v:shadow on="t" color="black" opacity="24903f" origin=",.5" offset="0,.55556mm"/>
                </v:shape>
                <v:shape id="Straight Arrow Connector 23" o:spid="_x0000_s1047" type="#_x0000_t32" style="position:absolute;left:4717;top:194813;width:1370;height:10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" strokecolor="red" strokeweight="2pt">
                  <v:stroke endarrow="open"/>
                  <v:shadow on="t" color="black" opacity="24903f" origin=",.5" offset="0,.55556mm"/>
                </v:shape>
                <v:shape id="Straight Arrow Connector 10" o:spid="_x0000_s1048" type="#_x0000_t32" style="position:absolute;left:8685;top:192518;width:0;height:1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" strokecolor="red" strokeweight="2pt">
                  <v:stroke endarrow="open"/>
                  <v:shadow on="t" color="black" opacity="24903f" origin=",.5" offset="0,.55556mm"/>
                </v:shape>
                <v:shape id="Straight Arrow Connector 22" o:spid="_x0000_s1049" type="#_x0000_t32" style="position:absolute;left:8670;top:194824;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" strokeweight="2pt">
                  <v:stroke endarrow="open"/>
                  <v:shadow on="t" color="black" opacity="24903f" origin=",.5" offset="0,.55556mm"/>
                </v:shape>
                <v:oval id="Oval 9" o:spid="_x0000_s1050" style="position:absolute;left:8747;top:192333;width:1184;height: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" fillcolor="#fabf8f [1945]" strokecolor="#d99594 [1941]" strokeweight="2pt">
                  <v:textbox>
                    <w:txbxContent>
                      <w:p w:rsidR="00FC63CA" w:rsidRDefault="007B025A">
                        <w:pPr>
                          <w:rPr>
                            <w:rFonts w:ascii="Arial Regular" w:hAnsi="Arial Regular" w:cs="Arial Regular"/>
                            <w:color w:val="000000" w:themeColor="text1"/>
                            <w:sz w:val="18"/>
                            <w:szCs w:val="18"/>
                            <w14:shadow w14:blurRad="38100" w14:dist="19050" w14:dir="2700000" w14:sx="100000" w14:sy="100000" w14:kx="0" w14:ky="0" w14:algn="tl">
                              <w14:schemeClr w14:val="dk1">
                                <w14:alpha w14:val="60000"/>
                              </w14:schemeClr>
                            </w14:shadow>
                            <w14:props3d w14:extrusionH="0" w14:contourW="0" w14:prstMaterial="clear"/>
                          </w:rPr>
                        </w:pPr>
                        <w:r>
                          <w:rPr>
                            <w:rFonts w:ascii="Arial Regular" w:hAnsi="Arial Regular" w:cs="Arial Regular"/>
                            <w:color w:val="000000" w:themeColor="text1"/>
                            <w:sz w:val="18"/>
                            <w:szCs w:val="18"/>
                            <w14:shadow w14:blurRad="38100" w14:dist="19050" w14:dir="2700000" w14:sx="100000" w14:sy="100000" w14:kx="0" w14:ky="0" w14:algn="tl">
                              <w14:schemeClr w14:val="dk1">
                                <w14:alpha w14:val="60000"/>
                              </w14:schemeClr>
                            </w14:shadow>
                            <w14:props3d w14:extrusionH="0" w14:contourW="0" w14:prstMaterial="clear"/>
                          </w:rPr>
                          <w:t>0.712</w:t>
                        </w:r>
                      </w:p>
                    </w:txbxContent>
                  </v:textbox>
                </v:oval>
                <v:oval id="Oval 27" o:spid="_x0000_s1051" style="position:absolute;left:5944;top:196174;width:1150;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" fillcolor="#fabf8f [1945]" strokecolor="#e5b8b7 [1301]" strokeweight="2pt">
                  <v:textbox>
                    <w:txbxContent>
                      <w:p w:rsidR="00FC63CA" w:rsidRDefault="007B025A">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v:textbox>
                </v:oval>
                <v:shape id="Straight Arrow Connector 24" o:spid="_x0000_s1052" type="#_x0000_t32" style="position:absolute;left:6557;top:194838;width:0;height:1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" strokecolor="#fabf8f [1945]" strokeweight="2.5pt">
                  <v:stroke endarrow="open" endcap="round"/>
                </v:shape>
                <v:shapetype id="_x0000_t202" coordsize="21600,21600" o:spt="202" path="m,l,21600r21600,l21600,xe">
                  <v:stroke joinstyle="miter"/>
                  <v:path gradientshapeok="t" o:connecttype="rect"/>
                </v:shapetype>
                <v:shape id="Text Box 29" o:spid="_x0000_s1053" type="#_x0000_t202" style="position:absolute;left:4682;top:193239;width:899;height:423;rotation: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" filled="f" stroked="f" strokeweight=".5pt">
                  <v:textbox>
                    <w:txbxContent>
                      <w:p w:rsidR="00FC63CA" w:rsidRDefault="007B025A">
                        <w:pPr>
                          <w:jc w:val="center"/>
                          <w:rPr>
                            <w:rFonts w:ascii="Arial Bold" w:hAnsi="Arial Bold" w:cs="Arial Bold"/>
                            <w:b/>
                            <w:bCs/>
                          </w:rPr>
                        </w:pPr>
                        <w:r>
                          <w:rPr>
                            <w:rFonts w:ascii="Arial Bold" w:hAnsi="Arial Bold" w:cs="Arial Bold"/>
                            <w:b/>
                            <w:bCs/>
                            <w:color w:val="010205"/>
                            <w:sz w:val="18"/>
                            <w:szCs w:val="18"/>
                          </w:rPr>
                          <w:t>0.236</w:t>
                        </w:r>
                      </w:p>
                    </w:txbxContent>
                  </v:textbox>
                </v:shape>
                <v:line id="Straight Connector 26" o:spid="_x0000_s1054" style="position:absolute;visibility:visible;mso-wrap-style:square" from="4729,195990" to="8695,19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" strokecolor="red" strokeweight="3pt"/>
                <v:line id="Straight Connector 11" o:spid="_x0000_s1055" style="position:absolute;visibility:visible;mso-wrap-style:square" from="4725,192526" to="8685,19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" strokecolor="red" strokeweight="3pt"/>
                <v:shape id="Text Box 39" o:spid="_x0000_s1056" type="#_x0000_t202" style="position:absolute;left:4762;top:194988;width:899;height:423;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" filled="f" stroked="f" strokeweight=".5pt">
                  <v:textbox>
                    <w:txbxContent>
                      <w:p w:rsidR="00FC63CA" w:rsidRDefault="007B025A">
                        <w:pPr>
                          <w:jc w:val="center"/>
                          <w:rPr>
                            <w:rFonts w:ascii="Arial Bold" w:hAnsi="Arial Bold" w:cs="Arial Bold"/>
                            <w:b/>
                            <w:bCs/>
                          </w:rPr>
                        </w:pPr>
                        <w:r>
                          <w:rPr>
                            <w:rFonts w:ascii="Arial Bold" w:hAnsi="Arial Bold" w:cs="Arial Bold"/>
                            <w:b/>
                            <w:bCs/>
                            <w:color w:val="010205"/>
                            <w:sz w:val="18"/>
                            <w:szCs w:val="18"/>
                          </w:rPr>
                          <w:t>0.363</w:t>
                        </w:r>
                      </w:p>
                    </w:txbxContent>
                  </v:textbox>
                </v:shape>
                <v:shape id="Text Box 40" o:spid="_x0000_s1057" type="#_x0000_t202" style="position:absolute;left:6224;top:192064;width:899;height:423;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" filled="f" stroked="f" strokeweight=".5pt">
                  <v:textbox>
                    <w:txbxContent>
                      <w:p w:rsidR="00FC63CA" w:rsidRDefault="007B025A">
                        <w:pPr>
                          <w:rPr>
                            <w:rFonts w:ascii="Arial Bold" w:hAnsi="Arial Bold" w:cs="Arial Bold"/>
                            <w:b/>
                            <w:bCs/>
                          </w:rPr>
                        </w:pPr>
                        <w:r>
                          <w:rPr>
                            <w:rFonts w:ascii="Arial Bold" w:hAnsi="Arial Bold" w:cs="Arial Bold"/>
                            <w:b/>
                            <w:bCs/>
                          </w:rPr>
                          <w:t>0.368</w:t>
                        </w:r>
                      </w:p>
                    </w:txbxContent>
                  </v:textbox>
                </v:shape>
                <v:shape id="Text Box 42" o:spid="_x0000_s1058" type="#_x0000_t202" style="position:absolute;left:7067;top:193813;width:899;height:423;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" filled="f" stroked="f" strokeweight=".5pt">
                  <v:textbox>
                    <w:txbxContent>
                      <w:p w:rsidR="00FC63CA" w:rsidRDefault="007B025A">
                        <w:pPr>
                          <w:rPr>
                            <w:rFonts w:ascii="Arial Bold" w:hAnsi="Arial Bold" w:cs="Arial Bold"/>
                            <w:b/>
                            <w:bCs/>
                          </w:rPr>
                        </w:pPr>
                        <w:r>
                          <w:rPr>
                            <w:rFonts w:ascii="Arial Bold" w:hAnsi="Arial Bold" w:cs="Arial Bold"/>
                            <w:b/>
                            <w:bCs/>
                            <w:color w:val="010205"/>
                            <w:sz w:val="18"/>
                            <w:szCs w:val="18"/>
                          </w:rPr>
                          <w:t>0.478</w:t>
                        </w:r>
                      </w:p>
                    </w:txbxContent>
                  </v:textbox>
                </v:shape>
              </v:group>
            </w:pict>
          </mc:Fallback>
        </mc:AlternateContent>
      </w:r>
    </w:p>
    <w:p w:rsidR="00FC63CA" w:rsidRDefault="007B025A">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rsidR="00FC63CA" w:rsidRDefault="007B025A">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rsidR="00FC63CA" w:rsidRDefault="007B025A">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Firm Size</w:t>
      </w:r>
    </w:p>
    <w:p w:rsidR="00FC63CA" w:rsidRDefault="007B025A">
      <w:pPr>
        <w:ind w:firstLineChars="500" w:firstLine="1200"/>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1552" behindDoc="0" locked="0" layoutInCell="1" allowOverlap="1">
                <wp:simplePos x="0" y="0"/>
                <wp:positionH relativeFrom="column">
                  <wp:posOffset>4516755</wp:posOffset>
                </wp:positionH>
                <wp:positionV relativeFrom="paragraph">
                  <wp:posOffset>57150</wp:posOffset>
                </wp:positionV>
                <wp:extent cx="0" cy="371475"/>
                <wp:effectExtent l="71120" t="15875" r="81280" b="19050"/>
                <wp:wrapNone/>
                <wp:docPr id="62" name="Straight Arrow Connector 62"/>
                <wp:cNvGraphicFramePr/>
                <a:graphic xmlns:a="http://schemas.openxmlformats.org/drawingml/2006/main">
                  <a:graphicData uri="http://schemas.microsoft.com/office/word/2010/wordprocessingShape">
                    <wps:wsp>
                      <wps:cNvCnPr/>
                      <wps:spPr>
                        <a:xfrm>
                          <a:off x="0" y="0"/>
                          <a:ext cx="0" cy="371475"/>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w14:anchorId="123BF54C" id="Straight Arrow Connector 62" o:spid="_x0000_s1026" type="#_x0000_t32" style="position:absolute;margin-left:355.65pt;margin-top:4.5pt;width:0;height:29.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" strokecolor="#fabf8f [1945]" strokeweight="2.5pt">
                <v:stroke endarrow="open" endcap="round"/>
              </v:shape>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rsidR="00FC63CA" w:rsidRDefault="00FC63CA">
      <w:pPr>
        <w:rPr>
          <w:rFonts w:ascii="Times New Roman Regular" w:hAnsi="Times New Roman Regular" w:cs="Times New Roman Regular"/>
          <w:sz w:val="24"/>
          <w:szCs w:val="24"/>
        </w:rPr>
      </w:pPr>
    </w:p>
    <w:p w:rsidR="00FC63CA" w:rsidRDefault="007B025A">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8480" behindDoc="1" locked="0" layoutInCell="1" allowOverlap="1">
                <wp:simplePos x="0" y="0"/>
                <wp:positionH relativeFrom="column">
                  <wp:posOffset>1933575</wp:posOffset>
                </wp:positionH>
                <wp:positionV relativeFrom="paragraph">
                  <wp:posOffset>92075</wp:posOffset>
                </wp:positionV>
                <wp:extent cx="1164590" cy="694055"/>
                <wp:effectExtent l="12700" t="12700" r="16510" b="29845"/>
                <wp:wrapNone/>
                <wp:docPr id="63" name="Rounded Rectangle 63"/>
                <wp:cNvGraphicFramePr/>
                <a:graphic xmlns:a="http://schemas.openxmlformats.org/drawingml/2006/main">
                  <a:graphicData uri="http://schemas.microsoft.com/office/word/2010/wordprocessingShape">
                    <wps:wsp>
                      <wps:cNvSpPr/>
                      <wps:spPr>
                        <a:xfrm>
                          <a:off x="1374775" y="6693535"/>
                          <a:ext cx="1164590" cy="694055"/>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FC63CA" w:rsidRDefault="007B025A">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Gross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3" o:spid="_x0000_s1059" style="position:absolute;margin-left:152.25pt;margin-top:7.25pt;width:91.7pt;height:54.6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" fillcolor="#e5dfec [663]" strokecolor="black [3213]" strokeweight="2pt">
                <v:textbox>
                  <w:txbxContent>
                    <w:p w:rsidR="00FC63CA" w:rsidRDefault="007B025A">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Gross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w:pict>
          </mc:Fallback>
        </mc:AlternateConten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rsidR="00FC63CA" w:rsidRDefault="007B025A">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3098165</wp:posOffset>
                </wp:positionH>
                <wp:positionV relativeFrom="paragraph">
                  <wp:posOffset>151130</wp:posOffset>
                </wp:positionV>
                <wp:extent cx="603250" cy="0"/>
                <wp:effectExtent l="33655" t="71120" r="48895" b="132080"/>
                <wp:wrapNone/>
                <wp:docPr id="64" name="Straight Arrow Connector 64"/>
                <wp:cNvGraphicFramePr/>
                <a:graphic xmlns:a="http://schemas.openxmlformats.org/drawingml/2006/main">
                  <a:graphicData uri="http://schemas.microsoft.com/office/word/2010/wordprocessingShape">
                    <wps:wsp>
                      <wps:cNvCnPr/>
                      <wps:spPr>
                        <a:xfrm>
                          <a:off x="0" y="0"/>
                          <a:ext cx="603250"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F057332" id="Straight Arrow Connector 64" o:spid="_x0000_s1026" type="#_x0000_t32" style="position:absolute;margin-left:243.95pt;margin-top:11.9pt;width: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" strokecolor="red" strokeweight="2pt">
                <v:stroke endarrow="open"/>
                <v:shadow on="t" color="black" opacity="24903f" origin=",.5" offset="0,.55556mm"/>
              </v:shape>
            </w:pict>
          </mc:Fallback>
        </mc:AlternateContent>
      </w:r>
      <w:r>
        <w:rPr>
          <w:rFonts w:ascii="Times New Roman Regular" w:hAnsi="Times New Roman Regular" w:cs="Times New Roman Regular"/>
          <w:sz w:val="24"/>
          <w:szCs w:val="24"/>
        </w:rPr>
        <w:tab/>
      </w:r>
    </w:p>
    <w:p w:rsidR="00FC63CA" w:rsidRDefault="00FC63CA">
      <w:pPr>
        <w:rPr>
          <w:rFonts w:ascii="Times New Roman Regular" w:hAnsi="Times New Roman Regular" w:cs="Times New Roman Regular"/>
          <w:sz w:val="24"/>
          <w:szCs w:val="24"/>
        </w:rPr>
      </w:pPr>
    </w:p>
    <w:p w:rsidR="00FC63CA" w:rsidRDefault="007B025A">
      <w:pPr>
        <w:rPr>
          <w:sz w:val="24"/>
        </w:rPr>
      </w:pPr>
      <w:r>
        <w:rPr>
          <w:sz w:val="24"/>
        </w:rPr>
        <w:t xml:space="preserve">   </w:t>
      </w:r>
    </w:p>
    <w:p w:rsidR="00FC63CA" w:rsidRDefault="00FC63CA">
      <w:pPr>
        <w:rPr>
          <w:sz w:val="24"/>
        </w:rPr>
      </w:pPr>
    </w:p>
    <w:p w:rsidR="00FC63CA" w:rsidRDefault="00FC63CA">
      <w:pPr>
        <w:ind w:firstLineChars="250" w:firstLine="600"/>
        <w:rPr>
          <w:sz w:val="24"/>
        </w:rPr>
      </w:pPr>
    </w:p>
    <w:p w:rsidR="00FC63CA" w:rsidRDefault="007B025A">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noProof/>
          <w:sz w:val="24"/>
        </w:rPr>
        <mc:AlternateContent>
          <mc:Choice Requires="wps">
            <w:drawing>
              <wp:anchor distT="0" distB="0" distL="114300" distR="114300" simplePos="0" relativeHeight="251672576" behindDoc="0" locked="0" layoutInCell="1" allowOverlap="1">
                <wp:simplePos x="0" y="0"/>
                <wp:positionH relativeFrom="column">
                  <wp:posOffset>3246120</wp:posOffset>
                </wp:positionH>
                <wp:positionV relativeFrom="paragraph">
                  <wp:posOffset>81280</wp:posOffset>
                </wp:positionV>
                <wp:extent cx="485140" cy="251460"/>
                <wp:effectExtent l="0" t="0" r="0" b="0"/>
                <wp:wrapNone/>
                <wp:docPr id="65" name="Text Box 65"/>
                <wp:cNvGraphicFramePr/>
                <a:graphic xmlns:a="http://schemas.openxmlformats.org/drawingml/2006/main">
                  <a:graphicData uri="http://schemas.microsoft.com/office/word/2010/wordprocessingShape">
                    <wps:wsp>
                      <wps:cNvSpPr txBox="1"/>
                      <wps:spPr>
                        <a:xfrm>
                          <a:off x="4389120" y="4999990"/>
                          <a:ext cx="48514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3CA" w:rsidRDefault="007B025A">
                            <w:pPr>
                              <w:rPr>
                                <w:rFonts w:ascii="Arial Bold" w:hAnsi="Arial Bold" w:cs="Arial Bold"/>
                                <w:b/>
                                <w:bCs/>
                              </w:rPr>
                            </w:pPr>
                            <w:r>
                              <w:rPr>
                                <w:rFonts w:ascii="Arial Bold" w:hAnsi="Arial Bold" w:cs="Arial Bold"/>
                                <w:b/>
                                <w:bCs/>
                                <w:color w:val="010205"/>
                                <w:sz w:val="18"/>
                                <w:szCs w:val="18"/>
                              </w:rPr>
                              <w:t>0.007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5" o:spid="_x0000_s1060" type="#_x0000_t202" style="position:absolute;left:0;text-align:left;margin-left:255.6pt;margin-top:6.4pt;width:38.2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" filled="f" stroked="f" strokeweight=".5pt">
                <v:textbox>
                  <w:txbxContent>
                    <w:p w:rsidR="00FC63CA" w:rsidRDefault="007B025A">
                      <w:pPr>
                        <w:rPr>
                          <w:rFonts w:ascii="Arial Bold" w:hAnsi="Arial Bold" w:cs="Arial Bold"/>
                          <w:b/>
                          <w:bCs/>
                        </w:rPr>
                      </w:pPr>
                      <w:r>
                        <w:rPr>
                          <w:rFonts w:ascii="Arial Bold" w:hAnsi="Arial Bold" w:cs="Arial Bold"/>
                          <w:b/>
                          <w:bCs/>
                          <w:color w:val="010205"/>
                          <w:sz w:val="18"/>
                          <w:szCs w:val="18"/>
                        </w:rPr>
                        <w:t>0.007</w:t>
                      </w:r>
                    </w:p>
                  </w:txbxContent>
                </v:textbox>
              </v:shape>
            </w:pict>
          </mc:Fallback>
        </mc:AlternateContent>
      </w: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rsidR="00FC63CA" w:rsidRDefault="007B025A">
      <w:pPr>
        <w:ind w:left="420" w:firstLine="420"/>
        <w:rPr>
          <w:rFonts w:ascii="Arial Bold" w:hAnsi="Arial Bold" w:cs="Arial Bold"/>
          <w:b/>
          <w:bCs/>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rsidR="00FC63CA" w:rsidRDefault="007B025A">
      <w:pPr>
        <w:ind w:left="420" w:firstLine="42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rsidR="00FC63CA" w:rsidRDefault="00FC63CA">
      <w:pPr>
        <w:tabs>
          <w:tab w:val="left" w:pos="1230"/>
        </w:tabs>
        <w:spacing w:line="360" w:lineRule="auto"/>
        <w:jc w:val="center"/>
        <w:rPr>
          <w:rFonts w:ascii="Times New Roman Regular" w:hAnsi="Times New Roman Regular" w:cs="Times New Roman Regular"/>
          <w:sz w:val="24"/>
          <w:szCs w:val="24"/>
        </w:rPr>
      </w:pPr>
    </w:p>
    <w:p w:rsidR="00FC63CA" w:rsidRDefault="00FC63CA">
      <w:pPr>
        <w:tabs>
          <w:tab w:val="left" w:pos="1230"/>
        </w:tabs>
        <w:spacing w:line="360" w:lineRule="auto"/>
        <w:jc w:val="both"/>
        <w:rPr>
          <w:rFonts w:ascii="Times New Roman" w:hAnsi="Times New Roman"/>
          <w:b/>
          <w:sz w:val="24"/>
          <w:szCs w:val="24"/>
        </w:rPr>
      </w:pPr>
    </w:p>
    <w:p w:rsidR="00FC63CA" w:rsidRDefault="007B025A">
      <w:pPr>
        <w:tabs>
          <w:tab w:val="left" w:pos="1230"/>
        </w:tabs>
        <w:spacing w:line="360" w:lineRule="auto"/>
        <w:jc w:val="center"/>
        <w:rPr>
          <w:rFonts w:ascii="Times New Roman Italic" w:hAnsi="Times New Roman Italic" w:cs="Times New Roman Italic"/>
          <w:i/>
          <w:iCs/>
          <w:sz w:val="24"/>
          <w:szCs w:val="24"/>
        </w:rPr>
      </w:pPr>
      <w:r>
        <w:rPr>
          <w:rFonts w:ascii="Times New Roman" w:hAnsi="Times New Roman"/>
          <w:b/>
          <w:sz w:val="24"/>
          <w:szCs w:val="24"/>
        </w:rPr>
        <w:t xml:space="preserve">Figure </w:t>
      </w:r>
      <w:r w:rsidR="004548FD">
        <w:rPr>
          <w:rFonts w:ascii="Times New Roman" w:hAnsi="Times New Roman"/>
          <w:b/>
          <w:sz w:val="24"/>
          <w:szCs w:val="24"/>
        </w:rPr>
        <w:t>2</w:t>
      </w:r>
      <w:r>
        <w:rPr>
          <w:rFonts w:ascii="Times New Roman" w:hAnsi="Times New Roman"/>
          <w:b/>
          <w:sz w:val="24"/>
          <w:szCs w:val="24"/>
        </w:rPr>
        <w:t xml:space="preserve">. </w:t>
      </w:r>
      <w:proofErr w:type="spellStart"/>
      <w:r>
        <w:rPr>
          <w:rFonts w:ascii="Times New Roman" w:hAnsi="Times New Roman"/>
          <w:b/>
          <w:sz w:val="24"/>
          <w:szCs w:val="24"/>
        </w:rPr>
        <w:t>Conseptual</w:t>
      </w:r>
      <w:proofErr w:type="spellEnd"/>
      <w:r>
        <w:rPr>
          <w:rFonts w:ascii="Times New Roman" w:hAnsi="Times New Roman"/>
          <w:b/>
          <w:sz w:val="24"/>
          <w:szCs w:val="24"/>
        </w:rPr>
        <w:t xml:space="preserve"> Framework</w:t>
      </w:r>
      <w:r w:rsidR="003955BE">
        <w:rPr>
          <w:rFonts w:ascii="Times New Roman" w:hAnsi="Times New Roman"/>
          <w:b/>
          <w:sz w:val="24"/>
          <w:szCs w:val="24"/>
        </w:rPr>
        <w:t xml:space="preserve"> examined </w:t>
      </w:r>
      <w:bookmarkStart w:id="0" w:name="_GoBack"/>
      <w:bookmarkEnd w:id="0"/>
      <w:r w:rsidR="003955BE">
        <w:rPr>
          <w:rFonts w:ascii="Times New Roman" w:hAnsi="Times New Roman"/>
          <w:b/>
          <w:sz w:val="24"/>
          <w:szCs w:val="24"/>
        </w:rPr>
        <w:t>with Information of table 9 and 10</w:t>
      </w:r>
      <w:r>
        <w:rPr>
          <w:rFonts w:ascii="Times New Roman" w:hAnsi="Times New Roman"/>
          <w:b/>
          <w:sz w:val="24"/>
          <w:szCs w:val="24"/>
        </w:rPr>
        <w:t xml:space="preserve"> </w:t>
      </w:r>
    </w:p>
    <w:p w:rsidR="00FC63CA" w:rsidRDefault="00FC63CA">
      <w:pPr>
        <w:tabs>
          <w:tab w:val="left" w:pos="1230"/>
        </w:tabs>
        <w:spacing w:line="360" w:lineRule="auto"/>
        <w:jc w:val="both"/>
        <w:rPr>
          <w:rFonts w:ascii="Times New Roman" w:hAnsi="Times New Roman"/>
          <w:b/>
          <w:sz w:val="24"/>
          <w:szCs w:val="24"/>
        </w:rPr>
      </w:pPr>
    </w:p>
    <w:p w:rsidR="00FC63CA" w:rsidRDefault="007B025A">
      <w:pPr>
        <w:tabs>
          <w:tab w:val="left" w:pos="1230"/>
        </w:tabs>
        <w:ind w:firstLineChars="250" w:firstLine="500"/>
        <w:jc w:val="both"/>
        <w:rPr>
          <w:rFonts w:ascii="Arial Regular" w:hAnsi="Arial Regular"/>
          <w:bCs/>
        </w:rPr>
      </w:pPr>
      <w:r>
        <w:rPr>
          <w:rFonts w:ascii="Arial Regular" w:hAnsi="Arial Regular"/>
          <w:bCs/>
        </w:rPr>
        <w:t xml:space="preserve">Together with the information in tables 9 and 10, the conceptual framework shown in figure </w:t>
      </w:r>
      <w:r w:rsidR="004548FD">
        <w:rPr>
          <w:rFonts w:ascii="Arial Regular" w:hAnsi="Arial Regular"/>
          <w:bCs/>
        </w:rPr>
        <w:t>2</w:t>
      </w:r>
      <w:r>
        <w:rPr>
          <w:rFonts w:ascii="Arial Regular" w:hAnsi="Arial Regular"/>
          <w:bCs/>
        </w:rPr>
        <w:t xml:space="preserve"> must be examined in order to properly address the last claim. By multiplying the </w:t>
      </w:r>
      <w:proofErr w:type="spellStart"/>
      <w:r>
        <w:rPr>
          <w:rFonts w:ascii="Arial Regular" w:hAnsi="Arial Regular"/>
          <w:bCs/>
        </w:rPr>
        <w:lastRenderedPageBreak/>
        <w:t>standardised</w:t>
      </w:r>
      <w:proofErr w:type="spellEnd"/>
      <w:r>
        <w:rPr>
          <w:rFonts w:ascii="Arial Regular" w:hAnsi="Arial Regular"/>
          <w:bCs/>
        </w:rPr>
        <w:t xml:space="preserve"> beta coefficient from Table 9 (0.236) by the beta coefficient for gross profit margin from Table 10 (0.478), the indirect effect of public accountant company siz</w:t>
      </w:r>
      <w:r>
        <w:rPr>
          <w:rFonts w:ascii="Arial Regular" w:hAnsi="Arial Regular"/>
          <w:bCs/>
        </w:rPr>
        <w:t>e on CTTOR is determined to be 0.1128. Additionally, Table 10 shows that the CTTOR variable and the size of the public accountant business have a direct influence of 0.368. Together, these results demonstrate how the size of public accounting firms affects</w:t>
      </w:r>
      <w:r>
        <w:rPr>
          <w:rFonts w:ascii="Arial Regular" w:hAnsi="Arial Regular"/>
          <w:bCs/>
        </w:rPr>
        <w:t xml:space="preserve"> CTTOR both directly and indirectly. When a relationship between independent variables has a larger indirect effect than a direct effect, it is deemed to have a significant impact on the dependent variable. The size of the public accounting firm has a less</w:t>
      </w:r>
      <w:r>
        <w:rPr>
          <w:rFonts w:ascii="Arial Regular" w:hAnsi="Arial Regular"/>
          <w:bCs/>
        </w:rPr>
        <w:t xml:space="preserve">er indirect impact on CTTOR in this instance than the direct effect, which is mediated by the gross profit margin. This suggests that the indirect influence is not significant. </w:t>
      </w:r>
    </w:p>
    <w:p w:rsidR="00FC63CA" w:rsidRDefault="007B025A">
      <w:pPr>
        <w:tabs>
          <w:tab w:val="left" w:pos="1230"/>
        </w:tabs>
        <w:ind w:firstLineChars="250" w:firstLine="500"/>
        <w:jc w:val="both"/>
        <w:rPr>
          <w:rFonts w:ascii="Arial Regular" w:hAnsi="Arial Regular"/>
          <w:bCs/>
        </w:rPr>
      </w:pPr>
      <w:r>
        <w:rPr>
          <w:rFonts w:ascii="Arial Regular" w:hAnsi="Arial Regular"/>
          <w:bCs/>
        </w:rPr>
        <w:t>Second, the study examined the impact of sustainability reporting on corporate</w:t>
      </w:r>
      <w:r>
        <w:rPr>
          <w:rFonts w:ascii="Arial Regular" w:hAnsi="Arial Regular"/>
          <w:bCs/>
        </w:rPr>
        <w:t xml:space="preserve"> social responsibility (CTTOR) through the variable of gross profit margin. The direct effect of the sustainability report on CTTOR was found to be 0.007. Additionally, the indirect effect of gross profit margin on CTTOR was calculated by multiplying the </w:t>
      </w:r>
      <w:proofErr w:type="spellStart"/>
      <w:r>
        <w:rPr>
          <w:rFonts w:ascii="Arial Regular" w:hAnsi="Arial Regular"/>
          <w:bCs/>
        </w:rPr>
        <w:t>s</w:t>
      </w:r>
      <w:r>
        <w:rPr>
          <w:rFonts w:ascii="Arial Regular" w:hAnsi="Arial Regular"/>
          <w:bCs/>
        </w:rPr>
        <w:t>tandardised</w:t>
      </w:r>
      <w:proofErr w:type="spellEnd"/>
      <w:r>
        <w:rPr>
          <w:rFonts w:ascii="Arial Regular" w:hAnsi="Arial Regular"/>
          <w:bCs/>
        </w:rPr>
        <w:t xml:space="preserve"> coefficients of the sustainability report and the gross profit margin, resulting in a value of 0.1128. This indicates that the indirect effect is greater than the direct effect, suggesting that the sustainability report has a significant impact</w:t>
      </w:r>
      <w:r>
        <w:rPr>
          <w:rFonts w:ascii="Arial Regular" w:hAnsi="Arial Regular"/>
          <w:bCs/>
        </w:rPr>
        <w:t xml:space="preserve"> on CTTOR through the gross profit margin variable. The hypothesis that both the sustainability report and public accounting firm size affect CTTOR was rejected, as only the sustainability report was found to have an effect.</w:t>
      </w:r>
    </w:p>
    <w:p w:rsidR="00FC63CA" w:rsidRDefault="00FC63CA">
      <w:pPr>
        <w:tabs>
          <w:tab w:val="left" w:pos="1230"/>
        </w:tabs>
        <w:ind w:firstLineChars="250" w:firstLine="500"/>
        <w:jc w:val="both"/>
        <w:rPr>
          <w:rFonts w:ascii="Arial Regular" w:hAnsi="Arial Regular"/>
          <w:bCs/>
        </w:rPr>
      </w:pPr>
    </w:p>
    <w:p w:rsidR="00FC63CA" w:rsidRDefault="00FC63CA">
      <w:pPr>
        <w:tabs>
          <w:tab w:val="left" w:pos="1230"/>
        </w:tabs>
        <w:ind w:firstLineChars="250" w:firstLine="500"/>
        <w:jc w:val="both"/>
        <w:rPr>
          <w:rFonts w:ascii="Arial Regular" w:hAnsi="Arial Regular"/>
          <w:bCs/>
        </w:rPr>
      </w:pPr>
    </w:p>
    <w:p w:rsidR="00FC63CA" w:rsidRDefault="007B025A">
      <w:pPr>
        <w:pStyle w:val="AbstHead"/>
        <w:numPr>
          <w:ilvl w:val="0"/>
          <w:numId w:val="3"/>
        </w:numPr>
        <w:tabs>
          <w:tab w:val="left" w:pos="400"/>
        </w:tabs>
        <w:spacing w:after="0"/>
        <w:jc w:val="both"/>
        <w:rPr>
          <w:rFonts w:ascii="Arial Bold" w:hAnsi="Arial Bold" w:cs="Arial Bold"/>
          <w:szCs w:val="22"/>
        </w:rPr>
      </w:pPr>
      <w:r>
        <w:rPr>
          <w:rFonts w:ascii="Arial Bold" w:hAnsi="Arial Bold" w:cs="Arial Bold"/>
          <w:szCs w:val="22"/>
        </w:rPr>
        <w:t xml:space="preserve">  CONCLUSIONS</w:t>
      </w:r>
      <w:bookmarkStart w:id="1" w:name="_Hlk193540946"/>
      <w:bookmarkStart w:id="2" w:name="_Hlk183680988"/>
      <w:bookmarkStart w:id="3" w:name="_Hlk180402183"/>
    </w:p>
    <w:p w:rsidR="00FC63CA" w:rsidRDefault="00FC63CA">
      <w:pPr>
        <w:pStyle w:val="AbstHead"/>
        <w:tabs>
          <w:tab w:val="left" w:pos="400"/>
        </w:tabs>
        <w:spacing w:after="0"/>
        <w:jc w:val="both"/>
        <w:rPr>
          <w:rFonts w:ascii="Arial Bold" w:hAnsi="Arial Bold" w:cs="Arial Bold"/>
          <w:szCs w:val="22"/>
        </w:rPr>
      </w:pPr>
    </w:p>
    <w:p w:rsidR="00FC63CA" w:rsidRDefault="007B025A">
      <w:pPr>
        <w:ind w:firstLineChars="200" w:firstLine="400"/>
        <w:jc w:val="both"/>
        <w:rPr>
          <w:rFonts w:ascii="Arial Regular" w:eastAsia="Calibri" w:hAnsi="Arial Regular"/>
          <w:kern w:val="2"/>
        </w:rPr>
      </w:pPr>
      <w:r>
        <w:rPr>
          <w:rFonts w:ascii="Arial Regular" w:eastAsia="Calibri" w:hAnsi="Arial Regular" w:cs="Arial Regular"/>
          <w:kern w:val="2"/>
        </w:rPr>
        <w:t xml:space="preserve">This study investigated the influence of public accounting firm size and sustainability reporting on gross profit margin and corporate tax turnover ratio (CTTOR) among Indonesian coal companies listed on the Indonesia Stock Exchange from 2021 to 2023 with </w:t>
      </w:r>
      <w:r>
        <w:rPr>
          <w:rFonts w:ascii="Arial Regular" w:eastAsia="Calibri" w:hAnsi="Arial Regular" w:cs="Arial Regular"/>
          <w:kern w:val="2"/>
        </w:rPr>
        <w:t>96 samples. The findings reveal that both the size of the public accounting firm and the presence of sustainability reporting have a significant positive impact on the gross profit margin variable. Furthermore, the size of the public accounting firm and gr</w:t>
      </w:r>
      <w:r>
        <w:rPr>
          <w:rFonts w:ascii="Arial Regular" w:eastAsia="Calibri" w:hAnsi="Arial Regular" w:cs="Arial Regular"/>
          <w:kern w:val="2"/>
        </w:rPr>
        <w:t>oss profit margin significantly influence CTTOR. Moreover, sustainability reporting does not exhibit a direct impact on CTTOR because its influence is exerted indirectly through gross profit margin, as evidenced by the stronger indirect effect (0.1128) com</w:t>
      </w:r>
      <w:r>
        <w:rPr>
          <w:rFonts w:ascii="Arial Regular" w:eastAsia="Calibri" w:hAnsi="Arial Regular" w:cs="Arial Regular"/>
          <w:kern w:val="2"/>
        </w:rPr>
        <w:t xml:space="preserve">pared to the direct effect (0.007). </w:t>
      </w:r>
      <w:r>
        <w:rPr>
          <w:rFonts w:ascii="Arial Regular" w:eastAsia="Calibri" w:hAnsi="Arial Regular"/>
          <w:kern w:val="2"/>
        </w:rPr>
        <w:t>The gross profit margin significantly intervenes in the relationship between sustainability reporting and CTTOR, according to the mediation analysis. On the other hand, the direct effect of public accounting firm size on</w:t>
      </w:r>
      <w:r>
        <w:rPr>
          <w:rFonts w:ascii="Arial Regular" w:eastAsia="Calibri" w:hAnsi="Arial Regular"/>
          <w:kern w:val="2"/>
        </w:rPr>
        <w:t xml:space="preserve"> CTTOR is greater than the indirect effect through gross profit margin, suggesting that gross profit margin does not play a large mediating role in this connection. Overall, the results show that only sustainability reporting has an indirect impact on tax </w:t>
      </w:r>
      <w:r>
        <w:rPr>
          <w:rFonts w:ascii="Arial Regular" w:eastAsia="Calibri" w:hAnsi="Arial Regular"/>
          <w:kern w:val="2"/>
        </w:rPr>
        <w:t>effectiveness (CTTOR), even if both independent variables increase business profitability. Therefore, there is very limited evidence to support the theory that both variables affect CTTOR through gross profit margin.</w:t>
      </w:r>
    </w:p>
    <w:p w:rsidR="00FC63CA" w:rsidRDefault="007B025A">
      <w:pPr>
        <w:ind w:firstLineChars="200" w:firstLine="400"/>
        <w:jc w:val="both"/>
        <w:rPr>
          <w:rFonts w:ascii="Arial Regular" w:eastAsia="Calibri" w:hAnsi="Arial Regular"/>
          <w:kern w:val="2"/>
        </w:rPr>
      </w:pPr>
      <w:r>
        <w:rPr>
          <w:rFonts w:ascii="Arial Regular" w:eastAsia="Calibri" w:hAnsi="Arial Regular"/>
          <w:kern w:val="2"/>
        </w:rPr>
        <w:t>To enhance the research on sustainabili</w:t>
      </w:r>
      <w:r>
        <w:rPr>
          <w:rFonts w:ascii="Arial Regular" w:eastAsia="Calibri" w:hAnsi="Arial Regular"/>
          <w:kern w:val="2"/>
        </w:rPr>
        <w:t xml:space="preserve">ty reporting, audit quality, and financial performance, future studies should consider several improvements. Firstly, expanding the study beyond the coal mining sector to include various industries would enhance the </w:t>
      </w:r>
      <w:proofErr w:type="spellStart"/>
      <w:r>
        <w:rPr>
          <w:rFonts w:ascii="Arial Regular" w:eastAsia="Calibri" w:hAnsi="Arial Regular"/>
          <w:kern w:val="2"/>
        </w:rPr>
        <w:t>generalisability</w:t>
      </w:r>
      <w:proofErr w:type="spellEnd"/>
      <w:r>
        <w:rPr>
          <w:rFonts w:ascii="Arial Regular" w:eastAsia="Calibri" w:hAnsi="Arial Regular"/>
          <w:kern w:val="2"/>
        </w:rPr>
        <w:t xml:space="preserve"> of the findings. Second</w:t>
      </w:r>
      <w:r>
        <w:rPr>
          <w:rFonts w:ascii="Arial Regular" w:eastAsia="Calibri" w:hAnsi="Arial Regular"/>
          <w:kern w:val="2"/>
        </w:rPr>
        <w:t xml:space="preserve">ly, extending the observation period would provide a better understanding of the long-term effects of sustainability practices and audit firm characteristics on financial outcomes. Additionally, future research should explore a broader range of variables, </w:t>
      </w:r>
      <w:r>
        <w:rPr>
          <w:rFonts w:ascii="Arial Regular" w:eastAsia="Calibri" w:hAnsi="Arial Regular"/>
          <w:kern w:val="2"/>
        </w:rPr>
        <w:t>incorporating independent factors like environmental performance indicators and corporate governance attributes. Including alternative performance metrics related to finance and tax would also enrich the analysis. To improve the measurement of sustainabili</w:t>
      </w:r>
      <w:r>
        <w:rPr>
          <w:rFonts w:ascii="Arial Regular" w:eastAsia="Calibri" w:hAnsi="Arial Regular"/>
          <w:kern w:val="2"/>
        </w:rPr>
        <w:t xml:space="preserve">ty reporting quality, researchers are encouraged to use established frameworks such as the Global Reporting Initiative (GRI). These frameworks offer </w:t>
      </w:r>
      <w:proofErr w:type="spellStart"/>
      <w:r>
        <w:rPr>
          <w:rFonts w:ascii="Arial Regular" w:eastAsia="Calibri" w:hAnsi="Arial Regular"/>
          <w:kern w:val="2"/>
        </w:rPr>
        <w:t>recognised</w:t>
      </w:r>
      <w:proofErr w:type="spellEnd"/>
      <w:r>
        <w:rPr>
          <w:rFonts w:ascii="Arial Regular" w:eastAsia="Calibri" w:hAnsi="Arial Regular"/>
          <w:kern w:val="2"/>
        </w:rPr>
        <w:t xml:space="preserve"> standards that ensure consistency and comparability of sustainability disclosures. By considerin</w:t>
      </w:r>
      <w:r>
        <w:rPr>
          <w:rFonts w:ascii="Arial Regular" w:eastAsia="Calibri" w:hAnsi="Arial Regular"/>
          <w:kern w:val="2"/>
        </w:rPr>
        <w:t>g these aspects, future research can contribute to a deeper understanding of the relationship between sustainability, audit quality, and financial performance in different market contexts.</w:t>
      </w:r>
    </w:p>
    <w:p w:rsidR="00FC63CA" w:rsidRDefault="00FC63CA">
      <w:pPr>
        <w:spacing w:after="200" w:line="276" w:lineRule="auto"/>
        <w:rPr>
          <w:rFonts w:ascii="Calibri" w:eastAsia="Calibri" w:hAnsi="Calibri"/>
          <w:kern w:val="2"/>
          <w:sz w:val="22"/>
          <w:szCs w:val="22"/>
          <w:highlight w:val="yellow"/>
        </w:rPr>
      </w:pPr>
    </w:p>
    <w:p w:rsidR="00FC63CA" w:rsidRPr="00AD690F" w:rsidRDefault="007B025A">
      <w:pPr>
        <w:spacing w:after="200" w:line="276" w:lineRule="auto"/>
        <w:rPr>
          <w:rFonts w:ascii="Calibri" w:eastAsia="Calibri" w:hAnsi="Calibri"/>
          <w:b/>
          <w:kern w:val="2"/>
          <w:sz w:val="22"/>
          <w:szCs w:val="22"/>
          <w:highlight w:val="yellow"/>
        </w:rPr>
      </w:pPr>
      <w:r w:rsidRPr="00AD690F">
        <w:rPr>
          <w:rFonts w:ascii="Calibri" w:eastAsia="Calibri" w:hAnsi="Calibri"/>
          <w:b/>
          <w:kern w:val="2"/>
          <w:sz w:val="22"/>
          <w:szCs w:val="22"/>
          <w:highlight w:val="yellow"/>
        </w:rPr>
        <w:t>Disclaimer (Artificial intelligence)</w:t>
      </w:r>
    </w:p>
    <w:p w:rsidR="00FC63CA" w:rsidRDefault="007B025A">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rsidR="00FC63CA" w:rsidRDefault="007B025A">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lastRenderedPageBreak/>
        <w:t>Author(s) hereby d</w:t>
      </w:r>
      <w:r>
        <w:rPr>
          <w:rFonts w:ascii="Calibri" w:eastAsia="Calibri" w:hAnsi="Calibri"/>
          <w:kern w:val="2"/>
          <w:sz w:val="22"/>
          <w:szCs w:val="22"/>
          <w:highlight w:val="yellow"/>
        </w:rPr>
        <w:t xml:space="preserve">eclare that NO generative AI technologies such as Large Language Models (ChatGPT, COPILOT, etc.) and text-to-image generators have been used during the writing or editing of this manuscript. </w:t>
      </w:r>
    </w:p>
    <w:bookmarkEnd w:id="1"/>
    <w:bookmarkEnd w:id="2"/>
    <w:bookmarkEnd w:id="3"/>
    <w:p w:rsidR="00FC63CA" w:rsidRDefault="00FC63CA">
      <w:pPr>
        <w:pStyle w:val="NormalWeb"/>
        <w:ind w:firstLineChars="250" w:firstLine="500"/>
        <w:jc w:val="both"/>
        <w:rPr>
          <w:rFonts w:ascii="Arial Regular" w:hAnsi="Arial Regular"/>
          <w:color w:val="000000"/>
          <w:sz w:val="20"/>
          <w:szCs w:val="20"/>
        </w:rPr>
      </w:pPr>
    </w:p>
    <w:p w:rsidR="00FC63CA" w:rsidRDefault="007B025A">
      <w:pPr>
        <w:rPr>
          <w:rFonts w:ascii="Times New Roman Bold" w:hAnsi="Times New Roman Bold" w:cs="Times New Roman Bold"/>
          <w:b/>
          <w:bCs/>
          <w:sz w:val="24"/>
          <w:szCs w:val="24"/>
        </w:rPr>
      </w:pPr>
      <w:r>
        <w:rPr>
          <w:rFonts w:ascii="Times New Roman Bold" w:hAnsi="Times New Roman Bold" w:cs="Times New Roman Bold"/>
          <w:b/>
          <w:bCs/>
          <w:sz w:val="24"/>
          <w:szCs w:val="24"/>
        </w:rPr>
        <w:t>REFERENCES</w:t>
      </w:r>
    </w:p>
    <w:p w:rsidR="00FC63CA" w:rsidRDefault="00FC63CA">
      <w:pPr>
        <w:rPr>
          <w:rFonts w:ascii="Times New Roman Bold" w:hAnsi="Times New Roman Bold" w:cs="Times New Roman Bold"/>
          <w:b/>
          <w:bCs/>
          <w:sz w:val="24"/>
          <w:szCs w:val="24"/>
        </w:rPr>
      </w:pPr>
    </w:p>
    <w:sdt>
      <w:sdtPr>
        <w:rPr>
          <w:rFonts w:eastAsia="Tahoma"/>
          <w:sz w:val="24"/>
          <w:szCs w:val="24"/>
          <w:shd w:val="clear" w:color="auto" w:fill="F79646" w:themeFill="accent6"/>
          <w:lang w:eastAsia="zh-CN"/>
        </w:rPr>
        <w:tag w:val="MENDELEY_BIBLIOGRAPHY"/>
        <w:id w:val="339458265"/>
        <w:placeholder>
          <w:docPart w:val="DefaultPlaceholder_-1854013440"/>
        </w:placeholder>
      </w:sdtPr>
      <w:sdtEndPr>
        <w:rPr>
          <w:sz w:val="20"/>
          <w:szCs w:val="20"/>
          <w:lang w:eastAsia="en-US"/>
        </w:rPr>
      </w:sdtEndPr>
      <w:sdtContent>
        <w:p w:rsidR="00FC63CA" w:rsidRDefault="007B025A">
          <w:pPr>
            <w:autoSpaceDE w:val="0"/>
            <w:autoSpaceDN w:val="0"/>
            <w:ind w:left="319" w:hangingChars="133" w:hanging="319"/>
            <w:jc w:val="both"/>
            <w:rPr>
              <w:rFonts w:ascii="Arial" w:hAnsi="Arial" w:cs="Arial"/>
              <w:lang w:val="sv-SE"/>
            </w:rPr>
          </w:pPr>
          <w:r>
            <w:rPr>
              <w:rFonts w:ascii="Arial" w:hAnsi="Arial" w:cs="Arial"/>
              <w:color w:val="000000"/>
              <w:shd w:val="clear" w:color="auto" w:fill="F79646" w:themeFill="accent6"/>
              <w:lang w:val="sv-SE"/>
            </w:rPr>
            <w:t xml:space="preserve">Agustina, I., &amp; Pradesa, H. A. (2024). Sustainability Reporting Practices in Indonesia: A Critical </w:t>
          </w:r>
          <w:r>
            <w:rPr>
              <w:rFonts w:ascii="Arial" w:hAnsi="Arial" w:cs="Arial"/>
              <w:color w:val="000000"/>
              <w:lang w:val="sv-SE"/>
            </w:rPr>
            <w:t xml:space="preserve">Review of Previous Literature. Journal of Economics, </w:t>
          </w:r>
          <w:r>
            <w:rPr>
              <w:rFonts w:ascii="Arial" w:hAnsi="Arial" w:cs="Arial"/>
              <w:color w:val="000000"/>
              <w:lang w:val="sv-SE"/>
            </w:rPr>
            <w:t>Management Accounting and Taxation (Jemap), 7(1), 24–46.</w:t>
          </w:r>
          <w:r>
            <w:rPr>
              <w:rFonts w:ascii="Arial" w:hAnsi="Arial" w:cs="Arial"/>
              <w:lang w:val="sv-SE"/>
            </w:rPr>
            <w:t xml:space="preserve"> </w:t>
          </w:r>
          <w:hyperlink r:id="rId15" w:history="1">
            <w:r>
              <w:rPr>
                <w:rStyle w:val="Hyperlink"/>
                <w:rFonts w:ascii="Arial" w:hAnsi="Arial" w:cs="Arial"/>
                <w:color w:val="auto"/>
                <w:u w:val="none"/>
                <w:lang w:val="sv-SE"/>
              </w:rPr>
              <w:t>https://doi.org/10.24167/jemap.v7i1.10947</w:t>
            </w:r>
          </w:hyperlink>
        </w:p>
        <w:p w:rsidR="00FC63CA" w:rsidRDefault="007B025A">
          <w:pPr>
            <w:ind w:left="300" w:hangingChars="150" w:hanging="300"/>
            <w:rPr>
              <w:rFonts w:ascii="Helvetica Neue" w:eastAsia="Helvetica Neue" w:hAnsi="Helvetica Neue" w:cs="Helvetica Neue"/>
              <w:sz w:val="21"/>
              <w:szCs w:val="21"/>
              <w:lang w:eastAsia="zh-CN" w:bidi="ar"/>
            </w:rPr>
          </w:pPr>
          <w:r>
            <w:rPr>
              <w:rFonts w:ascii="Arial" w:hAnsi="Arial"/>
              <w:shd w:val="clear" w:color="auto" w:fill="F79646" w:themeFill="accent6"/>
              <w:lang w:val="sv-SE"/>
            </w:rPr>
            <w:t xml:space="preserve">Damayanty, P., Wahab, D., </w:t>
          </w:r>
          <w:r>
            <w:rPr>
              <w:rFonts w:ascii="Arial" w:hAnsi="Arial"/>
              <w:shd w:val="clear" w:color="auto" w:fill="F79646" w:themeFill="accent6"/>
            </w:rPr>
            <w:t>and</w:t>
          </w:r>
          <w:r>
            <w:rPr>
              <w:rFonts w:ascii="Arial" w:hAnsi="Arial"/>
              <w:shd w:val="clear" w:color="auto" w:fill="F79646" w:themeFill="accent6"/>
              <w:lang w:val="sv-SE"/>
            </w:rPr>
            <w:t xml:space="preserve"> Safitri, N. (2022). T</w:t>
          </w:r>
          <w:r>
            <w:rPr>
              <w:rFonts w:ascii="Arial" w:hAnsi="Arial"/>
              <w:shd w:val="clear" w:color="auto" w:fill="F79646" w:themeFill="accent6"/>
            </w:rPr>
            <w:t xml:space="preserve">he Effect Of Profitability, Firm Size And </w:t>
          </w:r>
          <w:r>
            <w:rPr>
              <w:rFonts w:ascii="Arial" w:hAnsi="Arial"/>
            </w:rPr>
            <w:t>Corpor</w:t>
          </w:r>
          <w:r>
            <w:rPr>
              <w:rFonts w:ascii="Arial" w:hAnsi="Arial"/>
            </w:rPr>
            <w:t xml:space="preserve">ate Activity On Sustainability Report Disclosure , </w:t>
          </w:r>
          <w:proofErr w:type="spellStart"/>
          <w:r>
            <w:rPr>
              <w:rFonts w:ascii="Arial" w:hAnsi="Arial"/>
            </w:rPr>
            <w:t>Edunomika</w:t>
          </w:r>
          <w:proofErr w:type="spellEnd"/>
          <w:r>
            <w:rPr>
              <w:rFonts w:ascii="Arial" w:hAnsi="Arial"/>
            </w:rPr>
            <w:t xml:space="preserve"> Scientific Journal,</w:t>
          </w:r>
          <w:r>
            <w:rPr>
              <w:rFonts w:ascii="Helvetica Neue" w:eastAsia="Helvetica Neue" w:hAnsi="Helvetica Neue" w:cs="Helvetica Neue"/>
              <w:sz w:val="21"/>
              <w:szCs w:val="21"/>
              <w:lang w:eastAsia="zh-CN" w:bidi="ar"/>
            </w:rPr>
            <w:t> </w:t>
          </w:r>
          <w:r>
            <w:rPr>
              <w:rFonts w:ascii="Helvetica Neue" w:eastAsia="Helvetica Neue" w:hAnsi="Helvetica Neue" w:cs="Helvetica Neue"/>
              <w:i/>
              <w:iCs/>
              <w:sz w:val="21"/>
              <w:szCs w:val="21"/>
              <w:lang w:eastAsia="zh-CN" w:bidi="ar"/>
            </w:rPr>
            <w:t>6</w:t>
          </w:r>
          <w:r>
            <w:rPr>
              <w:rFonts w:ascii="Helvetica Neue" w:eastAsia="Helvetica Neue" w:hAnsi="Helvetica Neue" w:cs="Helvetica Neue"/>
              <w:sz w:val="21"/>
              <w:szCs w:val="21"/>
              <w:lang w:eastAsia="zh-CN" w:bidi="ar"/>
            </w:rPr>
            <w:t xml:space="preserve">(2), 1462–1470. </w:t>
          </w:r>
          <w:hyperlink r:id="rId16" w:history="1">
            <w:r>
              <w:rPr>
                <w:rStyle w:val="Hyperlink"/>
                <w:rFonts w:ascii="Helvetica Neue" w:eastAsia="Helvetica Neue" w:hAnsi="Helvetica Neue" w:cs="Helvetica Neue"/>
                <w:color w:val="auto"/>
                <w:sz w:val="21"/>
                <w:szCs w:val="21"/>
                <w:u w:val="none"/>
                <w:lang w:eastAsia="zh-CN" w:bidi="ar"/>
              </w:rPr>
              <w:t>https://doi.org/10.29040/jie.v6i2.4998</w:t>
            </w:r>
          </w:hyperlink>
        </w:p>
        <w:p w:rsidR="00FC63CA" w:rsidRDefault="007B025A">
          <w:pPr>
            <w:ind w:left="420" w:hangingChars="200" w:hanging="420"/>
            <w:rPr>
              <w:rFonts w:ascii="Helvetica Neue" w:eastAsia="Helvetica Neue" w:hAnsi="Helvetica Neue"/>
              <w:sz w:val="21"/>
              <w:szCs w:val="21"/>
              <w:shd w:val="clear" w:color="auto" w:fill="F79646" w:themeFill="accent6"/>
              <w:lang w:eastAsia="zh-CN"/>
            </w:rPr>
          </w:pPr>
          <w:r>
            <w:rPr>
              <w:rFonts w:ascii="Helvetica Neue" w:eastAsia="Helvetica Neue" w:hAnsi="Helvetica Neue"/>
              <w:sz w:val="21"/>
              <w:szCs w:val="21"/>
              <w:shd w:val="clear" w:color="auto" w:fill="F79646" w:themeFill="accent6"/>
              <w:lang w:eastAsia="zh-CN"/>
            </w:rPr>
            <w:t xml:space="preserve">Elkington, J. (1994) Towards the Sustainable Corporation: </w:t>
          </w:r>
          <w:r>
            <w:rPr>
              <w:rFonts w:ascii="Helvetica Neue" w:eastAsia="Helvetica Neue" w:hAnsi="Helvetica Neue"/>
              <w:sz w:val="21"/>
              <w:szCs w:val="21"/>
              <w:shd w:val="clear" w:color="auto" w:fill="F79646" w:themeFill="accent6"/>
              <w:lang w:eastAsia="zh-CN"/>
            </w:rPr>
            <w:t>Win-Win-Win Business</w:t>
          </w:r>
        </w:p>
        <w:p w:rsidR="00FC63CA" w:rsidRDefault="007B025A">
          <w:pPr>
            <w:ind w:leftChars="200" w:left="400"/>
            <w:rPr>
              <w:rFonts w:ascii="Helvetica Neue" w:eastAsia="Helvetica Neue" w:hAnsi="Helvetica Neue"/>
              <w:sz w:val="21"/>
              <w:szCs w:val="21"/>
              <w:lang w:eastAsia="zh-CN"/>
            </w:rPr>
          </w:pPr>
          <w:r>
            <w:rPr>
              <w:rFonts w:ascii="Helvetica Neue" w:eastAsia="Helvetica Neue" w:hAnsi="Helvetica Neue"/>
              <w:sz w:val="21"/>
              <w:szCs w:val="21"/>
              <w:lang w:eastAsia="zh-CN"/>
            </w:rPr>
            <w:t>Strategies for Sustainable Development. California Management Review, 36, 90-100.</w:t>
          </w:r>
        </w:p>
        <w:p w:rsidR="00FC63CA" w:rsidRDefault="007B025A">
          <w:pPr>
            <w:ind w:leftChars="199" w:left="398"/>
            <w:rPr>
              <w:rFonts w:ascii="Helvetica Neue" w:eastAsia="Helvetica Neue" w:hAnsi="Helvetica Neue" w:cs="Helvetica Neue"/>
              <w:sz w:val="21"/>
              <w:szCs w:val="21"/>
              <w:lang w:eastAsia="zh-CN" w:bidi="ar"/>
            </w:rPr>
          </w:pPr>
          <w:r>
            <w:rPr>
              <w:rFonts w:ascii="Helvetica Neue" w:eastAsia="Helvetica Neue" w:hAnsi="Helvetica Neue"/>
              <w:sz w:val="21"/>
              <w:szCs w:val="21"/>
              <w:lang w:eastAsia="zh-CN"/>
            </w:rPr>
            <w:t>http://dx.doi.org/10.2307/41165746</w:t>
          </w:r>
        </w:p>
        <w:p w:rsidR="00FC63CA" w:rsidRDefault="007B025A">
          <w:pPr>
            <w:autoSpaceDE w:val="0"/>
            <w:autoSpaceDN w:val="0"/>
            <w:ind w:left="300" w:hangingChars="150" w:hanging="300"/>
            <w:jc w:val="both"/>
            <w:rPr>
              <w:rFonts w:ascii="Arial" w:hAnsi="Arial" w:cs="Arial"/>
              <w:color w:val="000000"/>
              <w:lang w:val="sv-SE"/>
            </w:rPr>
          </w:pPr>
          <w:r>
            <w:rPr>
              <w:rFonts w:ascii="Arial" w:hAnsi="Arial" w:cs="Arial"/>
              <w:color w:val="000000"/>
              <w:shd w:val="clear" w:color="auto" w:fill="F79646" w:themeFill="accent6"/>
            </w:rPr>
            <w:t xml:space="preserve">Indonesia (2011). </w:t>
          </w:r>
          <w:r>
            <w:rPr>
              <w:rFonts w:ascii="Arial" w:hAnsi="Arial" w:cs="Arial"/>
              <w:color w:val="000000"/>
              <w:shd w:val="clear" w:color="auto" w:fill="F79646" w:themeFill="accent6"/>
              <w:lang w:val="sv-SE"/>
            </w:rPr>
            <w:t xml:space="preserve">Law of the Republic of Indonesia Number 5 of 2011 Concerning Public </w:t>
          </w:r>
          <w:r>
            <w:rPr>
              <w:rFonts w:ascii="Arial" w:hAnsi="Arial" w:cs="Arial"/>
              <w:color w:val="000000"/>
              <w:lang w:val="sv-SE"/>
            </w:rPr>
            <w:t xml:space="preserve">Accountants. </w:t>
          </w:r>
        </w:p>
        <w:p w:rsidR="00FC63CA" w:rsidRDefault="007B025A">
          <w:pPr>
            <w:shd w:val="clear" w:color="auto" w:fill="F79646" w:themeFill="accent6"/>
            <w:autoSpaceDE w:val="0"/>
            <w:autoSpaceDN w:val="0"/>
            <w:ind w:left="300" w:hangingChars="150" w:hanging="300"/>
            <w:jc w:val="both"/>
            <w:rPr>
              <w:rFonts w:ascii="Arial" w:hAnsi="Arial"/>
              <w:color w:val="000000"/>
            </w:rPr>
          </w:pPr>
          <w:r>
            <w:rPr>
              <w:rFonts w:ascii="Arial" w:hAnsi="Arial" w:cs="Arial"/>
              <w:color w:val="000000"/>
            </w:rPr>
            <w:t>Indonesia (2011</w:t>
          </w:r>
          <w:proofErr w:type="gramStart"/>
          <w:r>
            <w:rPr>
              <w:rFonts w:ascii="Arial" w:hAnsi="Arial" w:cs="Arial"/>
              <w:color w:val="000000"/>
            </w:rPr>
            <w:t>).</w:t>
          </w:r>
          <w:r>
            <w:rPr>
              <w:rFonts w:ascii="Arial" w:hAnsi="Arial"/>
              <w:color w:val="000000"/>
            </w:rPr>
            <w:t>Law</w:t>
          </w:r>
          <w:proofErr w:type="gramEnd"/>
          <w:r>
            <w:rPr>
              <w:rFonts w:ascii="Arial" w:hAnsi="Arial"/>
              <w:color w:val="000000"/>
            </w:rPr>
            <w:t xml:space="preserve"> Number 21 Year 2011 on the Financial Services Authority</w:t>
          </w:r>
        </w:p>
        <w:p w:rsidR="00FC63CA" w:rsidRDefault="007B025A">
          <w:pPr>
            <w:shd w:val="clear" w:color="auto" w:fill="F79646" w:themeFill="accent6"/>
            <w:autoSpaceDE w:val="0"/>
            <w:autoSpaceDN w:val="0"/>
            <w:jc w:val="both"/>
            <w:rPr>
              <w:rFonts w:ascii="Arial" w:hAnsi="Arial" w:cs="Arial"/>
              <w:color w:val="000000"/>
              <w:lang w:val="sv-SE"/>
            </w:rPr>
          </w:pPr>
          <w:r>
            <w:rPr>
              <w:rFonts w:ascii="Arial" w:hAnsi="Arial" w:cs="Arial"/>
              <w:color w:val="000000"/>
            </w:rPr>
            <w:t xml:space="preserve">Indonesia (2017). </w:t>
          </w:r>
          <w:r>
            <w:rPr>
              <w:rFonts w:ascii="Arial" w:hAnsi="Arial" w:cs="Arial"/>
              <w:color w:val="000000"/>
              <w:lang w:val="sv-SE"/>
            </w:rPr>
            <w:t xml:space="preserve">FinanceRegulation of the Financial Services Authority of the Republic of </w:t>
          </w:r>
        </w:p>
        <w:p w:rsidR="00FC63CA" w:rsidRDefault="007B025A">
          <w:pPr>
            <w:shd w:val="clear" w:color="auto" w:fill="F79646" w:themeFill="accent6"/>
            <w:tabs>
              <w:tab w:val="left" w:pos="400"/>
            </w:tabs>
            <w:autoSpaceDE w:val="0"/>
            <w:autoSpaceDN w:val="0"/>
            <w:jc w:val="both"/>
            <w:rPr>
              <w:rFonts w:ascii="Arial" w:hAnsi="Arial" w:cs="Arial"/>
              <w:color w:val="000000"/>
              <w:lang w:val="sv-SE"/>
            </w:rPr>
          </w:pPr>
          <w:r>
            <w:rPr>
              <w:rFonts w:ascii="Arial" w:hAnsi="Arial" w:cs="Arial"/>
              <w:color w:val="000000"/>
            </w:rPr>
            <w:tab/>
          </w:r>
          <w:r>
            <w:rPr>
              <w:rFonts w:ascii="Arial" w:hAnsi="Arial" w:cs="Arial"/>
              <w:color w:val="000000"/>
              <w:lang w:val="sv-SE"/>
            </w:rPr>
            <w:t xml:space="preserve">Indonesia Number 51/POJK.03/2017 Concerning the Implementation of Sustainable </w:t>
          </w:r>
        </w:p>
        <w:p w:rsidR="00FC63CA" w:rsidRDefault="007B025A">
          <w:pPr>
            <w:shd w:val="clear" w:color="auto" w:fill="F79646" w:themeFill="accent6"/>
            <w:tabs>
              <w:tab w:val="left" w:pos="400"/>
            </w:tabs>
            <w:autoSpaceDE w:val="0"/>
            <w:autoSpaceDN w:val="0"/>
            <w:jc w:val="both"/>
            <w:rPr>
              <w:rFonts w:ascii="Arial" w:hAnsi="Arial" w:cs="Arial"/>
              <w:color w:val="000000"/>
              <w:lang w:val="sv-SE"/>
            </w:rPr>
          </w:pPr>
          <w:r>
            <w:rPr>
              <w:rFonts w:ascii="Arial" w:hAnsi="Arial" w:cs="Arial"/>
              <w:color w:val="000000"/>
            </w:rPr>
            <w:tab/>
          </w:r>
          <w:r>
            <w:rPr>
              <w:rFonts w:ascii="Arial" w:hAnsi="Arial" w:cs="Arial"/>
              <w:color w:val="000000"/>
              <w:lang w:val="sv-SE"/>
            </w:rPr>
            <w:t>Finance for Financial S</w:t>
          </w:r>
          <w:r>
            <w:rPr>
              <w:rFonts w:ascii="Arial" w:hAnsi="Arial" w:cs="Arial"/>
              <w:color w:val="000000"/>
              <w:lang w:val="sv-SE"/>
            </w:rPr>
            <w:t xml:space="preserve">ervices Institutions, Issuers, and Public Companies. </w:t>
          </w:r>
        </w:p>
        <w:p w:rsidR="00FC63CA" w:rsidRDefault="007B025A">
          <w:pPr>
            <w:shd w:val="clear" w:color="auto" w:fill="F79646" w:themeFill="accent6"/>
            <w:autoSpaceDE w:val="0"/>
            <w:autoSpaceDN w:val="0"/>
            <w:jc w:val="both"/>
            <w:rPr>
              <w:rFonts w:ascii="Arial" w:hAnsi="Arial" w:cs="Arial"/>
              <w:color w:val="000000"/>
              <w:lang w:val="sv-SE"/>
            </w:rPr>
          </w:pPr>
          <w:r>
            <w:rPr>
              <w:rFonts w:ascii="Arial" w:hAnsi="Arial" w:cs="Arial"/>
              <w:color w:val="000000"/>
            </w:rPr>
            <w:t xml:space="preserve">Indonesia (2021). </w:t>
          </w:r>
          <w:r>
            <w:rPr>
              <w:rFonts w:ascii="Arial" w:hAnsi="Arial" w:cs="Arial"/>
              <w:color w:val="000000"/>
              <w:lang w:val="sv-SE"/>
            </w:rPr>
            <w:t xml:space="preserve">Circular Letter of the Financial Services Authority of the Republic of </w:t>
          </w:r>
        </w:p>
        <w:p w:rsidR="00FC63CA" w:rsidRDefault="007B025A">
          <w:pPr>
            <w:autoSpaceDE w:val="0"/>
            <w:autoSpaceDN w:val="0"/>
            <w:ind w:firstLineChars="150" w:firstLine="300"/>
            <w:jc w:val="both"/>
            <w:rPr>
              <w:rFonts w:ascii="Arial" w:hAnsi="Arial" w:cs="Arial"/>
              <w:color w:val="000000"/>
              <w:lang w:val="sv-SE"/>
            </w:rPr>
          </w:pPr>
          <w:r>
            <w:rPr>
              <w:rFonts w:ascii="Arial" w:hAnsi="Arial" w:cs="Arial"/>
              <w:color w:val="000000"/>
              <w:lang w:val="sv-SE"/>
            </w:rPr>
            <w:t>Indonesia Number 16/SEOJK.04/2021 Concerning</w:t>
          </w:r>
          <w:r>
            <w:rPr>
              <w:rFonts w:ascii="Arial" w:hAnsi="Arial" w:cs="Arial"/>
              <w:color w:val="000000"/>
            </w:rPr>
            <w:t xml:space="preserve"> </w:t>
          </w:r>
          <w:r>
            <w:rPr>
              <w:rFonts w:ascii="Arial" w:hAnsi="Arial" w:cs="Arial"/>
              <w:color w:val="000000"/>
              <w:lang w:val="sv-SE"/>
            </w:rPr>
            <w:t xml:space="preserve">Form and Content of Annual Reports </w:t>
          </w:r>
        </w:p>
        <w:p w:rsidR="00FC63CA" w:rsidRDefault="007B025A">
          <w:pPr>
            <w:autoSpaceDE w:val="0"/>
            <w:autoSpaceDN w:val="0"/>
            <w:ind w:firstLineChars="150" w:firstLine="300"/>
            <w:jc w:val="both"/>
            <w:rPr>
              <w:rFonts w:ascii="Arial" w:hAnsi="Arial" w:cs="Arial"/>
              <w:color w:val="000000"/>
              <w:lang w:val="sv-SE"/>
            </w:rPr>
          </w:pPr>
          <w:r>
            <w:rPr>
              <w:rFonts w:ascii="Arial" w:hAnsi="Arial" w:cs="Arial"/>
              <w:color w:val="000000"/>
              <w:lang w:val="sv-SE"/>
            </w:rPr>
            <w:t xml:space="preserve">of Issuers or Public Companies. </w:t>
          </w:r>
        </w:p>
        <w:p w:rsidR="00FC63CA" w:rsidRDefault="007B025A">
          <w:pPr>
            <w:shd w:val="clear" w:color="auto" w:fill="F79646" w:themeFill="accent6"/>
            <w:autoSpaceDE w:val="0"/>
            <w:autoSpaceDN w:val="0"/>
            <w:jc w:val="both"/>
            <w:rPr>
              <w:rFonts w:ascii="Arial" w:hAnsi="Arial" w:cs="Arial"/>
              <w:color w:val="000000"/>
              <w:lang w:val="sv-SE"/>
            </w:rPr>
          </w:pPr>
          <w:r>
            <w:rPr>
              <w:rFonts w:ascii="Arial" w:hAnsi="Arial" w:cs="Arial"/>
              <w:color w:val="000000"/>
            </w:rPr>
            <w:t xml:space="preserve">Indonesia (2023). </w:t>
          </w:r>
          <w:r>
            <w:rPr>
              <w:rFonts w:ascii="Arial" w:hAnsi="Arial" w:cs="Arial"/>
              <w:color w:val="000000"/>
              <w:lang w:val="sv-SE"/>
            </w:rPr>
            <w:t xml:space="preserve">Regulation of the Financial Services Authority of the Republic of Indonesia </w:t>
          </w:r>
        </w:p>
        <w:p w:rsidR="00FC63CA" w:rsidRDefault="007B025A">
          <w:pPr>
            <w:shd w:val="clear" w:color="auto" w:fill="F79646" w:themeFill="accent6"/>
            <w:tabs>
              <w:tab w:val="left" w:pos="400"/>
            </w:tabs>
            <w:autoSpaceDE w:val="0"/>
            <w:autoSpaceDN w:val="0"/>
            <w:ind w:firstLineChars="200" w:firstLine="400"/>
            <w:jc w:val="both"/>
            <w:rPr>
              <w:rFonts w:ascii="Arial" w:hAnsi="Arial" w:cs="Arial"/>
              <w:color w:val="000000"/>
              <w:lang w:val="sv-SE"/>
            </w:rPr>
          </w:pPr>
          <w:r>
            <w:rPr>
              <w:rFonts w:ascii="Arial" w:hAnsi="Arial" w:cs="Arial"/>
              <w:color w:val="000000"/>
              <w:lang w:val="sv-SE"/>
            </w:rPr>
            <w:t>Number 9 of 2023 Concerning</w:t>
          </w:r>
          <w:r>
            <w:rPr>
              <w:rFonts w:ascii="Arial" w:hAnsi="Arial" w:cs="Arial"/>
              <w:color w:val="000000"/>
            </w:rPr>
            <w:t xml:space="preserve"> </w:t>
          </w:r>
          <w:r>
            <w:rPr>
              <w:rFonts w:ascii="Arial" w:hAnsi="Arial" w:cs="Arial"/>
              <w:color w:val="000000"/>
              <w:lang w:val="sv-SE"/>
            </w:rPr>
            <w:t xml:space="preserve">Use of Public Accountant Services and Public Accounting </w:t>
          </w:r>
        </w:p>
        <w:p w:rsidR="00FC63CA" w:rsidRDefault="007B025A">
          <w:pPr>
            <w:tabs>
              <w:tab w:val="left" w:pos="400"/>
            </w:tabs>
            <w:autoSpaceDE w:val="0"/>
            <w:autoSpaceDN w:val="0"/>
            <w:ind w:firstLineChars="200" w:firstLine="400"/>
            <w:jc w:val="both"/>
            <w:rPr>
              <w:rFonts w:ascii="Arial" w:hAnsi="Arial" w:cs="Arial"/>
              <w:color w:val="FF0000"/>
              <w:lang w:val="sv-SE"/>
            </w:rPr>
          </w:pPr>
          <w:r>
            <w:rPr>
              <w:rFonts w:ascii="Arial" w:hAnsi="Arial" w:cs="Arial"/>
              <w:color w:val="000000"/>
              <w:lang w:val="sv-SE"/>
            </w:rPr>
            <w:t>Firms in Service Activities</w:t>
          </w:r>
        </w:p>
        <w:p w:rsidR="00FC63CA" w:rsidRDefault="007B025A">
          <w:pPr>
            <w:autoSpaceDE w:val="0"/>
            <w:autoSpaceDN w:val="0"/>
            <w:jc w:val="both"/>
            <w:rPr>
              <w:rFonts w:ascii="Arial" w:hAnsi="Arial" w:cs="Arial"/>
              <w:color w:val="000000"/>
            </w:rPr>
          </w:pPr>
          <w:r>
            <w:rPr>
              <w:rFonts w:ascii="Arial" w:hAnsi="Arial" w:cs="Arial"/>
              <w:color w:val="000000"/>
              <w:shd w:val="clear" w:color="auto" w:fill="F79646" w:themeFill="accent6"/>
              <w:lang w:val="sv-SE"/>
            </w:rPr>
            <w:t>Kamil, I. (2021</w:t>
          </w:r>
          <w:r>
            <w:rPr>
              <w:rFonts w:ascii="Arial" w:hAnsi="Arial" w:cs="Arial"/>
              <w:color w:val="000000"/>
              <w:shd w:val="clear" w:color="auto" w:fill="F79646" w:themeFill="accent6"/>
              <w:lang w:val="sv-SE"/>
            </w:rPr>
            <w:t>)</w:t>
          </w:r>
          <w:r>
            <w:rPr>
              <w:rFonts w:ascii="Arial" w:hAnsi="Arial" w:cs="Arial"/>
              <w:color w:val="000000"/>
              <w:lang w:val="sv-SE"/>
            </w:rPr>
            <w:t xml:space="preserve">. </w:t>
          </w:r>
          <w:r>
            <w:rPr>
              <w:rFonts w:ascii="Arial" w:hAnsi="Arial" w:cs="Arial"/>
              <w:color w:val="000000"/>
            </w:rPr>
            <w:t xml:space="preserve">The Effect </w:t>
          </w:r>
          <w:proofErr w:type="gramStart"/>
          <w:r>
            <w:rPr>
              <w:rFonts w:ascii="Arial" w:hAnsi="Arial" w:cs="Arial"/>
              <w:color w:val="000000"/>
            </w:rPr>
            <w:t>Of</w:t>
          </w:r>
          <w:proofErr w:type="gramEnd"/>
          <w:r>
            <w:rPr>
              <w:rFonts w:ascii="Arial" w:hAnsi="Arial" w:cs="Arial"/>
              <w:color w:val="000000"/>
            </w:rPr>
            <w:t xml:space="preserve"> Audit Fee, Audit Tenure, Audit Firm (KAP) Size ON Audit </w:t>
          </w:r>
        </w:p>
        <w:p w:rsidR="00FC63CA" w:rsidRDefault="007B025A">
          <w:pPr>
            <w:autoSpaceDE w:val="0"/>
            <w:autoSpaceDN w:val="0"/>
            <w:ind w:firstLineChars="150" w:firstLine="300"/>
            <w:jc w:val="both"/>
            <w:rPr>
              <w:rFonts w:ascii="Arial" w:hAnsi="Arial" w:cs="Arial"/>
              <w:color w:val="000000"/>
              <w:lang w:val="sv-SE"/>
            </w:rPr>
          </w:pPr>
          <w:r>
            <w:rPr>
              <w:rFonts w:ascii="Arial" w:hAnsi="Arial" w:cs="Arial"/>
              <w:color w:val="000000"/>
            </w:rPr>
            <w:t xml:space="preserve">Quality In Consumer Goods Companies Listed On The Indonesia Stock </w:t>
          </w:r>
          <w:proofErr w:type="spellStart"/>
          <w:proofErr w:type="gramStart"/>
          <w:r>
            <w:rPr>
              <w:rFonts w:ascii="Arial" w:hAnsi="Arial" w:cs="Arial"/>
              <w:color w:val="000000"/>
            </w:rPr>
            <w:t>Exhange</w:t>
          </w:r>
          <w:proofErr w:type="spellEnd"/>
          <w:r>
            <w:rPr>
              <w:rFonts w:ascii="Arial" w:hAnsi="Arial" w:cs="Arial"/>
              <w:color w:val="000000"/>
            </w:rPr>
            <w:t xml:space="preserve"> </w:t>
          </w:r>
          <w:r>
            <w:rPr>
              <w:rFonts w:ascii="Arial" w:hAnsi="Arial" w:cs="Arial"/>
              <w:color w:val="000000"/>
              <w:lang w:val="sv-SE"/>
            </w:rPr>
            <w:t xml:space="preserve"> (</w:t>
          </w:r>
          <w:proofErr w:type="gramEnd"/>
          <w:r>
            <w:rPr>
              <w:rFonts w:ascii="Arial" w:hAnsi="Arial" w:cs="Arial"/>
              <w:color w:val="000000"/>
              <w:lang w:val="sv-SE"/>
            </w:rPr>
            <w:t>IDX)</w:t>
          </w:r>
          <w:r>
            <w:rPr>
              <w:rFonts w:ascii="Arial" w:hAnsi="Arial" w:cs="Arial"/>
              <w:color w:val="000000"/>
            </w:rPr>
            <w:t xml:space="preserve"> In</w:t>
          </w:r>
          <w:r>
            <w:rPr>
              <w:rFonts w:ascii="Arial" w:hAnsi="Arial" w:cs="Arial"/>
              <w:color w:val="000000"/>
              <w:lang w:val="sv-SE"/>
            </w:rPr>
            <w:t xml:space="preserve"> </w:t>
          </w:r>
        </w:p>
        <w:p w:rsidR="00FC63CA" w:rsidRDefault="007B025A">
          <w:pPr>
            <w:autoSpaceDE w:val="0"/>
            <w:autoSpaceDN w:val="0"/>
            <w:ind w:firstLineChars="150" w:firstLine="300"/>
            <w:jc w:val="both"/>
            <w:rPr>
              <w:rFonts w:ascii="Arial" w:hAnsi="Arial" w:cs="Arial"/>
              <w:color w:val="000000"/>
              <w:lang w:val="sv-SE"/>
            </w:rPr>
          </w:pPr>
          <w:r>
            <w:rPr>
              <w:rFonts w:ascii="Arial" w:hAnsi="Arial" w:cs="Arial"/>
              <w:color w:val="000000"/>
              <w:lang w:val="sv-SE"/>
            </w:rPr>
            <w:t xml:space="preserve">2016-2019. Journal of Managerial and Entrepreneurial Perspectives (JPMK), 1(2), 120–132. </w:t>
          </w:r>
        </w:p>
        <w:p w:rsidR="00FC63CA" w:rsidRDefault="007B025A">
          <w:pPr>
            <w:autoSpaceDE w:val="0"/>
            <w:autoSpaceDN w:val="0"/>
            <w:ind w:firstLineChars="150" w:firstLine="300"/>
            <w:jc w:val="both"/>
            <w:rPr>
              <w:rFonts w:ascii="Arial" w:hAnsi="Arial" w:cs="Arial"/>
              <w:color w:val="000000"/>
              <w:lang w:val="sv-SE"/>
            </w:rPr>
          </w:pPr>
          <w:r>
            <w:rPr>
              <w:rFonts w:ascii="Arial" w:hAnsi="Arial" w:cs="Arial"/>
              <w:color w:val="000000"/>
              <w:lang w:val="sv-SE"/>
            </w:rPr>
            <w:t>https:/</w:t>
          </w:r>
          <w:r>
            <w:rPr>
              <w:rFonts w:ascii="Arial" w:hAnsi="Arial" w:cs="Arial"/>
              <w:color w:val="000000"/>
              <w:lang w:val="sv-SE"/>
            </w:rPr>
            <w:t>/doi.org/10.59832/jpmk.v1i2.50</w:t>
          </w:r>
        </w:p>
        <w:p w:rsidR="00FC63CA" w:rsidRDefault="007B025A">
          <w:pPr>
            <w:shd w:val="clear" w:color="auto" w:fill="F79646" w:themeFill="accent6"/>
            <w:autoSpaceDE w:val="0"/>
            <w:autoSpaceDN w:val="0"/>
            <w:jc w:val="both"/>
            <w:rPr>
              <w:rFonts w:ascii="Arial" w:hAnsi="Arial" w:cs="Arial"/>
              <w:color w:val="000000"/>
              <w:lang w:val="sv-SE"/>
            </w:rPr>
          </w:pPr>
          <w:r>
            <w:rPr>
              <w:rFonts w:ascii="Arial" w:hAnsi="Arial" w:cs="Arial"/>
              <w:color w:val="000000"/>
              <w:lang w:val="sv-SE"/>
            </w:rPr>
            <w:t>Lenny. (2025). The Interplay among Sustainability Reporting, Gross Profit Margin and</w:t>
          </w:r>
        </w:p>
        <w:p w:rsidR="00FC63CA" w:rsidRDefault="007B025A">
          <w:pPr>
            <w:autoSpaceDE w:val="0"/>
            <w:autoSpaceDN w:val="0"/>
            <w:ind w:left="360"/>
            <w:jc w:val="both"/>
            <w:rPr>
              <w:rFonts w:ascii="Arial" w:hAnsi="Arial" w:cs="Arial"/>
              <w:color w:val="000000"/>
              <w:lang w:val="sv-SE"/>
            </w:rPr>
          </w:pPr>
          <w:r>
            <w:rPr>
              <w:rFonts w:ascii="Arial" w:hAnsi="Arial" w:cs="Arial"/>
              <w:color w:val="000000"/>
              <w:lang w:val="sv-SE"/>
            </w:rPr>
            <w:t>Corporate Tax Strategies. Asian Journal of Economics, Business and Accounting, 25(2),</w:t>
          </w:r>
        </w:p>
        <w:p w:rsidR="00FC63CA" w:rsidRDefault="007B025A">
          <w:pPr>
            <w:autoSpaceDE w:val="0"/>
            <w:autoSpaceDN w:val="0"/>
            <w:ind w:left="360"/>
            <w:jc w:val="both"/>
            <w:rPr>
              <w:rFonts w:ascii="Arial" w:hAnsi="Arial" w:cs="Arial"/>
              <w:color w:val="000000"/>
              <w:lang w:val="sv-SE"/>
            </w:rPr>
          </w:pPr>
          <w:r>
            <w:rPr>
              <w:rFonts w:ascii="Arial" w:hAnsi="Arial" w:cs="Arial"/>
              <w:color w:val="000000"/>
              <w:lang w:val="sv-SE"/>
            </w:rPr>
            <w:t>263–274.</w:t>
          </w:r>
          <w:r>
            <w:rPr>
              <w:rFonts w:ascii="Arial" w:hAnsi="Arial" w:cs="Arial"/>
              <w:lang w:val="sv-SE"/>
            </w:rPr>
            <w:t xml:space="preserve"> </w:t>
          </w:r>
          <w:hyperlink r:id="rId17" w:history="1">
            <w:r>
              <w:rPr>
                <w:rStyle w:val="Hyperlink"/>
                <w:rFonts w:ascii="Arial" w:hAnsi="Arial" w:cs="Arial"/>
                <w:color w:val="auto"/>
                <w:u w:val="none"/>
                <w:lang w:val="sv-SE"/>
              </w:rPr>
              <w:t>https://doi.org/10.9734/ajeba/2025/v25i21679</w:t>
            </w:r>
          </w:hyperlink>
        </w:p>
        <w:p w:rsidR="00FC63CA" w:rsidRDefault="007B025A">
          <w:pPr>
            <w:autoSpaceDE w:val="0"/>
            <w:autoSpaceDN w:val="0"/>
            <w:ind w:left="300" w:hangingChars="150" w:hanging="300"/>
            <w:jc w:val="both"/>
            <w:rPr>
              <w:rFonts w:ascii="Arial" w:hAnsi="Arial" w:cs="Arial"/>
              <w:color w:val="000000"/>
              <w:lang w:val="sv-SE"/>
            </w:rPr>
          </w:pPr>
          <w:r>
            <w:rPr>
              <w:rFonts w:ascii="Arial" w:hAnsi="Arial"/>
              <w:color w:val="000000"/>
              <w:shd w:val="clear" w:color="auto" w:fill="F79646" w:themeFill="accent6"/>
              <w:lang w:val="sv-SE"/>
            </w:rPr>
            <w:t>Endiana, I Dewa Made and Suryandari, Ni Nyoman Ayu (2021)</w:t>
          </w:r>
          <w:r>
            <w:rPr>
              <w:rFonts w:ascii="Arial" w:hAnsi="Arial"/>
              <w:color w:val="000000"/>
              <w:shd w:val="clear" w:color="auto" w:fill="F79646" w:themeFill="accent6"/>
            </w:rPr>
            <w:t xml:space="preserve">. </w:t>
          </w:r>
          <w:r>
            <w:rPr>
              <w:rFonts w:ascii="Arial" w:hAnsi="Arial"/>
              <w:color w:val="000000"/>
              <w:shd w:val="clear" w:color="auto" w:fill="F79646" w:themeFill="accent6"/>
              <w:lang w:val="sv-SE"/>
            </w:rPr>
            <w:t>V</w:t>
          </w:r>
          <w:proofErr w:type="spellStart"/>
          <w:r>
            <w:rPr>
              <w:rFonts w:ascii="Arial" w:hAnsi="Arial"/>
              <w:color w:val="000000"/>
              <w:shd w:val="clear" w:color="auto" w:fill="F79646" w:themeFill="accent6"/>
            </w:rPr>
            <w:t>alue</w:t>
          </w:r>
          <w:proofErr w:type="spellEnd"/>
          <w:r>
            <w:rPr>
              <w:rFonts w:ascii="Arial" w:hAnsi="Arial"/>
              <w:color w:val="000000"/>
              <w:shd w:val="clear" w:color="auto" w:fill="F79646" w:themeFill="accent6"/>
              <w:lang w:val="sv-SE"/>
            </w:rPr>
            <w:t xml:space="preserve"> R</w:t>
          </w:r>
          <w:proofErr w:type="spellStart"/>
          <w:r>
            <w:rPr>
              <w:rFonts w:ascii="Arial" w:hAnsi="Arial"/>
              <w:color w:val="000000"/>
              <w:shd w:val="clear" w:color="auto" w:fill="F79646" w:themeFill="accent6"/>
            </w:rPr>
            <w:t>elevance</w:t>
          </w:r>
          <w:proofErr w:type="spellEnd"/>
          <w:r>
            <w:rPr>
              <w:rFonts w:ascii="Arial" w:hAnsi="Arial"/>
              <w:color w:val="000000"/>
              <w:shd w:val="clear" w:color="auto" w:fill="F79646" w:themeFill="accent6"/>
            </w:rPr>
            <w:t xml:space="preserve"> </w:t>
          </w:r>
          <w:r>
            <w:rPr>
              <w:rFonts w:ascii="Arial" w:hAnsi="Arial"/>
              <w:color w:val="000000"/>
              <w:shd w:val="clear" w:color="auto" w:fill="F79646" w:themeFill="accent6"/>
              <w:lang w:val="sv-SE"/>
            </w:rPr>
            <w:t>O</w:t>
          </w:r>
          <w:r>
            <w:rPr>
              <w:rFonts w:ascii="Arial" w:hAnsi="Arial"/>
              <w:color w:val="000000"/>
              <w:shd w:val="clear" w:color="auto" w:fill="F79646" w:themeFill="accent6"/>
            </w:rPr>
            <w:t>f</w:t>
          </w:r>
          <w:r>
            <w:rPr>
              <w:rFonts w:ascii="Arial" w:hAnsi="Arial"/>
              <w:color w:val="000000"/>
              <w:shd w:val="clear" w:color="auto" w:fill="F79646" w:themeFill="accent6"/>
              <w:lang w:val="sv-SE"/>
            </w:rPr>
            <w:t xml:space="preserve"> </w:t>
          </w:r>
          <w:r>
            <w:rPr>
              <w:rFonts w:ascii="Arial" w:hAnsi="Arial"/>
              <w:color w:val="000000"/>
              <w:lang w:val="sv-SE"/>
            </w:rPr>
            <w:t>S</w:t>
          </w:r>
          <w:proofErr w:type="spellStart"/>
          <w:r>
            <w:rPr>
              <w:rFonts w:ascii="Arial" w:hAnsi="Arial"/>
              <w:color w:val="000000"/>
            </w:rPr>
            <w:t>ustainability</w:t>
          </w:r>
          <w:proofErr w:type="spellEnd"/>
          <w:r>
            <w:rPr>
              <w:rFonts w:ascii="Arial" w:hAnsi="Arial"/>
              <w:color w:val="000000"/>
            </w:rPr>
            <w:t xml:space="preserve"> Report : </w:t>
          </w:r>
          <w:proofErr w:type="spellStart"/>
          <w:r>
            <w:rPr>
              <w:rFonts w:ascii="Arial" w:hAnsi="Arial"/>
              <w:color w:val="000000"/>
            </w:rPr>
            <w:t>Evidance</w:t>
          </w:r>
          <w:proofErr w:type="spellEnd"/>
          <w:r>
            <w:rPr>
              <w:rFonts w:ascii="Arial" w:hAnsi="Arial"/>
              <w:color w:val="000000"/>
            </w:rPr>
            <w:t xml:space="preserve"> From Indonesia,</w:t>
          </w:r>
          <w:r>
            <w:rPr>
              <w:rFonts w:ascii="Arial" w:hAnsi="Arial" w:cs="Arial"/>
              <w:color w:val="000000"/>
              <w:lang w:val="sv-SE"/>
            </w:rPr>
            <w:t>Indonesian Journal of Accounting and Finance</w:t>
          </w:r>
          <w:r>
            <w:rPr>
              <w:rFonts w:ascii="Arial" w:hAnsi="Arial" w:cs="Arial"/>
              <w:color w:val="000000"/>
            </w:rPr>
            <w:t>,</w:t>
          </w:r>
          <w:r>
            <w:rPr>
              <w:rFonts w:ascii="Arial" w:hAnsi="Arial"/>
              <w:color w:val="000000"/>
            </w:rPr>
            <w:t xml:space="preserve">18(2), 168–182. </w:t>
          </w:r>
          <w:r>
            <w:rPr>
              <w:rFonts w:ascii="Arial" w:hAnsi="Arial"/>
              <w:color w:val="000000"/>
            </w:rPr>
            <w:t>https://doi.org/10.21002/jaki.2021.09</w:t>
          </w:r>
        </w:p>
        <w:p w:rsidR="00FC63CA" w:rsidRDefault="007B025A">
          <w:pPr>
            <w:autoSpaceDE w:val="0"/>
            <w:autoSpaceDN w:val="0"/>
            <w:jc w:val="both"/>
            <w:rPr>
              <w:rFonts w:ascii="Arial" w:hAnsi="Arial" w:cs="Arial"/>
              <w:color w:val="000000"/>
              <w:lang w:val="sv-SE"/>
            </w:rPr>
          </w:pPr>
          <w:r>
            <w:rPr>
              <w:rFonts w:ascii="Arial" w:hAnsi="Arial" w:cs="Arial"/>
              <w:color w:val="000000"/>
              <w:shd w:val="clear" w:color="auto" w:fill="F79646" w:themeFill="accent6"/>
              <w:lang w:val="sv-SE"/>
            </w:rPr>
            <w:t>Mayangsari, R. D., &amp; Sazangka, A. Y. (2023)</w:t>
          </w:r>
          <w:r>
            <w:rPr>
              <w:rFonts w:ascii="Arial" w:hAnsi="Arial" w:cs="Arial"/>
              <w:color w:val="000000"/>
              <w:lang w:val="sv-SE"/>
            </w:rPr>
            <w:t xml:space="preserve">. The Effect of Public Accounting Firm Size, Audit </w:t>
          </w:r>
        </w:p>
        <w:p w:rsidR="00FC63CA" w:rsidRDefault="007B025A">
          <w:pPr>
            <w:tabs>
              <w:tab w:val="left" w:pos="400"/>
            </w:tabs>
            <w:autoSpaceDE w:val="0"/>
            <w:autoSpaceDN w:val="0"/>
            <w:ind w:leftChars="200" w:left="400"/>
            <w:jc w:val="both"/>
            <w:rPr>
              <w:rFonts w:ascii="Arial" w:hAnsi="Arial" w:cs="Arial"/>
              <w:color w:val="000000"/>
              <w:lang w:val="sv-SE"/>
            </w:rPr>
          </w:pPr>
          <w:r>
            <w:rPr>
              <w:rFonts w:ascii="Arial" w:hAnsi="Arial" w:cs="Arial"/>
              <w:color w:val="000000"/>
              <w:lang w:val="sv-SE"/>
            </w:rPr>
            <w:t xml:space="preserve">Tenure and Public Accounting Firm Specialization on Audit Quality. Owner, 7(3), 2598–2611. </w:t>
          </w:r>
          <w:r>
            <w:rPr>
              <w:rFonts w:ascii="Arial" w:hAnsi="Arial" w:cs="Arial"/>
              <w:color w:val="000000"/>
              <w:lang w:val="sv-SE"/>
            </w:rPr>
            <w:t>https://doi.org/10.33395/owner.v7i3.1455</w:t>
          </w:r>
        </w:p>
        <w:p w:rsidR="00FC63CA" w:rsidRDefault="007B025A">
          <w:pPr>
            <w:shd w:val="clear" w:color="auto" w:fill="F79646" w:themeFill="accent6"/>
            <w:autoSpaceDE w:val="0"/>
            <w:autoSpaceDN w:val="0"/>
            <w:jc w:val="both"/>
            <w:rPr>
              <w:rFonts w:ascii="Arial" w:hAnsi="Arial" w:cs="Arial"/>
              <w:color w:val="000000"/>
              <w:lang w:val="sv-SE"/>
            </w:rPr>
          </w:pPr>
          <w:r>
            <w:rPr>
              <w:rFonts w:ascii="Arial" w:hAnsi="Arial" w:cs="Arial"/>
              <w:color w:val="000000"/>
              <w:lang w:val="sv-SE"/>
            </w:rPr>
            <w:t xml:space="preserve">Nindita, C., &amp; Siregar, S. V. (2013). Analysis of the Effect of Public Accounting Firm Size on </w:t>
          </w:r>
        </w:p>
        <w:p w:rsidR="00FC63CA" w:rsidRDefault="007B025A">
          <w:pPr>
            <w:autoSpaceDE w:val="0"/>
            <w:autoSpaceDN w:val="0"/>
            <w:ind w:leftChars="200" w:left="400"/>
            <w:jc w:val="both"/>
            <w:rPr>
              <w:rFonts w:ascii="Arial" w:hAnsi="Arial" w:cs="Arial"/>
              <w:color w:val="000000"/>
              <w:lang w:val="sv-SE"/>
            </w:rPr>
          </w:pPr>
          <w:r>
            <w:rPr>
              <w:rFonts w:ascii="Arial" w:hAnsi="Arial" w:cs="Arial"/>
              <w:color w:val="000000"/>
              <w:lang w:val="sv-SE"/>
            </w:rPr>
            <w:t xml:space="preserve">Audit Quality in Indonesia. Journal of Accounting and Finance, 14(2). </w:t>
          </w:r>
          <w:r>
            <w:rPr>
              <w:rFonts w:ascii="Arial" w:hAnsi="Arial" w:cs="Arial"/>
              <w:lang w:val="sv-SE"/>
            </w:rPr>
            <w:fldChar w:fldCharType="begin"/>
          </w:r>
          <w:r>
            <w:rPr>
              <w:rFonts w:ascii="Arial" w:hAnsi="Arial" w:cs="Arial"/>
              <w:lang w:val="sv-SE"/>
            </w:rPr>
            <w:instrText xml:space="preserve"> HYPERLINK "https://doi.org/10.9744/jak.14.2.91-1</w:instrText>
          </w:r>
          <w:r>
            <w:rPr>
              <w:rFonts w:ascii="Arial" w:hAnsi="Arial" w:cs="Arial"/>
              <w:lang w:val="sv-SE"/>
            </w:rPr>
            <w:instrText xml:space="preserve">04" </w:instrText>
          </w:r>
          <w:r>
            <w:rPr>
              <w:rFonts w:ascii="Arial" w:hAnsi="Arial" w:cs="Arial"/>
              <w:lang w:val="sv-SE"/>
            </w:rPr>
            <w:fldChar w:fldCharType="separate"/>
          </w:r>
          <w:r>
            <w:rPr>
              <w:rStyle w:val="Hyperlink"/>
              <w:rFonts w:ascii="Arial" w:hAnsi="Arial" w:cs="Arial"/>
              <w:color w:val="auto"/>
              <w:u w:val="none"/>
              <w:lang w:val="sv-SE"/>
            </w:rPr>
            <w:t>https://doi.org/10.9744/jak.14.2.91-104</w:t>
          </w:r>
          <w:r>
            <w:rPr>
              <w:rFonts w:ascii="Arial" w:hAnsi="Arial" w:cs="Arial"/>
              <w:lang w:val="sv-SE"/>
            </w:rPr>
            <w:fldChar w:fldCharType="end"/>
          </w:r>
        </w:p>
        <w:p w:rsidR="00FC63CA" w:rsidRDefault="007B025A">
          <w:pPr>
            <w:tabs>
              <w:tab w:val="left" w:pos="3200"/>
            </w:tabs>
            <w:autoSpaceDE w:val="0"/>
            <w:autoSpaceDN w:val="0"/>
            <w:ind w:left="400" w:hangingChars="200" w:hanging="400"/>
            <w:rPr>
              <w:rFonts w:ascii="Arial" w:hAnsi="Arial" w:cs="Arial"/>
              <w:color w:val="000000"/>
              <w:lang w:val="sv-SE"/>
            </w:rPr>
          </w:pPr>
          <w:proofErr w:type="spellStart"/>
          <w:r>
            <w:rPr>
              <w:color w:val="000000"/>
              <w:shd w:val="clear" w:color="auto" w:fill="F79646" w:themeFill="accent6"/>
            </w:rPr>
            <w:t>Rizki</w:t>
          </w:r>
          <w:proofErr w:type="spellEnd"/>
          <w:r>
            <w:rPr>
              <w:color w:val="000000"/>
              <w:shd w:val="clear" w:color="auto" w:fill="F79646" w:themeFill="accent6"/>
            </w:rPr>
            <w:t xml:space="preserve">, M., &amp; </w:t>
          </w:r>
          <w:proofErr w:type="spellStart"/>
          <w:r>
            <w:rPr>
              <w:color w:val="000000"/>
              <w:shd w:val="clear" w:color="auto" w:fill="F79646" w:themeFill="accent6"/>
            </w:rPr>
            <w:t>Sudarno</w:t>
          </w:r>
          <w:proofErr w:type="spellEnd"/>
          <w:r>
            <w:rPr>
              <w:color w:val="000000"/>
              <w:shd w:val="clear" w:color="auto" w:fill="F79646" w:themeFill="accent6"/>
            </w:rPr>
            <w:t>, S. (2020)</w:t>
          </w:r>
          <w:r>
            <w:rPr>
              <w:rFonts w:ascii="Arial" w:hAnsi="Arial" w:cs="Arial"/>
              <w:color w:val="000000"/>
              <w:shd w:val="clear" w:color="auto" w:fill="F79646" w:themeFill="accent6"/>
              <w:lang w:val="sv-SE"/>
            </w:rPr>
            <w:t>. T</w:t>
          </w:r>
          <w:r>
            <w:rPr>
              <w:rFonts w:ascii="Arial" w:hAnsi="Arial" w:cs="Arial"/>
              <w:color w:val="000000"/>
            </w:rPr>
            <w:t xml:space="preserve">he </w:t>
          </w:r>
          <w:r>
            <w:rPr>
              <w:rFonts w:ascii="Arial" w:hAnsi="Arial" w:cs="Arial"/>
              <w:color w:val="000000"/>
              <w:lang w:val="sv-SE"/>
            </w:rPr>
            <w:t>E</w:t>
          </w:r>
          <w:proofErr w:type="spellStart"/>
          <w:r>
            <w:rPr>
              <w:rFonts w:ascii="Arial" w:hAnsi="Arial" w:cs="Arial"/>
              <w:color w:val="000000"/>
            </w:rPr>
            <w:t>ffect</w:t>
          </w:r>
          <w:proofErr w:type="spellEnd"/>
          <w:r>
            <w:rPr>
              <w:rFonts w:ascii="Arial" w:hAnsi="Arial" w:cs="Arial"/>
              <w:color w:val="000000"/>
            </w:rPr>
            <w:t xml:space="preserve"> Of KAP Reputation, KAP Size, And Audit Fees On Audit Quality </w:t>
          </w:r>
          <w:r>
            <w:rPr>
              <w:rFonts w:ascii="Arial" w:hAnsi="Arial" w:cs="Arial"/>
              <w:color w:val="000000"/>
              <w:lang w:val="sv-SE"/>
            </w:rPr>
            <w:t>(</w:t>
          </w:r>
          <w:r>
            <w:rPr>
              <w:color w:val="000000"/>
            </w:rPr>
            <w:t xml:space="preserve">Study of Manufacturing Companies Listed on the IDX in 2015-2017). </w:t>
          </w:r>
          <w:proofErr w:type="spellStart"/>
          <w:r>
            <w:rPr>
              <w:color w:val="000000"/>
            </w:rPr>
            <w:t>Diponegoro</w:t>
          </w:r>
          <w:proofErr w:type="spellEnd"/>
          <w:r>
            <w:rPr>
              <w:color w:val="000000"/>
            </w:rPr>
            <w:t xml:space="preserve"> Journal of Accounting, 9(3). Retrieved from https://ejournal3.undip.ac.id/index.php/accounting/article/view/29107</w:t>
          </w:r>
        </w:p>
        <w:p w:rsidR="00FC63CA" w:rsidRDefault="007B025A">
          <w:pPr>
            <w:tabs>
              <w:tab w:val="left" w:pos="400"/>
            </w:tabs>
            <w:autoSpaceDE w:val="0"/>
            <w:autoSpaceDN w:val="0"/>
            <w:jc w:val="both"/>
            <w:rPr>
              <w:rFonts w:ascii="Arial" w:hAnsi="Arial" w:cs="Arial"/>
              <w:color w:val="000000"/>
              <w:lang w:val="sv-SE"/>
            </w:rPr>
          </w:pPr>
          <w:r>
            <w:rPr>
              <w:rFonts w:ascii="Arial" w:hAnsi="Arial" w:cs="Arial"/>
              <w:color w:val="000000"/>
              <w:shd w:val="clear" w:color="auto" w:fill="F79646" w:themeFill="accent6"/>
              <w:lang w:val="sv-SE"/>
            </w:rPr>
            <w:t xml:space="preserve">Rudyanto, A., &amp; Pirzada, K. (2021). The role of sustainability reporting in shareholder </w:t>
          </w:r>
          <w:r>
            <w:rPr>
              <w:rFonts w:ascii="Arial" w:hAnsi="Arial" w:cs="Arial"/>
              <w:color w:val="000000"/>
            </w:rPr>
            <w:tab/>
          </w:r>
          <w:r>
            <w:rPr>
              <w:rFonts w:ascii="Arial" w:hAnsi="Arial" w:cs="Arial"/>
              <w:color w:val="000000"/>
              <w:lang w:val="sv-SE"/>
            </w:rPr>
            <w:t>perception of tax avoidance. Social Responsibility J</w:t>
          </w:r>
          <w:r>
            <w:rPr>
              <w:rFonts w:ascii="Arial" w:hAnsi="Arial" w:cs="Arial"/>
              <w:color w:val="000000"/>
              <w:lang w:val="sv-SE"/>
            </w:rPr>
            <w:t xml:space="preserve">ournal, 17(5), 669–685. </w:t>
          </w:r>
        </w:p>
        <w:p w:rsidR="00FC63CA" w:rsidRDefault="007B025A">
          <w:pPr>
            <w:tabs>
              <w:tab w:val="left" w:pos="400"/>
            </w:tabs>
            <w:autoSpaceDE w:val="0"/>
            <w:autoSpaceDN w:val="0"/>
            <w:ind w:firstLineChars="200" w:firstLine="400"/>
            <w:jc w:val="both"/>
            <w:rPr>
              <w:rFonts w:ascii="Arial" w:hAnsi="Arial" w:cs="Arial"/>
              <w:lang w:val="sv-SE"/>
            </w:rPr>
          </w:pPr>
          <w:hyperlink r:id="rId18" w:history="1">
            <w:r>
              <w:rPr>
                <w:rStyle w:val="Hyperlink"/>
                <w:rFonts w:ascii="Arial" w:hAnsi="Arial" w:cs="Arial"/>
                <w:color w:val="auto"/>
                <w:u w:val="none"/>
                <w:lang w:val="sv-SE"/>
              </w:rPr>
              <w:t>https://doi.org/10.1108/SRJ-01-2020-0022</w:t>
            </w:r>
          </w:hyperlink>
        </w:p>
        <w:p w:rsidR="00FC63CA" w:rsidRDefault="007B025A">
          <w:pPr>
            <w:shd w:val="clear" w:color="auto" w:fill="F79646" w:themeFill="accent6"/>
            <w:autoSpaceDE w:val="0"/>
            <w:autoSpaceDN w:val="0"/>
            <w:jc w:val="both"/>
            <w:rPr>
              <w:rFonts w:ascii="Arial" w:hAnsi="Arial" w:cs="Arial"/>
              <w:color w:val="000000"/>
              <w:lang w:val="sv-SE"/>
            </w:rPr>
          </w:pPr>
          <w:r>
            <w:rPr>
              <w:rFonts w:ascii="Arial" w:hAnsi="Arial" w:cs="Arial"/>
              <w:color w:val="000000"/>
              <w:lang w:val="sv-SE"/>
            </w:rPr>
            <w:t>Sebrina, N., Taqwa, S., Afriyenti, M., &amp; Septiari, D. (2023). Analysis of sustainability reporting</w:t>
          </w:r>
        </w:p>
        <w:p w:rsidR="00FC63CA" w:rsidRDefault="007B025A">
          <w:pPr>
            <w:autoSpaceDE w:val="0"/>
            <w:autoSpaceDN w:val="0"/>
            <w:ind w:left="360"/>
            <w:jc w:val="both"/>
            <w:rPr>
              <w:rFonts w:ascii="Arial" w:hAnsi="Arial" w:cs="Arial"/>
              <w:color w:val="000000"/>
              <w:lang w:val="sv-SE"/>
            </w:rPr>
          </w:pPr>
          <w:r>
            <w:rPr>
              <w:rFonts w:ascii="Arial" w:hAnsi="Arial" w:cs="Arial"/>
              <w:color w:val="000000"/>
              <w:lang w:val="sv-SE"/>
            </w:rPr>
            <w:t>quality and corporate social respo</w:t>
          </w:r>
          <w:r>
            <w:rPr>
              <w:rFonts w:ascii="Arial" w:hAnsi="Arial" w:cs="Arial"/>
              <w:color w:val="000000"/>
              <w:lang w:val="sv-SE"/>
            </w:rPr>
            <w:t>nsibility on companies listed on the Indonesia stock</w:t>
          </w:r>
        </w:p>
        <w:p w:rsidR="00FC63CA" w:rsidRDefault="007B025A">
          <w:pPr>
            <w:autoSpaceDE w:val="0"/>
            <w:autoSpaceDN w:val="0"/>
            <w:ind w:left="360"/>
            <w:jc w:val="both"/>
            <w:rPr>
              <w:rFonts w:ascii="Arial" w:hAnsi="Arial" w:cs="Arial"/>
              <w:color w:val="000000"/>
              <w:lang w:val="sv-SE"/>
            </w:rPr>
          </w:pPr>
          <w:r>
            <w:rPr>
              <w:rFonts w:ascii="Arial" w:hAnsi="Arial" w:cs="Arial"/>
              <w:color w:val="000000"/>
              <w:lang w:val="sv-SE"/>
            </w:rPr>
            <w:t>exchange. Cogent Business &amp; Management, 10(1).</w:t>
          </w:r>
        </w:p>
        <w:p w:rsidR="00FC63CA" w:rsidRDefault="007B025A">
          <w:pPr>
            <w:autoSpaceDE w:val="0"/>
            <w:autoSpaceDN w:val="0"/>
            <w:ind w:left="360"/>
            <w:jc w:val="both"/>
            <w:rPr>
              <w:rFonts w:ascii="Arial" w:hAnsi="Arial" w:cs="Arial"/>
              <w:color w:val="000000"/>
              <w:lang w:val="sv-SE"/>
            </w:rPr>
          </w:pPr>
          <w:r>
            <w:rPr>
              <w:rFonts w:ascii="Arial" w:hAnsi="Arial" w:cs="Arial"/>
              <w:color w:val="000000"/>
              <w:lang w:val="sv-SE"/>
            </w:rPr>
            <w:lastRenderedPageBreak/>
            <w:t>https://doi.org/10.1080/23311975.2022.2157975</w:t>
          </w:r>
        </w:p>
        <w:p w:rsidR="00FC63CA" w:rsidRDefault="007B025A">
          <w:pPr>
            <w:autoSpaceDE w:val="0"/>
            <w:autoSpaceDN w:val="0"/>
            <w:ind w:left="400" w:hangingChars="200" w:hanging="400"/>
            <w:jc w:val="both"/>
            <w:rPr>
              <w:rFonts w:ascii="Arial" w:hAnsi="Arial" w:cs="Arial"/>
              <w:color w:val="000000"/>
              <w:lang w:val="sv-SE"/>
            </w:rPr>
          </w:pPr>
          <w:r>
            <w:rPr>
              <w:rFonts w:ascii="Arial" w:hAnsi="Arial" w:cs="Arial"/>
              <w:color w:val="000000"/>
              <w:shd w:val="clear" w:color="auto" w:fill="F79646" w:themeFill="accent6"/>
              <w:lang w:val="sv-SE"/>
            </w:rPr>
            <w:t>Setyowati May, S. D., Mutmainnah, M., &amp; Ponto, S. (2024)</w:t>
          </w:r>
          <w:r>
            <w:rPr>
              <w:rFonts w:ascii="Arial" w:hAnsi="Arial" w:cs="Arial"/>
              <w:color w:val="000000"/>
              <w:lang w:val="sv-SE"/>
            </w:rPr>
            <w:t>. The Effect of Sustainability Report on Financial Per</w:t>
          </w:r>
          <w:r>
            <w:rPr>
              <w:rFonts w:ascii="Arial" w:hAnsi="Arial" w:cs="Arial"/>
              <w:color w:val="000000"/>
              <w:lang w:val="sv-SE"/>
            </w:rPr>
            <w:t>formance (Study on the Mining Sector Listed on the Indonesia Stock Exchange for the Period 2018-2022). Student Business Journal, 4(2), 112–124. https://doi.org/10.60036/jbm.v4i2.art1</w:t>
          </w:r>
        </w:p>
        <w:p w:rsidR="00FC63CA" w:rsidRDefault="007B025A">
          <w:pPr>
            <w:tabs>
              <w:tab w:val="left" w:pos="400"/>
            </w:tabs>
            <w:autoSpaceDE w:val="0"/>
            <w:autoSpaceDN w:val="0"/>
            <w:ind w:left="400" w:hangingChars="200" w:hanging="400"/>
            <w:jc w:val="both"/>
            <w:rPr>
              <w:rFonts w:ascii="Arial" w:hAnsi="Arial" w:cs="Arial"/>
              <w:color w:val="000000"/>
              <w:lang w:val="sv-SE"/>
            </w:rPr>
          </w:pPr>
          <w:r>
            <w:rPr>
              <w:rFonts w:ascii="Arial" w:hAnsi="Arial" w:cs="Arial"/>
              <w:color w:val="000000"/>
              <w:shd w:val="clear" w:color="auto" w:fill="F79646" w:themeFill="accent6"/>
              <w:lang w:val="sv-SE"/>
            </w:rPr>
            <w:t xml:space="preserve">Triwacananingrum, W., </w:t>
          </w:r>
          <w:r>
            <w:rPr>
              <w:rFonts w:ascii="Arial" w:hAnsi="Arial" w:cs="Arial"/>
              <w:color w:val="000000"/>
              <w:shd w:val="clear" w:color="auto" w:fill="F79646" w:themeFill="accent6"/>
            </w:rPr>
            <w:t>and</w:t>
          </w:r>
          <w:r>
            <w:rPr>
              <w:rFonts w:ascii="Arial" w:hAnsi="Arial" w:cs="Arial"/>
              <w:color w:val="000000"/>
              <w:shd w:val="clear" w:color="auto" w:fill="F79646" w:themeFill="accent6"/>
              <w:lang w:val="sv-SE"/>
            </w:rPr>
            <w:t xml:space="preserve"> Wijaya, G. M. (2022). S</w:t>
          </w:r>
          <w:proofErr w:type="spellStart"/>
          <w:r>
            <w:rPr>
              <w:rFonts w:ascii="Arial" w:hAnsi="Arial" w:cs="Arial"/>
              <w:color w:val="000000"/>
              <w:shd w:val="clear" w:color="auto" w:fill="F79646" w:themeFill="accent6"/>
            </w:rPr>
            <w:t>ustainability</w:t>
          </w:r>
          <w:proofErr w:type="spellEnd"/>
          <w:r>
            <w:rPr>
              <w:rFonts w:ascii="Arial" w:hAnsi="Arial" w:cs="Arial"/>
              <w:color w:val="000000"/>
              <w:shd w:val="clear" w:color="auto" w:fill="F79646" w:themeFill="accent6"/>
            </w:rPr>
            <w:t xml:space="preserve"> Reporting </w:t>
          </w:r>
          <w:r>
            <w:rPr>
              <w:rFonts w:ascii="Arial" w:hAnsi="Arial" w:cs="Arial"/>
              <w:color w:val="000000"/>
              <w:shd w:val="clear" w:color="auto" w:fill="F79646" w:themeFill="accent6"/>
            </w:rPr>
            <w:t xml:space="preserve">And Tax </w:t>
          </w:r>
          <w:r>
            <w:rPr>
              <w:rFonts w:ascii="Arial" w:hAnsi="Arial" w:cs="Arial"/>
              <w:color w:val="000000"/>
            </w:rPr>
            <w:t xml:space="preserve">Aggressiveness Before And During Covid -19 : GCG Moderating </w:t>
          </w:r>
          <w:proofErr w:type="spellStart"/>
          <w:r>
            <w:rPr>
              <w:rFonts w:ascii="Arial" w:hAnsi="Arial" w:cs="Arial"/>
              <w:color w:val="000000"/>
            </w:rPr>
            <w:t>Variabel</w:t>
          </w:r>
          <w:proofErr w:type="spellEnd"/>
          <w:r>
            <w:rPr>
              <w:rFonts w:ascii="Arial" w:hAnsi="Arial" w:cs="Arial"/>
              <w:color w:val="000000"/>
            </w:rPr>
            <w:t>.</w:t>
          </w:r>
          <w:r>
            <w:rPr>
              <w:rFonts w:ascii="Arial" w:hAnsi="Arial" w:cs="Arial"/>
              <w:color w:val="000000"/>
              <w:lang w:val="sv-SE"/>
            </w:rPr>
            <w:t>U.Indonesian</w:t>
          </w:r>
        </w:p>
        <w:p w:rsidR="00FC63CA" w:rsidRDefault="007B025A">
          <w:pPr>
            <w:tabs>
              <w:tab w:val="left" w:pos="400"/>
            </w:tabs>
            <w:autoSpaceDE w:val="0"/>
            <w:autoSpaceDN w:val="0"/>
            <w:jc w:val="both"/>
            <w:rPr>
              <w:rFonts w:ascii="Arial" w:hAnsi="Arial" w:cs="Arial"/>
              <w:lang w:val="sv-SE"/>
            </w:rPr>
          </w:pPr>
          <w:r>
            <w:rPr>
              <w:rFonts w:ascii="Arial" w:hAnsi="Arial" w:cs="Arial"/>
              <w:color w:val="000000"/>
            </w:rPr>
            <w:tab/>
          </w:r>
          <w:r>
            <w:rPr>
              <w:rFonts w:ascii="Arial" w:hAnsi="Arial" w:cs="Arial"/>
              <w:color w:val="000000"/>
              <w:lang w:val="sv-SE"/>
            </w:rPr>
            <w:t>Journal of Accounting and Finance, 19(1), 96–119.</w:t>
          </w:r>
          <w:r>
            <w:rPr>
              <w:rFonts w:ascii="Arial" w:hAnsi="Arial" w:cs="Arial"/>
              <w:color w:val="000000"/>
            </w:rPr>
            <w:t xml:space="preserve"> </w:t>
          </w:r>
          <w:hyperlink r:id="rId19" w:history="1">
            <w:r>
              <w:rPr>
                <w:rStyle w:val="Hyperlink"/>
                <w:rFonts w:ascii="Arial" w:hAnsi="Arial" w:cs="Arial"/>
                <w:color w:val="auto"/>
                <w:u w:val="none"/>
                <w:lang w:val="sv-SE"/>
              </w:rPr>
              <w:t>https://doi.org/10.21002/jaki.2022.05</w:t>
            </w:r>
          </w:hyperlink>
        </w:p>
        <w:p w:rsidR="00FC63CA" w:rsidRDefault="007B025A">
          <w:pPr>
            <w:shd w:val="clear" w:color="auto" w:fill="F79646" w:themeFill="accent6"/>
            <w:autoSpaceDE w:val="0"/>
            <w:autoSpaceDN w:val="0"/>
            <w:jc w:val="both"/>
            <w:rPr>
              <w:rFonts w:ascii="Arial" w:hAnsi="Arial"/>
              <w:color w:val="000000"/>
            </w:rPr>
          </w:pPr>
          <w:proofErr w:type="spellStart"/>
          <w:proofErr w:type="gramStart"/>
          <w:r>
            <w:rPr>
              <w:rFonts w:ascii="Arial" w:hAnsi="Arial" w:cs="Arial"/>
              <w:color w:val="000000"/>
            </w:rPr>
            <w:t>Utomo,R</w:t>
          </w:r>
          <w:proofErr w:type="spellEnd"/>
          <w:r>
            <w:rPr>
              <w:rFonts w:ascii="Arial" w:hAnsi="Arial" w:cs="Arial"/>
              <w:color w:val="000000"/>
            </w:rPr>
            <w:t>,.</w:t>
          </w:r>
          <w:proofErr w:type="gramEnd"/>
          <w:r>
            <w:rPr>
              <w:rFonts w:ascii="Arial" w:hAnsi="Arial" w:cs="Arial"/>
              <w:color w:val="000000"/>
            </w:rPr>
            <w:t xml:space="preserve"> and </w:t>
          </w:r>
          <w:proofErr w:type="spellStart"/>
          <w:proofErr w:type="gramStart"/>
          <w:r>
            <w:rPr>
              <w:rFonts w:ascii="Arial" w:hAnsi="Arial" w:cs="Arial"/>
              <w:color w:val="000000"/>
            </w:rPr>
            <w:t>Handayani</w:t>
          </w:r>
          <w:proofErr w:type="spellEnd"/>
          <w:r>
            <w:rPr>
              <w:rFonts w:ascii="Arial" w:hAnsi="Arial" w:cs="Arial"/>
              <w:color w:val="000000"/>
            </w:rPr>
            <w:t xml:space="preserve"> ,</w:t>
          </w:r>
          <w:proofErr w:type="gramEnd"/>
          <w:r>
            <w:rPr>
              <w:rFonts w:ascii="Arial" w:hAnsi="Arial" w:cs="Arial"/>
              <w:color w:val="000000"/>
            </w:rPr>
            <w:t xml:space="preserve"> R.R.S (2024). </w:t>
          </w:r>
          <w:r>
            <w:rPr>
              <w:rFonts w:ascii="Arial" w:hAnsi="Arial"/>
              <w:color w:val="000000"/>
            </w:rPr>
            <w:t xml:space="preserve">The Effect of Benchmarking Ratios on Tax </w:t>
          </w:r>
        </w:p>
        <w:p w:rsidR="00FC63CA" w:rsidRDefault="007B025A">
          <w:pPr>
            <w:autoSpaceDE w:val="0"/>
            <w:autoSpaceDN w:val="0"/>
            <w:ind w:leftChars="200" w:left="400"/>
            <w:jc w:val="both"/>
            <w:rPr>
              <w:rFonts w:ascii="Arial" w:hAnsi="Arial"/>
              <w:color w:val="000000"/>
            </w:rPr>
          </w:pPr>
          <w:r>
            <w:rPr>
              <w:rFonts w:ascii="Arial" w:hAnsi="Arial"/>
              <w:color w:val="000000"/>
            </w:rPr>
            <w:t xml:space="preserve">Avoidance in Miscellaneous Industry Sector Companies Listed on the IDX in 2018-2021. JEMAP: Journal of Economics, Management, Accounting and Taxation, 7(1), 47-90. </w:t>
          </w:r>
          <w:r>
            <w:rPr>
              <w:rFonts w:ascii="Arial" w:hAnsi="Arial" w:cs="Arial"/>
              <w:color w:val="000000"/>
              <w:lang w:val="sv-SE"/>
            </w:rPr>
            <w:t>https://doi.org/</w:t>
          </w:r>
          <w:r>
            <w:rPr>
              <w:rFonts w:ascii="Arial" w:hAnsi="Arial"/>
              <w:color w:val="000000"/>
            </w:rPr>
            <w:t xml:space="preserve"> 10.24167/jemap.v7i1.10722</w:t>
          </w:r>
        </w:p>
        <w:p w:rsidR="00FC63CA" w:rsidRDefault="007B025A">
          <w:pPr>
            <w:autoSpaceDE w:val="0"/>
            <w:autoSpaceDN w:val="0"/>
            <w:ind w:left="400" w:hangingChars="200" w:hanging="400"/>
            <w:jc w:val="both"/>
            <w:rPr>
              <w:rFonts w:ascii="Arial Regular" w:hAnsi="Arial Regular" w:cs="Arial Regular"/>
              <w:color w:val="000000"/>
            </w:rPr>
          </w:pPr>
          <w:proofErr w:type="spellStart"/>
          <w:r>
            <w:rPr>
              <w:rFonts w:ascii="Arial Regular" w:hAnsi="Arial Regular" w:cs="Arial Regular"/>
              <w:color w:val="000000"/>
              <w:shd w:val="clear" w:color="auto" w:fill="F79646" w:themeFill="accent6"/>
            </w:rPr>
            <w:t>Widjanarko</w:t>
          </w:r>
          <w:proofErr w:type="spellEnd"/>
          <w:r>
            <w:rPr>
              <w:rFonts w:ascii="Arial Regular" w:hAnsi="Arial Regular" w:cs="Arial Regular"/>
              <w:color w:val="000000"/>
              <w:shd w:val="clear" w:color="auto" w:fill="F79646" w:themeFill="accent6"/>
            </w:rPr>
            <w:t xml:space="preserve">, W., and </w:t>
          </w:r>
          <w:proofErr w:type="spellStart"/>
          <w:r>
            <w:rPr>
              <w:rFonts w:ascii="Arial Regular" w:hAnsi="Arial Regular" w:cs="Arial Regular"/>
              <w:color w:val="000000"/>
              <w:shd w:val="clear" w:color="auto" w:fill="F79646" w:themeFill="accent6"/>
            </w:rPr>
            <w:t>Safitri</w:t>
          </w:r>
          <w:proofErr w:type="spellEnd"/>
          <w:r>
            <w:rPr>
              <w:rFonts w:ascii="Arial Regular" w:hAnsi="Arial Regular" w:cs="Arial Regular"/>
              <w:color w:val="000000"/>
              <w:shd w:val="clear" w:color="auto" w:fill="F79646" w:themeFill="accent6"/>
            </w:rPr>
            <w:t xml:space="preserve">, N. (2020). The Effect of Net Income, Bank Debt &amp; Operating Cash </w:t>
          </w:r>
          <w:r>
            <w:rPr>
              <w:rFonts w:ascii="Arial Regular" w:hAnsi="Arial Regular" w:cs="Arial Regular"/>
              <w:color w:val="000000"/>
            </w:rPr>
            <w:t>Flow on Dividend Policy in Manufacturing Companies Listed on Bei for the Period 2013-2015. Indonesian Journal of Accounting and Business</w:t>
          </w:r>
          <w:r>
            <w:rPr>
              <w:rFonts w:ascii="Arial Regular" w:hAnsi="Arial Regular" w:cs="Arial Regular"/>
              <w:color w:val="000000"/>
            </w:rPr>
            <w:t xml:space="preserve"> (JABISI), 1(2), 50-63. https://doi.org/10.55122/jabisi.v1i2.135</w:t>
          </w:r>
        </w:p>
        <w:p w:rsidR="00FC63CA" w:rsidRDefault="007B025A">
          <w:pPr>
            <w:autoSpaceDE w:val="0"/>
            <w:autoSpaceDN w:val="0"/>
            <w:jc w:val="both"/>
            <w:rPr>
              <w:rFonts w:ascii="Arial Regular" w:eastAsia="Tahoma" w:hAnsi="Arial Regular" w:cs="Arial Regular"/>
            </w:rPr>
          </w:pPr>
        </w:p>
      </w:sdtContent>
    </w:sdt>
    <w:sectPr w:rsidR="00FC63CA">
      <w:headerReference w:type="even" r:id="rId20"/>
      <w:headerReference w:type="default" r:id="rId21"/>
      <w:footerReference w:type="default" r:id="rId22"/>
      <w:headerReference w:type="first" r:id="rId23"/>
      <w:type w:val="continuous"/>
      <w:pgSz w:w="12240" w:h="15840"/>
      <w:pgMar w:top="720" w:right="1920" w:bottom="720" w:left="19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25A" w:rsidRDefault="007B025A">
      <w:r>
        <w:separator/>
      </w:r>
    </w:p>
  </w:endnote>
  <w:endnote w:type="continuationSeparator" w:id="0">
    <w:p w:rsidR="007B025A" w:rsidRDefault="007B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Arial Italic">
    <w:panose1 w:val="020B0604020202090204"/>
    <w:charset w:val="00"/>
    <w:family w:val="auto"/>
    <w:pitch w:val="default"/>
    <w:sig w:usb0="E0002AFF" w:usb1="C0007843"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 w:name="Times New Roman Bold">
    <w:panose1 w:val="02020803070505020304"/>
    <w:charset w:val="00"/>
    <w:family w:val="auto"/>
    <w:pitch w:val="default"/>
    <w:sig w:usb0="E0002AEF" w:usb1="C0007841" w:usb2="00000009" w:usb3="00000000" w:csb0="400001FF" w:csb1="FFFF0000"/>
  </w:font>
  <w:font w:name="Helvetica Neue">
    <w:altName w:val="SimSun"/>
    <w:charset w:val="00"/>
    <w:family w:val="auto"/>
    <w:pitch w:val="default"/>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FC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FC6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FC6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FC6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25A" w:rsidRDefault="007B025A">
      <w:r>
        <w:separator/>
      </w:r>
    </w:p>
  </w:footnote>
  <w:footnote w:type="continuationSeparator" w:id="0">
    <w:p w:rsidR="007B025A" w:rsidRDefault="007B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7B025A">
    <w:pPr>
      <w:pStyle w:val="Header"/>
    </w:pPr>
    <w:r>
      <w:pict w14:anchorId="5A447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2" o:spid="_x0000_s2050"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7B025A">
    <w:pPr>
      <w:pStyle w:val="Header"/>
    </w:pPr>
    <w:r>
      <w:pict w14:anchorId="61DB9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3" o:spid="_x0000_s2051"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7B025A">
    <w:pPr>
      <w:ind w:left="2160"/>
      <w:jc w:val="center"/>
      <w:rPr>
        <w:rFonts w:ascii="Times New Roman" w:eastAsia="Calibri" w:hAnsi="Times New Roman"/>
        <w:i/>
        <w:sz w:val="18"/>
        <w:szCs w:val="22"/>
      </w:rPr>
    </w:pPr>
    <w:r>
      <w:pict w14:anchorId="71023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1"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FC63CA" w:rsidRDefault="007B025A">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FC63CA" w:rsidRDefault="007B025A">
    <w:pPr>
      <w:jc w:val="center"/>
      <w:rPr>
        <w:rFonts w:ascii="Times New Roman" w:eastAsia="Calibri" w:hAnsi="Times New Roman"/>
        <w:i/>
        <w:sz w:val="18"/>
        <w:szCs w:val="22"/>
      </w:rPr>
    </w:pPr>
    <w:r>
      <w:rPr>
        <w:rFonts w:ascii="Times New Roman" w:eastAsia="Calibri" w:hAnsi="Times New Roman"/>
        <w:i/>
        <w:sz w:val="18"/>
        <w:szCs w:val="22"/>
      </w:rPr>
      <w:t>.</w:t>
    </w:r>
  </w:p>
  <w:p w:rsidR="00FC63CA" w:rsidRDefault="007B025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FC63CA" w:rsidRDefault="007B025A">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FC63CA" w:rsidRDefault="007B025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C63CA" w:rsidRDefault="007B025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7B025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5" o:spid="_x0000_s2053" type="#_x0000_t136" style="position:absolute;margin-left:0;margin-top:0;width:520.65pt;height:57.85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7B025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6" o:spid="_x0000_s2054" type="#_x0000_t136" style="position:absolute;margin-left:0;margin-top:0;width:520.65pt;height:57.85pt;rotation:315;z-index:-25164697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3CA" w:rsidRDefault="007B025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4" o:spid="_x0000_s2052" type="#_x0000_t136" style="position:absolute;margin-left:0;margin-top:0;width:520.65pt;height:57.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56E522"/>
    <w:multiLevelType w:val="singleLevel"/>
    <w:tmpl w:val="DF56E522"/>
    <w:lvl w:ilvl="0">
      <w:start w:val="1"/>
      <w:numFmt w:val="decimal"/>
      <w:suff w:val="space"/>
      <w:lvlText w:val="%1."/>
      <w:lvlJc w:val="left"/>
    </w:lvl>
  </w:abstractNum>
  <w:abstractNum w:abstractNumId="1" w15:restartNumberingAfterBreak="0">
    <w:nsid w:val="F7BCDB0F"/>
    <w:multiLevelType w:val="multilevel"/>
    <w:tmpl w:val="F7BCDB0F"/>
    <w:lvl w:ilvl="0">
      <w:start w:val="2"/>
      <w:numFmt w:val="decimal"/>
      <w:suff w:val="space"/>
      <w:lvlText w:val="%1."/>
      <w:lvlJc w:val="left"/>
    </w:lvl>
    <w:lvl w:ilvl="1">
      <w:start w:val="1"/>
      <w:numFmt w:val="decimal"/>
      <w:suff w:val="space"/>
      <w:lvlText w:val="%1.%2"/>
      <w:lvlJc w:val="left"/>
      <w:pPr>
        <w:ind w:left="111" w:firstLine="0"/>
      </w:pPr>
      <w:rPr>
        <w:rFonts w:hint="default"/>
      </w:rPr>
    </w:lvl>
    <w:lvl w:ilvl="2">
      <w:start w:val="1"/>
      <w:numFmt w:val="decimal"/>
      <w:suff w:val="space"/>
      <w:lvlText w:val="%1.%2.%3"/>
      <w:lvlJc w:val="left"/>
      <w:pPr>
        <w:ind w:left="111" w:firstLine="0"/>
      </w:pPr>
      <w:rPr>
        <w:rFonts w:hint="default"/>
      </w:rPr>
    </w:lvl>
    <w:lvl w:ilvl="3">
      <w:start w:val="1"/>
      <w:numFmt w:val="decimal"/>
      <w:suff w:val="space"/>
      <w:lvlText w:val="%1.%2.%3.%4"/>
      <w:lvlJc w:val="left"/>
      <w:pPr>
        <w:ind w:left="111" w:firstLine="0"/>
      </w:pPr>
      <w:rPr>
        <w:rFonts w:hint="default"/>
      </w:rPr>
    </w:lvl>
    <w:lvl w:ilvl="4">
      <w:start w:val="1"/>
      <w:numFmt w:val="decimal"/>
      <w:suff w:val="space"/>
      <w:lvlText w:val="%1.%2.%3.%4.%5"/>
      <w:lvlJc w:val="left"/>
      <w:pPr>
        <w:ind w:left="111" w:firstLine="0"/>
      </w:pPr>
      <w:rPr>
        <w:rFonts w:hint="default"/>
      </w:rPr>
    </w:lvl>
    <w:lvl w:ilvl="5">
      <w:start w:val="1"/>
      <w:numFmt w:val="decimal"/>
      <w:suff w:val="space"/>
      <w:lvlText w:val="%1.%2.%3.%4.%5.%6"/>
      <w:lvlJc w:val="left"/>
      <w:pPr>
        <w:ind w:left="111" w:firstLine="0"/>
      </w:pPr>
      <w:rPr>
        <w:rFonts w:hint="default"/>
      </w:rPr>
    </w:lvl>
    <w:lvl w:ilvl="6">
      <w:start w:val="1"/>
      <w:numFmt w:val="decimal"/>
      <w:suff w:val="space"/>
      <w:lvlText w:val="%1.%2.%3.%4.%5.%6.%7"/>
      <w:lvlJc w:val="left"/>
      <w:pPr>
        <w:ind w:left="111" w:firstLine="0"/>
      </w:pPr>
      <w:rPr>
        <w:rFonts w:hint="default"/>
      </w:rPr>
    </w:lvl>
    <w:lvl w:ilvl="7">
      <w:start w:val="1"/>
      <w:numFmt w:val="decimal"/>
      <w:suff w:val="space"/>
      <w:lvlText w:val="%1.%2.%3.%4.%5.%6.%7.%8"/>
      <w:lvlJc w:val="left"/>
      <w:pPr>
        <w:ind w:left="111" w:firstLine="0"/>
      </w:pPr>
      <w:rPr>
        <w:rFonts w:hint="default"/>
      </w:rPr>
    </w:lvl>
    <w:lvl w:ilvl="8">
      <w:start w:val="1"/>
      <w:numFmt w:val="decimal"/>
      <w:suff w:val="space"/>
      <w:lvlText w:val="%1.%2.%3.%4.%5.%6.%7.%8.%9"/>
      <w:lvlJc w:val="left"/>
      <w:pPr>
        <w:ind w:left="111" w:firstLine="0"/>
      </w:pPr>
      <w:rPr>
        <w:rFonts w:hint="default"/>
      </w:rPr>
    </w:lvl>
  </w:abstractNum>
  <w:abstractNum w:abstractNumId="2" w15:restartNumberingAfterBreak="0">
    <w:nsid w:val="FB7FA2E7"/>
    <w:multiLevelType w:val="singleLevel"/>
    <w:tmpl w:val="FB7FA2E7"/>
    <w:lvl w:ilvl="0">
      <w:start w:val="1"/>
      <w:numFmt w:val="decimal"/>
      <w:suff w:val="space"/>
      <w:lvlText w:val="%1."/>
      <w:lvlJc w:val="left"/>
      <w:rPr>
        <w:rFonts w:ascii="Arial" w:hAnsi="Arial" w:cs="Arial" w:hint="default"/>
        <w:b w:val="0"/>
        <w:bCs w:val="0"/>
      </w:rPr>
    </w:lvl>
  </w:abstractNum>
  <w:abstractNum w:abstractNumId="3" w15:restartNumberingAfterBreak="0">
    <w:nsid w:val="014E297E"/>
    <w:multiLevelType w:val="multilevel"/>
    <w:tmpl w:val="014E297E"/>
    <w:lvl w:ilvl="0">
      <w:start w:val="1"/>
      <w:numFmt w:val="decimal"/>
      <w:lvlText w:val="%1."/>
      <w:lvlJc w:val="left"/>
      <w:pPr>
        <w:ind w:left="720" w:hanging="360"/>
      </w:pPr>
      <w:rPr>
        <w:rFonts w:ascii="Arial Regular" w:hAnsi="Arial Regular" w:cs="Arial Regula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8B7B4B12"/>
    <w:rsid w:val="9DED58B4"/>
    <w:rsid w:val="9FBF8C6A"/>
    <w:rsid w:val="9FF996B2"/>
    <w:rsid w:val="BDAE01D2"/>
    <w:rsid w:val="BDB501C2"/>
    <w:rsid w:val="BED6B0E1"/>
    <w:rsid w:val="D7BDC96C"/>
    <w:rsid w:val="DDE30F87"/>
    <w:rsid w:val="DEB58FA5"/>
    <w:rsid w:val="DEFE2910"/>
    <w:rsid w:val="DFDB71F6"/>
    <w:rsid w:val="E4C73319"/>
    <w:rsid w:val="ED7B980A"/>
    <w:rsid w:val="EDBBDA76"/>
    <w:rsid w:val="EEF96D78"/>
    <w:rsid w:val="EF139B7E"/>
    <w:rsid w:val="EFDF4B1B"/>
    <w:rsid w:val="F383BC33"/>
    <w:rsid w:val="F57EE309"/>
    <w:rsid w:val="F7FAA717"/>
    <w:rsid w:val="F7FDED99"/>
    <w:rsid w:val="FAAFC5AF"/>
    <w:rsid w:val="FDBF8930"/>
    <w:rsid w:val="FDED61F8"/>
    <w:rsid w:val="FDEEBEB2"/>
    <w:rsid w:val="FE6D6600"/>
    <w:rsid w:val="FE9BBECA"/>
    <w:rsid w:val="FEBF5742"/>
    <w:rsid w:val="FF77833A"/>
    <w:rsid w:val="FFEA71C6"/>
    <w:rsid w:val="FFFE440A"/>
    <w:rsid w:val="FFFF39F8"/>
    <w:rsid w:val="00000F8F"/>
    <w:rsid w:val="00030174"/>
    <w:rsid w:val="0004579C"/>
    <w:rsid w:val="00075563"/>
    <w:rsid w:val="000A47FA"/>
    <w:rsid w:val="000A65D3"/>
    <w:rsid w:val="000B1E33"/>
    <w:rsid w:val="000D689F"/>
    <w:rsid w:val="000E7B7B"/>
    <w:rsid w:val="000E7D62"/>
    <w:rsid w:val="00103357"/>
    <w:rsid w:val="00123C9F"/>
    <w:rsid w:val="00126190"/>
    <w:rsid w:val="00130F17"/>
    <w:rsid w:val="001315B9"/>
    <w:rsid w:val="001320BF"/>
    <w:rsid w:val="00163BC4"/>
    <w:rsid w:val="00171F74"/>
    <w:rsid w:val="00191062"/>
    <w:rsid w:val="00192B72"/>
    <w:rsid w:val="001A29D8"/>
    <w:rsid w:val="001A5CAA"/>
    <w:rsid w:val="001B0427"/>
    <w:rsid w:val="001C4714"/>
    <w:rsid w:val="001D3A51"/>
    <w:rsid w:val="001E10D2"/>
    <w:rsid w:val="001E25B4"/>
    <w:rsid w:val="001E44FE"/>
    <w:rsid w:val="001F340F"/>
    <w:rsid w:val="00200595"/>
    <w:rsid w:val="00204835"/>
    <w:rsid w:val="00231920"/>
    <w:rsid w:val="0023195C"/>
    <w:rsid w:val="00241E87"/>
    <w:rsid w:val="0024282C"/>
    <w:rsid w:val="002460DC"/>
    <w:rsid w:val="00250985"/>
    <w:rsid w:val="002556F6"/>
    <w:rsid w:val="00277548"/>
    <w:rsid w:val="00283105"/>
    <w:rsid w:val="00284C4C"/>
    <w:rsid w:val="00287E68"/>
    <w:rsid w:val="00296529"/>
    <w:rsid w:val="002B27FB"/>
    <w:rsid w:val="002B685A"/>
    <w:rsid w:val="002C57D2"/>
    <w:rsid w:val="002E0D56"/>
    <w:rsid w:val="003139DE"/>
    <w:rsid w:val="00315186"/>
    <w:rsid w:val="0033343E"/>
    <w:rsid w:val="003512C2"/>
    <w:rsid w:val="0035555E"/>
    <w:rsid w:val="00371FB6"/>
    <w:rsid w:val="003763C1"/>
    <w:rsid w:val="00376BBE"/>
    <w:rsid w:val="0039224F"/>
    <w:rsid w:val="003955BE"/>
    <w:rsid w:val="00395B85"/>
    <w:rsid w:val="003A43A4"/>
    <w:rsid w:val="003A7E18"/>
    <w:rsid w:val="003C4C86"/>
    <w:rsid w:val="003C6258"/>
    <w:rsid w:val="003E2904"/>
    <w:rsid w:val="00401927"/>
    <w:rsid w:val="0041027F"/>
    <w:rsid w:val="00412475"/>
    <w:rsid w:val="00423789"/>
    <w:rsid w:val="00426746"/>
    <w:rsid w:val="00440F43"/>
    <w:rsid w:val="00441B6F"/>
    <w:rsid w:val="00446221"/>
    <w:rsid w:val="00446330"/>
    <w:rsid w:val="00450E62"/>
    <w:rsid w:val="004539DB"/>
    <w:rsid w:val="004548FD"/>
    <w:rsid w:val="00471A80"/>
    <w:rsid w:val="004C0C00"/>
    <w:rsid w:val="004D305E"/>
    <w:rsid w:val="004D4277"/>
    <w:rsid w:val="00502516"/>
    <w:rsid w:val="00505F06"/>
    <w:rsid w:val="00506828"/>
    <w:rsid w:val="0053056E"/>
    <w:rsid w:val="00554FDA"/>
    <w:rsid w:val="005C51D5"/>
    <w:rsid w:val="005C784C"/>
    <w:rsid w:val="005D17F6"/>
    <w:rsid w:val="005E5539"/>
    <w:rsid w:val="00602BF5"/>
    <w:rsid w:val="00617FDD"/>
    <w:rsid w:val="00633614"/>
    <w:rsid w:val="00633F68"/>
    <w:rsid w:val="00636EB2"/>
    <w:rsid w:val="006375B8"/>
    <w:rsid w:val="0066510A"/>
    <w:rsid w:val="00673F9F"/>
    <w:rsid w:val="0068288F"/>
    <w:rsid w:val="00686953"/>
    <w:rsid w:val="00687DE2"/>
    <w:rsid w:val="00687DEA"/>
    <w:rsid w:val="00687E67"/>
    <w:rsid w:val="006967F7"/>
    <w:rsid w:val="006A250C"/>
    <w:rsid w:val="006B21D3"/>
    <w:rsid w:val="006B57D0"/>
    <w:rsid w:val="006D30FF"/>
    <w:rsid w:val="006D6940"/>
    <w:rsid w:val="006F11EC"/>
    <w:rsid w:val="0070082C"/>
    <w:rsid w:val="0072195C"/>
    <w:rsid w:val="007369E6"/>
    <w:rsid w:val="00746E59"/>
    <w:rsid w:val="00754C9A"/>
    <w:rsid w:val="0075599A"/>
    <w:rsid w:val="00761D52"/>
    <w:rsid w:val="00761DFA"/>
    <w:rsid w:val="0077749E"/>
    <w:rsid w:val="00790ADA"/>
    <w:rsid w:val="007B025A"/>
    <w:rsid w:val="007D2288"/>
    <w:rsid w:val="007E088F"/>
    <w:rsid w:val="007F7B32"/>
    <w:rsid w:val="00804BC2"/>
    <w:rsid w:val="0081431A"/>
    <w:rsid w:val="0083216F"/>
    <w:rsid w:val="008378D7"/>
    <w:rsid w:val="00845FE7"/>
    <w:rsid w:val="00860000"/>
    <w:rsid w:val="00863BD3"/>
    <w:rsid w:val="008641ED"/>
    <w:rsid w:val="00866D66"/>
    <w:rsid w:val="008671C6"/>
    <w:rsid w:val="00875803"/>
    <w:rsid w:val="00882036"/>
    <w:rsid w:val="008B459E"/>
    <w:rsid w:val="008E0A10"/>
    <w:rsid w:val="008E13AE"/>
    <w:rsid w:val="008E1506"/>
    <w:rsid w:val="008E710C"/>
    <w:rsid w:val="008F69D6"/>
    <w:rsid w:val="00902823"/>
    <w:rsid w:val="00915CA6"/>
    <w:rsid w:val="009261F3"/>
    <w:rsid w:val="00927834"/>
    <w:rsid w:val="009500A6"/>
    <w:rsid w:val="00957C18"/>
    <w:rsid w:val="009659BA"/>
    <w:rsid w:val="00983040"/>
    <w:rsid w:val="009B3FB9"/>
    <w:rsid w:val="009C2465"/>
    <w:rsid w:val="009C39BC"/>
    <w:rsid w:val="009D35A0"/>
    <w:rsid w:val="009D7EB7"/>
    <w:rsid w:val="009E048A"/>
    <w:rsid w:val="009E08E9"/>
    <w:rsid w:val="009E3DB9"/>
    <w:rsid w:val="009E6E35"/>
    <w:rsid w:val="009F0EDA"/>
    <w:rsid w:val="00A012F8"/>
    <w:rsid w:val="00A03B96"/>
    <w:rsid w:val="00A05B19"/>
    <w:rsid w:val="00A1134E"/>
    <w:rsid w:val="00A24E7E"/>
    <w:rsid w:val="00A258C3"/>
    <w:rsid w:val="00A347C0"/>
    <w:rsid w:val="00A51431"/>
    <w:rsid w:val="00A539AD"/>
    <w:rsid w:val="00A6469B"/>
    <w:rsid w:val="00A77678"/>
    <w:rsid w:val="00A94063"/>
    <w:rsid w:val="00AA6219"/>
    <w:rsid w:val="00AA74E0"/>
    <w:rsid w:val="00AB703F"/>
    <w:rsid w:val="00AC6BB8"/>
    <w:rsid w:val="00AD690F"/>
    <w:rsid w:val="00AE008F"/>
    <w:rsid w:val="00B01FCD"/>
    <w:rsid w:val="00B05421"/>
    <w:rsid w:val="00B1168E"/>
    <w:rsid w:val="00B1776C"/>
    <w:rsid w:val="00B23ED2"/>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0A0D"/>
    <w:rsid w:val="00C70F1B"/>
    <w:rsid w:val="00C71A47"/>
    <w:rsid w:val="00C7464C"/>
    <w:rsid w:val="00C85588"/>
    <w:rsid w:val="00CC71D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217"/>
    <w:rsid w:val="00E31A70"/>
    <w:rsid w:val="00E35B02"/>
    <w:rsid w:val="00E4019C"/>
    <w:rsid w:val="00E66496"/>
    <w:rsid w:val="00E66B35"/>
    <w:rsid w:val="00E66E10"/>
    <w:rsid w:val="00E7361B"/>
    <w:rsid w:val="00E754A4"/>
    <w:rsid w:val="00E769F6"/>
    <w:rsid w:val="00E77DC9"/>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65E8"/>
    <w:rsid w:val="00FB3A86"/>
    <w:rsid w:val="00FC63CA"/>
    <w:rsid w:val="00FD36C8"/>
    <w:rsid w:val="1B36924D"/>
    <w:rsid w:val="1DE32865"/>
    <w:rsid w:val="1FB77A48"/>
    <w:rsid w:val="2EFFDFE8"/>
    <w:rsid w:val="2FFCE01F"/>
    <w:rsid w:val="3DF7F5EF"/>
    <w:rsid w:val="3ECF6C48"/>
    <w:rsid w:val="3FDD5A50"/>
    <w:rsid w:val="4F37AAE2"/>
    <w:rsid w:val="5AE58F5D"/>
    <w:rsid w:val="5FE59D06"/>
    <w:rsid w:val="67FE606C"/>
    <w:rsid w:val="6B7F336D"/>
    <w:rsid w:val="6EBD6C1B"/>
    <w:rsid w:val="6FBFB9FE"/>
    <w:rsid w:val="72E8D687"/>
    <w:rsid w:val="77F9711E"/>
    <w:rsid w:val="7A478E30"/>
    <w:rsid w:val="7DEFD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2EECC23A"/>
  <w15:docId w15:val="{3FB6721A-E9E2-449A-B45A-4D9256D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pPr>
      <w:spacing w:beforeAutospacing="1" w:afterAutospacing="1"/>
    </w:pPr>
    <w:rPr>
      <w:sz w:val="24"/>
      <w:szCs w:val="24"/>
      <w:lang w:eastAsia="zh-CN"/>
    </w:rPr>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istParagraph1">
    <w:name w:val="List Paragraph1"/>
    <w:basedOn w:val="Normal"/>
    <w:uiPriority w:val="99"/>
    <w:qFormat/>
    <w:pPr>
      <w:ind w:left="720"/>
      <w:contextualSpacing/>
    </w:pPr>
  </w:style>
  <w:style w:type="paragraph" w:styleId="ListParagraph">
    <w:name w:val="List Paragraph"/>
    <w:basedOn w:val="Normal"/>
    <w:uiPriority w:val="99"/>
    <w:unhideWhenUsed/>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unhideWhenUsed/>
    <w:rPr>
      <w:color w:val="666666"/>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p1">
    <w:name w:val="p1"/>
    <w:rPr>
      <w:rFonts w:ascii="Helvetica" w:eastAsia="Helvetica"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108/SRJ-01-2020-002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9734/ajeba/2025/v25i21679"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oi.org/10.29040/jie.v6i2.4998"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24167/jemap.v7i1.10947"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doi.org/10.21002/jaki.2022.05"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B030A5F-9C4F-4832-9B88-2EEA302CF9B6}"/>
      </w:docPartPr>
      <w:docPartBody>
        <w:p w:rsidR="007F136A" w:rsidRDefault="007A181B">
          <w:r>
            <w:rPr>
              <w:rStyle w:val="PlaceholderText"/>
            </w:rPr>
            <w:t>Click or tap here to enter text.</w:t>
          </w:r>
        </w:p>
      </w:docPartBody>
    </w:docPart>
    <w:docPart>
      <w:docPartPr>
        <w:name w:val="{a62b54e7-2593-4a3a-8832-5f8dd83943a7}"/>
        <w:category>
          <w:name w:val="General"/>
          <w:gallery w:val="placeholder"/>
        </w:category>
        <w:types>
          <w:type w:val="bbPlcHdr"/>
        </w:types>
        <w:behaviors>
          <w:behavior w:val="content"/>
        </w:behaviors>
        <w:guid w:val="{A62B54E7-2593-4A3A-8832-5F8DD83943A7}"/>
      </w:docPartPr>
      <w:docPartBody>
        <w:p w:rsidR="007F136A" w:rsidRDefault="007A181B">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81B" w:rsidRDefault="007A181B">
      <w:pPr>
        <w:spacing w:line="240" w:lineRule="auto"/>
      </w:pPr>
      <w:r>
        <w:separator/>
      </w:r>
    </w:p>
  </w:endnote>
  <w:endnote w:type="continuationSeparator" w:id="0">
    <w:p w:rsidR="007A181B" w:rsidRDefault="007A18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Arial Italic">
    <w:panose1 w:val="020B0604020202090204"/>
    <w:charset w:val="00"/>
    <w:family w:val="auto"/>
    <w:pitch w:val="default"/>
    <w:sig w:usb0="E0002AFF" w:usb1="C0007843"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 w:name="Times New Roman Bold">
    <w:panose1 w:val="02020803070505020304"/>
    <w:charset w:val="00"/>
    <w:family w:val="auto"/>
    <w:pitch w:val="default"/>
    <w:sig w:usb0="E0002AEF" w:usb1="C0007841" w:usb2="00000009" w:usb3="00000000" w:csb0="400001FF" w:csb1="FFFF0000"/>
  </w:font>
  <w:font w:name="Helvetica Neue">
    <w:altName w:val="SimSun"/>
    <w:charset w:val="00"/>
    <w:family w:val="auto"/>
    <w:pitch w:val="default"/>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81B" w:rsidRDefault="007A181B">
      <w:pPr>
        <w:spacing w:after="0"/>
      </w:pPr>
      <w:r>
        <w:separator/>
      </w:r>
    </w:p>
  </w:footnote>
  <w:footnote w:type="continuationSeparator" w:id="0">
    <w:p w:rsidR="007A181B" w:rsidRDefault="007A181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37"/>
    <w:rsid w:val="003B54ED"/>
    <w:rsid w:val="007A181B"/>
    <w:rsid w:val="007F136A"/>
    <w:rsid w:val="00882036"/>
    <w:rsid w:val="00A012F8"/>
    <w:rsid w:val="00A66AE6"/>
    <w:rsid w:val="00B23ED2"/>
    <w:rsid w:val="00B80718"/>
    <w:rsid w:val="00BF5E82"/>
    <w:rsid w:val="00E55237"/>
    <w:rsid w:val="00E970E3"/>
    <w:rsid w:val="00FA58FA"/>
    <w:rsid w:val="00F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2FDCB-2141-494D-9E35-2A8DE355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6435</Words>
  <Characters>36683</Characters>
  <Application>Microsoft Office Word</Application>
  <DocSecurity>0</DocSecurity>
  <Lines>305</Lines>
  <Paragraphs>86</Paragraphs>
  <ScaleCrop>false</ScaleCrop>
  <Company>aaaa</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33</cp:revision>
  <cp:lastPrinted>1999-07-10T06:00:00Z</cp:lastPrinted>
  <dcterms:created xsi:type="dcterms:W3CDTF">2014-10-29T09:34:00Z</dcterms:created>
  <dcterms:modified xsi:type="dcterms:W3CDTF">2025-04-15T11:19:00Z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8192DDFAAD136B64580FF867242FB981_43</vt:lpwstr>
  </property>
</Properties>
</file>