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63AC8" w14:textId="6610985C" w:rsidR="00E22E68" w:rsidRPr="00475443" w:rsidRDefault="00B15277" w:rsidP="00CD74B2">
      <w:pPr>
        <w:jc w:val="center"/>
        <w:rPr>
          <w:rFonts w:ascii="Arial" w:hAnsi="Arial" w:cs="Arial"/>
          <w:b/>
          <w:bCs/>
          <w:color w:val="0070C0"/>
          <w:sz w:val="28"/>
          <w:szCs w:val="28"/>
        </w:rPr>
      </w:pPr>
      <w:r w:rsidRPr="00475443">
        <w:rPr>
          <w:rFonts w:ascii="Arial" w:hAnsi="Arial" w:cs="Arial"/>
          <w:b/>
          <w:bCs/>
          <w:color w:val="0070C0"/>
          <w:sz w:val="28"/>
          <w:szCs w:val="28"/>
        </w:rPr>
        <w:t xml:space="preserve">Brand values of </w:t>
      </w:r>
      <w:r>
        <w:rPr>
          <w:rFonts w:ascii="Arial" w:hAnsi="Arial" w:cs="Arial"/>
          <w:b/>
          <w:bCs/>
          <w:color w:val="0070C0"/>
          <w:sz w:val="28"/>
          <w:szCs w:val="28"/>
          <w:lang w:val="vi-VN"/>
        </w:rPr>
        <w:t xml:space="preserve">the </w:t>
      </w:r>
      <w:r w:rsidRPr="00475443">
        <w:rPr>
          <w:rFonts w:ascii="Arial" w:hAnsi="Arial" w:cs="Arial"/>
          <w:b/>
          <w:bCs/>
          <w:color w:val="0070C0"/>
          <w:sz w:val="28"/>
          <w:szCs w:val="28"/>
        </w:rPr>
        <w:t>lecturers</w:t>
      </w:r>
      <w:r w:rsidRPr="00475443">
        <w:rPr>
          <w:rFonts w:ascii="Arial" w:hAnsi="Arial" w:cs="Arial"/>
          <w:b/>
          <w:bCs/>
          <w:color w:val="0070C0"/>
          <w:sz w:val="28"/>
          <w:szCs w:val="28"/>
          <w:lang w:val="vi-VN"/>
        </w:rPr>
        <w:t xml:space="preserve"> and </w:t>
      </w:r>
      <w:r>
        <w:rPr>
          <w:rFonts w:ascii="Arial" w:hAnsi="Arial" w:cs="Arial"/>
          <w:b/>
          <w:bCs/>
          <w:color w:val="0070C0"/>
          <w:sz w:val="28"/>
          <w:szCs w:val="28"/>
          <w:lang w:val="vi-VN"/>
        </w:rPr>
        <w:t xml:space="preserve">the </w:t>
      </w:r>
      <w:r w:rsidRPr="00475443">
        <w:rPr>
          <w:rFonts w:ascii="Arial" w:hAnsi="Arial" w:cs="Arial"/>
          <w:b/>
          <w:bCs/>
          <w:color w:val="0070C0"/>
          <w:sz w:val="28"/>
          <w:szCs w:val="28"/>
        </w:rPr>
        <w:t xml:space="preserve">leadership style contribute to </w:t>
      </w:r>
      <w:proofErr w:type="spellStart"/>
      <w:r w:rsidRPr="00475443">
        <w:rPr>
          <w:rFonts w:ascii="Arial" w:hAnsi="Arial" w:cs="Arial"/>
          <w:b/>
          <w:bCs/>
          <w:color w:val="0070C0"/>
          <w:sz w:val="28"/>
          <w:szCs w:val="28"/>
        </w:rPr>
        <w:t>enhanc</w:t>
      </w:r>
      <w:proofErr w:type="spellEnd"/>
      <w:r w:rsidRPr="00475443">
        <w:rPr>
          <w:rFonts w:ascii="Arial" w:hAnsi="Arial" w:cs="Arial"/>
          <w:b/>
          <w:bCs/>
          <w:color w:val="0070C0"/>
          <w:sz w:val="28"/>
          <w:szCs w:val="28"/>
          <w:lang w:val="vi-VN"/>
        </w:rPr>
        <w:t>ing</w:t>
      </w:r>
      <w:r w:rsidRPr="00475443">
        <w:rPr>
          <w:rFonts w:ascii="Arial" w:hAnsi="Arial" w:cs="Arial"/>
          <w:b/>
          <w:bCs/>
          <w:color w:val="0070C0"/>
          <w:sz w:val="28"/>
          <w:szCs w:val="28"/>
        </w:rPr>
        <w:t xml:space="preserve"> university brand</w:t>
      </w:r>
      <w:r w:rsidRPr="00475443">
        <w:rPr>
          <w:rFonts w:ascii="Arial" w:hAnsi="Arial" w:cs="Arial"/>
          <w:b/>
          <w:bCs/>
          <w:color w:val="0070C0"/>
          <w:sz w:val="28"/>
          <w:szCs w:val="28"/>
          <w:lang w:val="vi-VN"/>
        </w:rPr>
        <w:t>ing</w:t>
      </w:r>
      <w:r>
        <w:rPr>
          <w:rFonts w:ascii="Arial" w:hAnsi="Arial" w:cs="Arial"/>
          <w:b/>
          <w:bCs/>
          <w:color w:val="0070C0"/>
          <w:sz w:val="28"/>
          <w:szCs w:val="28"/>
        </w:rPr>
        <w:t xml:space="preserve">: A </w:t>
      </w:r>
      <w:r w:rsidRPr="00475443">
        <w:rPr>
          <w:rFonts w:ascii="Arial" w:hAnsi="Arial" w:cs="Arial"/>
          <w:b/>
          <w:bCs/>
          <w:color w:val="0070C0"/>
          <w:sz w:val="28"/>
          <w:szCs w:val="28"/>
        </w:rPr>
        <w:t>Case study at private universities</w:t>
      </w:r>
      <w:r w:rsidRPr="00475443">
        <w:rPr>
          <w:rFonts w:ascii="Arial" w:hAnsi="Arial" w:cs="Arial"/>
          <w:b/>
          <w:bCs/>
          <w:color w:val="0070C0"/>
          <w:sz w:val="28"/>
          <w:szCs w:val="28"/>
          <w:lang w:val="vi-VN"/>
        </w:rPr>
        <w:t xml:space="preserve"> in </w:t>
      </w:r>
      <w:r>
        <w:rPr>
          <w:rFonts w:ascii="Arial" w:hAnsi="Arial" w:cs="Arial"/>
          <w:b/>
          <w:bCs/>
          <w:color w:val="0070C0"/>
          <w:sz w:val="28"/>
          <w:szCs w:val="28"/>
        </w:rPr>
        <w:t>H</w:t>
      </w:r>
      <w:r w:rsidRPr="00475443">
        <w:rPr>
          <w:rFonts w:ascii="Arial" w:hAnsi="Arial" w:cs="Arial"/>
          <w:b/>
          <w:bCs/>
          <w:color w:val="0070C0"/>
          <w:sz w:val="28"/>
          <w:szCs w:val="28"/>
        </w:rPr>
        <w:t xml:space="preserve">o </w:t>
      </w:r>
      <w:r>
        <w:rPr>
          <w:rFonts w:ascii="Arial" w:hAnsi="Arial" w:cs="Arial"/>
          <w:b/>
          <w:bCs/>
          <w:color w:val="0070C0"/>
          <w:sz w:val="28"/>
          <w:szCs w:val="28"/>
        </w:rPr>
        <w:t>C</w:t>
      </w:r>
      <w:r w:rsidRPr="00475443">
        <w:rPr>
          <w:rFonts w:ascii="Arial" w:hAnsi="Arial" w:cs="Arial"/>
          <w:b/>
          <w:bCs/>
          <w:color w:val="0070C0"/>
          <w:sz w:val="28"/>
          <w:szCs w:val="28"/>
        </w:rPr>
        <w:t xml:space="preserve">hi </w:t>
      </w:r>
      <w:r>
        <w:rPr>
          <w:rFonts w:ascii="Arial" w:hAnsi="Arial" w:cs="Arial"/>
          <w:b/>
          <w:bCs/>
          <w:color w:val="0070C0"/>
          <w:sz w:val="28"/>
          <w:szCs w:val="28"/>
        </w:rPr>
        <w:t>M</w:t>
      </w:r>
      <w:r w:rsidRPr="00475443">
        <w:rPr>
          <w:rFonts w:ascii="Arial" w:hAnsi="Arial" w:cs="Arial"/>
          <w:b/>
          <w:bCs/>
          <w:color w:val="0070C0"/>
          <w:sz w:val="28"/>
          <w:szCs w:val="28"/>
        </w:rPr>
        <w:t xml:space="preserve">inh </w:t>
      </w:r>
      <w:r>
        <w:rPr>
          <w:rFonts w:ascii="Arial" w:hAnsi="Arial" w:cs="Arial"/>
          <w:b/>
          <w:bCs/>
          <w:color w:val="0070C0"/>
          <w:sz w:val="28"/>
          <w:szCs w:val="28"/>
        </w:rPr>
        <w:t>C</w:t>
      </w:r>
      <w:r w:rsidRPr="00475443">
        <w:rPr>
          <w:rFonts w:ascii="Arial" w:hAnsi="Arial" w:cs="Arial"/>
          <w:b/>
          <w:bCs/>
          <w:color w:val="0070C0"/>
          <w:sz w:val="28"/>
          <w:szCs w:val="28"/>
        </w:rPr>
        <w:t xml:space="preserve">ity, </w:t>
      </w:r>
      <w:r>
        <w:rPr>
          <w:rFonts w:ascii="Arial" w:hAnsi="Arial" w:cs="Arial"/>
          <w:b/>
          <w:bCs/>
          <w:color w:val="0070C0"/>
          <w:sz w:val="28"/>
          <w:szCs w:val="28"/>
        </w:rPr>
        <w:t>V</w:t>
      </w:r>
      <w:r w:rsidRPr="00475443">
        <w:rPr>
          <w:rFonts w:ascii="Arial" w:hAnsi="Arial" w:cs="Arial"/>
          <w:b/>
          <w:bCs/>
          <w:color w:val="0070C0"/>
          <w:sz w:val="28"/>
          <w:szCs w:val="28"/>
        </w:rPr>
        <w:t>ietnam</w:t>
      </w:r>
    </w:p>
    <w:p w14:paraId="5E637F9B" w14:textId="77777777" w:rsidR="00C64926" w:rsidRDefault="00C64926" w:rsidP="000238A4">
      <w:pPr>
        <w:spacing w:after="0" w:line="360" w:lineRule="auto"/>
        <w:rPr>
          <w:rFonts w:ascii="Arial" w:hAnsi="Arial" w:cs="Arial"/>
          <w:b/>
          <w:bCs/>
          <w:color w:val="000000" w:themeColor="text1"/>
          <w:sz w:val="20"/>
          <w:szCs w:val="20"/>
        </w:rPr>
      </w:pPr>
    </w:p>
    <w:p w14:paraId="103CBDAD" w14:textId="74C90220" w:rsidR="004C7B72" w:rsidRPr="003711CA" w:rsidRDefault="00907D92" w:rsidP="000238A4">
      <w:pPr>
        <w:spacing w:after="0" w:line="360" w:lineRule="auto"/>
        <w:rPr>
          <w:rFonts w:ascii="Arial" w:hAnsi="Arial" w:cs="Arial"/>
          <w:b/>
          <w:bCs/>
          <w:color w:val="000000" w:themeColor="text1"/>
          <w:sz w:val="20"/>
          <w:szCs w:val="20"/>
          <w:lang w:val="vi-VN"/>
        </w:rPr>
      </w:pPr>
      <w:r w:rsidRPr="003711CA">
        <w:rPr>
          <w:rFonts w:ascii="Arial" w:hAnsi="Arial" w:cs="Arial"/>
          <w:b/>
          <w:bCs/>
          <w:color w:val="000000" w:themeColor="text1"/>
          <w:sz w:val="20"/>
          <w:szCs w:val="20"/>
          <w:lang w:val="vi-VN"/>
        </w:rPr>
        <w:t>Abstract:</w:t>
      </w:r>
    </w:p>
    <w:p w14:paraId="46F22DF1" w14:textId="5CA64319" w:rsidR="000238A4" w:rsidRPr="003711CA" w:rsidRDefault="00270A55" w:rsidP="000238A4">
      <w:pPr>
        <w:spacing w:after="0" w:line="360" w:lineRule="auto"/>
        <w:jc w:val="both"/>
        <w:rPr>
          <w:rFonts w:ascii="Arial" w:hAnsi="Arial" w:cs="Arial"/>
          <w:sz w:val="20"/>
          <w:szCs w:val="20"/>
        </w:rPr>
      </w:pPr>
      <w:r>
        <w:rPr>
          <w:rFonts w:ascii="Arial" w:hAnsi="Arial" w:cs="Arial"/>
          <w:color w:val="000000" w:themeColor="text1"/>
          <w:sz w:val="20"/>
          <w:szCs w:val="20"/>
          <w:lang w:val="vi-VN"/>
        </w:rPr>
        <w:t xml:space="preserve">   </w:t>
      </w:r>
      <w:r w:rsidR="000238A4" w:rsidRPr="003711CA">
        <w:rPr>
          <w:rFonts w:ascii="Arial" w:hAnsi="Arial" w:cs="Arial"/>
          <w:color w:val="000000" w:themeColor="text1"/>
          <w:sz w:val="20"/>
          <w:szCs w:val="20"/>
          <w:lang w:val="vi-VN"/>
        </w:rPr>
        <w:t xml:space="preserve">Universities play a crucial role in providing high-quality human resources to support national development. They serve as institutions that equip learners with specialized knowledge and essential skills, enabling them to become a valuable workforce for society. In this context, lecturers play a key role in the development of university education, contributing to building the institution's brand and competitive position in society. </w:t>
      </w:r>
      <w:r w:rsidR="00332696" w:rsidRPr="003711CA">
        <w:rPr>
          <w:rFonts w:ascii="Arial" w:hAnsi="Arial" w:cs="Arial"/>
          <w:color w:val="000000" w:themeColor="text1"/>
          <w:sz w:val="20"/>
          <w:szCs w:val="20"/>
          <w:lang w:val="vi-VN"/>
        </w:rPr>
        <w:t xml:space="preserve">The objective of this article is to identify factors that affect the brand value of lecturers and university brands. Research using both qualitative and quantitative methods, the author has used the smallest square structure modeling method (PLS-SEM) to check the suitability of the model with practical survey data. A survey was conducted with 191 lecturers from five private universities in Ho Chi Minh City. </w:t>
      </w:r>
      <w:r w:rsidR="00CE6F5A" w:rsidRPr="003711CA">
        <w:rPr>
          <w:rFonts w:ascii="Arial" w:hAnsi="Arial" w:cs="Arial"/>
          <w:sz w:val="20"/>
          <w:szCs w:val="20"/>
        </w:rPr>
        <w:t xml:space="preserve">The results show that leadership style directly influences the organizational culture of universities, which in turn impacts the enhancement of </w:t>
      </w:r>
      <w:r w:rsidR="004A5070" w:rsidRPr="003711CA">
        <w:rPr>
          <w:rFonts w:ascii="Arial" w:hAnsi="Arial" w:cs="Arial"/>
          <w:sz w:val="20"/>
          <w:szCs w:val="20"/>
        </w:rPr>
        <w:t>b</w:t>
      </w:r>
      <w:r w:rsidR="00CE6F5A" w:rsidRPr="003711CA">
        <w:rPr>
          <w:rFonts w:ascii="Arial" w:hAnsi="Arial" w:cs="Arial"/>
          <w:sz w:val="20"/>
          <w:szCs w:val="20"/>
        </w:rPr>
        <w:t>rand value</w:t>
      </w:r>
      <w:r w:rsidR="004A5070" w:rsidRPr="003711CA">
        <w:rPr>
          <w:rFonts w:ascii="Arial" w:hAnsi="Arial" w:cs="Arial"/>
          <w:sz w:val="20"/>
          <w:szCs w:val="20"/>
        </w:rPr>
        <w:t xml:space="preserve"> of lecturers</w:t>
      </w:r>
      <w:r w:rsidR="00CE6F5A" w:rsidRPr="003711CA">
        <w:rPr>
          <w:rFonts w:ascii="Arial" w:hAnsi="Arial" w:cs="Arial"/>
          <w:sz w:val="20"/>
          <w:szCs w:val="20"/>
        </w:rPr>
        <w:t xml:space="preserve"> and university branding. The study also explores and clearly identifies that lecturers' brand value has a direct impact on university branding in the era of innovation.</w:t>
      </w:r>
      <w:r w:rsidR="00CE6F5A" w:rsidRPr="003711CA">
        <w:rPr>
          <w:rFonts w:ascii="Arial" w:hAnsi="Arial" w:cs="Arial"/>
          <w:sz w:val="20"/>
          <w:szCs w:val="20"/>
          <w:lang w:val="vi-VN"/>
        </w:rPr>
        <w:t xml:space="preserve"> </w:t>
      </w:r>
      <w:r w:rsidR="002A7685" w:rsidRPr="003711CA">
        <w:rPr>
          <w:rFonts w:ascii="Arial" w:hAnsi="Arial" w:cs="Arial"/>
          <w:sz w:val="20"/>
          <w:szCs w:val="20"/>
        </w:rPr>
        <w:t>The conclusion provides several recommendations for university administrators to implement policies that support and nurture lecturers, helping them become excellent and valuable educators. This, in turn, contributes to the sustainable development of the institution in the era of globalization and innovation.</w:t>
      </w:r>
    </w:p>
    <w:p w14:paraId="4B627210" w14:textId="21307A0B" w:rsidR="002A7685" w:rsidRPr="003711CA" w:rsidRDefault="002A7685" w:rsidP="000238A4">
      <w:pPr>
        <w:spacing w:after="0" w:line="360" w:lineRule="auto"/>
        <w:jc w:val="both"/>
        <w:rPr>
          <w:rFonts w:ascii="Arial" w:hAnsi="Arial" w:cs="Arial"/>
          <w:sz w:val="20"/>
          <w:szCs w:val="20"/>
        </w:rPr>
      </w:pPr>
      <w:r w:rsidRPr="003711CA">
        <w:rPr>
          <w:rFonts w:ascii="Arial" w:hAnsi="Arial" w:cs="Arial"/>
          <w:b/>
          <w:bCs/>
          <w:sz w:val="20"/>
          <w:szCs w:val="20"/>
        </w:rPr>
        <w:t>Keywords</w:t>
      </w:r>
      <w:r w:rsidRPr="003711CA">
        <w:rPr>
          <w:rFonts w:ascii="Arial" w:hAnsi="Arial" w:cs="Arial"/>
          <w:sz w:val="20"/>
          <w:szCs w:val="20"/>
        </w:rPr>
        <w:t xml:space="preserve">: </w:t>
      </w:r>
      <w:r w:rsidR="004A5070" w:rsidRPr="003711CA">
        <w:rPr>
          <w:rFonts w:ascii="Arial" w:hAnsi="Arial" w:cs="Arial"/>
          <w:sz w:val="20"/>
          <w:szCs w:val="20"/>
        </w:rPr>
        <w:t>B</w:t>
      </w:r>
      <w:r w:rsidR="00CA3530" w:rsidRPr="003711CA">
        <w:rPr>
          <w:rFonts w:ascii="Arial" w:hAnsi="Arial" w:cs="Arial"/>
          <w:sz w:val="20"/>
          <w:szCs w:val="20"/>
          <w:lang w:val="vi-VN"/>
        </w:rPr>
        <w:t xml:space="preserve">rand </w:t>
      </w:r>
      <w:r w:rsidRPr="003711CA">
        <w:rPr>
          <w:rFonts w:ascii="Arial" w:hAnsi="Arial" w:cs="Arial"/>
          <w:sz w:val="20"/>
          <w:szCs w:val="20"/>
        </w:rPr>
        <w:t>value</w:t>
      </w:r>
      <w:r w:rsidR="004A5070" w:rsidRPr="003711CA">
        <w:rPr>
          <w:rFonts w:ascii="Arial" w:hAnsi="Arial" w:cs="Arial"/>
          <w:sz w:val="20"/>
          <w:szCs w:val="20"/>
        </w:rPr>
        <w:t xml:space="preserve"> of lecture</w:t>
      </w:r>
      <w:r w:rsidRPr="003711CA">
        <w:rPr>
          <w:rFonts w:ascii="Arial" w:hAnsi="Arial" w:cs="Arial"/>
          <w:sz w:val="20"/>
          <w:szCs w:val="20"/>
        </w:rPr>
        <w:t>; University branding; Leadership style; Organizational culture</w:t>
      </w:r>
      <w:r w:rsidR="004A5070" w:rsidRPr="003711CA">
        <w:rPr>
          <w:rFonts w:ascii="Arial" w:hAnsi="Arial" w:cs="Arial"/>
          <w:sz w:val="20"/>
          <w:szCs w:val="20"/>
        </w:rPr>
        <w:t>.</w:t>
      </w:r>
    </w:p>
    <w:p w14:paraId="054FE3D2" w14:textId="77777777" w:rsidR="00B2416A" w:rsidRPr="003711CA" w:rsidRDefault="00B2416A" w:rsidP="000238A4">
      <w:pPr>
        <w:spacing w:after="0" w:line="360" w:lineRule="auto"/>
        <w:jc w:val="both"/>
        <w:rPr>
          <w:rFonts w:ascii="Arial" w:hAnsi="Arial" w:cs="Arial"/>
          <w:b/>
          <w:bCs/>
          <w:color w:val="000000" w:themeColor="text1"/>
          <w:sz w:val="20"/>
          <w:szCs w:val="20"/>
          <w:lang w:val="vi-VN"/>
        </w:rPr>
      </w:pPr>
    </w:p>
    <w:p w14:paraId="7EB56F5B" w14:textId="49776AFA" w:rsidR="002A7685" w:rsidRPr="003711CA" w:rsidRDefault="002A7685" w:rsidP="000238A4">
      <w:pPr>
        <w:spacing w:after="0" w:line="360" w:lineRule="auto"/>
        <w:jc w:val="both"/>
        <w:rPr>
          <w:rFonts w:ascii="Arial" w:hAnsi="Arial" w:cs="Arial"/>
          <w:b/>
          <w:bCs/>
          <w:color w:val="000000" w:themeColor="text1"/>
          <w:sz w:val="20"/>
          <w:szCs w:val="20"/>
          <w:lang w:val="vi-VN"/>
        </w:rPr>
      </w:pPr>
      <w:r w:rsidRPr="003711CA">
        <w:rPr>
          <w:rFonts w:ascii="Arial" w:hAnsi="Arial" w:cs="Arial"/>
          <w:b/>
          <w:bCs/>
          <w:color w:val="000000" w:themeColor="text1"/>
          <w:sz w:val="20"/>
          <w:szCs w:val="20"/>
          <w:lang w:val="vi-VN"/>
        </w:rPr>
        <w:t xml:space="preserve">1. INTRODUCTION </w:t>
      </w:r>
    </w:p>
    <w:p w14:paraId="159D9FA3" w14:textId="63502D15" w:rsidR="00A825B1" w:rsidRPr="003711CA" w:rsidRDefault="004327F8" w:rsidP="000238A4">
      <w:pPr>
        <w:spacing w:after="0" w:line="360" w:lineRule="auto"/>
        <w:jc w:val="both"/>
        <w:rPr>
          <w:rFonts w:ascii="Arial" w:hAnsi="Arial" w:cs="Arial"/>
          <w:sz w:val="20"/>
          <w:szCs w:val="20"/>
        </w:rPr>
      </w:pPr>
      <w:r>
        <w:rPr>
          <w:rFonts w:ascii="Arial" w:hAnsi="Arial" w:cs="Arial"/>
          <w:sz w:val="20"/>
          <w:szCs w:val="20"/>
          <w:lang w:val="vi-VN"/>
        </w:rPr>
        <w:t xml:space="preserve">   </w:t>
      </w:r>
      <w:r w:rsidR="00A825B1" w:rsidRPr="003711CA">
        <w:rPr>
          <w:rFonts w:ascii="Arial" w:hAnsi="Arial" w:cs="Arial"/>
          <w:sz w:val="20"/>
          <w:szCs w:val="20"/>
        </w:rPr>
        <w:t xml:space="preserve">Universities play an important role in providing high-quality human resources to serve the socio-economic development of a country. They contribute to addressing urgent societal issues such as the application of science, promoting innovation, enhancing productivity, and improving workers' capabilities in the era of international integration. </w:t>
      </w:r>
    </w:p>
    <w:p w14:paraId="7E481D86" w14:textId="52DCEE66" w:rsidR="001D623F" w:rsidRPr="00C92EB5" w:rsidRDefault="00CF7D5F" w:rsidP="000238A4">
      <w:pPr>
        <w:spacing w:after="0" w:line="360" w:lineRule="auto"/>
        <w:jc w:val="both"/>
        <w:rPr>
          <w:rFonts w:ascii="Arial" w:hAnsi="Arial" w:cs="Arial"/>
          <w:color w:val="0070C0"/>
          <w:sz w:val="20"/>
          <w:szCs w:val="20"/>
        </w:rPr>
      </w:pPr>
      <w:r>
        <w:rPr>
          <w:rFonts w:ascii="Arial" w:hAnsi="Arial" w:cs="Arial"/>
          <w:sz w:val="20"/>
          <w:szCs w:val="20"/>
          <w:lang w:val="vi-VN"/>
        </w:rPr>
        <w:t xml:space="preserve">   </w:t>
      </w:r>
      <w:r w:rsidR="00E1723D" w:rsidRPr="00E1723D">
        <w:rPr>
          <w:rFonts w:ascii="Arial" w:hAnsi="Arial" w:cs="Arial"/>
          <w:color w:val="0070C0"/>
          <w:sz w:val="20"/>
          <w:szCs w:val="20"/>
          <w:lang w:val="vi-VN"/>
        </w:rPr>
        <w:t>In the context of increasingly fierce competition in universities in Vietnam, due to the entry of foreign universities, the trend of university autonomy and the pressure of innovation of universities, these make private universities face great pressure in enhancing their brand to attract high-quality students and lecturers, as well as strengthen international cooperation and attract investment (Thuy Van Nguyen, 2023; Education Magazine, 2024; Ngo Quang Son et al, 2024</w:t>
      </w:r>
      <w:r w:rsidR="00E1723D" w:rsidRPr="00E1723D">
        <w:rPr>
          <w:rFonts w:ascii="Arial" w:hAnsi="Arial" w:cs="Arial"/>
          <w:sz w:val="20"/>
          <w:szCs w:val="20"/>
          <w:lang w:val="vi-VN"/>
        </w:rPr>
        <w:t>)</w:t>
      </w:r>
      <w:r w:rsidR="001D623F" w:rsidRPr="003711CA">
        <w:rPr>
          <w:rFonts w:ascii="Arial" w:hAnsi="Arial" w:cs="Arial"/>
          <w:sz w:val="20"/>
          <w:szCs w:val="20"/>
        </w:rPr>
        <w:t xml:space="preserve">. Enhancing the university's brand value is a crucial requirement, helping to strengthen its competitive position for sustainable educational development. Some key tasks that universities consistently carry out include improving training programs, strengthening scientific research, and applying experimental practices, among others. These efforts help students gain foundational knowledge and practical skills aligned with societal development. The positive outcomes of these activities will enhance the quality of higher education and strengthen the brand position of universities (Doan </w:t>
      </w:r>
      <w:proofErr w:type="spellStart"/>
      <w:r w:rsidR="001D623F" w:rsidRPr="003711CA">
        <w:rPr>
          <w:rFonts w:ascii="Arial" w:hAnsi="Arial" w:cs="Arial"/>
          <w:sz w:val="20"/>
          <w:szCs w:val="20"/>
        </w:rPr>
        <w:t>Nhan</w:t>
      </w:r>
      <w:proofErr w:type="spellEnd"/>
      <w:r w:rsidR="001D623F" w:rsidRPr="003711CA">
        <w:rPr>
          <w:rFonts w:ascii="Arial" w:hAnsi="Arial" w:cs="Arial"/>
          <w:sz w:val="20"/>
          <w:szCs w:val="20"/>
        </w:rPr>
        <w:t>, 2024).</w:t>
      </w:r>
      <w:r w:rsidR="00442FC3" w:rsidRPr="003711CA">
        <w:rPr>
          <w:rFonts w:ascii="Arial" w:hAnsi="Arial" w:cs="Arial"/>
          <w:sz w:val="20"/>
          <w:szCs w:val="20"/>
        </w:rPr>
        <w:t xml:space="preserve"> The successful implementation of these aspects depends largely on the university's </w:t>
      </w:r>
      <w:r w:rsidR="00442FC3" w:rsidRPr="003711CA">
        <w:rPr>
          <w:rFonts w:ascii="Arial" w:hAnsi="Arial" w:cs="Arial"/>
          <w:sz w:val="20"/>
          <w:szCs w:val="20"/>
        </w:rPr>
        <w:lastRenderedPageBreak/>
        <w:t>lecturers. They are one of the important resources and valuable assets of the university. They play an important role in enhancing the brand value for the sustainable development of the university.</w:t>
      </w:r>
      <w:r w:rsidR="00B00A9D" w:rsidRPr="003711CA">
        <w:rPr>
          <w:rFonts w:ascii="Arial" w:hAnsi="Arial" w:cs="Arial"/>
          <w:sz w:val="20"/>
          <w:szCs w:val="20"/>
        </w:rPr>
        <w:t xml:space="preserve"> Each lecturer, with their unique personal values, contributes to shaping the university's overall brand value. </w:t>
      </w:r>
      <w:r w:rsidR="00C92EB5" w:rsidRPr="00C92EB5">
        <w:rPr>
          <w:rFonts w:ascii="Arial" w:hAnsi="Arial" w:cs="Arial"/>
          <w:sz w:val="20"/>
          <w:szCs w:val="20"/>
        </w:rPr>
        <w:t>Therefore, it is necessary to motivate them to maintain high standards in teaching, promote creativity in education and participate in scientific research. Several factors affect the enhancement of personal value of lecturers in fulfilling their responsibilities.</w:t>
      </w:r>
      <w:r w:rsidR="00C92EB5">
        <w:rPr>
          <w:rFonts w:ascii="Arial" w:hAnsi="Arial" w:cs="Arial"/>
          <w:sz w:val="20"/>
          <w:szCs w:val="20"/>
          <w:lang w:val="vi-VN"/>
        </w:rPr>
        <w:t xml:space="preserve"> </w:t>
      </w:r>
      <w:r w:rsidR="00C92EB5" w:rsidRPr="00C92EB5">
        <w:rPr>
          <w:rFonts w:ascii="Arial" w:hAnsi="Arial" w:cs="Arial"/>
          <w:color w:val="0070C0"/>
          <w:sz w:val="20"/>
          <w:szCs w:val="20"/>
        </w:rPr>
        <w:t>Based on the theory of human resource development strategy and organizational brand development, this article aims to examine and analyze the relationship between leadership style and organizational culture and their impact on enhancing the brand value of lecturers and university brands. The analysis is based on survey data collected from several private universities in Ho Chi Minh City.</w:t>
      </w:r>
    </w:p>
    <w:p w14:paraId="6BCD7210" w14:textId="77777777" w:rsidR="00247603" w:rsidRPr="003711CA" w:rsidRDefault="00247603" w:rsidP="000238A4">
      <w:pPr>
        <w:spacing w:after="0" w:line="360" w:lineRule="auto"/>
        <w:jc w:val="both"/>
        <w:rPr>
          <w:rFonts w:ascii="Arial" w:hAnsi="Arial" w:cs="Arial"/>
          <w:b/>
          <w:bCs/>
          <w:sz w:val="20"/>
          <w:szCs w:val="20"/>
        </w:rPr>
      </w:pPr>
    </w:p>
    <w:p w14:paraId="20D867EC" w14:textId="1DD7686A" w:rsidR="003F6C95" w:rsidRPr="003711CA" w:rsidRDefault="003F6C95" w:rsidP="000238A4">
      <w:pPr>
        <w:spacing w:after="0" w:line="360" w:lineRule="auto"/>
        <w:jc w:val="both"/>
        <w:rPr>
          <w:rFonts w:ascii="Arial" w:hAnsi="Arial" w:cs="Arial"/>
          <w:b/>
          <w:bCs/>
          <w:sz w:val="20"/>
          <w:szCs w:val="20"/>
        </w:rPr>
      </w:pPr>
      <w:r w:rsidRPr="003711CA">
        <w:rPr>
          <w:rFonts w:ascii="Arial" w:hAnsi="Arial" w:cs="Arial"/>
          <w:b/>
          <w:bCs/>
          <w:sz w:val="20"/>
          <w:szCs w:val="20"/>
        </w:rPr>
        <w:t>2. THEORY AND RESEARCH HYPOTHESES</w:t>
      </w:r>
    </w:p>
    <w:p w14:paraId="19A2A8FB" w14:textId="11CE9803" w:rsidR="004C5812" w:rsidRPr="003711CA" w:rsidRDefault="00FC1D63" w:rsidP="004C5812">
      <w:pPr>
        <w:spacing w:after="0" w:line="360" w:lineRule="auto"/>
        <w:jc w:val="both"/>
        <w:rPr>
          <w:rFonts w:ascii="Arial" w:hAnsi="Arial" w:cs="Arial"/>
          <w:b/>
          <w:bCs/>
          <w:sz w:val="20"/>
          <w:szCs w:val="20"/>
        </w:rPr>
      </w:pPr>
      <w:r w:rsidRPr="003711CA">
        <w:rPr>
          <w:rFonts w:ascii="Arial" w:hAnsi="Arial" w:cs="Arial"/>
          <w:b/>
          <w:bCs/>
          <w:sz w:val="20"/>
          <w:szCs w:val="20"/>
        </w:rPr>
        <w:t>2.1 Theor</w:t>
      </w:r>
      <w:r w:rsidR="0062756B" w:rsidRPr="003711CA">
        <w:rPr>
          <w:rFonts w:ascii="Arial" w:hAnsi="Arial" w:cs="Arial"/>
          <w:b/>
          <w:bCs/>
          <w:sz w:val="20"/>
          <w:szCs w:val="20"/>
        </w:rPr>
        <w:t>y</w:t>
      </w:r>
    </w:p>
    <w:p w14:paraId="67ABEDC5" w14:textId="2D22C73B" w:rsidR="0087331E" w:rsidRPr="003711CA" w:rsidRDefault="009979F1" w:rsidP="004C5812">
      <w:pPr>
        <w:spacing w:after="0" w:line="360" w:lineRule="auto"/>
        <w:jc w:val="both"/>
        <w:rPr>
          <w:rFonts w:ascii="Arial" w:hAnsi="Arial" w:cs="Arial"/>
          <w:sz w:val="20"/>
          <w:szCs w:val="20"/>
        </w:rPr>
      </w:pPr>
      <w:r>
        <w:rPr>
          <w:rFonts w:ascii="Arial" w:hAnsi="Arial" w:cs="Arial"/>
          <w:sz w:val="20"/>
          <w:szCs w:val="20"/>
          <w:lang w:val="vi-VN"/>
        </w:rPr>
        <w:t xml:space="preserve">   </w:t>
      </w:r>
      <w:r w:rsidR="008D00F0" w:rsidRPr="003711CA">
        <w:rPr>
          <w:rFonts w:ascii="Arial" w:hAnsi="Arial" w:cs="Arial"/>
          <w:sz w:val="20"/>
          <w:szCs w:val="20"/>
        </w:rPr>
        <w:t>- Brand value has attracted significant attention from scholars, leading to various definitions. According to studies by Aaker (1991), Keller (1993, 2000), and Philip Kotler (2006), there is a consensus that brand value is a set of shared perceptions regarding customer behavior toward members of an organization.</w:t>
      </w:r>
      <w:r w:rsidR="0051387A" w:rsidRPr="003711CA">
        <w:rPr>
          <w:rFonts w:ascii="Arial" w:hAnsi="Arial" w:cs="Arial"/>
          <w:sz w:val="20"/>
          <w:szCs w:val="20"/>
        </w:rPr>
        <w:t xml:space="preserve"> A strong brand value enhances a company's competitive advantage over its rivals. Likewise, a branded product helps attract more customers, increasing the potential for higher revenue. </w:t>
      </w:r>
      <w:r w:rsidR="00CF73BE" w:rsidRPr="003711CA">
        <w:rPr>
          <w:rFonts w:ascii="Arial" w:hAnsi="Arial" w:cs="Arial"/>
          <w:sz w:val="20"/>
          <w:szCs w:val="20"/>
        </w:rPr>
        <w:t>The study by King &amp; Grace (2010) proposed three approaches to evaluating organizational brand value. The first approach is based on financial resources, the second on customer resources, and the third on workforce resources. Specifically, organizational brand value is assessed through employee brand value, also known as employee-based brand equity.</w:t>
      </w:r>
      <w:r w:rsidR="00EA6D5E" w:rsidRPr="003711CA">
        <w:rPr>
          <w:rFonts w:ascii="Arial" w:hAnsi="Arial" w:cs="Arial"/>
          <w:sz w:val="20"/>
          <w:szCs w:val="20"/>
        </w:rPr>
        <w:t xml:space="preserve"> </w:t>
      </w:r>
      <w:r w:rsidR="008C5964" w:rsidRPr="003711CA">
        <w:rPr>
          <w:rFonts w:ascii="Arial" w:hAnsi="Arial" w:cs="Arial"/>
          <w:sz w:val="20"/>
          <w:szCs w:val="20"/>
        </w:rPr>
        <w:t xml:space="preserve">Employee-based brand equity is an approach rooted in Philip Kotler's internal marketing theory, which views employees as valuable assets of an organization. It emphasizes the importance of supporting and motivating employees to maximize their contribution to the organization's value. </w:t>
      </w:r>
      <w:r w:rsidR="000E2948" w:rsidRPr="003711CA">
        <w:rPr>
          <w:rFonts w:ascii="Arial" w:hAnsi="Arial" w:cs="Arial"/>
          <w:sz w:val="20"/>
          <w:szCs w:val="20"/>
        </w:rPr>
        <w:t xml:space="preserve">King &amp; Grace argue that employees play a crucial role in creating and delivering products through direct interactions with customers. Therefore, employee-based brand </w:t>
      </w:r>
      <w:r w:rsidR="00F95B55" w:rsidRPr="003711CA">
        <w:rPr>
          <w:rFonts w:ascii="Arial" w:hAnsi="Arial" w:cs="Arial"/>
          <w:sz w:val="20"/>
          <w:szCs w:val="20"/>
          <w:lang w:val="vi-VN"/>
        </w:rPr>
        <w:t>value</w:t>
      </w:r>
      <w:r w:rsidR="000E2948" w:rsidRPr="003711CA">
        <w:rPr>
          <w:rFonts w:ascii="Arial" w:hAnsi="Arial" w:cs="Arial"/>
          <w:sz w:val="20"/>
          <w:szCs w:val="20"/>
        </w:rPr>
        <w:t xml:space="preserve"> is essential in building an organization's brand value, contributing to sustainable business growth in a market economy. </w:t>
      </w:r>
      <w:r w:rsidR="00F95B55" w:rsidRPr="003711CA">
        <w:rPr>
          <w:rFonts w:ascii="Arial" w:hAnsi="Arial" w:cs="Arial"/>
          <w:sz w:val="20"/>
          <w:szCs w:val="20"/>
        </w:rPr>
        <w:t xml:space="preserve">The article applies branding theory with the concept of an internal human resource-based approach to develop hypotheses on </w:t>
      </w:r>
      <w:r w:rsidR="00F95B55" w:rsidRPr="003711CA">
        <w:rPr>
          <w:rFonts w:ascii="Arial" w:hAnsi="Arial" w:cs="Arial"/>
          <w:sz w:val="20"/>
          <w:szCs w:val="20"/>
          <w:lang w:val="vi-VN"/>
        </w:rPr>
        <w:t>lecturer</w:t>
      </w:r>
      <w:r w:rsidR="00F95B55" w:rsidRPr="003711CA">
        <w:rPr>
          <w:rFonts w:ascii="Arial" w:hAnsi="Arial" w:cs="Arial"/>
          <w:sz w:val="20"/>
          <w:szCs w:val="20"/>
        </w:rPr>
        <w:t xml:space="preserve">-based brand value. The brand value of lecturers is considered an important resource for developing the university's brand. </w:t>
      </w:r>
      <w:r w:rsidR="008903B5" w:rsidRPr="008903B5">
        <w:rPr>
          <w:rFonts w:ascii="Arial" w:hAnsi="Arial" w:cs="Arial"/>
          <w:color w:val="0070C0"/>
          <w:sz w:val="20"/>
          <w:szCs w:val="20"/>
        </w:rPr>
        <w:t>The article inherits the research of King &amp; Grace (2010) and the research question posed is: How does the brand value of lecturers impact the university's brand?</w:t>
      </w:r>
    </w:p>
    <w:p w14:paraId="52DD3FA1" w14:textId="38735A46" w:rsidR="00FC1D63" w:rsidRPr="00C55CF1" w:rsidRDefault="005904E0" w:rsidP="000238A4">
      <w:pPr>
        <w:spacing w:after="0" w:line="360" w:lineRule="auto"/>
        <w:jc w:val="both"/>
        <w:rPr>
          <w:rFonts w:ascii="Arial" w:hAnsi="Arial" w:cs="Arial"/>
          <w:color w:val="0070C0"/>
          <w:sz w:val="20"/>
          <w:szCs w:val="20"/>
          <w:lang w:val="vi-VN"/>
        </w:rPr>
      </w:pPr>
      <w:r>
        <w:rPr>
          <w:rFonts w:ascii="Arial" w:hAnsi="Arial" w:cs="Arial"/>
          <w:sz w:val="20"/>
          <w:szCs w:val="20"/>
          <w:lang w:val="vi-VN"/>
        </w:rPr>
        <w:t xml:space="preserve">   </w:t>
      </w:r>
      <w:r w:rsidR="00917669" w:rsidRPr="003711CA">
        <w:rPr>
          <w:rFonts w:ascii="Arial" w:hAnsi="Arial" w:cs="Arial"/>
          <w:sz w:val="20"/>
          <w:szCs w:val="20"/>
        </w:rPr>
        <w:t>-</w:t>
      </w:r>
      <w:r w:rsidR="00917669" w:rsidRPr="003711CA">
        <w:rPr>
          <w:rFonts w:ascii="Arial" w:hAnsi="Arial" w:cs="Arial"/>
          <w:b/>
          <w:bCs/>
          <w:sz w:val="20"/>
          <w:szCs w:val="20"/>
        </w:rPr>
        <w:t xml:space="preserve"> </w:t>
      </w:r>
      <w:r w:rsidR="00917669" w:rsidRPr="003711CA">
        <w:rPr>
          <w:rFonts w:ascii="Arial" w:hAnsi="Arial" w:cs="Arial"/>
          <w:sz w:val="20"/>
          <w:szCs w:val="20"/>
        </w:rPr>
        <w:t xml:space="preserve">Leadership style </w:t>
      </w:r>
      <w:r w:rsidR="008F27D7" w:rsidRPr="003711CA">
        <w:rPr>
          <w:rFonts w:ascii="Arial" w:hAnsi="Arial" w:cs="Arial"/>
          <w:sz w:val="20"/>
          <w:szCs w:val="20"/>
        </w:rPr>
        <w:t xml:space="preserve">(LEAD) </w:t>
      </w:r>
      <w:r w:rsidR="00917669" w:rsidRPr="003711CA">
        <w:rPr>
          <w:rFonts w:ascii="Arial" w:hAnsi="Arial" w:cs="Arial"/>
          <w:sz w:val="20"/>
          <w:szCs w:val="20"/>
        </w:rPr>
        <w:t xml:space="preserve">is a key research topic in organizational behavior science. Leadership is the process of influencing subordinates to achieve goals, while leaders are responsible for creating a cohesive and engaging work environment. They motivate employees to enhance their performance to achieve the organization's objectives (Yukl, 1971; </w:t>
      </w:r>
      <w:proofErr w:type="spellStart"/>
      <w:r w:rsidR="00917669" w:rsidRPr="003711CA">
        <w:rPr>
          <w:rFonts w:ascii="Arial" w:hAnsi="Arial" w:cs="Arial"/>
          <w:sz w:val="20"/>
          <w:szCs w:val="20"/>
        </w:rPr>
        <w:t>Acar</w:t>
      </w:r>
      <w:proofErr w:type="spellEnd"/>
      <w:r w:rsidR="00917669" w:rsidRPr="003711CA">
        <w:rPr>
          <w:rFonts w:ascii="Arial" w:hAnsi="Arial" w:cs="Arial"/>
          <w:sz w:val="20"/>
          <w:szCs w:val="20"/>
        </w:rPr>
        <w:t>, 2012).</w:t>
      </w:r>
      <w:r w:rsidR="00C636DB" w:rsidRPr="003711CA">
        <w:rPr>
          <w:rFonts w:ascii="Arial" w:hAnsi="Arial" w:cs="Arial"/>
          <w:sz w:val="20"/>
          <w:szCs w:val="20"/>
        </w:rPr>
        <w:t xml:space="preserve"> Leadership style (LEAD) is a concept that reflects how leaders interact with stakeholders in executing tasks. LEAD is the process by which leaders establish implementation strategies, organizational methods, direction, control, and techniques to guide, motivate, </w:t>
      </w:r>
      <w:r w:rsidR="00C636DB" w:rsidRPr="003711CA">
        <w:rPr>
          <w:rFonts w:ascii="Arial" w:hAnsi="Arial" w:cs="Arial"/>
          <w:sz w:val="20"/>
          <w:szCs w:val="20"/>
        </w:rPr>
        <w:lastRenderedPageBreak/>
        <w:t>and persuade employees to follow and achieve the organization's goals (</w:t>
      </w:r>
      <w:proofErr w:type="spellStart"/>
      <w:r w:rsidR="00C636DB" w:rsidRPr="003711CA">
        <w:rPr>
          <w:rFonts w:ascii="Arial" w:hAnsi="Arial" w:cs="Arial"/>
          <w:sz w:val="20"/>
          <w:szCs w:val="20"/>
        </w:rPr>
        <w:t>Anastasiou</w:t>
      </w:r>
      <w:proofErr w:type="spellEnd"/>
      <w:r w:rsidR="00C636DB" w:rsidRPr="003711CA">
        <w:rPr>
          <w:rFonts w:ascii="Arial" w:hAnsi="Arial" w:cs="Arial"/>
          <w:sz w:val="20"/>
          <w:szCs w:val="20"/>
        </w:rPr>
        <w:t xml:space="preserve"> &amp; </w:t>
      </w:r>
      <w:r w:rsidR="00C636DB" w:rsidRPr="003711CA">
        <w:rPr>
          <w:rFonts w:ascii="Arial" w:hAnsi="Arial" w:cs="Arial"/>
          <w:sz w:val="20"/>
          <w:szCs w:val="20"/>
          <w:lang w:val="vi-VN"/>
        </w:rPr>
        <w:t>Garame</w:t>
      </w:r>
      <w:r w:rsidR="00C636DB" w:rsidRPr="003711CA">
        <w:rPr>
          <w:rFonts w:ascii="Arial" w:hAnsi="Arial" w:cs="Arial"/>
          <w:sz w:val="20"/>
          <w:szCs w:val="20"/>
        </w:rPr>
        <w:t>t</w:t>
      </w:r>
      <w:r w:rsidR="00C636DB" w:rsidRPr="003711CA">
        <w:rPr>
          <w:rFonts w:ascii="Arial" w:hAnsi="Arial" w:cs="Arial"/>
          <w:sz w:val="20"/>
          <w:szCs w:val="20"/>
          <w:lang w:val="vi-VN"/>
        </w:rPr>
        <w:t>si</w:t>
      </w:r>
      <w:r w:rsidR="00C636DB" w:rsidRPr="003711CA">
        <w:rPr>
          <w:rFonts w:ascii="Arial" w:hAnsi="Arial" w:cs="Arial"/>
          <w:sz w:val="20"/>
          <w:szCs w:val="20"/>
        </w:rPr>
        <w:t xml:space="preserve">, 2021). </w:t>
      </w:r>
      <w:r w:rsidR="00FA115B" w:rsidRPr="003711CA">
        <w:rPr>
          <w:rFonts w:ascii="Arial" w:hAnsi="Arial" w:cs="Arial"/>
          <w:sz w:val="20"/>
          <w:szCs w:val="20"/>
        </w:rPr>
        <w:t>There are various leadership styles. This study adopts the transformational leadership style, which has proven effective in education (Anderson, M., 2017), and the servant leadership style (</w:t>
      </w:r>
      <w:proofErr w:type="spellStart"/>
      <w:r w:rsidR="00FA115B" w:rsidRPr="003711CA">
        <w:rPr>
          <w:rFonts w:ascii="Arial" w:hAnsi="Arial" w:cs="Arial"/>
          <w:sz w:val="20"/>
          <w:szCs w:val="20"/>
        </w:rPr>
        <w:t>Qiu</w:t>
      </w:r>
      <w:proofErr w:type="spellEnd"/>
      <w:r w:rsidR="00FA115B" w:rsidRPr="003711CA">
        <w:rPr>
          <w:rFonts w:ascii="Arial" w:hAnsi="Arial" w:cs="Arial"/>
          <w:sz w:val="20"/>
          <w:szCs w:val="20"/>
        </w:rPr>
        <w:t xml:space="preserve"> et al., 2020). Leaders with transformational and servant leadership styles are typically characterized by idealized behavior, inspirational motivation, intellectual stimulation, and a strong commitment to supporting their colleagues.</w:t>
      </w:r>
      <w:r w:rsidR="00FA115B" w:rsidRPr="003711CA">
        <w:rPr>
          <w:rFonts w:ascii="Arial" w:hAnsi="Arial" w:cs="Arial"/>
          <w:sz w:val="20"/>
          <w:szCs w:val="20"/>
          <w:lang w:val="vi-VN"/>
        </w:rPr>
        <w:t xml:space="preserve"> </w:t>
      </w:r>
      <w:r w:rsidR="002778C1" w:rsidRPr="003711CA">
        <w:rPr>
          <w:rFonts w:ascii="Arial" w:hAnsi="Arial" w:cs="Arial"/>
          <w:sz w:val="20"/>
          <w:szCs w:val="20"/>
        </w:rPr>
        <w:t>Combined with idealized behavior, they foster a positive educational organizational culture and inspire faculty members by clearly defining the vision, development strategy of educational institutions, and the role of lecturers, thereby strengthening trust and shaping positive attitudes.</w:t>
      </w:r>
      <w:r w:rsidR="00C55CF1">
        <w:rPr>
          <w:rFonts w:ascii="Arial" w:hAnsi="Arial" w:cs="Arial"/>
          <w:sz w:val="20"/>
          <w:szCs w:val="20"/>
          <w:lang w:val="vi-VN"/>
        </w:rPr>
        <w:t xml:space="preserve"> </w:t>
      </w:r>
      <w:r w:rsidR="00C55CF1" w:rsidRPr="00C55CF1">
        <w:rPr>
          <w:rFonts w:ascii="Arial" w:hAnsi="Arial" w:cs="Arial"/>
          <w:color w:val="0070C0"/>
          <w:sz w:val="20"/>
          <w:szCs w:val="20"/>
          <w:lang w:val="vi-VN"/>
        </w:rPr>
        <w:t>This article builds on the research of Anastasiou &amp; Garametsi (2021) to construct a scale for leadership style</w:t>
      </w:r>
      <w:r w:rsidR="00C55CF1">
        <w:rPr>
          <w:rFonts w:ascii="Arial" w:hAnsi="Arial" w:cs="Arial"/>
          <w:color w:val="0070C0"/>
          <w:sz w:val="20"/>
          <w:szCs w:val="20"/>
          <w:lang w:val="vi-VN"/>
        </w:rPr>
        <w:t>.</w:t>
      </w:r>
    </w:p>
    <w:p w14:paraId="3EE33F1C" w14:textId="1715A307" w:rsidR="004D6373" w:rsidRPr="003711CA" w:rsidRDefault="00123CF7" w:rsidP="000238A4">
      <w:pPr>
        <w:spacing w:after="0" w:line="360" w:lineRule="auto"/>
        <w:jc w:val="both"/>
        <w:rPr>
          <w:rFonts w:ascii="Arial" w:hAnsi="Arial" w:cs="Arial"/>
          <w:sz w:val="20"/>
          <w:szCs w:val="20"/>
        </w:rPr>
      </w:pPr>
      <w:r>
        <w:rPr>
          <w:rFonts w:ascii="Arial" w:hAnsi="Arial" w:cs="Arial"/>
          <w:sz w:val="20"/>
          <w:szCs w:val="20"/>
          <w:lang w:val="vi-VN"/>
        </w:rPr>
        <w:t xml:space="preserve">   </w:t>
      </w:r>
      <w:r w:rsidR="004D6373" w:rsidRPr="003711CA">
        <w:rPr>
          <w:rFonts w:ascii="Arial" w:hAnsi="Arial" w:cs="Arial"/>
          <w:sz w:val="20"/>
          <w:szCs w:val="20"/>
        </w:rPr>
        <w:t>- Organizational culture (OC), according to Schein (2004), includes shared perspectives established by the organization that members follow in the process of solving internal problems and interacting with the surrounding environment.</w:t>
      </w:r>
      <w:r w:rsidR="00E3100F" w:rsidRPr="003711CA">
        <w:rPr>
          <w:rFonts w:ascii="Arial" w:hAnsi="Arial" w:cs="Arial"/>
          <w:sz w:val="20"/>
          <w:szCs w:val="20"/>
        </w:rPr>
        <w:t xml:space="preserve"> OC is understood as a system of values, philosophies, beliefs, and typical behaviors that characterize the organization, helping its members identify and unify behavioral standards and ways of working.</w:t>
      </w:r>
      <w:r w:rsidR="005F0918" w:rsidRPr="005F0918">
        <w:t xml:space="preserve"> </w:t>
      </w:r>
      <w:r w:rsidR="005F0918" w:rsidRPr="005F0918">
        <w:rPr>
          <w:rFonts w:ascii="Arial" w:hAnsi="Arial" w:cs="Arial"/>
          <w:color w:val="0070C0"/>
          <w:sz w:val="20"/>
          <w:szCs w:val="20"/>
        </w:rPr>
        <w:t>This article inherits the research of Hosen et al. (2023) to build a scale of organizational culture of universities, which act as training facilities and provide advanced knowledge to learners</w:t>
      </w:r>
      <w:r w:rsidR="00DA2B82" w:rsidRPr="003711CA">
        <w:rPr>
          <w:rFonts w:ascii="Arial" w:hAnsi="Arial" w:cs="Arial"/>
          <w:sz w:val="20"/>
          <w:szCs w:val="20"/>
        </w:rPr>
        <w:t>. It emphasizes the need to build a highly aware collaborative environment to foster trust, enabling individuals to confidently innovate and willingly share knowledge in teaching and research.</w:t>
      </w:r>
    </w:p>
    <w:p w14:paraId="072F0C36" w14:textId="77777777" w:rsidR="00B50700" w:rsidRPr="003711CA" w:rsidRDefault="0074794E" w:rsidP="00B50700">
      <w:pPr>
        <w:pStyle w:val="ListParagraph"/>
        <w:numPr>
          <w:ilvl w:val="1"/>
          <w:numId w:val="3"/>
        </w:numPr>
        <w:spacing w:after="0" w:line="360" w:lineRule="auto"/>
        <w:jc w:val="both"/>
        <w:rPr>
          <w:rFonts w:ascii="Arial" w:hAnsi="Arial" w:cs="Arial"/>
          <w:b/>
          <w:bCs/>
          <w:sz w:val="20"/>
          <w:szCs w:val="20"/>
          <w:lang w:val="vi-VN"/>
        </w:rPr>
      </w:pPr>
      <w:r w:rsidRPr="003711CA">
        <w:rPr>
          <w:rFonts w:ascii="Arial" w:hAnsi="Arial" w:cs="Arial"/>
          <w:b/>
          <w:bCs/>
          <w:sz w:val="20"/>
          <w:szCs w:val="20"/>
          <w:lang w:val="vi-VN"/>
        </w:rPr>
        <w:t>Research hypotheses:</w:t>
      </w:r>
    </w:p>
    <w:p w14:paraId="0FEF8CF5" w14:textId="0470DA83" w:rsidR="00B50700" w:rsidRPr="003711CA" w:rsidRDefault="004411D5" w:rsidP="004411D5">
      <w:pPr>
        <w:spacing w:after="0" w:line="360" w:lineRule="auto"/>
        <w:jc w:val="both"/>
        <w:rPr>
          <w:rFonts w:ascii="Arial" w:hAnsi="Arial" w:cs="Arial"/>
          <w:sz w:val="20"/>
          <w:szCs w:val="20"/>
          <w:lang w:val="vi-VN"/>
        </w:rPr>
      </w:pPr>
      <w:r w:rsidRPr="003711CA">
        <w:rPr>
          <w:rFonts w:ascii="Arial" w:hAnsi="Arial" w:cs="Arial"/>
          <w:sz w:val="20"/>
          <w:szCs w:val="20"/>
        </w:rPr>
        <w:t xml:space="preserve">     </w:t>
      </w:r>
      <w:r w:rsidR="00B50700" w:rsidRPr="003711CA">
        <w:rPr>
          <w:rFonts w:ascii="Arial" w:hAnsi="Arial" w:cs="Arial"/>
          <w:sz w:val="20"/>
          <w:szCs w:val="20"/>
        </w:rPr>
        <w:t xml:space="preserve">- </w:t>
      </w:r>
      <w:r w:rsidR="00B50700" w:rsidRPr="003711CA">
        <w:rPr>
          <w:rFonts w:ascii="Arial" w:hAnsi="Arial" w:cs="Arial"/>
          <w:b/>
          <w:bCs/>
          <w:i/>
          <w:iCs/>
          <w:sz w:val="20"/>
          <w:szCs w:val="20"/>
        </w:rPr>
        <w:t xml:space="preserve">The </w:t>
      </w:r>
      <w:r w:rsidR="00957C9C" w:rsidRPr="003711CA">
        <w:rPr>
          <w:rFonts w:ascii="Arial" w:hAnsi="Arial" w:cs="Arial"/>
          <w:b/>
          <w:bCs/>
          <w:i/>
          <w:iCs/>
          <w:sz w:val="20"/>
          <w:szCs w:val="20"/>
        </w:rPr>
        <w:t>r</w:t>
      </w:r>
      <w:r w:rsidR="00B50700" w:rsidRPr="003711CA">
        <w:rPr>
          <w:rFonts w:ascii="Arial" w:hAnsi="Arial" w:cs="Arial"/>
          <w:b/>
          <w:bCs/>
          <w:i/>
          <w:iCs/>
          <w:sz w:val="20"/>
          <w:szCs w:val="20"/>
        </w:rPr>
        <w:t xml:space="preserve">elationship </w:t>
      </w:r>
      <w:r w:rsidR="0041439C" w:rsidRPr="003711CA">
        <w:rPr>
          <w:rFonts w:ascii="Arial" w:hAnsi="Arial" w:cs="Arial"/>
          <w:b/>
          <w:bCs/>
          <w:i/>
          <w:iCs/>
          <w:sz w:val="20"/>
          <w:szCs w:val="20"/>
        </w:rPr>
        <w:t>b</w:t>
      </w:r>
      <w:r w:rsidR="00B50700" w:rsidRPr="003711CA">
        <w:rPr>
          <w:rFonts w:ascii="Arial" w:hAnsi="Arial" w:cs="Arial"/>
          <w:b/>
          <w:bCs/>
          <w:i/>
          <w:iCs/>
          <w:sz w:val="20"/>
          <w:szCs w:val="20"/>
        </w:rPr>
        <w:t>etween Leadership Style and Organizational Culture</w:t>
      </w:r>
      <w:r w:rsidR="0041439C" w:rsidRPr="003711CA">
        <w:rPr>
          <w:rFonts w:ascii="Arial" w:hAnsi="Arial" w:cs="Arial"/>
          <w:sz w:val="20"/>
          <w:szCs w:val="20"/>
        </w:rPr>
        <w:t xml:space="preserve">. </w:t>
      </w:r>
      <w:r w:rsidR="00B50700" w:rsidRPr="003711CA">
        <w:rPr>
          <w:rFonts w:ascii="Arial" w:hAnsi="Arial" w:cs="Arial"/>
          <w:sz w:val="20"/>
          <w:szCs w:val="20"/>
        </w:rPr>
        <w:t xml:space="preserve">Research by Yukl (1971) and Schein (2004) indicates that leadership style influences the orientation of business culture and organizational performance. Studies by Xi Yu Leung et al. (2025), </w:t>
      </w:r>
      <w:r w:rsidR="00375D03" w:rsidRPr="003711CA">
        <w:rPr>
          <w:rFonts w:ascii="Arial" w:hAnsi="Arial" w:cs="Arial"/>
          <w:sz w:val="20"/>
          <w:szCs w:val="20"/>
          <w:lang w:val="vi-VN"/>
        </w:rPr>
        <w:t>Af</w:t>
      </w:r>
      <w:proofErr w:type="spellStart"/>
      <w:r w:rsidR="00B50700" w:rsidRPr="003711CA">
        <w:rPr>
          <w:rFonts w:ascii="Arial" w:hAnsi="Arial" w:cs="Arial"/>
          <w:sz w:val="20"/>
          <w:szCs w:val="20"/>
        </w:rPr>
        <w:t>eri</w:t>
      </w:r>
      <w:proofErr w:type="spellEnd"/>
      <w:r w:rsidR="00B50700" w:rsidRPr="003711CA">
        <w:rPr>
          <w:rFonts w:ascii="Arial" w:hAnsi="Arial" w:cs="Arial"/>
          <w:sz w:val="20"/>
          <w:szCs w:val="20"/>
        </w:rPr>
        <w:t xml:space="preserve"> et al. (2023), Stringer, F.J. (2020), </w:t>
      </w:r>
      <w:proofErr w:type="spellStart"/>
      <w:r w:rsidR="00B50700" w:rsidRPr="003711CA">
        <w:rPr>
          <w:rFonts w:ascii="Arial" w:hAnsi="Arial" w:cs="Arial"/>
          <w:sz w:val="20"/>
          <w:szCs w:val="20"/>
        </w:rPr>
        <w:t>Qiu</w:t>
      </w:r>
      <w:proofErr w:type="spellEnd"/>
      <w:r w:rsidR="00B50700" w:rsidRPr="003711CA">
        <w:rPr>
          <w:rFonts w:ascii="Arial" w:hAnsi="Arial" w:cs="Arial"/>
          <w:sz w:val="20"/>
          <w:szCs w:val="20"/>
        </w:rPr>
        <w:t xml:space="preserve"> et al. (2020), and Anderson, M. (2017) support this perspective, suggesting that harmonious leadership styles, servant leadership, and transformational leadership can foster a positive organizational culture in the era of technological advancement. These leadership approaches help employees clearly define the organization’s vision and goals, enhance their roles, boost motivation, and improve creativity and overall work performance.</w:t>
      </w:r>
      <w:r w:rsidR="00375D03" w:rsidRPr="003711CA">
        <w:rPr>
          <w:rFonts w:ascii="Arial" w:hAnsi="Arial" w:cs="Arial"/>
          <w:sz w:val="20"/>
          <w:szCs w:val="20"/>
        </w:rPr>
        <w:t xml:space="preserve"> </w:t>
      </w:r>
      <w:r w:rsidR="003F6486" w:rsidRPr="003711CA">
        <w:rPr>
          <w:rFonts w:ascii="Arial" w:hAnsi="Arial" w:cs="Arial"/>
          <w:sz w:val="20"/>
          <w:szCs w:val="20"/>
        </w:rPr>
        <w:t>The following hypothesis is proposed</w:t>
      </w:r>
      <w:r w:rsidR="003F6486" w:rsidRPr="003711CA">
        <w:rPr>
          <w:rFonts w:ascii="Arial" w:hAnsi="Arial" w:cs="Arial"/>
          <w:sz w:val="20"/>
          <w:szCs w:val="20"/>
          <w:lang w:val="vi-VN"/>
        </w:rPr>
        <w:t>:</w:t>
      </w:r>
    </w:p>
    <w:p w14:paraId="41843D0E" w14:textId="29C7060C" w:rsidR="004D1012" w:rsidRPr="003711CA" w:rsidRDefault="004D1012" w:rsidP="004411D5">
      <w:pPr>
        <w:spacing w:after="0" w:line="360" w:lineRule="auto"/>
        <w:jc w:val="both"/>
        <w:rPr>
          <w:rFonts w:ascii="Arial" w:hAnsi="Arial" w:cs="Arial"/>
          <w:sz w:val="20"/>
          <w:szCs w:val="20"/>
          <w:lang w:val="vi-VN"/>
        </w:rPr>
      </w:pPr>
      <w:r w:rsidRPr="003711CA">
        <w:rPr>
          <w:rFonts w:ascii="Arial" w:hAnsi="Arial" w:cs="Arial"/>
          <w:b/>
          <w:bCs/>
          <w:i/>
          <w:iCs/>
          <w:sz w:val="20"/>
          <w:szCs w:val="20"/>
        </w:rPr>
        <w:t>Hypothesis H1</w:t>
      </w:r>
      <w:r w:rsidRPr="003711CA">
        <w:rPr>
          <w:rFonts w:ascii="Arial" w:hAnsi="Arial" w:cs="Arial"/>
          <w:sz w:val="20"/>
          <w:szCs w:val="20"/>
        </w:rPr>
        <w:t>: The leadership style (</w:t>
      </w:r>
      <w:r w:rsidRPr="003711CA">
        <w:rPr>
          <w:rFonts w:ascii="Arial" w:hAnsi="Arial" w:cs="Arial"/>
          <w:sz w:val="20"/>
          <w:szCs w:val="20"/>
          <w:lang w:val="vi-VN"/>
        </w:rPr>
        <w:t>LE</w:t>
      </w:r>
      <w:r w:rsidR="00370186" w:rsidRPr="003711CA">
        <w:rPr>
          <w:rFonts w:ascii="Arial" w:hAnsi="Arial" w:cs="Arial"/>
          <w:sz w:val="20"/>
          <w:szCs w:val="20"/>
          <w:lang w:val="vi-VN"/>
        </w:rPr>
        <w:t>A</w:t>
      </w:r>
      <w:r w:rsidRPr="003711CA">
        <w:rPr>
          <w:rFonts w:ascii="Arial" w:hAnsi="Arial" w:cs="Arial"/>
          <w:sz w:val="20"/>
          <w:szCs w:val="20"/>
          <w:lang w:val="vi-VN"/>
        </w:rPr>
        <w:t>D</w:t>
      </w:r>
      <w:r w:rsidRPr="003711CA">
        <w:rPr>
          <w:rFonts w:ascii="Arial" w:hAnsi="Arial" w:cs="Arial"/>
          <w:sz w:val="20"/>
          <w:szCs w:val="20"/>
        </w:rPr>
        <w:t xml:space="preserve">) of university administrators has a positive and direct impact on the organizational culture (OC) of the </w:t>
      </w:r>
      <w:r w:rsidR="005A46D1" w:rsidRPr="003711CA">
        <w:rPr>
          <w:rFonts w:ascii="Arial" w:hAnsi="Arial" w:cs="Arial"/>
          <w:sz w:val="20"/>
          <w:szCs w:val="20"/>
        </w:rPr>
        <w:t>university</w:t>
      </w:r>
      <w:r w:rsidR="005A46D1" w:rsidRPr="003711CA">
        <w:rPr>
          <w:rFonts w:ascii="Arial" w:hAnsi="Arial" w:cs="Arial"/>
          <w:sz w:val="20"/>
          <w:szCs w:val="20"/>
          <w:lang w:val="vi-VN"/>
        </w:rPr>
        <w:t>.</w:t>
      </w:r>
    </w:p>
    <w:p w14:paraId="7C087BBC" w14:textId="7B8D5BEC" w:rsidR="00192615" w:rsidRPr="003711CA" w:rsidRDefault="00192615" w:rsidP="004411D5">
      <w:pPr>
        <w:spacing w:after="0" w:line="360" w:lineRule="auto"/>
        <w:jc w:val="both"/>
        <w:rPr>
          <w:rFonts w:ascii="Arial" w:hAnsi="Arial" w:cs="Arial"/>
          <w:sz w:val="20"/>
          <w:szCs w:val="20"/>
          <w:lang w:val="vi-VN"/>
        </w:rPr>
      </w:pPr>
      <w:r w:rsidRPr="003711CA">
        <w:rPr>
          <w:rFonts w:ascii="Arial" w:hAnsi="Arial" w:cs="Arial"/>
          <w:sz w:val="20"/>
          <w:szCs w:val="20"/>
          <w:lang w:val="vi-VN"/>
        </w:rPr>
        <w:t xml:space="preserve">     - </w:t>
      </w:r>
      <w:r w:rsidRPr="003711CA">
        <w:rPr>
          <w:rFonts w:ascii="Arial" w:hAnsi="Arial" w:cs="Arial"/>
          <w:b/>
          <w:bCs/>
          <w:i/>
          <w:iCs/>
          <w:sz w:val="20"/>
          <w:szCs w:val="20"/>
          <w:lang w:val="vi-VN"/>
        </w:rPr>
        <w:t xml:space="preserve">The relationship between </w:t>
      </w:r>
      <w:r w:rsidR="006D44A7" w:rsidRPr="003711CA">
        <w:rPr>
          <w:rFonts w:ascii="Arial" w:hAnsi="Arial" w:cs="Arial"/>
          <w:b/>
          <w:bCs/>
          <w:i/>
          <w:iCs/>
          <w:sz w:val="20"/>
          <w:szCs w:val="20"/>
          <w:lang w:val="vi-VN"/>
        </w:rPr>
        <w:t>O</w:t>
      </w:r>
      <w:r w:rsidRPr="003711CA">
        <w:rPr>
          <w:rFonts w:ascii="Arial" w:hAnsi="Arial" w:cs="Arial"/>
          <w:b/>
          <w:bCs/>
          <w:i/>
          <w:iCs/>
          <w:sz w:val="20"/>
          <w:szCs w:val="20"/>
          <w:lang w:val="vi-VN"/>
        </w:rPr>
        <w:t xml:space="preserve">rganizational culture and </w:t>
      </w:r>
      <w:r w:rsidR="006D44A7" w:rsidRPr="003711CA">
        <w:rPr>
          <w:rFonts w:ascii="Arial" w:hAnsi="Arial" w:cs="Arial"/>
          <w:b/>
          <w:bCs/>
          <w:i/>
          <w:iCs/>
          <w:sz w:val="20"/>
          <w:szCs w:val="20"/>
          <w:lang w:val="vi-VN"/>
        </w:rPr>
        <w:t>B</w:t>
      </w:r>
      <w:r w:rsidR="00F40174" w:rsidRPr="003711CA">
        <w:rPr>
          <w:rFonts w:ascii="Arial" w:hAnsi="Arial" w:cs="Arial"/>
          <w:b/>
          <w:bCs/>
          <w:i/>
          <w:iCs/>
          <w:sz w:val="20"/>
          <w:szCs w:val="20"/>
        </w:rPr>
        <w:t>rand value of lecturers</w:t>
      </w:r>
      <w:r w:rsidRPr="003711CA">
        <w:rPr>
          <w:rFonts w:ascii="Arial" w:hAnsi="Arial" w:cs="Arial"/>
          <w:sz w:val="20"/>
          <w:szCs w:val="20"/>
          <w:lang w:val="vi-VN"/>
        </w:rPr>
        <w:t xml:space="preserve">. </w:t>
      </w:r>
      <w:r w:rsidR="00114D6E" w:rsidRPr="003711CA">
        <w:rPr>
          <w:rFonts w:ascii="Arial" w:hAnsi="Arial" w:cs="Arial"/>
          <w:sz w:val="20"/>
          <w:szCs w:val="20"/>
          <w:lang w:val="vi-VN"/>
        </w:rPr>
        <w:t xml:space="preserve">Research on organizational culture in university environments by Sahibzada et al. (2024), Udey (2020) showed that positive culture has changed and promoted lecturers' behavior in creativity, collaboration, sharing and inspiring students in learning and research, which are more likely to enhance lecturers' brand value. </w:t>
      </w:r>
      <w:r w:rsidRPr="003711CA">
        <w:rPr>
          <w:rFonts w:ascii="Arial" w:hAnsi="Arial" w:cs="Arial"/>
          <w:sz w:val="20"/>
          <w:szCs w:val="20"/>
          <w:lang w:val="vi-VN"/>
        </w:rPr>
        <w:t xml:space="preserve">The following hypothesis is </w:t>
      </w:r>
      <w:r w:rsidR="002E6F79" w:rsidRPr="003711CA">
        <w:rPr>
          <w:rFonts w:ascii="Arial" w:hAnsi="Arial" w:cs="Arial"/>
          <w:sz w:val="20"/>
          <w:szCs w:val="20"/>
        </w:rPr>
        <w:t>proposed</w:t>
      </w:r>
      <w:r w:rsidRPr="003711CA">
        <w:rPr>
          <w:rFonts w:ascii="Arial" w:hAnsi="Arial" w:cs="Arial"/>
          <w:sz w:val="20"/>
          <w:szCs w:val="20"/>
          <w:lang w:val="vi-VN"/>
        </w:rPr>
        <w:t>:</w:t>
      </w:r>
    </w:p>
    <w:p w14:paraId="04A2C4F1" w14:textId="7583CF16" w:rsidR="00B50700" w:rsidRPr="003711CA" w:rsidRDefault="00192615" w:rsidP="000238A4">
      <w:pPr>
        <w:spacing w:after="0" w:line="360" w:lineRule="auto"/>
        <w:jc w:val="both"/>
        <w:rPr>
          <w:rFonts w:ascii="Arial" w:hAnsi="Arial" w:cs="Arial"/>
          <w:sz w:val="20"/>
          <w:szCs w:val="20"/>
        </w:rPr>
      </w:pPr>
      <w:r w:rsidRPr="003711CA">
        <w:rPr>
          <w:rFonts w:ascii="Arial" w:hAnsi="Arial" w:cs="Arial"/>
          <w:b/>
          <w:bCs/>
          <w:i/>
          <w:iCs/>
          <w:sz w:val="20"/>
          <w:szCs w:val="20"/>
        </w:rPr>
        <w:t>Hypothesis H2</w:t>
      </w:r>
      <w:r w:rsidRPr="003711CA">
        <w:rPr>
          <w:rFonts w:ascii="Arial" w:hAnsi="Arial" w:cs="Arial"/>
          <w:sz w:val="20"/>
          <w:szCs w:val="20"/>
        </w:rPr>
        <w:t xml:space="preserve">: Organizational culture (OC) has a positive and direct impact on </w:t>
      </w:r>
      <w:r w:rsidR="006C78C7" w:rsidRPr="003711CA">
        <w:rPr>
          <w:rFonts w:ascii="Arial" w:hAnsi="Arial" w:cs="Arial"/>
          <w:sz w:val="20"/>
          <w:szCs w:val="20"/>
          <w:lang w:val="vi-VN"/>
        </w:rPr>
        <w:t>B</w:t>
      </w:r>
      <w:r w:rsidR="006C78C7" w:rsidRPr="003711CA">
        <w:rPr>
          <w:rFonts w:ascii="Arial" w:hAnsi="Arial" w:cs="Arial"/>
          <w:sz w:val="20"/>
          <w:szCs w:val="20"/>
        </w:rPr>
        <w:t>rand value of lecturers</w:t>
      </w:r>
      <w:r w:rsidRPr="003711CA">
        <w:rPr>
          <w:rFonts w:ascii="Arial" w:hAnsi="Arial" w:cs="Arial"/>
          <w:sz w:val="20"/>
          <w:szCs w:val="20"/>
        </w:rPr>
        <w:t xml:space="preserve"> (</w:t>
      </w:r>
      <w:r w:rsidR="00141044" w:rsidRPr="003711CA">
        <w:rPr>
          <w:rFonts w:ascii="Arial" w:hAnsi="Arial" w:cs="Arial"/>
          <w:sz w:val="20"/>
          <w:szCs w:val="20"/>
          <w:lang w:val="vi-VN"/>
        </w:rPr>
        <w:t>B</w:t>
      </w:r>
      <w:r w:rsidRPr="003711CA">
        <w:rPr>
          <w:rFonts w:ascii="Arial" w:hAnsi="Arial" w:cs="Arial"/>
          <w:sz w:val="20"/>
          <w:szCs w:val="20"/>
        </w:rPr>
        <w:t>V</w:t>
      </w:r>
      <w:r w:rsidR="006C78C7" w:rsidRPr="003711CA">
        <w:rPr>
          <w:rFonts w:ascii="Arial" w:hAnsi="Arial" w:cs="Arial"/>
          <w:sz w:val="20"/>
          <w:szCs w:val="20"/>
          <w:lang w:val="vi-VN"/>
        </w:rPr>
        <w:t>L</w:t>
      </w:r>
      <w:r w:rsidRPr="003711CA">
        <w:rPr>
          <w:rFonts w:ascii="Arial" w:hAnsi="Arial" w:cs="Arial"/>
          <w:sz w:val="20"/>
          <w:szCs w:val="20"/>
        </w:rPr>
        <w:t>) in universities.</w:t>
      </w:r>
    </w:p>
    <w:p w14:paraId="6B7B7CCD" w14:textId="37C9B539" w:rsidR="00703D54" w:rsidRPr="003711CA" w:rsidRDefault="00703D54" w:rsidP="00703D54">
      <w:pPr>
        <w:spacing w:after="0" w:line="360" w:lineRule="auto"/>
        <w:jc w:val="both"/>
        <w:rPr>
          <w:rFonts w:ascii="Arial" w:hAnsi="Arial" w:cs="Arial"/>
          <w:sz w:val="20"/>
          <w:szCs w:val="20"/>
          <w:lang w:val="vi-VN"/>
        </w:rPr>
      </w:pPr>
      <w:r w:rsidRPr="003711CA">
        <w:rPr>
          <w:rFonts w:ascii="Arial" w:hAnsi="Arial" w:cs="Arial"/>
          <w:sz w:val="20"/>
          <w:szCs w:val="20"/>
          <w:lang w:val="vi-VN"/>
        </w:rPr>
        <w:t xml:space="preserve">     </w:t>
      </w:r>
      <w:r w:rsidRPr="003711CA">
        <w:rPr>
          <w:rFonts w:ascii="Arial" w:hAnsi="Arial" w:cs="Arial"/>
          <w:i/>
          <w:iCs/>
          <w:sz w:val="20"/>
          <w:szCs w:val="20"/>
          <w:lang w:val="vi-VN"/>
        </w:rPr>
        <w:t>-</w:t>
      </w:r>
      <w:r w:rsidR="00E737C5" w:rsidRPr="003711CA">
        <w:rPr>
          <w:rFonts w:ascii="Arial" w:hAnsi="Arial" w:cs="Arial"/>
          <w:b/>
          <w:bCs/>
          <w:i/>
          <w:iCs/>
          <w:sz w:val="20"/>
          <w:szCs w:val="20"/>
          <w:lang w:val="vi-VN"/>
        </w:rPr>
        <w:t xml:space="preserve"> </w:t>
      </w:r>
      <w:r w:rsidRPr="003711CA">
        <w:rPr>
          <w:rFonts w:ascii="Arial" w:hAnsi="Arial" w:cs="Arial"/>
          <w:b/>
          <w:bCs/>
          <w:i/>
          <w:iCs/>
          <w:sz w:val="20"/>
          <w:szCs w:val="20"/>
          <w:lang w:val="vi-VN"/>
        </w:rPr>
        <w:t xml:space="preserve">The </w:t>
      </w:r>
      <w:r w:rsidR="00E84ACC" w:rsidRPr="003711CA">
        <w:rPr>
          <w:rFonts w:ascii="Arial" w:hAnsi="Arial" w:cs="Arial"/>
          <w:b/>
          <w:bCs/>
          <w:i/>
          <w:iCs/>
          <w:sz w:val="20"/>
          <w:szCs w:val="20"/>
          <w:lang w:val="vi-VN"/>
        </w:rPr>
        <w:t>r</w:t>
      </w:r>
      <w:r w:rsidRPr="003711CA">
        <w:rPr>
          <w:rFonts w:ascii="Arial" w:hAnsi="Arial" w:cs="Arial"/>
          <w:b/>
          <w:bCs/>
          <w:i/>
          <w:iCs/>
          <w:sz w:val="20"/>
          <w:szCs w:val="20"/>
          <w:lang w:val="vi-VN"/>
        </w:rPr>
        <w:t xml:space="preserve">elationship </w:t>
      </w:r>
      <w:r w:rsidR="00E84ACC" w:rsidRPr="003711CA">
        <w:rPr>
          <w:rFonts w:ascii="Arial" w:hAnsi="Arial" w:cs="Arial"/>
          <w:b/>
          <w:bCs/>
          <w:i/>
          <w:iCs/>
          <w:sz w:val="20"/>
          <w:szCs w:val="20"/>
          <w:lang w:val="vi-VN"/>
        </w:rPr>
        <w:t>b</w:t>
      </w:r>
      <w:r w:rsidRPr="003711CA">
        <w:rPr>
          <w:rFonts w:ascii="Arial" w:hAnsi="Arial" w:cs="Arial"/>
          <w:b/>
          <w:bCs/>
          <w:i/>
          <w:iCs/>
          <w:sz w:val="20"/>
          <w:szCs w:val="20"/>
          <w:lang w:val="vi-VN"/>
        </w:rPr>
        <w:t>etween Organizational Culture and University Branding</w:t>
      </w:r>
      <w:r w:rsidRPr="003711CA">
        <w:rPr>
          <w:rFonts w:ascii="Arial" w:hAnsi="Arial" w:cs="Arial"/>
          <w:sz w:val="20"/>
          <w:szCs w:val="20"/>
          <w:lang w:val="vi-VN"/>
        </w:rPr>
        <w:t xml:space="preserve">. The research by Hosen et al. (2023) and Osama F. Al-Kurdi et al. (2020) discusses the organizational culture of universities, </w:t>
      </w:r>
      <w:r w:rsidRPr="003711CA">
        <w:rPr>
          <w:rFonts w:ascii="Arial" w:hAnsi="Arial" w:cs="Arial"/>
          <w:sz w:val="20"/>
          <w:szCs w:val="20"/>
          <w:lang w:val="vi-VN"/>
        </w:rPr>
        <w:lastRenderedPageBreak/>
        <w:t>where high-level expertise is imparted to learners. It emphasizes the need to build a highly aware collaborative environment that fosters trust, encourages creativity, and promotes knowledge sharing in teaching and research.</w:t>
      </w:r>
      <w:r w:rsidR="00C6067A" w:rsidRPr="003711CA">
        <w:rPr>
          <w:rFonts w:ascii="Arial" w:hAnsi="Arial" w:cs="Arial"/>
          <w:sz w:val="20"/>
          <w:szCs w:val="20"/>
          <w:lang w:val="vi-VN"/>
        </w:rPr>
        <w:t xml:space="preserve"> The organizational culture of a university reflects unity and commitment to its goals and development strategies for sustainable education, contributing to enhancing the brand of higher education institutions. The following hypothesis is proposed:</w:t>
      </w:r>
    </w:p>
    <w:p w14:paraId="0DB0F6A7" w14:textId="0921CDD7" w:rsidR="00C71CF6" w:rsidRPr="003711CA" w:rsidRDefault="003B11F0" w:rsidP="000238A4">
      <w:pPr>
        <w:spacing w:after="0" w:line="360" w:lineRule="auto"/>
        <w:jc w:val="both"/>
        <w:rPr>
          <w:rFonts w:ascii="Arial" w:hAnsi="Arial" w:cs="Arial"/>
          <w:sz w:val="20"/>
          <w:szCs w:val="20"/>
          <w:lang w:val="vi-VN"/>
        </w:rPr>
      </w:pPr>
      <w:r w:rsidRPr="003711CA">
        <w:rPr>
          <w:rFonts w:ascii="Arial" w:hAnsi="Arial" w:cs="Arial"/>
          <w:b/>
          <w:bCs/>
          <w:i/>
          <w:iCs/>
          <w:sz w:val="20"/>
          <w:szCs w:val="20"/>
          <w:lang w:val="vi-VN"/>
        </w:rPr>
        <w:t>Hypothesis H3</w:t>
      </w:r>
      <w:r w:rsidRPr="003711CA">
        <w:rPr>
          <w:rFonts w:ascii="Arial" w:hAnsi="Arial" w:cs="Arial"/>
          <w:sz w:val="20"/>
          <w:szCs w:val="20"/>
          <w:lang w:val="vi-VN"/>
        </w:rPr>
        <w:t xml:space="preserve">: Organizational culture (OC) has a positive and direct impact on the </w:t>
      </w:r>
      <w:r w:rsidR="00D06ACE" w:rsidRPr="003711CA">
        <w:rPr>
          <w:rFonts w:ascii="Arial" w:hAnsi="Arial" w:cs="Arial"/>
          <w:sz w:val="20"/>
          <w:szCs w:val="20"/>
          <w:lang w:val="vi-VN"/>
        </w:rPr>
        <w:t>B</w:t>
      </w:r>
      <w:r w:rsidRPr="003711CA">
        <w:rPr>
          <w:rFonts w:ascii="Arial" w:hAnsi="Arial" w:cs="Arial"/>
          <w:sz w:val="20"/>
          <w:szCs w:val="20"/>
          <w:lang w:val="vi-VN"/>
        </w:rPr>
        <w:t xml:space="preserve">randing of </w:t>
      </w:r>
      <w:r w:rsidR="00D06ACE" w:rsidRPr="003711CA">
        <w:rPr>
          <w:rFonts w:ascii="Arial" w:hAnsi="Arial" w:cs="Arial"/>
          <w:sz w:val="20"/>
          <w:szCs w:val="20"/>
          <w:lang w:val="vi-VN"/>
        </w:rPr>
        <w:t>U</w:t>
      </w:r>
      <w:r w:rsidRPr="003711CA">
        <w:rPr>
          <w:rFonts w:ascii="Arial" w:hAnsi="Arial" w:cs="Arial"/>
          <w:sz w:val="20"/>
          <w:szCs w:val="20"/>
          <w:lang w:val="vi-VN"/>
        </w:rPr>
        <w:t xml:space="preserve">niversities (BU). </w:t>
      </w:r>
    </w:p>
    <w:p w14:paraId="0CD2BD25" w14:textId="5EB07700" w:rsidR="00156537" w:rsidRPr="003711CA" w:rsidRDefault="00E84ACC" w:rsidP="00156537">
      <w:pPr>
        <w:spacing w:after="0" w:line="360" w:lineRule="auto"/>
        <w:jc w:val="both"/>
        <w:rPr>
          <w:rFonts w:ascii="Arial" w:hAnsi="Arial" w:cs="Arial"/>
          <w:sz w:val="20"/>
          <w:szCs w:val="20"/>
          <w:lang w:val="vi-VN"/>
        </w:rPr>
      </w:pPr>
      <w:r w:rsidRPr="003711CA">
        <w:rPr>
          <w:rFonts w:ascii="Arial" w:hAnsi="Arial" w:cs="Arial"/>
          <w:sz w:val="20"/>
          <w:szCs w:val="20"/>
          <w:lang w:val="vi-VN"/>
        </w:rPr>
        <w:t xml:space="preserve">     - </w:t>
      </w:r>
      <w:r w:rsidR="00156537" w:rsidRPr="003711CA">
        <w:rPr>
          <w:rFonts w:ascii="Arial" w:hAnsi="Arial" w:cs="Arial"/>
          <w:b/>
          <w:bCs/>
          <w:i/>
          <w:iCs/>
          <w:sz w:val="20"/>
          <w:szCs w:val="20"/>
          <w:lang w:val="vi-VN"/>
        </w:rPr>
        <w:t xml:space="preserve">The </w:t>
      </w:r>
      <w:r w:rsidRPr="003711CA">
        <w:rPr>
          <w:rFonts w:ascii="Arial" w:hAnsi="Arial" w:cs="Arial"/>
          <w:b/>
          <w:bCs/>
          <w:i/>
          <w:iCs/>
          <w:sz w:val="20"/>
          <w:szCs w:val="20"/>
          <w:lang w:val="vi-VN"/>
        </w:rPr>
        <w:t>r</w:t>
      </w:r>
      <w:r w:rsidR="00156537" w:rsidRPr="003711CA">
        <w:rPr>
          <w:rFonts w:ascii="Arial" w:hAnsi="Arial" w:cs="Arial"/>
          <w:b/>
          <w:bCs/>
          <w:i/>
          <w:iCs/>
          <w:sz w:val="20"/>
          <w:szCs w:val="20"/>
          <w:lang w:val="vi-VN"/>
        </w:rPr>
        <w:t xml:space="preserve">elationship </w:t>
      </w:r>
      <w:r w:rsidRPr="003711CA">
        <w:rPr>
          <w:rFonts w:ascii="Arial" w:hAnsi="Arial" w:cs="Arial"/>
          <w:b/>
          <w:bCs/>
          <w:i/>
          <w:iCs/>
          <w:sz w:val="20"/>
          <w:szCs w:val="20"/>
          <w:lang w:val="vi-VN"/>
        </w:rPr>
        <w:t>b</w:t>
      </w:r>
      <w:r w:rsidR="00156537" w:rsidRPr="003711CA">
        <w:rPr>
          <w:rFonts w:ascii="Arial" w:hAnsi="Arial" w:cs="Arial"/>
          <w:b/>
          <w:bCs/>
          <w:i/>
          <w:iCs/>
          <w:sz w:val="20"/>
          <w:szCs w:val="20"/>
          <w:lang w:val="vi-VN"/>
        </w:rPr>
        <w:t xml:space="preserve">etween </w:t>
      </w:r>
      <w:r w:rsidR="006D44A7" w:rsidRPr="003711CA">
        <w:rPr>
          <w:rFonts w:ascii="Arial" w:hAnsi="Arial" w:cs="Arial"/>
          <w:b/>
          <w:bCs/>
          <w:i/>
          <w:iCs/>
          <w:sz w:val="20"/>
          <w:szCs w:val="20"/>
          <w:lang w:val="vi-VN"/>
        </w:rPr>
        <w:t>B</w:t>
      </w:r>
      <w:r w:rsidR="006D44A7" w:rsidRPr="003711CA">
        <w:rPr>
          <w:rFonts w:ascii="Arial" w:hAnsi="Arial" w:cs="Arial"/>
          <w:b/>
          <w:bCs/>
          <w:i/>
          <w:iCs/>
          <w:sz w:val="20"/>
          <w:szCs w:val="20"/>
        </w:rPr>
        <w:t>rand value of lecturers</w:t>
      </w:r>
      <w:r w:rsidR="00156537" w:rsidRPr="003711CA">
        <w:rPr>
          <w:rFonts w:ascii="Arial" w:hAnsi="Arial" w:cs="Arial"/>
          <w:b/>
          <w:bCs/>
          <w:i/>
          <w:iCs/>
          <w:sz w:val="20"/>
          <w:szCs w:val="20"/>
          <w:lang w:val="vi-VN"/>
        </w:rPr>
        <w:t xml:space="preserve"> and University Branding</w:t>
      </w:r>
      <w:r w:rsidR="00D44169" w:rsidRPr="003711CA">
        <w:rPr>
          <w:rFonts w:ascii="Arial" w:hAnsi="Arial" w:cs="Arial"/>
          <w:sz w:val="20"/>
          <w:szCs w:val="20"/>
          <w:lang w:val="vi-VN"/>
        </w:rPr>
        <w:t xml:space="preserve">. </w:t>
      </w:r>
      <w:r w:rsidR="00230704" w:rsidRPr="003711CA">
        <w:rPr>
          <w:rFonts w:ascii="Arial" w:hAnsi="Arial" w:cs="Arial"/>
          <w:sz w:val="20"/>
          <w:szCs w:val="20"/>
          <w:lang w:val="vi-VN"/>
        </w:rPr>
        <w:t>L</w:t>
      </w:r>
      <w:r w:rsidR="00D44169" w:rsidRPr="003711CA">
        <w:rPr>
          <w:rFonts w:ascii="Arial" w:hAnsi="Arial" w:cs="Arial"/>
          <w:sz w:val="20"/>
          <w:szCs w:val="20"/>
          <w:lang w:val="vi-VN"/>
        </w:rPr>
        <w:t>ectur</w:t>
      </w:r>
      <w:r w:rsidR="00230704" w:rsidRPr="003711CA">
        <w:rPr>
          <w:rFonts w:ascii="Arial" w:hAnsi="Arial" w:cs="Arial"/>
          <w:sz w:val="20"/>
          <w:szCs w:val="20"/>
        </w:rPr>
        <w:t>e</w:t>
      </w:r>
      <w:r w:rsidR="00D44169" w:rsidRPr="003711CA">
        <w:rPr>
          <w:rFonts w:ascii="Arial" w:hAnsi="Arial" w:cs="Arial"/>
          <w:sz w:val="20"/>
          <w:szCs w:val="20"/>
          <w:lang w:val="vi-VN"/>
        </w:rPr>
        <w:t>rs</w:t>
      </w:r>
      <w:r w:rsidR="00230704" w:rsidRPr="003711CA">
        <w:rPr>
          <w:rFonts w:ascii="Arial" w:hAnsi="Arial" w:cs="Arial"/>
          <w:sz w:val="20"/>
          <w:szCs w:val="20"/>
          <w:lang w:val="vi-VN"/>
        </w:rPr>
        <w:t xml:space="preserve"> </w:t>
      </w:r>
      <w:r w:rsidR="00156537" w:rsidRPr="003711CA">
        <w:rPr>
          <w:rFonts w:ascii="Arial" w:hAnsi="Arial" w:cs="Arial"/>
          <w:sz w:val="20"/>
          <w:szCs w:val="20"/>
          <w:lang w:val="vi-VN"/>
        </w:rPr>
        <w:t xml:space="preserve">play a crucial role in directly influencing students' perceptions during the knowledge exchange process. Research by </w:t>
      </w:r>
      <w:r w:rsidR="00A2108F">
        <w:rPr>
          <w:rFonts w:ascii="Arial" w:hAnsi="Arial" w:cs="Arial"/>
          <w:sz w:val="20"/>
          <w:szCs w:val="20"/>
          <w:lang w:val="vi-VN"/>
        </w:rPr>
        <w:t>(</w:t>
      </w:r>
      <w:r w:rsidR="00156537" w:rsidRPr="003711CA">
        <w:rPr>
          <w:rFonts w:ascii="Arial" w:hAnsi="Arial" w:cs="Arial"/>
          <w:sz w:val="20"/>
          <w:szCs w:val="20"/>
          <w:lang w:val="vi-VN"/>
        </w:rPr>
        <w:t>Stringer</w:t>
      </w:r>
      <w:r w:rsidR="00A2108F">
        <w:rPr>
          <w:rFonts w:ascii="Arial" w:hAnsi="Arial" w:cs="Arial"/>
          <w:sz w:val="20"/>
          <w:szCs w:val="20"/>
          <w:lang w:val="vi-VN"/>
        </w:rPr>
        <w:t xml:space="preserve">, </w:t>
      </w:r>
      <w:r w:rsidR="00156537" w:rsidRPr="003711CA">
        <w:rPr>
          <w:rFonts w:ascii="Arial" w:hAnsi="Arial" w:cs="Arial"/>
          <w:sz w:val="20"/>
          <w:szCs w:val="20"/>
          <w:lang w:val="vi-VN"/>
        </w:rPr>
        <w:t>2020</w:t>
      </w:r>
      <w:r w:rsidR="00A2108F">
        <w:rPr>
          <w:rFonts w:ascii="Arial" w:hAnsi="Arial" w:cs="Arial"/>
          <w:sz w:val="20"/>
          <w:szCs w:val="20"/>
          <w:lang w:val="vi-VN"/>
        </w:rPr>
        <w:t>;</w:t>
      </w:r>
      <w:r w:rsidR="00156537" w:rsidRPr="003711CA">
        <w:rPr>
          <w:rFonts w:ascii="Arial" w:hAnsi="Arial" w:cs="Arial"/>
          <w:sz w:val="20"/>
          <w:szCs w:val="20"/>
          <w:lang w:val="vi-VN"/>
        </w:rPr>
        <w:t xml:space="preserve"> </w:t>
      </w:r>
      <w:r w:rsidR="00443317">
        <w:rPr>
          <w:rFonts w:ascii="Arial" w:hAnsi="Arial" w:cs="Arial"/>
          <w:sz w:val="20"/>
          <w:szCs w:val="20"/>
          <w:lang w:val="vi-VN"/>
        </w:rPr>
        <w:t>D</w:t>
      </w:r>
      <w:r w:rsidR="00156537" w:rsidRPr="003711CA">
        <w:rPr>
          <w:rFonts w:ascii="Arial" w:hAnsi="Arial" w:cs="Arial"/>
          <w:sz w:val="20"/>
          <w:szCs w:val="20"/>
          <w:lang w:val="vi-VN"/>
        </w:rPr>
        <w:t>o</w:t>
      </w:r>
      <w:r w:rsidR="00C65351" w:rsidRPr="003711CA">
        <w:rPr>
          <w:rFonts w:ascii="Arial" w:hAnsi="Arial" w:cs="Arial"/>
          <w:sz w:val="20"/>
          <w:szCs w:val="20"/>
          <w:lang w:val="vi-VN"/>
        </w:rPr>
        <w:t>a</w:t>
      </w:r>
      <w:r w:rsidR="00156537" w:rsidRPr="003711CA">
        <w:rPr>
          <w:rFonts w:ascii="Arial" w:hAnsi="Arial" w:cs="Arial"/>
          <w:sz w:val="20"/>
          <w:szCs w:val="20"/>
          <w:lang w:val="vi-VN"/>
        </w:rPr>
        <w:t>n Th</w:t>
      </w:r>
      <w:r w:rsidR="00C65351" w:rsidRPr="003711CA">
        <w:rPr>
          <w:rFonts w:ascii="Arial" w:hAnsi="Arial" w:cs="Arial"/>
          <w:sz w:val="20"/>
          <w:szCs w:val="20"/>
          <w:lang w:val="vi-VN"/>
        </w:rPr>
        <w:t>i</w:t>
      </w:r>
      <w:r w:rsidR="00156537" w:rsidRPr="003711CA">
        <w:rPr>
          <w:rFonts w:ascii="Arial" w:hAnsi="Arial" w:cs="Arial"/>
          <w:sz w:val="20"/>
          <w:szCs w:val="20"/>
          <w:lang w:val="vi-VN"/>
        </w:rPr>
        <w:t xml:space="preserve"> H</w:t>
      </w:r>
      <w:r w:rsidR="00C65351" w:rsidRPr="003711CA">
        <w:rPr>
          <w:rFonts w:ascii="Arial" w:hAnsi="Arial" w:cs="Arial"/>
          <w:sz w:val="20"/>
          <w:szCs w:val="20"/>
          <w:lang w:val="vi-VN"/>
        </w:rPr>
        <w:t>o</w:t>
      </w:r>
      <w:r w:rsidR="00156537" w:rsidRPr="003711CA">
        <w:rPr>
          <w:rFonts w:ascii="Arial" w:hAnsi="Arial" w:cs="Arial"/>
          <w:sz w:val="20"/>
          <w:szCs w:val="20"/>
          <w:lang w:val="vi-VN"/>
        </w:rPr>
        <w:t>ng V</w:t>
      </w:r>
      <w:r w:rsidR="00C65351" w:rsidRPr="003711CA">
        <w:rPr>
          <w:rFonts w:ascii="Arial" w:hAnsi="Arial" w:cs="Arial"/>
          <w:sz w:val="20"/>
          <w:szCs w:val="20"/>
          <w:lang w:val="vi-VN"/>
        </w:rPr>
        <w:t>a</w:t>
      </w:r>
      <w:r w:rsidR="00156537" w:rsidRPr="003711CA">
        <w:rPr>
          <w:rFonts w:ascii="Arial" w:hAnsi="Arial" w:cs="Arial"/>
          <w:sz w:val="20"/>
          <w:szCs w:val="20"/>
          <w:lang w:val="vi-VN"/>
        </w:rPr>
        <w:t>n</w:t>
      </w:r>
      <w:r w:rsidR="00404418">
        <w:rPr>
          <w:rFonts w:ascii="Arial" w:hAnsi="Arial" w:cs="Arial"/>
          <w:sz w:val="20"/>
          <w:szCs w:val="20"/>
          <w:lang w:val="vi-VN"/>
        </w:rPr>
        <w:t xml:space="preserve"> </w:t>
      </w:r>
      <w:r w:rsidR="002044F5">
        <w:rPr>
          <w:rFonts w:ascii="Arial" w:hAnsi="Arial" w:cs="Arial"/>
          <w:sz w:val="20"/>
          <w:szCs w:val="20"/>
          <w:lang w:val="vi-VN"/>
        </w:rPr>
        <w:t>&amp; NTT Giang</w:t>
      </w:r>
      <w:r w:rsidR="00A2108F">
        <w:rPr>
          <w:rFonts w:ascii="Arial" w:hAnsi="Arial" w:cs="Arial"/>
          <w:sz w:val="20"/>
          <w:szCs w:val="20"/>
          <w:lang w:val="vi-VN"/>
        </w:rPr>
        <w:t xml:space="preserve">, </w:t>
      </w:r>
      <w:r w:rsidR="00156537" w:rsidRPr="003711CA">
        <w:rPr>
          <w:rFonts w:ascii="Arial" w:hAnsi="Arial" w:cs="Arial"/>
          <w:sz w:val="20"/>
          <w:szCs w:val="20"/>
          <w:lang w:val="vi-VN"/>
        </w:rPr>
        <w:t>2021</w:t>
      </w:r>
      <w:r w:rsidR="00A2108F">
        <w:rPr>
          <w:rFonts w:ascii="Arial" w:hAnsi="Arial" w:cs="Arial"/>
          <w:sz w:val="20"/>
          <w:szCs w:val="20"/>
          <w:lang w:val="vi-VN"/>
        </w:rPr>
        <w:t xml:space="preserve">; </w:t>
      </w:r>
      <w:r w:rsidR="00156537" w:rsidRPr="003711CA">
        <w:rPr>
          <w:rFonts w:ascii="Arial" w:hAnsi="Arial" w:cs="Arial"/>
          <w:sz w:val="20"/>
          <w:szCs w:val="20"/>
          <w:lang w:val="vi-VN"/>
        </w:rPr>
        <w:t>Ph</w:t>
      </w:r>
      <w:r w:rsidR="00C65351" w:rsidRPr="003711CA">
        <w:rPr>
          <w:rFonts w:ascii="Arial" w:hAnsi="Arial" w:cs="Arial"/>
          <w:sz w:val="20"/>
          <w:szCs w:val="20"/>
          <w:lang w:val="vi-VN"/>
        </w:rPr>
        <w:t>a</w:t>
      </w:r>
      <w:r w:rsidR="00156537" w:rsidRPr="003711CA">
        <w:rPr>
          <w:rFonts w:ascii="Arial" w:hAnsi="Arial" w:cs="Arial"/>
          <w:sz w:val="20"/>
          <w:szCs w:val="20"/>
          <w:lang w:val="vi-VN"/>
        </w:rPr>
        <w:t>m Quang Vinh</w:t>
      </w:r>
      <w:r w:rsidR="00A2108F">
        <w:rPr>
          <w:rFonts w:ascii="Arial" w:hAnsi="Arial" w:cs="Arial"/>
          <w:sz w:val="20"/>
          <w:szCs w:val="20"/>
          <w:lang w:val="vi-VN"/>
        </w:rPr>
        <w:t xml:space="preserve">, </w:t>
      </w:r>
      <w:r w:rsidR="00156537" w:rsidRPr="003711CA">
        <w:rPr>
          <w:rFonts w:ascii="Arial" w:hAnsi="Arial" w:cs="Arial"/>
          <w:sz w:val="20"/>
          <w:szCs w:val="20"/>
          <w:lang w:val="vi-VN"/>
        </w:rPr>
        <w:t>2023</w:t>
      </w:r>
      <w:r w:rsidR="00A2108F">
        <w:rPr>
          <w:rFonts w:ascii="Arial" w:hAnsi="Arial" w:cs="Arial"/>
          <w:sz w:val="20"/>
          <w:szCs w:val="20"/>
          <w:lang w:val="vi-VN"/>
        </w:rPr>
        <w:t xml:space="preserve">; </w:t>
      </w:r>
      <w:r w:rsidR="00156537" w:rsidRPr="003711CA">
        <w:rPr>
          <w:rFonts w:ascii="Arial" w:hAnsi="Arial" w:cs="Arial"/>
          <w:sz w:val="20"/>
          <w:szCs w:val="20"/>
          <w:lang w:val="vi-VN"/>
        </w:rPr>
        <w:t>Nguy</w:t>
      </w:r>
      <w:r w:rsidR="00C65351" w:rsidRPr="003711CA">
        <w:rPr>
          <w:rFonts w:ascii="Arial" w:hAnsi="Arial" w:cs="Arial"/>
          <w:sz w:val="20"/>
          <w:szCs w:val="20"/>
          <w:lang w:val="vi-VN"/>
        </w:rPr>
        <w:t>e</w:t>
      </w:r>
      <w:r w:rsidR="00156537" w:rsidRPr="003711CA">
        <w:rPr>
          <w:rFonts w:ascii="Arial" w:hAnsi="Arial" w:cs="Arial"/>
          <w:sz w:val="20"/>
          <w:szCs w:val="20"/>
          <w:lang w:val="vi-VN"/>
        </w:rPr>
        <w:t>n Duy Th</w:t>
      </w:r>
      <w:r w:rsidR="00C65351" w:rsidRPr="003711CA">
        <w:rPr>
          <w:rFonts w:ascii="Arial" w:hAnsi="Arial" w:cs="Arial"/>
          <w:sz w:val="20"/>
          <w:szCs w:val="20"/>
          <w:lang w:val="vi-VN"/>
        </w:rPr>
        <w:t>u</w:t>
      </w:r>
      <w:r w:rsidR="00156537" w:rsidRPr="003711CA">
        <w:rPr>
          <w:rFonts w:ascii="Arial" w:hAnsi="Arial" w:cs="Arial"/>
          <w:sz w:val="20"/>
          <w:szCs w:val="20"/>
          <w:lang w:val="vi-VN"/>
        </w:rPr>
        <w:t>c</w:t>
      </w:r>
      <w:r w:rsidR="0094366F">
        <w:rPr>
          <w:rFonts w:ascii="Arial" w:hAnsi="Arial" w:cs="Arial"/>
          <w:sz w:val="20"/>
          <w:szCs w:val="20"/>
          <w:lang w:val="vi-VN"/>
        </w:rPr>
        <w:t xml:space="preserve"> &amp; Bui Quang Huy</w:t>
      </w:r>
      <w:r w:rsidR="00A2108F">
        <w:rPr>
          <w:rFonts w:ascii="Arial" w:hAnsi="Arial" w:cs="Arial"/>
          <w:sz w:val="20"/>
          <w:szCs w:val="20"/>
          <w:lang w:val="vi-VN"/>
        </w:rPr>
        <w:t xml:space="preserve">, </w:t>
      </w:r>
      <w:r w:rsidR="00156537" w:rsidRPr="003711CA">
        <w:rPr>
          <w:rFonts w:ascii="Arial" w:hAnsi="Arial" w:cs="Arial"/>
          <w:sz w:val="20"/>
          <w:szCs w:val="20"/>
          <w:lang w:val="vi-VN"/>
        </w:rPr>
        <w:t>2024</w:t>
      </w:r>
      <w:r w:rsidR="00A2108F">
        <w:rPr>
          <w:rFonts w:ascii="Arial" w:hAnsi="Arial" w:cs="Arial"/>
          <w:sz w:val="20"/>
          <w:szCs w:val="20"/>
          <w:lang w:val="vi-VN"/>
        </w:rPr>
        <w:t xml:space="preserve">;  </w:t>
      </w:r>
      <w:r w:rsidR="00A2108F" w:rsidRPr="00B554C3">
        <w:rPr>
          <w:rFonts w:ascii="Arial" w:hAnsi="Arial" w:cs="Arial"/>
          <w:color w:val="000000" w:themeColor="text1"/>
          <w:sz w:val="20"/>
          <w:szCs w:val="20"/>
          <w:lang w:val="vi-VN"/>
        </w:rPr>
        <w:t>Shangfeng Jiang</w:t>
      </w:r>
      <w:r w:rsidR="00A2108F" w:rsidRPr="00A2108F">
        <w:rPr>
          <w:rFonts w:ascii="Arial" w:hAnsi="Arial" w:cs="Arial"/>
          <w:color w:val="000000" w:themeColor="text1"/>
          <w:sz w:val="20"/>
          <w:szCs w:val="20"/>
          <w:lang w:val="vi-VN"/>
        </w:rPr>
        <w:t xml:space="preserve"> </w:t>
      </w:r>
      <w:r w:rsidR="00357F5B">
        <w:rPr>
          <w:rFonts w:ascii="Arial" w:hAnsi="Arial" w:cs="Arial"/>
          <w:color w:val="000000" w:themeColor="text1"/>
          <w:sz w:val="20"/>
          <w:szCs w:val="20"/>
          <w:lang w:val="vi-VN"/>
        </w:rPr>
        <w:t>&amp;</w:t>
      </w:r>
      <w:r w:rsidR="00A2108F" w:rsidRPr="00A2108F">
        <w:rPr>
          <w:rFonts w:ascii="Arial" w:hAnsi="Arial" w:cs="Arial"/>
          <w:color w:val="000000" w:themeColor="text1"/>
          <w:sz w:val="20"/>
          <w:szCs w:val="20"/>
          <w:lang w:val="vi-VN"/>
        </w:rPr>
        <w:t xml:space="preserve"> </w:t>
      </w:r>
      <w:r w:rsidR="00A2108F" w:rsidRPr="00B554C3">
        <w:rPr>
          <w:rFonts w:ascii="Arial" w:hAnsi="Arial" w:cs="Arial"/>
          <w:color w:val="000000" w:themeColor="text1"/>
          <w:sz w:val="20"/>
          <w:szCs w:val="20"/>
          <w:lang w:val="vi-VN"/>
        </w:rPr>
        <w:t>Fujun Xiao</w:t>
      </w:r>
      <w:r w:rsidR="00A2108F">
        <w:rPr>
          <w:rFonts w:ascii="Arial" w:hAnsi="Arial" w:cs="Arial"/>
          <w:color w:val="000000" w:themeColor="text1"/>
          <w:sz w:val="20"/>
          <w:szCs w:val="20"/>
          <w:lang w:val="vi-VN"/>
        </w:rPr>
        <w:t xml:space="preserve">, </w:t>
      </w:r>
      <w:r w:rsidR="00A2108F" w:rsidRPr="00A2108F">
        <w:rPr>
          <w:rFonts w:ascii="Arial" w:hAnsi="Arial" w:cs="Arial"/>
          <w:color w:val="000000" w:themeColor="text1"/>
          <w:sz w:val="20"/>
          <w:szCs w:val="20"/>
          <w:lang w:val="vi-VN"/>
        </w:rPr>
        <w:t>2024)</w:t>
      </w:r>
      <w:r w:rsidR="00156537" w:rsidRPr="00A2108F">
        <w:rPr>
          <w:rFonts w:ascii="Arial" w:hAnsi="Arial" w:cs="Arial"/>
          <w:color w:val="000000" w:themeColor="text1"/>
          <w:sz w:val="20"/>
          <w:szCs w:val="20"/>
          <w:lang w:val="vi-VN"/>
        </w:rPr>
        <w:t xml:space="preserve"> </w:t>
      </w:r>
      <w:r w:rsidR="00156537" w:rsidRPr="003711CA">
        <w:rPr>
          <w:rFonts w:ascii="Arial" w:hAnsi="Arial" w:cs="Arial"/>
          <w:sz w:val="20"/>
          <w:szCs w:val="20"/>
          <w:lang w:val="vi-VN"/>
        </w:rPr>
        <w:t>indicate</w:t>
      </w:r>
      <w:r w:rsidR="00A2108F">
        <w:rPr>
          <w:rFonts w:ascii="Arial" w:hAnsi="Arial" w:cs="Arial"/>
          <w:sz w:val="20"/>
          <w:szCs w:val="20"/>
          <w:lang w:val="vi-VN"/>
        </w:rPr>
        <w:t>d</w:t>
      </w:r>
      <w:r w:rsidR="00156537" w:rsidRPr="003711CA">
        <w:rPr>
          <w:rFonts w:ascii="Arial" w:hAnsi="Arial" w:cs="Arial"/>
          <w:sz w:val="20"/>
          <w:szCs w:val="20"/>
          <w:lang w:val="vi-VN"/>
        </w:rPr>
        <w:t xml:space="preserve"> that when lecturers are motivated in teaching, enhance their value through creative lectures, and conduct inspiring scientific research, they effectively convey the institution's values. This contributes to strengthening the university's brand, fulfilling its educational mission, and enhancing its competitive position.</w:t>
      </w:r>
      <w:r w:rsidR="00D44169" w:rsidRPr="003711CA">
        <w:rPr>
          <w:rFonts w:ascii="Arial" w:hAnsi="Arial" w:cs="Arial"/>
          <w:sz w:val="20"/>
          <w:szCs w:val="20"/>
          <w:lang w:val="vi-VN"/>
        </w:rPr>
        <w:t xml:space="preserve"> </w:t>
      </w:r>
      <w:r w:rsidR="00156537" w:rsidRPr="003711CA">
        <w:rPr>
          <w:rFonts w:ascii="Arial" w:hAnsi="Arial" w:cs="Arial"/>
          <w:sz w:val="20"/>
          <w:szCs w:val="20"/>
          <w:lang w:val="vi-VN"/>
        </w:rPr>
        <w:t>The following hypothesis is proposed:</w:t>
      </w:r>
    </w:p>
    <w:p w14:paraId="4D6E8328" w14:textId="010F4D66" w:rsidR="00B77DAD" w:rsidRPr="003711CA" w:rsidRDefault="00B77DAD" w:rsidP="00156537">
      <w:pPr>
        <w:spacing w:after="0" w:line="360" w:lineRule="auto"/>
        <w:jc w:val="both"/>
        <w:rPr>
          <w:rFonts w:ascii="Arial" w:hAnsi="Arial" w:cs="Arial"/>
          <w:sz w:val="20"/>
          <w:szCs w:val="20"/>
          <w:lang w:val="vi-VN"/>
        </w:rPr>
      </w:pPr>
      <w:r w:rsidRPr="003711CA">
        <w:rPr>
          <w:rFonts w:ascii="Arial" w:hAnsi="Arial" w:cs="Arial"/>
          <w:b/>
          <w:bCs/>
          <w:i/>
          <w:iCs/>
          <w:sz w:val="20"/>
          <w:szCs w:val="20"/>
        </w:rPr>
        <w:t>Hypothesis H4</w:t>
      </w:r>
      <w:r w:rsidRPr="003711CA">
        <w:rPr>
          <w:rFonts w:ascii="Arial" w:hAnsi="Arial" w:cs="Arial"/>
          <w:sz w:val="20"/>
          <w:szCs w:val="20"/>
        </w:rPr>
        <w:t xml:space="preserve">: </w:t>
      </w:r>
      <w:r w:rsidRPr="003711CA">
        <w:rPr>
          <w:rFonts w:ascii="Arial" w:hAnsi="Arial" w:cs="Arial"/>
          <w:sz w:val="20"/>
          <w:szCs w:val="20"/>
          <w:lang w:val="vi-VN"/>
        </w:rPr>
        <w:t>B</w:t>
      </w:r>
      <w:r w:rsidRPr="003711CA">
        <w:rPr>
          <w:rFonts w:ascii="Arial" w:hAnsi="Arial" w:cs="Arial"/>
          <w:sz w:val="20"/>
          <w:szCs w:val="20"/>
        </w:rPr>
        <w:t>rand value of lecturers (BV</w:t>
      </w:r>
      <w:r w:rsidR="008A1459" w:rsidRPr="003711CA">
        <w:rPr>
          <w:rFonts w:ascii="Arial" w:hAnsi="Arial" w:cs="Arial"/>
          <w:sz w:val="20"/>
          <w:szCs w:val="20"/>
          <w:lang w:val="vi-VN"/>
        </w:rPr>
        <w:t>L</w:t>
      </w:r>
      <w:r w:rsidRPr="003711CA">
        <w:rPr>
          <w:rFonts w:ascii="Arial" w:hAnsi="Arial" w:cs="Arial"/>
          <w:sz w:val="20"/>
          <w:szCs w:val="20"/>
        </w:rPr>
        <w:t>) has a positive and direct impact on enhancing the branding of universities</w:t>
      </w:r>
      <w:r w:rsidR="008A1459" w:rsidRPr="003711CA">
        <w:rPr>
          <w:rFonts w:ascii="Arial" w:hAnsi="Arial" w:cs="Arial"/>
          <w:sz w:val="20"/>
          <w:szCs w:val="20"/>
          <w:lang w:val="vi-VN"/>
        </w:rPr>
        <w:t xml:space="preserve"> (BU).</w:t>
      </w:r>
    </w:p>
    <w:p w14:paraId="50EE266A" w14:textId="24E9B561" w:rsidR="00141044" w:rsidRPr="003711CA" w:rsidRDefault="008A1459" w:rsidP="005E42D2">
      <w:pPr>
        <w:pStyle w:val="ListParagraph"/>
        <w:numPr>
          <w:ilvl w:val="1"/>
          <w:numId w:val="3"/>
        </w:numPr>
        <w:spacing w:after="0" w:line="360" w:lineRule="auto"/>
        <w:jc w:val="both"/>
        <w:rPr>
          <w:rFonts w:ascii="Arial" w:hAnsi="Arial" w:cs="Arial"/>
          <w:b/>
          <w:bCs/>
          <w:sz w:val="20"/>
          <w:szCs w:val="20"/>
        </w:rPr>
      </w:pPr>
      <w:r w:rsidRPr="003711CA">
        <w:rPr>
          <w:rFonts w:ascii="Arial" w:hAnsi="Arial" w:cs="Arial"/>
          <w:b/>
          <w:bCs/>
          <w:sz w:val="20"/>
          <w:szCs w:val="20"/>
        </w:rPr>
        <w:t>Proposed research model:</w:t>
      </w:r>
    </w:p>
    <w:p w14:paraId="706DB740" w14:textId="4666606D" w:rsidR="00C21DCA" w:rsidRPr="003711CA" w:rsidRDefault="00E37D97" w:rsidP="00E37D97">
      <w:pPr>
        <w:pStyle w:val="NormalWeb"/>
        <w:ind w:left="360"/>
        <w:jc w:val="center"/>
        <w:rPr>
          <w:sz w:val="20"/>
          <w:szCs w:val="20"/>
        </w:rPr>
      </w:pPr>
      <w:r w:rsidRPr="003711CA">
        <w:rPr>
          <w:noProof/>
          <w:sz w:val="20"/>
          <w:szCs w:val="20"/>
        </w:rPr>
        <w:drawing>
          <wp:inline distT="0" distB="0" distL="0" distR="0" wp14:anchorId="29D356B8" wp14:editId="78864E8A">
            <wp:extent cx="4002405" cy="1244183"/>
            <wp:effectExtent l="0" t="0" r="0" b="0"/>
            <wp:docPr id="933365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8041" cy="1258369"/>
                    </a:xfrm>
                    <a:prstGeom prst="rect">
                      <a:avLst/>
                    </a:prstGeom>
                    <a:noFill/>
                    <a:ln>
                      <a:noFill/>
                    </a:ln>
                  </pic:spPr>
                </pic:pic>
              </a:graphicData>
            </a:graphic>
          </wp:inline>
        </w:drawing>
      </w:r>
    </w:p>
    <w:p w14:paraId="0F7EC1F4" w14:textId="77777777" w:rsidR="007C2B35" w:rsidRPr="003711CA" w:rsidRDefault="007C2B35" w:rsidP="00A32125">
      <w:pPr>
        <w:pStyle w:val="NormalWeb"/>
        <w:spacing w:before="0" w:beforeAutospacing="0" w:after="0" w:afterAutospacing="0"/>
        <w:ind w:left="360"/>
        <w:jc w:val="center"/>
        <w:rPr>
          <w:rFonts w:ascii="Arial" w:hAnsi="Arial" w:cs="Arial"/>
          <w:sz w:val="20"/>
          <w:szCs w:val="20"/>
        </w:rPr>
      </w:pPr>
      <w:r w:rsidRPr="003711CA">
        <w:rPr>
          <w:rFonts w:ascii="Arial" w:hAnsi="Arial" w:cs="Arial"/>
          <w:sz w:val="20"/>
          <w:szCs w:val="20"/>
        </w:rPr>
        <w:t>Figure 1: Research model</w:t>
      </w:r>
    </w:p>
    <w:p w14:paraId="4C351B6A" w14:textId="6EB76755" w:rsidR="007C2B35" w:rsidRPr="003711CA" w:rsidRDefault="007C2B35" w:rsidP="00A32125">
      <w:pPr>
        <w:pStyle w:val="NormalWeb"/>
        <w:spacing w:before="0" w:beforeAutospacing="0" w:after="0" w:afterAutospacing="0"/>
        <w:ind w:left="360"/>
        <w:jc w:val="center"/>
        <w:rPr>
          <w:rFonts w:ascii="Arial" w:hAnsi="Arial" w:cs="Arial"/>
          <w:sz w:val="20"/>
          <w:szCs w:val="20"/>
          <w:lang w:val="vi-VN"/>
        </w:rPr>
      </w:pPr>
      <w:r w:rsidRPr="003711CA">
        <w:rPr>
          <w:rFonts w:ascii="Arial" w:hAnsi="Arial" w:cs="Arial"/>
          <w:sz w:val="20"/>
          <w:szCs w:val="20"/>
        </w:rPr>
        <w:t>Source: author</w:t>
      </w:r>
      <w:r w:rsidR="00A32125" w:rsidRPr="003711CA">
        <w:rPr>
          <w:rFonts w:ascii="Arial" w:hAnsi="Arial" w:cs="Arial"/>
          <w:sz w:val="20"/>
          <w:szCs w:val="20"/>
          <w:lang w:val="vi-VN"/>
        </w:rPr>
        <w:t>s</w:t>
      </w:r>
    </w:p>
    <w:p w14:paraId="640B69E0" w14:textId="77777777" w:rsidR="005E42D2" w:rsidRDefault="005E42D2" w:rsidP="005E42D2">
      <w:pPr>
        <w:spacing w:after="0" w:line="360" w:lineRule="auto"/>
        <w:jc w:val="both"/>
        <w:rPr>
          <w:rFonts w:ascii="Arial" w:hAnsi="Arial" w:cs="Arial"/>
          <w:b/>
          <w:bCs/>
        </w:rPr>
      </w:pPr>
    </w:p>
    <w:p w14:paraId="24B8AB5C" w14:textId="253DAE8F" w:rsidR="00D561AD" w:rsidRPr="006623DE" w:rsidRDefault="00D561AD" w:rsidP="005E42D2">
      <w:pPr>
        <w:spacing w:after="0" w:line="360" w:lineRule="auto"/>
        <w:jc w:val="both"/>
        <w:rPr>
          <w:rFonts w:ascii="Arial" w:hAnsi="Arial" w:cs="Arial"/>
          <w:b/>
          <w:bCs/>
          <w:sz w:val="20"/>
          <w:szCs w:val="20"/>
          <w:lang w:val="vi-VN"/>
        </w:rPr>
      </w:pPr>
      <w:r w:rsidRPr="006623DE">
        <w:rPr>
          <w:rFonts w:ascii="Arial" w:hAnsi="Arial" w:cs="Arial"/>
          <w:b/>
          <w:bCs/>
          <w:sz w:val="20"/>
          <w:szCs w:val="20"/>
        </w:rPr>
        <w:t>3. RESEARCH METHODS</w:t>
      </w:r>
      <w:r w:rsidRPr="006623DE">
        <w:rPr>
          <w:rFonts w:ascii="Arial" w:hAnsi="Arial" w:cs="Arial"/>
          <w:b/>
          <w:bCs/>
          <w:sz w:val="20"/>
          <w:szCs w:val="20"/>
          <w:lang w:val="vi-VN"/>
        </w:rPr>
        <w:t>:</w:t>
      </w:r>
    </w:p>
    <w:p w14:paraId="35578B16" w14:textId="1E7A3BCE" w:rsidR="00FA1523" w:rsidRPr="00B141FA" w:rsidRDefault="00921BB8" w:rsidP="005E42D2">
      <w:pPr>
        <w:spacing w:after="0" w:line="360" w:lineRule="auto"/>
        <w:jc w:val="both"/>
        <w:rPr>
          <w:rFonts w:ascii="Arial" w:hAnsi="Arial" w:cs="Arial"/>
          <w:color w:val="0070C0"/>
          <w:sz w:val="20"/>
          <w:szCs w:val="20"/>
          <w:lang w:val="vi-VN"/>
        </w:rPr>
      </w:pPr>
      <w:r w:rsidRPr="006623DE">
        <w:rPr>
          <w:rFonts w:ascii="Arial" w:hAnsi="Arial" w:cs="Arial"/>
          <w:b/>
          <w:bCs/>
          <w:sz w:val="20"/>
          <w:szCs w:val="20"/>
          <w:lang w:val="vi-VN"/>
        </w:rPr>
        <w:t>3.1</w:t>
      </w:r>
      <w:r w:rsidR="0027675C" w:rsidRPr="006623DE">
        <w:rPr>
          <w:rFonts w:ascii="Arial" w:hAnsi="Arial" w:cs="Arial"/>
          <w:b/>
          <w:bCs/>
          <w:sz w:val="20"/>
          <w:szCs w:val="20"/>
          <w:lang w:val="vi-VN"/>
        </w:rPr>
        <w:t>.</w:t>
      </w:r>
      <w:r w:rsidRPr="006623DE">
        <w:rPr>
          <w:rFonts w:ascii="Arial" w:hAnsi="Arial" w:cs="Arial"/>
          <w:b/>
          <w:bCs/>
          <w:sz w:val="20"/>
          <w:szCs w:val="20"/>
          <w:lang w:val="vi-VN"/>
        </w:rPr>
        <w:t xml:space="preserve"> Research methods</w:t>
      </w:r>
      <w:r w:rsidR="0027675C" w:rsidRPr="006623DE">
        <w:rPr>
          <w:rFonts w:ascii="Arial" w:hAnsi="Arial" w:cs="Arial"/>
          <w:b/>
          <w:bCs/>
          <w:sz w:val="20"/>
          <w:szCs w:val="20"/>
          <w:lang w:val="vi-VN"/>
        </w:rPr>
        <w:t xml:space="preserve">. </w:t>
      </w:r>
      <w:r w:rsidR="00B141FA" w:rsidRPr="00B141FA">
        <w:rPr>
          <w:rFonts w:ascii="Arial" w:hAnsi="Arial" w:cs="Arial"/>
          <w:color w:val="0070C0"/>
          <w:sz w:val="20"/>
          <w:szCs w:val="20"/>
          <w:lang w:val="vi-VN"/>
        </w:rPr>
        <w:t>This study used mixed research methods, including qualitative and quantitative research</w:t>
      </w:r>
      <w:r w:rsidR="00B141FA">
        <w:rPr>
          <w:rFonts w:ascii="Arial" w:hAnsi="Arial" w:cs="Arial"/>
          <w:color w:val="0070C0"/>
          <w:sz w:val="20"/>
          <w:szCs w:val="20"/>
          <w:lang w:val="vi-VN"/>
        </w:rPr>
        <w:t>:</w:t>
      </w:r>
    </w:p>
    <w:p w14:paraId="6E32E15B" w14:textId="77777777" w:rsidR="005C5B8C" w:rsidRPr="005C5B8C" w:rsidRDefault="004D7320" w:rsidP="005C5B8C">
      <w:pPr>
        <w:spacing w:after="0" w:line="360" w:lineRule="auto"/>
        <w:jc w:val="both"/>
        <w:rPr>
          <w:rFonts w:ascii="Arial" w:hAnsi="Arial" w:cs="Arial"/>
          <w:color w:val="0070C0"/>
          <w:sz w:val="20"/>
          <w:szCs w:val="20"/>
          <w:lang w:val="vi-VN"/>
        </w:rPr>
      </w:pPr>
      <w:r w:rsidRPr="005C5B8C">
        <w:rPr>
          <w:rFonts w:ascii="Arial" w:hAnsi="Arial" w:cs="Arial"/>
          <w:color w:val="0070C0"/>
          <w:sz w:val="20"/>
          <w:szCs w:val="20"/>
          <w:lang w:val="vi-VN"/>
        </w:rPr>
        <w:t xml:space="preserve">   </w:t>
      </w:r>
      <w:r w:rsidR="005C5B8C" w:rsidRPr="005C5B8C">
        <w:rPr>
          <w:rFonts w:ascii="Arial" w:hAnsi="Arial" w:cs="Arial"/>
          <w:color w:val="0070C0"/>
          <w:sz w:val="20"/>
          <w:szCs w:val="20"/>
          <w:lang w:val="vi-VN"/>
        </w:rPr>
        <w:t xml:space="preserve">- The qualitative research method aims to explore and identify factors affecting university branding. This method is conducted through expert discussion within the framework of research on organizational branding and human resource development. The expert discussion is five lecturers who have more than ten years of teaching experience at non-public universities. </w:t>
      </w:r>
      <w:r w:rsidR="005C5B8C" w:rsidRPr="001921DE">
        <w:rPr>
          <w:rFonts w:ascii="Arial" w:hAnsi="Arial" w:cs="Arial"/>
          <w:color w:val="0070C0"/>
          <w:sz w:val="20"/>
          <w:szCs w:val="20"/>
          <w:lang w:val="vi-VN"/>
        </w:rPr>
        <w:t xml:space="preserve">The discussion process included three </w:t>
      </w:r>
      <w:r w:rsidR="005C5B8C" w:rsidRPr="005C5B8C">
        <w:rPr>
          <w:rFonts w:ascii="Arial" w:hAnsi="Arial" w:cs="Arial"/>
          <w:color w:val="0070C0"/>
          <w:sz w:val="20"/>
          <w:szCs w:val="20"/>
          <w:lang w:val="vi-VN"/>
        </w:rPr>
        <w:t>steps: Step (1), Identify four inherited measurement scales; step (2), Preliminary screening and checking of observed variables, step (3), Discuss the results of the scale. The qualitative research results have 19 observed variables for four scales in the proposed research model.</w:t>
      </w:r>
    </w:p>
    <w:p w14:paraId="2B10F01C" w14:textId="1AAB71A8" w:rsidR="00C31A11" w:rsidRPr="006623DE" w:rsidRDefault="005C5B8C" w:rsidP="005E42D2">
      <w:pPr>
        <w:spacing w:after="0" w:line="360" w:lineRule="auto"/>
        <w:jc w:val="both"/>
        <w:rPr>
          <w:rFonts w:ascii="Arial" w:hAnsi="Arial" w:cs="Arial"/>
          <w:sz w:val="20"/>
          <w:szCs w:val="20"/>
          <w:lang w:val="vi-VN"/>
        </w:rPr>
      </w:pPr>
      <w:r>
        <w:rPr>
          <w:rFonts w:ascii="Arial" w:hAnsi="Arial" w:cs="Arial"/>
          <w:sz w:val="20"/>
          <w:szCs w:val="20"/>
          <w:lang w:val="vi-VN"/>
        </w:rPr>
        <w:lastRenderedPageBreak/>
        <w:t xml:space="preserve">   - </w:t>
      </w:r>
      <w:r w:rsidR="00C31A11" w:rsidRPr="006623DE">
        <w:rPr>
          <w:rFonts w:ascii="Arial" w:hAnsi="Arial" w:cs="Arial"/>
          <w:sz w:val="20"/>
          <w:szCs w:val="20"/>
          <w:lang w:val="vi-VN"/>
        </w:rPr>
        <w:t>The quantitative method uses the Partial Least Squares Structural Equation Modeling (PLS-SEM) to analyze and evaluate the model's fit and the impact levels of factors proposed in the hypothesis. The results of quantitative data analysis were based on the criteria of Hair et al. (2009).</w:t>
      </w:r>
    </w:p>
    <w:p w14:paraId="0E0DD70D" w14:textId="77777777" w:rsidR="00F616F9" w:rsidRPr="006623DE" w:rsidRDefault="00561C49" w:rsidP="005E42D2">
      <w:pPr>
        <w:spacing w:after="0" w:line="360" w:lineRule="auto"/>
        <w:jc w:val="both"/>
        <w:rPr>
          <w:rFonts w:ascii="Arial" w:hAnsi="Arial" w:cs="Arial"/>
          <w:b/>
          <w:bCs/>
          <w:sz w:val="20"/>
          <w:szCs w:val="20"/>
          <w:lang w:val="vi-VN"/>
        </w:rPr>
      </w:pPr>
      <w:r w:rsidRPr="006623DE">
        <w:rPr>
          <w:rFonts w:ascii="Arial" w:hAnsi="Arial" w:cs="Arial"/>
          <w:b/>
          <w:bCs/>
          <w:sz w:val="20"/>
          <w:szCs w:val="20"/>
        </w:rPr>
        <w:t>3.2. Sampling Method</w:t>
      </w:r>
      <w:r w:rsidRPr="006623DE">
        <w:rPr>
          <w:rFonts w:ascii="Arial" w:hAnsi="Arial" w:cs="Arial"/>
          <w:b/>
          <w:bCs/>
          <w:sz w:val="20"/>
          <w:szCs w:val="20"/>
          <w:lang w:val="vi-VN"/>
        </w:rPr>
        <w:t xml:space="preserve">. </w:t>
      </w:r>
    </w:p>
    <w:p w14:paraId="67E253C2" w14:textId="3A124B22" w:rsidR="007457F7" w:rsidRPr="006623DE" w:rsidRDefault="00FC40DA" w:rsidP="005E42D2">
      <w:pPr>
        <w:spacing w:after="0" w:line="360" w:lineRule="auto"/>
        <w:jc w:val="both"/>
        <w:rPr>
          <w:rFonts w:ascii="Arial" w:hAnsi="Arial" w:cs="Arial"/>
          <w:sz w:val="20"/>
          <w:szCs w:val="20"/>
        </w:rPr>
      </w:pPr>
      <w:r>
        <w:rPr>
          <w:rFonts w:ascii="Arial" w:hAnsi="Arial" w:cs="Arial"/>
          <w:sz w:val="20"/>
          <w:szCs w:val="20"/>
          <w:lang w:val="vi-VN"/>
        </w:rPr>
        <w:t xml:space="preserve">   </w:t>
      </w:r>
      <w:r w:rsidR="00561C49" w:rsidRPr="006623DE">
        <w:rPr>
          <w:rFonts w:ascii="Arial" w:hAnsi="Arial" w:cs="Arial"/>
          <w:sz w:val="20"/>
          <w:szCs w:val="20"/>
          <w:lang w:val="vi-VN"/>
        </w:rPr>
        <w:t>The study used a convenience sampling method, surveying lecturers who are working at 5 non-public universities (including: 1 university in District 5; 1 university in District 8; 1 university in District 10 and 2 universities in Binh Thanh District in Ho Chi Minh City, Vietnam</w:t>
      </w:r>
      <w:r w:rsidR="00561C49" w:rsidRPr="006623DE">
        <w:rPr>
          <w:rFonts w:ascii="Arial" w:hAnsi="Arial" w:cs="Arial"/>
          <w:sz w:val="20"/>
          <w:szCs w:val="20"/>
        </w:rPr>
        <w:t xml:space="preserve">). </w:t>
      </w:r>
      <w:r w:rsidR="000B4AE3" w:rsidRPr="006623DE">
        <w:rPr>
          <w:rFonts w:ascii="Arial" w:hAnsi="Arial" w:cs="Arial"/>
          <w:sz w:val="20"/>
          <w:szCs w:val="20"/>
        </w:rPr>
        <w:t xml:space="preserve">The survey questionnaire was designed using Google Forms and distributed to faculties and lecturers with the assistance of the Administrative Organization Office. </w:t>
      </w:r>
      <w:r w:rsidR="00A7000C" w:rsidRPr="00A7000C">
        <w:rPr>
          <w:rFonts w:ascii="Arial" w:hAnsi="Arial" w:cs="Arial"/>
          <w:color w:val="0070C0"/>
          <w:sz w:val="20"/>
          <w:szCs w:val="20"/>
        </w:rPr>
        <w:t>The process from the Administration Department was sent to the faculties and lecturers, the survey period was from September 4 to December 27, 2024. On December 28, 2024, the author came to receive the data and checked the total number of response forms collected, which was 191 survey forms that had enough information to be included in the analysis.</w:t>
      </w:r>
    </w:p>
    <w:p w14:paraId="690B6032" w14:textId="33303F3A" w:rsidR="00E45E44" w:rsidRPr="006623DE" w:rsidRDefault="00006B45" w:rsidP="005E42D2">
      <w:pPr>
        <w:spacing w:after="0" w:line="360" w:lineRule="auto"/>
        <w:jc w:val="both"/>
        <w:rPr>
          <w:rFonts w:ascii="Arial" w:hAnsi="Arial" w:cs="Arial"/>
          <w:b/>
          <w:bCs/>
          <w:sz w:val="20"/>
          <w:szCs w:val="20"/>
          <w:lang w:val="vi-VN"/>
        </w:rPr>
      </w:pPr>
      <w:r w:rsidRPr="006623DE">
        <w:rPr>
          <w:rFonts w:ascii="Arial" w:hAnsi="Arial" w:cs="Arial"/>
          <w:b/>
          <w:bCs/>
          <w:sz w:val="20"/>
          <w:szCs w:val="20"/>
          <w:lang w:val="vi-VN"/>
        </w:rPr>
        <w:t>3.3. Survey sample information.</w:t>
      </w:r>
    </w:p>
    <w:p w14:paraId="282B427E" w14:textId="0D8EC281" w:rsidR="00FE4A2D" w:rsidRPr="006623DE" w:rsidRDefault="008C3687" w:rsidP="000957D3">
      <w:pPr>
        <w:spacing w:after="0" w:line="360" w:lineRule="auto"/>
        <w:jc w:val="center"/>
        <w:rPr>
          <w:rFonts w:ascii="Arial" w:hAnsi="Arial" w:cs="Arial"/>
          <w:b/>
          <w:bCs/>
          <w:sz w:val="20"/>
          <w:szCs w:val="20"/>
          <w:lang w:val="vi-VN"/>
        </w:rPr>
      </w:pPr>
      <w:r w:rsidRPr="006623DE">
        <w:rPr>
          <w:rFonts w:ascii="Arial" w:hAnsi="Arial" w:cs="Arial"/>
          <w:b/>
          <w:bCs/>
          <w:sz w:val="20"/>
          <w:szCs w:val="20"/>
          <w:lang w:val="vi-VN"/>
        </w:rPr>
        <w:t>Table 1. Characteristics of the survey sample</w:t>
      </w:r>
    </w:p>
    <w:tbl>
      <w:tblPr>
        <w:tblStyle w:val="TableGrid"/>
        <w:tblW w:w="0" w:type="auto"/>
        <w:jc w:val="center"/>
        <w:tblLook w:val="04A0" w:firstRow="1" w:lastRow="0" w:firstColumn="1" w:lastColumn="0" w:noHBand="0" w:noVBand="1"/>
      </w:tblPr>
      <w:tblGrid>
        <w:gridCol w:w="1885"/>
        <w:gridCol w:w="2610"/>
        <w:gridCol w:w="2340"/>
        <w:gridCol w:w="1445"/>
      </w:tblGrid>
      <w:tr w:rsidR="00F77CC6" w:rsidRPr="006623DE" w14:paraId="408A1E13" w14:textId="77777777" w:rsidTr="00DD62B1">
        <w:trPr>
          <w:trHeight w:val="368"/>
          <w:jc w:val="center"/>
        </w:trPr>
        <w:tc>
          <w:tcPr>
            <w:tcW w:w="4495" w:type="dxa"/>
            <w:gridSpan w:val="2"/>
          </w:tcPr>
          <w:p w14:paraId="50D85A79" w14:textId="5F2FC074" w:rsidR="00F77CC6" w:rsidRPr="006623DE" w:rsidRDefault="00C22E3C" w:rsidP="00B2722C">
            <w:pPr>
              <w:spacing w:line="276" w:lineRule="auto"/>
              <w:jc w:val="center"/>
              <w:rPr>
                <w:rFonts w:ascii="Arial" w:hAnsi="Arial" w:cs="Arial"/>
                <w:b/>
                <w:bCs/>
                <w:color w:val="000000" w:themeColor="text1"/>
                <w:sz w:val="20"/>
                <w:szCs w:val="20"/>
                <w:lang w:val="vi-VN"/>
              </w:rPr>
            </w:pPr>
            <w:r w:rsidRPr="006623DE">
              <w:rPr>
                <w:rFonts w:ascii="Arial" w:hAnsi="Arial" w:cs="Arial"/>
                <w:b/>
                <w:bCs/>
                <w:sz w:val="20"/>
                <w:szCs w:val="20"/>
                <w:lang w:val="vi-VN"/>
              </w:rPr>
              <w:t>Characteristics</w:t>
            </w:r>
          </w:p>
        </w:tc>
        <w:tc>
          <w:tcPr>
            <w:tcW w:w="2340" w:type="dxa"/>
          </w:tcPr>
          <w:p w14:paraId="1713A58F" w14:textId="2615DB0B" w:rsidR="00F77CC6" w:rsidRPr="006623DE" w:rsidRDefault="00DA67CC" w:rsidP="00B2722C">
            <w:pPr>
              <w:spacing w:line="276" w:lineRule="auto"/>
              <w:jc w:val="center"/>
              <w:rPr>
                <w:rFonts w:ascii="Arial" w:hAnsi="Arial" w:cs="Arial"/>
                <w:b/>
                <w:bCs/>
                <w:color w:val="000000" w:themeColor="text1"/>
                <w:sz w:val="20"/>
                <w:szCs w:val="20"/>
                <w:lang w:val="vi-VN"/>
              </w:rPr>
            </w:pPr>
            <w:r w:rsidRPr="006623DE">
              <w:rPr>
                <w:rFonts w:ascii="Arial" w:hAnsi="Arial" w:cs="Arial"/>
                <w:b/>
                <w:bCs/>
                <w:color w:val="000000" w:themeColor="text1"/>
                <w:sz w:val="20"/>
                <w:szCs w:val="20"/>
                <w:lang w:val="vi-VN"/>
              </w:rPr>
              <w:t>Number of samples</w:t>
            </w:r>
          </w:p>
        </w:tc>
        <w:tc>
          <w:tcPr>
            <w:tcW w:w="1445" w:type="dxa"/>
          </w:tcPr>
          <w:p w14:paraId="67C30B01" w14:textId="6B3605AD" w:rsidR="00F77CC6" w:rsidRPr="006623DE" w:rsidRDefault="0027290F" w:rsidP="00B2722C">
            <w:pPr>
              <w:spacing w:line="276" w:lineRule="auto"/>
              <w:jc w:val="center"/>
              <w:rPr>
                <w:rFonts w:ascii="Arial" w:hAnsi="Arial" w:cs="Arial"/>
                <w:b/>
                <w:bCs/>
                <w:color w:val="000000" w:themeColor="text1"/>
                <w:sz w:val="20"/>
                <w:szCs w:val="20"/>
                <w:lang w:val="vi-VN"/>
              </w:rPr>
            </w:pPr>
            <w:r w:rsidRPr="006623DE">
              <w:rPr>
                <w:rFonts w:ascii="Arial" w:hAnsi="Arial" w:cs="Arial"/>
                <w:b/>
                <w:bCs/>
                <w:color w:val="000000" w:themeColor="text1"/>
                <w:sz w:val="20"/>
                <w:szCs w:val="20"/>
                <w:lang w:val="vi-VN"/>
              </w:rPr>
              <w:t>Percentage</w:t>
            </w:r>
          </w:p>
        </w:tc>
      </w:tr>
      <w:tr w:rsidR="00F77CC6" w:rsidRPr="006623DE" w14:paraId="227315AD" w14:textId="77777777" w:rsidTr="00DD62B1">
        <w:trPr>
          <w:jc w:val="center"/>
        </w:trPr>
        <w:tc>
          <w:tcPr>
            <w:tcW w:w="1885" w:type="dxa"/>
            <w:vMerge w:val="restart"/>
          </w:tcPr>
          <w:p w14:paraId="0DB08A49" w14:textId="3397696C" w:rsidR="00F77CC6" w:rsidRPr="006623DE" w:rsidRDefault="00822707" w:rsidP="00B2722C">
            <w:pPr>
              <w:spacing w:line="276" w:lineRule="auto"/>
              <w:jc w:val="both"/>
              <w:rPr>
                <w:rFonts w:ascii="Arial" w:hAnsi="Arial" w:cs="Arial"/>
                <w:b/>
                <w:bCs/>
                <w:color w:val="000000" w:themeColor="text1"/>
                <w:sz w:val="20"/>
                <w:szCs w:val="20"/>
                <w:lang w:val="vi-VN"/>
              </w:rPr>
            </w:pPr>
            <w:r w:rsidRPr="006623DE">
              <w:rPr>
                <w:rFonts w:ascii="Arial" w:hAnsi="Arial" w:cs="Arial"/>
                <w:b/>
                <w:bCs/>
                <w:color w:val="000000" w:themeColor="text1"/>
                <w:sz w:val="20"/>
                <w:szCs w:val="20"/>
                <w:lang w:val="vi-VN"/>
              </w:rPr>
              <w:t>Sex</w:t>
            </w:r>
          </w:p>
        </w:tc>
        <w:tc>
          <w:tcPr>
            <w:tcW w:w="2610" w:type="dxa"/>
          </w:tcPr>
          <w:p w14:paraId="48B5BBA8" w14:textId="357F6C37" w:rsidR="00F77CC6" w:rsidRPr="006623DE" w:rsidRDefault="00F427D7" w:rsidP="00B2722C">
            <w:pPr>
              <w:spacing w:line="276" w:lineRule="auto"/>
              <w:jc w:val="both"/>
              <w:rPr>
                <w:rFonts w:ascii="Arial" w:hAnsi="Arial" w:cs="Arial"/>
                <w:color w:val="000000" w:themeColor="text1"/>
                <w:sz w:val="20"/>
                <w:szCs w:val="20"/>
                <w:lang w:val="vi-VN"/>
              </w:rPr>
            </w:pPr>
            <w:r w:rsidRPr="006623DE">
              <w:rPr>
                <w:rFonts w:ascii="Arial" w:hAnsi="Arial" w:cs="Arial"/>
                <w:color w:val="000000" w:themeColor="text1"/>
                <w:sz w:val="20"/>
                <w:szCs w:val="20"/>
                <w:lang w:val="vi-VN"/>
              </w:rPr>
              <w:t>Female</w:t>
            </w:r>
          </w:p>
        </w:tc>
        <w:tc>
          <w:tcPr>
            <w:tcW w:w="2340" w:type="dxa"/>
          </w:tcPr>
          <w:p w14:paraId="7EECEB27" w14:textId="77777777" w:rsidR="00F77CC6" w:rsidRPr="006623DE" w:rsidRDefault="00F77CC6" w:rsidP="00B2722C">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101</w:t>
            </w:r>
          </w:p>
        </w:tc>
        <w:tc>
          <w:tcPr>
            <w:tcW w:w="1445" w:type="dxa"/>
          </w:tcPr>
          <w:p w14:paraId="6206302D" w14:textId="77777777" w:rsidR="00F77CC6" w:rsidRPr="006623DE" w:rsidRDefault="00F77CC6" w:rsidP="00B2722C">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52,88</w:t>
            </w:r>
          </w:p>
        </w:tc>
      </w:tr>
      <w:tr w:rsidR="00F77CC6" w:rsidRPr="006623DE" w14:paraId="6464D499" w14:textId="77777777" w:rsidTr="00DD62B1">
        <w:trPr>
          <w:jc w:val="center"/>
        </w:trPr>
        <w:tc>
          <w:tcPr>
            <w:tcW w:w="1885" w:type="dxa"/>
            <w:vMerge/>
          </w:tcPr>
          <w:p w14:paraId="341353D5" w14:textId="77777777" w:rsidR="00F77CC6" w:rsidRPr="006623DE" w:rsidRDefault="00F77CC6" w:rsidP="00B2722C">
            <w:pPr>
              <w:spacing w:line="276" w:lineRule="auto"/>
              <w:jc w:val="both"/>
              <w:rPr>
                <w:rFonts w:ascii="Arial" w:hAnsi="Arial" w:cs="Arial"/>
                <w:b/>
                <w:bCs/>
                <w:color w:val="000000" w:themeColor="text1"/>
                <w:sz w:val="20"/>
                <w:szCs w:val="20"/>
                <w:lang w:val="vi-VN"/>
              </w:rPr>
            </w:pPr>
          </w:p>
        </w:tc>
        <w:tc>
          <w:tcPr>
            <w:tcW w:w="2610" w:type="dxa"/>
          </w:tcPr>
          <w:p w14:paraId="6483DEE1" w14:textId="3CCCFCB6" w:rsidR="00F77CC6" w:rsidRPr="006623DE" w:rsidRDefault="00F427D7" w:rsidP="00B2722C">
            <w:pPr>
              <w:spacing w:line="276" w:lineRule="auto"/>
              <w:jc w:val="both"/>
              <w:rPr>
                <w:rFonts w:ascii="Arial" w:hAnsi="Arial" w:cs="Arial"/>
                <w:color w:val="000000" w:themeColor="text1"/>
                <w:sz w:val="20"/>
                <w:szCs w:val="20"/>
                <w:lang w:val="vi-VN"/>
              </w:rPr>
            </w:pPr>
            <w:r w:rsidRPr="006623DE">
              <w:rPr>
                <w:rFonts w:ascii="Arial" w:hAnsi="Arial" w:cs="Arial"/>
                <w:color w:val="000000" w:themeColor="text1"/>
                <w:sz w:val="20"/>
                <w:szCs w:val="20"/>
                <w:lang w:val="vi-VN"/>
              </w:rPr>
              <w:t>Male</w:t>
            </w:r>
          </w:p>
        </w:tc>
        <w:tc>
          <w:tcPr>
            <w:tcW w:w="2340" w:type="dxa"/>
          </w:tcPr>
          <w:p w14:paraId="320A4909" w14:textId="77777777" w:rsidR="00F77CC6" w:rsidRPr="006623DE" w:rsidRDefault="00F77CC6" w:rsidP="00B2722C">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90</w:t>
            </w:r>
          </w:p>
        </w:tc>
        <w:tc>
          <w:tcPr>
            <w:tcW w:w="1445" w:type="dxa"/>
          </w:tcPr>
          <w:p w14:paraId="4FA0BC4E" w14:textId="77777777" w:rsidR="00F77CC6" w:rsidRPr="006623DE" w:rsidRDefault="00F77CC6" w:rsidP="00B2722C">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47,12</w:t>
            </w:r>
          </w:p>
        </w:tc>
      </w:tr>
      <w:tr w:rsidR="00F77CC6" w:rsidRPr="006623DE" w14:paraId="6B31CBC7" w14:textId="77777777" w:rsidTr="00DD62B1">
        <w:trPr>
          <w:jc w:val="center"/>
        </w:trPr>
        <w:tc>
          <w:tcPr>
            <w:tcW w:w="1885" w:type="dxa"/>
            <w:vMerge w:val="restart"/>
          </w:tcPr>
          <w:p w14:paraId="0B3CF0BD" w14:textId="7BA24327" w:rsidR="00F77CC6" w:rsidRPr="006623DE" w:rsidRDefault="000B32DC" w:rsidP="00B2722C">
            <w:pPr>
              <w:spacing w:line="276" w:lineRule="auto"/>
              <w:jc w:val="both"/>
              <w:rPr>
                <w:rFonts w:ascii="Arial" w:hAnsi="Arial" w:cs="Arial"/>
                <w:b/>
                <w:bCs/>
                <w:color w:val="000000" w:themeColor="text1"/>
                <w:sz w:val="20"/>
                <w:szCs w:val="20"/>
                <w:lang w:val="vi-VN"/>
              </w:rPr>
            </w:pPr>
            <w:r w:rsidRPr="006623DE">
              <w:rPr>
                <w:rFonts w:ascii="Arial" w:hAnsi="Arial" w:cs="Arial"/>
                <w:b/>
                <w:bCs/>
                <w:color w:val="000000" w:themeColor="text1"/>
                <w:sz w:val="20"/>
                <w:szCs w:val="20"/>
                <w:lang w:val="vi-VN"/>
              </w:rPr>
              <w:t>Age</w:t>
            </w:r>
          </w:p>
        </w:tc>
        <w:tc>
          <w:tcPr>
            <w:tcW w:w="2610" w:type="dxa"/>
          </w:tcPr>
          <w:p w14:paraId="3BEC3F81" w14:textId="67873BB6" w:rsidR="00F77CC6" w:rsidRPr="006623DE" w:rsidRDefault="006E1592" w:rsidP="00B2722C">
            <w:pPr>
              <w:spacing w:line="276" w:lineRule="auto"/>
              <w:jc w:val="both"/>
              <w:rPr>
                <w:rFonts w:ascii="Arial" w:hAnsi="Arial" w:cs="Arial"/>
                <w:color w:val="000000" w:themeColor="text1"/>
                <w:sz w:val="20"/>
                <w:szCs w:val="20"/>
                <w:lang w:val="vi-VN"/>
              </w:rPr>
            </w:pPr>
            <w:r w:rsidRPr="006623DE">
              <w:rPr>
                <w:rFonts w:ascii="Arial" w:hAnsi="Arial" w:cs="Arial"/>
                <w:color w:val="000000" w:themeColor="text1"/>
                <w:sz w:val="20"/>
                <w:szCs w:val="20"/>
                <w:lang w:val="vi-VN"/>
              </w:rPr>
              <w:t>30 years old and under</w:t>
            </w:r>
          </w:p>
        </w:tc>
        <w:tc>
          <w:tcPr>
            <w:tcW w:w="2340" w:type="dxa"/>
          </w:tcPr>
          <w:p w14:paraId="714CFE38" w14:textId="77777777" w:rsidR="00F77CC6" w:rsidRPr="006623DE" w:rsidRDefault="00F77CC6" w:rsidP="00B2722C">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31</w:t>
            </w:r>
          </w:p>
        </w:tc>
        <w:tc>
          <w:tcPr>
            <w:tcW w:w="1445" w:type="dxa"/>
          </w:tcPr>
          <w:p w14:paraId="31C199B0" w14:textId="77777777" w:rsidR="00F77CC6" w:rsidRPr="006623DE" w:rsidRDefault="00F77CC6" w:rsidP="00B2722C">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16,23</w:t>
            </w:r>
          </w:p>
        </w:tc>
      </w:tr>
      <w:tr w:rsidR="00F77CC6" w:rsidRPr="006623DE" w14:paraId="65791D46" w14:textId="77777777" w:rsidTr="00DD62B1">
        <w:trPr>
          <w:jc w:val="center"/>
        </w:trPr>
        <w:tc>
          <w:tcPr>
            <w:tcW w:w="1885" w:type="dxa"/>
            <w:vMerge/>
          </w:tcPr>
          <w:p w14:paraId="70637F23" w14:textId="77777777" w:rsidR="00F77CC6" w:rsidRPr="006623DE" w:rsidRDefault="00F77CC6" w:rsidP="00B2722C">
            <w:pPr>
              <w:spacing w:line="276" w:lineRule="auto"/>
              <w:jc w:val="both"/>
              <w:rPr>
                <w:rFonts w:ascii="Arial" w:hAnsi="Arial" w:cs="Arial"/>
                <w:b/>
                <w:bCs/>
                <w:color w:val="000000" w:themeColor="text1"/>
                <w:sz w:val="20"/>
                <w:szCs w:val="20"/>
                <w:lang w:val="vi-VN"/>
              </w:rPr>
            </w:pPr>
          </w:p>
        </w:tc>
        <w:tc>
          <w:tcPr>
            <w:tcW w:w="2610" w:type="dxa"/>
          </w:tcPr>
          <w:p w14:paraId="341146A5" w14:textId="5F486053" w:rsidR="00F77CC6" w:rsidRPr="006623DE" w:rsidRDefault="006E1592" w:rsidP="00B2722C">
            <w:pPr>
              <w:spacing w:line="276" w:lineRule="auto"/>
              <w:jc w:val="both"/>
              <w:rPr>
                <w:rFonts w:ascii="Arial" w:hAnsi="Arial" w:cs="Arial"/>
                <w:color w:val="000000" w:themeColor="text1"/>
                <w:sz w:val="20"/>
                <w:szCs w:val="20"/>
                <w:lang w:val="vi-VN"/>
              </w:rPr>
            </w:pPr>
            <w:r w:rsidRPr="006623DE">
              <w:rPr>
                <w:rFonts w:ascii="Arial" w:hAnsi="Arial" w:cs="Arial"/>
                <w:color w:val="000000" w:themeColor="text1"/>
                <w:sz w:val="20"/>
                <w:szCs w:val="20"/>
                <w:lang w:val="vi-VN"/>
              </w:rPr>
              <w:t>31 to 45 years old</w:t>
            </w:r>
          </w:p>
        </w:tc>
        <w:tc>
          <w:tcPr>
            <w:tcW w:w="2340" w:type="dxa"/>
          </w:tcPr>
          <w:p w14:paraId="15CFF532" w14:textId="77777777" w:rsidR="00F77CC6" w:rsidRPr="006623DE" w:rsidRDefault="00F77CC6" w:rsidP="00B2722C">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61</w:t>
            </w:r>
          </w:p>
        </w:tc>
        <w:tc>
          <w:tcPr>
            <w:tcW w:w="1445" w:type="dxa"/>
          </w:tcPr>
          <w:p w14:paraId="65FE3D0E" w14:textId="77777777" w:rsidR="00F77CC6" w:rsidRPr="006623DE" w:rsidRDefault="00F77CC6" w:rsidP="00B2722C">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31,94</w:t>
            </w:r>
          </w:p>
        </w:tc>
      </w:tr>
      <w:tr w:rsidR="00F77CC6" w:rsidRPr="006623DE" w14:paraId="6C89F99E" w14:textId="77777777" w:rsidTr="00DD62B1">
        <w:trPr>
          <w:jc w:val="center"/>
        </w:trPr>
        <w:tc>
          <w:tcPr>
            <w:tcW w:w="1885" w:type="dxa"/>
            <w:vMerge/>
          </w:tcPr>
          <w:p w14:paraId="7264E270" w14:textId="77777777" w:rsidR="00F77CC6" w:rsidRPr="006623DE" w:rsidRDefault="00F77CC6" w:rsidP="00B2722C">
            <w:pPr>
              <w:spacing w:line="276" w:lineRule="auto"/>
              <w:jc w:val="both"/>
              <w:rPr>
                <w:rFonts w:ascii="Arial" w:hAnsi="Arial" w:cs="Arial"/>
                <w:b/>
                <w:bCs/>
                <w:color w:val="000000" w:themeColor="text1"/>
                <w:sz w:val="20"/>
                <w:szCs w:val="20"/>
                <w:lang w:val="vi-VN"/>
              </w:rPr>
            </w:pPr>
          </w:p>
        </w:tc>
        <w:tc>
          <w:tcPr>
            <w:tcW w:w="2610" w:type="dxa"/>
          </w:tcPr>
          <w:p w14:paraId="234FE4FD" w14:textId="7ECFEB48" w:rsidR="00F77CC6" w:rsidRPr="006623DE" w:rsidRDefault="006E1592" w:rsidP="00B2722C">
            <w:pPr>
              <w:spacing w:line="276" w:lineRule="auto"/>
              <w:jc w:val="both"/>
              <w:rPr>
                <w:rFonts w:ascii="Arial" w:hAnsi="Arial" w:cs="Arial"/>
                <w:color w:val="000000" w:themeColor="text1"/>
                <w:sz w:val="20"/>
                <w:szCs w:val="20"/>
                <w:lang w:val="vi-VN"/>
              </w:rPr>
            </w:pPr>
            <w:r w:rsidRPr="006623DE">
              <w:rPr>
                <w:rFonts w:ascii="Arial" w:hAnsi="Arial" w:cs="Arial"/>
                <w:color w:val="000000" w:themeColor="text1"/>
                <w:sz w:val="20"/>
                <w:szCs w:val="20"/>
                <w:lang w:val="vi-VN"/>
              </w:rPr>
              <w:t>46 to 55 years old</w:t>
            </w:r>
          </w:p>
        </w:tc>
        <w:tc>
          <w:tcPr>
            <w:tcW w:w="2340" w:type="dxa"/>
          </w:tcPr>
          <w:p w14:paraId="4B1092F4" w14:textId="77777777" w:rsidR="00F77CC6" w:rsidRPr="006623DE" w:rsidRDefault="00F77CC6" w:rsidP="00B2722C">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56</w:t>
            </w:r>
          </w:p>
        </w:tc>
        <w:tc>
          <w:tcPr>
            <w:tcW w:w="1445" w:type="dxa"/>
          </w:tcPr>
          <w:p w14:paraId="55E27AB3" w14:textId="77777777" w:rsidR="00F77CC6" w:rsidRPr="006623DE" w:rsidRDefault="00F77CC6" w:rsidP="00B2722C">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29,32</w:t>
            </w:r>
          </w:p>
        </w:tc>
      </w:tr>
      <w:tr w:rsidR="00F77CC6" w:rsidRPr="006623DE" w14:paraId="7D35A513" w14:textId="77777777" w:rsidTr="00DD62B1">
        <w:trPr>
          <w:jc w:val="center"/>
        </w:trPr>
        <w:tc>
          <w:tcPr>
            <w:tcW w:w="1885" w:type="dxa"/>
            <w:vMerge/>
          </w:tcPr>
          <w:p w14:paraId="043A2561" w14:textId="77777777" w:rsidR="00F77CC6" w:rsidRPr="006623DE" w:rsidRDefault="00F77CC6" w:rsidP="00B2722C">
            <w:pPr>
              <w:spacing w:line="276" w:lineRule="auto"/>
              <w:jc w:val="both"/>
              <w:rPr>
                <w:rFonts w:ascii="Arial" w:hAnsi="Arial" w:cs="Arial"/>
                <w:b/>
                <w:bCs/>
                <w:color w:val="000000" w:themeColor="text1"/>
                <w:sz w:val="20"/>
                <w:szCs w:val="20"/>
                <w:lang w:val="vi-VN"/>
              </w:rPr>
            </w:pPr>
          </w:p>
        </w:tc>
        <w:tc>
          <w:tcPr>
            <w:tcW w:w="2610" w:type="dxa"/>
          </w:tcPr>
          <w:p w14:paraId="45B89AD5" w14:textId="05E850EC" w:rsidR="00F77CC6" w:rsidRPr="006623DE" w:rsidRDefault="006E1592" w:rsidP="00B2722C">
            <w:pPr>
              <w:spacing w:line="276" w:lineRule="auto"/>
              <w:jc w:val="both"/>
              <w:rPr>
                <w:rFonts w:ascii="Arial" w:hAnsi="Arial" w:cs="Arial"/>
                <w:color w:val="000000" w:themeColor="text1"/>
                <w:sz w:val="20"/>
                <w:szCs w:val="20"/>
                <w:lang w:val="vi-VN"/>
              </w:rPr>
            </w:pPr>
            <w:r w:rsidRPr="006623DE">
              <w:rPr>
                <w:rFonts w:ascii="Arial" w:hAnsi="Arial" w:cs="Arial"/>
                <w:color w:val="000000" w:themeColor="text1"/>
                <w:sz w:val="20"/>
                <w:szCs w:val="20"/>
                <w:lang w:val="vi-VN"/>
              </w:rPr>
              <w:t>56 years old and over</w:t>
            </w:r>
          </w:p>
        </w:tc>
        <w:tc>
          <w:tcPr>
            <w:tcW w:w="2340" w:type="dxa"/>
          </w:tcPr>
          <w:p w14:paraId="5618B7BE" w14:textId="77777777" w:rsidR="00F77CC6" w:rsidRPr="006623DE" w:rsidRDefault="00F77CC6" w:rsidP="00B2722C">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43</w:t>
            </w:r>
          </w:p>
        </w:tc>
        <w:tc>
          <w:tcPr>
            <w:tcW w:w="1445" w:type="dxa"/>
          </w:tcPr>
          <w:p w14:paraId="0D4DD01D" w14:textId="77777777" w:rsidR="00F77CC6" w:rsidRPr="006623DE" w:rsidRDefault="00F77CC6" w:rsidP="00B2722C">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22,51</w:t>
            </w:r>
          </w:p>
        </w:tc>
      </w:tr>
      <w:tr w:rsidR="00F77CC6" w:rsidRPr="006623DE" w14:paraId="2F3B87BE" w14:textId="77777777" w:rsidTr="00DD62B1">
        <w:trPr>
          <w:jc w:val="center"/>
        </w:trPr>
        <w:tc>
          <w:tcPr>
            <w:tcW w:w="1885" w:type="dxa"/>
            <w:vMerge w:val="restart"/>
          </w:tcPr>
          <w:p w14:paraId="0E0AC11E" w14:textId="1D7C4432" w:rsidR="00F77CC6" w:rsidRPr="006623DE" w:rsidRDefault="00C82A55" w:rsidP="00B2722C">
            <w:pPr>
              <w:spacing w:line="276" w:lineRule="auto"/>
              <w:jc w:val="both"/>
              <w:rPr>
                <w:rFonts w:ascii="Arial" w:hAnsi="Arial" w:cs="Arial"/>
                <w:b/>
                <w:bCs/>
                <w:color w:val="000000" w:themeColor="text1"/>
                <w:sz w:val="20"/>
                <w:szCs w:val="20"/>
                <w:lang w:val="vi-VN"/>
              </w:rPr>
            </w:pPr>
            <w:r w:rsidRPr="006623DE">
              <w:rPr>
                <w:rFonts w:ascii="Arial" w:hAnsi="Arial" w:cs="Arial"/>
                <w:b/>
                <w:bCs/>
                <w:color w:val="000000" w:themeColor="text1"/>
                <w:sz w:val="20"/>
                <w:szCs w:val="20"/>
                <w:lang w:val="vi-VN"/>
              </w:rPr>
              <w:t>Professional qualifications</w:t>
            </w:r>
          </w:p>
        </w:tc>
        <w:tc>
          <w:tcPr>
            <w:tcW w:w="2610" w:type="dxa"/>
          </w:tcPr>
          <w:p w14:paraId="4D9F4F13" w14:textId="17D01BE0" w:rsidR="00F77CC6" w:rsidRPr="006623DE" w:rsidRDefault="00F07CA2" w:rsidP="00B2722C">
            <w:pPr>
              <w:spacing w:line="276" w:lineRule="auto"/>
              <w:jc w:val="both"/>
              <w:rPr>
                <w:rFonts w:ascii="Arial" w:hAnsi="Arial" w:cs="Arial"/>
                <w:color w:val="000000" w:themeColor="text1"/>
                <w:sz w:val="20"/>
                <w:szCs w:val="20"/>
                <w:lang w:val="vi-VN"/>
              </w:rPr>
            </w:pPr>
            <w:r w:rsidRPr="006623DE">
              <w:rPr>
                <w:rFonts w:ascii="Arial" w:hAnsi="Arial" w:cs="Arial"/>
                <w:color w:val="000000" w:themeColor="text1"/>
                <w:sz w:val="20"/>
                <w:szCs w:val="20"/>
                <w:lang w:val="vi-VN"/>
              </w:rPr>
              <w:t>Master</w:t>
            </w:r>
          </w:p>
        </w:tc>
        <w:tc>
          <w:tcPr>
            <w:tcW w:w="2340" w:type="dxa"/>
          </w:tcPr>
          <w:p w14:paraId="73A96810" w14:textId="77777777" w:rsidR="00F77CC6" w:rsidRPr="006623DE" w:rsidRDefault="00F77CC6" w:rsidP="00B2722C">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92</w:t>
            </w:r>
          </w:p>
        </w:tc>
        <w:tc>
          <w:tcPr>
            <w:tcW w:w="1445" w:type="dxa"/>
          </w:tcPr>
          <w:p w14:paraId="450A17B0" w14:textId="77777777" w:rsidR="00F77CC6" w:rsidRPr="006623DE" w:rsidRDefault="00F77CC6" w:rsidP="00B2722C">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48,17</w:t>
            </w:r>
          </w:p>
        </w:tc>
      </w:tr>
      <w:tr w:rsidR="00F77CC6" w:rsidRPr="006623DE" w14:paraId="49875B84" w14:textId="77777777" w:rsidTr="00DD62B1">
        <w:trPr>
          <w:jc w:val="center"/>
        </w:trPr>
        <w:tc>
          <w:tcPr>
            <w:tcW w:w="1885" w:type="dxa"/>
            <w:vMerge/>
          </w:tcPr>
          <w:p w14:paraId="19D33E78" w14:textId="77777777" w:rsidR="00F77CC6" w:rsidRPr="006623DE" w:rsidRDefault="00F77CC6" w:rsidP="00B2722C">
            <w:pPr>
              <w:spacing w:line="276" w:lineRule="auto"/>
              <w:jc w:val="both"/>
              <w:rPr>
                <w:rFonts w:ascii="Arial" w:hAnsi="Arial" w:cs="Arial"/>
                <w:color w:val="000000" w:themeColor="text1"/>
                <w:sz w:val="20"/>
                <w:szCs w:val="20"/>
                <w:lang w:val="vi-VN"/>
              </w:rPr>
            </w:pPr>
          </w:p>
        </w:tc>
        <w:tc>
          <w:tcPr>
            <w:tcW w:w="2610" w:type="dxa"/>
          </w:tcPr>
          <w:p w14:paraId="58104F25" w14:textId="678A74A7" w:rsidR="00F77CC6" w:rsidRPr="006623DE" w:rsidRDefault="00F07CA2" w:rsidP="00B2722C">
            <w:pPr>
              <w:spacing w:line="276" w:lineRule="auto"/>
              <w:jc w:val="both"/>
              <w:rPr>
                <w:rFonts w:ascii="Arial" w:hAnsi="Arial" w:cs="Arial"/>
                <w:color w:val="000000" w:themeColor="text1"/>
                <w:sz w:val="20"/>
                <w:szCs w:val="20"/>
                <w:lang w:val="vi-VN"/>
              </w:rPr>
            </w:pPr>
            <w:r w:rsidRPr="006623DE">
              <w:rPr>
                <w:rFonts w:ascii="Arial" w:hAnsi="Arial" w:cs="Arial"/>
                <w:color w:val="000000" w:themeColor="text1"/>
                <w:sz w:val="20"/>
                <w:szCs w:val="20"/>
                <w:lang w:val="vi-VN"/>
              </w:rPr>
              <w:t>Ph.D</w:t>
            </w:r>
            <w:r w:rsidR="00F84BEA" w:rsidRPr="006623DE">
              <w:rPr>
                <w:rFonts w:ascii="Arial" w:hAnsi="Arial" w:cs="Arial"/>
                <w:color w:val="000000" w:themeColor="text1"/>
                <w:sz w:val="20"/>
                <w:szCs w:val="20"/>
                <w:lang w:val="vi-VN"/>
              </w:rPr>
              <w:t xml:space="preserve"> and </w:t>
            </w:r>
            <w:r w:rsidR="001A33AA" w:rsidRPr="006623DE">
              <w:rPr>
                <w:rFonts w:ascii="Arial" w:hAnsi="Arial" w:cs="Arial"/>
                <w:color w:val="000000" w:themeColor="text1"/>
                <w:sz w:val="20"/>
                <w:szCs w:val="20"/>
                <w:lang w:val="vi-VN"/>
              </w:rPr>
              <w:t>Ass.Professor</w:t>
            </w:r>
          </w:p>
        </w:tc>
        <w:tc>
          <w:tcPr>
            <w:tcW w:w="2340" w:type="dxa"/>
          </w:tcPr>
          <w:p w14:paraId="04B91836" w14:textId="77777777" w:rsidR="00F77CC6" w:rsidRPr="006623DE" w:rsidRDefault="00F77CC6" w:rsidP="00B2722C">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76</w:t>
            </w:r>
          </w:p>
        </w:tc>
        <w:tc>
          <w:tcPr>
            <w:tcW w:w="1445" w:type="dxa"/>
          </w:tcPr>
          <w:p w14:paraId="4BE273F5" w14:textId="77777777" w:rsidR="00F77CC6" w:rsidRPr="006623DE" w:rsidRDefault="00F77CC6" w:rsidP="00B2722C">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39,79</w:t>
            </w:r>
          </w:p>
        </w:tc>
      </w:tr>
      <w:tr w:rsidR="00F77CC6" w:rsidRPr="006623DE" w14:paraId="3C8DB664" w14:textId="77777777" w:rsidTr="00DD62B1">
        <w:trPr>
          <w:jc w:val="center"/>
        </w:trPr>
        <w:tc>
          <w:tcPr>
            <w:tcW w:w="1885" w:type="dxa"/>
            <w:vMerge/>
          </w:tcPr>
          <w:p w14:paraId="68CEA4CD" w14:textId="77777777" w:rsidR="00F77CC6" w:rsidRPr="006623DE" w:rsidRDefault="00F77CC6" w:rsidP="00B2722C">
            <w:pPr>
              <w:spacing w:line="276" w:lineRule="auto"/>
              <w:jc w:val="both"/>
              <w:rPr>
                <w:rFonts w:ascii="Arial" w:hAnsi="Arial" w:cs="Arial"/>
                <w:color w:val="000000" w:themeColor="text1"/>
                <w:sz w:val="20"/>
                <w:szCs w:val="20"/>
                <w:lang w:val="vi-VN"/>
              </w:rPr>
            </w:pPr>
          </w:p>
        </w:tc>
        <w:tc>
          <w:tcPr>
            <w:tcW w:w="2610" w:type="dxa"/>
          </w:tcPr>
          <w:p w14:paraId="5A95421C" w14:textId="74421033" w:rsidR="00F77CC6" w:rsidRPr="006623DE" w:rsidRDefault="00F07CA2" w:rsidP="00B2722C">
            <w:pPr>
              <w:spacing w:line="276" w:lineRule="auto"/>
              <w:jc w:val="both"/>
              <w:rPr>
                <w:rFonts w:ascii="Arial" w:hAnsi="Arial" w:cs="Arial"/>
                <w:color w:val="000000" w:themeColor="text1"/>
                <w:sz w:val="20"/>
                <w:szCs w:val="20"/>
                <w:lang w:val="vi-VN"/>
              </w:rPr>
            </w:pPr>
            <w:r w:rsidRPr="006623DE">
              <w:rPr>
                <w:rFonts w:ascii="Arial" w:hAnsi="Arial" w:cs="Arial"/>
                <w:color w:val="000000" w:themeColor="text1"/>
                <w:sz w:val="20"/>
                <w:szCs w:val="20"/>
                <w:lang w:val="vi-VN"/>
              </w:rPr>
              <w:t>Professor</w:t>
            </w:r>
          </w:p>
        </w:tc>
        <w:tc>
          <w:tcPr>
            <w:tcW w:w="2340" w:type="dxa"/>
          </w:tcPr>
          <w:p w14:paraId="2B160CC2" w14:textId="77777777" w:rsidR="00F77CC6" w:rsidRPr="006623DE" w:rsidRDefault="00F77CC6" w:rsidP="00B2722C">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23</w:t>
            </w:r>
          </w:p>
        </w:tc>
        <w:tc>
          <w:tcPr>
            <w:tcW w:w="1445" w:type="dxa"/>
          </w:tcPr>
          <w:p w14:paraId="07F42720" w14:textId="77777777" w:rsidR="00F77CC6" w:rsidRPr="006623DE" w:rsidRDefault="00F77CC6" w:rsidP="00B2722C">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12,04</w:t>
            </w:r>
          </w:p>
        </w:tc>
      </w:tr>
      <w:tr w:rsidR="00F77CC6" w:rsidRPr="006623DE" w14:paraId="0E9C63BC" w14:textId="77777777" w:rsidTr="00DD62B1">
        <w:trPr>
          <w:jc w:val="center"/>
        </w:trPr>
        <w:tc>
          <w:tcPr>
            <w:tcW w:w="1885" w:type="dxa"/>
            <w:vMerge w:val="restart"/>
          </w:tcPr>
          <w:p w14:paraId="239AE3E9" w14:textId="30547374" w:rsidR="00F77CC6" w:rsidRPr="006623DE" w:rsidRDefault="000C6F3A" w:rsidP="00B2722C">
            <w:pPr>
              <w:spacing w:line="276" w:lineRule="auto"/>
              <w:jc w:val="both"/>
              <w:rPr>
                <w:rFonts w:ascii="Arial" w:hAnsi="Arial" w:cs="Arial"/>
                <w:b/>
                <w:bCs/>
                <w:color w:val="000000" w:themeColor="text1"/>
                <w:sz w:val="20"/>
                <w:szCs w:val="20"/>
                <w:lang w:val="vi-VN"/>
              </w:rPr>
            </w:pPr>
            <w:r w:rsidRPr="006623DE">
              <w:rPr>
                <w:rFonts w:ascii="Arial" w:hAnsi="Arial" w:cs="Arial"/>
                <w:b/>
                <w:bCs/>
                <w:color w:val="000000" w:themeColor="text1"/>
                <w:sz w:val="20"/>
                <w:szCs w:val="20"/>
                <w:lang w:val="vi-VN"/>
              </w:rPr>
              <w:t>Family status</w:t>
            </w:r>
          </w:p>
        </w:tc>
        <w:tc>
          <w:tcPr>
            <w:tcW w:w="2610" w:type="dxa"/>
          </w:tcPr>
          <w:p w14:paraId="0826235C" w14:textId="5AAD46D5" w:rsidR="00F77CC6" w:rsidRPr="006623DE" w:rsidRDefault="00E346D8" w:rsidP="00B2722C">
            <w:pPr>
              <w:spacing w:line="276" w:lineRule="auto"/>
              <w:jc w:val="both"/>
              <w:rPr>
                <w:rFonts w:ascii="Arial" w:hAnsi="Arial" w:cs="Arial"/>
                <w:color w:val="000000" w:themeColor="text1"/>
                <w:sz w:val="20"/>
                <w:szCs w:val="20"/>
                <w:lang w:val="vi-VN"/>
              </w:rPr>
            </w:pPr>
            <w:r w:rsidRPr="006623DE">
              <w:rPr>
                <w:rFonts w:ascii="Arial" w:hAnsi="Arial" w:cs="Arial"/>
                <w:color w:val="000000" w:themeColor="text1"/>
                <w:sz w:val="20"/>
                <w:szCs w:val="20"/>
                <w:lang w:val="vi-VN"/>
              </w:rPr>
              <w:t>Single</w:t>
            </w:r>
          </w:p>
        </w:tc>
        <w:tc>
          <w:tcPr>
            <w:tcW w:w="2340" w:type="dxa"/>
          </w:tcPr>
          <w:p w14:paraId="3A273F5D" w14:textId="77777777" w:rsidR="00F77CC6" w:rsidRPr="006623DE" w:rsidRDefault="00F77CC6" w:rsidP="00B2722C">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56</w:t>
            </w:r>
          </w:p>
        </w:tc>
        <w:tc>
          <w:tcPr>
            <w:tcW w:w="1445" w:type="dxa"/>
          </w:tcPr>
          <w:p w14:paraId="0EB69C71" w14:textId="77777777" w:rsidR="00F77CC6" w:rsidRPr="006623DE" w:rsidRDefault="00F77CC6" w:rsidP="00B2722C">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29,32</w:t>
            </w:r>
          </w:p>
        </w:tc>
      </w:tr>
      <w:tr w:rsidR="00F77CC6" w:rsidRPr="006623DE" w14:paraId="5D89C2A8" w14:textId="77777777" w:rsidTr="00DD62B1">
        <w:trPr>
          <w:jc w:val="center"/>
        </w:trPr>
        <w:tc>
          <w:tcPr>
            <w:tcW w:w="1885" w:type="dxa"/>
            <w:vMerge/>
          </w:tcPr>
          <w:p w14:paraId="20AADE1E" w14:textId="77777777" w:rsidR="00F77CC6" w:rsidRPr="006623DE" w:rsidRDefault="00F77CC6" w:rsidP="00B2722C">
            <w:pPr>
              <w:spacing w:line="276" w:lineRule="auto"/>
              <w:jc w:val="both"/>
              <w:rPr>
                <w:rFonts w:ascii="Arial" w:hAnsi="Arial" w:cs="Arial"/>
                <w:b/>
                <w:bCs/>
                <w:color w:val="000000" w:themeColor="text1"/>
                <w:sz w:val="20"/>
                <w:szCs w:val="20"/>
                <w:lang w:val="vi-VN"/>
              </w:rPr>
            </w:pPr>
          </w:p>
        </w:tc>
        <w:tc>
          <w:tcPr>
            <w:tcW w:w="2610" w:type="dxa"/>
          </w:tcPr>
          <w:p w14:paraId="5617EEED" w14:textId="0E2C84FB" w:rsidR="00F77CC6" w:rsidRPr="006623DE" w:rsidRDefault="00E346D8" w:rsidP="00B2722C">
            <w:pPr>
              <w:spacing w:line="276" w:lineRule="auto"/>
              <w:jc w:val="both"/>
              <w:rPr>
                <w:rFonts w:ascii="Arial" w:hAnsi="Arial" w:cs="Arial"/>
                <w:color w:val="000000" w:themeColor="text1"/>
                <w:sz w:val="20"/>
                <w:szCs w:val="20"/>
                <w:lang w:val="vi-VN"/>
              </w:rPr>
            </w:pPr>
            <w:r w:rsidRPr="006623DE">
              <w:rPr>
                <w:rFonts w:ascii="Arial" w:hAnsi="Arial" w:cs="Arial"/>
                <w:color w:val="000000" w:themeColor="text1"/>
                <w:sz w:val="20"/>
                <w:szCs w:val="20"/>
                <w:lang w:val="vi-VN"/>
              </w:rPr>
              <w:t>Married</w:t>
            </w:r>
          </w:p>
        </w:tc>
        <w:tc>
          <w:tcPr>
            <w:tcW w:w="2340" w:type="dxa"/>
          </w:tcPr>
          <w:p w14:paraId="6F35E59E" w14:textId="77777777" w:rsidR="00F77CC6" w:rsidRPr="006623DE" w:rsidRDefault="00F77CC6" w:rsidP="00B2722C">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135</w:t>
            </w:r>
          </w:p>
        </w:tc>
        <w:tc>
          <w:tcPr>
            <w:tcW w:w="1445" w:type="dxa"/>
          </w:tcPr>
          <w:p w14:paraId="01B6D158" w14:textId="77777777" w:rsidR="00F77CC6" w:rsidRPr="006623DE" w:rsidRDefault="00F77CC6" w:rsidP="00B2722C">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70,68</w:t>
            </w:r>
          </w:p>
        </w:tc>
      </w:tr>
      <w:tr w:rsidR="00F77CC6" w:rsidRPr="006623DE" w14:paraId="3585D503" w14:textId="77777777" w:rsidTr="00DD62B1">
        <w:trPr>
          <w:jc w:val="center"/>
        </w:trPr>
        <w:tc>
          <w:tcPr>
            <w:tcW w:w="1885" w:type="dxa"/>
            <w:vMerge w:val="restart"/>
          </w:tcPr>
          <w:p w14:paraId="08FD8EE3" w14:textId="5537F7AC" w:rsidR="00F77CC6" w:rsidRPr="006623DE" w:rsidRDefault="000C6F3A" w:rsidP="00B2722C">
            <w:pPr>
              <w:spacing w:line="276" w:lineRule="auto"/>
              <w:jc w:val="both"/>
              <w:rPr>
                <w:rFonts w:ascii="Arial" w:hAnsi="Arial" w:cs="Arial"/>
                <w:b/>
                <w:bCs/>
                <w:color w:val="000000" w:themeColor="text1"/>
                <w:sz w:val="20"/>
                <w:szCs w:val="20"/>
                <w:lang w:val="vi-VN"/>
              </w:rPr>
            </w:pPr>
            <w:r w:rsidRPr="006623DE">
              <w:rPr>
                <w:rFonts w:ascii="Arial" w:hAnsi="Arial" w:cs="Arial"/>
                <w:b/>
                <w:bCs/>
                <w:color w:val="000000" w:themeColor="text1"/>
                <w:sz w:val="20"/>
                <w:szCs w:val="20"/>
                <w:lang w:val="vi-VN"/>
              </w:rPr>
              <w:t>Teaching time</w:t>
            </w:r>
          </w:p>
        </w:tc>
        <w:tc>
          <w:tcPr>
            <w:tcW w:w="2610" w:type="dxa"/>
          </w:tcPr>
          <w:p w14:paraId="025F5B82" w14:textId="7318E7B1" w:rsidR="00F77CC6" w:rsidRPr="006623DE" w:rsidRDefault="00E346D8" w:rsidP="00B2722C">
            <w:pPr>
              <w:spacing w:line="276" w:lineRule="auto"/>
              <w:jc w:val="both"/>
              <w:rPr>
                <w:rFonts w:ascii="Arial" w:hAnsi="Arial" w:cs="Arial"/>
                <w:color w:val="000000" w:themeColor="text1"/>
                <w:sz w:val="20"/>
                <w:szCs w:val="20"/>
                <w:lang w:val="vi-VN"/>
              </w:rPr>
            </w:pPr>
            <w:r w:rsidRPr="006623DE">
              <w:rPr>
                <w:rFonts w:ascii="Arial" w:hAnsi="Arial" w:cs="Arial"/>
                <w:color w:val="000000" w:themeColor="text1"/>
                <w:sz w:val="20"/>
                <w:szCs w:val="20"/>
                <w:lang w:val="vi-VN"/>
              </w:rPr>
              <w:t>Less than 10 years</w:t>
            </w:r>
          </w:p>
        </w:tc>
        <w:tc>
          <w:tcPr>
            <w:tcW w:w="2340" w:type="dxa"/>
          </w:tcPr>
          <w:p w14:paraId="1F4630D1" w14:textId="77777777" w:rsidR="00F77CC6" w:rsidRPr="006623DE" w:rsidRDefault="00F77CC6" w:rsidP="00B2722C">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34</w:t>
            </w:r>
          </w:p>
        </w:tc>
        <w:tc>
          <w:tcPr>
            <w:tcW w:w="1445" w:type="dxa"/>
          </w:tcPr>
          <w:p w14:paraId="62CB8A4F" w14:textId="77777777" w:rsidR="00F77CC6" w:rsidRPr="006623DE" w:rsidRDefault="00F77CC6" w:rsidP="00B2722C">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17,80</w:t>
            </w:r>
          </w:p>
        </w:tc>
      </w:tr>
      <w:tr w:rsidR="00F77CC6" w:rsidRPr="006623DE" w14:paraId="29D7D6AD" w14:textId="77777777" w:rsidTr="00DD62B1">
        <w:trPr>
          <w:jc w:val="center"/>
        </w:trPr>
        <w:tc>
          <w:tcPr>
            <w:tcW w:w="1885" w:type="dxa"/>
            <w:vMerge/>
          </w:tcPr>
          <w:p w14:paraId="6A49A589" w14:textId="77777777" w:rsidR="00F77CC6" w:rsidRPr="006623DE" w:rsidRDefault="00F77CC6" w:rsidP="00B2722C">
            <w:pPr>
              <w:spacing w:line="276" w:lineRule="auto"/>
              <w:jc w:val="both"/>
              <w:rPr>
                <w:rFonts w:ascii="Arial" w:hAnsi="Arial" w:cs="Arial"/>
                <w:color w:val="000000" w:themeColor="text1"/>
                <w:sz w:val="20"/>
                <w:szCs w:val="20"/>
                <w:lang w:val="vi-VN"/>
              </w:rPr>
            </w:pPr>
          </w:p>
        </w:tc>
        <w:tc>
          <w:tcPr>
            <w:tcW w:w="2610" w:type="dxa"/>
          </w:tcPr>
          <w:p w14:paraId="2660639F" w14:textId="389E67E3" w:rsidR="00F77CC6" w:rsidRPr="006623DE" w:rsidRDefault="00E346D8" w:rsidP="00B2722C">
            <w:pPr>
              <w:spacing w:line="276" w:lineRule="auto"/>
              <w:jc w:val="both"/>
              <w:rPr>
                <w:rFonts w:ascii="Arial" w:hAnsi="Arial" w:cs="Arial"/>
                <w:color w:val="000000" w:themeColor="text1"/>
                <w:sz w:val="20"/>
                <w:szCs w:val="20"/>
                <w:lang w:val="vi-VN"/>
              </w:rPr>
            </w:pPr>
            <w:r w:rsidRPr="006623DE">
              <w:rPr>
                <w:rFonts w:ascii="Arial" w:hAnsi="Arial" w:cs="Arial"/>
                <w:color w:val="000000" w:themeColor="text1"/>
                <w:sz w:val="20"/>
                <w:szCs w:val="20"/>
                <w:lang w:val="vi-VN"/>
              </w:rPr>
              <w:t>From 10 to 20 years</w:t>
            </w:r>
          </w:p>
        </w:tc>
        <w:tc>
          <w:tcPr>
            <w:tcW w:w="2340" w:type="dxa"/>
          </w:tcPr>
          <w:p w14:paraId="5ADA7EFC" w14:textId="77777777" w:rsidR="00F77CC6" w:rsidRPr="006623DE" w:rsidRDefault="00F77CC6" w:rsidP="00B2722C">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92</w:t>
            </w:r>
          </w:p>
        </w:tc>
        <w:tc>
          <w:tcPr>
            <w:tcW w:w="1445" w:type="dxa"/>
          </w:tcPr>
          <w:p w14:paraId="0B467A8B" w14:textId="77777777" w:rsidR="00F77CC6" w:rsidRPr="006623DE" w:rsidRDefault="00F77CC6" w:rsidP="00B2722C">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48,17</w:t>
            </w:r>
          </w:p>
        </w:tc>
      </w:tr>
      <w:tr w:rsidR="00F77CC6" w:rsidRPr="006623DE" w14:paraId="0CEE1CA5" w14:textId="77777777" w:rsidTr="00DD62B1">
        <w:trPr>
          <w:jc w:val="center"/>
        </w:trPr>
        <w:tc>
          <w:tcPr>
            <w:tcW w:w="1885" w:type="dxa"/>
            <w:vMerge/>
          </w:tcPr>
          <w:p w14:paraId="58537CD1" w14:textId="77777777" w:rsidR="00F77CC6" w:rsidRPr="006623DE" w:rsidRDefault="00F77CC6" w:rsidP="00B2722C">
            <w:pPr>
              <w:spacing w:line="276" w:lineRule="auto"/>
              <w:jc w:val="both"/>
              <w:rPr>
                <w:rFonts w:ascii="Arial" w:hAnsi="Arial" w:cs="Arial"/>
                <w:color w:val="000000" w:themeColor="text1"/>
                <w:sz w:val="20"/>
                <w:szCs w:val="20"/>
                <w:lang w:val="vi-VN"/>
              </w:rPr>
            </w:pPr>
          </w:p>
        </w:tc>
        <w:tc>
          <w:tcPr>
            <w:tcW w:w="2610" w:type="dxa"/>
          </w:tcPr>
          <w:p w14:paraId="15E85331" w14:textId="60D23A44" w:rsidR="00F77CC6" w:rsidRPr="006623DE" w:rsidRDefault="00E346D8" w:rsidP="00B2722C">
            <w:pPr>
              <w:spacing w:line="276" w:lineRule="auto"/>
              <w:jc w:val="both"/>
              <w:rPr>
                <w:rFonts w:ascii="Arial" w:hAnsi="Arial" w:cs="Arial"/>
                <w:color w:val="000000" w:themeColor="text1"/>
                <w:sz w:val="20"/>
                <w:szCs w:val="20"/>
                <w:lang w:val="vi-VN"/>
              </w:rPr>
            </w:pPr>
            <w:r w:rsidRPr="006623DE">
              <w:rPr>
                <w:rFonts w:ascii="Arial" w:hAnsi="Arial" w:cs="Arial"/>
                <w:color w:val="000000" w:themeColor="text1"/>
                <w:sz w:val="20"/>
                <w:szCs w:val="20"/>
                <w:lang w:val="vi-VN"/>
              </w:rPr>
              <w:t>Over 20 years</w:t>
            </w:r>
          </w:p>
        </w:tc>
        <w:tc>
          <w:tcPr>
            <w:tcW w:w="2340" w:type="dxa"/>
          </w:tcPr>
          <w:p w14:paraId="0CCC3C8C" w14:textId="77777777" w:rsidR="00F77CC6" w:rsidRPr="006623DE" w:rsidRDefault="00F77CC6" w:rsidP="00B2722C">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65</w:t>
            </w:r>
          </w:p>
        </w:tc>
        <w:tc>
          <w:tcPr>
            <w:tcW w:w="1445" w:type="dxa"/>
          </w:tcPr>
          <w:p w14:paraId="123B6DC0" w14:textId="77777777" w:rsidR="00F77CC6" w:rsidRPr="006623DE" w:rsidRDefault="00F77CC6" w:rsidP="00B2722C">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34,03</w:t>
            </w:r>
          </w:p>
        </w:tc>
      </w:tr>
    </w:tbl>
    <w:p w14:paraId="1B06041C" w14:textId="48DF0938" w:rsidR="00F77CC6" w:rsidRPr="006623DE" w:rsidRDefault="002348EE" w:rsidP="002348EE">
      <w:pPr>
        <w:spacing w:after="0" w:line="360" w:lineRule="auto"/>
        <w:jc w:val="center"/>
        <w:rPr>
          <w:rFonts w:ascii="Arial" w:hAnsi="Arial" w:cs="Arial"/>
          <w:sz w:val="20"/>
          <w:szCs w:val="20"/>
          <w:lang w:val="vi-VN"/>
        </w:rPr>
      </w:pPr>
      <w:r w:rsidRPr="006623DE">
        <w:rPr>
          <w:rFonts w:ascii="Arial" w:hAnsi="Arial" w:cs="Arial"/>
          <w:sz w:val="20"/>
          <w:szCs w:val="20"/>
          <w:lang w:val="vi-VN"/>
        </w:rPr>
        <w:t>Source: Statistics from author</w:t>
      </w:r>
    </w:p>
    <w:p w14:paraId="334656C7" w14:textId="77777777" w:rsidR="002348EE" w:rsidRPr="006623DE" w:rsidRDefault="002348EE" w:rsidP="002348EE">
      <w:pPr>
        <w:spacing w:after="0" w:line="360" w:lineRule="auto"/>
        <w:rPr>
          <w:rFonts w:ascii="Arial" w:hAnsi="Arial" w:cs="Arial"/>
          <w:sz w:val="20"/>
          <w:szCs w:val="20"/>
          <w:lang w:val="vi-VN"/>
        </w:rPr>
      </w:pPr>
    </w:p>
    <w:p w14:paraId="0FC200B9" w14:textId="7E8D8269" w:rsidR="00907E59" w:rsidRPr="006623DE" w:rsidRDefault="00907E59" w:rsidP="002348EE">
      <w:pPr>
        <w:spacing w:after="0" w:line="360" w:lineRule="auto"/>
        <w:rPr>
          <w:rFonts w:ascii="Arial" w:hAnsi="Arial" w:cs="Arial"/>
          <w:b/>
          <w:bCs/>
          <w:sz w:val="20"/>
          <w:szCs w:val="20"/>
          <w:lang w:val="vi-VN"/>
        </w:rPr>
      </w:pPr>
      <w:r w:rsidRPr="006623DE">
        <w:rPr>
          <w:rFonts w:ascii="Arial" w:hAnsi="Arial" w:cs="Arial"/>
          <w:b/>
          <w:bCs/>
          <w:sz w:val="20"/>
          <w:szCs w:val="20"/>
          <w:lang w:val="vi-VN"/>
        </w:rPr>
        <w:t xml:space="preserve">4. ANALYSIS </w:t>
      </w:r>
      <w:r w:rsidR="00FD1CBA">
        <w:rPr>
          <w:rFonts w:ascii="Arial" w:hAnsi="Arial" w:cs="Arial"/>
          <w:b/>
          <w:bCs/>
          <w:sz w:val="20"/>
          <w:szCs w:val="20"/>
          <w:lang w:val="en-GB"/>
        </w:rPr>
        <w:t xml:space="preserve">of </w:t>
      </w:r>
      <w:r w:rsidRPr="006623DE">
        <w:rPr>
          <w:rFonts w:ascii="Arial" w:hAnsi="Arial" w:cs="Arial"/>
          <w:b/>
          <w:bCs/>
          <w:sz w:val="20"/>
          <w:szCs w:val="20"/>
          <w:lang w:val="vi-VN"/>
        </w:rPr>
        <w:t>RESULTS:</w:t>
      </w:r>
    </w:p>
    <w:p w14:paraId="19D710A9" w14:textId="20093368" w:rsidR="00CC4867" w:rsidRPr="006623DE" w:rsidRDefault="00CC4867" w:rsidP="002348EE">
      <w:pPr>
        <w:spacing w:after="0" w:line="360" w:lineRule="auto"/>
        <w:rPr>
          <w:rFonts w:ascii="Arial" w:hAnsi="Arial" w:cs="Arial"/>
          <w:b/>
          <w:bCs/>
          <w:sz w:val="20"/>
          <w:szCs w:val="20"/>
          <w:lang w:val="vi-VN"/>
        </w:rPr>
      </w:pPr>
      <w:r w:rsidRPr="006623DE">
        <w:rPr>
          <w:rFonts w:ascii="Arial" w:hAnsi="Arial" w:cs="Arial"/>
          <w:b/>
          <w:bCs/>
          <w:sz w:val="20"/>
          <w:szCs w:val="20"/>
          <w:lang w:val="vi-VN"/>
        </w:rPr>
        <w:t xml:space="preserve">4.1. External factor loadings: </w:t>
      </w:r>
    </w:p>
    <w:p w14:paraId="273F4F7D" w14:textId="245C74EF" w:rsidR="004D7992" w:rsidRPr="006623DE" w:rsidRDefault="004D7992" w:rsidP="001A1392">
      <w:pPr>
        <w:spacing w:after="0" w:line="360" w:lineRule="auto"/>
        <w:jc w:val="center"/>
        <w:rPr>
          <w:rFonts w:ascii="Arial" w:hAnsi="Arial" w:cs="Arial"/>
          <w:b/>
          <w:bCs/>
          <w:sz w:val="20"/>
          <w:szCs w:val="20"/>
          <w:lang w:val="vi-VN"/>
        </w:rPr>
      </w:pPr>
      <w:r w:rsidRPr="006623DE">
        <w:rPr>
          <w:rFonts w:ascii="Arial" w:hAnsi="Arial" w:cs="Arial"/>
          <w:b/>
          <w:bCs/>
          <w:sz w:val="20"/>
          <w:szCs w:val="20"/>
          <w:lang w:val="vi-VN"/>
        </w:rPr>
        <w:t>Table 2: Results of external factor loadings</w:t>
      </w:r>
    </w:p>
    <w:tbl>
      <w:tblPr>
        <w:tblW w:w="6835" w:type="dxa"/>
        <w:jc w:val="center"/>
        <w:tblLayout w:type="fixed"/>
        <w:tblLook w:val="04A0" w:firstRow="1" w:lastRow="0" w:firstColumn="1" w:lastColumn="0" w:noHBand="0" w:noVBand="1"/>
      </w:tblPr>
      <w:tblGrid>
        <w:gridCol w:w="1885"/>
        <w:gridCol w:w="1350"/>
        <w:gridCol w:w="1260"/>
        <w:gridCol w:w="1170"/>
        <w:gridCol w:w="1170"/>
      </w:tblGrid>
      <w:tr w:rsidR="00677BA1" w:rsidRPr="006623DE" w14:paraId="5B67D37A" w14:textId="77777777" w:rsidTr="001A1392">
        <w:trPr>
          <w:trHeight w:val="323"/>
          <w:jc w:val="center"/>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C0D4B9" w14:textId="10B498D0" w:rsidR="00677BA1" w:rsidRPr="006623DE" w:rsidRDefault="004E4F17" w:rsidP="00A44732">
            <w:pPr>
              <w:spacing w:line="240" w:lineRule="auto"/>
              <w:jc w:val="center"/>
              <w:rPr>
                <w:rFonts w:ascii="Arial" w:hAnsi="Arial" w:cs="Arial"/>
                <w:b/>
                <w:bCs/>
                <w:color w:val="000000"/>
                <w:sz w:val="20"/>
                <w:szCs w:val="20"/>
                <w:lang w:val="vi-VN"/>
              </w:rPr>
            </w:pPr>
            <w:r w:rsidRPr="006623DE">
              <w:rPr>
                <w:rFonts w:ascii="Arial" w:hAnsi="Arial" w:cs="Arial"/>
                <w:b/>
                <w:bCs/>
                <w:color w:val="000000"/>
                <w:sz w:val="20"/>
                <w:szCs w:val="20"/>
                <w:lang w:val="vi-VN"/>
              </w:rPr>
              <w:t>O</w:t>
            </w:r>
            <w:r w:rsidR="00B62234" w:rsidRPr="006623DE">
              <w:rPr>
                <w:rFonts w:ascii="Arial" w:hAnsi="Arial" w:cs="Arial"/>
                <w:b/>
                <w:bCs/>
                <w:color w:val="000000"/>
                <w:sz w:val="20"/>
                <w:szCs w:val="20"/>
              </w:rPr>
              <w:t>bs</w:t>
            </w:r>
            <w:r w:rsidRPr="006623DE">
              <w:rPr>
                <w:rFonts w:ascii="Arial" w:hAnsi="Arial" w:cs="Arial"/>
                <w:b/>
                <w:bCs/>
                <w:color w:val="000000"/>
                <w:sz w:val="20"/>
                <w:szCs w:val="20"/>
                <w:lang w:val="vi-VN"/>
              </w:rPr>
              <w:t xml:space="preserve">. </w:t>
            </w:r>
            <w:r w:rsidR="00B62234" w:rsidRPr="006623DE">
              <w:rPr>
                <w:rFonts w:ascii="Arial" w:hAnsi="Arial" w:cs="Arial"/>
                <w:b/>
                <w:bCs/>
                <w:color w:val="000000"/>
                <w:sz w:val="20"/>
                <w:szCs w:val="20"/>
              </w:rPr>
              <w:t>variable</w:t>
            </w:r>
            <w:r w:rsidRPr="006623DE">
              <w:rPr>
                <w:rFonts w:ascii="Arial" w:hAnsi="Arial" w:cs="Arial"/>
                <w:b/>
                <w:bCs/>
                <w:color w:val="000000"/>
                <w:sz w:val="20"/>
                <w:szCs w:val="20"/>
                <w:lang w:val="vi-VN"/>
              </w:rPr>
              <w:t>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AD799A" w14:textId="0FCACA5B" w:rsidR="00677BA1" w:rsidRPr="006623DE" w:rsidRDefault="00023FCC" w:rsidP="00A44732">
            <w:pPr>
              <w:spacing w:line="240" w:lineRule="auto"/>
              <w:jc w:val="center"/>
              <w:textAlignment w:val="bottom"/>
              <w:rPr>
                <w:rFonts w:ascii="Arial" w:eastAsia="SimSun" w:hAnsi="Arial" w:cs="Arial"/>
                <w:b/>
                <w:bCs/>
                <w:color w:val="000000"/>
                <w:sz w:val="20"/>
                <w:szCs w:val="20"/>
                <w:lang w:val="vi-VN" w:eastAsia="zh-CN" w:bidi="ar"/>
              </w:rPr>
            </w:pPr>
            <w:r w:rsidRPr="006623DE">
              <w:rPr>
                <w:rFonts w:ascii="Arial" w:eastAsia="SimSun" w:hAnsi="Arial" w:cs="Arial"/>
                <w:b/>
                <w:bCs/>
                <w:color w:val="000000"/>
                <w:sz w:val="20"/>
                <w:szCs w:val="20"/>
                <w:lang w:val="vi-VN" w:eastAsia="zh-CN" w:bidi="ar"/>
              </w:rPr>
              <w:t>LEAD</w:t>
            </w:r>
          </w:p>
        </w:tc>
        <w:tc>
          <w:tcPr>
            <w:tcW w:w="1260" w:type="dxa"/>
            <w:tcBorders>
              <w:top w:val="single" w:sz="4" w:space="0" w:color="000000"/>
              <w:left w:val="single" w:sz="4" w:space="0" w:color="auto"/>
              <w:bottom w:val="single" w:sz="4" w:space="0" w:color="000000"/>
              <w:right w:val="single" w:sz="4" w:space="0" w:color="000000"/>
            </w:tcBorders>
            <w:shd w:val="clear" w:color="auto" w:fill="auto"/>
            <w:noWrap/>
            <w:vAlign w:val="bottom"/>
          </w:tcPr>
          <w:p w14:paraId="191ECBDC" w14:textId="559FE05E" w:rsidR="00677BA1" w:rsidRPr="006623DE" w:rsidRDefault="00E35775" w:rsidP="00A44732">
            <w:pPr>
              <w:spacing w:line="240" w:lineRule="auto"/>
              <w:jc w:val="center"/>
              <w:textAlignment w:val="bottom"/>
              <w:rPr>
                <w:rFonts w:ascii="Arial" w:hAnsi="Arial" w:cs="Arial"/>
                <w:b/>
                <w:bCs/>
                <w:color w:val="000000"/>
                <w:sz w:val="20"/>
                <w:szCs w:val="20"/>
                <w:lang w:val="vi-VN"/>
              </w:rPr>
            </w:pPr>
            <w:r w:rsidRPr="006623DE">
              <w:rPr>
                <w:rFonts w:ascii="Arial" w:eastAsia="SimSun" w:hAnsi="Arial" w:cs="Arial"/>
                <w:b/>
                <w:bCs/>
                <w:color w:val="000000"/>
                <w:sz w:val="20"/>
                <w:szCs w:val="20"/>
                <w:lang w:val="vi-VN" w:eastAsia="zh-CN" w:bidi="ar"/>
              </w:rPr>
              <w:t>BVL</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7F7244" w14:textId="27665789" w:rsidR="00677BA1" w:rsidRPr="006623DE" w:rsidRDefault="00C37824" w:rsidP="00A44732">
            <w:pPr>
              <w:spacing w:line="240" w:lineRule="auto"/>
              <w:jc w:val="center"/>
              <w:textAlignment w:val="bottom"/>
              <w:rPr>
                <w:rFonts w:ascii="Arial" w:hAnsi="Arial" w:cs="Arial"/>
                <w:b/>
                <w:bCs/>
                <w:color w:val="000000"/>
                <w:sz w:val="20"/>
                <w:szCs w:val="20"/>
                <w:lang w:val="vi-VN"/>
              </w:rPr>
            </w:pPr>
            <w:r w:rsidRPr="006623DE">
              <w:rPr>
                <w:rFonts w:ascii="Arial" w:eastAsia="SimSun" w:hAnsi="Arial" w:cs="Arial"/>
                <w:b/>
                <w:bCs/>
                <w:color w:val="000000"/>
                <w:sz w:val="20"/>
                <w:szCs w:val="20"/>
                <w:lang w:val="vi-VN" w:eastAsia="zh-CN" w:bidi="ar"/>
              </w:rPr>
              <w:t>OC</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4F6F26" w14:textId="2593C599" w:rsidR="00677BA1" w:rsidRPr="006623DE" w:rsidRDefault="002F678A" w:rsidP="00A44732">
            <w:pPr>
              <w:spacing w:line="240" w:lineRule="auto"/>
              <w:jc w:val="center"/>
              <w:textAlignment w:val="bottom"/>
              <w:rPr>
                <w:rFonts w:ascii="Arial" w:hAnsi="Arial" w:cs="Arial"/>
                <w:b/>
                <w:bCs/>
                <w:color w:val="000000"/>
                <w:sz w:val="20"/>
                <w:szCs w:val="20"/>
                <w:lang w:val="vi-VN"/>
              </w:rPr>
            </w:pPr>
            <w:r w:rsidRPr="006623DE">
              <w:rPr>
                <w:rFonts w:ascii="Arial" w:eastAsia="SimSun" w:hAnsi="Arial" w:cs="Arial"/>
                <w:b/>
                <w:bCs/>
                <w:color w:val="000000"/>
                <w:sz w:val="20"/>
                <w:szCs w:val="20"/>
                <w:lang w:val="vi-VN" w:eastAsia="zh-CN" w:bidi="ar"/>
              </w:rPr>
              <w:t>BU</w:t>
            </w:r>
          </w:p>
        </w:tc>
      </w:tr>
      <w:tr w:rsidR="00677BA1" w:rsidRPr="006623DE" w14:paraId="70C9693C" w14:textId="77777777" w:rsidTr="001A1392">
        <w:trPr>
          <w:trHeight w:val="290"/>
          <w:jc w:val="center"/>
        </w:trPr>
        <w:tc>
          <w:tcPr>
            <w:tcW w:w="1885"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3928E4E2" w14:textId="65B1C81C" w:rsidR="00677BA1" w:rsidRPr="006623DE" w:rsidRDefault="00B14798" w:rsidP="00A44732">
            <w:pPr>
              <w:spacing w:line="240" w:lineRule="auto"/>
              <w:jc w:val="center"/>
              <w:textAlignment w:val="bottom"/>
              <w:rPr>
                <w:rFonts w:ascii="Arial" w:hAnsi="Arial" w:cs="Arial"/>
                <w:color w:val="000000"/>
                <w:sz w:val="20"/>
                <w:szCs w:val="20"/>
              </w:rPr>
            </w:pPr>
            <w:r w:rsidRPr="006623DE">
              <w:rPr>
                <w:rFonts w:ascii="Arial" w:eastAsia="SimSun" w:hAnsi="Arial" w:cs="Arial"/>
                <w:color w:val="000000"/>
                <w:sz w:val="20"/>
                <w:szCs w:val="20"/>
                <w:lang w:val="vi-VN" w:eastAsia="zh-CN" w:bidi="ar"/>
              </w:rPr>
              <w:t>LEAD</w:t>
            </w:r>
            <w:r w:rsidR="00677BA1" w:rsidRPr="006623DE">
              <w:rPr>
                <w:rFonts w:ascii="Arial" w:eastAsia="SimSun" w:hAnsi="Arial" w:cs="Arial"/>
                <w:color w:val="000000"/>
                <w:sz w:val="20"/>
                <w:szCs w:val="20"/>
                <w:lang w:val="vi-VN" w:eastAsia="zh-CN" w:bidi="ar"/>
              </w:rPr>
              <w:t>_1</w:t>
            </w:r>
          </w:p>
        </w:tc>
        <w:tc>
          <w:tcPr>
            <w:tcW w:w="1350"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70E18BB7" w14:textId="77777777" w:rsidR="00677BA1" w:rsidRPr="006623DE" w:rsidRDefault="00677BA1" w:rsidP="00A44732">
            <w:pPr>
              <w:spacing w:line="240" w:lineRule="auto"/>
              <w:jc w:val="center"/>
              <w:textAlignment w:val="bottom"/>
              <w:rPr>
                <w:rFonts w:ascii="Arial" w:hAnsi="Arial" w:cs="Arial"/>
                <w:color w:val="000000"/>
                <w:sz w:val="20"/>
                <w:szCs w:val="20"/>
                <w:lang w:val="vi-VN"/>
              </w:rPr>
            </w:pPr>
            <w:r w:rsidRPr="006623DE">
              <w:rPr>
                <w:rFonts w:ascii="Arial" w:eastAsia="SimSun" w:hAnsi="Arial" w:cs="Arial"/>
                <w:color w:val="000000"/>
                <w:sz w:val="20"/>
                <w:szCs w:val="20"/>
                <w:lang w:eastAsia="zh-CN" w:bidi="ar"/>
              </w:rPr>
              <w:t>0</w:t>
            </w:r>
            <w:r w:rsidRPr="006623DE">
              <w:rPr>
                <w:rFonts w:ascii="Arial" w:eastAsia="SimSun" w:hAnsi="Arial" w:cs="Arial"/>
                <w:color w:val="000000"/>
                <w:sz w:val="20"/>
                <w:szCs w:val="20"/>
                <w:lang w:val="vi-VN" w:eastAsia="zh-CN" w:bidi="ar"/>
              </w:rPr>
              <w:t>,</w:t>
            </w:r>
            <w:r w:rsidRPr="006623DE">
              <w:rPr>
                <w:rFonts w:ascii="Arial" w:eastAsia="SimSun" w:hAnsi="Arial" w:cs="Arial"/>
                <w:color w:val="000000"/>
                <w:sz w:val="20"/>
                <w:szCs w:val="20"/>
                <w:lang w:eastAsia="zh-CN" w:bidi="ar"/>
              </w:rPr>
              <w:t>85</w:t>
            </w:r>
            <w:r w:rsidRPr="006623DE">
              <w:rPr>
                <w:rFonts w:ascii="Arial" w:eastAsia="SimSun" w:hAnsi="Arial" w:cs="Arial"/>
                <w:color w:val="000000"/>
                <w:sz w:val="20"/>
                <w:szCs w:val="20"/>
                <w:lang w:val="vi-VN" w:eastAsia="zh-CN" w:bidi="ar"/>
              </w:rPr>
              <w:t>6</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B9CE9D" w14:textId="77777777" w:rsidR="00677BA1" w:rsidRPr="006623DE" w:rsidRDefault="00677BA1" w:rsidP="00A44732">
            <w:pPr>
              <w:spacing w:line="240" w:lineRule="auto"/>
              <w:jc w:val="center"/>
              <w:rPr>
                <w:rFonts w:ascii="Arial" w:hAnsi="Arial" w:cs="Arial"/>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381C80" w14:textId="77777777" w:rsidR="00677BA1" w:rsidRPr="006623DE" w:rsidRDefault="00677BA1" w:rsidP="00A44732">
            <w:pPr>
              <w:spacing w:line="240" w:lineRule="auto"/>
              <w:jc w:val="center"/>
              <w:rPr>
                <w:rFonts w:ascii="Arial" w:hAnsi="Arial" w:cs="Arial"/>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AA2E91" w14:textId="77777777" w:rsidR="00677BA1" w:rsidRPr="006623DE" w:rsidRDefault="00677BA1" w:rsidP="00A44732">
            <w:pPr>
              <w:spacing w:line="240" w:lineRule="auto"/>
              <w:jc w:val="center"/>
              <w:rPr>
                <w:rFonts w:ascii="Arial" w:hAnsi="Arial" w:cs="Arial"/>
                <w:color w:val="000000"/>
                <w:sz w:val="20"/>
                <w:szCs w:val="20"/>
              </w:rPr>
            </w:pPr>
          </w:p>
        </w:tc>
      </w:tr>
      <w:tr w:rsidR="00677BA1" w:rsidRPr="006623DE" w14:paraId="45229EAB" w14:textId="77777777" w:rsidTr="001A1392">
        <w:trPr>
          <w:trHeight w:val="290"/>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D70699" w14:textId="1AC6FD6F" w:rsidR="00677BA1" w:rsidRPr="006623DE" w:rsidRDefault="00B14798" w:rsidP="00A44732">
            <w:pPr>
              <w:spacing w:line="240" w:lineRule="auto"/>
              <w:jc w:val="center"/>
              <w:textAlignment w:val="bottom"/>
              <w:rPr>
                <w:rFonts w:ascii="Arial" w:hAnsi="Arial" w:cs="Arial"/>
                <w:color w:val="000000"/>
                <w:sz w:val="20"/>
                <w:szCs w:val="20"/>
                <w:lang w:val="vi-VN"/>
              </w:rPr>
            </w:pPr>
            <w:r w:rsidRPr="006623DE">
              <w:rPr>
                <w:rFonts w:ascii="Arial" w:eastAsia="SimSun" w:hAnsi="Arial" w:cs="Arial"/>
                <w:color w:val="000000"/>
                <w:sz w:val="20"/>
                <w:szCs w:val="20"/>
                <w:lang w:val="vi-VN" w:eastAsia="zh-CN" w:bidi="ar"/>
              </w:rPr>
              <w:t>LEAD</w:t>
            </w:r>
            <w:r w:rsidR="00677BA1" w:rsidRPr="006623DE">
              <w:rPr>
                <w:rFonts w:ascii="Arial" w:eastAsia="SimSun" w:hAnsi="Arial" w:cs="Arial"/>
                <w:color w:val="000000"/>
                <w:sz w:val="20"/>
                <w:szCs w:val="20"/>
                <w:lang w:val="vi-VN" w:eastAsia="zh-CN" w:bidi="ar"/>
              </w:rPr>
              <w:t>_2</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2519B0" w14:textId="77777777" w:rsidR="00677BA1" w:rsidRPr="006623DE" w:rsidRDefault="00677BA1" w:rsidP="00A44732">
            <w:pPr>
              <w:spacing w:line="240" w:lineRule="auto"/>
              <w:jc w:val="center"/>
              <w:textAlignment w:val="bottom"/>
              <w:rPr>
                <w:rFonts w:ascii="Arial" w:hAnsi="Arial" w:cs="Arial"/>
                <w:color w:val="000000"/>
                <w:sz w:val="20"/>
                <w:szCs w:val="20"/>
                <w:lang w:val="vi-VN"/>
              </w:rPr>
            </w:pPr>
            <w:r w:rsidRPr="006623DE">
              <w:rPr>
                <w:rFonts w:ascii="Arial" w:eastAsia="SimSun" w:hAnsi="Arial" w:cs="Arial"/>
                <w:color w:val="000000"/>
                <w:sz w:val="20"/>
                <w:szCs w:val="20"/>
                <w:lang w:eastAsia="zh-CN" w:bidi="ar"/>
              </w:rPr>
              <w:t>0</w:t>
            </w:r>
            <w:r w:rsidRPr="006623DE">
              <w:rPr>
                <w:rFonts w:ascii="Arial" w:eastAsia="SimSun" w:hAnsi="Arial" w:cs="Arial"/>
                <w:color w:val="000000"/>
                <w:sz w:val="20"/>
                <w:szCs w:val="20"/>
                <w:lang w:val="vi-VN" w:eastAsia="zh-CN" w:bidi="ar"/>
              </w:rPr>
              <w:t>,</w:t>
            </w:r>
            <w:r w:rsidRPr="006623DE">
              <w:rPr>
                <w:rFonts w:ascii="Arial" w:eastAsia="SimSun" w:hAnsi="Arial" w:cs="Arial"/>
                <w:color w:val="000000"/>
                <w:sz w:val="20"/>
                <w:szCs w:val="20"/>
                <w:lang w:eastAsia="zh-CN" w:bidi="ar"/>
              </w:rPr>
              <w:t>87</w:t>
            </w:r>
            <w:r w:rsidRPr="006623DE">
              <w:rPr>
                <w:rFonts w:ascii="Arial" w:eastAsia="SimSun" w:hAnsi="Arial" w:cs="Arial"/>
                <w:color w:val="000000"/>
                <w:sz w:val="20"/>
                <w:szCs w:val="20"/>
                <w:lang w:val="vi-VN" w:eastAsia="zh-CN" w:bidi="ar"/>
              </w:rPr>
              <w:t>7</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574364" w14:textId="77777777" w:rsidR="00677BA1" w:rsidRPr="006623DE" w:rsidRDefault="00677BA1" w:rsidP="00A44732">
            <w:pPr>
              <w:spacing w:line="240" w:lineRule="auto"/>
              <w:jc w:val="center"/>
              <w:rPr>
                <w:rFonts w:ascii="Arial" w:hAnsi="Arial" w:cs="Arial"/>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C10D9F" w14:textId="77777777" w:rsidR="00677BA1" w:rsidRPr="006623DE" w:rsidRDefault="00677BA1" w:rsidP="00A44732">
            <w:pPr>
              <w:spacing w:line="240" w:lineRule="auto"/>
              <w:jc w:val="center"/>
              <w:rPr>
                <w:rFonts w:ascii="Arial" w:hAnsi="Arial" w:cs="Arial"/>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3472BE" w14:textId="77777777" w:rsidR="00677BA1" w:rsidRPr="006623DE" w:rsidRDefault="00677BA1" w:rsidP="00A44732">
            <w:pPr>
              <w:spacing w:line="240" w:lineRule="auto"/>
              <w:jc w:val="center"/>
              <w:rPr>
                <w:rFonts w:ascii="Arial" w:hAnsi="Arial" w:cs="Arial"/>
                <w:color w:val="000000"/>
                <w:sz w:val="20"/>
                <w:szCs w:val="20"/>
              </w:rPr>
            </w:pPr>
          </w:p>
        </w:tc>
      </w:tr>
      <w:tr w:rsidR="00677BA1" w:rsidRPr="006623DE" w14:paraId="1ED18B95" w14:textId="77777777" w:rsidTr="001A1392">
        <w:trPr>
          <w:trHeight w:val="290"/>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2DD013" w14:textId="1A3DAF87" w:rsidR="00677BA1" w:rsidRPr="006623DE" w:rsidRDefault="00B14798" w:rsidP="00A44732">
            <w:pPr>
              <w:spacing w:line="240" w:lineRule="auto"/>
              <w:jc w:val="center"/>
              <w:textAlignment w:val="bottom"/>
              <w:rPr>
                <w:rFonts w:ascii="Arial" w:hAnsi="Arial" w:cs="Arial"/>
                <w:color w:val="000000"/>
                <w:sz w:val="20"/>
                <w:szCs w:val="20"/>
              </w:rPr>
            </w:pPr>
            <w:r w:rsidRPr="006623DE">
              <w:rPr>
                <w:rFonts w:ascii="Arial" w:eastAsia="SimSun" w:hAnsi="Arial" w:cs="Arial"/>
                <w:color w:val="000000"/>
                <w:sz w:val="20"/>
                <w:szCs w:val="20"/>
                <w:lang w:val="vi-VN" w:eastAsia="zh-CN" w:bidi="ar"/>
              </w:rPr>
              <w:t>LEAD</w:t>
            </w:r>
            <w:r w:rsidR="00677BA1" w:rsidRPr="006623DE">
              <w:rPr>
                <w:rFonts w:ascii="Arial" w:eastAsia="SimSun" w:hAnsi="Arial" w:cs="Arial"/>
                <w:color w:val="000000"/>
                <w:sz w:val="20"/>
                <w:szCs w:val="20"/>
                <w:lang w:val="vi-VN" w:eastAsia="zh-CN" w:bidi="ar"/>
              </w:rPr>
              <w:t>_</w:t>
            </w:r>
            <w:r w:rsidR="00677BA1" w:rsidRPr="006623DE">
              <w:rPr>
                <w:rFonts w:ascii="Arial" w:eastAsia="SimSun" w:hAnsi="Arial" w:cs="Arial"/>
                <w:color w:val="000000"/>
                <w:sz w:val="20"/>
                <w:szCs w:val="20"/>
                <w:lang w:eastAsia="zh-CN" w:bidi="ar"/>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944D74" w14:textId="77777777" w:rsidR="00677BA1" w:rsidRPr="006623DE" w:rsidRDefault="00677BA1" w:rsidP="00A44732">
            <w:pPr>
              <w:spacing w:line="240" w:lineRule="auto"/>
              <w:jc w:val="center"/>
              <w:textAlignment w:val="bottom"/>
              <w:rPr>
                <w:rFonts w:ascii="Arial" w:hAnsi="Arial" w:cs="Arial"/>
                <w:color w:val="000000"/>
                <w:sz w:val="20"/>
                <w:szCs w:val="20"/>
                <w:lang w:val="vi-VN"/>
              </w:rPr>
            </w:pPr>
            <w:r w:rsidRPr="006623DE">
              <w:rPr>
                <w:rFonts w:ascii="Arial" w:eastAsia="SimSun" w:hAnsi="Arial" w:cs="Arial"/>
                <w:color w:val="000000"/>
                <w:sz w:val="20"/>
                <w:szCs w:val="20"/>
                <w:lang w:eastAsia="zh-CN" w:bidi="ar"/>
              </w:rPr>
              <w:t>0</w:t>
            </w:r>
            <w:r w:rsidRPr="006623DE">
              <w:rPr>
                <w:rFonts w:ascii="Arial" w:eastAsia="SimSun" w:hAnsi="Arial" w:cs="Arial"/>
                <w:color w:val="000000"/>
                <w:sz w:val="20"/>
                <w:szCs w:val="20"/>
                <w:lang w:val="vi-VN" w:eastAsia="zh-CN" w:bidi="ar"/>
              </w:rPr>
              <w:t>,</w:t>
            </w:r>
            <w:r w:rsidRPr="006623DE">
              <w:rPr>
                <w:rFonts w:ascii="Arial" w:eastAsia="SimSun" w:hAnsi="Arial" w:cs="Arial"/>
                <w:color w:val="000000"/>
                <w:sz w:val="20"/>
                <w:szCs w:val="20"/>
                <w:lang w:eastAsia="zh-CN" w:bidi="ar"/>
              </w:rPr>
              <w:t>85</w:t>
            </w:r>
            <w:r w:rsidRPr="006623DE">
              <w:rPr>
                <w:rFonts w:ascii="Arial" w:eastAsia="SimSun" w:hAnsi="Arial" w:cs="Arial"/>
                <w:color w:val="000000"/>
                <w:sz w:val="20"/>
                <w:szCs w:val="20"/>
                <w:lang w:val="vi-VN" w:eastAsia="zh-CN" w:bidi="ar"/>
              </w:rPr>
              <w:t>5</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6C5234" w14:textId="77777777" w:rsidR="00677BA1" w:rsidRPr="006623DE" w:rsidRDefault="00677BA1" w:rsidP="00A44732">
            <w:pPr>
              <w:spacing w:line="240" w:lineRule="auto"/>
              <w:jc w:val="center"/>
              <w:rPr>
                <w:rFonts w:ascii="Arial" w:hAnsi="Arial" w:cs="Arial"/>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9A606B" w14:textId="77777777" w:rsidR="00677BA1" w:rsidRPr="006623DE" w:rsidRDefault="00677BA1" w:rsidP="00A44732">
            <w:pPr>
              <w:spacing w:line="240" w:lineRule="auto"/>
              <w:jc w:val="center"/>
              <w:rPr>
                <w:rFonts w:ascii="Arial" w:hAnsi="Arial" w:cs="Arial"/>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71C64E" w14:textId="77777777" w:rsidR="00677BA1" w:rsidRPr="006623DE" w:rsidRDefault="00677BA1" w:rsidP="00A44732">
            <w:pPr>
              <w:spacing w:line="240" w:lineRule="auto"/>
              <w:jc w:val="center"/>
              <w:rPr>
                <w:rFonts w:ascii="Arial" w:hAnsi="Arial" w:cs="Arial"/>
                <w:color w:val="000000"/>
                <w:sz w:val="20"/>
                <w:szCs w:val="20"/>
              </w:rPr>
            </w:pPr>
          </w:p>
        </w:tc>
      </w:tr>
      <w:tr w:rsidR="00677BA1" w:rsidRPr="006623DE" w14:paraId="314BBCA5" w14:textId="77777777" w:rsidTr="001A1392">
        <w:trPr>
          <w:trHeight w:val="290"/>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E4A686" w14:textId="31AC757E" w:rsidR="00677BA1" w:rsidRPr="006623DE" w:rsidRDefault="00E35DA7" w:rsidP="00A44732">
            <w:pPr>
              <w:spacing w:line="240" w:lineRule="auto"/>
              <w:jc w:val="center"/>
              <w:textAlignment w:val="bottom"/>
              <w:rPr>
                <w:rFonts w:ascii="Arial" w:hAnsi="Arial" w:cs="Arial"/>
                <w:color w:val="000000"/>
                <w:sz w:val="20"/>
                <w:szCs w:val="20"/>
                <w:lang w:val="vi-VN"/>
              </w:rPr>
            </w:pPr>
            <w:r w:rsidRPr="006623DE">
              <w:rPr>
                <w:rFonts w:ascii="Arial" w:eastAsia="SimSun" w:hAnsi="Arial" w:cs="Arial"/>
                <w:color w:val="000000"/>
                <w:sz w:val="20"/>
                <w:szCs w:val="20"/>
                <w:lang w:val="vi-VN" w:eastAsia="zh-CN" w:bidi="ar"/>
              </w:rPr>
              <w:t>LEAD</w:t>
            </w:r>
            <w:r w:rsidR="00677BA1" w:rsidRPr="006623DE">
              <w:rPr>
                <w:rFonts w:ascii="Arial" w:eastAsia="SimSun" w:hAnsi="Arial" w:cs="Arial"/>
                <w:color w:val="000000"/>
                <w:sz w:val="20"/>
                <w:szCs w:val="20"/>
                <w:lang w:val="vi-VN" w:eastAsia="zh-CN" w:bidi="ar"/>
              </w:rPr>
              <w:t>_4</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D542E3" w14:textId="77777777" w:rsidR="00677BA1" w:rsidRPr="006623DE" w:rsidRDefault="00677BA1" w:rsidP="00A44732">
            <w:pPr>
              <w:spacing w:line="240" w:lineRule="auto"/>
              <w:jc w:val="center"/>
              <w:textAlignment w:val="bottom"/>
              <w:rPr>
                <w:rFonts w:ascii="Arial" w:hAnsi="Arial" w:cs="Arial"/>
                <w:color w:val="000000"/>
                <w:sz w:val="20"/>
                <w:szCs w:val="20"/>
                <w:lang w:val="vi-VN"/>
              </w:rPr>
            </w:pPr>
            <w:r w:rsidRPr="006623DE">
              <w:rPr>
                <w:rFonts w:ascii="Arial" w:eastAsia="SimSun" w:hAnsi="Arial" w:cs="Arial"/>
                <w:color w:val="000000"/>
                <w:sz w:val="20"/>
                <w:szCs w:val="20"/>
                <w:lang w:eastAsia="zh-CN" w:bidi="ar"/>
              </w:rPr>
              <w:t>0</w:t>
            </w:r>
            <w:r w:rsidRPr="006623DE">
              <w:rPr>
                <w:rFonts w:ascii="Arial" w:eastAsia="SimSun" w:hAnsi="Arial" w:cs="Arial"/>
                <w:color w:val="000000"/>
                <w:sz w:val="20"/>
                <w:szCs w:val="20"/>
                <w:lang w:val="vi-VN" w:eastAsia="zh-CN" w:bidi="ar"/>
              </w:rPr>
              <w:t>,</w:t>
            </w:r>
            <w:r w:rsidRPr="006623DE">
              <w:rPr>
                <w:rFonts w:ascii="Arial" w:eastAsia="SimSun" w:hAnsi="Arial" w:cs="Arial"/>
                <w:color w:val="000000"/>
                <w:sz w:val="20"/>
                <w:szCs w:val="20"/>
                <w:lang w:eastAsia="zh-CN" w:bidi="ar"/>
              </w:rPr>
              <w:t>86</w:t>
            </w:r>
            <w:r w:rsidRPr="006623DE">
              <w:rPr>
                <w:rFonts w:ascii="Arial" w:eastAsia="SimSun" w:hAnsi="Arial" w:cs="Arial"/>
                <w:color w:val="000000"/>
                <w:sz w:val="20"/>
                <w:szCs w:val="20"/>
                <w:lang w:val="vi-VN" w:eastAsia="zh-CN" w:bidi="ar"/>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73E100" w14:textId="77777777" w:rsidR="00677BA1" w:rsidRPr="006623DE" w:rsidRDefault="00677BA1" w:rsidP="00A44732">
            <w:pPr>
              <w:spacing w:line="240" w:lineRule="auto"/>
              <w:jc w:val="center"/>
              <w:rPr>
                <w:rFonts w:ascii="Arial" w:hAnsi="Arial" w:cs="Arial"/>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8B6B02" w14:textId="77777777" w:rsidR="00677BA1" w:rsidRPr="006623DE" w:rsidRDefault="00677BA1" w:rsidP="00A44732">
            <w:pPr>
              <w:spacing w:line="240" w:lineRule="auto"/>
              <w:jc w:val="center"/>
              <w:rPr>
                <w:rFonts w:ascii="Arial" w:hAnsi="Arial" w:cs="Arial"/>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94F370" w14:textId="77777777" w:rsidR="00677BA1" w:rsidRPr="006623DE" w:rsidRDefault="00677BA1" w:rsidP="00A44732">
            <w:pPr>
              <w:spacing w:line="240" w:lineRule="auto"/>
              <w:jc w:val="center"/>
              <w:rPr>
                <w:rFonts w:ascii="Arial" w:hAnsi="Arial" w:cs="Arial"/>
                <w:color w:val="000000"/>
                <w:sz w:val="20"/>
                <w:szCs w:val="20"/>
              </w:rPr>
            </w:pPr>
          </w:p>
        </w:tc>
      </w:tr>
      <w:tr w:rsidR="00677BA1" w:rsidRPr="006623DE" w14:paraId="01D653CE" w14:textId="77777777" w:rsidTr="001A1392">
        <w:trPr>
          <w:trHeight w:val="290"/>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90DF2E" w14:textId="27FAAD3B" w:rsidR="00677BA1" w:rsidRPr="006623DE" w:rsidRDefault="00BD4593" w:rsidP="00A44732">
            <w:pPr>
              <w:spacing w:line="240" w:lineRule="auto"/>
              <w:jc w:val="center"/>
              <w:textAlignment w:val="bottom"/>
              <w:rPr>
                <w:rFonts w:ascii="Arial" w:hAnsi="Arial" w:cs="Arial"/>
                <w:color w:val="000000"/>
                <w:sz w:val="20"/>
                <w:szCs w:val="20"/>
                <w:lang w:val="vi-VN"/>
              </w:rPr>
            </w:pPr>
            <w:r w:rsidRPr="006623DE">
              <w:rPr>
                <w:rFonts w:ascii="Arial" w:hAnsi="Arial" w:cs="Arial"/>
                <w:color w:val="000000"/>
                <w:sz w:val="20"/>
                <w:szCs w:val="20"/>
                <w:lang w:val="vi-VN"/>
              </w:rPr>
              <w:lastRenderedPageBreak/>
              <w:t>BVL</w:t>
            </w:r>
            <w:r w:rsidR="00677BA1" w:rsidRPr="006623DE">
              <w:rPr>
                <w:rFonts w:ascii="Arial" w:hAnsi="Arial" w:cs="Arial"/>
                <w:color w:val="000000"/>
                <w:sz w:val="20"/>
                <w:szCs w:val="20"/>
                <w:lang w:val="vi-VN"/>
              </w:rPr>
              <w:t>_1</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CECE5C" w14:textId="77777777" w:rsidR="00677BA1" w:rsidRPr="006623DE" w:rsidRDefault="00677BA1" w:rsidP="00A44732">
            <w:pPr>
              <w:spacing w:line="240" w:lineRule="auto"/>
              <w:jc w:val="center"/>
              <w:rPr>
                <w:rFonts w:ascii="Arial" w:hAnsi="Arial" w:cs="Arial"/>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CF99C8" w14:textId="77777777" w:rsidR="00677BA1" w:rsidRPr="006623DE" w:rsidRDefault="00677BA1" w:rsidP="00A44732">
            <w:pPr>
              <w:spacing w:line="240" w:lineRule="auto"/>
              <w:jc w:val="center"/>
              <w:textAlignment w:val="bottom"/>
              <w:rPr>
                <w:rFonts w:ascii="Arial" w:hAnsi="Arial" w:cs="Arial"/>
                <w:color w:val="000000"/>
                <w:sz w:val="20"/>
                <w:szCs w:val="20"/>
                <w:lang w:val="vi-VN"/>
              </w:rPr>
            </w:pPr>
            <w:r w:rsidRPr="006623DE">
              <w:rPr>
                <w:rFonts w:ascii="Arial" w:eastAsia="SimSun" w:hAnsi="Arial" w:cs="Arial"/>
                <w:color w:val="000000"/>
                <w:sz w:val="20"/>
                <w:szCs w:val="20"/>
                <w:lang w:eastAsia="zh-CN" w:bidi="ar"/>
              </w:rPr>
              <w:t>0</w:t>
            </w:r>
            <w:r w:rsidRPr="006623DE">
              <w:rPr>
                <w:rFonts w:ascii="Arial" w:eastAsia="SimSun" w:hAnsi="Arial" w:cs="Arial"/>
                <w:color w:val="000000"/>
                <w:sz w:val="20"/>
                <w:szCs w:val="20"/>
                <w:lang w:val="vi-VN" w:eastAsia="zh-CN" w:bidi="ar"/>
              </w:rPr>
              <w:t>,</w:t>
            </w:r>
            <w:r w:rsidRPr="006623DE">
              <w:rPr>
                <w:rFonts w:ascii="Arial" w:eastAsia="SimSun" w:hAnsi="Arial" w:cs="Arial"/>
                <w:color w:val="000000"/>
                <w:sz w:val="20"/>
                <w:szCs w:val="20"/>
                <w:lang w:eastAsia="zh-CN" w:bidi="ar"/>
              </w:rPr>
              <w:t>83</w:t>
            </w:r>
            <w:r w:rsidRPr="006623DE">
              <w:rPr>
                <w:rFonts w:ascii="Arial" w:eastAsia="SimSun" w:hAnsi="Arial" w:cs="Arial"/>
                <w:color w:val="000000"/>
                <w:sz w:val="20"/>
                <w:szCs w:val="20"/>
                <w:lang w:val="vi-VN" w:eastAsia="zh-CN" w:bidi="ar"/>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4B58F7" w14:textId="77777777" w:rsidR="00677BA1" w:rsidRPr="006623DE" w:rsidRDefault="00677BA1" w:rsidP="00A44732">
            <w:pPr>
              <w:spacing w:line="240" w:lineRule="auto"/>
              <w:jc w:val="center"/>
              <w:rPr>
                <w:rFonts w:ascii="Arial" w:hAnsi="Arial" w:cs="Arial"/>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A09DE6" w14:textId="77777777" w:rsidR="00677BA1" w:rsidRPr="006623DE" w:rsidRDefault="00677BA1" w:rsidP="00A44732">
            <w:pPr>
              <w:spacing w:line="240" w:lineRule="auto"/>
              <w:jc w:val="center"/>
              <w:rPr>
                <w:rFonts w:ascii="Arial" w:hAnsi="Arial" w:cs="Arial"/>
                <w:color w:val="000000"/>
                <w:sz w:val="20"/>
                <w:szCs w:val="20"/>
              </w:rPr>
            </w:pPr>
          </w:p>
        </w:tc>
      </w:tr>
      <w:tr w:rsidR="00677BA1" w:rsidRPr="006623DE" w14:paraId="1B14CC83" w14:textId="77777777" w:rsidTr="001A1392">
        <w:trPr>
          <w:trHeight w:val="290"/>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59B1BF" w14:textId="7EB6B894" w:rsidR="00677BA1" w:rsidRPr="006623DE" w:rsidRDefault="00BD4593" w:rsidP="00A44732">
            <w:pPr>
              <w:spacing w:line="240" w:lineRule="auto"/>
              <w:jc w:val="center"/>
              <w:textAlignment w:val="bottom"/>
              <w:rPr>
                <w:rFonts w:ascii="Arial" w:hAnsi="Arial" w:cs="Arial"/>
                <w:color w:val="000000"/>
                <w:sz w:val="20"/>
                <w:szCs w:val="20"/>
              </w:rPr>
            </w:pPr>
            <w:r w:rsidRPr="006623DE">
              <w:rPr>
                <w:rFonts w:ascii="Arial" w:eastAsia="SimSun" w:hAnsi="Arial" w:cs="Arial"/>
                <w:color w:val="000000"/>
                <w:sz w:val="20"/>
                <w:szCs w:val="20"/>
                <w:lang w:val="vi-VN" w:eastAsia="zh-CN" w:bidi="ar"/>
              </w:rPr>
              <w:t>BVL</w:t>
            </w:r>
            <w:r w:rsidR="00677BA1" w:rsidRPr="006623DE">
              <w:rPr>
                <w:rFonts w:ascii="Arial" w:eastAsia="SimSun" w:hAnsi="Arial" w:cs="Arial"/>
                <w:color w:val="000000"/>
                <w:sz w:val="20"/>
                <w:szCs w:val="20"/>
                <w:lang w:val="vi-VN" w:eastAsia="zh-CN" w:bidi="ar"/>
              </w:rPr>
              <w:t>_</w:t>
            </w:r>
            <w:r w:rsidR="00677BA1" w:rsidRPr="006623DE">
              <w:rPr>
                <w:rFonts w:ascii="Arial" w:eastAsia="SimSun" w:hAnsi="Arial" w:cs="Arial"/>
                <w:color w:val="000000"/>
                <w:sz w:val="20"/>
                <w:szCs w:val="20"/>
                <w:lang w:eastAsia="zh-CN" w:bidi="ar"/>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04B0CD" w14:textId="77777777" w:rsidR="00677BA1" w:rsidRPr="006623DE" w:rsidRDefault="00677BA1" w:rsidP="00A44732">
            <w:pPr>
              <w:spacing w:line="240" w:lineRule="auto"/>
              <w:jc w:val="center"/>
              <w:rPr>
                <w:rFonts w:ascii="Arial" w:hAnsi="Arial" w:cs="Arial"/>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FF6CBB" w14:textId="77777777" w:rsidR="00677BA1" w:rsidRPr="006623DE" w:rsidRDefault="00677BA1" w:rsidP="00A44732">
            <w:pPr>
              <w:spacing w:line="240" w:lineRule="auto"/>
              <w:jc w:val="center"/>
              <w:textAlignment w:val="bottom"/>
              <w:rPr>
                <w:rFonts w:ascii="Arial" w:hAnsi="Arial" w:cs="Arial"/>
                <w:color w:val="000000"/>
                <w:sz w:val="20"/>
                <w:szCs w:val="20"/>
                <w:lang w:val="vi-VN"/>
              </w:rPr>
            </w:pPr>
            <w:r w:rsidRPr="006623DE">
              <w:rPr>
                <w:rFonts w:ascii="Arial" w:eastAsia="SimSun" w:hAnsi="Arial" w:cs="Arial"/>
                <w:color w:val="000000"/>
                <w:sz w:val="20"/>
                <w:szCs w:val="20"/>
                <w:lang w:eastAsia="zh-CN" w:bidi="ar"/>
              </w:rPr>
              <w:t>0</w:t>
            </w:r>
            <w:r w:rsidRPr="006623DE">
              <w:rPr>
                <w:rFonts w:ascii="Arial" w:eastAsia="SimSun" w:hAnsi="Arial" w:cs="Arial"/>
                <w:color w:val="000000"/>
                <w:sz w:val="20"/>
                <w:szCs w:val="20"/>
                <w:lang w:val="vi-VN" w:eastAsia="zh-CN" w:bidi="ar"/>
              </w:rPr>
              <w:t>,</w:t>
            </w:r>
            <w:r w:rsidRPr="006623DE">
              <w:rPr>
                <w:rFonts w:ascii="Arial" w:eastAsia="SimSun" w:hAnsi="Arial" w:cs="Arial"/>
                <w:color w:val="000000"/>
                <w:sz w:val="20"/>
                <w:szCs w:val="20"/>
                <w:lang w:eastAsia="zh-CN" w:bidi="ar"/>
              </w:rPr>
              <w:t>82</w:t>
            </w:r>
            <w:r w:rsidRPr="006623DE">
              <w:rPr>
                <w:rFonts w:ascii="Arial" w:eastAsia="SimSun" w:hAnsi="Arial" w:cs="Arial"/>
                <w:color w:val="000000"/>
                <w:sz w:val="20"/>
                <w:szCs w:val="20"/>
                <w:lang w:val="vi-VN" w:eastAsia="zh-CN" w:bidi="ar"/>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FB2DFC" w14:textId="77777777" w:rsidR="00677BA1" w:rsidRPr="006623DE" w:rsidRDefault="00677BA1" w:rsidP="00A44732">
            <w:pPr>
              <w:spacing w:line="240" w:lineRule="auto"/>
              <w:jc w:val="center"/>
              <w:rPr>
                <w:rFonts w:ascii="Arial" w:hAnsi="Arial" w:cs="Arial"/>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1FCD53" w14:textId="77777777" w:rsidR="00677BA1" w:rsidRPr="006623DE" w:rsidRDefault="00677BA1" w:rsidP="00A44732">
            <w:pPr>
              <w:spacing w:line="240" w:lineRule="auto"/>
              <w:jc w:val="center"/>
              <w:rPr>
                <w:rFonts w:ascii="Arial" w:hAnsi="Arial" w:cs="Arial"/>
                <w:color w:val="000000"/>
                <w:sz w:val="20"/>
                <w:szCs w:val="20"/>
              </w:rPr>
            </w:pPr>
          </w:p>
        </w:tc>
      </w:tr>
      <w:tr w:rsidR="00677BA1" w:rsidRPr="006623DE" w14:paraId="05564C7C" w14:textId="77777777" w:rsidTr="001A1392">
        <w:trPr>
          <w:trHeight w:val="290"/>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F66BAD" w14:textId="50FB316A" w:rsidR="00677BA1" w:rsidRPr="006623DE" w:rsidRDefault="00BD4593" w:rsidP="00A44732">
            <w:pPr>
              <w:spacing w:line="240" w:lineRule="auto"/>
              <w:jc w:val="center"/>
              <w:textAlignment w:val="bottom"/>
              <w:rPr>
                <w:rFonts w:ascii="Arial" w:hAnsi="Arial" w:cs="Arial"/>
                <w:color w:val="000000"/>
                <w:sz w:val="20"/>
                <w:szCs w:val="20"/>
              </w:rPr>
            </w:pPr>
            <w:r w:rsidRPr="006623DE">
              <w:rPr>
                <w:rFonts w:ascii="Arial" w:eastAsia="SimSun" w:hAnsi="Arial" w:cs="Arial"/>
                <w:color w:val="000000"/>
                <w:sz w:val="20"/>
                <w:szCs w:val="20"/>
                <w:lang w:val="vi-VN" w:eastAsia="zh-CN" w:bidi="ar"/>
              </w:rPr>
              <w:t>BVL</w:t>
            </w:r>
            <w:r w:rsidR="00677BA1" w:rsidRPr="006623DE">
              <w:rPr>
                <w:rFonts w:ascii="Arial" w:eastAsia="SimSun" w:hAnsi="Arial" w:cs="Arial"/>
                <w:color w:val="000000"/>
                <w:sz w:val="20"/>
                <w:szCs w:val="20"/>
                <w:lang w:val="vi-VN" w:eastAsia="zh-CN" w:bidi="ar"/>
              </w:rPr>
              <w:t>_</w:t>
            </w:r>
            <w:r w:rsidR="00677BA1" w:rsidRPr="006623DE">
              <w:rPr>
                <w:rFonts w:ascii="Arial" w:eastAsia="SimSun" w:hAnsi="Arial" w:cs="Arial"/>
                <w:color w:val="000000"/>
                <w:sz w:val="20"/>
                <w:szCs w:val="20"/>
                <w:lang w:eastAsia="zh-CN" w:bidi="ar"/>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8D742A" w14:textId="77777777" w:rsidR="00677BA1" w:rsidRPr="006623DE" w:rsidRDefault="00677BA1" w:rsidP="00A44732">
            <w:pPr>
              <w:spacing w:line="240" w:lineRule="auto"/>
              <w:jc w:val="center"/>
              <w:rPr>
                <w:rFonts w:ascii="Arial" w:hAnsi="Arial" w:cs="Arial"/>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AE1818" w14:textId="77777777" w:rsidR="00677BA1" w:rsidRPr="006623DE" w:rsidRDefault="00677BA1" w:rsidP="00A44732">
            <w:pPr>
              <w:spacing w:line="240" w:lineRule="auto"/>
              <w:jc w:val="center"/>
              <w:textAlignment w:val="bottom"/>
              <w:rPr>
                <w:rFonts w:ascii="Arial" w:hAnsi="Arial" w:cs="Arial"/>
                <w:color w:val="000000"/>
                <w:sz w:val="20"/>
                <w:szCs w:val="20"/>
                <w:lang w:val="vi-VN"/>
              </w:rPr>
            </w:pPr>
            <w:r w:rsidRPr="006623DE">
              <w:rPr>
                <w:rFonts w:ascii="Arial" w:eastAsia="SimSun" w:hAnsi="Arial" w:cs="Arial"/>
                <w:color w:val="000000"/>
                <w:sz w:val="20"/>
                <w:szCs w:val="20"/>
                <w:lang w:eastAsia="zh-CN" w:bidi="ar"/>
              </w:rPr>
              <w:t>0</w:t>
            </w:r>
            <w:r w:rsidRPr="006623DE">
              <w:rPr>
                <w:rFonts w:ascii="Arial" w:eastAsia="SimSun" w:hAnsi="Arial" w:cs="Arial"/>
                <w:color w:val="000000"/>
                <w:sz w:val="20"/>
                <w:szCs w:val="20"/>
                <w:lang w:val="vi-VN" w:eastAsia="zh-CN" w:bidi="ar"/>
              </w:rPr>
              <w:t>,</w:t>
            </w:r>
            <w:r w:rsidRPr="006623DE">
              <w:rPr>
                <w:rFonts w:ascii="Arial" w:eastAsia="SimSun" w:hAnsi="Arial" w:cs="Arial"/>
                <w:color w:val="000000"/>
                <w:sz w:val="20"/>
                <w:szCs w:val="20"/>
                <w:lang w:eastAsia="zh-CN" w:bidi="ar"/>
              </w:rPr>
              <w:t>81</w:t>
            </w:r>
            <w:r w:rsidRPr="006623DE">
              <w:rPr>
                <w:rFonts w:ascii="Arial" w:eastAsia="SimSun" w:hAnsi="Arial" w:cs="Arial"/>
                <w:color w:val="000000"/>
                <w:sz w:val="20"/>
                <w:szCs w:val="20"/>
                <w:lang w:val="vi-VN" w:eastAsia="zh-CN" w:bidi="ar"/>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DF2A56" w14:textId="77777777" w:rsidR="00677BA1" w:rsidRPr="006623DE" w:rsidRDefault="00677BA1" w:rsidP="00A44732">
            <w:pPr>
              <w:spacing w:line="240" w:lineRule="auto"/>
              <w:jc w:val="center"/>
              <w:rPr>
                <w:rFonts w:ascii="Arial" w:hAnsi="Arial" w:cs="Arial"/>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67E203" w14:textId="77777777" w:rsidR="00677BA1" w:rsidRPr="006623DE" w:rsidRDefault="00677BA1" w:rsidP="00A44732">
            <w:pPr>
              <w:spacing w:line="240" w:lineRule="auto"/>
              <w:jc w:val="center"/>
              <w:rPr>
                <w:rFonts w:ascii="Arial" w:hAnsi="Arial" w:cs="Arial"/>
                <w:color w:val="000000"/>
                <w:sz w:val="20"/>
                <w:szCs w:val="20"/>
              </w:rPr>
            </w:pPr>
          </w:p>
        </w:tc>
      </w:tr>
      <w:tr w:rsidR="00677BA1" w:rsidRPr="006623DE" w14:paraId="4EED7EF7" w14:textId="77777777" w:rsidTr="001A1392">
        <w:trPr>
          <w:trHeight w:val="290"/>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C0D7C9" w14:textId="41F544CA" w:rsidR="00677BA1" w:rsidRPr="006623DE" w:rsidRDefault="00BD4593" w:rsidP="00A44732">
            <w:pPr>
              <w:spacing w:line="240" w:lineRule="auto"/>
              <w:jc w:val="center"/>
              <w:textAlignment w:val="bottom"/>
              <w:rPr>
                <w:rFonts w:ascii="Arial" w:hAnsi="Arial" w:cs="Arial"/>
                <w:color w:val="000000"/>
                <w:sz w:val="20"/>
                <w:szCs w:val="20"/>
              </w:rPr>
            </w:pPr>
            <w:r w:rsidRPr="006623DE">
              <w:rPr>
                <w:rFonts w:ascii="Arial" w:eastAsia="SimSun" w:hAnsi="Arial" w:cs="Arial"/>
                <w:color w:val="000000"/>
                <w:sz w:val="20"/>
                <w:szCs w:val="20"/>
                <w:lang w:val="vi-VN" w:eastAsia="zh-CN" w:bidi="ar"/>
              </w:rPr>
              <w:t>BVL</w:t>
            </w:r>
            <w:r w:rsidR="00677BA1" w:rsidRPr="006623DE">
              <w:rPr>
                <w:rFonts w:ascii="Arial" w:eastAsia="SimSun" w:hAnsi="Arial" w:cs="Arial"/>
                <w:color w:val="000000"/>
                <w:sz w:val="20"/>
                <w:szCs w:val="20"/>
                <w:lang w:val="vi-VN" w:eastAsia="zh-CN" w:bidi="ar"/>
              </w:rPr>
              <w:t>_</w:t>
            </w:r>
            <w:r w:rsidR="00677BA1" w:rsidRPr="006623DE">
              <w:rPr>
                <w:rFonts w:ascii="Arial" w:eastAsia="SimSun" w:hAnsi="Arial" w:cs="Arial"/>
                <w:color w:val="000000"/>
                <w:sz w:val="20"/>
                <w:szCs w:val="20"/>
                <w:lang w:eastAsia="zh-CN" w:bidi="ar"/>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231057" w14:textId="77777777" w:rsidR="00677BA1" w:rsidRPr="006623DE" w:rsidRDefault="00677BA1" w:rsidP="00A44732">
            <w:pPr>
              <w:spacing w:line="240" w:lineRule="auto"/>
              <w:jc w:val="center"/>
              <w:rPr>
                <w:rFonts w:ascii="Arial" w:hAnsi="Arial" w:cs="Arial"/>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3696AC" w14:textId="77777777" w:rsidR="00677BA1" w:rsidRPr="006623DE" w:rsidRDefault="00677BA1" w:rsidP="00A44732">
            <w:pPr>
              <w:spacing w:line="240" w:lineRule="auto"/>
              <w:jc w:val="center"/>
              <w:textAlignment w:val="bottom"/>
              <w:rPr>
                <w:rFonts w:ascii="Arial" w:hAnsi="Arial" w:cs="Arial"/>
                <w:color w:val="000000"/>
                <w:sz w:val="20"/>
                <w:szCs w:val="20"/>
              </w:rPr>
            </w:pPr>
            <w:r w:rsidRPr="006623DE">
              <w:rPr>
                <w:rFonts w:ascii="Arial" w:eastAsia="SimSun" w:hAnsi="Arial" w:cs="Arial"/>
                <w:color w:val="000000"/>
                <w:sz w:val="20"/>
                <w:szCs w:val="20"/>
                <w:lang w:eastAsia="zh-CN" w:bidi="ar"/>
              </w:rPr>
              <w:t>0</w:t>
            </w:r>
            <w:r w:rsidRPr="006623DE">
              <w:rPr>
                <w:rFonts w:ascii="Arial" w:eastAsia="SimSun" w:hAnsi="Arial" w:cs="Arial"/>
                <w:color w:val="000000"/>
                <w:sz w:val="20"/>
                <w:szCs w:val="20"/>
                <w:lang w:val="vi-VN" w:eastAsia="zh-CN" w:bidi="ar"/>
              </w:rPr>
              <w:t>,</w:t>
            </w:r>
            <w:r w:rsidRPr="006623DE">
              <w:rPr>
                <w:rFonts w:ascii="Arial" w:eastAsia="SimSun" w:hAnsi="Arial" w:cs="Arial"/>
                <w:color w:val="000000"/>
                <w:sz w:val="20"/>
                <w:szCs w:val="20"/>
                <w:lang w:eastAsia="zh-CN" w:bidi="ar"/>
              </w:rPr>
              <w:t>799</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3F1FBF" w14:textId="77777777" w:rsidR="00677BA1" w:rsidRPr="006623DE" w:rsidRDefault="00677BA1" w:rsidP="00A44732">
            <w:pPr>
              <w:spacing w:line="240" w:lineRule="auto"/>
              <w:jc w:val="center"/>
              <w:rPr>
                <w:rFonts w:ascii="Arial" w:hAnsi="Arial" w:cs="Arial"/>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B1C55E" w14:textId="77777777" w:rsidR="00677BA1" w:rsidRPr="006623DE" w:rsidRDefault="00677BA1" w:rsidP="00A44732">
            <w:pPr>
              <w:spacing w:line="240" w:lineRule="auto"/>
              <w:jc w:val="center"/>
              <w:rPr>
                <w:rFonts w:ascii="Arial" w:hAnsi="Arial" w:cs="Arial"/>
                <w:color w:val="000000"/>
                <w:sz w:val="20"/>
                <w:szCs w:val="20"/>
              </w:rPr>
            </w:pPr>
          </w:p>
        </w:tc>
      </w:tr>
      <w:tr w:rsidR="00677BA1" w:rsidRPr="006623DE" w14:paraId="7E12ECC7" w14:textId="77777777" w:rsidTr="001A1392">
        <w:trPr>
          <w:trHeight w:val="290"/>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2C9F14" w14:textId="1F8EF09B" w:rsidR="00677BA1" w:rsidRPr="006623DE" w:rsidRDefault="00BD4593" w:rsidP="00A44732">
            <w:pPr>
              <w:spacing w:line="240" w:lineRule="auto"/>
              <w:jc w:val="center"/>
              <w:textAlignment w:val="bottom"/>
              <w:rPr>
                <w:rFonts w:ascii="Arial" w:hAnsi="Arial" w:cs="Arial"/>
                <w:color w:val="000000"/>
                <w:sz w:val="20"/>
                <w:szCs w:val="20"/>
              </w:rPr>
            </w:pPr>
            <w:r w:rsidRPr="006623DE">
              <w:rPr>
                <w:rFonts w:ascii="Arial" w:eastAsia="SimSun" w:hAnsi="Arial" w:cs="Arial"/>
                <w:color w:val="000000"/>
                <w:sz w:val="20"/>
                <w:szCs w:val="20"/>
                <w:lang w:val="vi-VN" w:eastAsia="zh-CN" w:bidi="ar"/>
              </w:rPr>
              <w:t>BNL</w:t>
            </w:r>
            <w:r w:rsidR="00677BA1" w:rsidRPr="006623DE">
              <w:rPr>
                <w:rFonts w:ascii="Arial" w:eastAsia="SimSun" w:hAnsi="Arial" w:cs="Arial"/>
                <w:color w:val="000000"/>
                <w:sz w:val="20"/>
                <w:szCs w:val="20"/>
                <w:lang w:val="vi-VN" w:eastAsia="zh-CN" w:bidi="ar"/>
              </w:rPr>
              <w:t>_</w:t>
            </w:r>
            <w:r w:rsidR="00677BA1" w:rsidRPr="006623DE">
              <w:rPr>
                <w:rFonts w:ascii="Arial" w:eastAsia="SimSun" w:hAnsi="Arial" w:cs="Arial"/>
                <w:color w:val="000000"/>
                <w:sz w:val="20"/>
                <w:szCs w:val="20"/>
                <w:lang w:eastAsia="zh-CN" w:bidi="ar"/>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DF7179" w14:textId="77777777" w:rsidR="00677BA1" w:rsidRPr="006623DE" w:rsidRDefault="00677BA1" w:rsidP="00A44732">
            <w:pPr>
              <w:spacing w:line="240" w:lineRule="auto"/>
              <w:jc w:val="center"/>
              <w:rPr>
                <w:rFonts w:ascii="Arial" w:hAnsi="Arial" w:cs="Arial"/>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10F311" w14:textId="77777777" w:rsidR="00677BA1" w:rsidRPr="006623DE" w:rsidRDefault="00677BA1" w:rsidP="00A44732">
            <w:pPr>
              <w:spacing w:line="240" w:lineRule="auto"/>
              <w:jc w:val="center"/>
              <w:textAlignment w:val="bottom"/>
              <w:rPr>
                <w:rFonts w:ascii="Arial" w:hAnsi="Arial" w:cs="Arial"/>
                <w:color w:val="000000"/>
                <w:sz w:val="20"/>
                <w:szCs w:val="20"/>
                <w:lang w:val="vi-VN"/>
              </w:rPr>
            </w:pPr>
            <w:r w:rsidRPr="006623DE">
              <w:rPr>
                <w:rFonts w:ascii="Arial" w:eastAsia="SimSun" w:hAnsi="Arial" w:cs="Arial"/>
                <w:color w:val="000000"/>
                <w:sz w:val="20"/>
                <w:szCs w:val="20"/>
                <w:lang w:eastAsia="zh-CN" w:bidi="ar"/>
              </w:rPr>
              <w:t>0</w:t>
            </w:r>
            <w:r w:rsidRPr="006623DE">
              <w:rPr>
                <w:rFonts w:ascii="Arial" w:eastAsia="SimSun" w:hAnsi="Arial" w:cs="Arial"/>
                <w:color w:val="000000"/>
                <w:sz w:val="20"/>
                <w:szCs w:val="20"/>
                <w:lang w:val="vi-VN" w:eastAsia="zh-CN" w:bidi="ar"/>
              </w:rPr>
              <w:t>,</w:t>
            </w:r>
            <w:r w:rsidRPr="006623DE">
              <w:rPr>
                <w:rFonts w:ascii="Arial" w:eastAsia="SimSun" w:hAnsi="Arial" w:cs="Arial"/>
                <w:color w:val="000000"/>
                <w:sz w:val="20"/>
                <w:szCs w:val="20"/>
                <w:lang w:eastAsia="zh-CN" w:bidi="ar"/>
              </w:rPr>
              <w:t>79</w:t>
            </w:r>
            <w:r w:rsidRPr="006623DE">
              <w:rPr>
                <w:rFonts w:ascii="Arial" w:eastAsia="SimSun" w:hAnsi="Arial" w:cs="Arial"/>
                <w:color w:val="000000"/>
                <w:sz w:val="20"/>
                <w:szCs w:val="20"/>
                <w:lang w:val="vi-VN" w:eastAsia="zh-CN" w:bidi="ar"/>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49B149" w14:textId="77777777" w:rsidR="00677BA1" w:rsidRPr="006623DE" w:rsidRDefault="00677BA1" w:rsidP="00A44732">
            <w:pPr>
              <w:spacing w:line="240" w:lineRule="auto"/>
              <w:jc w:val="center"/>
              <w:rPr>
                <w:rFonts w:ascii="Arial" w:hAnsi="Arial" w:cs="Arial"/>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231CC1" w14:textId="77777777" w:rsidR="00677BA1" w:rsidRPr="006623DE" w:rsidRDefault="00677BA1" w:rsidP="00A44732">
            <w:pPr>
              <w:spacing w:line="240" w:lineRule="auto"/>
              <w:jc w:val="center"/>
              <w:rPr>
                <w:rFonts w:ascii="Arial" w:hAnsi="Arial" w:cs="Arial"/>
                <w:color w:val="000000"/>
                <w:sz w:val="20"/>
                <w:szCs w:val="20"/>
              </w:rPr>
            </w:pPr>
          </w:p>
        </w:tc>
      </w:tr>
      <w:tr w:rsidR="00677BA1" w:rsidRPr="006623DE" w14:paraId="5E0FF5C9" w14:textId="77777777" w:rsidTr="001A1392">
        <w:trPr>
          <w:trHeight w:val="290"/>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12983D" w14:textId="095E43F8" w:rsidR="00677BA1" w:rsidRPr="006623DE" w:rsidRDefault="00BD4593" w:rsidP="00A44732">
            <w:pPr>
              <w:spacing w:line="240" w:lineRule="auto"/>
              <w:jc w:val="center"/>
              <w:textAlignment w:val="bottom"/>
              <w:rPr>
                <w:rFonts w:ascii="Arial" w:hAnsi="Arial" w:cs="Arial"/>
                <w:color w:val="000000"/>
                <w:sz w:val="20"/>
                <w:szCs w:val="20"/>
              </w:rPr>
            </w:pPr>
            <w:r w:rsidRPr="006623DE">
              <w:rPr>
                <w:rFonts w:ascii="Arial" w:eastAsia="SimSun" w:hAnsi="Arial" w:cs="Arial"/>
                <w:color w:val="000000"/>
                <w:sz w:val="20"/>
                <w:szCs w:val="20"/>
                <w:lang w:val="vi-VN" w:eastAsia="zh-CN" w:bidi="ar"/>
              </w:rPr>
              <w:t>BVL</w:t>
            </w:r>
            <w:r w:rsidR="00677BA1" w:rsidRPr="006623DE">
              <w:rPr>
                <w:rFonts w:ascii="Arial" w:eastAsia="SimSun" w:hAnsi="Arial" w:cs="Arial"/>
                <w:color w:val="000000"/>
                <w:sz w:val="20"/>
                <w:szCs w:val="20"/>
                <w:lang w:val="vi-VN" w:eastAsia="zh-CN" w:bidi="ar"/>
              </w:rPr>
              <w:t>_</w:t>
            </w:r>
            <w:r w:rsidR="00677BA1" w:rsidRPr="006623DE">
              <w:rPr>
                <w:rFonts w:ascii="Arial" w:eastAsia="SimSun" w:hAnsi="Arial" w:cs="Arial"/>
                <w:color w:val="000000"/>
                <w:sz w:val="20"/>
                <w:szCs w:val="20"/>
                <w:lang w:eastAsia="zh-CN" w:bidi="ar"/>
              </w:rPr>
              <w:t>6</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671F12" w14:textId="77777777" w:rsidR="00677BA1" w:rsidRPr="006623DE" w:rsidRDefault="00677BA1" w:rsidP="00A44732">
            <w:pPr>
              <w:spacing w:line="240" w:lineRule="auto"/>
              <w:jc w:val="center"/>
              <w:rPr>
                <w:rFonts w:ascii="Arial" w:hAnsi="Arial" w:cs="Arial"/>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1FD740" w14:textId="77777777" w:rsidR="00677BA1" w:rsidRPr="006623DE" w:rsidRDefault="00677BA1" w:rsidP="00A44732">
            <w:pPr>
              <w:spacing w:line="240" w:lineRule="auto"/>
              <w:jc w:val="center"/>
              <w:textAlignment w:val="bottom"/>
              <w:rPr>
                <w:rFonts w:ascii="Arial" w:hAnsi="Arial" w:cs="Arial"/>
                <w:color w:val="000000"/>
                <w:sz w:val="20"/>
                <w:szCs w:val="20"/>
                <w:lang w:val="vi-VN"/>
              </w:rPr>
            </w:pPr>
            <w:r w:rsidRPr="006623DE">
              <w:rPr>
                <w:rFonts w:ascii="Arial" w:eastAsia="SimSun" w:hAnsi="Arial" w:cs="Arial"/>
                <w:color w:val="000000"/>
                <w:sz w:val="20"/>
                <w:szCs w:val="20"/>
                <w:lang w:eastAsia="zh-CN" w:bidi="ar"/>
              </w:rPr>
              <w:t>0</w:t>
            </w:r>
            <w:r w:rsidRPr="006623DE">
              <w:rPr>
                <w:rFonts w:ascii="Arial" w:eastAsia="SimSun" w:hAnsi="Arial" w:cs="Arial"/>
                <w:color w:val="000000"/>
                <w:sz w:val="20"/>
                <w:szCs w:val="20"/>
                <w:lang w:val="vi-VN" w:eastAsia="zh-CN" w:bidi="ar"/>
              </w:rPr>
              <w:t>,</w:t>
            </w:r>
            <w:r w:rsidRPr="006623DE">
              <w:rPr>
                <w:rFonts w:ascii="Arial" w:eastAsia="SimSun" w:hAnsi="Arial" w:cs="Arial"/>
                <w:color w:val="000000"/>
                <w:sz w:val="20"/>
                <w:szCs w:val="20"/>
                <w:lang w:eastAsia="zh-CN" w:bidi="ar"/>
              </w:rPr>
              <w:t>79</w:t>
            </w:r>
            <w:r w:rsidRPr="006623DE">
              <w:rPr>
                <w:rFonts w:ascii="Arial" w:eastAsia="SimSun" w:hAnsi="Arial" w:cs="Arial"/>
                <w:color w:val="000000"/>
                <w:sz w:val="20"/>
                <w:szCs w:val="20"/>
                <w:lang w:val="vi-VN" w:eastAsia="zh-CN"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916054" w14:textId="77777777" w:rsidR="00677BA1" w:rsidRPr="006623DE" w:rsidRDefault="00677BA1" w:rsidP="00A44732">
            <w:pPr>
              <w:spacing w:line="240" w:lineRule="auto"/>
              <w:jc w:val="center"/>
              <w:rPr>
                <w:rFonts w:ascii="Arial" w:hAnsi="Arial" w:cs="Arial"/>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296B8D" w14:textId="77777777" w:rsidR="00677BA1" w:rsidRPr="006623DE" w:rsidRDefault="00677BA1" w:rsidP="00A44732">
            <w:pPr>
              <w:spacing w:line="240" w:lineRule="auto"/>
              <w:jc w:val="center"/>
              <w:rPr>
                <w:rFonts w:ascii="Arial" w:hAnsi="Arial" w:cs="Arial"/>
                <w:color w:val="000000"/>
                <w:sz w:val="20"/>
                <w:szCs w:val="20"/>
              </w:rPr>
            </w:pPr>
          </w:p>
        </w:tc>
      </w:tr>
      <w:tr w:rsidR="00677BA1" w:rsidRPr="006623DE" w14:paraId="2ADA0CF5" w14:textId="77777777" w:rsidTr="001A1392">
        <w:trPr>
          <w:trHeight w:val="290"/>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54F9A3" w14:textId="116485D6" w:rsidR="00677BA1" w:rsidRPr="006623DE" w:rsidRDefault="00600BF1" w:rsidP="00A44732">
            <w:pPr>
              <w:spacing w:line="240" w:lineRule="auto"/>
              <w:jc w:val="center"/>
              <w:textAlignment w:val="bottom"/>
              <w:rPr>
                <w:rFonts w:ascii="Arial" w:hAnsi="Arial" w:cs="Arial"/>
                <w:i/>
                <w:iCs/>
                <w:color w:val="000000"/>
                <w:sz w:val="20"/>
                <w:szCs w:val="20"/>
              </w:rPr>
            </w:pPr>
            <w:r w:rsidRPr="006623DE">
              <w:rPr>
                <w:rFonts w:ascii="Arial" w:eastAsia="SimSun" w:hAnsi="Arial" w:cs="Arial"/>
                <w:i/>
                <w:iCs/>
                <w:color w:val="000000"/>
                <w:sz w:val="20"/>
                <w:szCs w:val="20"/>
                <w:lang w:val="vi-VN" w:eastAsia="zh-CN" w:bidi="ar"/>
              </w:rPr>
              <w:t>OC</w:t>
            </w:r>
            <w:r w:rsidR="00677BA1" w:rsidRPr="006623DE">
              <w:rPr>
                <w:rFonts w:ascii="Arial" w:eastAsia="SimSun" w:hAnsi="Arial" w:cs="Arial"/>
                <w:i/>
                <w:iCs/>
                <w:color w:val="000000"/>
                <w:sz w:val="20"/>
                <w:szCs w:val="20"/>
                <w:lang w:val="vi-VN" w:eastAsia="zh-CN" w:bidi="ar"/>
              </w:rPr>
              <w:t>_</w:t>
            </w:r>
            <w:r w:rsidR="00677BA1" w:rsidRPr="006623DE">
              <w:rPr>
                <w:rFonts w:ascii="Arial" w:eastAsia="SimSun" w:hAnsi="Arial" w:cs="Arial"/>
                <w:i/>
                <w:iCs/>
                <w:color w:val="000000"/>
                <w:sz w:val="20"/>
                <w:szCs w:val="20"/>
                <w:lang w:eastAsia="zh-CN" w:bidi="ar"/>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F99EFB" w14:textId="77777777" w:rsidR="00677BA1" w:rsidRPr="006623DE" w:rsidRDefault="00677BA1" w:rsidP="00A44732">
            <w:pPr>
              <w:spacing w:line="240" w:lineRule="auto"/>
              <w:jc w:val="center"/>
              <w:rPr>
                <w:rFonts w:ascii="Arial" w:hAnsi="Arial" w:cs="Arial"/>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54E8F0" w14:textId="77777777" w:rsidR="00677BA1" w:rsidRPr="006623DE" w:rsidRDefault="00677BA1" w:rsidP="00A44732">
            <w:pPr>
              <w:spacing w:line="240" w:lineRule="auto"/>
              <w:jc w:val="center"/>
              <w:rPr>
                <w:rFonts w:ascii="Arial" w:hAnsi="Arial" w:cs="Arial"/>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790C4A" w14:textId="77777777" w:rsidR="00677BA1" w:rsidRPr="006623DE" w:rsidRDefault="00677BA1" w:rsidP="00A44732">
            <w:pPr>
              <w:spacing w:line="240" w:lineRule="auto"/>
              <w:jc w:val="center"/>
              <w:textAlignment w:val="bottom"/>
              <w:rPr>
                <w:rFonts w:ascii="Arial" w:hAnsi="Arial" w:cs="Arial"/>
                <w:color w:val="000000"/>
                <w:sz w:val="20"/>
                <w:szCs w:val="20"/>
                <w:lang w:val="vi-VN"/>
              </w:rPr>
            </w:pPr>
            <w:r w:rsidRPr="006623DE">
              <w:rPr>
                <w:rFonts w:ascii="Arial" w:eastAsia="SimSun" w:hAnsi="Arial" w:cs="Arial"/>
                <w:color w:val="000000"/>
                <w:sz w:val="20"/>
                <w:szCs w:val="20"/>
                <w:lang w:eastAsia="zh-CN" w:bidi="ar"/>
              </w:rPr>
              <w:t>0</w:t>
            </w:r>
            <w:r w:rsidRPr="006623DE">
              <w:rPr>
                <w:rFonts w:ascii="Arial" w:eastAsia="SimSun" w:hAnsi="Arial" w:cs="Arial"/>
                <w:color w:val="000000"/>
                <w:sz w:val="20"/>
                <w:szCs w:val="20"/>
                <w:lang w:val="vi-VN" w:eastAsia="zh-CN" w:bidi="ar"/>
              </w:rPr>
              <w:t>,</w:t>
            </w:r>
            <w:r w:rsidRPr="006623DE">
              <w:rPr>
                <w:rFonts w:ascii="Arial" w:eastAsia="SimSun" w:hAnsi="Arial" w:cs="Arial"/>
                <w:color w:val="000000"/>
                <w:sz w:val="20"/>
                <w:szCs w:val="20"/>
                <w:lang w:eastAsia="zh-CN" w:bidi="ar"/>
              </w:rPr>
              <w:t>86</w:t>
            </w:r>
            <w:r w:rsidRPr="006623DE">
              <w:rPr>
                <w:rFonts w:ascii="Arial" w:eastAsia="SimSun" w:hAnsi="Arial" w:cs="Arial"/>
                <w:color w:val="000000"/>
                <w:sz w:val="20"/>
                <w:szCs w:val="20"/>
                <w:lang w:val="vi-VN" w:eastAsia="zh-CN"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D94934" w14:textId="77777777" w:rsidR="00677BA1" w:rsidRPr="006623DE" w:rsidRDefault="00677BA1" w:rsidP="00A44732">
            <w:pPr>
              <w:spacing w:line="240" w:lineRule="auto"/>
              <w:jc w:val="center"/>
              <w:rPr>
                <w:rFonts w:ascii="Arial" w:hAnsi="Arial" w:cs="Arial"/>
                <w:color w:val="000000"/>
                <w:sz w:val="20"/>
                <w:szCs w:val="20"/>
              </w:rPr>
            </w:pPr>
          </w:p>
        </w:tc>
      </w:tr>
      <w:tr w:rsidR="00677BA1" w:rsidRPr="006623DE" w14:paraId="60A42848" w14:textId="77777777" w:rsidTr="001A1392">
        <w:trPr>
          <w:trHeight w:val="290"/>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2FEE45" w14:textId="1FE22450" w:rsidR="00677BA1" w:rsidRPr="006623DE" w:rsidRDefault="00600BF1" w:rsidP="00A44732">
            <w:pPr>
              <w:spacing w:line="240" w:lineRule="auto"/>
              <w:jc w:val="center"/>
              <w:textAlignment w:val="bottom"/>
              <w:rPr>
                <w:rFonts w:ascii="Arial" w:hAnsi="Arial" w:cs="Arial"/>
                <w:i/>
                <w:iCs/>
                <w:color w:val="000000"/>
                <w:sz w:val="20"/>
                <w:szCs w:val="20"/>
              </w:rPr>
            </w:pPr>
            <w:r w:rsidRPr="006623DE">
              <w:rPr>
                <w:rFonts w:ascii="Arial" w:eastAsia="SimSun" w:hAnsi="Arial" w:cs="Arial"/>
                <w:i/>
                <w:iCs/>
                <w:color w:val="000000"/>
                <w:sz w:val="20"/>
                <w:szCs w:val="20"/>
                <w:lang w:val="vi-VN" w:eastAsia="zh-CN" w:bidi="ar"/>
              </w:rPr>
              <w:t>OC</w:t>
            </w:r>
            <w:r w:rsidR="00677BA1" w:rsidRPr="006623DE">
              <w:rPr>
                <w:rFonts w:ascii="Arial" w:eastAsia="SimSun" w:hAnsi="Arial" w:cs="Arial"/>
                <w:i/>
                <w:iCs/>
                <w:color w:val="000000"/>
                <w:sz w:val="20"/>
                <w:szCs w:val="20"/>
                <w:lang w:val="vi-VN" w:eastAsia="zh-CN" w:bidi="ar"/>
              </w:rPr>
              <w:t>_</w:t>
            </w:r>
            <w:r w:rsidR="00677BA1" w:rsidRPr="006623DE">
              <w:rPr>
                <w:rFonts w:ascii="Arial" w:eastAsia="SimSun" w:hAnsi="Arial" w:cs="Arial"/>
                <w:i/>
                <w:iCs/>
                <w:color w:val="000000"/>
                <w:sz w:val="20"/>
                <w:szCs w:val="20"/>
                <w:lang w:eastAsia="zh-CN" w:bidi="ar"/>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D4952F" w14:textId="77777777" w:rsidR="00677BA1" w:rsidRPr="006623DE" w:rsidRDefault="00677BA1" w:rsidP="00A44732">
            <w:pPr>
              <w:spacing w:line="240" w:lineRule="auto"/>
              <w:jc w:val="center"/>
              <w:rPr>
                <w:rFonts w:ascii="Arial" w:hAnsi="Arial" w:cs="Arial"/>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6C128A" w14:textId="77777777" w:rsidR="00677BA1" w:rsidRPr="006623DE" w:rsidRDefault="00677BA1" w:rsidP="00A44732">
            <w:pPr>
              <w:spacing w:line="240" w:lineRule="auto"/>
              <w:jc w:val="center"/>
              <w:rPr>
                <w:rFonts w:ascii="Arial" w:hAnsi="Arial" w:cs="Arial"/>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100DED" w14:textId="77777777" w:rsidR="00677BA1" w:rsidRPr="006623DE" w:rsidRDefault="00677BA1" w:rsidP="00A44732">
            <w:pPr>
              <w:spacing w:line="240" w:lineRule="auto"/>
              <w:jc w:val="center"/>
              <w:textAlignment w:val="bottom"/>
              <w:rPr>
                <w:rFonts w:ascii="Arial" w:hAnsi="Arial" w:cs="Arial"/>
                <w:color w:val="000000"/>
                <w:sz w:val="20"/>
                <w:szCs w:val="20"/>
              </w:rPr>
            </w:pPr>
            <w:r w:rsidRPr="006623DE">
              <w:rPr>
                <w:rFonts w:ascii="Arial" w:eastAsia="SimSun" w:hAnsi="Arial" w:cs="Arial"/>
                <w:color w:val="000000"/>
                <w:sz w:val="20"/>
                <w:szCs w:val="20"/>
                <w:lang w:eastAsia="zh-CN" w:bidi="ar"/>
              </w:rPr>
              <w:t>0</w:t>
            </w:r>
            <w:r w:rsidRPr="006623DE">
              <w:rPr>
                <w:rFonts w:ascii="Arial" w:eastAsia="SimSun" w:hAnsi="Arial" w:cs="Arial"/>
                <w:color w:val="000000"/>
                <w:sz w:val="20"/>
                <w:szCs w:val="20"/>
                <w:lang w:val="vi-VN" w:eastAsia="zh-CN" w:bidi="ar"/>
              </w:rPr>
              <w:t>,</w:t>
            </w:r>
            <w:r w:rsidRPr="006623DE">
              <w:rPr>
                <w:rFonts w:ascii="Arial" w:eastAsia="SimSun" w:hAnsi="Arial" w:cs="Arial"/>
                <w:color w:val="000000"/>
                <w:sz w:val="20"/>
                <w:szCs w:val="20"/>
                <w:lang w:eastAsia="zh-CN" w:bidi="ar"/>
              </w:rPr>
              <w:t>8</w:t>
            </w:r>
            <w:r w:rsidRPr="006623DE">
              <w:rPr>
                <w:rFonts w:ascii="Arial" w:eastAsia="SimSun" w:hAnsi="Arial" w:cs="Arial"/>
                <w:color w:val="000000"/>
                <w:sz w:val="20"/>
                <w:szCs w:val="20"/>
                <w:lang w:val="vi-VN" w:eastAsia="zh-CN" w:bidi="ar"/>
              </w:rPr>
              <w:t>3</w:t>
            </w:r>
            <w:r w:rsidRPr="006623DE">
              <w:rPr>
                <w:rFonts w:ascii="Arial" w:eastAsia="SimSun" w:hAnsi="Arial" w:cs="Arial"/>
                <w:color w:val="000000"/>
                <w:sz w:val="20"/>
                <w:szCs w:val="20"/>
                <w:lang w:eastAsia="zh-CN" w:bidi="ar"/>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F3161D" w14:textId="77777777" w:rsidR="00677BA1" w:rsidRPr="006623DE" w:rsidRDefault="00677BA1" w:rsidP="00A44732">
            <w:pPr>
              <w:spacing w:line="240" w:lineRule="auto"/>
              <w:jc w:val="center"/>
              <w:rPr>
                <w:rFonts w:ascii="Arial" w:hAnsi="Arial" w:cs="Arial"/>
                <w:color w:val="000000"/>
                <w:sz w:val="20"/>
                <w:szCs w:val="20"/>
              </w:rPr>
            </w:pPr>
          </w:p>
        </w:tc>
      </w:tr>
      <w:tr w:rsidR="00677BA1" w:rsidRPr="006623DE" w14:paraId="384B90D0" w14:textId="77777777" w:rsidTr="001A1392">
        <w:trPr>
          <w:trHeight w:val="290"/>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AA3284" w14:textId="7F8A72A5" w:rsidR="00677BA1" w:rsidRPr="006623DE" w:rsidRDefault="00600BF1" w:rsidP="00A44732">
            <w:pPr>
              <w:spacing w:line="240" w:lineRule="auto"/>
              <w:jc w:val="center"/>
              <w:textAlignment w:val="bottom"/>
              <w:rPr>
                <w:rFonts w:ascii="Arial" w:hAnsi="Arial" w:cs="Arial"/>
                <w:i/>
                <w:iCs/>
                <w:color w:val="000000"/>
                <w:sz w:val="20"/>
                <w:szCs w:val="20"/>
              </w:rPr>
            </w:pPr>
            <w:r w:rsidRPr="006623DE">
              <w:rPr>
                <w:rFonts w:ascii="Arial" w:eastAsia="SimSun" w:hAnsi="Arial" w:cs="Arial"/>
                <w:i/>
                <w:iCs/>
                <w:color w:val="000000"/>
                <w:sz w:val="20"/>
                <w:szCs w:val="20"/>
                <w:lang w:val="vi-VN" w:eastAsia="zh-CN" w:bidi="ar"/>
              </w:rPr>
              <w:t>OC</w:t>
            </w:r>
            <w:r w:rsidR="00677BA1" w:rsidRPr="006623DE">
              <w:rPr>
                <w:rFonts w:ascii="Arial" w:eastAsia="SimSun" w:hAnsi="Arial" w:cs="Arial"/>
                <w:i/>
                <w:iCs/>
                <w:color w:val="000000"/>
                <w:sz w:val="20"/>
                <w:szCs w:val="20"/>
                <w:lang w:val="vi-VN" w:eastAsia="zh-CN" w:bidi="ar"/>
              </w:rPr>
              <w:t>_</w:t>
            </w:r>
            <w:r w:rsidR="00677BA1" w:rsidRPr="006623DE">
              <w:rPr>
                <w:rFonts w:ascii="Arial" w:eastAsia="SimSun" w:hAnsi="Arial" w:cs="Arial"/>
                <w:i/>
                <w:iCs/>
                <w:color w:val="000000"/>
                <w:sz w:val="20"/>
                <w:szCs w:val="20"/>
                <w:lang w:eastAsia="zh-CN" w:bidi="ar"/>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60BC0E" w14:textId="77777777" w:rsidR="00677BA1" w:rsidRPr="006623DE" w:rsidRDefault="00677BA1" w:rsidP="00A44732">
            <w:pPr>
              <w:spacing w:line="240" w:lineRule="auto"/>
              <w:jc w:val="center"/>
              <w:rPr>
                <w:rFonts w:ascii="Arial" w:hAnsi="Arial" w:cs="Arial"/>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1B5793" w14:textId="77777777" w:rsidR="00677BA1" w:rsidRPr="006623DE" w:rsidRDefault="00677BA1" w:rsidP="00A44732">
            <w:pPr>
              <w:spacing w:line="240" w:lineRule="auto"/>
              <w:jc w:val="center"/>
              <w:rPr>
                <w:rFonts w:ascii="Arial" w:hAnsi="Arial" w:cs="Arial"/>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FB913A" w14:textId="77777777" w:rsidR="00677BA1" w:rsidRPr="006623DE" w:rsidRDefault="00677BA1" w:rsidP="00A44732">
            <w:pPr>
              <w:spacing w:line="240" w:lineRule="auto"/>
              <w:jc w:val="center"/>
              <w:textAlignment w:val="bottom"/>
              <w:rPr>
                <w:rFonts w:ascii="Arial" w:hAnsi="Arial" w:cs="Arial"/>
                <w:color w:val="000000"/>
                <w:sz w:val="20"/>
                <w:szCs w:val="20"/>
                <w:lang w:val="vi-VN"/>
              </w:rPr>
            </w:pPr>
            <w:r w:rsidRPr="006623DE">
              <w:rPr>
                <w:rFonts w:ascii="Arial" w:eastAsia="SimSun" w:hAnsi="Arial" w:cs="Arial"/>
                <w:color w:val="000000"/>
                <w:sz w:val="20"/>
                <w:szCs w:val="20"/>
                <w:lang w:eastAsia="zh-CN" w:bidi="ar"/>
              </w:rPr>
              <w:t>0</w:t>
            </w:r>
            <w:r w:rsidRPr="006623DE">
              <w:rPr>
                <w:rFonts w:ascii="Arial" w:eastAsia="SimSun" w:hAnsi="Arial" w:cs="Arial"/>
                <w:color w:val="000000"/>
                <w:sz w:val="20"/>
                <w:szCs w:val="20"/>
                <w:lang w:val="vi-VN" w:eastAsia="zh-CN" w:bidi="ar"/>
              </w:rPr>
              <w:t>,</w:t>
            </w:r>
            <w:r w:rsidRPr="006623DE">
              <w:rPr>
                <w:rFonts w:ascii="Arial" w:eastAsia="SimSun" w:hAnsi="Arial" w:cs="Arial"/>
                <w:color w:val="000000"/>
                <w:sz w:val="20"/>
                <w:szCs w:val="20"/>
                <w:lang w:eastAsia="zh-CN" w:bidi="ar"/>
              </w:rPr>
              <w:t>90</w:t>
            </w:r>
            <w:r w:rsidRPr="006623DE">
              <w:rPr>
                <w:rFonts w:ascii="Arial" w:eastAsia="SimSun" w:hAnsi="Arial" w:cs="Arial"/>
                <w:color w:val="000000"/>
                <w:sz w:val="20"/>
                <w:szCs w:val="20"/>
                <w:lang w:val="vi-VN" w:eastAsia="zh-CN"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FF0410" w14:textId="77777777" w:rsidR="00677BA1" w:rsidRPr="006623DE" w:rsidRDefault="00677BA1" w:rsidP="00A44732">
            <w:pPr>
              <w:spacing w:line="240" w:lineRule="auto"/>
              <w:jc w:val="center"/>
              <w:rPr>
                <w:rFonts w:ascii="Arial" w:hAnsi="Arial" w:cs="Arial"/>
                <w:color w:val="000000"/>
                <w:sz w:val="20"/>
                <w:szCs w:val="20"/>
              </w:rPr>
            </w:pPr>
          </w:p>
        </w:tc>
      </w:tr>
      <w:tr w:rsidR="00677BA1" w:rsidRPr="006623DE" w14:paraId="748A8591" w14:textId="77777777" w:rsidTr="001A1392">
        <w:trPr>
          <w:trHeight w:val="290"/>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FF3B7A" w14:textId="1354175C" w:rsidR="00677BA1" w:rsidRPr="006623DE" w:rsidRDefault="00600BF1" w:rsidP="00A44732">
            <w:pPr>
              <w:spacing w:line="240" w:lineRule="auto"/>
              <w:jc w:val="center"/>
              <w:textAlignment w:val="bottom"/>
              <w:rPr>
                <w:rFonts w:ascii="Arial" w:hAnsi="Arial" w:cs="Arial"/>
                <w:i/>
                <w:iCs/>
                <w:color w:val="000000"/>
                <w:sz w:val="20"/>
                <w:szCs w:val="20"/>
              </w:rPr>
            </w:pPr>
            <w:r w:rsidRPr="006623DE">
              <w:rPr>
                <w:rFonts w:ascii="Arial" w:eastAsia="SimSun" w:hAnsi="Arial" w:cs="Arial"/>
                <w:i/>
                <w:iCs/>
                <w:color w:val="000000"/>
                <w:sz w:val="20"/>
                <w:szCs w:val="20"/>
                <w:lang w:val="vi-VN" w:eastAsia="zh-CN" w:bidi="ar"/>
              </w:rPr>
              <w:t>OC</w:t>
            </w:r>
            <w:r w:rsidR="00677BA1" w:rsidRPr="006623DE">
              <w:rPr>
                <w:rFonts w:ascii="Arial" w:eastAsia="SimSun" w:hAnsi="Arial" w:cs="Arial"/>
                <w:i/>
                <w:iCs/>
                <w:color w:val="000000"/>
                <w:sz w:val="20"/>
                <w:szCs w:val="20"/>
                <w:lang w:val="vi-VN" w:eastAsia="zh-CN" w:bidi="ar"/>
              </w:rPr>
              <w:t>_</w:t>
            </w:r>
            <w:r w:rsidR="00677BA1" w:rsidRPr="006623DE">
              <w:rPr>
                <w:rFonts w:ascii="Arial" w:eastAsia="SimSun" w:hAnsi="Arial" w:cs="Arial"/>
                <w:i/>
                <w:iCs/>
                <w:color w:val="000000"/>
                <w:sz w:val="20"/>
                <w:szCs w:val="20"/>
                <w:lang w:eastAsia="zh-CN" w:bidi="ar"/>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998ED6" w14:textId="77777777" w:rsidR="00677BA1" w:rsidRPr="006623DE" w:rsidRDefault="00677BA1" w:rsidP="00A44732">
            <w:pPr>
              <w:spacing w:line="240" w:lineRule="auto"/>
              <w:jc w:val="center"/>
              <w:rPr>
                <w:rFonts w:ascii="Arial" w:hAnsi="Arial" w:cs="Arial"/>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098792" w14:textId="77777777" w:rsidR="00677BA1" w:rsidRPr="006623DE" w:rsidRDefault="00677BA1" w:rsidP="00A44732">
            <w:pPr>
              <w:spacing w:line="240" w:lineRule="auto"/>
              <w:jc w:val="center"/>
              <w:rPr>
                <w:rFonts w:ascii="Arial" w:hAnsi="Arial" w:cs="Arial"/>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A2F887" w14:textId="77777777" w:rsidR="00677BA1" w:rsidRPr="006623DE" w:rsidRDefault="00677BA1" w:rsidP="00A44732">
            <w:pPr>
              <w:spacing w:line="240" w:lineRule="auto"/>
              <w:jc w:val="center"/>
              <w:textAlignment w:val="bottom"/>
              <w:rPr>
                <w:rFonts w:ascii="Arial" w:hAnsi="Arial" w:cs="Arial"/>
                <w:color w:val="000000"/>
                <w:sz w:val="20"/>
                <w:szCs w:val="20"/>
                <w:lang w:val="vi-VN"/>
              </w:rPr>
            </w:pPr>
            <w:r w:rsidRPr="006623DE">
              <w:rPr>
                <w:rFonts w:ascii="Arial" w:eastAsia="SimSun" w:hAnsi="Arial" w:cs="Arial"/>
                <w:color w:val="000000"/>
                <w:sz w:val="20"/>
                <w:szCs w:val="20"/>
                <w:lang w:eastAsia="zh-CN" w:bidi="ar"/>
              </w:rPr>
              <w:t>0</w:t>
            </w:r>
            <w:r w:rsidRPr="006623DE">
              <w:rPr>
                <w:rFonts w:ascii="Arial" w:eastAsia="SimSun" w:hAnsi="Arial" w:cs="Arial"/>
                <w:color w:val="000000"/>
                <w:sz w:val="20"/>
                <w:szCs w:val="20"/>
                <w:lang w:val="vi-VN" w:eastAsia="zh-CN" w:bidi="ar"/>
              </w:rPr>
              <w:t>,</w:t>
            </w:r>
            <w:r w:rsidRPr="006623DE">
              <w:rPr>
                <w:rFonts w:ascii="Arial" w:eastAsia="SimSun" w:hAnsi="Arial" w:cs="Arial"/>
                <w:color w:val="000000"/>
                <w:sz w:val="20"/>
                <w:szCs w:val="20"/>
                <w:lang w:eastAsia="zh-CN" w:bidi="ar"/>
              </w:rPr>
              <w:t>88</w:t>
            </w:r>
            <w:r w:rsidRPr="006623DE">
              <w:rPr>
                <w:rFonts w:ascii="Arial" w:eastAsia="SimSun" w:hAnsi="Arial" w:cs="Arial"/>
                <w:color w:val="000000"/>
                <w:sz w:val="20"/>
                <w:szCs w:val="20"/>
                <w:lang w:val="vi-VN" w:eastAsia="zh-CN"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254310" w14:textId="77777777" w:rsidR="00677BA1" w:rsidRPr="006623DE" w:rsidRDefault="00677BA1" w:rsidP="00A44732">
            <w:pPr>
              <w:spacing w:line="240" w:lineRule="auto"/>
              <w:jc w:val="center"/>
              <w:rPr>
                <w:rFonts w:ascii="Arial" w:hAnsi="Arial" w:cs="Arial"/>
                <w:color w:val="000000"/>
                <w:sz w:val="20"/>
                <w:szCs w:val="20"/>
              </w:rPr>
            </w:pPr>
          </w:p>
        </w:tc>
      </w:tr>
      <w:tr w:rsidR="00677BA1" w:rsidRPr="006623DE" w14:paraId="0E89C81A" w14:textId="77777777" w:rsidTr="001A1392">
        <w:trPr>
          <w:trHeight w:val="290"/>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32F3D5" w14:textId="71614E36" w:rsidR="00677BA1" w:rsidRPr="006623DE" w:rsidRDefault="00600BF1" w:rsidP="00A44732">
            <w:pPr>
              <w:spacing w:line="240" w:lineRule="auto"/>
              <w:jc w:val="center"/>
              <w:textAlignment w:val="bottom"/>
              <w:rPr>
                <w:rFonts w:ascii="Arial" w:hAnsi="Arial" w:cs="Arial"/>
                <w:color w:val="000000"/>
                <w:sz w:val="20"/>
                <w:szCs w:val="20"/>
              </w:rPr>
            </w:pPr>
            <w:r w:rsidRPr="006623DE">
              <w:rPr>
                <w:rFonts w:ascii="Arial" w:eastAsia="SimSun" w:hAnsi="Arial" w:cs="Arial"/>
                <w:color w:val="000000"/>
                <w:sz w:val="20"/>
                <w:szCs w:val="20"/>
                <w:lang w:val="vi-VN" w:eastAsia="zh-CN" w:bidi="ar"/>
              </w:rPr>
              <w:t>OC</w:t>
            </w:r>
            <w:r w:rsidR="00677BA1" w:rsidRPr="006623DE">
              <w:rPr>
                <w:rFonts w:ascii="Arial" w:eastAsia="SimSun" w:hAnsi="Arial" w:cs="Arial"/>
                <w:color w:val="000000"/>
                <w:sz w:val="20"/>
                <w:szCs w:val="20"/>
                <w:lang w:val="vi-VN" w:eastAsia="zh-CN" w:bidi="ar"/>
              </w:rPr>
              <w:t>_</w:t>
            </w:r>
            <w:r w:rsidR="00677BA1" w:rsidRPr="006623DE">
              <w:rPr>
                <w:rFonts w:ascii="Arial" w:eastAsia="SimSun" w:hAnsi="Arial" w:cs="Arial"/>
                <w:color w:val="000000"/>
                <w:sz w:val="20"/>
                <w:szCs w:val="20"/>
                <w:lang w:eastAsia="zh-CN" w:bidi="ar"/>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C0D214" w14:textId="77777777" w:rsidR="00677BA1" w:rsidRPr="006623DE" w:rsidRDefault="00677BA1" w:rsidP="00A44732">
            <w:pPr>
              <w:spacing w:line="240" w:lineRule="auto"/>
              <w:jc w:val="center"/>
              <w:rPr>
                <w:rFonts w:ascii="Arial" w:hAnsi="Arial" w:cs="Arial"/>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47F65F" w14:textId="77777777" w:rsidR="00677BA1" w:rsidRPr="006623DE" w:rsidRDefault="00677BA1" w:rsidP="00A44732">
            <w:pPr>
              <w:spacing w:line="240" w:lineRule="auto"/>
              <w:jc w:val="center"/>
              <w:rPr>
                <w:rFonts w:ascii="Arial" w:hAnsi="Arial" w:cs="Arial"/>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C38D30" w14:textId="77777777" w:rsidR="00677BA1" w:rsidRPr="006623DE" w:rsidRDefault="00677BA1" w:rsidP="00A44732">
            <w:pPr>
              <w:spacing w:line="240" w:lineRule="auto"/>
              <w:jc w:val="center"/>
              <w:textAlignment w:val="bottom"/>
              <w:rPr>
                <w:rFonts w:ascii="Arial" w:hAnsi="Arial" w:cs="Arial"/>
                <w:color w:val="000000"/>
                <w:sz w:val="20"/>
                <w:szCs w:val="20"/>
                <w:lang w:val="vi-VN"/>
              </w:rPr>
            </w:pPr>
            <w:r w:rsidRPr="006623DE">
              <w:rPr>
                <w:rFonts w:ascii="Arial" w:eastAsia="SimSun" w:hAnsi="Arial" w:cs="Arial"/>
                <w:color w:val="000000"/>
                <w:sz w:val="20"/>
                <w:szCs w:val="20"/>
                <w:lang w:eastAsia="zh-CN" w:bidi="ar"/>
              </w:rPr>
              <w:t>0</w:t>
            </w:r>
            <w:r w:rsidRPr="006623DE">
              <w:rPr>
                <w:rFonts w:ascii="Arial" w:eastAsia="SimSun" w:hAnsi="Arial" w:cs="Arial"/>
                <w:color w:val="000000"/>
                <w:sz w:val="20"/>
                <w:szCs w:val="20"/>
                <w:lang w:val="vi-VN" w:eastAsia="zh-CN" w:bidi="ar"/>
              </w:rPr>
              <w:t>,</w:t>
            </w:r>
            <w:r w:rsidRPr="006623DE">
              <w:rPr>
                <w:rFonts w:ascii="Arial" w:eastAsia="SimSun" w:hAnsi="Arial" w:cs="Arial"/>
                <w:color w:val="000000"/>
                <w:sz w:val="20"/>
                <w:szCs w:val="20"/>
                <w:lang w:eastAsia="zh-CN" w:bidi="ar"/>
              </w:rPr>
              <w:t>88</w:t>
            </w:r>
            <w:r w:rsidRPr="006623DE">
              <w:rPr>
                <w:rFonts w:ascii="Arial" w:eastAsia="SimSun" w:hAnsi="Arial" w:cs="Arial"/>
                <w:color w:val="000000"/>
                <w:sz w:val="20"/>
                <w:szCs w:val="20"/>
                <w:lang w:val="vi-VN" w:eastAsia="zh-CN" w:bidi="ar"/>
              </w:rPr>
              <w:t>0</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0C579B" w14:textId="77777777" w:rsidR="00677BA1" w:rsidRPr="006623DE" w:rsidRDefault="00677BA1" w:rsidP="00A44732">
            <w:pPr>
              <w:spacing w:line="240" w:lineRule="auto"/>
              <w:jc w:val="center"/>
              <w:rPr>
                <w:rFonts w:ascii="Arial" w:hAnsi="Arial" w:cs="Arial"/>
                <w:color w:val="000000"/>
                <w:sz w:val="20"/>
                <w:szCs w:val="20"/>
              </w:rPr>
            </w:pPr>
          </w:p>
        </w:tc>
      </w:tr>
      <w:tr w:rsidR="00677BA1" w:rsidRPr="006623DE" w14:paraId="564FF664" w14:textId="77777777" w:rsidTr="001A1392">
        <w:trPr>
          <w:trHeight w:val="290"/>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CE4B69" w14:textId="16CDD593" w:rsidR="00677BA1" w:rsidRPr="006623DE" w:rsidRDefault="00600BF1" w:rsidP="00A44732">
            <w:pPr>
              <w:spacing w:line="240" w:lineRule="auto"/>
              <w:jc w:val="center"/>
              <w:textAlignment w:val="bottom"/>
              <w:rPr>
                <w:rFonts w:ascii="Arial" w:hAnsi="Arial" w:cs="Arial"/>
                <w:color w:val="000000"/>
                <w:sz w:val="20"/>
                <w:szCs w:val="20"/>
              </w:rPr>
            </w:pPr>
            <w:r w:rsidRPr="006623DE">
              <w:rPr>
                <w:rFonts w:ascii="Arial" w:eastAsia="SimSun" w:hAnsi="Arial" w:cs="Arial"/>
                <w:color w:val="000000"/>
                <w:sz w:val="20"/>
                <w:szCs w:val="20"/>
                <w:lang w:val="vi-VN" w:eastAsia="zh-CN" w:bidi="ar"/>
              </w:rPr>
              <w:t>BU</w:t>
            </w:r>
            <w:r w:rsidR="00677BA1" w:rsidRPr="006623DE">
              <w:rPr>
                <w:rFonts w:ascii="Arial" w:eastAsia="SimSun" w:hAnsi="Arial" w:cs="Arial"/>
                <w:color w:val="000000"/>
                <w:sz w:val="20"/>
                <w:szCs w:val="20"/>
                <w:lang w:val="vi-VN" w:eastAsia="zh-CN" w:bidi="ar"/>
              </w:rPr>
              <w:t>_</w:t>
            </w:r>
            <w:r w:rsidR="00677BA1" w:rsidRPr="006623DE">
              <w:rPr>
                <w:rFonts w:ascii="Arial" w:eastAsia="SimSun" w:hAnsi="Arial" w:cs="Arial"/>
                <w:color w:val="000000"/>
                <w:sz w:val="20"/>
                <w:szCs w:val="20"/>
                <w:lang w:eastAsia="zh-CN" w:bidi="ar"/>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2FDD4D" w14:textId="77777777" w:rsidR="00677BA1" w:rsidRPr="006623DE" w:rsidRDefault="00677BA1" w:rsidP="00A44732">
            <w:pPr>
              <w:spacing w:line="240" w:lineRule="auto"/>
              <w:jc w:val="center"/>
              <w:rPr>
                <w:rFonts w:ascii="Arial" w:hAnsi="Arial" w:cs="Arial"/>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49AADE" w14:textId="77777777" w:rsidR="00677BA1" w:rsidRPr="006623DE" w:rsidRDefault="00677BA1" w:rsidP="00A44732">
            <w:pPr>
              <w:spacing w:line="240" w:lineRule="auto"/>
              <w:jc w:val="center"/>
              <w:rPr>
                <w:rFonts w:ascii="Arial" w:hAnsi="Arial" w:cs="Arial"/>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2CBC9A" w14:textId="77777777" w:rsidR="00677BA1" w:rsidRPr="006623DE" w:rsidRDefault="00677BA1" w:rsidP="00A44732">
            <w:pPr>
              <w:spacing w:line="240" w:lineRule="auto"/>
              <w:jc w:val="center"/>
              <w:rPr>
                <w:rFonts w:ascii="Arial" w:hAnsi="Arial" w:cs="Arial"/>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4C0B07" w14:textId="77777777" w:rsidR="00677BA1" w:rsidRPr="006623DE" w:rsidRDefault="00677BA1" w:rsidP="00A44732">
            <w:pPr>
              <w:spacing w:line="240" w:lineRule="auto"/>
              <w:jc w:val="center"/>
              <w:textAlignment w:val="bottom"/>
              <w:rPr>
                <w:rFonts w:ascii="Arial" w:hAnsi="Arial" w:cs="Arial"/>
                <w:color w:val="000000"/>
                <w:sz w:val="20"/>
                <w:szCs w:val="20"/>
                <w:lang w:val="vi-VN"/>
              </w:rPr>
            </w:pPr>
            <w:r w:rsidRPr="006623DE">
              <w:rPr>
                <w:rFonts w:ascii="Arial" w:eastAsia="SimSun" w:hAnsi="Arial" w:cs="Arial"/>
                <w:color w:val="000000"/>
                <w:sz w:val="20"/>
                <w:szCs w:val="20"/>
                <w:lang w:eastAsia="zh-CN" w:bidi="ar"/>
              </w:rPr>
              <w:t>0</w:t>
            </w:r>
            <w:r w:rsidRPr="006623DE">
              <w:rPr>
                <w:rFonts w:ascii="Arial" w:eastAsia="SimSun" w:hAnsi="Arial" w:cs="Arial"/>
                <w:color w:val="000000"/>
                <w:sz w:val="20"/>
                <w:szCs w:val="20"/>
                <w:lang w:val="vi-VN" w:eastAsia="zh-CN" w:bidi="ar"/>
              </w:rPr>
              <w:t>,</w:t>
            </w:r>
            <w:r w:rsidRPr="006623DE">
              <w:rPr>
                <w:rFonts w:ascii="Arial" w:eastAsia="SimSun" w:hAnsi="Arial" w:cs="Arial"/>
                <w:color w:val="000000"/>
                <w:sz w:val="20"/>
                <w:szCs w:val="20"/>
                <w:lang w:eastAsia="zh-CN" w:bidi="ar"/>
              </w:rPr>
              <w:t>86</w:t>
            </w:r>
            <w:r w:rsidRPr="006623DE">
              <w:rPr>
                <w:rFonts w:ascii="Arial" w:eastAsia="SimSun" w:hAnsi="Arial" w:cs="Arial"/>
                <w:color w:val="000000"/>
                <w:sz w:val="20"/>
                <w:szCs w:val="20"/>
                <w:lang w:val="vi-VN" w:eastAsia="zh-CN" w:bidi="ar"/>
              </w:rPr>
              <w:t>5</w:t>
            </w:r>
          </w:p>
        </w:tc>
      </w:tr>
      <w:tr w:rsidR="00677BA1" w:rsidRPr="006623DE" w14:paraId="5996DBC4" w14:textId="77777777" w:rsidTr="001A1392">
        <w:trPr>
          <w:trHeight w:val="290"/>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AC34EA" w14:textId="0B866A9D" w:rsidR="00677BA1" w:rsidRPr="006623DE" w:rsidRDefault="00600BF1" w:rsidP="00A44732">
            <w:pPr>
              <w:spacing w:line="240" w:lineRule="auto"/>
              <w:jc w:val="center"/>
              <w:textAlignment w:val="bottom"/>
              <w:rPr>
                <w:rFonts w:ascii="Arial" w:hAnsi="Arial" w:cs="Arial"/>
                <w:color w:val="000000"/>
                <w:sz w:val="20"/>
                <w:szCs w:val="20"/>
              </w:rPr>
            </w:pPr>
            <w:r w:rsidRPr="006623DE">
              <w:rPr>
                <w:rFonts w:ascii="Arial" w:eastAsia="SimSun" w:hAnsi="Arial" w:cs="Arial"/>
                <w:color w:val="000000"/>
                <w:sz w:val="20"/>
                <w:szCs w:val="20"/>
                <w:lang w:val="vi-VN" w:eastAsia="zh-CN" w:bidi="ar"/>
              </w:rPr>
              <w:t>BU</w:t>
            </w:r>
            <w:r w:rsidR="00677BA1" w:rsidRPr="006623DE">
              <w:rPr>
                <w:rFonts w:ascii="Arial" w:eastAsia="SimSun" w:hAnsi="Arial" w:cs="Arial"/>
                <w:color w:val="000000"/>
                <w:sz w:val="20"/>
                <w:szCs w:val="20"/>
                <w:lang w:val="vi-VN" w:eastAsia="zh-CN" w:bidi="ar"/>
              </w:rPr>
              <w:t>_</w:t>
            </w:r>
            <w:r w:rsidR="00677BA1" w:rsidRPr="006623DE">
              <w:rPr>
                <w:rFonts w:ascii="Arial" w:eastAsia="SimSun" w:hAnsi="Arial" w:cs="Arial"/>
                <w:color w:val="000000"/>
                <w:sz w:val="20"/>
                <w:szCs w:val="20"/>
                <w:lang w:eastAsia="zh-CN" w:bidi="ar"/>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76E5FF" w14:textId="77777777" w:rsidR="00677BA1" w:rsidRPr="006623DE" w:rsidRDefault="00677BA1" w:rsidP="00A44732">
            <w:pPr>
              <w:spacing w:line="240" w:lineRule="auto"/>
              <w:jc w:val="center"/>
              <w:rPr>
                <w:rFonts w:ascii="Arial" w:hAnsi="Arial" w:cs="Arial"/>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62648C" w14:textId="77777777" w:rsidR="00677BA1" w:rsidRPr="006623DE" w:rsidRDefault="00677BA1" w:rsidP="00A44732">
            <w:pPr>
              <w:spacing w:line="240" w:lineRule="auto"/>
              <w:jc w:val="center"/>
              <w:rPr>
                <w:rFonts w:ascii="Arial" w:hAnsi="Arial" w:cs="Arial"/>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B7FA8B" w14:textId="77777777" w:rsidR="00677BA1" w:rsidRPr="006623DE" w:rsidRDefault="00677BA1" w:rsidP="00A44732">
            <w:pPr>
              <w:spacing w:line="240" w:lineRule="auto"/>
              <w:jc w:val="center"/>
              <w:rPr>
                <w:rFonts w:ascii="Arial" w:hAnsi="Arial" w:cs="Arial"/>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137C5D" w14:textId="77777777" w:rsidR="00677BA1" w:rsidRPr="006623DE" w:rsidRDefault="00677BA1" w:rsidP="00A44732">
            <w:pPr>
              <w:spacing w:line="240" w:lineRule="auto"/>
              <w:jc w:val="center"/>
              <w:textAlignment w:val="bottom"/>
              <w:rPr>
                <w:rFonts w:ascii="Arial" w:hAnsi="Arial" w:cs="Arial"/>
                <w:color w:val="000000"/>
                <w:sz w:val="20"/>
                <w:szCs w:val="20"/>
                <w:lang w:val="vi-VN"/>
              </w:rPr>
            </w:pPr>
            <w:r w:rsidRPr="006623DE">
              <w:rPr>
                <w:rFonts w:ascii="Arial" w:eastAsia="SimSun" w:hAnsi="Arial" w:cs="Arial"/>
                <w:color w:val="000000"/>
                <w:sz w:val="20"/>
                <w:szCs w:val="20"/>
                <w:lang w:eastAsia="zh-CN" w:bidi="ar"/>
              </w:rPr>
              <w:t>0</w:t>
            </w:r>
            <w:r w:rsidRPr="006623DE">
              <w:rPr>
                <w:rFonts w:ascii="Arial" w:eastAsia="SimSun" w:hAnsi="Arial" w:cs="Arial"/>
                <w:color w:val="000000"/>
                <w:sz w:val="20"/>
                <w:szCs w:val="20"/>
                <w:lang w:val="vi-VN" w:eastAsia="zh-CN" w:bidi="ar"/>
              </w:rPr>
              <w:t>,</w:t>
            </w:r>
            <w:r w:rsidRPr="006623DE">
              <w:rPr>
                <w:rFonts w:ascii="Arial" w:eastAsia="SimSun" w:hAnsi="Arial" w:cs="Arial"/>
                <w:color w:val="000000"/>
                <w:sz w:val="20"/>
                <w:szCs w:val="20"/>
                <w:lang w:eastAsia="zh-CN" w:bidi="ar"/>
              </w:rPr>
              <w:t>82</w:t>
            </w:r>
            <w:r w:rsidRPr="006623DE">
              <w:rPr>
                <w:rFonts w:ascii="Arial" w:eastAsia="SimSun" w:hAnsi="Arial" w:cs="Arial"/>
                <w:color w:val="000000"/>
                <w:sz w:val="20"/>
                <w:szCs w:val="20"/>
                <w:lang w:val="vi-VN" w:eastAsia="zh-CN" w:bidi="ar"/>
              </w:rPr>
              <w:t>3</w:t>
            </w:r>
          </w:p>
        </w:tc>
      </w:tr>
      <w:tr w:rsidR="00677BA1" w:rsidRPr="006623DE" w14:paraId="2A51742F" w14:textId="77777777" w:rsidTr="001A1392">
        <w:trPr>
          <w:trHeight w:val="290"/>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79E245" w14:textId="794468FE" w:rsidR="00677BA1" w:rsidRPr="006623DE" w:rsidRDefault="00600BF1" w:rsidP="00A44732">
            <w:pPr>
              <w:spacing w:line="240" w:lineRule="auto"/>
              <w:jc w:val="center"/>
              <w:textAlignment w:val="bottom"/>
              <w:rPr>
                <w:rFonts w:ascii="Arial" w:hAnsi="Arial" w:cs="Arial"/>
                <w:color w:val="000000"/>
                <w:sz w:val="20"/>
                <w:szCs w:val="20"/>
              </w:rPr>
            </w:pPr>
            <w:r w:rsidRPr="006623DE">
              <w:rPr>
                <w:rFonts w:ascii="Arial" w:eastAsia="SimSun" w:hAnsi="Arial" w:cs="Arial"/>
                <w:color w:val="000000"/>
                <w:sz w:val="20"/>
                <w:szCs w:val="20"/>
                <w:lang w:val="vi-VN" w:eastAsia="zh-CN" w:bidi="ar"/>
              </w:rPr>
              <w:t>BU</w:t>
            </w:r>
            <w:r w:rsidR="00677BA1" w:rsidRPr="006623DE">
              <w:rPr>
                <w:rFonts w:ascii="Arial" w:eastAsia="SimSun" w:hAnsi="Arial" w:cs="Arial"/>
                <w:color w:val="000000"/>
                <w:sz w:val="20"/>
                <w:szCs w:val="20"/>
                <w:lang w:val="vi-VN" w:eastAsia="zh-CN" w:bidi="ar"/>
              </w:rPr>
              <w:t>_</w:t>
            </w:r>
            <w:r w:rsidR="00677BA1" w:rsidRPr="006623DE">
              <w:rPr>
                <w:rFonts w:ascii="Arial" w:eastAsia="SimSun" w:hAnsi="Arial" w:cs="Arial"/>
                <w:color w:val="000000"/>
                <w:sz w:val="20"/>
                <w:szCs w:val="20"/>
                <w:lang w:eastAsia="zh-CN" w:bidi="ar"/>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DEA3267" w14:textId="77777777" w:rsidR="00677BA1" w:rsidRPr="006623DE" w:rsidRDefault="00677BA1" w:rsidP="00A44732">
            <w:pPr>
              <w:spacing w:line="240" w:lineRule="auto"/>
              <w:jc w:val="center"/>
              <w:rPr>
                <w:rFonts w:ascii="Arial" w:hAnsi="Arial" w:cs="Arial"/>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9C823D" w14:textId="77777777" w:rsidR="00677BA1" w:rsidRPr="006623DE" w:rsidRDefault="00677BA1" w:rsidP="00A44732">
            <w:pPr>
              <w:spacing w:line="240" w:lineRule="auto"/>
              <w:jc w:val="center"/>
              <w:rPr>
                <w:rFonts w:ascii="Arial" w:hAnsi="Arial" w:cs="Arial"/>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3D62C9" w14:textId="77777777" w:rsidR="00677BA1" w:rsidRPr="006623DE" w:rsidRDefault="00677BA1" w:rsidP="00A44732">
            <w:pPr>
              <w:spacing w:line="240" w:lineRule="auto"/>
              <w:jc w:val="center"/>
              <w:rPr>
                <w:rFonts w:ascii="Arial" w:hAnsi="Arial" w:cs="Arial"/>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037FFB" w14:textId="77777777" w:rsidR="00677BA1" w:rsidRPr="006623DE" w:rsidRDefault="00677BA1" w:rsidP="00A44732">
            <w:pPr>
              <w:spacing w:line="240" w:lineRule="auto"/>
              <w:jc w:val="center"/>
              <w:textAlignment w:val="bottom"/>
              <w:rPr>
                <w:rFonts w:ascii="Arial" w:hAnsi="Arial" w:cs="Arial"/>
                <w:color w:val="000000"/>
                <w:sz w:val="20"/>
                <w:szCs w:val="20"/>
                <w:lang w:val="vi-VN"/>
              </w:rPr>
            </w:pPr>
            <w:r w:rsidRPr="006623DE">
              <w:rPr>
                <w:rFonts w:ascii="Arial" w:eastAsia="SimSun" w:hAnsi="Arial" w:cs="Arial"/>
                <w:color w:val="000000"/>
                <w:sz w:val="20"/>
                <w:szCs w:val="20"/>
                <w:lang w:eastAsia="zh-CN" w:bidi="ar"/>
              </w:rPr>
              <w:t>0</w:t>
            </w:r>
            <w:r w:rsidRPr="006623DE">
              <w:rPr>
                <w:rFonts w:ascii="Arial" w:eastAsia="SimSun" w:hAnsi="Arial" w:cs="Arial"/>
                <w:color w:val="000000"/>
                <w:sz w:val="20"/>
                <w:szCs w:val="20"/>
                <w:lang w:val="vi-VN" w:eastAsia="zh-CN" w:bidi="ar"/>
              </w:rPr>
              <w:t>,</w:t>
            </w:r>
            <w:r w:rsidRPr="006623DE">
              <w:rPr>
                <w:rFonts w:ascii="Arial" w:eastAsia="SimSun" w:hAnsi="Arial" w:cs="Arial"/>
                <w:color w:val="000000"/>
                <w:sz w:val="20"/>
                <w:szCs w:val="20"/>
                <w:lang w:eastAsia="zh-CN" w:bidi="ar"/>
              </w:rPr>
              <w:t>87</w:t>
            </w:r>
            <w:r w:rsidRPr="006623DE">
              <w:rPr>
                <w:rFonts w:ascii="Arial" w:eastAsia="SimSun" w:hAnsi="Arial" w:cs="Arial"/>
                <w:color w:val="000000"/>
                <w:sz w:val="20"/>
                <w:szCs w:val="20"/>
                <w:lang w:val="vi-VN" w:eastAsia="zh-CN" w:bidi="ar"/>
              </w:rPr>
              <w:t>1</w:t>
            </w:r>
          </w:p>
        </w:tc>
      </w:tr>
      <w:tr w:rsidR="00677BA1" w:rsidRPr="006623DE" w14:paraId="1C1EE4D5" w14:textId="77777777" w:rsidTr="001A1392">
        <w:trPr>
          <w:trHeight w:val="290"/>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E30B2A" w14:textId="7D397102" w:rsidR="00677BA1" w:rsidRPr="006623DE" w:rsidRDefault="00600BF1" w:rsidP="00A44732">
            <w:pPr>
              <w:spacing w:line="240" w:lineRule="auto"/>
              <w:jc w:val="center"/>
              <w:textAlignment w:val="bottom"/>
              <w:rPr>
                <w:rFonts w:ascii="Arial" w:hAnsi="Arial" w:cs="Arial"/>
                <w:color w:val="000000"/>
                <w:sz w:val="20"/>
                <w:szCs w:val="20"/>
              </w:rPr>
            </w:pPr>
            <w:r w:rsidRPr="006623DE">
              <w:rPr>
                <w:rFonts w:ascii="Arial" w:eastAsia="SimSun" w:hAnsi="Arial" w:cs="Arial"/>
                <w:color w:val="000000"/>
                <w:sz w:val="20"/>
                <w:szCs w:val="20"/>
                <w:lang w:val="vi-VN" w:eastAsia="zh-CN" w:bidi="ar"/>
              </w:rPr>
              <w:t>BU</w:t>
            </w:r>
            <w:r w:rsidR="00677BA1" w:rsidRPr="006623DE">
              <w:rPr>
                <w:rFonts w:ascii="Arial" w:eastAsia="SimSun" w:hAnsi="Arial" w:cs="Arial"/>
                <w:color w:val="000000"/>
                <w:sz w:val="20"/>
                <w:szCs w:val="20"/>
                <w:lang w:val="vi-VN" w:eastAsia="zh-CN" w:bidi="ar"/>
              </w:rPr>
              <w:t>_</w:t>
            </w:r>
            <w:r w:rsidR="00677BA1" w:rsidRPr="006623DE">
              <w:rPr>
                <w:rFonts w:ascii="Arial" w:eastAsia="SimSun" w:hAnsi="Arial" w:cs="Arial"/>
                <w:color w:val="000000"/>
                <w:sz w:val="20"/>
                <w:szCs w:val="20"/>
                <w:lang w:eastAsia="zh-CN" w:bidi="ar"/>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3006CD" w14:textId="77777777" w:rsidR="00677BA1" w:rsidRPr="006623DE" w:rsidRDefault="00677BA1" w:rsidP="00A44732">
            <w:pPr>
              <w:spacing w:line="240" w:lineRule="auto"/>
              <w:jc w:val="center"/>
              <w:rPr>
                <w:rFonts w:ascii="Arial" w:hAnsi="Arial" w:cs="Arial"/>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81B753" w14:textId="77777777" w:rsidR="00677BA1" w:rsidRPr="006623DE" w:rsidRDefault="00677BA1" w:rsidP="00A44732">
            <w:pPr>
              <w:spacing w:line="240" w:lineRule="auto"/>
              <w:jc w:val="center"/>
              <w:rPr>
                <w:rFonts w:ascii="Arial" w:hAnsi="Arial" w:cs="Arial"/>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629E41" w14:textId="77777777" w:rsidR="00677BA1" w:rsidRPr="006623DE" w:rsidRDefault="00677BA1" w:rsidP="00A44732">
            <w:pPr>
              <w:spacing w:line="240" w:lineRule="auto"/>
              <w:jc w:val="center"/>
              <w:rPr>
                <w:rFonts w:ascii="Arial" w:hAnsi="Arial" w:cs="Arial"/>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5DF8CE" w14:textId="77777777" w:rsidR="00677BA1" w:rsidRPr="006623DE" w:rsidRDefault="00677BA1" w:rsidP="00A44732">
            <w:pPr>
              <w:spacing w:line="240" w:lineRule="auto"/>
              <w:jc w:val="center"/>
              <w:textAlignment w:val="bottom"/>
              <w:rPr>
                <w:rFonts w:ascii="Arial" w:hAnsi="Arial" w:cs="Arial"/>
                <w:color w:val="000000"/>
                <w:sz w:val="20"/>
                <w:szCs w:val="20"/>
                <w:lang w:val="vi-VN"/>
              </w:rPr>
            </w:pPr>
            <w:r w:rsidRPr="006623DE">
              <w:rPr>
                <w:rFonts w:ascii="Arial" w:eastAsia="SimSun" w:hAnsi="Arial" w:cs="Arial"/>
                <w:color w:val="000000"/>
                <w:sz w:val="20"/>
                <w:szCs w:val="20"/>
                <w:lang w:eastAsia="zh-CN" w:bidi="ar"/>
              </w:rPr>
              <w:t>0</w:t>
            </w:r>
            <w:r w:rsidRPr="006623DE">
              <w:rPr>
                <w:rFonts w:ascii="Arial" w:eastAsia="SimSun" w:hAnsi="Arial" w:cs="Arial"/>
                <w:color w:val="000000"/>
                <w:sz w:val="20"/>
                <w:szCs w:val="20"/>
                <w:lang w:val="vi-VN" w:eastAsia="zh-CN" w:bidi="ar"/>
              </w:rPr>
              <w:t>,</w:t>
            </w:r>
            <w:r w:rsidRPr="006623DE">
              <w:rPr>
                <w:rFonts w:ascii="Arial" w:eastAsia="SimSun" w:hAnsi="Arial" w:cs="Arial"/>
                <w:color w:val="000000"/>
                <w:sz w:val="20"/>
                <w:szCs w:val="20"/>
                <w:lang w:eastAsia="zh-CN" w:bidi="ar"/>
              </w:rPr>
              <w:t>86</w:t>
            </w:r>
            <w:r w:rsidRPr="006623DE">
              <w:rPr>
                <w:rFonts w:ascii="Arial" w:eastAsia="SimSun" w:hAnsi="Arial" w:cs="Arial"/>
                <w:color w:val="000000"/>
                <w:sz w:val="20"/>
                <w:szCs w:val="20"/>
                <w:lang w:val="vi-VN" w:eastAsia="zh-CN" w:bidi="ar"/>
              </w:rPr>
              <w:t>4</w:t>
            </w:r>
          </w:p>
        </w:tc>
      </w:tr>
    </w:tbl>
    <w:p w14:paraId="52F9C2A1" w14:textId="4B697117" w:rsidR="00677BA1" w:rsidRPr="006623DE" w:rsidRDefault="0011042A" w:rsidP="0011042A">
      <w:pPr>
        <w:spacing w:after="0" w:line="360" w:lineRule="auto"/>
        <w:jc w:val="center"/>
        <w:rPr>
          <w:rFonts w:ascii="Arial" w:hAnsi="Arial" w:cs="Arial"/>
          <w:sz w:val="20"/>
          <w:szCs w:val="20"/>
          <w:lang w:val="vi-VN"/>
        </w:rPr>
      </w:pPr>
      <w:r w:rsidRPr="006623DE">
        <w:rPr>
          <w:rFonts w:ascii="Arial" w:hAnsi="Arial" w:cs="Arial"/>
          <w:sz w:val="20"/>
          <w:szCs w:val="20"/>
          <w:lang w:val="vi-VN"/>
        </w:rPr>
        <w:t>Source: Analysis results from SmartPLS software</w:t>
      </w:r>
    </w:p>
    <w:p w14:paraId="01C70D83" w14:textId="09DF385C" w:rsidR="008B6751" w:rsidRPr="006623DE" w:rsidRDefault="00A21088" w:rsidP="00FB7459">
      <w:pPr>
        <w:spacing w:after="0" w:line="360" w:lineRule="auto"/>
        <w:jc w:val="both"/>
        <w:rPr>
          <w:rFonts w:ascii="Arial" w:hAnsi="Arial" w:cs="Arial"/>
          <w:sz w:val="20"/>
          <w:szCs w:val="20"/>
          <w:lang w:val="vi-VN"/>
        </w:rPr>
      </w:pPr>
      <w:r>
        <w:rPr>
          <w:rFonts w:ascii="Arial" w:hAnsi="Arial" w:cs="Arial"/>
          <w:sz w:val="20"/>
          <w:szCs w:val="20"/>
          <w:lang w:val="vi-VN"/>
        </w:rPr>
        <w:t xml:space="preserve">   </w:t>
      </w:r>
      <w:r w:rsidR="00FB7459" w:rsidRPr="006623DE">
        <w:rPr>
          <w:rFonts w:ascii="Arial" w:hAnsi="Arial" w:cs="Arial"/>
          <w:sz w:val="20"/>
          <w:szCs w:val="20"/>
          <w:lang w:val="vi-VN"/>
        </w:rPr>
        <w:t>The results of Table 2 show that the external loading factors are all greater than 0.7. Thus, the scales used all meet the statistical quality requirements for analysis of the following indicators.</w:t>
      </w:r>
    </w:p>
    <w:p w14:paraId="1511DB49" w14:textId="75EC13F1" w:rsidR="00440151" w:rsidRPr="006623DE" w:rsidRDefault="00440151" w:rsidP="00277AB3">
      <w:pPr>
        <w:spacing w:after="0" w:line="360" w:lineRule="auto"/>
        <w:jc w:val="both"/>
        <w:rPr>
          <w:rFonts w:ascii="Arial" w:hAnsi="Arial" w:cs="Arial"/>
          <w:sz w:val="20"/>
          <w:szCs w:val="20"/>
        </w:rPr>
      </w:pPr>
      <w:r w:rsidRPr="006623DE">
        <w:rPr>
          <w:rFonts w:ascii="Arial" w:hAnsi="Arial" w:cs="Arial"/>
          <w:b/>
          <w:bCs/>
          <w:sz w:val="20"/>
          <w:szCs w:val="20"/>
        </w:rPr>
        <w:t>4.2. Scale Reliability</w:t>
      </w:r>
      <w:r w:rsidR="00277AB3" w:rsidRPr="006623DE">
        <w:rPr>
          <w:rFonts w:ascii="Arial" w:hAnsi="Arial" w:cs="Arial"/>
          <w:sz w:val="20"/>
          <w:szCs w:val="20"/>
          <w:lang w:val="vi-VN"/>
        </w:rPr>
        <w:t xml:space="preserve">. </w:t>
      </w:r>
      <w:r w:rsidRPr="006623DE">
        <w:rPr>
          <w:rFonts w:ascii="Arial" w:hAnsi="Arial" w:cs="Arial"/>
          <w:sz w:val="20"/>
          <w:szCs w:val="20"/>
        </w:rPr>
        <w:t>Scale reliability is measured through two main indicators: Cronbach’s Alpha and Composite Reliability (CR).</w:t>
      </w:r>
    </w:p>
    <w:p w14:paraId="10277458" w14:textId="3696D3BE" w:rsidR="00277AB3" w:rsidRPr="006623DE" w:rsidRDefault="00277AB3" w:rsidP="00277AB3">
      <w:pPr>
        <w:spacing w:after="0" w:line="360" w:lineRule="auto"/>
        <w:jc w:val="center"/>
        <w:rPr>
          <w:rFonts w:ascii="Arial" w:hAnsi="Arial" w:cs="Arial"/>
          <w:b/>
          <w:bCs/>
          <w:sz w:val="20"/>
          <w:szCs w:val="20"/>
          <w:lang w:val="vi-VN"/>
        </w:rPr>
      </w:pPr>
      <w:r w:rsidRPr="006623DE">
        <w:rPr>
          <w:rFonts w:ascii="Arial" w:hAnsi="Arial" w:cs="Arial"/>
          <w:b/>
          <w:bCs/>
          <w:sz w:val="20"/>
          <w:szCs w:val="20"/>
          <w:lang w:val="vi-VN"/>
        </w:rPr>
        <w:t>Table 3. Results of scale reliability analysis</w:t>
      </w:r>
    </w:p>
    <w:tbl>
      <w:tblPr>
        <w:tblW w:w="6862" w:type="dxa"/>
        <w:jc w:val="center"/>
        <w:tblLook w:val="04A0" w:firstRow="1" w:lastRow="0" w:firstColumn="1" w:lastColumn="0" w:noHBand="0" w:noVBand="1"/>
      </w:tblPr>
      <w:tblGrid>
        <w:gridCol w:w="2390"/>
        <w:gridCol w:w="2570"/>
        <w:gridCol w:w="1902"/>
      </w:tblGrid>
      <w:tr w:rsidR="00C06155" w:rsidRPr="006623DE" w14:paraId="0140BA3F" w14:textId="77777777" w:rsidTr="00A44732">
        <w:trPr>
          <w:trHeight w:val="330"/>
          <w:jc w:val="center"/>
        </w:trPr>
        <w:tc>
          <w:tcPr>
            <w:tcW w:w="2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482A5" w14:textId="7AF2B050" w:rsidR="00C06155" w:rsidRPr="006623DE" w:rsidRDefault="004E6926" w:rsidP="00A44732">
            <w:pPr>
              <w:spacing w:line="276" w:lineRule="auto"/>
              <w:jc w:val="center"/>
              <w:textAlignment w:val="center"/>
              <w:rPr>
                <w:rFonts w:ascii="Arial" w:hAnsi="Arial" w:cs="Arial"/>
                <w:b/>
                <w:bCs/>
                <w:color w:val="000000"/>
                <w:sz w:val="20"/>
                <w:szCs w:val="20"/>
              </w:rPr>
            </w:pPr>
            <w:r w:rsidRPr="006623DE">
              <w:rPr>
                <w:rFonts w:ascii="Arial" w:hAnsi="Arial" w:cs="Arial"/>
                <w:b/>
                <w:bCs/>
                <w:color w:val="000000"/>
                <w:sz w:val="20"/>
                <w:szCs w:val="20"/>
                <w:lang w:val="vi-VN"/>
              </w:rPr>
              <w:t>Var</w:t>
            </w:r>
            <w:proofErr w:type="spellStart"/>
            <w:r w:rsidRPr="006623DE">
              <w:rPr>
                <w:rFonts w:ascii="Arial" w:hAnsi="Arial" w:cs="Arial"/>
                <w:b/>
                <w:bCs/>
                <w:color w:val="000000"/>
                <w:sz w:val="20"/>
                <w:szCs w:val="20"/>
              </w:rPr>
              <w:t>i</w:t>
            </w:r>
            <w:proofErr w:type="spellEnd"/>
            <w:r w:rsidRPr="006623DE">
              <w:rPr>
                <w:rFonts w:ascii="Arial" w:hAnsi="Arial" w:cs="Arial"/>
                <w:b/>
                <w:bCs/>
                <w:color w:val="000000"/>
                <w:sz w:val="20"/>
                <w:szCs w:val="20"/>
                <w:lang w:val="vi-VN"/>
              </w:rPr>
              <w:t>a</w:t>
            </w:r>
            <w:r w:rsidRPr="006623DE">
              <w:rPr>
                <w:rFonts w:ascii="Arial" w:hAnsi="Arial" w:cs="Arial"/>
                <w:b/>
                <w:bCs/>
                <w:color w:val="000000"/>
                <w:sz w:val="20"/>
                <w:szCs w:val="20"/>
              </w:rPr>
              <w:t>bl</w:t>
            </w:r>
            <w:r w:rsidRPr="006623DE">
              <w:rPr>
                <w:rFonts w:ascii="Arial" w:hAnsi="Arial" w:cs="Arial"/>
                <w:b/>
                <w:bCs/>
                <w:color w:val="000000"/>
                <w:sz w:val="20"/>
                <w:szCs w:val="20"/>
                <w:lang w:val="vi-VN"/>
              </w:rPr>
              <w:t>es</w:t>
            </w:r>
          </w:p>
        </w:tc>
        <w:tc>
          <w:tcPr>
            <w:tcW w:w="2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4A3BF" w14:textId="77777777" w:rsidR="00C06155" w:rsidRPr="006623DE" w:rsidRDefault="00C06155" w:rsidP="00A44732">
            <w:pPr>
              <w:spacing w:line="276" w:lineRule="auto"/>
              <w:jc w:val="center"/>
              <w:textAlignment w:val="center"/>
              <w:rPr>
                <w:rFonts w:ascii="Arial" w:hAnsi="Arial" w:cs="Arial"/>
                <w:b/>
                <w:bCs/>
                <w:color w:val="000000"/>
                <w:sz w:val="20"/>
                <w:szCs w:val="20"/>
              </w:rPr>
            </w:pPr>
            <w:r w:rsidRPr="006623DE">
              <w:rPr>
                <w:rFonts w:ascii="Arial" w:eastAsia="SimSun" w:hAnsi="Arial" w:cs="Arial"/>
                <w:b/>
                <w:bCs/>
                <w:color w:val="000000"/>
                <w:sz w:val="20"/>
                <w:szCs w:val="20"/>
                <w:lang w:eastAsia="zh-CN" w:bidi="ar"/>
              </w:rPr>
              <w:t>Cronbach's Alpha</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AABE2" w14:textId="77777777" w:rsidR="00C06155" w:rsidRPr="006623DE" w:rsidRDefault="00C06155" w:rsidP="00A44732">
            <w:pPr>
              <w:spacing w:line="276" w:lineRule="auto"/>
              <w:jc w:val="center"/>
              <w:textAlignment w:val="center"/>
              <w:rPr>
                <w:rFonts w:ascii="Arial" w:hAnsi="Arial" w:cs="Arial"/>
                <w:b/>
                <w:bCs/>
                <w:color w:val="000000"/>
                <w:sz w:val="20"/>
                <w:szCs w:val="20"/>
              </w:rPr>
            </w:pPr>
            <w:r w:rsidRPr="006623DE">
              <w:rPr>
                <w:rFonts w:ascii="Arial" w:eastAsia="SimSun" w:hAnsi="Arial" w:cs="Arial"/>
                <w:b/>
                <w:bCs/>
                <w:color w:val="000000"/>
                <w:sz w:val="20"/>
                <w:szCs w:val="20"/>
                <w:lang w:eastAsia="zh-CN" w:bidi="ar"/>
              </w:rPr>
              <w:t>CR</w:t>
            </w:r>
          </w:p>
        </w:tc>
      </w:tr>
      <w:tr w:rsidR="00C06155" w:rsidRPr="006623DE" w14:paraId="4275C650" w14:textId="77777777" w:rsidTr="00A44732">
        <w:trPr>
          <w:trHeight w:val="2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5BEC2" w14:textId="3A7C330E" w:rsidR="00C06155" w:rsidRPr="006623DE" w:rsidRDefault="00E6268B" w:rsidP="00A44732">
            <w:pPr>
              <w:spacing w:line="276" w:lineRule="auto"/>
              <w:jc w:val="center"/>
              <w:textAlignment w:val="center"/>
              <w:rPr>
                <w:rFonts w:ascii="Arial" w:hAnsi="Arial" w:cs="Arial"/>
                <w:color w:val="000000"/>
                <w:sz w:val="20"/>
                <w:szCs w:val="20"/>
                <w:lang w:val="vi-VN"/>
              </w:rPr>
            </w:pPr>
            <w:r w:rsidRPr="006623DE">
              <w:rPr>
                <w:rFonts w:ascii="Arial" w:hAnsi="Arial" w:cs="Arial"/>
                <w:color w:val="000000"/>
                <w:sz w:val="20"/>
                <w:szCs w:val="20"/>
                <w:lang w:val="vi-VN"/>
              </w:rPr>
              <w:t>LEAD</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3D0F9" w14:textId="77777777" w:rsidR="00C06155" w:rsidRPr="006623DE" w:rsidRDefault="00C06155" w:rsidP="00A44732">
            <w:pPr>
              <w:spacing w:line="276" w:lineRule="auto"/>
              <w:jc w:val="center"/>
              <w:textAlignment w:val="center"/>
              <w:rPr>
                <w:rFonts w:ascii="Arial" w:hAnsi="Arial" w:cs="Arial"/>
                <w:color w:val="000000"/>
                <w:sz w:val="20"/>
                <w:szCs w:val="20"/>
              </w:rPr>
            </w:pPr>
            <w:r w:rsidRPr="006623DE">
              <w:rPr>
                <w:rFonts w:ascii="Arial" w:eastAsia="SimSun" w:hAnsi="Arial" w:cs="Arial"/>
                <w:color w:val="000000"/>
                <w:sz w:val="20"/>
                <w:szCs w:val="20"/>
                <w:lang w:eastAsia="zh-CN" w:bidi="ar"/>
              </w:rPr>
              <w:t>0.885</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4C427" w14:textId="77777777" w:rsidR="00C06155" w:rsidRPr="006623DE" w:rsidRDefault="00C06155" w:rsidP="00A44732">
            <w:pPr>
              <w:spacing w:line="276" w:lineRule="auto"/>
              <w:jc w:val="center"/>
              <w:textAlignment w:val="center"/>
              <w:rPr>
                <w:rFonts w:ascii="Arial" w:hAnsi="Arial" w:cs="Arial"/>
                <w:color w:val="000000"/>
                <w:sz w:val="20"/>
                <w:szCs w:val="20"/>
              </w:rPr>
            </w:pPr>
            <w:r w:rsidRPr="006623DE">
              <w:rPr>
                <w:rFonts w:ascii="Arial" w:eastAsia="SimSun" w:hAnsi="Arial" w:cs="Arial"/>
                <w:color w:val="000000"/>
                <w:sz w:val="20"/>
                <w:szCs w:val="20"/>
                <w:lang w:eastAsia="zh-CN" w:bidi="ar"/>
              </w:rPr>
              <w:t>0.886</w:t>
            </w:r>
          </w:p>
        </w:tc>
      </w:tr>
      <w:tr w:rsidR="00C06155" w:rsidRPr="006623DE" w14:paraId="4F9C0752" w14:textId="77777777" w:rsidTr="00A44732">
        <w:trPr>
          <w:trHeight w:val="2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5C31B" w14:textId="7FB00DAB" w:rsidR="00C06155" w:rsidRPr="006623DE" w:rsidRDefault="00E6268B" w:rsidP="00A44732">
            <w:pPr>
              <w:spacing w:line="276" w:lineRule="auto"/>
              <w:jc w:val="center"/>
              <w:textAlignment w:val="center"/>
              <w:rPr>
                <w:rFonts w:ascii="Arial" w:hAnsi="Arial" w:cs="Arial"/>
                <w:color w:val="000000"/>
                <w:sz w:val="20"/>
                <w:szCs w:val="20"/>
                <w:lang w:val="vi-VN"/>
              </w:rPr>
            </w:pPr>
            <w:r w:rsidRPr="006623DE">
              <w:rPr>
                <w:rFonts w:ascii="Arial" w:hAnsi="Arial" w:cs="Arial"/>
                <w:color w:val="000000"/>
                <w:sz w:val="20"/>
                <w:szCs w:val="20"/>
                <w:lang w:val="vi-VN"/>
              </w:rPr>
              <w:t>BVL</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AA6B1" w14:textId="77777777" w:rsidR="00C06155" w:rsidRPr="006623DE" w:rsidRDefault="00C06155" w:rsidP="00A44732">
            <w:pPr>
              <w:spacing w:line="276" w:lineRule="auto"/>
              <w:jc w:val="center"/>
              <w:textAlignment w:val="center"/>
              <w:rPr>
                <w:rFonts w:ascii="Arial" w:hAnsi="Arial" w:cs="Arial"/>
                <w:color w:val="000000"/>
                <w:sz w:val="20"/>
                <w:szCs w:val="20"/>
              </w:rPr>
            </w:pPr>
            <w:r w:rsidRPr="006623DE">
              <w:rPr>
                <w:rFonts w:ascii="Arial" w:eastAsia="SimSun" w:hAnsi="Arial" w:cs="Arial"/>
                <w:color w:val="000000"/>
                <w:sz w:val="20"/>
                <w:szCs w:val="20"/>
                <w:lang w:eastAsia="zh-CN" w:bidi="ar"/>
              </w:rPr>
              <w:t>0.896</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9C3DE" w14:textId="77777777" w:rsidR="00C06155" w:rsidRPr="006623DE" w:rsidRDefault="00C06155" w:rsidP="00A44732">
            <w:pPr>
              <w:spacing w:line="276" w:lineRule="auto"/>
              <w:jc w:val="center"/>
              <w:textAlignment w:val="center"/>
              <w:rPr>
                <w:rFonts w:ascii="Arial" w:hAnsi="Arial" w:cs="Arial"/>
                <w:color w:val="000000"/>
                <w:sz w:val="20"/>
                <w:szCs w:val="20"/>
              </w:rPr>
            </w:pPr>
            <w:r w:rsidRPr="006623DE">
              <w:rPr>
                <w:rFonts w:ascii="Arial" w:eastAsia="SimSun" w:hAnsi="Arial" w:cs="Arial"/>
                <w:color w:val="000000"/>
                <w:sz w:val="20"/>
                <w:szCs w:val="20"/>
                <w:lang w:eastAsia="zh-CN" w:bidi="ar"/>
              </w:rPr>
              <w:t>0.899</w:t>
            </w:r>
          </w:p>
        </w:tc>
      </w:tr>
      <w:tr w:rsidR="00C06155" w:rsidRPr="006623DE" w14:paraId="31618EC6" w14:textId="77777777" w:rsidTr="00A44732">
        <w:trPr>
          <w:trHeight w:val="2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1AF61" w14:textId="01C64BF8" w:rsidR="00C06155" w:rsidRPr="006623DE" w:rsidRDefault="00E6268B" w:rsidP="00A44732">
            <w:pPr>
              <w:spacing w:line="276" w:lineRule="auto"/>
              <w:jc w:val="center"/>
              <w:textAlignment w:val="center"/>
              <w:rPr>
                <w:rFonts w:ascii="Arial" w:hAnsi="Arial" w:cs="Arial"/>
                <w:color w:val="000000"/>
                <w:sz w:val="20"/>
                <w:szCs w:val="20"/>
                <w:lang w:val="vi-VN"/>
              </w:rPr>
            </w:pPr>
            <w:r w:rsidRPr="006623DE">
              <w:rPr>
                <w:rFonts w:ascii="Arial" w:hAnsi="Arial" w:cs="Arial"/>
                <w:color w:val="000000"/>
                <w:sz w:val="20"/>
                <w:szCs w:val="20"/>
                <w:lang w:val="vi-VN"/>
              </w:rPr>
              <w:t>OC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1E6DF" w14:textId="77777777" w:rsidR="00C06155" w:rsidRPr="006623DE" w:rsidRDefault="00C06155" w:rsidP="00A44732">
            <w:pPr>
              <w:spacing w:line="276" w:lineRule="auto"/>
              <w:jc w:val="center"/>
              <w:textAlignment w:val="center"/>
              <w:rPr>
                <w:rFonts w:ascii="Arial" w:hAnsi="Arial" w:cs="Arial"/>
                <w:color w:val="000000"/>
                <w:sz w:val="20"/>
                <w:szCs w:val="20"/>
              </w:rPr>
            </w:pPr>
            <w:r w:rsidRPr="006623DE">
              <w:rPr>
                <w:rFonts w:ascii="Arial" w:eastAsia="SimSun" w:hAnsi="Arial" w:cs="Arial"/>
                <w:color w:val="000000"/>
                <w:sz w:val="20"/>
                <w:szCs w:val="20"/>
                <w:lang w:eastAsia="zh-CN" w:bidi="ar"/>
              </w:rPr>
              <w:t>0.923</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2A930" w14:textId="77777777" w:rsidR="00C06155" w:rsidRPr="006623DE" w:rsidRDefault="00C06155" w:rsidP="00A44732">
            <w:pPr>
              <w:spacing w:line="276" w:lineRule="auto"/>
              <w:jc w:val="center"/>
              <w:textAlignment w:val="center"/>
              <w:rPr>
                <w:rFonts w:ascii="Arial" w:hAnsi="Arial" w:cs="Arial"/>
                <w:color w:val="000000"/>
                <w:sz w:val="20"/>
                <w:szCs w:val="20"/>
              </w:rPr>
            </w:pPr>
            <w:r w:rsidRPr="006623DE">
              <w:rPr>
                <w:rFonts w:ascii="Arial" w:eastAsia="SimSun" w:hAnsi="Arial" w:cs="Arial"/>
                <w:color w:val="000000"/>
                <w:sz w:val="20"/>
                <w:szCs w:val="20"/>
                <w:lang w:eastAsia="zh-CN" w:bidi="ar"/>
              </w:rPr>
              <w:t>0.925</w:t>
            </w:r>
          </w:p>
        </w:tc>
      </w:tr>
      <w:tr w:rsidR="00C06155" w:rsidRPr="006623DE" w14:paraId="09BC9141" w14:textId="77777777" w:rsidTr="00A44732">
        <w:trPr>
          <w:trHeight w:val="2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F10FC" w14:textId="5DBD8BBE" w:rsidR="00C06155" w:rsidRPr="006623DE" w:rsidRDefault="00E6268B" w:rsidP="00A44732">
            <w:pPr>
              <w:spacing w:line="276" w:lineRule="auto"/>
              <w:jc w:val="center"/>
              <w:textAlignment w:val="center"/>
              <w:rPr>
                <w:rFonts w:ascii="Arial" w:hAnsi="Arial" w:cs="Arial"/>
                <w:color w:val="000000"/>
                <w:sz w:val="20"/>
                <w:szCs w:val="20"/>
                <w:lang w:val="vi-VN"/>
              </w:rPr>
            </w:pPr>
            <w:r w:rsidRPr="006623DE">
              <w:rPr>
                <w:rFonts w:ascii="Arial" w:hAnsi="Arial" w:cs="Arial"/>
                <w:color w:val="000000"/>
                <w:sz w:val="20"/>
                <w:szCs w:val="20"/>
                <w:lang w:val="vi-VN"/>
              </w:rPr>
              <w:t>BU</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B38DD" w14:textId="77777777" w:rsidR="00C06155" w:rsidRPr="006623DE" w:rsidRDefault="00C06155" w:rsidP="00A44732">
            <w:pPr>
              <w:spacing w:line="276" w:lineRule="auto"/>
              <w:jc w:val="center"/>
              <w:textAlignment w:val="center"/>
              <w:rPr>
                <w:rFonts w:ascii="Arial" w:hAnsi="Arial" w:cs="Arial"/>
                <w:color w:val="000000"/>
                <w:sz w:val="20"/>
                <w:szCs w:val="20"/>
              </w:rPr>
            </w:pPr>
            <w:r w:rsidRPr="006623DE">
              <w:rPr>
                <w:rFonts w:ascii="Arial" w:eastAsia="SimSun" w:hAnsi="Arial" w:cs="Arial"/>
                <w:color w:val="000000"/>
                <w:sz w:val="20"/>
                <w:szCs w:val="20"/>
                <w:lang w:eastAsia="zh-CN" w:bidi="ar"/>
              </w:rPr>
              <w:t>0.880</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13B4B" w14:textId="77777777" w:rsidR="00C06155" w:rsidRPr="006623DE" w:rsidRDefault="00C06155" w:rsidP="00A44732">
            <w:pPr>
              <w:spacing w:line="276" w:lineRule="auto"/>
              <w:jc w:val="center"/>
              <w:textAlignment w:val="center"/>
              <w:rPr>
                <w:rFonts w:ascii="Arial" w:hAnsi="Arial" w:cs="Arial"/>
                <w:color w:val="000000"/>
                <w:sz w:val="20"/>
                <w:szCs w:val="20"/>
              </w:rPr>
            </w:pPr>
            <w:r w:rsidRPr="006623DE">
              <w:rPr>
                <w:rFonts w:ascii="Arial" w:eastAsia="SimSun" w:hAnsi="Arial" w:cs="Arial"/>
                <w:color w:val="000000"/>
                <w:sz w:val="20"/>
                <w:szCs w:val="20"/>
                <w:lang w:eastAsia="zh-CN" w:bidi="ar"/>
              </w:rPr>
              <w:t>0.881</w:t>
            </w:r>
          </w:p>
        </w:tc>
      </w:tr>
    </w:tbl>
    <w:p w14:paraId="4415F6E3" w14:textId="77777777" w:rsidR="00E23CE2" w:rsidRPr="006623DE" w:rsidRDefault="00E23CE2" w:rsidP="00E23CE2">
      <w:pPr>
        <w:spacing w:after="0" w:line="360" w:lineRule="auto"/>
        <w:jc w:val="center"/>
        <w:rPr>
          <w:rFonts w:ascii="Arial" w:hAnsi="Arial" w:cs="Arial"/>
          <w:sz w:val="20"/>
          <w:szCs w:val="20"/>
          <w:lang w:val="vi-VN"/>
        </w:rPr>
      </w:pPr>
      <w:r w:rsidRPr="006623DE">
        <w:rPr>
          <w:rFonts w:ascii="Arial" w:hAnsi="Arial" w:cs="Arial"/>
          <w:sz w:val="20"/>
          <w:szCs w:val="20"/>
          <w:lang w:val="vi-VN"/>
        </w:rPr>
        <w:t>Source: Analysis results from SmartPLS software</w:t>
      </w:r>
    </w:p>
    <w:p w14:paraId="622319D6" w14:textId="48DE8269" w:rsidR="00B07F3E" w:rsidRPr="006623DE" w:rsidRDefault="001F056D" w:rsidP="00B07F3E">
      <w:pPr>
        <w:spacing w:after="0" w:line="360" w:lineRule="auto"/>
        <w:jc w:val="both"/>
        <w:rPr>
          <w:rFonts w:ascii="Arial" w:hAnsi="Arial" w:cs="Arial"/>
          <w:sz w:val="20"/>
          <w:szCs w:val="20"/>
          <w:lang w:val="vi-VN"/>
        </w:rPr>
      </w:pPr>
      <w:r>
        <w:rPr>
          <w:rFonts w:ascii="Arial" w:hAnsi="Arial" w:cs="Arial"/>
          <w:sz w:val="20"/>
          <w:szCs w:val="20"/>
          <w:lang w:val="vi-VN"/>
        </w:rPr>
        <w:t xml:space="preserve">   </w:t>
      </w:r>
      <w:r w:rsidR="00B07F3E" w:rsidRPr="006623DE">
        <w:rPr>
          <w:rFonts w:ascii="Arial" w:hAnsi="Arial" w:cs="Arial"/>
          <w:sz w:val="20"/>
          <w:szCs w:val="20"/>
          <w:lang w:val="vi-VN"/>
        </w:rPr>
        <w:t>According to researchers Henseler &amp; Sarstedt (2015) and Hair et al. (2009), the appropriate threshold for Composite Reliability (CR) is 0.7 or higher. A Cronbach’s Alpha coefficient between 0.8 and 1 indicates a good measurement scale, while a value between 0.7 and 0.8 is considered acceptable. Based on the results in Table 3, the measurement scale demonstrates good reliability for use in further analysis.</w:t>
      </w:r>
    </w:p>
    <w:p w14:paraId="34918399" w14:textId="7E8D650D" w:rsidR="008B5DC5" w:rsidRPr="006623DE" w:rsidRDefault="008B5DC5" w:rsidP="003A783C">
      <w:pPr>
        <w:spacing w:after="0" w:line="360" w:lineRule="auto"/>
        <w:jc w:val="both"/>
        <w:rPr>
          <w:rFonts w:ascii="Arial" w:hAnsi="Arial" w:cs="Arial"/>
          <w:sz w:val="20"/>
          <w:szCs w:val="20"/>
          <w:lang w:val="vi-VN"/>
        </w:rPr>
      </w:pPr>
      <w:r w:rsidRPr="006623DE">
        <w:rPr>
          <w:rFonts w:ascii="Arial" w:hAnsi="Arial" w:cs="Arial"/>
          <w:b/>
          <w:bCs/>
          <w:sz w:val="20"/>
          <w:szCs w:val="20"/>
          <w:lang w:val="vi-VN"/>
        </w:rPr>
        <w:t>4.3. Convergent Validity</w:t>
      </w:r>
      <w:r w:rsidR="003A783C" w:rsidRPr="006623DE">
        <w:rPr>
          <w:rFonts w:ascii="Arial" w:hAnsi="Arial" w:cs="Arial"/>
          <w:b/>
          <w:bCs/>
          <w:sz w:val="20"/>
          <w:szCs w:val="20"/>
          <w:lang w:val="vi-VN"/>
        </w:rPr>
        <w:t xml:space="preserve">. </w:t>
      </w:r>
      <w:r w:rsidRPr="006623DE">
        <w:rPr>
          <w:rFonts w:ascii="Arial" w:hAnsi="Arial" w:cs="Arial"/>
          <w:sz w:val="20"/>
          <w:szCs w:val="20"/>
          <w:lang w:val="vi-VN"/>
        </w:rPr>
        <w:t>Convergent validity is assessed through the Average Variance Extracted (AVE) index. AVE reflects the average variance extracted for each latent construct in the model. According to Hock and Ringle (2010), a measurement scale achieves convergent validity if the AVE value is 0.5 or higher.</w:t>
      </w:r>
    </w:p>
    <w:p w14:paraId="3AC3D0AB" w14:textId="02F85074" w:rsidR="00277AB3" w:rsidRPr="006623DE" w:rsidRDefault="008D6D11" w:rsidP="008D6D11">
      <w:pPr>
        <w:spacing w:after="0" w:line="360" w:lineRule="auto"/>
        <w:jc w:val="center"/>
        <w:rPr>
          <w:rFonts w:ascii="Arial" w:hAnsi="Arial" w:cs="Arial"/>
          <w:b/>
          <w:bCs/>
          <w:sz w:val="20"/>
          <w:szCs w:val="20"/>
        </w:rPr>
      </w:pPr>
      <w:r w:rsidRPr="006623DE">
        <w:rPr>
          <w:rFonts w:ascii="Arial" w:hAnsi="Arial" w:cs="Arial"/>
          <w:b/>
          <w:bCs/>
          <w:sz w:val="20"/>
          <w:szCs w:val="20"/>
        </w:rPr>
        <w:lastRenderedPageBreak/>
        <w:t>Table 4. Results of Convergent Validity Analysis of the Measurement Scale</w:t>
      </w:r>
    </w:p>
    <w:tbl>
      <w:tblPr>
        <w:tblW w:w="7390" w:type="dxa"/>
        <w:jc w:val="center"/>
        <w:tblLook w:val="04A0" w:firstRow="1" w:lastRow="0" w:firstColumn="1" w:lastColumn="0" w:noHBand="0" w:noVBand="1"/>
      </w:tblPr>
      <w:tblGrid>
        <w:gridCol w:w="2340"/>
        <w:gridCol w:w="2270"/>
        <w:gridCol w:w="2780"/>
      </w:tblGrid>
      <w:tr w:rsidR="003A783C" w:rsidRPr="006623DE" w14:paraId="4373AAFA" w14:textId="77777777" w:rsidTr="00216A25">
        <w:trPr>
          <w:trHeight w:val="330"/>
          <w:jc w:val="center"/>
        </w:trPr>
        <w:tc>
          <w:tcPr>
            <w:tcW w:w="23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9E596" w14:textId="39C90959" w:rsidR="003A783C" w:rsidRPr="006623DE" w:rsidRDefault="003A783C" w:rsidP="00A44732">
            <w:pPr>
              <w:spacing w:line="276" w:lineRule="auto"/>
              <w:jc w:val="center"/>
              <w:textAlignment w:val="center"/>
              <w:rPr>
                <w:rFonts w:ascii="Arial" w:hAnsi="Arial" w:cs="Arial"/>
                <w:b/>
                <w:bCs/>
                <w:color w:val="000000"/>
                <w:sz w:val="20"/>
                <w:szCs w:val="20"/>
              </w:rPr>
            </w:pPr>
            <w:r w:rsidRPr="006623DE">
              <w:rPr>
                <w:rFonts w:ascii="Arial" w:hAnsi="Arial" w:cs="Arial"/>
                <w:b/>
                <w:bCs/>
                <w:color w:val="000000"/>
                <w:sz w:val="20"/>
                <w:szCs w:val="20"/>
                <w:lang w:val="vi-VN"/>
              </w:rPr>
              <w:t>Var</w:t>
            </w:r>
            <w:proofErr w:type="spellStart"/>
            <w:r w:rsidRPr="006623DE">
              <w:rPr>
                <w:rFonts w:ascii="Arial" w:hAnsi="Arial" w:cs="Arial"/>
                <w:b/>
                <w:bCs/>
                <w:color w:val="000000"/>
                <w:sz w:val="20"/>
                <w:szCs w:val="20"/>
              </w:rPr>
              <w:t>i</w:t>
            </w:r>
            <w:proofErr w:type="spellEnd"/>
            <w:r w:rsidRPr="006623DE">
              <w:rPr>
                <w:rFonts w:ascii="Arial" w:hAnsi="Arial" w:cs="Arial"/>
                <w:b/>
                <w:bCs/>
                <w:color w:val="000000"/>
                <w:sz w:val="20"/>
                <w:szCs w:val="20"/>
                <w:lang w:val="vi-VN"/>
              </w:rPr>
              <w:t>a</w:t>
            </w:r>
            <w:r w:rsidRPr="006623DE">
              <w:rPr>
                <w:rFonts w:ascii="Arial" w:hAnsi="Arial" w:cs="Arial"/>
                <w:b/>
                <w:bCs/>
                <w:color w:val="000000"/>
                <w:sz w:val="20"/>
                <w:szCs w:val="20"/>
              </w:rPr>
              <w:t>bl</w:t>
            </w:r>
            <w:r w:rsidRPr="006623DE">
              <w:rPr>
                <w:rFonts w:ascii="Arial" w:hAnsi="Arial" w:cs="Arial"/>
                <w:b/>
                <w:bCs/>
                <w:color w:val="000000"/>
                <w:sz w:val="20"/>
                <w:szCs w:val="20"/>
                <w:lang w:val="vi-VN"/>
              </w:rPr>
              <w:t>es</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98B41" w14:textId="77777777" w:rsidR="003A783C" w:rsidRPr="006623DE" w:rsidRDefault="003A783C" w:rsidP="00A44732">
            <w:pPr>
              <w:spacing w:line="276" w:lineRule="auto"/>
              <w:jc w:val="center"/>
              <w:textAlignment w:val="center"/>
              <w:rPr>
                <w:rFonts w:ascii="Arial" w:hAnsi="Arial" w:cs="Arial"/>
                <w:b/>
                <w:bCs/>
                <w:color w:val="000000"/>
                <w:sz w:val="20"/>
                <w:szCs w:val="20"/>
              </w:rPr>
            </w:pPr>
            <w:r w:rsidRPr="006623DE">
              <w:rPr>
                <w:rFonts w:ascii="Arial" w:eastAsia="SimSun" w:hAnsi="Arial" w:cs="Arial"/>
                <w:b/>
                <w:bCs/>
                <w:color w:val="000000"/>
                <w:sz w:val="20"/>
                <w:szCs w:val="20"/>
                <w:lang w:eastAsia="zh-CN" w:bidi="ar"/>
              </w:rPr>
              <w:t>AVE</w:t>
            </w:r>
          </w:p>
        </w:tc>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FF556" w14:textId="64192DBB" w:rsidR="003A783C" w:rsidRPr="006623DE" w:rsidRDefault="00371E2F" w:rsidP="00A44732">
            <w:pPr>
              <w:spacing w:line="276" w:lineRule="auto"/>
              <w:jc w:val="center"/>
              <w:textAlignment w:val="center"/>
              <w:rPr>
                <w:rFonts w:ascii="Arial" w:hAnsi="Arial" w:cs="Arial"/>
                <w:b/>
                <w:bCs/>
                <w:color w:val="000000"/>
                <w:sz w:val="20"/>
                <w:szCs w:val="20"/>
              </w:rPr>
            </w:pPr>
            <w:r w:rsidRPr="006623DE">
              <w:rPr>
                <w:rFonts w:ascii="Arial" w:hAnsi="Arial" w:cs="Arial"/>
                <w:b/>
                <w:bCs/>
                <w:color w:val="000000"/>
                <w:sz w:val="20"/>
                <w:szCs w:val="20"/>
              </w:rPr>
              <w:t>Square root of AVE</w:t>
            </w:r>
          </w:p>
        </w:tc>
      </w:tr>
      <w:tr w:rsidR="003A783C" w:rsidRPr="006623DE" w14:paraId="6E3669BF" w14:textId="77777777" w:rsidTr="00216A25">
        <w:trPr>
          <w:trHeight w:val="290"/>
          <w:jc w:val="center"/>
        </w:trPr>
        <w:tc>
          <w:tcPr>
            <w:tcW w:w="23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2FE47" w14:textId="33ED370B" w:rsidR="003A783C" w:rsidRPr="006623DE" w:rsidRDefault="00371E2F" w:rsidP="00A44732">
            <w:pPr>
              <w:spacing w:line="276" w:lineRule="auto"/>
              <w:jc w:val="center"/>
              <w:textAlignment w:val="center"/>
              <w:rPr>
                <w:rFonts w:ascii="Arial" w:hAnsi="Arial" w:cs="Arial"/>
                <w:color w:val="000000"/>
                <w:sz w:val="20"/>
                <w:szCs w:val="20"/>
                <w:lang w:val="vi-VN"/>
              </w:rPr>
            </w:pPr>
            <w:r w:rsidRPr="006623DE">
              <w:rPr>
                <w:rFonts w:ascii="Arial" w:hAnsi="Arial" w:cs="Arial"/>
                <w:color w:val="000000"/>
                <w:sz w:val="20"/>
                <w:szCs w:val="20"/>
                <w:lang w:val="vi-VN"/>
              </w:rPr>
              <w:t>LEAD</w:t>
            </w: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1D23F" w14:textId="77777777" w:rsidR="003A783C" w:rsidRPr="006623DE" w:rsidRDefault="003A783C" w:rsidP="00A44732">
            <w:pPr>
              <w:spacing w:line="276" w:lineRule="auto"/>
              <w:jc w:val="center"/>
              <w:textAlignment w:val="center"/>
              <w:rPr>
                <w:rFonts w:ascii="Arial" w:hAnsi="Arial" w:cs="Arial"/>
                <w:color w:val="000000"/>
                <w:sz w:val="20"/>
                <w:szCs w:val="20"/>
              </w:rPr>
            </w:pPr>
            <w:r w:rsidRPr="006623DE">
              <w:rPr>
                <w:rFonts w:ascii="Arial" w:eastAsia="SimSun" w:hAnsi="Arial" w:cs="Arial"/>
                <w:color w:val="000000"/>
                <w:sz w:val="20"/>
                <w:szCs w:val="20"/>
                <w:lang w:eastAsia="zh-CN" w:bidi="ar"/>
              </w:rPr>
              <w:t>0.743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B764D" w14:textId="77777777" w:rsidR="003A783C" w:rsidRPr="006623DE" w:rsidRDefault="003A783C" w:rsidP="00A44732">
            <w:pPr>
              <w:spacing w:line="276" w:lineRule="auto"/>
              <w:jc w:val="center"/>
              <w:textAlignment w:val="center"/>
              <w:rPr>
                <w:rFonts w:ascii="Arial" w:hAnsi="Arial" w:cs="Arial"/>
                <w:color w:val="000000"/>
                <w:sz w:val="20"/>
                <w:szCs w:val="20"/>
              </w:rPr>
            </w:pPr>
            <w:r w:rsidRPr="006623DE">
              <w:rPr>
                <w:rFonts w:ascii="Arial" w:eastAsia="SimSun" w:hAnsi="Arial" w:cs="Arial"/>
                <w:color w:val="000000"/>
                <w:sz w:val="20"/>
                <w:szCs w:val="20"/>
                <w:lang w:eastAsia="zh-CN" w:bidi="ar"/>
              </w:rPr>
              <w:t xml:space="preserve">0.862 </w:t>
            </w:r>
          </w:p>
        </w:tc>
      </w:tr>
      <w:tr w:rsidR="003A783C" w:rsidRPr="006623DE" w14:paraId="4C418B13" w14:textId="77777777" w:rsidTr="00216A25">
        <w:trPr>
          <w:trHeight w:val="290"/>
          <w:jc w:val="center"/>
        </w:trPr>
        <w:tc>
          <w:tcPr>
            <w:tcW w:w="23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3B54E" w14:textId="4F37BC83" w:rsidR="003A783C" w:rsidRPr="006623DE" w:rsidRDefault="00371E2F" w:rsidP="00A44732">
            <w:pPr>
              <w:spacing w:line="276" w:lineRule="auto"/>
              <w:jc w:val="center"/>
              <w:textAlignment w:val="center"/>
              <w:rPr>
                <w:rFonts w:ascii="Arial" w:hAnsi="Arial" w:cs="Arial"/>
                <w:color w:val="000000"/>
                <w:sz w:val="20"/>
                <w:szCs w:val="20"/>
                <w:lang w:val="vi-VN"/>
              </w:rPr>
            </w:pPr>
            <w:r w:rsidRPr="006623DE">
              <w:rPr>
                <w:rFonts w:ascii="Arial" w:hAnsi="Arial" w:cs="Arial"/>
                <w:color w:val="000000"/>
                <w:sz w:val="20"/>
                <w:szCs w:val="20"/>
                <w:lang w:val="vi-VN"/>
              </w:rPr>
              <w:t>BVL</w:t>
            </w: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F40FC" w14:textId="77777777" w:rsidR="003A783C" w:rsidRPr="006623DE" w:rsidRDefault="003A783C" w:rsidP="00A44732">
            <w:pPr>
              <w:spacing w:line="276" w:lineRule="auto"/>
              <w:jc w:val="center"/>
              <w:textAlignment w:val="center"/>
              <w:rPr>
                <w:rFonts w:ascii="Arial" w:hAnsi="Arial" w:cs="Arial"/>
                <w:color w:val="000000"/>
                <w:sz w:val="20"/>
                <w:szCs w:val="20"/>
              </w:rPr>
            </w:pPr>
            <w:r w:rsidRPr="006623DE">
              <w:rPr>
                <w:rFonts w:ascii="Arial" w:eastAsia="SimSun" w:hAnsi="Arial" w:cs="Arial"/>
                <w:color w:val="000000"/>
                <w:sz w:val="20"/>
                <w:szCs w:val="20"/>
                <w:lang w:eastAsia="zh-CN" w:bidi="ar"/>
              </w:rPr>
              <w:t>0.658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CE09C" w14:textId="77777777" w:rsidR="003A783C" w:rsidRPr="006623DE" w:rsidRDefault="003A783C" w:rsidP="00A44732">
            <w:pPr>
              <w:spacing w:line="276" w:lineRule="auto"/>
              <w:jc w:val="center"/>
              <w:textAlignment w:val="center"/>
              <w:rPr>
                <w:rFonts w:ascii="Arial" w:hAnsi="Arial" w:cs="Arial"/>
                <w:color w:val="000000"/>
                <w:sz w:val="20"/>
                <w:szCs w:val="20"/>
              </w:rPr>
            </w:pPr>
            <w:r w:rsidRPr="006623DE">
              <w:rPr>
                <w:rFonts w:ascii="Arial" w:eastAsia="SimSun" w:hAnsi="Arial" w:cs="Arial"/>
                <w:color w:val="000000"/>
                <w:sz w:val="20"/>
                <w:szCs w:val="20"/>
                <w:lang w:eastAsia="zh-CN" w:bidi="ar"/>
              </w:rPr>
              <w:t xml:space="preserve">0.811 </w:t>
            </w:r>
          </w:p>
        </w:tc>
      </w:tr>
      <w:tr w:rsidR="003A783C" w:rsidRPr="006623DE" w14:paraId="4B80DAA2" w14:textId="77777777" w:rsidTr="00216A25">
        <w:trPr>
          <w:trHeight w:val="290"/>
          <w:jc w:val="center"/>
        </w:trPr>
        <w:tc>
          <w:tcPr>
            <w:tcW w:w="23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13FE8" w14:textId="52A43AD5" w:rsidR="003A783C" w:rsidRPr="006623DE" w:rsidRDefault="00371E2F" w:rsidP="00A44732">
            <w:pPr>
              <w:spacing w:line="276" w:lineRule="auto"/>
              <w:jc w:val="center"/>
              <w:textAlignment w:val="center"/>
              <w:rPr>
                <w:rFonts w:ascii="Arial" w:hAnsi="Arial" w:cs="Arial"/>
                <w:color w:val="000000"/>
                <w:sz w:val="20"/>
                <w:szCs w:val="20"/>
                <w:lang w:val="vi-VN"/>
              </w:rPr>
            </w:pPr>
            <w:r w:rsidRPr="006623DE">
              <w:rPr>
                <w:rFonts w:ascii="Arial" w:hAnsi="Arial" w:cs="Arial"/>
                <w:color w:val="000000"/>
                <w:sz w:val="20"/>
                <w:szCs w:val="20"/>
                <w:lang w:val="vi-VN"/>
              </w:rPr>
              <w:t>OC</w:t>
            </w: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D5F41" w14:textId="77777777" w:rsidR="003A783C" w:rsidRPr="006623DE" w:rsidRDefault="003A783C" w:rsidP="00A44732">
            <w:pPr>
              <w:spacing w:line="276" w:lineRule="auto"/>
              <w:jc w:val="center"/>
              <w:textAlignment w:val="center"/>
              <w:rPr>
                <w:rFonts w:ascii="Arial" w:hAnsi="Arial" w:cs="Arial"/>
                <w:color w:val="000000"/>
                <w:sz w:val="20"/>
                <w:szCs w:val="20"/>
              </w:rPr>
            </w:pPr>
            <w:r w:rsidRPr="006623DE">
              <w:rPr>
                <w:rFonts w:ascii="Arial" w:eastAsia="SimSun" w:hAnsi="Arial" w:cs="Arial"/>
                <w:color w:val="000000"/>
                <w:sz w:val="20"/>
                <w:szCs w:val="20"/>
                <w:lang w:eastAsia="zh-CN" w:bidi="ar"/>
              </w:rPr>
              <w:t>0.765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C0E63" w14:textId="77777777" w:rsidR="003A783C" w:rsidRPr="006623DE" w:rsidRDefault="003A783C" w:rsidP="00A44732">
            <w:pPr>
              <w:spacing w:line="276" w:lineRule="auto"/>
              <w:jc w:val="center"/>
              <w:textAlignment w:val="center"/>
              <w:rPr>
                <w:rFonts w:ascii="Arial" w:hAnsi="Arial" w:cs="Arial"/>
                <w:color w:val="000000"/>
                <w:sz w:val="20"/>
                <w:szCs w:val="20"/>
              </w:rPr>
            </w:pPr>
            <w:r w:rsidRPr="006623DE">
              <w:rPr>
                <w:rFonts w:ascii="Arial" w:eastAsia="SimSun" w:hAnsi="Arial" w:cs="Arial"/>
                <w:color w:val="000000"/>
                <w:sz w:val="20"/>
                <w:szCs w:val="20"/>
                <w:lang w:eastAsia="zh-CN" w:bidi="ar"/>
              </w:rPr>
              <w:t xml:space="preserve">0.875 </w:t>
            </w:r>
          </w:p>
        </w:tc>
      </w:tr>
      <w:tr w:rsidR="003A783C" w:rsidRPr="006623DE" w14:paraId="37758E76" w14:textId="77777777" w:rsidTr="00216A25">
        <w:trPr>
          <w:trHeight w:val="290"/>
          <w:jc w:val="center"/>
        </w:trPr>
        <w:tc>
          <w:tcPr>
            <w:tcW w:w="23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05D8F" w14:textId="44EACA10" w:rsidR="003A783C" w:rsidRPr="006623DE" w:rsidRDefault="00371E2F" w:rsidP="00A44732">
            <w:pPr>
              <w:spacing w:line="276" w:lineRule="auto"/>
              <w:jc w:val="center"/>
              <w:textAlignment w:val="center"/>
              <w:rPr>
                <w:rFonts w:ascii="Arial" w:hAnsi="Arial" w:cs="Arial"/>
                <w:color w:val="000000"/>
                <w:sz w:val="20"/>
                <w:szCs w:val="20"/>
                <w:lang w:val="vi-VN"/>
              </w:rPr>
            </w:pPr>
            <w:r w:rsidRPr="006623DE">
              <w:rPr>
                <w:rFonts w:ascii="Arial" w:hAnsi="Arial" w:cs="Arial"/>
                <w:color w:val="000000"/>
                <w:sz w:val="20"/>
                <w:szCs w:val="20"/>
                <w:lang w:val="vi-VN"/>
              </w:rPr>
              <w:t>BU</w:t>
            </w: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1EF39" w14:textId="77777777" w:rsidR="003A783C" w:rsidRPr="006623DE" w:rsidRDefault="003A783C" w:rsidP="00A44732">
            <w:pPr>
              <w:spacing w:line="276" w:lineRule="auto"/>
              <w:jc w:val="center"/>
              <w:textAlignment w:val="center"/>
              <w:rPr>
                <w:rFonts w:ascii="Arial" w:hAnsi="Arial" w:cs="Arial"/>
                <w:color w:val="000000"/>
                <w:sz w:val="20"/>
                <w:szCs w:val="20"/>
              </w:rPr>
            </w:pPr>
            <w:r w:rsidRPr="006623DE">
              <w:rPr>
                <w:rFonts w:ascii="Arial" w:eastAsia="SimSun" w:hAnsi="Arial" w:cs="Arial"/>
                <w:color w:val="000000"/>
                <w:sz w:val="20"/>
                <w:szCs w:val="20"/>
                <w:lang w:eastAsia="zh-CN" w:bidi="ar"/>
              </w:rPr>
              <w:t>0.735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320FE" w14:textId="77777777" w:rsidR="003A783C" w:rsidRPr="006623DE" w:rsidRDefault="003A783C" w:rsidP="00A44732">
            <w:pPr>
              <w:spacing w:line="276" w:lineRule="auto"/>
              <w:jc w:val="center"/>
              <w:textAlignment w:val="center"/>
              <w:rPr>
                <w:rFonts w:ascii="Arial" w:hAnsi="Arial" w:cs="Arial"/>
                <w:color w:val="000000"/>
                <w:sz w:val="20"/>
                <w:szCs w:val="20"/>
              </w:rPr>
            </w:pPr>
            <w:r w:rsidRPr="006623DE">
              <w:rPr>
                <w:rFonts w:ascii="Arial" w:eastAsia="SimSun" w:hAnsi="Arial" w:cs="Arial"/>
                <w:color w:val="000000"/>
                <w:sz w:val="20"/>
                <w:szCs w:val="20"/>
                <w:lang w:eastAsia="zh-CN" w:bidi="ar"/>
              </w:rPr>
              <w:t xml:space="preserve">0.858 </w:t>
            </w:r>
          </w:p>
        </w:tc>
      </w:tr>
    </w:tbl>
    <w:p w14:paraId="7F73A1F4" w14:textId="77777777" w:rsidR="00371E2F" w:rsidRPr="006623DE" w:rsidRDefault="00371E2F" w:rsidP="00371E2F">
      <w:pPr>
        <w:spacing w:after="0" w:line="360" w:lineRule="auto"/>
        <w:jc w:val="center"/>
        <w:rPr>
          <w:rFonts w:ascii="Arial" w:hAnsi="Arial" w:cs="Arial"/>
          <w:sz w:val="20"/>
          <w:szCs w:val="20"/>
          <w:lang w:val="vi-VN"/>
        </w:rPr>
      </w:pPr>
      <w:r w:rsidRPr="006623DE">
        <w:rPr>
          <w:rFonts w:ascii="Arial" w:hAnsi="Arial" w:cs="Arial"/>
          <w:sz w:val="20"/>
          <w:szCs w:val="20"/>
          <w:lang w:val="vi-VN"/>
        </w:rPr>
        <w:t>Source: Analysis results from SmartPLS software</w:t>
      </w:r>
    </w:p>
    <w:p w14:paraId="0093BCA7" w14:textId="227A6340" w:rsidR="003A783C" w:rsidRPr="006623DE" w:rsidRDefault="006D7B4B" w:rsidP="00923121">
      <w:pPr>
        <w:spacing w:after="0" w:line="360" w:lineRule="auto"/>
        <w:jc w:val="both"/>
        <w:rPr>
          <w:rFonts w:ascii="Arial" w:hAnsi="Arial" w:cs="Arial"/>
          <w:sz w:val="20"/>
          <w:szCs w:val="20"/>
          <w:lang w:val="vi-VN"/>
        </w:rPr>
      </w:pPr>
      <w:r>
        <w:rPr>
          <w:rFonts w:ascii="Arial" w:hAnsi="Arial" w:cs="Arial"/>
          <w:sz w:val="20"/>
          <w:szCs w:val="20"/>
          <w:lang w:val="vi-VN"/>
        </w:rPr>
        <w:t xml:space="preserve">   </w:t>
      </w:r>
      <w:r w:rsidR="00923121" w:rsidRPr="006623DE">
        <w:rPr>
          <w:rFonts w:ascii="Arial" w:hAnsi="Arial" w:cs="Arial"/>
          <w:sz w:val="20"/>
          <w:szCs w:val="20"/>
          <w:lang w:val="vi-VN"/>
        </w:rPr>
        <w:t>The results of Table 4 show that all AVE indices are greater than 0.5. This result proves that the scales achieve convergent validity and explain over 50% of the variation in observed variables.</w:t>
      </w:r>
    </w:p>
    <w:p w14:paraId="5C9C6AFD" w14:textId="3812FA64" w:rsidR="00FD11AB" w:rsidRPr="006623DE" w:rsidRDefault="00FD11AB" w:rsidP="00923121">
      <w:pPr>
        <w:spacing w:after="0" w:line="360" w:lineRule="auto"/>
        <w:jc w:val="both"/>
        <w:rPr>
          <w:rFonts w:ascii="Arial" w:hAnsi="Arial" w:cs="Arial"/>
          <w:b/>
          <w:bCs/>
          <w:sz w:val="20"/>
          <w:szCs w:val="20"/>
          <w:lang w:val="vi-VN"/>
        </w:rPr>
      </w:pPr>
      <w:r w:rsidRPr="006623DE">
        <w:rPr>
          <w:rFonts w:ascii="Arial" w:hAnsi="Arial" w:cs="Arial"/>
          <w:b/>
          <w:bCs/>
          <w:sz w:val="20"/>
          <w:szCs w:val="20"/>
        </w:rPr>
        <w:t>4.4. Discriminant Validity</w:t>
      </w:r>
      <w:r w:rsidR="003460ED" w:rsidRPr="006623DE">
        <w:rPr>
          <w:rFonts w:ascii="Arial" w:hAnsi="Arial" w:cs="Arial"/>
          <w:b/>
          <w:bCs/>
          <w:sz w:val="20"/>
          <w:szCs w:val="20"/>
        </w:rPr>
        <w:t>:</w:t>
      </w:r>
      <w:r w:rsidRPr="006623DE">
        <w:rPr>
          <w:rFonts w:ascii="Arial" w:hAnsi="Arial" w:cs="Arial"/>
          <w:b/>
          <w:bCs/>
          <w:sz w:val="20"/>
          <w:szCs w:val="20"/>
          <w:lang w:val="vi-VN"/>
        </w:rPr>
        <w:t xml:space="preserve"> </w:t>
      </w:r>
    </w:p>
    <w:p w14:paraId="0B43D8AA" w14:textId="7BB61784" w:rsidR="005A3F42" w:rsidRPr="006623DE" w:rsidRDefault="005A3F42" w:rsidP="00923121">
      <w:pPr>
        <w:spacing w:after="0" w:line="360" w:lineRule="auto"/>
        <w:jc w:val="both"/>
        <w:rPr>
          <w:rFonts w:ascii="Arial" w:hAnsi="Arial" w:cs="Arial"/>
          <w:sz w:val="20"/>
          <w:szCs w:val="20"/>
          <w:lang w:val="vi-VN"/>
        </w:rPr>
      </w:pPr>
      <w:r w:rsidRPr="006623DE">
        <w:rPr>
          <w:rFonts w:ascii="Arial" w:hAnsi="Arial" w:cs="Arial"/>
          <w:sz w:val="20"/>
          <w:szCs w:val="20"/>
        </w:rPr>
        <w:t>Hair (2009)</w:t>
      </w:r>
      <w:r w:rsidR="00633B1B" w:rsidRPr="006623DE">
        <w:rPr>
          <w:rFonts w:ascii="Arial" w:hAnsi="Arial" w:cs="Arial"/>
          <w:sz w:val="20"/>
          <w:szCs w:val="20"/>
          <w:lang w:val="vi-VN"/>
        </w:rPr>
        <w:t>, Hock and Ringle (2010)</w:t>
      </w:r>
      <w:r w:rsidRPr="006623DE">
        <w:rPr>
          <w:rFonts w:ascii="Arial" w:hAnsi="Arial" w:cs="Arial"/>
          <w:sz w:val="20"/>
          <w:szCs w:val="20"/>
        </w:rPr>
        <w:t xml:space="preserve"> stated that discriminant validity between two latent variables is ensured when the HTMT index is less than 0.850. The results in Table 5 show that all HTMT indices meet the requirement, staying below the 0.850 threshold</w:t>
      </w:r>
      <w:r w:rsidR="00C65EA3" w:rsidRPr="006623DE">
        <w:rPr>
          <w:rFonts w:ascii="Arial" w:hAnsi="Arial" w:cs="Arial"/>
          <w:sz w:val="20"/>
          <w:szCs w:val="20"/>
          <w:lang w:val="vi-VN"/>
        </w:rPr>
        <w:t>:</w:t>
      </w:r>
    </w:p>
    <w:p w14:paraId="7AEE219A" w14:textId="43CE3850" w:rsidR="00C65EA3" w:rsidRPr="006623DE" w:rsidRDefault="00C65EA3" w:rsidP="003D4E29">
      <w:pPr>
        <w:spacing w:after="0" w:line="360" w:lineRule="auto"/>
        <w:jc w:val="center"/>
        <w:rPr>
          <w:rFonts w:ascii="Arial" w:hAnsi="Arial" w:cs="Arial"/>
          <w:b/>
          <w:bCs/>
          <w:sz w:val="20"/>
          <w:szCs w:val="20"/>
          <w:lang w:val="vi-VN"/>
        </w:rPr>
      </w:pPr>
      <w:r w:rsidRPr="006623DE">
        <w:rPr>
          <w:rFonts w:ascii="Arial" w:hAnsi="Arial" w:cs="Arial"/>
          <w:b/>
          <w:bCs/>
          <w:sz w:val="20"/>
          <w:szCs w:val="20"/>
          <w:lang w:val="vi-VN"/>
        </w:rPr>
        <w:t>Table 5. Results of HTMT index analysis</w:t>
      </w:r>
    </w:p>
    <w:tbl>
      <w:tblPr>
        <w:tblW w:w="7555" w:type="dxa"/>
        <w:jc w:val="center"/>
        <w:tblLayout w:type="fixed"/>
        <w:tblLook w:val="04A0" w:firstRow="1" w:lastRow="0" w:firstColumn="1" w:lastColumn="0" w:noHBand="0" w:noVBand="1"/>
      </w:tblPr>
      <w:tblGrid>
        <w:gridCol w:w="1459"/>
        <w:gridCol w:w="1511"/>
        <w:gridCol w:w="1525"/>
        <w:gridCol w:w="1530"/>
        <w:gridCol w:w="1530"/>
      </w:tblGrid>
      <w:tr w:rsidR="003D4E29" w:rsidRPr="006623DE" w14:paraId="4DED97C3" w14:textId="77777777" w:rsidTr="003D4E29">
        <w:trPr>
          <w:trHeight w:val="290"/>
          <w:jc w:val="center"/>
        </w:trPr>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DFC54" w14:textId="53A1D878" w:rsidR="003D4E29" w:rsidRPr="006623DE" w:rsidRDefault="003D4E29" w:rsidP="00A44732">
            <w:pPr>
              <w:spacing w:line="240" w:lineRule="auto"/>
              <w:jc w:val="center"/>
              <w:rPr>
                <w:rFonts w:ascii="Arial" w:hAnsi="Arial" w:cs="Arial"/>
                <w:b/>
                <w:bCs/>
                <w:color w:val="000000"/>
                <w:sz w:val="20"/>
                <w:szCs w:val="20"/>
                <w:lang w:val="vi-VN"/>
              </w:rPr>
            </w:pPr>
            <w:r w:rsidRPr="006623DE">
              <w:rPr>
                <w:rFonts w:ascii="Arial" w:hAnsi="Arial" w:cs="Arial"/>
                <w:b/>
                <w:bCs/>
                <w:color w:val="000000"/>
                <w:sz w:val="20"/>
                <w:szCs w:val="20"/>
                <w:lang w:val="vi-VN"/>
              </w:rPr>
              <w:t>Var</w:t>
            </w:r>
            <w:proofErr w:type="spellStart"/>
            <w:r w:rsidR="00377544" w:rsidRPr="006623DE">
              <w:rPr>
                <w:rFonts w:ascii="Arial" w:hAnsi="Arial" w:cs="Arial"/>
                <w:b/>
                <w:bCs/>
                <w:color w:val="000000"/>
                <w:sz w:val="20"/>
                <w:szCs w:val="20"/>
              </w:rPr>
              <w:t>i</w:t>
            </w:r>
            <w:proofErr w:type="spellEnd"/>
            <w:r w:rsidRPr="006623DE">
              <w:rPr>
                <w:rFonts w:ascii="Arial" w:hAnsi="Arial" w:cs="Arial"/>
                <w:b/>
                <w:bCs/>
                <w:color w:val="000000"/>
                <w:sz w:val="20"/>
                <w:szCs w:val="20"/>
                <w:lang w:val="vi-VN"/>
              </w:rPr>
              <w:t>a</w:t>
            </w:r>
            <w:r w:rsidRPr="006623DE">
              <w:rPr>
                <w:rFonts w:ascii="Arial" w:hAnsi="Arial" w:cs="Arial"/>
                <w:b/>
                <w:bCs/>
                <w:color w:val="000000"/>
                <w:sz w:val="20"/>
                <w:szCs w:val="20"/>
              </w:rPr>
              <w:t>bl</w:t>
            </w:r>
            <w:r w:rsidRPr="006623DE">
              <w:rPr>
                <w:rFonts w:ascii="Arial" w:hAnsi="Arial" w:cs="Arial"/>
                <w:b/>
                <w:bCs/>
                <w:color w:val="000000"/>
                <w:sz w:val="20"/>
                <w:szCs w:val="20"/>
                <w:lang w:val="vi-VN"/>
              </w:rPr>
              <w:t>es</w:t>
            </w:r>
          </w:p>
        </w:tc>
        <w:tc>
          <w:tcPr>
            <w:tcW w:w="15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5EC78" w14:textId="2D34C55F" w:rsidR="003D4E29" w:rsidRPr="006623DE" w:rsidRDefault="003D4E29" w:rsidP="00A44732">
            <w:pPr>
              <w:spacing w:line="240" w:lineRule="auto"/>
              <w:jc w:val="center"/>
              <w:textAlignment w:val="center"/>
              <w:rPr>
                <w:rFonts w:ascii="Arial" w:hAnsi="Arial" w:cs="Arial"/>
                <w:b/>
                <w:bCs/>
                <w:color w:val="000000"/>
                <w:sz w:val="20"/>
                <w:szCs w:val="20"/>
                <w:lang w:val="vi-VN"/>
              </w:rPr>
            </w:pPr>
            <w:r w:rsidRPr="006623DE">
              <w:rPr>
                <w:rFonts w:ascii="Arial" w:eastAsia="SimSun" w:hAnsi="Arial" w:cs="Arial"/>
                <w:b/>
                <w:bCs/>
                <w:color w:val="000000"/>
                <w:sz w:val="20"/>
                <w:szCs w:val="20"/>
                <w:lang w:val="vi-VN" w:eastAsia="zh-CN" w:bidi="ar"/>
              </w:rPr>
              <w:t>LEAD</w:t>
            </w:r>
          </w:p>
        </w:tc>
        <w:tc>
          <w:tcPr>
            <w:tcW w:w="1525"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30CD9C26" w14:textId="34BAAB7E" w:rsidR="003D4E29" w:rsidRPr="006623DE" w:rsidRDefault="003D4E29" w:rsidP="00A44732">
            <w:pPr>
              <w:spacing w:line="240" w:lineRule="auto"/>
              <w:jc w:val="center"/>
              <w:textAlignment w:val="center"/>
              <w:rPr>
                <w:rFonts w:ascii="Arial" w:hAnsi="Arial" w:cs="Arial"/>
                <w:b/>
                <w:bCs/>
                <w:color w:val="000000"/>
                <w:sz w:val="20"/>
                <w:szCs w:val="20"/>
                <w:lang w:val="vi-VN"/>
              </w:rPr>
            </w:pPr>
            <w:r w:rsidRPr="006623DE">
              <w:rPr>
                <w:rFonts w:ascii="Arial" w:eastAsia="SimSun" w:hAnsi="Arial" w:cs="Arial"/>
                <w:b/>
                <w:bCs/>
                <w:color w:val="000000"/>
                <w:sz w:val="20"/>
                <w:szCs w:val="20"/>
                <w:lang w:val="vi-VN" w:eastAsia="zh-CN" w:bidi="ar"/>
              </w:rPr>
              <w:t>BVL</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C2E80" w14:textId="33172324" w:rsidR="003D4E29" w:rsidRPr="006623DE" w:rsidRDefault="003D4E29" w:rsidP="00A44732">
            <w:pPr>
              <w:spacing w:line="240" w:lineRule="auto"/>
              <w:jc w:val="center"/>
              <w:textAlignment w:val="center"/>
              <w:rPr>
                <w:rFonts w:ascii="Arial" w:hAnsi="Arial" w:cs="Arial"/>
                <w:b/>
                <w:bCs/>
                <w:color w:val="000000"/>
                <w:sz w:val="20"/>
                <w:szCs w:val="20"/>
                <w:lang w:val="vi-VN"/>
              </w:rPr>
            </w:pPr>
            <w:r w:rsidRPr="006623DE">
              <w:rPr>
                <w:rFonts w:ascii="Arial" w:eastAsia="SimSun" w:hAnsi="Arial" w:cs="Arial"/>
                <w:b/>
                <w:bCs/>
                <w:color w:val="000000"/>
                <w:sz w:val="20"/>
                <w:szCs w:val="20"/>
                <w:lang w:val="vi-VN" w:eastAsia="zh-CN" w:bidi="ar"/>
              </w:rPr>
              <w:t>OC</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0D664" w14:textId="3B1F5658" w:rsidR="003D4E29" w:rsidRPr="006623DE" w:rsidRDefault="003D4E29" w:rsidP="00A44732">
            <w:pPr>
              <w:spacing w:line="240" w:lineRule="auto"/>
              <w:jc w:val="center"/>
              <w:textAlignment w:val="center"/>
              <w:rPr>
                <w:rFonts w:ascii="Arial" w:hAnsi="Arial" w:cs="Arial"/>
                <w:b/>
                <w:bCs/>
                <w:color w:val="000000"/>
                <w:sz w:val="20"/>
                <w:szCs w:val="20"/>
                <w:lang w:val="vi-VN"/>
              </w:rPr>
            </w:pPr>
            <w:r w:rsidRPr="006623DE">
              <w:rPr>
                <w:rFonts w:ascii="Arial" w:eastAsia="SimSun" w:hAnsi="Arial" w:cs="Arial"/>
                <w:b/>
                <w:bCs/>
                <w:color w:val="000000"/>
                <w:sz w:val="20"/>
                <w:szCs w:val="20"/>
                <w:lang w:val="vi-VN" w:eastAsia="zh-CN" w:bidi="ar"/>
              </w:rPr>
              <w:t>BU</w:t>
            </w:r>
          </w:p>
        </w:tc>
      </w:tr>
      <w:tr w:rsidR="003D4E29" w:rsidRPr="006623DE" w14:paraId="22A477DC" w14:textId="77777777" w:rsidTr="003D4E29">
        <w:trPr>
          <w:trHeight w:val="290"/>
          <w:jc w:val="center"/>
        </w:trPr>
        <w:tc>
          <w:tcPr>
            <w:tcW w:w="145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EE40116" w14:textId="6EA1C8DB" w:rsidR="003D4E29" w:rsidRPr="006623DE" w:rsidRDefault="003D4E29" w:rsidP="00A44732">
            <w:pPr>
              <w:spacing w:line="240" w:lineRule="auto"/>
              <w:jc w:val="center"/>
              <w:textAlignment w:val="center"/>
              <w:rPr>
                <w:rFonts w:ascii="Arial" w:hAnsi="Arial" w:cs="Arial"/>
                <w:color w:val="000000"/>
                <w:sz w:val="20"/>
                <w:szCs w:val="20"/>
                <w:lang w:val="vi-VN"/>
              </w:rPr>
            </w:pPr>
            <w:r w:rsidRPr="006623DE">
              <w:rPr>
                <w:rFonts w:ascii="Arial" w:eastAsia="SimSun" w:hAnsi="Arial" w:cs="Arial"/>
                <w:color w:val="000000"/>
                <w:sz w:val="20"/>
                <w:szCs w:val="20"/>
                <w:lang w:val="vi-VN" w:eastAsia="zh-CN" w:bidi="ar"/>
              </w:rPr>
              <w:t>LEAD</w:t>
            </w:r>
          </w:p>
        </w:tc>
        <w:tc>
          <w:tcPr>
            <w:tcW w:w="1511"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C0A7C62" w14:textId="77777777" w:rsidR="003D4E29" w:rsidRPr="006623DE" w:rsidRDefault="003D4E29" w:rsidP="00A44732">
            <w:pPr>
              <w:spacing w:line="240" w:lineRule="auto"/>
              <w:jc w:val="center"/>
              <w:rPr>
                <w:rFonts w:ascii="Arial" w:hAnsi="Arial" w:cs="Arial"/>
                <w:color w:val="000000"/>
                <w:sz w:val="20"/>
                <w:szCs w:val="20"/>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2C22C" w14:textId="77777777" w:rsidR="003D4E29" w:rsidRPr="006623DE" w:rsidRDefault="003D4E29" w:rsidP="00A44732">
            <w:pPr>
              <w:spacing w:line="240" w:lineRule="auto"/>
              <w:jc w:val="center"/>
              <w:rPr>
                <w:rFonts w:ascii="Arial" w:hAnsi="Arial" w:cs="Arial"/>
                <w:color w:val="000000"/>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FF484" w14:textId="77777777" w:rsidR="003D4E29" w:rsidRPr="006623DE" w:rsidRDefault="003D4E29" w:rsidP="00A44732">
            <w:pPr>
              <w:spacing w:line="240" w:lineRule="auto"/>
              <w:jc w:val="center"/>
              <w:rPr>
                <w:rFonts w:ascii="Arial" w:hAnsi="Arial" w:cs="Arial"/>
                <w:color w:val="000000"/>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44053" w14:textId="77777777" w:rsidR="003D4E29" w:rsidRPr="006623DE" w:rsidRDefault="003D4E29" w:rsidP="00A44732">
            <w:pPr>
              <w:spacing w:line="240" w:lineRule="auto"/>
              <w:jc w:val="center"/>
              <w:rPr>
                <w:rFonts w:ascii="Arial" w:hAnsi="Arial" w:cs="Arial"/>
                <w:color w:val="000000"/>
                <w:sz w:val="20"/>
                <w:szCs w:val="20"/>
              </w:rPr>
            </w:pPr>
          </w:p>
        </w:tc>
      </w:tr>
      <w:tr w:rsidR="003D4E29" w:rsidRPr="006623DE" w14:paraId="7D5B3CAB" w14:textId="77777777" w:rsidTr="003D4E29">
        <w:trPr>
          <w:trHeight w:val="290"/>
          <w:jc w:val="center"/>
        </w:trPr>
        <w:tc>
          <w:tcPr>
            <w:tcW w:w="14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7063F" w14:textId="04AF9D13" w:rsidR="003D4E29" w:rsidRPr="006623DE" w:rsidRDefault="003D4E29" w:rsidP="00A44732">
            <w:pPr>
              <w:spacing w:line="240" w:lineRule="auto"/>
              <w:jc w:val="center"/>
              <w:textAlignment w:val="center"/>
              <w:rPr>
                <w:rFonts w:ascii="Arial" w:hAnsi="Arial" w:cs="Arial"/>
                <w:color w:val="000000"/>
                <w:sz w:val="20"/>
                <w:szCs w:val="20"/>
                <w:lang w:val="vi-VN"/>
              </w:rPr>
            </w:pPr>
            <w:r w:rsidRPr="006623DE">
              <w:rPr>
                <w:rFonts w:ascii="Arial" w:eastAsia="SimSun" w:hAnsi="Arial" w:cs="Arial"/>
                <w:color w:val="000000"/>
                <w:sz w:val="20"/>
                <w:szCs w:val="20"/>
                <w:lang w:val="vi-VN" w:eastAsia="zh-CN" w:bidi="ar"/>
              </w:rPr>
              <w:t>BVL</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751C4" w14:textId="77777777" w:rsidR="003D4E29" w:rsidRPr="006623DE" w:rsidRDefault="003D4E29" w:rsidP="00A44732">
            <w:pPr>
              <w:spacing w:line="240" w:lineRule="auto"/>
              <w:jc w:val="center"/>
              <w:textAlignment w:val="center"/>
              <w:rPr>
                <w:rFonts w:ascii="Arial" w:hAnsi="Arial" w:cs="Arial"/>
                <w:color w:val="000000"/>
                <w:sz w:val="20"/>
                <w:szCs w:val="20"/>
              </w:rPr>
            </w:pPr>
            <w:r w:rsidRPr="006623DE">
              <w:rPr>
                <w:rFonts w:ascii="Arial" w:eastAsia="SimSun" w:hAnsi="Arial" w:cs="Arial"/>
                <w:color w:val="000000"/>
                <w:sz w:val="20"/>
                <w:szCs w:val="20"/>
                <w:lang w:eastAsia="zh-CN" w:bidi="ar"/>
              </w:rPr>
              <w:t>0.586</w:t>
            </w:r>
          </w:p>
        </w:tc>
        <w:tc>
          <w:tcPr>
            <w:tcW w:w="1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88C7F" w14:textId="77777777" w:rsidR="003D4E29" w:rsidRPr="006623DE" w:rsidRDefault="003D4E29" w:rsidP="00A44732">
            <w:pPr>
              <w:spacing w:line="240" w:lineRule="auto"/>
              <w:jc w:val="center"/>
              <w:rPr>
                <w:rFonts w:ascii="Arial" w:hAnsi="Arial" w:cs="Arial"/>
                <w:color w:val="000000"/>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291C4" w14:textId="77777777" w:rsidR="003D4E29" w:rsidRPr="006623DE" w:rsidRDefault="003D4E29" w:rsidP="00A44732">
            <w:pPr>
              <w:spacing w:line="240" w:lineRule="auto"/>
              <w:jc w:val="center"/>
              <w:rPr>
                <w:rFonts w:ascii="Arial" w:hAnsi="Arial" w:cs="Arial"/>
                <w:color w:val="000000"/>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EFDCC" w14:textId="77777777" w:rsidR="003D4E29" w:rsidRPr="006623DE" w:rsidRDefault="003D4E29" w:rsidP="00A44732">
            <w:pPr>
              <w:spacing w:line="240" w:lineRule="auto"/>
              <w:jc w:val="center"/>
              <w:rPr>
                <w:rFonts w:ascii="Arial" w:hAnsi="Arial" w:cs="Arial"/>
                <w:color w:val="000000"/>
                <w:sz w:val="20"/>
                <w:szCs w:val="20"/>
              </w:rPr>
            </w:pPr>
          </w:p>
        </w:tc>
      </w:tr>
      <w:tr w:rsidR="003D4E29" w:rsidRPr="006623DE" w14:paraId="2C0140AC" w14:textId="77777777" w:rsidTr="003D4E29">
        <w:trPr>
          <w:trHeight w:val="290"/>
          <w:jc w:val="center"/>
        </w:trPr>
        <w:tc>
          <w:tcPr>
            <w:tcW w:w="14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369DA" w14:textId="5A6A75A4" w:rsidR="003D4E29" w:rsidRPr="006623DE" w:rsidRDefault="003D4E29" w:rsidP="00A44732">
            <w:pPr>
              <w:spacing w:line="240" w:lineRule="auto"/>
              <w:jc w:val="center"/>
              <w:textAlignment w:val="center"/>
              <w:rPr>
                <w:rFonts w:ascii="Arial" w:hAnsi="Arial" w:cs="Arial"/>
                <w:color w:val="000000"/>
                <w:sz w:val="20"/>
                <w:szCs w:val="20"/>
                <w:lang w:val="vi-VN"/>
              </w:rPr>
            </w:pPr>
            <w:r w:rsidRPr="006623DE">
              <w:rPr>
                <w:rFonts w:ascii="Arial" w:eastAsia="SimSun" w:hAnsi="Arial" w:cs="Arial"/>
                <w:color w:val="000000"/>
                <w:sz w:val="20"/>
                <w:szCs w:val="20"/>
                <w:lang w:val="vi-VN" w:eastAsia="zh-CN" w:bidi="ar"/>
              </w:rPr>
              <w:t>OC</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0A23E" w14:textId="77777777" w:rsidR="003D4E29" w:rsidRPr="006623DE" w:rsidRDefault="003D4E29" w:rsidP="00A44732">
            <w:pPr>
              <w:spacing w:line="240" w:lineRule="auto"/>
              <w:jc w:val="center"/>
              <w:textAlignment w:val="center"/>
              <w:rPr>
                <w:rFonts w:ascii="Arial" w:hAnsi="Arial" w:cs="Arial"/>
                <w:color w:val="000000"/>
                <w:sz w:val="20"/>
                <w:szCs w:val="20"/>
              </w:rPr>
            </w:pPr>
            <w:r w:rsidRPr="006623DE">
              <w:rPr>
                <w:rFonts w:ascii="Arial" w:eastAsia="SimSun" w:hAnsi="Arial" w:cs="Arial"/>
                <w:color w:val="000000"/>
                <w:sz w:val="20"/>
                <w:szCs w:val="20"/>
                <w:lang w:eastAsia="zh-CN" w:bidi="ar"/>
              </w:rPr>
              <w:t>0.651</w:t>
            </w:r>
          </w:p>
        </w:tc>
        <w:tc>
          <w:tcPr>
            <w:tcW w:w="1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CFA64" w14:textId="77777777" w:rsidR="003D4E29" w:rsidRPr="006623DE" w:rsidRDefault="003D4E29" w:rsidP="00A44732">
            <w:pPr>
              <w:spacing w:line="240" w:lineRule="auto"/>
              <w:jc w:val="center"/>
              <w:textAlignment w:val="center"/>
              <w:rPr>
                <w:rFonts w:ascii="Arial" w:hAnsi="Arial" w:cs="Arial"/>
                <w:color w:val="000000"/>
                <w:sz w:val="20"/>
                <w:szCs w:val="20"/>
              </w:rPr>
            </w:pPr>
            <w:r w:rsidRPr="006623DE">
              <w:rPr>
                <w:rFonts w:ascii="Arial" w:eastAsia="SimSun" w:hAnsi="Arial" w:cs="Arial"/>
                <w:color w:val="000000"/>
                <w:sz w:val="20"/>
                <w:szCs w:val="20"/>
                <w:lang w:eastAsia="zh-CN" w:bidi="ar"/>
              </w:rPr>
              <w:t>0.599</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EAE51" w14:textId="77777777" w:rsidR="003D4E29" w:rsidRPr="006623DE" w:rsidRDefault="003D4E29" w:rsidP="00A44732">
            <w:pPr>
              <w:spacing w:line="240" w:lineRule="auto"/>
              <w:jc w:val="center"/>
              <w:rPr>
                <w:rFonts w:ascii="Arial" w:hAnsi="Arial" w:cs="Arial"/>
                <w:color w:val="000000"/>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200B0" w14:textId="77777777" w:rsidR="003D4E29" w:rsidRPr="006623DE" w:rsidRDefault="003D4E29" w:rsidP="00A44732">
            <w:pPr>
              <w:spacing w:line="240" w:lineRule="auto"/>
              <w:jc w:val="center"/>
              <w:rPr>
                <w:rFonts w:ascii="Arial" w:hAnsi="Arial" w:cs="Arial"/>
                <w:color w:val="000000"/>
                <w:sz w:val="20"/>
                <w:szCs w:val="20"/>
              </w:rPr>
            </w:pPr>
          </w:p>
        </w:tc>
      </w:tr>
      <w:tr w:rsidR="003D4E29" w:rsidRPr="006623DE" w14:paraId="4ABB6AE4" w14:textId="77777777" w:rsidTr="003D4E29">
        <w:trPr>
          <w:trHeight w:val="290"/>
          <w:jc w:val="center"/>
        </w:trPr>
        <w:tc>
          <w:tcPr>
            <w:tcW w:w="14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ACD11" w14:textId="0E33589E" w:rsidR="003D4E29" w:rsidRPr="006623DE" w:rsidRDefault="003D4E29" w:rsidP="00A44732">
            <w:pPr>
              <w:spacing w:line="240" w:lineRule="auto"/>
              <w:jc w:val="center"/>
              <w:textAlignment w:val="center"/>
              <w:rPr>
                <w:rFonts w:ascii="Arial" w:hAnsi="Arial" w:cs="Arial"/>
                <w:color w:val="000000"/>
                <w:sz w:val="20"/>
                <w:szCs w:val="20"/>
                <w:lang w:val="vi-VN"/>
              </w:rPr>
            </w:pPr>
            <w:r w:rsidRPr="006623DE">
              <w:rPr>
                <w:rFonts w:ascii="Arial" w:eastAsia="SimSun" w:hAnsi="Arial" w:cs="Arial"/>
                <w:color w:val="000000"/>
                <w:sz w:val="20"/>
                <w:szCs w:val="20"/>
                <w:lang w:val="vi-VN" w:eastAsia="zh-CN" w:bidi="ar"/>
              </w:rPr>
              <w:t>BU</w:t>
            </w:r>
          </w:p>
        </w:tc>
        <w:tc>
          <w:tcPr>
            <w:tcW w:w="15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9E30F" w14:textId="77777777" w:rsidR="003D4E29" w:rsidRPr="006623DE" w:rsidRDefault="003D4E29" w:rsidP="00A44732">
            <w:pPr>
              <w:spacing w:line="240" w:lineRule="auto"/>
              <w:jc w:val="center"/>
              <w:textAlignment w:val="center"/>
              <w:rPr>
                <w:rFonts w:ascii="Arial" w:hAnsi="Arial" w:cs="Arial"/>
                <w:color w:val="000000"/>
                <w:sz w:val="20"/>
                <w:szCs w:val="20"/>
              </w:rPr>
            </w:pPr>
            <w:r w:rsidRPr="006623DE">
              <w:rPr>
                <w:rFonts w:ascii="Arial" w:eastAsia="SimSun" w:hAnsi="Arial" w:cs="Arial"/>
                <w:color w:val="000000"/>
                <w:sz w:val="20"/>
                <w:szCs w:val="20"/>
                <w:lang w:eastAsia="zh-CN" w:bidi="ar"/>
              </w:rPr>
              <w:t>0.664</w:t>
            </w:r>
          </w:p>
        </w:tc>
        <w:tc>
          <w:tcPr>
            <w:tcW w:w="1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8A724" w14:textId="77777777" w:rsidR="003D4E29" w:rsidRPr="006623DE" w:rsidRDefault="003D4E29" w:rsidP="00A44732">
            <w:pPr>
              <w:spacing w:line="240" w:lineRule="auto"/>
              <w:jc w:val="center"/>
              <w:textAlignment w:val="center"/>
              <w:rPr>
                <w:rFonts w:ascii="Arial" w:hAnsi="Arial" w:cs="Arial"/>
                <w:color w:val="000000"/>
                <w:sz w:val="20"/>
                <w:szCs w:val="20"/>
              </w:rPr>
            </w:pPr>
            <w:r w:rsidRPr="006623DE">
              <w:rPr>
                <w:rFonts w:ascii="Arial" w:eastAsia="SimSun" w:hAnsi="Arial" w:cs="Arial"/>
                <w:color w:val="000000"/>
                <w:sz w:val="20"/>
                <w:szCs w:val="20"/>
                <w:lang w:eastAsia="zh-CN" w:bidi="ar"/>
              </w:rPr>
              <w:t>0.619</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0F11D" w14:textId="77777777" w:rsidR="003D4E29" w:rsidRPr="006623DE" w:rsidRDefault="003D4E29" w:rsidP="00A44732">
            <w:pPr>
              <w:spacing w:line="240" w:lineRule="auto"/>
              <w:jc w:val="center"/>
              <w:textAlignment w:val="center"/>
              <w:rPr>
                <w:rFonts w:ascii="Arial" w:hAnsi="Arial" w:cs="Arial"/>
                <w:color w:val="000000"/>
                <w:sz w:val="20"/>
                <w:szCs w:val="20"/>
              </w:rPr>
            </w:pPr>
            <w:r w:rsidRPr="006623DE">
              <w:rPr>
                <w:rFonts w:ascii="Arial" w:eastAsia="SimSun" w:hAnsi="Arial" w:cs="Arial"/>
                <w:color w:val="000000"/>
                <w:sz w:val="20"/>
                <w:szCs w:val="20"/>
                <w:lang w:eastAsia="zh-CN" w:bidi="ar"/>
              </w:rPr>
              <w:t>0.752</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EA1A0" w14:textId="77777777" w:rsidR="003D4E29" w:rsidRPr="006623DE" w:rsidRDefault="003D4E29" w:rsidP="00A44732">
            <w:pPr>
              <w:spacing w:line="240" w:lineRule="auto"/>
              <w:jc w:val="center"/>
              <w:rPr>
                <w:rFonts w:ascii="Arial" w:hAnsi="Arial" w:cs="Arial"/>
                <w:color w:val="000000"/>
                <w:sz w:val="20"/>
                <w:szCs w:val="20"/>
              </w:rPr>
            </w:pPr>
          </w:p>
        </w:tc>
      </w:tr>
    </w:tbl>
    <w:p w14:paraId="0F354382" w14:textId="77777777" w:rsidR="003D4E29" w:rsidRPr="006623DE" w:rsidRDefault="003D4E29" w:rsidP="003D4E29">
      <w:pPr>
        <w:spacing w:after="0" w:line="360" w:lineRule="auto"/>
        <w:jc w:val="center"/>
        <w:rPr>
          <w:rFonts w:ascii="Arial" w:hAnsi="Arial" w:cs="Arial"/>
          <w:sz w:val="20"/>
          <w:szCs w:val="20"/>
          <w:lang w:val="vi-VN"/>
        </w:rPr>
      </w:pPr>
      <w:r w:rsidRPr="006623DE">
        <w:rPr>
          <w:rFonts w:ascii="Arial" w:hAnsi="Arial" w:cs="Arial"/>
          <w:sz w:val="20"/>
          <w:szCs w:val="20"/>
          <w:lang w:val="vi-VN"/>
        </w:rPr>
        <w:t>Source: Analysis results from SmartPLS software</w:t>
      </w:r>
    </w:p>
    <w:p w14:paraId="643647D6" w14:textId="4E5ACB5E" w:rsidR="00772045" w:rsidRPr="006623DE" w:rsidRDefault="00E64FB3" w:rsidP="00772045">
      <w:pPr>
        <w:spacing w:after="0" w:line="360" w:lineRule="auto"/>
        <w:jc w:val="both"/>
        <w:rPr>
          <w:rFonts w:ascii="Arial" w:hAnsi="Arial" w:cs="Arial"/>
          <w:b/>
          <w:bCs/>
          <w:sz w:val="20"/>
          <w:szCs w:val="20"/>
        </w:rPr>
      </w:pPr>
      <w:r w:rsidRPr="006623DE">
        <w:rPr>
          <w:rFonts w:ascii="Arial" w:hAnsi="Arial" w:cs="Arial"/>
          <w:b/>
          <w:bCs/>
          <w:sz w:val="20"/>
          <w:szCs w:val="20"/>
          <w:lang w:val="vi-VN"/>
        </w:rPr>
        <w:t>4.5. Evaluation of coefficient (VIF) and forecast coefficient (Q</w:t>
      </w:r>
      <w:r w:rsidRPr="006623DE">
        <w:rPr>
          <w:rFonts w:ascii="Arial" w:hAnsi="Arial" w:cs="Arial"/>
          <w:b/>
          <w:bCs/>
          <w:sz w:val="20"/>
          <w:szCs w:val="20"/>
          <w:vertAlign w:val="superscript"/>
          <w:lang w:val="vi-VN"/>
        </w:rPr>
        <w:t>2</w:t>
      </w:r>
      <w:r w:rsidRPr="006623DE">
        <w:rPr>
          <w:rFonts w:ascii="Arial" w:hAnsi="Arial" w:cs="Arial"/>
          <w:b/>
          <w:bCs/>
          <w:sz w:val="20"/>
          <w:szCs w:val="20"/>
          <w:lang w:val="vi-VN"/>
        </w:rPr>
        <w:t>)</w:t>
      </w:r>
      <w:r w:rsidR="002B0B69" w:rsidRPr="006623DE">
        <w:rPr>
          <w:rFonts w:ascii="Arial" w:hAnsi="Arial" w:cs="Arial"/>
          <w:b/>
          <w:bCs/>
          <w:sz w:val="20"/>
          <w:szCs w:val="20"/>
        </w:rPr>
        <w:t>:</w:t>
      </w:r>
    </w:p>
    <w:p w14:paraId="6EFBF6FC" w14:textId="3ADB30B9" w:rsidR="00772045" w:rsidRPr="006623DE" w:rsidRDefault="00772045" w:rsidP="00F24532">
      <w:pPr>
        <w:spacing w:after="0" w:line="360" w:lineRule="auto"/>
        <w:jc w:val="both"/>
        <w:rPr>
          <w:rFonts w:ascii="Arial" w:hAnsi="Arial" w:cs="Arial"/>
          <w:sz w:val="20"/>
          <w:szCs w:val="20"/>
        </w:rPr>
      </w:pPr>
      <w:r w:rsidRPr="006623DE">
        <w:rPr>
          <w:rStyle w:val="Strong"/>
          <w:rFonts w:ascii="Arial" w:hAnsi="Arial" w:cs="Arial"/>
          <w:b w:val="0"/>
          <w:bCs w:val="0"/>
          <w:sz w:val="20"/>
          <w:szCs w:val="20"/>
        </w:rPr>
        <w:t>-</w:t>
      </w:r>
      <w:r w:rsidRPr="006623DE">
        <w:rPr>
          <w:rStyle w:val="Strong"/>
          <w:rFonts w:ascii="Arial" w:hAnsi="Arial" w:cs="Arial"/>
          <w:sz w:val="20"/>
          <w:szCs w:val="20"/>
        </w:rPr>
        <w:t xml:space="preserve"> </w:t>
      </w:r>
      <w:r w:rsidR="00CC473B" w:rsidRPr="006623DE">
        <w:rPr>
          <w:rStyle w:val="Strong"/>
          <w:rFonts w:ascii="Arial" w:hAnsi="Arial" w:cs="Arial"/>
          <w:sz w:val="20"/>
          <w:szCs w:val="20"/>
        </w:rPr>
        <w:t>Evaluation of the VIF coefficient</w:t>
      </w:r>
      <w:r w:rsidR="00CC473B" w:rsidRPr="006623DE">
        <w:rPr>
          <w:rFonts w:ascii="Arial" w:hAnsi="Arial" w:cs="Arial"/>
          <w:sz w:val="20"/>
          <w:szCs w:val="20"/>
        </w:rPr>
        <w:t>:</w:t>
      </w:r>
      <w:r w:rsidRPr="006623DE">
        <w:rPr>
          <w:rFonts w:ascii="Arial" w:hAnsi="Arial" w:cs="Arial"/>
          <w:sz w:val="20"/>
          <w:szCs w:val="20"/>
        </w:rPr>
        <w:t xml:space="preserve"> </w:t>
      </w:r>
      <w:r w:rsidR="00CC473B" w:rsidRPr="006623DE">
        <w:rPr>
          <w:rFonts w:ascii="Arial" w:hAnsi="Arial" w:cs="Arial"/>
          <w:sz w:val="20"/>
          <w:szCs w:val="20"/>
        </w:rPr>
        <w:t>(1) If VIF ≥ 5: The likelihood of multicollinearity is very high.</w:t>
      </w:r>
      <w:r w:rsidRPr="006623DE">
        <w:rPr>
          <w:rFonts w:ascii="Arial" w:hAnsi="Arial" w:cs="Arial"/>
          <w:sz w:val="20"/>
          <w:szCs w:val="20"/>
        </w:rPr>
        <w:t xml:space="preserve"> </w:t>
      </w:r>
      <w:r w:rsidR="00CC473B" w:rsidRPr="006623DE">
        <w:rPr>
          <w:rFonts w:ascii="Arial" w:hAnsi="Arial" w:cs="Arial"/>
          <w:sz w:val="20"/>
          <w:szCs w:val="20"/>
        </w:rPr>
        <w:t>(2) If 3 ≤ VIF ≤ 5: Multicollinearity may be present.</w:t>
      </w:r>
      <w:r w:rsidRPr="006623DE">
        <w:rPr>
          <w:rFonts w:ascii="Arial" w:hAnsi="Arial" w:cs="Arial"/>
          <w:sz w:val="20"/>
          <w:szCs w:val="20"/>
        </w:rPr>
        <w:t xml:space="preserve"> </w:t>
      </w:r>
      <w:r w:rsidR="00CC473B" w:rsidRPr="006623DE">
        <w:rPr>
          <w:rFonts w:ascii="Arial" w:hAnsi="Arial" w:cs="Arial"/>
          <w:sz w:val="20"/>
          <w:szCs w:val="20"/>
        </w:rPr>
        <w:t>(3) If VIF &lt; 3: Multicollinearity is unlikely to occur (Hair et al., 2009).</w:t>
      </w:r>
    </w:p>
    <w:p w14:paraId="2C61B9CF" w14:textId="24422D22" w:rsidR="00CC473B" w:rsidRPr="006623DE" w:rsidRDefault="00772045" w:rsidP="00906C7B">
      <w:pPr>
        <w:spacing w:after="0" w:line="360" w:lineRule="auto"/>
        <w:jc w:val="both"/>
        <w:rPr>
          <w:rFonts w:ascii="Arial" w:hAnsi="Arial" w:cs="Arial"/>
          <w:sz w:val="20"/>
          <w:szCs w:val="20"/>
        </w:rPr>
      </w:pPr>
      <w:r w:rsidRPr="006623DE">
        <w:rPr>
          <w:rStyle w:val="Strong"/>
          <w:rFonts w:ascii="Arial" w:hAnsi="Arial" w:cs="Arial"/>
          <w:b w:val="0"/>
          <w:bCs w:val="0"/>
          <w:sz w:val="20"/>
          <w:szCs w:val="20"/>
        </w:rPr>
        <w:t>-</w:t>
      </w:r>
      <w:r w:rsidRPr="006623DE">
        <w:rPr>
          <w:rStyle w:val="Strong"/>
          <w:rFonts w:ascii="Arial" w:hAnsi="Arial" w:cs="Arial"/>
          <w:sz w:val="20"/>
          <w:szCs w:val="20"/>
        </w:rPr>
        <w:t xml:space="preserve"> </w:t>
      </w:r>
      <w:r w:rsidR="00CC473B" w:rsidRPr="006623DE">
        <w:rPr>
          <w:rStyle w:val="Strong"/>
          <w:rFonts w:ascii="Arial" w:hAnsi="Arial" w:cs="Arial"/>
          <w:sz w:val="20"/>
          <w:szCs w:val="20"/>
        </w:rPr>
        <w:t>Q² coefficient for predictive relevance</w:t>
      </w:r>
      <w:r w:rsidR="00CC473B" w:rsidRPr="006623DE">
        <w:rPr>
          <w:rFonts w:ascii="Arial" w:hAnsi="Arial" w:cs="Arial"/>
          <w:sz w:val="20"/>
          <w:szCs w:val="20"/>
        </w:rPr>
        <w:t>:</w:t>
      </w:r>
      <w:r w:rsidRPr="006623DE">
        <w:rPr>
          <w:rFonts w:ascii="Arial" w:hAnsi="Arial" w:cs="Arial"/>
          <w:sz w:val="20"/>
          <w:szCs w:val="20"/>
        </w:rPr>
        <w:t xml:space="preserve"> </w:t>
      </w:r>
      <w:r w:rsidR="00CC473B" w:rsidRPr="006623DE">
        <w:rPr>
          <w:rFonts w:ascii="Arial" w:hAnsi="Arial" w:cs="Arial"/>
          <w:sz w:val="20"/>
          <w:szCs w:val="20"/>
        </w:rPr>
        <w:t>The Q² value represents the predictive power of independent variables on the dependent variable. Hair et al. (2009) proposed the following levels of predictive accuracy for the model:</w:t>
      </w:r>
      <w:r w:rsidRPr="006623DE">
        <w:rPr>
          <w:rFonts w:ascii="Arial" w:hAnsi="Arial" w:cs="Arial"/>
          <w:sz w:val="20"/>
          <w:szCs w:val="20"/>
        </w:rPr>
        <w:t xml:space="preserve"> </w:t>
      </w:r>
      <w:r w:rsidR="00CC473B" w:rsidRPr="006623DE">
        <w:rPr>
          <w:rFonts w:ascii="Arial" w:hAnsi="Arial" w:cs="Arial"/>
          <w:sz w:val="20"/>
          <w:szCs w:val="20"/>
        </w:rPr>
        <w:t>(1) If 0 &lt; Q² &lt; 0.25: Low predictive accuracy.</w:t>
      </w:r>
      <w:r w:rsidRPr="006623DE">
        <w:rPr>
          <w:rFonts w:ascii="Arial" w:hAnsi="Arial" w:cs="Arial"/>
          <w:sz w:val="20"/>
          <w:szCs w:val="20"/>
        </w:rPr>
        <w:t xml:space="preserve"> </w:t>
      </w:r>
      <w:r w:rsidR="00CC473B" w:rsidRPr="006623DE">
        <w:rPr>
          <w:rFonts w:ascii="Arial" w:hAnsi="Arial" w:cs="Arial"/>
          <w:sz w:val="20"/>
          <w:szCs w:val="20"/>
        </w:rPr>
        <w:t>(2) If 0.25 ≤ Q² ≤ 0.5: Moderate predictive accuracy.</w:t>
      </w:r>
      <w:r w:rsidRPr="006623DE">
        <w:rPr>
          <w:rFonts w:ascii="Arial" w:hAnsi="Arial" w:cs="Arial"/>
          <w:sz w:val="20"/>
          <w:szCs w:val="20"/>
        </w:rPr>
        <w:t xml:space="preserve"> </w:t>
      </w:r>
      <w:r w:rsidR="00CC473B" w:rsidRPr="006623DE">
        <w:rPr>
          <w:rFonts w:ascii="Arial" w:hAnsi="Arial" w:cs="Arial"/>
          <w:sz w:val="20"/>
          <w:szCs w:val="20"/>
        </w:rPr>
        <w:t>(3) If Q² &gt; 0.5: High predictive accuracy.</w:t>
      </w:r>
    </w:p>
    <w:p w14:paraId="698CB76B" w14:textId="127F921F" w:rsidR="00340952" w:rsidRPr="006623DE" w:rsidRDefault="00340952" w:rsidP="00C1255A">
      <w:pPr>
        <w:spacing w:after="0" w:line="360" w:lineRule="auto"/>
        <w:jc w:val="center"/>
        <w:rPr>
          <w:rFonts w:ascii="Arial" w:hAnsi="Arial" w:cs="Arial"/>
          <w:b/>
          <w:bCs/>
          <w:sz w:val="20"/>
          <w:szCs w:val="20"/>
          <w:lang w:val="vi-VN"/>
        </w:rPr>
      </w:pPr>
      <w:r w:rsidRPr="006623DE">
        <w:rPr>
          <w:rFonts w:ascii="Arial" w:hAnsi="Arial" w:cs="Arial"/>
          <w:b/>
          <w:bCs/>
          <w:sz w:val="20"/>
          <w:szCs w:val="20"/>
          <w:lang w:val="vi-VN"/>
        </w:rPr>
        <w:t>Table 6. Results of VIF and Q</w:t>
      </w:r>
      <w:r w:rsidRPr="006623DE">
        <w:rPr>
          <w:rFonts w:ascii="Arial" w:hAnsi="Arial" w:cs="Arial"/>
          <w:b/>
          <w:bCs/>
          <w:sz w:val="20"/>
          <w:szCs w:val="20"/>
          <w:vertAlign w:val="superscript"/>
          <w:lang w:val="vi-VN"/>
        </w:rPr>
        <w:t>2</w:t>
      </w:r>
      <w:r w:rsidRPr="006623DE">
        <w:rPr>
          <w:rFonts w:ascii="Arial" w:hAnsi="Arial" w:cs="Arial"/>
          <w:b/>
          <w:bCs/>
          <w:sz w:val="20"/>
          <w:szCs w:val="20"/>
          <w:lang w:val="vi-VN"/>
        </w:rPr>
        <w:t xml:space="preserve"> analysis</w:t>
      </w:r>
    </w:p>
    <w:tbl>
      <w:tblPr>
        <w:tblStyle w:val="TableGrid"/>
        <w:tblW w:w="0" w:type="auto"/>
        <w:jc w:val="center"/>
        <w:tblLook w:val="04A0" w:firstRow="1" w:lastRow="0" w:firstColumn="1" w:lastColumn="0" w:noHBand="0" w:noVBand="1"/>
      </w:tblPr>
      <w:tblGrid>
        <w:gridCol w:w="1440"/>
        <w:gridCol w:w="1350"/>
        <w:gridCol w:w="1440"/>
        <w:gridCol w:w="3325"/>
      </w:tblGrid>
      <w:tr w:rsidR="004402B3" w:rsidRPr="006623DE" w14:paraId="4C067374" w14:textId="77777777" w:rsidTr="00C1255A">
        <w:trPr>
          <w:jc w:val="center"/>
        </w:trPr>
        <w:tc>
          <w:tcPr>
            <w:tcW w:w="1440" w:type="dxa"/>
          </w:tcPr>
          <w:p w14:paraId="0CA419A8" w14:textId="7D93B0DF" w:rsidR="004402B3" w:rsidRPr="006623DE" w:rsidRDefault="00377544" w:rsidP="00640EC5">
            <w:pPr>
              <w:jc w:val="center"/>
              <w:rPr>
                <w:rFonts w:ascii="Arial" w:hAnsi="Arial" w:cs="Arial"/>
                <w:b/>
                <w:bCs/>
                <w:color w:val="000000" w:themeColor="text1"/>
                <w:sz w:val="20"/>
                <w:szCs w:val="20"/>
                <w:lang w:val="vi-VN"/>
              </w:rPr>
            </w:pPr>
            <w:r w:rsidRPr="006623DE">
              <w:rPr>
                <w:rFonts w:ascii="Arial" w:hAnsi="Arial" w:cs="Arial"/>
                <w:b/>
                <w:bCs/>
                <w:color w:val="000000"/>
                <w:sz w:val="20"/>
                <w:szCs w:val="20"/>
                <w:lang w:val="vi-VN"/>
              </w:rPr>
              <w:t>Var</w:t>
            </w:r>
            <w:proofErr w:type="spellStart"/>
            <w:r w:rsidRPr="006623DE">
              <w:rPr>
                <w:rFonts w:ascii="Arial" w:hAnsi="Arial" w:cs="Arial"/>
                <w:b/>
                <w:bCs/>
                <w:color w:val="000000"/>
                <w:sz w:val="20"/>
                <w:szCs w:val="20"/>
              </w:rPr>
              <w:t>i</w:t>
            </w:r>
            <w:proofErr w:type="spellEnd"/>
            <w:r w:rsidRPr="006623DE">
              <w:rPr>
                <w:rFonts w:ascii="Arial" w:hAnsi="Arial" w:cs="Arial"/>
                <w:b/>
                <w:bCs/>
                <w:color w:val="000000"/>
                <w:sz w:val="20"/>
                <w:szCs w:val="20"/>
                <w:lang w:val="vi-VN"/>
              </w:rPr>
              <w:t>a</w:t>
            </w:r>
            <w:r w:rsidRPr="006623DE">
              <w:rPr>
                <w:rFonts w:ascii="Arial" w:hAnsi="Arial" w:cs="Arial"/>
                <w:b/>
                <w:bCs/>
                <w:color w:val="000000"/>
                <w:sz w:val="20"/>
                <w:szCs w:val="20"/>
              </w:rPr>
              <w:t>bl</w:t>
            </w:r>
            <w:r w:rsidRPr="006623DE">
              <w:rPr>
                <w:rFonts w:ascii="Arial" w:hAnsi="Arial" w:cs="Arial"/>
                <w:b/>
                <w:bCs/>
                <w:color w:val="000000"/>
                <w:sz w:val="20"/>
                <w:szCs w:val="20"/>
                <w:lang w:val="vi-VN"/>
              </w:rPr>
              <w:t>es</w:t>
            </w:r>
          </w:p>
        </w:tc>
        <w:tc>
          <w:tcPr>
            <w:tcW w:w="1350" w:type="dxa"/>
          </w:tcPr>
          <w:p w14:paraId="0E78E853" w14:textId="77777777" w:rsidR="004402B3" w:rsidRPr="006623DE" w:rsidRDefault="004402B3" w:rsidP="00640EC5">
            <w:pPr>
              <w:jc w:val="center"/>
              <w:rPr>
                <w:rFonts w:ascii="Arial" w:hAnsi="Arial" w:cs="Arial"/>
                <w:color w:val="000000" w:themeColor="text1"/>
                <w:sz w:val="20"/>
                <w:szCs w:val="20"/>
                <w:lang w:val="vi-VN"/>
              </w:rPr>
            </w:pPr>
            <w:r w:rsidRPr="006623DE">
              <w:rPr>
                <w:rFonts w:ascii="Arial" w:hAnsi="Arial" w:cs="Arial"/>
                <w:b/>
                <w:bCs/>
                <w:color w:val="000000" w:themeColor="text1"/>
                <w:sz w:val="20"/>
                <w:szCs w:val="20"/>
                <w:lang w:val="vi-VN"/>
              </w:rPr>
              <w:t>VIF</w:t>
            </w:r>
          </w:p>
        </w:tc>
        <w:tc>
          <w:tcPr>
            <w:tcW w:w="1440" w:type="dxa"/>
          </w:tcPr>
          <w:p w14:paraId="4F7564A9" w14:textId="77777777" w:rsidR="004402B3" w:rsidRPr="006623DE" w:rsidRDefault="004402B3" w:rsidP="00640EC5">
            <w:pPr>
              <w:jc w:val="center"/>
              <w:rPr>
                <w:rFonts w:ascii="Arial" w:hAnsi="Arial" w:cs="Arial"/>
                <w:color w:val="000000" w:themeColor="text1"/>
                <w:sz w:val="20"/>
                <w:szCs w:val="20"/>
                <w:lang w:val="vi-VN"/>
              </w:rPr>
            </w:pPr>
            <w:r w:rsidRPr="006623DE">
              <w:rPr>
                <w:rFonts w:ascii="Arial" w:hAnsi="Arial" w:cs="Arial"/>
                <w:b/>
                <w:bCs/>
                <w:color w:val="000000" w:themeColor="text1"/>
                <w:sz w:val="20"/>
                <w:szCs w:val="20"/>
                <w:lang w:val="vi-VN"/>
              </w:rPr>
              <w:t>Q</w:t>
            </w:r>
            <w:r w:rsidRPr="006623DE">
              <w:rPr>
                <w:rFonts w:ascii="Arial" w:hAnsi="Arial" w:cs="Arial"/>
                <w:b/>
                <w:bCs/>
                <w:color w:val="000000" w:themeColor="text1"/>
                <w:sz w:val="20"/>
                <w:szCs w:val="20"/>
                <w:vertAlign w:val="superscript"/>
                <w:lang w:val="vi-VN"/>
              </w:rPr>
              <w:t>2</w:t>
            </w:r>
          </w:p>
        </w:tc>
        <w:tc>
          <w:tcPr>
            <w:tcW w:w="3325" w:type="dxa"/>
          </w:tcPr>
          <w:p w14:paraId="65A37D2F" w14:textId="0E437ADF" w:rsidR="004402B3" w:rsidRPr="006623DE" w:rsidRDefault="007B3893" w:rsidP="00640EC5">
            <w:pPr>
              <w:jc w:val="center"/>
              <w:rPr>
                <w:rFonts w:ascii="Arial" w:hAnsi="Arial" w:cs="Arial"/>
                <w:b/>
                <w:bCs/>
                <w:color w:val="000000" w:themeColor="text1"/>
                <w:sz w:val="20"/>
                <w:szCs w:val="20"/>
                <w:lang w:val="vi-VN"/>
              </w:rPr>
            </w:pPr>
            <w:r w:rsidRPr="006623DE">
              <w:rPr>
                <w:rFonts w:ascii="Arial" w:hAnsi="Arial" w:cs="Arial"/>
                <w:b/>
                <w:bCs/>
                <w:color w:val="000000" w:themeColor="text1"/>
                <w:sz w:val="20"/>
                <w:szCs w:val="20"/>
                <w:lang w:val="vi-VN"/>
              </w:rPr>
              <w:t>Conclude</w:t>
            </w:r>
          </w:p>
        </w:tc>
      </w:tr>
      <w:tr w:rsidR="004402B3" w:rsidRPr="006623DE" w14:paraId="09ECD17C" w14:textId="77777777" w:rsidTr="00C1255A">
        <w:trPr>
          <w:jc w:val="center"/>
        </w:trPr>
        <w:tc>
          <w:tcPr>
            <w:tcW w:w="1440" w:type="dxa"/>
          </w:tcPr>
          <w:p w14:paraId="2E87FAE4" w14:textId="0B919377" w:rsidR="004402B3" w:rsidRPr="006623DE" w:rsidRDefault="000A3B8A" w:rsidP="00640EC5">
            <w:pPr>
              <w:jc w:val="center"/>
              <w:rPr>
                <w:rFonts w:ascii="Arial" w:hAnsi="Arial" w:cs="Arial"/>
                <w:color w:val="000000" w:themeColor="text1"/>
                <w:sz w:val="20"/>
                <w:szCs w:val="20"/>
              </w:rPr>
            </w:pPr>
            <w:r w:rsidRPr="006623DE">
              <w:rPr>
                <w:rFonts w:ascii="Arial" w:hAnsi="Arial" w:cs="Arial"/>
                <w:color w:val="000000" w:themeColor="text1"/>
                <w:sz w:val="20"/>
                <w:szCs w:val="20"/>
              </w:rPr>
              <w:t>LEAD</w:t>
            </w:r>
          </w:p>
        </w:tc>
        <w:tc>
          <w:tcPr>
            <w:tcW w:w="1350" w:type="dxa"/>
          </w:tcPr>
          <w:p w14:paraId="31B0B6D3" w14:textId="77777777" w:rsidR="004402B3" w:rsidRPr="006623DE" w:rsidRDefault="004402B3" w:rsidP="00640EC5">
            <w:pPr>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2,270</w:t>
            </w:r>
          </w:p>
        </w:tc>
        <w:tc>
          <w:tcPr>
            <w:tcW w:w="1440" w:type="dxa"/>
          </w:tcPr>
          <w:p w14:paraId="636286C1" w14:textId="77777777" w:rsidR="004402B3" w:rsidRPr="006623DE" w:rsidRDefault="004402B3" w:rsidP="00640EC5">
            <w:pPr>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0,015</w:t>
            </w:r>
          </w:p>
        </w:tc>
        <w:tc>
          <w:tcPr>
            <w:tcW w:w="3325" w:type="dxa"/>
          </w:tcPr>
          <w:p w14:paraId="379DF718" w14:textId="77777777" w:rsidR="00B9363D" w:rsidRPr="006623DE" w:rsidRDefault="00B9363D" w:rsidP="00B9363D">
            <w:pPr>
              <w:jc w:val="both"/>
              <w:rPr>
                <w:rFonts w:ascii="Arial" w:hAnsi="Arial" w:cs="Arial"/>
                <w:color w:val="000000" w:themeColor="text1"/>
                <w:sz w:val="20"/>
                <w:szCs w:val="20"/>
                <w:lang w:val="vi-VN"/>
              </w:rPr>
            </w:pPr>
            <w:r w:rsidRPr="006623DE">
              <w:rPr>
                <w:rFonts w:ascii="Arial" w:hAnsi="Arial" w:cs="Arial"/>
                <w:color w:val="000000" w:themeColor="text1"/>
                <w:sz w:val="20"/>
                <w:szCs w:val="20"/>
                <w:lang w:val="vi-VN"/>
              </w:rPr>
              <w:t>No multicollinearity</w:t>
            </w:r>
          </w:p>
          <w:p w14:paraId="6F96DEC3" w14:textId="421D307B" w:rsidR="004402B3" w:rsidRPr="006623DE" w:rsidRDefault="00B9363D" w:rsidP="00B9363D">
            <w:pPr>
              <w:jc w:val="both"/>
              <w:rPr>
                <w:rFonts w:ascii="Arial" w:hAnsi="Arial" w:cs="Arial"/>
                <w:color w:val="000000" w:themeColor="text1"/>
                <w:sz w:val="20"/>
                <w:szCs w:val="20"/>
                <w:lang w:val="vi-VN"/>
              </w:rPr>
            </w:pPr>
            <w:r w:rsidRPr="006623DE">
              <w:rPr>
                <w:rFonts w:ascii="Arial" w:hAnsi="Arial" w:cs="Arial"/>
                <w:color w:val="000000" w:themeColor="text1"/>
                <w:sz w:val="20"/>
                <w:szCs w:val="20"/>
                <w:lang w:val="vi-VN"/>
              </w:rPr>
              <w:t>Low predictive accuracy</w:t>
            </w:r>
            <w:r w:rsidR="004402B3" w:rsidRPr="006623DE">
              <w:rPr>
                <w:rFonts w:ascii="Arial" w:hAnsi="Arial" w:cs="Arial"/>
                <w:color w:val="000000" w:themeColor="text1"/>
                <w:sz w:val="20"/>
                <w:szCs w:val="20"/>
                <w:lang w:val="vi-VN"/>
              </w:rPr>
              <w:t xml:space="preserve"> </w:t>
            </w:r>
          </w:p>
        </w:tc>
      </w:tr>
      <w:tr w:rsidR="004402B3" w:rsidRPr="006623DE" w14:paraId="49056A2D" w14:textId="77777777" w:rsidTr="00C1255A">
        <w:trPr>
          <w:jc w:val="center"/>
        </w:trPr>
        <w:tc>
          <w:tcPr>
            <w:tcW w:w="1440" w:type="dxa"/>
          </w:tcPr>
          <w:p w14:paraId="5D2D3239" w14:textId="7F660686" w:rsidR="004402B3" w:rsidRPr="006623DE" w:rsidRDefault="000A3B8A" w:rsidP="00640EC5">
            <w:pPr>
              <w:jc w:val="center"/>
              <w:rPr>
                <w:rFonts w:ascii="Arial" w:hAnsi="Arial" w:cs="Arial"/>
                <w:color w:val="000000" w:themeColor="text1"/>
                <w:sz w:val="20"/>
                <w:szCs w:val="20"/>
              </w:rPr>
            </w:pPr>
            <w:r w:rsidRPr="006623DE">
              <w:rPr>
                <w:rFonts w:ascii="Arial" w:hAnsi="Arial" w:cs="Arial"/>
                <w:color w:val="000000" w:themeColor="text1"/>
                <w:sz w:val="20"/>
                <w:szCs w:val="20"/>
              </w:rPr>
              <w:t>BVL</w:t>
            </w:r>
          </w:p>
        </w:tc>
        <w:tc>
          <w:tcPr>
            <w:tcW w:w="1350" w:type="dxa"/>
          </w:tcPr>
          <w:p w14:paraId="29ECAD0B" w14:textId="77777777" w:rsidR="004402B3" w:rsidRPr="006623DE" w:rsidRDefault="004402B3" w:rsidP="00640EC5">
            <w:pPr>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2,142</w:t>
            </w:r>
          </w:p>
        </w:tc>
        <w:tc>
          <w:tcPr>
            <w:tcW w:w="1440" w:type="dxa"/>
          </w:tcPr>
          <w:p w14:paraId="77B74DE4" w14:textId="77777777" w:rsidR="004402B3" w:rsidRPr="006623DE" w:rsidRDefault="004402B3" w:rsidP="00640EC5">
            <w:pPr>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0,208</w:t>
            </w:r>
          </w:p>
        </w:tc>
        <w:tc>
          <w:tcPr>
            <w:tcW w:w="3325" w:type="dxa"/>
          </w:tcPr>
          <w:p w14:paraId="4D9A57BE" w14:textId="77777777" w:rsidR="00B9363D" w:rsidRPr="006623DE" w:rsidRDefault="00B9363D" w:rsidP="00B9363D">
            <w:pPr>
              <w:jc w:val="both"/>
              <w:rPr>
                <w:rFonts w:ascii="Arial" w:hAnsi="Arial" w:cs="Arial"/>
                <w:color w:val="000000" w:themeColor="text1"/>
                <w:sz w:val="20"/>
                <w:szCs w:val="20"/>
                <w:lang w:val="vi-VN"/>
              </w:rPr>
            </w:pPr>
            <w:r w:rsidRPr="006623DE">
              <w:rPr>
                <w:rFonts w:ascii="Arial" w:hAnsi="Arial" w:cs="Arial"/>
                <w:color w:val="000000" w:themeColor="text1"/>
                <w:sz w:val="20"/>
                <w:szCs w:val="20"/>
                <w:lang w:val="vi-VN"/>
              </w:rPr>
              <w:t>No multicollinearity</w:t>
            </w:r>
          </w:p>
          <w:p w14:paraId="42E0E6DC" w14:textId="3524F13C" w:rsidR="004402B3" w:rsidRPr="006623DE" w:rsidRDefault="00B9363D" w:rsidP="00B9363D">
            <w:pPr>
              <w:jc w:val="both"/>
              <w:rPr>
                <w:rFonts w:ascii="Arial" w:hAnsi="Arial" w:cs="Arial"/>
                <w:color w:val="000000" w:themeColor="text1"/>
                <w:sz w:val="20"/>
                <w:szCs w:val="20"/>
                <w:lang w:val="vi-VN"/>
              </w:rPr>
            </w:pPr>
            <w:r w:rsidRPr="006623DE">
              <w:rPr>
                <w:rFonts w:ascii="Arial" w:hAnsi="Arial" w:cs="Arial"/>
                <w:color w:val="000000" w:themeColor="text1"/>
                <w:sz w:val="20"/>
                <w:szCs w:val="20"/>
                <w:lang w:val="vi-VN"/>
              </w:rPr>
              <w:t>Low predictive accuracy</w:t>
            </w:r>
          </w:p>
        </w:tc>
      </w:tr>
      <w:tr w:rsidR="004402B3" w:rsidRPr="006623DE" w14:paraId="23BB27C3" w14:textId="77777777" w:rsidTr="00C1255A">
        <w:trPr>
          <w:jc w:val="center"/>
        </w:trPr>
        <w:tc>
          <w:tcPr>
            <w:tcW w:w="1440" w:type="dxa"/>
          </w:tcPr>
          <w:p w14:paraId="6FC71B88" w14:textId="7486F60D" w:rsidR="004402B3" w:rsidRPr="006623DE" w:rsidRDefault="000A3B8A" w:rsidP="00640EC5">
            <w:pPr>
              <w:jc w:val="center"/>
              <w:rPr>
                <w:rFonts w:ascii="Arial" w:hAnsi="Arial" w:cs="Arial"/>
                <w:color w:val="000000" w:themeColor="text1"/>
                <w:sz w:val="20"/>
                <w:szCs w:val="20"/>
              </w:rPr>
            </w:pPr>
            <w:r w:rsidRPr="006623DE">
              <w:rPr>
                <w:rFonts w:ascii="Arial" w:hAnsi="Arial" w:cs="Arial"/>
                <w:color w:val="000000" w:themeColor="text1"/>
                <w:sz w:val="20"/>
                <w:szCs w:val="20"/>
              </w:rPr>
              <w:t>OC</w:t>
            </w:r>
          </w:p>
        </w:tc>
        <w:tc>
          <w:tcPr>
            <w:tcW w:w="1350" w:type="dxa"/>
          </w:tcPr>
          <w:p w14:paraId="447832C8" w14:textId="77777777" w:rsidR="004402B3" w:rsidRPr="006623DE" w:rsidRDefault="004402B3" w:rsidP="00640EC5">
            <w:pPr>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2,890</w:t>
            </w:r>
          </w:p>
        </w:tc>
        <w:tc>
          <w:tcPr>
            <w:tcW w:w="1440" w:type="dxa"/>
          </w:tcPr>
          <w:p w14:paraId="5240FE98" w14:textId="77777777" w:rsidR="004402B3" w:rsidRPr="006623DE" w:rsidRDefault="004402B3" w:rsidP="00640EC5">
            <w:pPr>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0,259</w:t>
            </w:r>
          </w:p>
        </w:tc>
        <w:tc>
          <w:tcPr>
            <w:tcW w:w="3325" w:type="dxa"/>
          </w:tcPr>
          <w:p w14:paraId="46C110AF" w14:textId="77777777" w:rsidR="00B9363D" w:rsidRPr="006623DE" w:rsidRDefault="00B9363D" w:rsidP="00B9363D">
            <w:pPr>
              <w:jc w:val="both"/>
              <w:rPr>
                <w:rFonts w:ascii="Arial" w:hAnsi="Arial" w:cs="Arial"/>
                <w:color w:val="000000" w:themeColor="text1"/>
                <w:sz w:val="20"/>
                <w:szCs w:val="20"/>
                <w:lang w:val="vi-VN"/>
              </w:rPr>
            </w:pPr>
            <w:r w:rsidRPr="006623DE">
              <w:rPr>
                <w:rFonts w:ascii="Arial" w:hAnsi="Arial" w:cs="Arial"/>
                <w:color w:val="000000" w:themeColor="text1"/>
                <w:sz w:val="20"/>
                <w:szCs w:val="20"/>
                <w:lang w:val="vi-VN"/>
              </w:rPr>
              <w:t>No multicollinearity</w:t>
            </w:r>
          </w:p>
          <w:p w14:paraId="52B92487" w14:textId="77A9E5E2" w:rsidR="004402B3" w:rsidRPr="006623DE" w:rsidRDefault="00B9363D" w:rsidP="00B9363D">
            <w:pPr>
              <w:jc w:val="both"/>
              <w:rPr>
                <w:rFonts w:ascii="Arial" w:hAnsi="Arial" w:cs="Arial"/>
                <w:color w:val="000000" w:themeColor="text1"/>
                <w:sz w:val="20"/>
                <w:szCs w:val="20"/>
                <w:lang w:val="vi-VN"/>
              </w:rPr>
            </w:pPr>
            <w:r w:rsidRPr="006623DE">
              <w:rPr>
                <w:rFonts w:ascii="Arial" w:hAnsi="Arial" w:cs="Arial"/>
                <w:color w:val="000000" w:themeColor="text1"/>
                <w:sz w:val="20"/>
                <w:szCs w:val="20"/>
                <w:lang w:val="vi-VN"/>
              </w:rPr>
              <w:t>Average predictive accuracy</w:t>
            </w:r>
          </w:p>
        </w:tc>
      </w:tr>
      <w:tr w:rsidR="004402B3" w:rsidRPr="006623DE" w14:paraId="59846413" w14:textId="77777777" w:rsidTr="00C1255A">
        <w:trPr>
          <w:jc w:val="center"/>
        </w:trPr>
        <w:tc>
          <w:tcPr>
            <w:tcW w:w="1440" w:type="dxa"/>
          </w:tcPr>
          <w:p w14:paraId="5DF119B6" w14:textId="1F833FE5" w:rsidR="004402B3" w:rsidRPr="006623DE" w:rsidRDefault="000A3B8A" w:rsidP="00640EC5">
            <w:pPr>
              <w:jc w:val="center"/>
              <w:rPr>
                <w:rFonts w:ascii="Arial" w:hAnsi="Arial" w:cs="Arial"/>
                <w:color w:val="000000" w:themeColor="text1"/>
                <w:sz w:val="20"/>
                <w:szCs w:val="20"/>
              </w:rPr>
            </w:pPr>
            <w:r w:rsidRPr="006623DE">
              <w:rPr>
                <w:rFonts w:ascii="Arial" w:hAnsi="Arial" w:cs="Arial"/>
                <w:color w:val="000000" w:themeColor="text1"/>
                <w:sz w:val="20"/>
                <w:szCs w:val="20"/>
              </w:rPr>
              <w:t>BU</w:t>
            </w:r>
          </w:p>
        </w:tc>
        <w:tc>
          <w:tcPr>
            <w:tcW w:w="1350" w:type="dxa"/>
          </w:tcPr>
          <w:p w14:paraId="05744BF7" w14:textId="77777777" w:rsidR="004402B3" w:rsidRPr="006623DE" w:rsidRDefault="004402B3" w:rsidP="00640EC5">
            <w:pPr>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2,281</w:t>
            </w:r>
          </w:p>
        </w:tc>
        <w:tc>
          <w:tcPr>
            <w:tcW w:w="1440" w:type="dxa"/>
          </w:tcPr>
          <w:p w14:paraId="5992E4F9" w14:textId="77777777" w:rsidR="004402B3" w:rsidRPr="006623DE" w:rsidRDefault="004402B3" w:rsidP="00640EC5">
            <w:pPr>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0,369</w:t>
            </w:r>
          </w:p>
        </w:tc>
        <w:tc>
          <w:tcPr>
            <w:tcW w:w="3325" w:type="dxa"/>
          </w:tcPr>
          <w:p w14:paraId="3D2C4641" w14:textId="77777777" w:rsidR="00B9363D" w:rsidRPr="006623DE" w:rsidRDefault="00B9363D" w:rsidP="00B9363D">
            <w:pPr>
              <w:jc w:val="both"/>
              <w:rPr>
                <w:rFonts w:ascii="Arial" w:hAnsi="Arial" w:cs="Arial"/>
                <w:color w:val="000000" w:themeColor="text1"/>
                <w:sz w:val="20"/>
                <w:szCs w:val="20"/>
                <w:lang w:val="vi-VN"/>
              </w:rPr>
            </w:pPr>
            <w:r w:rsidRPr="006623DE">
              <w:rPr>
                <w:rFonts w:ascii="Arial" w:hAnsi="Arial" w:cs="Arial"/>
                <w:color w:val="000000" w:themeColor="text1"/>
                <w:sz w:val="20"/>
                <w:szCs w:val="20"/>
                <w:lang w:val="vi-VN"/>
              </w:rPr>
              <w:t>No multicollinearity</w:t>
            </w:r>
          </w:p>
          <w:p w14:paraId="5144DAA2" w14:textId="668FFA10" w:rsidR="004402B3" w:rsidRPr="006623DE" w:rsidRDefault="00B9363D" w:rsidP="00B9363D">
            <w:pPr>
              <w:jc w:val="both"/>
              <w:rPr>
                <w:rFonts w:ascii="Arial" w:hAnsi="Arial" w:cs="Arial"/>
                <w:color w:val="000000" w:themeColor="text1"/>
                <w:sz w:val="20"/>
                <w:szCs w:val="20"/>
                <w:lang w:val="vi-VN"/>
              </w:rPr>
            </w:pPr>
            <w:r w:rsidRPr="006623DE">
              <w:rPr>
                <w:rFonts w:ascii="Arial" w:hAnsi="Arial" w:cs="Arial"/>
                <w:color w:val="000000" w:themeColor="text1"/>
                <w:sz w:val="20"/>
                <w:szCs w:val="20"/>
                <w:lang w:val="vi-VN"/>
              </w:rPr>
              <w:t>Average predictive accuracy</w:t>
            </w:r>
          </w:p>
        </w:tc>
      </w:tr>
    </w:tbl>
    <w:p w14:paraId="58CB2A26" w14:textId="77777777" w:rsidR="00B9363D" w:rsidRPr="006623DE" w:rsidRDefault="00B9363D" w:rsidP="00B9363D">
      <w:pPr>
        <w:spacing w:after="0" w:line="360" w:lineRule="auto"/>
        <w:jc w:val="center"/>
        <w:rPr>
          <w:rFonts w:ascii="Arial" w:hAnsi="Arial" w:cs="Arial"/>
          <w:sz w:val="20"/>
          <w:szCs w:val="20"/>
          <w:lang w:val="vi-VN"/>
        </w:rPr>
      </w:pPr>
      <w:r w:rsidRPr="006623DE">
        <w:rPr>
          <w:rFonts w:ascii="Arial" w:hAnsi="Arial" w:cs="Arial"/>
          <w:sz w:val="20"/>
          <w:szCs w:val="20"/>
          <w:lang w:val="vi-VN"/>
        </w:rPr>
        <w:lastRenderedPageBreak/>
        <w:t>Source: Analysis results from SmartPLS software</w:t>
      </w:r>
    </w:p>
    <w:p w14:paraId="0BC8E8FD" w14:textId="527ED24C" w:rsidR="004402B3" w:rsidRPr="006623DE" w:rsidRDefault="00086DDC" w:rsidP="00906C7B">
      <w:pPr>
        <w:spacing w:after="0" w:line="360" w:lineRule="auto"/>
        <w:jc w:val="both"/>
        <w:rPr>
          <w:rFonts w:ascii="Arial" w:hAnsi="Arial" w:cs="Arial"/>
          <w:b/>
          <w:bCs/>
          <w:sz w:val="20"/>
          <w:szCs w:val="20"/>
        </w:rPr>
      </w:pPr>
      <w:r w:rsidRPr="006623DE">
        <w:rPr>
          <w:rFonts w:ascii="Arial" w:hAnsi="Arial" w:cs="Arial"/>
          <w:b/>
          <w:bCs/>
          <w:sz w:val="20"/>
          <w:szCs w:val="20"/>
          <w:lang w:val="vi-VN"/>
        </w:rPr>
        <w:t>4.6. Assess the impact of relationships</w:t>
      </w:r>
      <w:r w:rsidR="005465BA" w:rsidRPr="006623DE">
        <w:rPr>
          <w:rFonts w:ascii="Arial" w:hAnsi="Arial" w:cs="Arial"/>
          <w:b/>
          <w:bCs/>
          <w:sz w:val="20"/>
          <w:szCs w:val="20"/>
        </w:rPr>
        <w:t>:</w:t>
      </w:r>
    </w:p>
    <w:p w14:paraId="5EDBE316" w14:textId="2D27FE61" w:rsidR="00C116CF" w:rsidRPr="006623DE" w:rsidRDefault="00C116CF" w:rsidP="00C710EF">
      <w:pPr>
        <w:spacing w:after="0" w:line="360" w:lineRule="auto"/>
        <w:jc w:val="center"/>
        <w:rPr>
          <w:rFonts w:ascii="Arial" w:hAnsi="Arial" w:cs="Arial"/>
          <w:b/>
          <w:bCs/>
          <w:sz w:val="20"/>
          <w:szCs w:val="20"/>
          <w:lang w:val="vi-VN"/>
        </w:rPr>
      </w:pPr>
      <w:r w:rsidRPr="006623DE">
        <w:rPr>
          <w:rFonts w:ascii="Arial" w:hAnsi="Arial" w:cs="Arial"/>
          <w:b/>
          <w:bCs/>
          <w:sz w:val="20"/>
          <w:szCs w:val="20"/>
          <w:lang w:val="vi-VN"/>
        </w:rPr>
        <w:t>Table 7. Relationship results</w:t>
      </w:r>
    </w:p>
    <w:tbl>
      <w:tblPr>
        <w:tblStyle w:val="TableGrid"/>
        <w:tblW w:w="0" w:type="auto"/>
        <w:jc w:val="center"/>
        <w:tblLook w:val="04A0" w:firstRow="1" w:lastRow="0" w:firstColumn="1" w:lastColumn="0" w:noHBand="0" w:noVBand="1"/>
      </w:tblPr>
      <w:tblGrid>
        <w:gridCol w:w="1440"/>
        <w:gridCol w:w="2340"/>
        <w:gridCol w:w="1440"/>
        <w:gridCol w:w="1170"/>
        <w:gridCol w:w="1615"/>
      </w:tblGrid>
      <w:tr w:rsidR="00D36C73" w:rsidRPr="006623DE" w14:paraId="22BB0EC5" w14:textId="77777777" w:rsidTr="00053C0E">
        <w:trPr>
          <w:jc w:val="center"/>
        </w:trPr>
        <w:tc>
          <w:tcPr>
            <w:tcW w:w="1440" w:type="dxa"/>
          </w:tcPr>
          <w:p w14:paraId="22CD5886" w14:textId="05FD3BC8" w:rsidR="00D36C73" w:rsidRPr="006623DE" w:rsidRDefault="00F95C69" w:rsidP="00640EC5">
            <w:pPr>
              <w:spacing w:line="276" w:lineRule="auto"/>
              <w:jc w:val="center"/>
              <w:rPr>
                <w:rFonts w:ascii="Arial" w:hAnsi="Arial" w:cs="Arial"/>
                <w:b/>
                <w:bCs/>
                <w:color w:val="000000" w:themeColor="text1"/>
                <w:sz w:val="20"/>
                <w:szCs w:val="20"/>
                <w:lang w:val="vi-VN"/>
              </w:rPr>
            </w:pPr>
            <w:r w:rsidRPr="006623DE">
              <w:rPr>
                <w:rFonts w:ascii="Arial" w:hAnsi="Arial" w:cs="Arial"/>
                <w:b/>
                <w:bCs/>
                <w:color w:val="000000" w:themeColor="text1"/>
                <w:sz w:val="20"/>
                <w:szCs w:val="20"/>
                <w:lang w:val="vi-VN"/>
              </w:rPr>
              <w:t>Hypothesis</w:t>
            </w:r>
          </w:p>
        </w:tc>
        <w:tc>
          <w:tcPr>
            <w:tcW w:w="2340" w:type="dxa"/>
          </w:tcPr>
          <w:p w14:paraId="3AC9C5ED" w14:textId="48E498DD" w:rsidR="00D36C73" w:rsidRPr="006623DE" w:rsidRDefault="00ED3425" w:rsidP="00640EC5">
            <w:pPr>
              <w:spacing w:line="276" w:lineRule="auto"/>
              <w:jc w:val="center"/>
              <w:rPr>
                <w:rFonts w:ascii="Arial" w:hAnsi="Arial" w:cs="Arial"/>
                <w:b/>
                <w:bCs/>
                <w:color w:val="000000" w:themeColor="text1"/>
                <w:sz w:val="20"/>
                <w:szCs w:val="20"/>
                <w:lang w:val="vi-VN"/>
              </w:rPr>
            </w:pPr>
            <w:r w:rsidRPr="006623DE">
              <w:rPr>
                <w:rFonts w:ascii="Arial" w:hAnsi="Arial" w:cs="Arial"/>
                <w:b/>
                <w:bCs/>
                <w:color w:val="000000" w:themeColor="text1"/>
                <w:sz w:val="20"/>
                <w:szCs w:val="20"/>
                <w:lang w:val="vi-VN"/>
              </w:rPr>
              <w:t>Relationship</w:t>
            </w:r>
          </w:p>
        </w:tc>
        <w:tc>
          <w:tcPr>
            <w:tcW w:w="1440" w:type="dxa"/>
          </w:tcPr>
          <w:p w14:paraId="69BAE63E" w14:textId="0E4730DA" w:rsidR="00D36C73" w:rsidRPr="006623DE" w:rsidRDefault="00D36C73" w:rsidP="00640EC5">
            <w:pPr>
              <w:spacing w:line="276" w:lineRule="auto"/>
              <w:jc w:val="center"/>
              <w:rPr>
                <w:rFonts w:ascii="Arial" w:hAnsi="Arial" w:cs="Arial"/>
                <w:b/>
                <w:bCs/>
                <w:color w:val="000000" w:themeColor="text1"/>
                <w:sz w:val="20"/>
                <w:szCs w:val="20"/>
                <w:lang w:val="vi-VN"/>
              </w:rPr>
            </w:pPr>
            <w:r w:rsidRPr="006623DE">
              <w:rPr>
                <w:rFonts w:ascii="Arial" w:hAnsi="Arial" w:cs="Arial"/>
                <w:b/>
                <w:bCs/>
                <w:color w:val="000000" w:themeColor="text1"/>
                <w:sz w:val="20"/>
                <w:szCs w:val="20"/>
                <w:lang w:val="vi-VN"/>
              </w:rPr>
              <w:t xml:space="preserve"> β</w:t>
            </w:r>
          </w:p>
        </w:tc>
        <w:tc>
          <w:tcPr>
            <w:tcW w:w="1170" w:type="dxa"/>
          </w:tcPr>
          <w:p w14:paraId="421FCDDD" w14:textId="77777777" w:rsidR="00D36C73" w:rsidRPr="006623DE" w:rsidRDefault="00D36C73" w:rsidP="00640EC5">
            <w:pPr>
              <w:spacing w:line="276" w:lineRule="auto"/>
              <w:jc w:val="center"/>
              <w:rPr>
                <w:rFonts w:ascii="Arial" w:hAnsi="Arial" w:cs="Arial"/>
                <w:b/>
                <w:bCs/>
                <w:color w:val="000000" w:themeColor="text1"/>
                <w:sz w:val="20"/>
                <w:szCs w:val="20"/>
                <w:lang w:val="vi-VN"/>
              </w:rPr>
            </w:pPr>
            <w:r w:rsidRPr="006623DE">
              <w:rPr>
                <w:rFonts w:ascii="Arial" w:hAnsi="Arial" w:cs="Arial"/>
                <w:b/>
                <w:bCs/>
                <w:color w:val="000000" w:themeColor="text1"/>
                <w:sz w:val="20"/>
                <w:szCs w:val="20"/>
                <w:lang w:val="vi-VN"/>
              </w:rPr>
              <w:t>P. Value</w:t>
            </w:r>
          </w:p>
        </w:tc>
        <w:tc>
          <w:tcPr>
            <w:tcW w:w="1615" w:type="dxa"/>
          </w:tcPr>
          <w:p w14:paraId="59295BFE" w14:textId="47BA51B0" w:rsidR="00D36C73" w:rsidRPr="006623DE" w:rsidRDefault="00053C0E" w:rsidP="00053C0E">
            <w:pPr>
              <w:spacing w:line="276" w:lineRule="auto"/>
              <w:jc w:val="center"/>
              <w:rPr>
                <w:rFonts w:ascii="Arial" w:hAnsi="Arial" w:cs="Arial"/>
                <w:b/>
                <w:bCs/>
                <w:color w:val="000000" w:themeColor="text1"/>
                <w:sz w:val="20"/>
                <w:szCs w:val="20"/>
                <w:lang w:val="vi-VN"/>
              </w:rPr>
            </w:pPr>
            <w:r w:rsidRPr="006623DE">
              <w:rPr>
                <w:rFonts w:ascii="Arial" w:hAnsi="Arial" w:cs="Arial"/>
                <w:b/>
                <w:bCs/>
                <w:color w:val="000000" w:themeColor="text1"/>
                <w:sz w:val="20"/>
                <w:szCs w:val="20"/>
                <w:lang w:val="vi-VN"/>
              </w:rPr>
              <w:t>Conclude</w:t>
            </w:r>
          </w:p>
        </w:tc>
      </w:tr>
      <w:tr w:rsidR="00D36C73" w:rsidRPr="006623DE" w14:paraId="7B9938DC" w14:textId="77777777" w:rsidTr="00053C0E">
        <w:trPr>
          <w:jc w:val="center"/>
        </w:trPr>
        <w:tc>
          <w:tcPr>
            <w:tcW w:w="1440" w:type="dxa"/>
          </w:tcPr>
          <w:p w14:paraId="7D3259D4" w14:textId="77777777" w:rsidR="00D36C73" w:rsidRPr="006623DE" w:rsidRDefault="00D36C73" w:rsidP="00640EC5">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H1</w:t>
            </w:r>
          </w:p>
        </w:tc>
        <w:tc>
          <w:tcPr>
            <w:tcW w:w="2340" w:type="dxa"/>
          </w:tcPr>
          <w:p w14:paraId="0FAD180C" w14:textId="2B0F0CD6" w:rsidR="00D36C73" w:rsidRPr="006623DE" w:rsidRDefault="00053C0E" w:rsidP="00640EC5">
            <w:pPr>
              <w:spacing w:line="276" w:lineRule="auto"/>
              <w:jc w:val="center"/>
              <w:rPr>
                <w:rFonts w:ascii="Arial" w:hAnsi="Arial" w:cs="Arial"/>
                <w:color w:val="000000" w:themeColor="text1"/>
                <w:sz w:val="20"/>
                <w:szCs w:val="20"/>
              </w:rPr>
            </w:pPr>
            <w:r w:rsidRPr="006623DE">
              <w:rPr>
                <w:rFonts w:ascii="Arial" w:hAnsi="Arial" w:cs="Arial"/>
                <w:color w:val="000000" w:themeColor="text1"/>
                <w:sz w:val="20"/>
                <w:szCs w:val="20"/>
              </w:rPr>
              <w:t>LEAD</w:t>
            </w:r>
            <w:r w:rsidR="00D36C73" w:rsidRPr="006623DE">
              <w:rPr>
                <w:rFonts w:ascii="Arial" w:hAnsi="Arial" w:cs="Arial"/>
                <w:color w:val="000000" w:themeColor="text1"/>
                <w:sz w:val="20"/>
                <w:szCs w:val="20"/>
                <w:lang w:val="vi-VN"/>
              </w:rPr>
              <w:t xml:space="preserve"> ---&gt; </w:t>
            </w:r>
            <w:r w:rsidRPr="006623DE">
              <w:rPr>
                <w:rFonts w:ascii="Arial" w:hAnsi="Arial" w:cs="Arial"/>
                <w:color w:val="000000" w:themeColor="text1"/>
                <w:sz w:val="20"/>
                <w:szCs w:val="20"/>
              </w:rPr>
              <w:t>OC</w:t>
            </w:r>
          </w:p>
        </w:tc>
        <w:tc>
          <w:tcPr>
            <w:tcW w:w="1440" w:type="dxa"/>
          </w:tcPr>
          <w:p w14:paraId="7E804BEA" w14:textId="77777777" w:rsidR="00D36C73" w:rsidRPr="006623DE" w:rsidRDefault="00D36C73" w:rsidP="00640EC5">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0,589</w:t>
            </w:r>
          </w:p>
        </w:tc>
        <w:tc>
          <w:tcPr>
            <w:tcW w:w="1170" w:type="dxa"/>
          </w:tcPr>
          <w:p w14:paraId="1AED3BC2" w14:textId="77777777" w:rsidR="00D36C73" w:rsidRPr="006623DE" w:rsidRDefault="00D36C73" w:rsidP="00640EC5">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0,000</w:t>
            </w:r>
          </w:p>
        </w:tc>
        <w:tc>
          <w:tcPr>
            <w:tcW w:w="1615" w:type="dxa"/>
          </w:tcPr>
          <w:p w14:paraId="1A1A3CBF" w14:textId="0242A18E" w:rsidR="00D36C73" w:rsidRPr="006623DE" w:rsidRDefault="00053C0E" w:rsidP="00640EC5">
            <w:pPr>
              <w:spacing w:line="276" w:lineRule="auto"/>
              <w:jc w:val="both"/>
              <w:rPr>
                <w:rFonts w:ascii="Arial" w:hAnsi="Arial" w:cs="Arial"/>
                <w:color w:val="000000" w:themeColor="text1"/>
                <w:sz w:val="20"/>
                <w:szCs w:val="20"/>
                <w:lang w:val="vi-VN"/>
              </w:rPr>
            </w:pPr>
            <w:r w:rsidRPr="006623DE">
              <w:rPr>
                <w:rFonts w:ascii="Arial" w:hAnsi="Arial" w:cs="Arial"/>
                <w:color w:val="000000" w:themeColor="text1"/>
                <w:sz w:val="20"/>
                <w:szCs w:val="20"/>
                <w:lang w:val="vi-VN"/>
              </w:rPr>
              <w:t>Accepted</w:t>
            </w:r>
          </w:p>
        </w:tc>
      </w:tr>
      <w:tr w:rsidR="00D36C73" w:rsidRPr="006623DE" w14:paraId="276CE8CC" w14:textId="77777777" w:rsidTr="00053C0E">
        <w:trPr>
          <w:jc w:val="center"/>
        </w:trPr>
        <w:tc>
          <w:tcPr>
            <w:tcW w:w="1440" w:type="dxa"/>
          </w:tcPr>
          <w:p w14:paraId="40274915" w14:textId="77777777" w:rsidR="00D36C73" w:rsidRPr="006623DE" w:rsidRDefault="00D36C73" w:rsidP="00640EC5">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H2</w:t>
            </w:r>
          </w:p>
        </w:tc>
        <w:tc>
          <w:tcPr>
            <w:tcW w:w="2340" w:type="dxa"/>
          </w:tcPr>
          <w:p w14:paraId="3E2B7987" w14:textId="43E6973B" w:rsidR="00D36C73" w:rsidRPr="006623DE" w:rsidRDefault="00053C0E" w:rsidP="00640EC5">
            <w:pPr>
              <w:spacing w:line="276" w:lineRule="auto"/>
              <w:jc w:val="center"/>
              <w:rPr>
                <w:rFonts w:ascii="Arial" w:hAnsi="Arial" w:cs="Arial"/>
                <w:color w:val="000000" w:themeColor="text1"/>
                <w:sz w:val="20"/>
                <w:szCs w:val="20"/>
              </w:rPr>
            </w:pPr>
            <w:r w:rsidRPr="006623DE">
              <w:rPr>
                <w:rFonts w:ascii="Arial" w:hAnsi="Arial" w:cs="Arial"/>
                <w:color w:val="000000" w:themeColor="text1"/>
                <w:sz w:val="20"/>
                <w:szCs w:val="20"/>
              </w:rPr>
              <w:t>OC</w:t>
            </w:r>
            <w:r w:rsidR="00D36C73" w:rsidRPr="006623DE">
              <w:rPr>
                <w:rFonts w:ascii="Arial" w:hAnsi="Arial" w:cs="Arial"/>
                <w:color w:val="000000" w:themeColor="text1"/>
                <w:sz w:val="20"/>
                <w:szCs w:val="20"/>
                <w:lang w:val="vi-VN"/>
              </w:rPr>
              <w:t xml:space="preserve"> ---&gt; </w:t>
            </w:r>
            <w:r w:rsidRPr="006623DE">
              <w:rPr>
                <w:rFonts w:ascii="Arial" w:hAnsi="Arial" w:cs="Arial"/>
                <w:color w:val="000000" w:themeColor="text1"/>
                <w:sz w:val="20"/>
                <w:szCs w:val="20"/>
              </w:rPr>
              <w:t>BVL</w:t>
            </w:r>
          </w:p>
        </w:tc>
        <w:tc>
          <w:tcPr>
            <w:tcW w:w="1440" w:type="dxa"/>
          </w:tcPr>
          <w:p w14:paraId="24E21426" w14:textId="77777777" w:rsidR="00D36C73" w:rsidRPr="006623DE" w:rsidRDefault="00D36C73" w:rsidP="00640EC5">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0,505</w:t>
            </w:r>
          </w:p>
        </w:tc>
        <w:tc>
          <w:tcPr>
            <w:tcW w:w="1170" w:type="dxa"/>
          </w:tcPr>
          <w:p w14:paraId="102BC30F" w14:textId="77777777" w:rsidR="00D36C73" w:rsidRPr="006623DE" w:rsidRDefault="00D36C73" w:rsidP="00640EC5">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0,001</w:t>
            </w:r>
          </w:p>
        </w:tc>
        <w:tc>
          <w:tcPr>
            <w:tcW w:w="1615" w:type="dxa"/>
          </w:tcPr>
          <w:p w14:paraId="79E6D456" w14:textId="0999176C" w:rsidR="00D36C73" w:rsidRPr="006623DE" w:rsidRDefault="00053C0E" w:rsidP="00640EC5">
            <w:pPr>
              <w:spacing w:line="276" w:lineRule="auto"/>
              <w:jc w:val="both"/>
              <w:rPr>
                <w:rFonts w:ascii="Arial" w:hAnsi="Arial" w:cs="Arial"/>
                <w:color w:val="000000" w:themeColor="text1"/>
                <w:sz w:val="20"/>
                <w:szCs w:val="20"/>
                <w:lang w:val="vi-VN"/>
              </w:rPr>
            </w:pPr>
            <w:r w:rsidRPr="006623DE">
              <w:rPr>
                <w:rFonts w:ascii="Arial" w:hAnsi="Arial" w:cs="Arial"/>
                <w:color w:val="000000" w:themeColor="text1"/>
                <w:sz w:val="20"/>
                <w:szCs w:val="20"/>
                <w:lang w:val="vi-VN"/>
              </w:rPr>
              <w:t>Accepted</w:t>
            </w:r>
          </w:p>
        </w:tc>
      </w:tr>
      <w:tr w:rsidR="00D36C73" w:rsidRPr="006623DE" w14:paraId="079DC7E3" w14:textId="77777777" w:rsidTr="00053C0E">
        <w:trPr>
          <w:jc w:val="center"/>
        </w:trPr>
        <w:tc>
          <w:tcPr>
            <w:tcW w:w="1440" w:type="dxa"/>
          </w:tcPr>
          <w:p w14:paraId="182B8FD6" w14:textId="77777777" w:rsidR="00D36C73" w:rsidRPr="006623DE" w:rsidRDefault="00D36C73" w:rsidP="00640EC5">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H3</w:t>
            </w:r>
          </w:p>
        </w:tc>
        <w:tc>
          <w:tcPr>
            <w:tcW w:w="2340" w:type="dxa"/>
          </w:tcPr>
          <w:p w14:paraId="5A39C148" w14:textId="5EF1F982" w:rsidR="00D36C73" w:rsidRPr="006623DE" w:rsidRDefault="00053C0E" w:rsidP="00A51953">
            <w:pPr>
              <w:spacing w:line="276" w:lineRule="auto"/>
              <w:jc w:val="center"/>
              <w:rPr>
                <w:rFonts w:ascii="Arial" w:hAnsi="Arial" w:cs="Arial"/>
                <w:color w:val="000000" w:themeColor="text1"/>
                <w:sz w:val="20"/>
                <w:szCs w:val="20"/>
              </w:rPr>
            </w:pPr>
            <w:r w:rsidRPr="006623DE">
              <w:rPr>
                <w:rFonts w:ascii="Arial" w:hAnsi="Arial" w:cs="Arial"/>
                <w:color w:val="000000" w:themeColor="text1"/>
                <w:sz w:val="20"/>
                <w:szCs w:val="20"/>
              </w:rPr>
              <w:t>OC</w:t>
            </w:r>
            <w:r w:rsidR="00D36C73" w:rsidRPr="006623DE">
              <w:rPr>
                <w:rFonts w:ascii="Arial" w:hAnsi="Arial" w:cs="Arial"/>
                <w:color w:val="000000" w:themeColor="text1"/>
                <w:sz w:val="20"/>
                <w:szCs w:val="20"/>
                <w:lang w:val="vi-VN"/>
              </w:rPr>
              <w:t xml:space="preserve"> ---&gt; </w:t>
            </w:r>
            <w:r w:rsidRPr="006623DE">
              <w:rPr>
                <w:rFonts w:ascii="Arial" w:hAnsi="Arial" w:cs="Arial"/>
                <w:color w:val="000000" w:themeColor="text1"/>
                <w:sz w:val="20"/>
                <w:szCs w:val="20"/>
              </w:rPr>
              <w:t>BU</w:t>
            </w:r>
          </w:p>
        </w:tc>
        <w:tc>
          <w:tcPr>
            <w:tcW w:w="1440" w:type="dxa"/>
          </w:tcPr>
          <w:p w14:paraId="74B8DE5D" w14:textId="77777777" w:rsidR="00D36C73" w:rsidRPr="006623DE" w:rsidRDefault="00D36C73" w:rsidP="00640EC5">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0,538</w:t>
            </w:r>
          </w:p>
        </w:tc>
        <w:tc>
          <w:tcPr>
            <w:tcW w:w="1170" w:type="dxa"/>
          </w:tcPr>
          <w:p w14:paraId="7337959C" w14:textId="77777777" w:rsidR="00D36C73" w:rsidRPr="006623DE" w:rsidRDefault="00D36C73" w:rsidP="00640EC5">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0,000</w:t>
            </w:r>
          </w:p>
        </w:tc>
        <w:tc>
          <w:tcPr>
            <w:tcW w:w="1615" w:type="dxa"/>
          </w:tcPr>
          <w:p w14:paraId="36737D61" w14:textId="4ADF0A6B" w:rsidR="00D36C73" w:rsidRPr="006623DE" w:rsidRDefault="00053C0E" w:rsidP="00640EC5">
            <w:pPr>
              <w:spacing w:line="276" w:lineRule="auto"/>
              <w:jc w:val="both"/>
              <w:rPr>
                <w:rFonts w:ascii="Arial" w:hAnsi="Arial" w:cs="Arial"/>
                <w:color w:val="000000" w:themeColor="text1"/>
                <w:sz w:val="20"/>
                <w:szCs w:val="20"/>
                <w:lang w:val="vi-VN"/>
              </w:rPr>
            </w:pPr>
            <w:r w:rsidRPr="006623DE">
              <w:rPr>
                <w:rFonts w:ascii="Arial" w:hAnsi="Arial" w:cs="Arial"/>
                <w:color w:val="000000" w:themeColor="text1"/>
                <w:sz w:val="20"/>
                <w:szCs w:val="20"/>
                <w:lang w:val="vi-VN"/>
              </w:rPr>
              <w:t>Accepted</w:t>
            </w:r>
          </w:p>
        </w:tc>
      </w:tr>
      <w:tr w:rsidR="00D36C73" w:rsidRPr="006623DE" w14:paraId="29E62D8D" w14:textId="77777777" w:rsidTr="00053C0E">
        <w:trPr>
          <w:jc w:val="center"/>
        </w:trPr>
        <w:tc>
          <w:tcPr>
            <w:tcW w:w="1440" w:type="dxa"/>
          </w:tcPr>
          <w:p w14:paraId="4B09F42E" w14:textId="77777777" w:rsidR="00D36C73" w:rsidRPr="006623DE" w:rsidRDefault="00D36C73" w:rsidP="00640EC5">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H4</w:t>
            </w:r>
          </w:p>
        </w:tc>
        <w:tc>
          <w:tcPr>
            <w:tcW w:w="2340" w:type="dxa"/>
          </w:tcPr>
          <w:p w14:paraId="57E962B3" w14:textId="46EE0F7F" w:rsidR="00D36C73" w:rsidRPr="006623DE" w:rsidRDefault="00053C0E" w:rsidP="00640EC5">
            <w:pPr>
              <w:spacing w:line="276" w:lineRule="auto"/>
              <w:jc w:val="center"/>
              <w:rPr>
                <w:rFonts w:ascii="Arial" w:hAnsi="Arial" w:cs="Arial"/>
                <w:color w:val="000000" w:themeColor="text1"/>
                <w:sz w:val="20"/>
                <w:szCs w:val="20"/>
              </w:rPr>
            </w:pPr>
            <w:r w:rsidRPr="006623DE">
              <w:rPr>
                <w:rFonts w:ascii="Arial" w:hAnsi="Arial" w:cs="Arial"/>
                <w:color w:val="000000" w:themeColor="text1"/>
                <w:sz w:val="20"/>
                <w:szCs w:val="20"/>
              </w:rPr>
              <w:t>BVL</w:t>
            </w:r>
            <w:r w:rsidR="00D36C73" w:rsidRPr="006623DE">
              <w:rPr>
                <w:rFonts w:ascii="Arial" w:hAnsi="Arial" w:cs="Arial"/>
                <w:color w:val="000000" w:themeColor="text1"/>
                <w:sz w:val="20"/>
                <w:szCs w:val="20"/>
                <w:lang w:val="vi-VN"/>
              </w:rPr>
              <w:t xml:space="preserve"> ---&gt; </w:t>
            </w:r>
            <w:r w:rsidRPr="006623DE">
              <w:rPr>
                <w:rFonts w:ascii="Arial" w:hAnsi="Arial" w:cs="Arial"/>
                <w:color w:val="000000" w:themeColor="text1"/>
                <w:sz w:val="20"/>
                <w:szCs w:val="20"/>
              </w:rPr>
              <w:t>BU</w:t>
            </w:r>
          </w:p>
        </w:tc>
        <w:tc>
          <w:tcPr>
            <w:tcW w:w="1440" w:type="dxa"/>
          </w:tcPr>
          <w:p w14:paraId="2F7C4CA3" w14:textId="77777777" w:rsidR="00D36C73" w:rsidRPr="006623DE" w:rsidRDefault="00D36C73" w:rsidP="00640EC5">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0,327</w:t>
            </w:r>
          </w:p>
        </w:tc>
        <w:tc>
          <w:tcPr>
            <w:tcW w:w="1170" w:type="dxa"/>
          </w:tcPr>
          <w:p w14:paraId="4E94DA5D" w14:textId="77777777" w:rsidR="00D36C73" w:rsidRPr="006623DE" w:rsidRDefault="00D36C73" w:rsidP="00640EC5">
            <w:pPr>
              <w:spacing w:line="276" w:lineRule="auto"/>
              <w:jc w:val="center"/>
              <w:rPr>
                <w:rFonts w:ascii="Arial" w:hAnsi="Arial" w:cs="Arial"/>
                <w:color w:val="000000" w:themeColor="text1"/>
                <w:sz w:val="20"/>
                <w:szCs w:val="20"/>
                <w:lang w:val="vi-VN"/>
              </w:rPr>
            </w:pPr>
            <w:r w:rsidRPr="006623DE">
              <w:rPr>
                <w:rFonts w:ascii="Arial" w:hAnsi="Arial" w:cs="Arial"/>
                <w:color w:val="000000" w:themeColor="text1"/>
                <w:sz w:val="20"/>
                <w:szCs w:val="20"/>
                <w:lang w:val="vi-VN"/>
              </w:rPr>
              <w:t>0,003</w:t>
            </w:r>
          </w:p>
        </w:tc>
        <w:tc>
          <w:tcPr>
            <w:tcW w:w="1615" w:type="dxa"/>
          </w:tcPr>
          <w:p w14:paraId="3F89F0C3" w14:textId="22CA1EB0" w:rsidR="00D36C73" w:rsidRPr="006623DE" w:rsidRDefault="00053C0E" w:rsidP="00640EC5">
            <w:pPr>
              <w:spacing w:line="276" w:lineRule="auto"/>
              <w:jc w:val="both"/>
              <w:rPr>
                <w:rFonts w:ascii="Arial" w:hAnsi="Arial" w:cs="Arial"/>
                <w:color w:val="000000" w:themeColor="text1"/>
                <w:sz w:val="20"/>
                <w:szCs w:val="20"/>
                <w:lang w:val="vi-VN"/>
              </w:rPr>
            </w:pPr>
            <w:r w:rsidRPr="006623DE">
              <w:rPr>
                <w:rFonts w:ascii="Arial" w:hAnsi="Arial" w:cs="Arial"/>
                <w:color w:val="000000" w:themeColor="text1"/>
                <w:sz w:val="20"/>
                <w:szCs w:val="20"/>
                <w:lang w:val="vi-VN"/>
              </w:rPr>
              <w:t>Accepted</w:t>
            </w:r>
          </w:p>
        </w:tc>
      </w:tr>
    </w:tbl>
    <w:p w14:paraId="4F9B3AF2" w14:textId="77777777" w:rsidR="00954CF2" w:rsidRPr="006623DE" w:rsidRDefault="00954CF2" w:rsidP="00954CF2">
      <w:pPr>
        <w:spacing w:after="0" w:line="360" w:lineRule="auto"/>
        <w:jc w:val="center"/>
        <w:rPr>
          <w:rFonts w:ascii="Arial" w:hAnsi="Arial" w:cs="Arial"/>
          <w:sz w:val="20"/>
          <w:szCs w:val="20"/>
          <w:lang w:val="vi-VN"/>
        </w:rPr>
      </w:pPr>
      <w:r w:rsidRPr="006623DE">
        <w:rPr>
          <w:rFonts w:ascii="Arial" w:hAnsi="Arial" w:cs="Arial"/>
          <w:sz w:val="20"/>
          <w:szCs w:val="20"/>
          <w:lang w:val="vi-VN"/>
        </w:rPr>
        <w:t>Source: Analysis results from SmartPLS software</w:t>
      </w:r>
    </w:p>
    <w:p w14:paraId="00C6BFC5" w14:textId="743CD182" w:rsidR="00C116CF" w:rsidRPr="006623DE" w:rsidRDefault="001E16F1" w:rsidP="00906C7B">
      <w:pPr>
        <w:spacing w:after="0" w:line="360" w:lineRule="auto"/>
        <w:jc w:val="both"/>
        <w:rPr>
          <w:rFonts w:ascii="Arial" w:hAnsi="Arial" w:cs="Arial"/>
          <w:sz w:val="20"/>
          <w:szCs w:val="20"/>
          <w:lang w:val="vi-VN"/>
        </w:rPr>
      </w:pPr>
      <w:r>
        <w:rPr>
          <w:rFonts w:ascii="Arial" w:hAnsi="Arial" w:cs="Arial"/>
          <w:sz w:val="20"/>
          <w:szCs w:val="20"/>
          <w:lang w:val="vi-VN"/>
        </w:rPr>
        <w:t xml:space="preserve">   </w:t>
      </w:r>
      <w:r w:rsidR="00C710EF" w:rsidRPr="006623DE">
        <w:rPr>
          <w:rFonts w:ascii="Arial" w:hAnsi="Arial" w:cs="Arial"/>
          <w:sz w:val="20"/>
          <w:szCs w:val="20"/>
          <w:lang w:val="vi-VN"/>
        </w:rPr>
        <w:t xml:space="preserve">The analysis results of Table 7 show that the four hypotheses H1, H2, H3 and H4 are all accepted with positive β coefficients and </w:t>
      </w:r>
      <w:r w:rsidR="00C710EF" w:rsidRPr="006623DE">
        <w:rPr>
          <w:rFonts w:ascii="Arial" w:hAnsi="Arial" w:cs="Arial"/>
          <w:i/>
          <w:iCs/>
          <w:sz w:val="20"/>
          <w:szCs w:val="20"/>
          <w:lang w:val="vi-VN"/>
        </w:rPr>
        <w:t>P.values</w:t>
      </w:r>
      <w:r w:rsidR="00C710EF" w:rsidRPr="006623DE">
        <w:rPr>
          <w:rFonts w:ascii="Arial" w:hAnsi="Arial" w:cs="Arial"/>
          <w:sz w:val="20"/>
          <w:szCs w:val="20"/>
          <w:lang w:val="vi-VN"/>
        </w:rPr>
        <w:t xml:space="preserve"> ​​less than 0.05. The analysis results show that they are consistent with the data collected from the market and have a statistical significance of 95%.</w:t>
      </w:r>
    </w:p>
    <w:p w14:paraId="0E56C2B3" w14:textId="6668D113" w:rsidR="00966AE0" w:rsidRPr="006623DE" w:rsidRDefault="007F4295" w:rsidP="00906C7B">
      <w:pPr>
        <w:spacing w:after="0" w:line="360" w:lineRule="auto"/>
        <w:jc w:val="both"/>
        <w:rPr>
          <w:rFonts w:ascii="Arial" w:hAnsi="Arial" w:cs="Arial"/>
          <w:b/>
          <w:bCs/>
          <w:sz w:val="20"/>
          <w:szCs w:val="20"/>
        </w:rPr>
      </w:pPr>
      <w:r w:rsidRPr="006623DE">
        <w:rPr>
          <w:rFonts w:ascii="Arial" w:hAnsi="Arial" w:cs="Arial"/>
          <w:b/>
          <w:bCs/>
          <w:sz w:val="20"/>
          <w:szCs w:val="20"/>
          <w:lang w:val="vi-VN"/>
        </w:rPr>
        <w:t>4.7. Discussion</w:t>
      </w:r>
      <w:r w:rsidRPr="006623DE">
        <w:rPr>
          <w:rFonts w:ascii="Arial" w:hAnsi="Arial" w:cs="Arial"/>
          <w:b/>
          <w:bCs/>
          <w:sz w:val="20"/>
          <w:szCs w:val="20"/>
        </w:rPr>
        <w:t>:</w:t>
      </w:r>
    </w:p>
    <w:p w14:paraId="0D92E825" w14:textId="0B680EB9" w:rsidR="00CC473B" w:rsidRPr="006623DE" w:rsidRDefault="004417FF" w:rsidP="00906C7B">
      <w:pPr>
        <w:spacing w:after="0" w:line="360" w:lineRule="auto"/>
        <w:jc w:val="both"/>
        <w:rPr>
          <w:rFonts w:ascii="Arial" w:hAnsi="Arial" w:cs="Arial"/>
          <w:sz w:val="20"/>
          <w:szCs w:val="20"/>
        </w:rPr>
      </w:pPr>
      <w:r w:rsidRPr="006623DE">
        <w:rPr>
          <w:rFonts w:ascii="Arial" w:hAnsi="Arial" w:cs="Arial"/>
          <w:sz w:val="20"/>
          <w:szCs w:val="20"/>
        </w:rPr>
        <w:t xml:space="preserve">     - </w:t>
      </w:r>
      <w:r w:rsidR="00B71403" w:rsidRPr="006623DE">
        <w:rPr>
          <w:rFonts w:ascii="Arial" w:hAnsi="Arial" w:cs="Arial"/>
          <w:sz w:val="20"/>
          <w:szCs w:val="20"/>
        </w:rPr>
        <w:t xml:space="preserve">Leadership style influences organizational culture at universities, with a positive β coefficient of 0.589, indicating that the "Leadership Style" factor has a direct and positive impact on "Organizational Culture." Leadership style often guides and shapes the formation of organizational culture at universities. This finding aligns with studies by </w:t>
      </w:r>
      <w:proofErr w:type="spellStart"/>
      <w:r w:rsidR="00B71403" w:rsidRPr="006623DE">
        <w:rPr>
          <w:rFonts w:ascii="Arial" w:hAnsi="Arial" w:cs="Arial"/>
          <w:sz w:val="20"/>
          <w:szCs w:val="20"/>
        </w:rPr>
        <w:t>Anastasiou</w:t>
      </w:r>
      <w:proofErr w:type="spellEnd"/>
      <w:r w:rsidR="00B71403" w:rsidRPr="006623DE">
        <w:rPr>
          <w:rFonts w:ascii="Arial" w:hAnsi="Arial" w:cs="Arial"/>
          <w:sz w:val="20"/>
          <w:szCs w:val="20"/>
        </w:rPr>
        <w:t xml:space="preserve"> (2021), Anderson (2017), and </w:t>
      </w:r>
      <w:proofErr w:type="spellStart"/>
      <w:r w:rsidR="00B71403" w:rsidRPr="006623DE">
        <w:rPr>
          <w:rFonts w:ascii="Arial" w:hAnsi="Arial" w:cs="Arial"/>
          <w:sz w:val="20"/>
          <w:szCs w:val="20"/>
        </w:rPr>
        <w:t>Qiu</w:t>
      </w:r>
      <w:proofErr w:type="spellEnd"/>
      <w:r w:rsidR="00B71403" w:rsidRPr="006623DE">
        <w:rPr>
          <w:rFonts w:ascii="Arial" w:hAnsi="Arial" w:cs="Arial"/>
          <w:sz w:val="20"/>
          <w:szCs w:val="20"/>
        </w:rPr>
        <w:t xml:space="preserve"> et al. (2020), which highlight that effective leadership styles</w:t>
      </w:r>
      <w:r w:rsidR="00014CED" w:rsidRPr="006623DE">
        <w:rPr>
          <w:rFonts w:ascii="Arial" w:hAnsi="Arial" w:cs="Arial"/>
          <w:sz w:val="20"/>
          <w:szCs w:val="20"/>
        </w:rPr>
        <w:t xml:space="preserve"> - </w:t>
      </w:r>
      <w:r w:rsidR="00B71403" w:rsidRPr="006623DE">
        <w:rPr>
          <w:rFonts w:ascii="Arial" w:hAnsi="Arial" w:cs="Arial"/>
          <w:sz w:val="20"/>
          <w:szCs w:val="20"/>
        </w:rPr>
        <w:t>such as transformational and servant leadership</w:t>
      </w:r>
      <w:r w:rsidR="00014CED" w:rsidRPr="006623DE">
        <w:rPr>
          <w:rFonts w:ascii="Arial" w:hAnsi="Arial" w:cs="Arial"/>
          <w:sz w:val="20"/>
          <w:szCs w:val="20"/>
        </w:rPr>
        <w:t xml:space="preserve"> </w:t>
      </w:r>
      <w:r w:rsidR="00B71403" w:rsidRPr="006623DE">
        <w:rPr>
          <w:rFonts w:ascii="Arial" w:hAnsi="Arial" w:cs="Arial"/>
          <w:sz w:val="20"/>
          <w:szCs w:val="20"/>
        </w:rPr>
        <w:t>create a dynamic and positive working environment, fostering a culture of collaboration and knowledge-sharing in today's educational landscape.</w:t>
      </w:r>
    </w:p>
    <w:p w14:paraId="56C67CAA" w14:textId="32D5DA83" w:rsidR="00A23816" w:rsidRPr="006623DE" w:rsidRDefault="002B44B8" w:rsidP="00906C7B">
      <w:pPr>
        <w:spacing w:after="0" w:line="360" w:lineRule="auto"/>
        <w:jc w:val="both"/>
        <w:rPr>
          <w:rFonts w:ascii="Arial" w:hAnsi="Arial" w:cs="Arial"/>
          <w:sz w:val="20"/>
          <w:szCs w:val="20"/>
          <w:lang w:val="vi-VN"/>
        </w:rPr>
      </w:pPr>
      <w:r w:rsidRPr="006623DE">
        <w:rPr>
          <w:rFonts w:ascii="Arial" w:hAnsi="Arial" w:cs="Arial"/>
          <w:sz w:val="20"/>
          <w:szCs w:val="20"/>
        </w:rPr>
        <w:t xml:space="preserve">     - </w:t>
      </w:r>
      <w:r w:rsidR="000C112C" w:rsidRPr="006623DE">
        <w:rPr>
          <w:rFonts w:ascii="Arial" w:hAnsi="Arial" w:cs="Arial"/>
          <w:sz w:val="20"/>
          <w:szCs w:val="20"/>
          <w:lang w:val="vi-VN"/>
        </w:rPr>
        <w:t xml:space="preserve">Organizational culture at universities influences the enhancement of brand value </w:t>
      </w:r>
      <w:r w:rsidR="008852DA" w:rsidRPr="006623DE">
        <w:rPr>
          <w:rFonts w:ascii="Arial" w:hAnsi="Arial" w:cs="Arial"/>
          <w:sz w:val="20"/>
          <w:szCs w:val="20"/>
        </w:rPr>
        <w:t xml:space="preserve">of </w:t>
      </w:r>
      <w:r w:rsidR="000C112C" w:rsidRPr="006623DE">
        <w:rPr>
          <w:rFonts w:ascii="Arial" w:hAnsi="Arial" w:cs="Arial"/>
          <w:sz w:val="20"/>
          <w:szCs w:val="20"/>
          <w:lang w:val="vi-VN"/>
        </w:rPr>
        <w:t xml:space="preserve">lecturer, with a positive β coefficient of 0.505, indicating that the "Organizational Culture" factor has a direct and positive impact on "Lecturer </w:t>
      </w:r>
      <w:r w:rsidR="00072E5C" w:rsidRPr="006623DE">
        <w:rPr>
          <w:rFonts w:ascii="Arial" w:hAnsi="Arial" w:cs="Arial"/>
          <w:sz w:val="20"/>
          <w:szCs w:val="20"/>
        </w:rPr>
        <w:t xml:space="preserve">Brand </w:t>
      </w:r>
      <w:r w:rsidR="000C112C" w:rsidRPr="006623DE">
        <w:rPr>
          <w:rFonts w:ascii="Arial" w:hAnsi="Arial" w:cs="Arial"/>
          <w:sz w:val="20"/>
          <w:szCs w:val="20"/>
          <w:lang w:val="vi-VN"/>
        </w:rPr>
        <w:t>Value" A positive organizational culture encourages lecturers to strive for self-improvement through learning, research, and innovation, thereby strengthening their roles and responsibilities in fulfilling their duties. This result aligns with studies by Sahibzada et al. (2024) and Osama et al. (2020), which suggest that a positive organizational culture supports lecturers in realizing their full potential, making them valuable assets to universities.</w:t>
      </w:r>
    </w:p>
    <w:p w14:paraId="52259662" w14:textId="3A7081D9" w:rsidR="00167936" w:rsidRPr="006623DE" w:rsidRDefault="009E06D6" w:rsidP="00906C7B">
      <w:pPr>
        <w:spacing w:after="0" w:line="360" w:lineRule="auto"/>
        <w:jc w:val="both"/>
        <w:rPr>
          <w:rFonts w:ascii="Arial" w:hAnsi="Arial" w:cs="Arial"/>
          <w:sz w:val="20"/>
          <w:szCs w:val="20"/>
          <w:lang w:val="vi-VN"/>
        </w:rPr>
      </w:pPr>
      <w:r w:rsidRPr="006623DE">
        <w:rPr>
          <w:rFonts w:ascii="Arial" w:hAnsi="Arial" w:cs="Arial"/>
          <w:sz w:val="20"/>
          <w:szCs w:val="20"/>
        </w:rPr>
        <w:t xml:space="preserve">     - </w:t>
      </w:r>
      <w:r w:rsidRPr="006623DE">
        <w:rPr>
          <w:rFonts w:ascii="Arial" w:hAnsi="Arial" w:cs="Arial"/>
          <w:sz w:val="20"/>
          <w:szCs w:val="20"/>
          <w:lang w:val="vi-VN"/>
        </w:rPr>
        <w:t>Organizational culture in universities affects the enhancement of university brand value, with a positive β coefficient of 0.538, indicating that the factor "Organizational Culture" has a direct and positive impact on "University Brand Value". The organizational culture of a university must be consistent with the goal of sustainable educational development. The goal of education is for learners, prioritizing learners by providing the highest quality training services and training individuals who contribute positively to society. As a result, the brand value of the university is strengthened. This finding is consistent with the research of Doan Thi Hong Van &amp; Nguyen Thi Thuy Giang (2021) and Osama et al. (2020).</w:t>
      </w:r>
    </w:p>
    <w:p w14:paraId="4383A67B" w14:textId="73EB1145" w:rsidR="00DF60FE" w:rsidRPr="006623DE" w:rsidRDefault="0019033D" w:rsidP="00906C7B">
      <w:pPr>
        <w:spacing w:after="0" w:line="360" w:lineRule="auto"/>
        <w:jc w:val="both"/>
        <w:rPr>
          <w:rFonts w:ascii="Arial" w:hAnsi="Arial" w:cs="Arial"/>
          <w:sz w:val="20"/>
          <w:szCs w:val="20"/>
          <w:lang w:val="vi-VN"/>
        </w:rPr>
      </w:pPr>
      <w:r w:rsidRPr="006623DE">
        <w:rPr>
          <w:rFonts w:ascii="Arial" w:hAnsi="Arial" w:cs="Arial"/>
          <w:sz w:val="20"/>
          <w:szCs w:val="20"/>
        </w:rPr>
        <w:t xml:space="preserve">     - </w:t>
      </w:r>
      <w:r w:rsidR="00DF60FE" w:rsidRPr="006623DE">
        <w:rPr>
          <w:rFonts w:ascii="Arial" w:hAnsi="Arial" w:cs="Arial"/>
          <w:sz w:val="20"/>
          <w:szCs w:val="20"/>
          <w:lang w:val="vi-VN"/>
        </w:rPr>
        <w:t xml:space="preserve">The brand value of lecturers influences the enhancement of a university's brand value, with a positive β coefficient of 0.327, indicating that the "Lecturer Brand Value" factor has a direct and positive impact on "University Brand Value." Lecturer brand value is a valuable asset to a university and plays a significant role in strengthening its overall brand. This result aligns with the studies of </w:t>
      </w:r>
      <w:r w:rsidR="00161AD7" w:rsidRPr="00B554C3">
        <w:rPr>
          <w:rFonts w:ascii="Arial" w:hAnsi="Arial" w:cs="Arial"/>
          <w:color w:val="000000" w:themeColor="text1"/>
          <w:sz w:val="20"/>
          <w:szCs w:val="20"/>
          <w:lang w:val="vi-VN"/>
        </w:rPr>
        <w:t>Shangfeng Jiang</w:t>
      </w:r>
      <w:r w:rsidR="00161AD7" w:rsidRPr="00A2108F">
        <w:rPr>
          <w:rFonts w:ascii="Arial" w:hAnsi="Arial" w:cs="Arial"/>
          <w:color w:val="000000" w:themeColor="text1"/>
          <w:sz w:val="20"/>
          <w:szCs w:val="20"/>
          <w:lang w:val="vi-VN"/>
        </w:rPr>
        <w:t xml:space="preserve"> </w:t>
      </w:r>
      <w:r w:rsidR="00161AD7" w:rsidRPr="00B554C3">
        <w:rPr>
          <w:rFonts w:ascii="Arial" w:hAnsi="Arial" w:cs="Arial"/>
          <w:color w:val="000000" w:themeColor="text1"/>
          <w:sz w:val="20"/>
          <w:szCs w:val="20"/>
          <w:lang w:val="vi-VN"/>
        </w:rPr>
        <w:t>and</w:t>
      </w:r>
      <w:r w:rsidR="00161AD7" w:rsidRPr="00A2108F">
        <w:rPr>
          <w:rFonts w:ascii="Arial" w:hAnsi="Arial" w:cs="Arial"/>
          <w:color w:val="000000" w:themeColor="text1"/>
          <w:sz w:val="20"/>
          <w:szCs w:val="20"/>
          <w:lang w:val="vi-VN"/>
        </w:rPr>
        <w:t xml:space="preserve"> </w:t>
      </w:r>
      <w:r w:rsidR="00161AD7" w:rsidRPr="00B554C3">
        <w:rPr>
          <w:rFonts w:ascii="Arial" w:hAnsi="Arial" w:cs="Arial"/>
          <w:color w:val="000000" w:themeColor="text1"/>
          <w:sz w:val="20"/>
          <w:szCs w:val="20"/>
          <w:lang w:val="vi-VN"/>
        </w:rPr>
        <w:t>Fujun Xiao</w:t>
      </w:r>
      <w:r w:rsidR="00161AD7">
        <w:rPr>
          <w:rFonts w:ascii="Arial" w:hAnsi="Arial" w:cs="Arial"/>
          <w:color w:val="000000" w:themeColor="text1"/>
          <w:sz w:val="20"/>
          <w:szCs w:val="20"/>
          <w:lang w:val="vi-VN"/>
        </w:rPr>
        <w:t xml:space="preserve"> </w:t>
      </w:r>
      <w:r w:rsidR="00161AD7">
        <w:rPr>
          <w:rFonts w:ascii="Arial" w:hAnsi="Arial" w:cs="Arial"/>
          <w:color w:val="000000" w:themeColor="text1"/>
          <w:sz w:val="20"/>
          <w:szCs w:val="20"/>
          <w:lang w:val="vi-VN"/>
        </w:rPr>
        <w:lastRenderedPageBreak/>
        <w:t>(</w:t>
      </w:r>
      <w:r w:rsidR="00161AD7" w:rsidRPr="00A2108F">
        <w:rPr>
          <w:rFonts w:ascii="Arial" w:hAnsi="Arial" w:cs="Arial"/>
          <w:color w:val="000000" w:themeColor="text1"/>
          <w:sz w:val="20"/>
          <w:szCs w:val="20"/>
          <w:lang w:val="vi-VN"/>
        </w:rPr>
        <w:t>2024</w:t>
      </w:r>
      <w:r w:rsidR="00161AD7">
        <w:rPr>
          <w:rFonts w:ascii="Arial" w:hAnsi="Arial" w:cs="Arial"/>
          <w:color w:val="000000" w:themeColor="text1"/>
          <w:sz w:val="20"/>
          <w:szCs w:val="20"/>
          <w:lang w:val="vi-VN"/>
        </w:rPr>
        <w:t xml:space="preserve">), </w:t>
      </w:r>
      <w:r w:rsidR="00DF60FE" w:rsidRPr="006623DE">
        <w:rPr>
          <w:rFonts w:ascii="Arial" w:hAnsi="Arial" w:cs="Arial"/>
          <w:sz w:val="20"/>
          <w:szCs w:val="20"/>
          <w:lang w:val="vi-VN"/>
        </w:rPr>
        <w:t>Nguy</w:t>
      </w:r>
      <w:r w:rsidRPr="006623DE">
        <w:rPr>
          <w:rFonts w:ascii="Arial" w:hAnsi="Arial" w:cs="Arial"/>
          <w:sz w:val="20"/>
          <w:szCs w:val="20"/>
        </w:rPr>
        <w:t>e</w:t>
      </w:r>
      <w:r w:rsidR="00DF60FE" w:rsidRPr="006623DE">
        <w:rPr>
          <w:rFonts w:ascii="Arial" w:hAnsi="Arial" w:cs="Arial"/>
          <w:sz w:val="20"/>
          <w:szCs w:val="20"/>
          <w:lang w:val="vi-VN"/>
        </w:rPr>
        <w:t>n Duy Th</w:t>
      </w:r>
      <w:r w:rsidRPr="006623DE">
        <w:rPr>
          <w:rFonts w:ascii="Arial" w:hAnsi="Arial" w:cs="Arial"/>
          <w:sz w:val="20"/>
          <w:szCs w:val="20"/>
        </w:rPr>
        <w:t>u</w:t>
      </w:r>
      <w:r w:rsidR="00DF60FE" w:rsidRPr="006623DE">
        <w:rPr>
          <w:rFonts w:ascii="Arial" w:hAnsi="Arial" w:cs="Arial"/>
          <w:sz w:val="20"/>
          <w:szCs w:val="20"/>
          <w:lang w:val="vi-VN"/>
        </w:rPr>
        <w:t>c (2024) and Ph</w:t>
      </w:r>
      <w:r w:rsidRPr="006623DE">
        <w:rPr>
          <w:rFonts w:ascii="Arial" w:hAnsi="Arial" w:cs="Arial"/>
          <w:sz w:val="20"/>
          <w:szCs w:val="20"/>
        </w:rPr>
        <w:t>a</w:t>
      </w:r>
      <w:r w:rsidR="00DF60FE" w:rsidRPr="006623DE">
        <w:rPr>
          <w:rFonts w:ascii="Arial" w:hAnsi="Arial" w:cs="Arial"/>
          <w:sz w:val="20"/>
          <w:szCs w:val="20"/>
          <w:lang w:val="vi-VN"/>
        </w:rPr>
        <w:t>m Quang Vinh (2023), which highlight that lecturer brand value is crucial in enhancing a university’s competitive position and reputation.</w:t>
      </w:r>
    </w:p>
    <w:p w14:paraId="668BEE09" w14:textId="77777777" w:rsidR="000D2E2E" w:rsidRPr="006623DE" w:rsidRDefault="000D2E2E" w:rsidP="00906C7B">
      <w:pPr>
        <w:spacing w:after="0" w:line="360" w:lineRule="auto"/>
        <w:jc w:val="both"/>
        <w:rPr>
          <w:rFonts w:ascii="Arial" w:hAnsi="Arial" w:cs="Arial"/>
          <w:sz w:val="20"/>
          <w:szCs w:val="20"/>
          <w:lang w:val="vi-VN"/>
        </w:rPr>
      </w:pPr>
    </w:p>
    <w:p w14:paraId="552A431E" w14:textId="1BBE63FA" w:rsidR="000D2E2E" w:rsidRPr="006623DE" w:rsidRDefault="000D2E2E" w:rsidP="00906C7B">
      <w:pPr>
        <w:spacing w:after="0" w:line="360" w:lineRule="auto"/>
        <w:jc w:val="both"/>
        <w:rPr>
          <w:rFonts w:ascii="Arial" w:hAnsi="Arial" w:cs="Arial"/>
          <w:b/>
          <w:bCs/>
          <w:sz w:val="20"/>
          <w:szCs w:val="20"/>
        </w:rPr>
      </w:pPr>
      <w:r w:rsidRPr="006623DE">
        <w:rPr>
          <w:rFonts w:ascii="Arial" w:hAnsi="Arial" w:cs="Arial"/>
          <w:b/>
          <w:bCs/>
          <w:sz w:val="20"/>
          <w:szCs w:val="20"/>
          <w:lang w:val="vi-VN"/>
        </w:rPr>
        <w:t>5. CONCLUSION AND MANAGEMENT IMPLICATIONS</w:t>
      </w:r>
      <w:r w:rsidR="006870EA" w:rsidRPr="006623DE">
        <w:rPr>
          <w:rFonts w:ascii="Arial" w:hAnsi="Arial" w:cs="Arial"/>
          <w:b/>
          <w:bCs/>
          <w:sz w:val="20"/>
          <w:szCs w:val="20"/>
        </w:rPr>
        <w:t>:</w:t>
      </w:r>
    </w:p>
    <w:p w14:paraId="0F3ACC5E" w14:textId="66EDFB06" w:rsidR="0057210F" w:rsidRPr="0057210F" w:rsidRDefault="00661C97" w:rsidP="0057210F">
      <w:pPr>
        <w:spacing w:after="0" w:line="360" w:lineRule="auto"/>
        <w:jc w:val="both"/>
        <w:rPr>
          <w:rFonts w:ascii="Arial" w:hAnsi="Arial" w:cs="Arial"/>
          <w:sz w:val="20"/>
          <w:szCs w:val="20"/>
          <w:lang w:val="vi-VN"/>
        </w:rPr>
      </w:pPr>
      <w:r w:rsidRPr="006623DE">
        <w:rPr>
          <w:rFonts w:ascii="Arial" w:hAnsi="Arial" w:cs="Arial"/>
          <w:sz w:val="20"/>
          <w:szCs w:val="20"/>
        </w:rPr>
        <w:t xml:space="preserve">   </w:t>
      </w:r>
      <w:r w:rsidR="0057210F" w:rsidRPr="0057210F">
        <w:rPr>
          <w:rFonts w:ascii="Arial" w:hAnsi="Arial" w:cs="Arial"/>
          <w:sz w:val="20"/>
          <w:szCs w:val="20"/>
          <w:lang w:val="vi-VN"/>
        </w:rPr>
        <w:t>The research findings reveal the following causal interactions:</w:t>
      </w:r>
      <w:r w:rsidR="0057210F" w:rsidRPr="006623DE">
        <w:rPr>
          <w:rFonts w:ascii="Arial" w:hAnsi="Arial" w:cs="Arial"/>
          <w:sz w:val="20"/>
          <w:szCs w:val="20"/>
        </w:rPr>
        <w:t xml:space="preserve"> (1) </w:t>
      </w:r>
      <w:r w:rsidR="0057210F" w:rsidRPr="0057210F">
        <w:rPr>
          <w:rFonts w:ascii="Arial" w:hAnsi="Arial" w:cs="Arial"/>
          <w:sz w:val="20"/>
          <w:szCs w:val="20"/>
          <w:lang w:val="vi-VN"/>
        </w:rPr>
        <w:t xml:space="preserve">Leadership style directly impacts the organizational culture of universities. Additionally, it influences the enhancement of </w:t>
      </w:r>
      <w:r w:rsidR="0057210F" w:rsidRPr="006623DE">
        <w:rPr>
          <w:rFonts w:ascii="Arial" w:hAnsi="Arial" w:cs="Arial"/>
          <w:sz w:val="20"/>
          <w:szCs w:val="20"/>
        </w:rPr>
        <w:t xml:space="preserve">lecturer </w:t>
      </w:r>
      <w:r w:rsidR="0057210F" w:rsidRPr="0057210F">
        <w:rPr>
          <w:rFonts w:ascii="Arial" w:hAnsi="Arial" w:cs="Arial"/>
          <w:sz w:val="20"/>
          <w:szCs w:val="20"/>
          <w:lang w:val="vi-VN"/>
        </w:rPr>
        <w:t>brand value and university brand value.</w:t>
      </w:r>
      <w:r w:rsidR="0057210F" w:rsidRPr="006623DE">
        <w:rPr>
          <w:rFonts w:ascii="Arial" w:hAnsi="Arial" w:cs="Arial"/>
          <w:sz w:val="20"/>
          <w:szCs w:val="20"/>
        </w:rPr>
        <w:t xml:space="preserve"> (2) </w:t>
      </w:r>
      <w:r w:rsidR="0057210F" w:rsidRPr="0057210F">
        <w:rPr>
          <w:rFonts w:ascii="Arial" w:hAnsi="Arial" w:cs="Arial"/>
          <w:sz w:val="20"/>
          <w:szCs w:val="20"/>
          <w:lang w:val="vi-VN"/>
        </w:rPr>
        <w:t xml:space="preserve">The organizational culture of a university directly affects both </w:t>
      </w:r>
      <w:r w:rsidR="0057210F" w:rsidRPr="006623DE">
        <w:rPr>
          <w:rFonts w:ascii="Arial" w:hAnsi="Arial" w:cs="Arial"/>
          <w:sz w:val="20"/>
          <w:szCs w:val="20"/>
        </w:rPr>
        <w:t>lecturer</w:t>
      </w:r>
      <w:r w:rsidR="0057210F" w:rsidRPr="0057210F">
        <w:rPr>
          <w:rFonts w:ascii="Arial" w:hAnsi="Arial" w:cs="Arial"/>
          <w:sz w:val="20"/>
          <w:szCs w:val="20"/>
          <w:lang w:val="vi-VN"/>
        </w:rPr>
        <w:t xml:space="preserve"> brand value and university brand value.</w:t>
      </w:r>
      <w:r w:rsidR="0057210F" w:rsidRPr="006623DE">
        <w:rPr>
          <w:rFonts w:ascii="Arial" w:hAnsi="Arial" w:cs="Arial"/>
          <w:sz w:val="20"/>
          <w:szCs w:val="20"/>
        </w:rPr>
        <w:t xml:space="preserve"> (3) Lecturer</w:t>
      </w:r>
      <w:r w:rsidR="0057210F" w:rsidRPr="0057210F">
        <w:rPr>
          <w:rFonts w:ascii="Arial" w:hAnsi="Arial" w:cs="Arial"/>
          <w:sz w:val="20"/>
          <w:szCs w:val="20"/>
          <w:lang w:val="vi-VN"/>
        </w:rPr>
        <w:t xml:space="preserve"> brand value has a direct impact on strengthening the university's brand.</w:t>
      </w:r>
    </w:p>
    <w:p w14:paraId="246223CC" w14:textId="41066417" w:rsidR="006870EA" w:rsidRPr="006623DE" w:rsidRDefault="00661C97" w:rsidP="00906C7B">
      <w:pPr>
        <w:spacing w:after="0" w:line="360" w:lineRule="auto"/>
        <w:jc w:val="both"/>
        <w:rPr>
          <w:rFonts w:ascii="Arial" w:hAnsi="Arial" w:cs="Arial"/>
          <w:sz w:val="20"/>
          <w:szCs w:val="20"/>
          <w:lang w:val="vi-VN"/>
        </w:rPr>
      </w:pPr>
      <w:r w:rsidRPr="006623DE">
        <w:rPr>
          <w:rFonts w:ascii="Arial" w:hAnsi="Arial" w:cs="Arial"/>
          <w:sz w:val="20"/>
          <w:szCs w:val="20"/>
        </w:rPr>
        <w:t xml:space="preserve">   </w:t>
      </w:r>
      <w:r w:rsidR="007E6E50" w:rsidRPr="006623DE">
        <w:rPr>
          <w:rFonts w:ascii="Arial" w:hAnsi="Arial" w:cs="Arial"/>
          <w:sz w:val="20"/>
          <w:szCs w:val="20"/>
          <w:lang w:val="vi-VN"/>
        </w:rPr>
        <w:t>In conclusion, the leadership style of the university administration and the value of lecture  members play a crucial role in educational activities at universities during the reform period. They enhance the university's brand and competitive position, contributing to its sustainable development in the pursuit of education.</w:t>
      </w:r>
    </w:p>
    <w:p w14:paraId="1EB76FD3" w14:textId="12FCC914" w:rsidR="00211F23" w:rsidRPr="006623DE" w:rsidRDefault="00077D72" w:rsidP="00906C7B">
      <w:pPr>
        <w:spacing w:after="0" w:line="360" w:lineRule="auto"/>
        <w:jc w:val="both"/>
        <w:rPr>
          <w:rFonts w:ascii="Arial" w:hAnsi="Arial" w:cs="Arial"/>
          <w:sz w:val="20"/>
          <w:szCs w:val="20"/>
        </w:rPr>
      </w:pPr>
      <w:r w:rsidRPr="006623DE">
        <w:rPr>
          <w:rFonts w:ascii="Arial" w:hAnsi="Arial" w:cs="Arial"/>
          <w:sz w:val="20"/>
          <w:szCs w:val="20"/>
        </w:rPr>
        <w:t xml:space="preserve">   </w:t>
      </w:r>
      <w:r w:rsidR="00211F23" w:rsidRPr="006623DE">
        <w:rPr>
          <w:rFonts w:ascii="Arial" w:hAnsi="Arial" w:cs="Arial"/>
          <w:sz w:val="20"/>
          <w:szCs w:val="20"/>
        </w:rPr>
        <w:t>Some managerial implications are recommended to enhance the brand and competitive position of universities and educational institutions in building, maintaining, and developing their brand</w:t>
      </w:r>
      <w:r w:rsidRPr="006623DE">
        <w:rPr>
          <w:rFonts w:ascii="Arial" w:hAnsi="Arial" w:cs="Arial"/>
          <w:sz w:val="20"/>
          <w:szCs w:val="20"/>
        </w:rPr>
        <w:t>:</w:t>
      </w:r>
    </w:p>
    <w:p w14:paraId="47ED9A3E" w14:textId="7B66F221" w:rsidR="00077D72" w:rsidRPr="006623DE" w:rsidRDefault="003A11E9" w:rsidP="00906C7B">
      <w:pPr>
        <w:spacing w:after="0" w:line="360" w:lineRule="auto"/>
        <w:jc w:val="both"/>
        <w:rPr>
          <w:rFonts w:ascii="Arial" w:hAnsi="Arial" w:cs="Arial"/>
          <w:sz w:val="20"/>
          <w:szCs w:val="20"/>
        </w:rPr>
      </w:pPr>
      <w:r>
        <w:rPr>
          <w:rFonts w:ascii="Arial" w:hAnsi="Arial" w:cs="Arial"/>
          <w:sz w:val="20"/>
          <w:szCs w:val="20"/>
          <w:lang w:val="vi-VN"/>
        </w:rPr>
        <w:t xml:space="preserve">   </w:t>
      </w:r>
      <w:r w:rsidR="00D97F92" w:rsidRPr="006623DE">
        <w:rPr>
          <w:rFonts w:ascii="Arial" w:hAnsi="Arial" w:cs="Arial"/>
          <w:sz w:val="20"/>
          <w:szCs w:val="20"/>
        </w:rPr>
        <w:t xml:space="preserve">- </w:t>
      </w:r>
      <w:r w:rsidR="003474D5" w:rsidRPr="006623DE">
        <w:rPr>
          <w:rFonts w:ascii="Arial" w:hAnsi="Arial" w:cs="Arial"/>
          <w:sz w:val="20"/>
          <w:szCs w:val="20"/>
        </w:rPr>
        <w:t>First, senior administrators at universities, in addition to possessing high-level expertise, need to adopt an appropriate leadership style to foster a positive organizational culture. A culture that serves the mission of education should create an environment that ensures high-quality support for both learners and educators. The role of administrators is to develop infrastructure and implement effective teaching and learning processes, providing students with the best possible conditions for knowledge acquisition and enhancement.</w:t>
      </w:r>
    </w:p>
    <w:p w14:paraId="2900DC80" w14:textId="373F7AAF" w:rsidR="00B611D2" w:rsidRPr="006623DE" w:rsidRDefault="00404491" w:rsidP="00906C7B">
      <w:pPr>
        <w:spacing w:after="0" w:line="360" w:lineRule="auto"/>
        <w:jc w:val="both"/>
        <w:rPr>
          <w:rFonts w:ascii="Arial" w:hAnsi="Arial" w:cs="Arial"/>
          <w:sz w:val="20"/>
          <w:szCs w:val="20"/>
        </w:rPr>
      </w:pPr>
      <w:r>
        <w:rPr>
          <w:rFonts w:ascii="Arial" w:hAnsi="Arial" w:cs="Arial"/>
          <w:sz w:val="20"/>
          <w:szCs w:val="20"/>
          <w:lang w:val="vi-VN"/>
        </w:rPr>
        <w:t xml:space="preserve">   </w:t>
      </w:r>
      <w:r w:rsidR="00D97F92" w:rsidRPr="006623DE">
        <w:rPr>
          <w:rFonts w:ascii="Arial" w:hAnsi="Arial" w:cs="Arial"/>
          <w:sz w:val="20"/>
          <w:szCs w:val="20"/>
        </w:rPr>
        <w:t xml:space="preserve">- </w:t>
      </w:r>
      <w:r w:rsidR="00B611D2" w:rsidRPr="006623DE">
        <w:rPr>
          <w:rFonts w:ascii="Arial" w:hAnsi="Arial" w:cs="Arial"/>
          <w:sz w:val="20"/>
          <w:szCs w:val="20"/>
        </w:rPr>
        <w:t xml:space="preserve">Second, organizational culture is a key indicator of a university’s modernity and civility, playing a crucial role in enhancing </w:t>
      </w:r>
      <w:r w:rsidR="003A5A78" w:rsidRPr="006623DE">
        <w:rPr>
          <w:rFonts w:ascii="Arial" w:hAnsi="Arial" w:cs="Arial"/>
          <w:sz w:val="20"/>
          <w:szCs w:val="20"/>
        </w:rPr>
        <w:t xml:space="preserve">lecturer brand </w:t>
      </w:r>
      <w:r w:rsidR="00B611D2" w:rsidRPr="006623DE">
        <w:rPr>
          <w:rFonts w:ascii="Arial" w:hAnsi="Arial" w:cs="Arial"/>
          <w:sz w:val="20"/>
          <w:szCs w:val="20"/>
        </w:rPr>
        <w:t xml:space="preserve">value and strengthening the university's brand. Therefore, it is essential to establish regulations that promote a positive behavioral culture, fostering collaboration, knowledge sharing, and respectful communication among colleagues and students. Additionally, universities should develop fair reward policies for both students and </w:t>
      </w:r>
      <w:r w:rsidR="003A5A78" w:rsidRPr="006623DE">
        <w:rPr>
          <w:rFonts w:ascii="Arial" w:hAnsi="Arial" w:cs="Arial"/>
          <w:sz w:val="20"/>
          <w:szCs w:val="20"/>
        </w:rPr>
        <w:t>lecturers</w:t>
      </w:r>
      <w:r w:rsidR="00B611D2" w:rsidRPr="006623DE">
        <w:rPr>
          <w:rFonts w:ascii="Arial" w:hAnsi="Arial" w:cs="Arial"/>
          <w:sz w:val="20"/>
          <w:szCs w:val="20"/>
        </w:rPr>
        <w:t xml:space="preserve"> who achieve excellence</w:t>
      </w:r>
      <w:r w:rsidR="003A5A78" w:rsidRPr="006623DE">
        <w:rPr>
          <w:rFonts w:ascii="Arial" w:hAnsi="Arial" w:cs="Arial"/>
          <w:sz w:val="20"/>
          <w:szCs w:val="20"/>
        </w:rPr>
        <w:t xml:space="preserve"> - </w:t>
      </w:r>
      <w:r w:rsidR="00B611D2" w:rsidRPr="006623DE">
        <w:rPr>
          <w:rFonts w:ascii="Arial" w:hAnsi="Arial" w:cs="Arial"/>
          <w:sz w:val="20"/>
          <w:szCs w:val="20"/>
        </w:rPr>
        <w:t>such as publishing high-quality research in reputable scientific journals or introducing innovative teaching methods that are well-received by students and society.</w:t>
      </w:r>
    </w:p>
    <w:p w14:paraId="576BFCD5" w14:textId="74C2D4D1" w:rsidR="00A95E63" w:rsidRPr="006623DE" w:rsidRDefault="00DC7D26" w:rsidP="00D97F92">
      <w:pPr>
        <w:spacing w:after="0" w:line="360" w:lineRule="auto"/>
        <w:jc w:val="both"/>
        <w:rPr>
          <w:rFonts w:ascii="Arial" w:hAnsi="Arial" w:cs="Arial"/>
          <w:sz w:val="20"/>
          <w:szCs w:val="20"/>
        </w:rPr>
      </w:pPr>
      <w:r>
        <w:rPr>
          <w:rFonts w:ascii="Arial" w:hAnsi="Arial" w:cs="Arial"/>
          <w:sz w:val="20"/>
          <w:szCs w:val="20"/>
          <w:lang w:val="vi-VN"/>
        </w:rPr>
        <w:t xml:space="preserve">   </w:t>
      </w:r>
      <w:r w:rsidR="00D97F92" w:rsidRPr="006623DE">
        <w:rPr>
          <w:rFonts w:ascii="Arial" w:hAnsi="Arial" w:cs="Arial"/>
          <w:sz w:val="20"/>
          <w:szCs w:val="20"/>
        </w:rPr>
        <w:t xml:space="preserve">- </w:t>
      </w:r>
      <w:r w:rsidR="00A95E63" w:rsidRPr="006623DE">
        <w:rPr>
          <w:rFonts w:ascii="Arial" w:hAnsi="Arial" w:cs="Arial"/>
          <w:sz w:val="20"/>
          <w:szCs w:val="20"/>
        </w:rPr>
        <w:t>Third, universities should develop policies to attract and nurture talented lecturers</w:t>
      </w:r>
      <w:r w:rsidR="00D97F92" w:rsidRPr="006623DE">
        <w:rPr>
          <w:rFonts w:ascii="Arial" w:hAnsi="Arial" w:cs="Arial"/>
          <w:sz w:val="20"/>
          <w:szCs w:val="20"/>
        </w:rPr>
        <w:t xml:space="preserve"> - </w:t>
      </w:r>
      <w:r w:rsidR="00A95E63" w:rsidRPr="006623DE">
        <w:rPr>
          <w:rFonts w:ascii="Arial" w:hAnsi="Arial" w:cs="Arial"/>
          <w:sz w:val="20"/>
          <w:szCs w:val="20"/>
        </w:rPr>
        <w:t xml:space="preserve">those who possess both strong ethics and expertise. </w:t>
      </w:r>
      <w:r w:rsidR="00D97F92" w:rsidRPr="006623DE">
        <w:rPr>
          <w:rFonts w:ascii="Arial" w:hAnsi="Arial" w:cs="Arial"/>
          <w:sz w:val="20"/>
          <w:szCs w:val="20"/>
        </w:rPr>
        <w:t>Lecturer</w:t>
      </w:r>
      <w:r w:rsidR="00A95E63" w:rsidRPr="006623DE">
        <w:rPr>
          <w:rFonts w:ascii="Arial" w:hAnsi="Arial" w:cs="Arial"/>
          <w:sz w:val="20"/>
          <w:szCs w:val="20"/>
        </w:rPr>
        <w:t xml:space="preserve"> members play a crucial role in conveying the university’s educational strategies and development goals by directly engaging with students through high-quality lectures and academic support. Institutions should implement mechanisms that motivate all </w:t>
      </w:r>
      <w:r w:rsidR="00D97F92" w:rsidRPr="006623DE">
        <w:rPr>
          <w:rFonts w:ascii="Arial" w:hAnsi="Arial" w:cs="Arial"/>
          <w:sz w:val="20"/>
          <w:szCs w:val="20"/>
        </w:rPr>
        <w:t>lecturer</w:t>
      </w:r>
      <w:r w:rsidR="00A95E63" w:rsidRPr="006623DE">
        <w:rPr>
          <w:rFonts w:ascii="Arial" w:hAnsi="Arial" w:cs="Arial"/>
          <w:sz w:val="20"/>
          <w:szCs w:val="20"/>
        </w:rPr>
        <w:t xml:space="preserve"> members to strive for excellence.</w:t>
      </w:r>
      <w:r w:rsidR="00D97F92" w:rsidRPr="006623DE">
        <w:rPr>
          <w:rFonts w:ascii="Arial" w:hAnsi="Arial" w:cs="Arial"/>
          <w:sz w:val="20"/>
          <w:szCs w:val="20"/>
        </w:rPr>
        <w:t xml:space="preserve"> </w:t>
      </w:r>
      <w:r w:rsidR="00A95E63" w:rsidRPr="006623DE">
        <w:rPr>
          <w:rFonts w:ascii="Arial" w:hAnsi="Arial" w:cs="Arial"/>
          <w:sz w:val="20"/>
          <w:szCs w:val="20"/>
        </w:rPr>
        <w:t xml:space="preserve">Outstanding </w:t>
      </w:r>
      <w:r w:rsidR="00D97F92" w:rsidRPr="006623DE">
        <w:rPr>
          <w:rFonts w:ascii="Arial" w:hAnsi="Arial" w:cs="Arial"/>
          <w:sz w:val="20"/>
          <w:szCs w:val="20"/>
        </w:rPr>
        <w:t>lecturers</w:t>
      </w:r>
      <w:r w:rsidR="00A95E63" w:rsidRPr="006623DE">
        <w:rPr>
          <w:rFonts w:ascii="Arial" w:hAnsi="Arial" w:cs="Arial"/>
          <w:sz w:val="20"/>
          <w:szCs w:val="20"/>
        </w:rPr>
        <w:t xml:space="preserve"> not only effectively deliver specialized scientific knowledge but also provide practical insights. Therefore, they must have ample opportunities for real-world engagement and conduct applied research to enhance their ability to inspire students. This fosters a lifelong learning mindset, encouraging students to apply their knowledge in practice. Such an approach aligns with the rapidly evolving landscape of global higher education and the dynamic socio-economic context of Vietnam.</w:t>
      </w:r>
    </w:p>
    <w:p w14:paraId="217D0B4A" w14:textId="77777777" w:rsidR="00A95E63" w:rsidRPr="006623DE" w:rsidRDefault="00A95E63" w:rsidP="00906C7B">
      <w:pPr>
        <w:spacing w:after="0" w:line="360" w:lineRule="auto"/>
        <w:jc w:val="both"/>
        <w:rPr>
          <w:rFonts w:ascii="Arial" w:hAnsi="Arial" w:cs="Arial"/>
          <w:sz w:val="20"/>
          <w:szCs w:val="20"/>
        </w:rPr>
      </w:pPr>
    </w:p>
    <w:p w14:paraId="41ADD2D9" w14:textId="77777777" w:rsidR="0040459A" w:rsidRPr="006623DE" w:rsidRDefault="0040459A" w:rsidP="0040459A">
      <w:pPr>
        <w:spacing w:after="0" w:line="360" w:lineRule="auto"/>
        <w:jc w:val="both"/>
        <w:rPr>
          <w:rFonts w:ascii="Arial" w:hAnsi="Arial" w:cs="Arial"/>
          <w:b/>
          <w:bCs/>
          <w:sz w:val="20"/>
          <w:szCs w:val="20"/>
        </w:rPr>
      </w:pPr>
      <w:r w:rsidRPr="006623DE">
        <w:rPr>
          <w:rFonts w:ascii="Arial" w:hAnsi="Arial" w:cs="Arial"/>
          <w:b/>
          <w:bCs/>
          <w:sz w:val="20"/>
          <w:szCs w:val="20"/>
        </w:rPr>
        <w:t>ACKNOWLEDGEMENTS</w:t>
      </w:r>
    </w:p>
    <w:p w14:paraId="447EAA2B" w14:textId="305AC115" w:rsidR="0040459A" w:rsidRPr="006623DE" w:rsidRDefault="00654D26" w:rsidP="0040459A">
      <w:pPr>
        <w:spacing w:after="0" w:line="360" w:lineRule="auto"/>
        <w:jc w:val="both"/>
        <w:rPr>
          <w:rFonts w:ascii="Arial" w:hAnsi="Arial" w:cs="Arial"/>
          <w:sz w:val="20"/>
          <w:szCs w:val="20"/>
        </w:rPr>
      </w:pPr>
      <w:r>
        <w:rPr>
          <w:rFonts w:ascii="Arial" w:hAnsi="Arial" w:cs="Arial"/>
          <w:sz w:val="20"/>
          <w:szCs w:val="20"/>
          <w:lang w:val="vi-VN"/>
        </w:rPr>
        <w:t xml:space="preserve">   </w:t>
      </w:r>
      <w:r w:rsidR="0040459A" w:rsidRPr="006623DE">
        <w:rPr>
          <w:rFonts w:ascii="Arial" w:hAnsi="Arial" w:cs="Arial"/>
          <w:sz w:val="20"/>
          <w:szCs w:val="20"/>
        </w:rPr>
        <w:t>We would like to express my sincere thanks to all the lecturers and university administrators who supported the survey.</w:t>
      </w:r>
    </w:p>
    <w:p w14:paraId="4A531D92" w14:textId="14E653C0" w:rsidR="0040459A" w:rsidRPr="006623DE" w:rsidRDefault="004251C7" w:rsidP="0040459A">
      <w:pPr>
        <w:spacing w:after="0" w:line="360" w:lineRule="auto"/>
        <w:jc w:val="both"/>
        <w:rPr>
          <w:rFonts w:ascii="Arial" w:hAnsi="Arial" w:cs="Arial"/>
          <w:sz w:val="20"/>
          <w:szCs w:val="20"/>
        </w:rPr>
      </w:pPr>
      <w:r>
        <w:rPr>
          <w:rFonts w:ascii="Arial" w:hAnsi="Arial" w:cs="Arial"/>
          <w:sz w:val="20"/>
          <w:szCs w:val="20"/>
          <w:lang w:val="vi-VN"/>
        </w:rPr>
        <w:t xml:space="preserve">   </w:t>
      </w:r>
      <w:r w:rsidR="0040459A" w:rsidRPr="006623DE">
        <w:rPr>
          <w:rFonts w:ascii="Arial" w:hAnsi="Arial" w:cs="Arial"/>
          <w:sz w:val="20"/>
          <w:szCs w:val="20"/>
        </w:rPr>
        <w:t>It is important to note that no funding was involved in the conduct and analysis of this study.</w:t>
      </w:r>
    </w:p>
    <w:p w14:paraId="02F8216E" w14:textId="63EF10BE" w:rsidR="0040459A" w:rsidRDefault="004251C7" w:rsidP="0040459A">
      <w:pPr>
        <w:spacing w:after="0" w:line="360" w:lineRule="auto"/>
        <w:jc w:val="both"/>
        <w:rPr>
          <w:rFonts w:ascii="Arial" w:hAnsi="Arial" w:cs="Arial"/>
          <w:sz w:val="20"/>
          <w:szCs w:val="20"/>
        </w:rPr>
      </w:pPr>
      <w:r>
        <w:rPr>
          <w:rFonts w:ascii="Arial" w:hAnsi="Arial" w:cs="Arial"/>
          <w:sz w:val="20"/>
          <w:szCs w:val="20"/>
          <w:lang w:val="vi-VN"/>
        </w:rPr>
        <w:t xml:space="preserve">   </w:t>
      </w:r>
      <w:r w:rsidR="0040459A" w:rsidRPr="006623DE">
        <w:rPr>
          <w:rFonts w:ascii="Arial" w:hAnsi="Arial" w:cs="Arial"/>
          <w:sz w:val="20"/>
          <w:szCs w:val="20"/>
        </w:rPr>
        <w:t>All opinions expressed are solely those of the authors and it is hoped that the findings and contributions will be meaningful in improving the sustainability of universities.</w:t>
      </w:r>
    </w:p>
    <w:p w14:paraId="6562446E" w14:textId="77777777" w:rsidR="00FD1CBA" w:rsidRPr="006623DE" w:rsidRDefault="00FD1CBA" w:rsidP="0040459A">
      <w:pPr>
        <w:spacing w:after="0" w:line="360" w:lineRule="auto"/>
        <w:jc w:val="both"/>
        <w:rPr>
          <w:rFonts w:ascii="Arial" w:hAnsi="Arial" w:cs="Arial"/>
          <w:sz w:val="20"/>
          <w:szCs w:val="20"/>
        </w:rPr>
      </w:pPr>
      <w:bookmarkStart w:id="0" w:name="_GoBack"/>
      <w:bookmarkEnd w:id="0"/>
    </w:p>
    <w:p w14:paraId="325B831D" w14:textId="77777777" w:rsidR="00FD1CBA" w:rsidRPr="00FD1CBA" w:rsidRDefault="00FD1CBA" w:rsidP="00FD1CBA">
      <w:pPr>
        <w:spacing w:after="0" w:line="360" w:lineRule="auto"/>
        <w:jc w:val="both"/>
        <w:rPr>
          <w:rFonts w:ascii="Arial" w:hAnsi="Arial" w:cs="Arial"/>
          <w:b/>
          <w:bCs/>
          <w:sz w:val="20"/>
          <w:szCs w:val="20"/>
        </w:rPr>
      </w:pPr>
      <w:r w:rsidRPr="00FD1CBA">
        <w:rPr>
          <w:rFonts w:ascii="Arial" w:hAnsi="Arial" w:cs="Arial"/>
          <w:b/>
          <w:bCs/>
          <w:sz w:val="20"/>
          <w:szCs w:val="20"/>
        </w:rPr>
        <w:t>Disclaimer (Artificial intelligence)</w:t>
      </w:r>
    </w:p>
    <w:p w14:paraId="7BC1CB52" w14:textId="77777777" w:rsidR="00FD1CBA" w:rsidRPr="00FD1CBA" w:rsidRDefault="00FD1CBA" w:rsidP="00FD1CBA">
      <w:pPr>
        <w:spacing w:after="0" w:line="360" w:lineRule="auto"/>
        <w:jc w:val="both"/>
        <w:rPr>
          <w:rFonts w:ascii="Arial" w:hAnsi="Arial" w:cs="Arial"/>
          <w:bCs/>
          <w:sz w:val="20"/>
          <w:szCs w:val="20"/>
        </w:rPr>
      </w:pPr>
      <w:r w:rsidRPr="00FD1CBA">
        <w:rPr>
          <w:rFonts w:ascii="Arial" w:hAnsi="Arial" w:cs="Arial"/>
          <w:bCs/>
          <w:sz w:val="20"/>
          <w:szCs w:val="20"/>
        </w:rPr>
        <w:t xml:space="preserve">Option 1: </w:t>
      </w:r>
    </w:p>
    <w:p w14:paraId="54A1F62F" w14:textId="77777777" w:rsidR="00FD1CBA" w:rsidRPr="00FD1CBA" w:rsidRDefault="00FD1CBA" w:rsidP="00FD1CBA">
      <w:pPr>
        <w:spacing w:after="0" w:line="360" w:lineRule="auto"/>
        <w:jc w:val="both"/>
        <w:rPr>
          <w:rFonts w:ascii="Arial" w:hAnsi="Arial" w:cs="Arial"/>
          <w:bCs/>
          <w:sz w:val="20"/>
          <w:szCs w:val="20"/>
        </w:rPr>
      </w:pPr>
      <w:r w:rsidRPr="00FD1CBA">
        <w:rPr>
          <w:rFonts w:ascii="Arial" w:hAnsi="Arial" w:cs="Arial"/>
          <w:bCs/>
          <w:sz w:val="20"/>
          <w:szCs w:val="20"/>
        </w:rPr>
        <w:t>Author(s) hereby declare that NO generative AI technologies such as Large Language Models (</w:t>
      </w:r>
      <w:proofErr w:type="spellStart"/>
      <w:r w:rsidRPr="00FD1CBA">
        <w:rPr>
          <w:rFonts w:ascii="Arial" w:hAnsi="Arial" w:cs="Arial"/>
          <w:bCs/>
          <w:sz w:val="20"/>
          <w:szCs w:val="20"/>
        </w:rPr>
        <w:t>ChatGPT</w:t>
      </w:r>
      <w:proofErr w:type="spellEnd"/>
      <w:r w:rsidRPr="00FD1CBA">
        <w:rPr>
          <w:rFonts w:ascii="Arial" w:hAnsi="Arial" w:cs="Arial"/>
          <w:bCs/>
          <w:sz w:val="20"/>
          <w:szCs w:val="20"/>
        </w:rPr>
        <w:t xml:space="preserve">, COPILOT, etc.) and text-to-image generators have been used during the writing or editing of this manuscript. </w:t>
      </w:r>
    </w:p>
    <w:p w14:paraId="646E4A67" w14:textId="77777777" w:rsidR="00FD1CBA" w:rsidRPr="00FD1CBA" w:rsidRDefault="00FD1CBA" w:rsidP="00FD1CBA">
      <w:pPr>
        <w:spacing w:after="0" w:line="360" w:lineRule="auto"/>
        <w:jc w:val="both"/>
        <w:rPr>
          <w:rFonts w:ascii="Arial" w:hAnsi="Arial" w:cs="Arial"/>
          <w:bCs/>
          <w:sz w:val="20"/>
          <w:szCs w:val="20"/>
        </w:rPr>
      </w:pPr>
      <w:r w:rsidRPr="00FD1CBA">
        <w:rPr>
          <w:rFonts w:ascii="Arial" w:hAnsi="Arial" w:cs="Arial"/>
          <w:bCs/>
          <w:sz w:val="20"/>
          <w:szCs w:val="20"/>
        </w:rPr>
        <w:t xml:space="preserve">Option 2: </w:t>
      </w:r>
    </w:p>
    <w:p w14:paraId="76294FBE" w14:textId="77777777" w:rsidR="00FD1CBA" w:rsidRPr="00FD1CBA" w:rsidRDefault="00FD1CBA" w:rsidP="00FD1CBA">
      <w:pPr>
        <w:spacing w:after="0" w:line="360" w:lineRule="auto"/>
        <w:jc w:val="both"/>
        <w:rPr>
          <w:rFonts w:ascii="Arial" w:hAnsi="Arial" w:cs="Arial"/>
          <w:bCs/>
          <w:sz w:val="20"/>
          <w:szCs w:val="20"/>
        </w:rPr>
      </w:pPr>
      <w:r w:rsidRPr="00FD1CBA">
        <w:rPr>
          <w:rFonts w:ascii="Arial" w:hAnsi="Arial" w:cs="Arial"/>
          <w:bCs/>
          <w:sz w:val="20"/>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9E535AB" w14:textId="77777777" w:rsidR="00FD1CBA" w:rsidRPr="00FD1CBA" w:rsidRDefault="00FD1CBA" w:rsidP="00FD1CBA">
      <w:pPr>
        <w:spacing w:after="0" w:line="360" w:lineRule="auto"/>
        <w:jc w:val="both"/>
        <w:rPr>
          <w:rFonts w:ascii="Arial" w:hAnsi="Arial" w:cs="Arial"/>
          <w:bCs/>
          <w:sz w:val="20"/>
          <w:szCs w:val="20"/>
        </w:rPr>
      </w:pPr>
      <w:r w:rsidRPr="00FD1CBA">
        <w:rPr>
          <w:rFonts w:ascii="Arial" w:hAnsi="Arial" w:cs="Arial"/>
          <w:bCs/>
          <w:sz w:val="20"/>
          <w:szCs w:val="20"/>
        </w:rPr>
        <w:t>Details of the AI usage are given below:</w:t>
      </w:r>
    </w:p>
    <w:p w14:paraId="5948AE85" w14:textId="77777777" w:rsidR="00FD1CBA" w:rsidRPr="00FD1CBA" w:rsidRDefault="00FD1CBA" w:rsidP="00FD1CBA">
      <w:pPr>
        <w:spacing w:after="0" w:line="360" w:lineRule="auto"/>
        <w:jc w:val="both"/>
        <w:rPr>
          <w:rFonts w:ascii="Arial" w:hAnsi="Arial" w:cs="Arial"/>
          <w:bCs/>
          <w:sz w:val="20"/>
          <w:szCs w:val="20"/>
        </w:rPr>
      </w:pPr>
      <w:r w:rsidRPr="00FD1CBA">
        <w:rPr>
          <w:rFonts w:ascii="Arial" w:hAnsi="Arial" w:cs="Arial"/>
          <w:bCs/>
          <w:sz w:val="20"/>
          <w:szCs w:val="20"/>
        </w:rPr>
        <w:t>1.</w:t>
      </w:r>
    </w:p>
    <w:p w14:paraId="545C1682" w14:textId="77777777" w:rsidR="00FD1CBA" w:rsidRPr="00FD1CBA" w:rsidRDefault="00FD1CBA" w:rsidP="00FD1CBA">
      <w:pPr>
        <w:spacing w:after="0" w:line="360" w:lineRule="auto"/>
        <w:jc w:val="both"/>
        <w:rPr>
          <w:rFonts w:ascii="Arial" w:hAnsi="Arial" w:cs="Arial"/>
          <w:bCs/>
          <w:sz w:val="20"/>
          <w:szCs w:val="20"/>
        </w:rPr>
      </w:pPr>
      <w:r w:rsidRPr="00FD1CBA">
        <w:rPr>
          <w:rFonts w:ascii="Arial" w:hAnsi="Arial" w:cs="Arial"/>
          <w:bCs/>
          <w:sz w:val="20"/>
          <w:szCs w:val="20"/>
        </w:rPr>
        <w:t>2.</w:t>
      </w:r>
    </w:p>
    <w:p w14:paraId="11AA0A81" w14:textId="6BD84C2B" w:rsidR="0040459A" w:rsidRPr="00FD1CBA" w:rsidRDefault="00FD1CBA" w:rsidP="00FD1CBA">
      <w:pPr>
        <w:spacing w:after="0" w:line="360" w:lineRule="auto"/>
        <w:jc w:val="both"/>
        <w:rPr>
          <w:rFonts w:ascii="Arial" w:hAnsi="Arial" w:cs="Arial"/>
          <w:bCs/>
          <w:sz w:val="20"/>
          <w:szCs w:val="20"/>
        </w:rPr>
      </w:pPr>
      <w:r w:rsidRPr="00FD1CBA">
        <w:rPr>
          <w:rFonts w:ascii="Arial" w:hAnsi="Arial" w:cs="Arial"/>
          <w:bCs/>
          <w:sz w:val="20"/>
          <w:szCs w:val="20"/>
        </w:rPr>
        <w:t>3.</w:t>
      </w:r>
    </w:p>
    <w:p w14:paraId="7C8DBEA3" w14:textId="77777777" w:rsidR="003711CA" w:rsidRPr="006623DE" w:rsidRDefault="003711CA" w:rsidP="00906C7B">
      <w:pPr>
        <w:spacing w:after="0" w:line="360" w:lineRule="auto"/>
        <w:jc w:val="both"/>
        <w:rPr>
          <w:rFonts w:ascii="Arial" w:hAnsi="Arial" w:cs="Arial"/>
          <w:b/>
          <w:bCs/>
          <w:sz w:val="20"/>
          <w:szCs w:val="20"/>
        </w:rPr>
      </w:pPr>
    </w:p>
    <w:p w14:paraId="11107C0C" w14:textId="77777777" w:rsidR="003711CA" w:rsidRPr="006623DE" w:rsidRDefault="003711CA" w:rsidP="003711CA">
      <w:pPr>
        <w:spacing w:after="0" w:line="360" w:lineRule="auto"/>
        <w:jc w:val="both"/>
        <w:rPr>
          <w:rFonts w:ascii="Arial" w:eastAsia="Times New Roman" w:hAnsi="Arial" w:cs="Arial"/>
          <w:b/>
          <w:bCs/>
          <w:kern w:val="0"/>
          <w:sz w:val="20"/>
          <w:szCs w:val="20"/>
          <w:lang w:val="vi-VN"/>
          <w14:ligatures w14:val="none"/>
        </w:rPr>
      </w:pPr>
      <w:r w:rsidRPr="006623DE">
        <w:rPr>
          <w:rFonts w:ascii="Arial" w:eastAsia="Times New Roman" w:hAnsi="Arial" w:cs="Arial"/>
          <w:b/>
          <w:bCs/>
          <w:kern w:val="0"/>
          <w:sz w:val="20"/>
          <w:szCs w:val="20"/>
          <w:lang w:val="vi-VN"/>
          <w14:ligatures w14:val="none"/>
        </w:rPr>
        <w:t>REFERENCES:</w:t>
      </w:r>
    </w:p>
    <w:p w14:paraId="78D314F7" w14:textId="77777777" w:rsidR="006623DE" w:rsidRPr="006623DE" w:rsidRDefault="006623DE" w:rsidP="006623DE">
      <w:pPr>
        <w:spacing w:after="0" w:line="276" w:lineRule="auto"/>
        <w:ind w:left="567" w:hanging="567"/>
        <w:jc w:val="both"/>
        <w:rPr>
          <w:rFonts w:ascii="Arial" w:hAnsi="Arial" w:cs="Arial"/>
          <w:color w:val="000000" w:themeColor="text1"/>
          <w:sz w:val="20"/>
          <w:szCs w:val="20"/>
          <w:lang w:val="vi-VN"/>
        </w:rPr>
      </w:pPr>
      <w:r w:rsidRPr="006623DE">
        <w:rPr>
          <w:rFonts w:ascii="Arial" w:hAnsi="Arial" w:cs="Arial"/>
          <w:color w:val="000000" w:themeColor="text1"/>
          <w:sz w:val="20"/>
          <w:szCs w:val="20"/>
          <w:lang w:val="vi-VN"/>
        </w:rPr>
        <w:t xml:space="preserve">Aaker, D.A. (1991). </w:t>
      </w:r>
      <w:r w:rsidRPr="006623DE">
        <w:rPr>
          <w:rFonts w:ascii="Arial" w:hAnsi="Arial" w:cs="Arial"/>
          <w:i/>
          <w:iCs/>
          <w:color w:val="000000" w:themeColor="text1"/>
          <w:sz w:val="20"/>
          <w:szCs w:val="20"/>
          <w:lang w:val="vi-VN"/>
        </w:rPr>
        <w:t>Managing Brand Equity</w:t>
      </w:r>
      <w:r w:rsidRPr="006623DE">
        <w:rPr>
          <w:rFonts w:ascii="Arial" w:hAnsi="Arial" w:cs="Arial"/>
          <w:color w:val="000000" w:themeColor="text1"/>
          <w:sz w:val="20"/>
          <w:szCs w:val="20"/>
          <w:lang w:val="vi-VN"/>
        </w:rPr>
        <w:t>, New York: The Free Press, NY.</w:t>
      </w:r>
    </w:p>
    <w:p w14:paraId="54D84F20" w14:textId="77777777" w:rsidR="006623DE" w:rsidRPr="007A4759" w:rsidRDefault="006623DE" w:rsidP="006623DE">
      <w:pPr>
        <w:spacing w:after="0" w:line="276" w:lineRule="auto"/>
        <w:ind w:left="567" w:hanging="567"/>
        <w:jc w:val="both"/>
        <w:rPr>
          <w:rFonts w:ascii="Arial" w:hAnsi="Arial" w:cs="Arial"/>
          <w:color w:val="000000" w:themeColor="text1"/>
          <w:sz w:val="20"/>
          <w:szCs w:val="20"/>
          <w:lang w:val="vi-VN"/>
        </w:rPr>
      </w:pPr>
      <w:r w:rsidRPr="007A4759">
        <w:rPr>
          <w:rFonts w:ascii="Arial" w:hAnsi="Arial" w:cs="Arial"/>
          <w:color w:val="000000" w:themeColor="text1"/>
          <w:sz w:val="20"/>
          <w:szCs w:val="20"/>
          <w:lang w:val="vi-VN"/>
        </w:rPr>
        <w:t xml:space="preserve">Acar, A.Z. (2012). Organizational culture, leadership styles and organizational commitment in Turkish logistics industry. </w:t>
      </w:r>
      <w:r w:rsidRPr="007A4759">
        <w:rPr>
          <w:rFonts w:ascii="Arial" w:hAnsi="Arial" w:cs="Arial"/>
          <w:i/>
          <w:iCs/>
          <w:color w:val="000000" w:themeColor="text1"/>
          <w:sz w:val="20"/>
          <w:szCs w:val="20"/>
          <w:lang w:val="vi-VN"/>
        </w:rPr>
        <w:t>Procedia-Social and Behavioral Sciences</w:t>
      </w:r>
      <w:r w:rsidRPr="007A4759">
        <w:rPr>
          <w:rFonts w:ascii="Arial" w:hAnsi="Arial" w:cs="Arial"/>
          <w:color w:val="000000" w:themeColor="text1"/>
          <w:sz w:val="20"/>
          <w:szCs w:val="20"/>
          <w:lang w:val="vi-VN"/>
        </w:rPr>
        <w:t>, 58, p. 217-226</w:t>
      </w:r>
    </w:p>
    <w:p w14:paraId="09606129" w14:textId="77777777" w:rsidR="006623DE" w:rsidRPr="007A4759" w:rsidRDefault="006623DE" w:rsidP="006623DE">
      <w:pPr>
        <w:spacing w:after="0" w:line="276" w:lineRule="auto"/>
        <w:ind w:left="450" w:hanging="450"/>
        <w:jc w:val="both"/>
        <w:rPr>
          <w:rFonts w:ascii="Arial" w:hAnsi="Arial" w:cs="Arial"/>
          <w:color w:val="000000" w:themeColor="text1"/>
          <w:sz w:val="20"/>
          <w:szCs w:val="20"/>
          <w:lang w:val="vi-VN"/>
        </w:rPr>
      </w:pPr>
      <w:r w:rsidRPr="007A4759">
        <w:rPr>
          <w:rFonts w:ascii="Arial" w:hAnsi="Arial" w:cs="Arial"/>
          <w:color w:val="000000" w:themeColor="text1"/>
          <w:sz w:val="20"/>
          <w:szCs w:val="20"/>
          <w:lang w:val="vi-VN"/>
        </w:rPr>
        <w:t xml:space="preserve">Aferi, A., Amali, H., &amp; Lukito, H. (2023). The effect of transformational leadership style on   organizational commitment employee engagement and employee performance. </w:t>
      </w:r>
      <w:r w:rsidRPr="007A4759">
        <w:rPr>
          <w:rFonts w:ascii="Arial" w:hAnsi="Arial" w:cs="Arial"/>
          <w:i/>
          <w:iCs/>
          <w:color w:val="000000" w:themeColor="text1"/>
          <w:sz w:val="20"/>
          <w:szCs w:val="20"/>
          <w:lang w:val="vi-VN"/>
        </w:rPr>
        <w:t>Journal of Business studies and Mangement Review</w:t>
      </w:r>
      <w:r w:rsidRPr="007A4759">
        <w:rPr>
          <w:rFonts w:ascii="Arial" w:hAnsi="Arial" w:cs="Arial"/>
          <w:color w:val="000000" w:themeColor="text1"/>
          <w:sz w:val="20"/>
          <w:szCs w:val="20"/>
          <w:lang w:val="vi-VN"/>
        </w:rPr>
        <w:t>, 6(2), p.135-142</w:t>
      </w:r>
    </w:p>
    <w:p w14:paraId="517C0FE6" w14:textId="77777777" w:rsidR="006623DE" w:rsidRPr="006623DE" w:rsidRDefault="006623DE" w:rsidP="006623DE">
      <w:pPr>
        <w:spacing w:after="0" w:line="276" w:lineRule="auto"/>
        <w:ind w:left="450" w:hanging="450"/>
        <w:jc w:val="both"/>
        <w:rPr>
          <w:rFonts w:ascii="Arial" w:hAnsi="Arial" w:cs="Arial"/>
          <w:color w:val="000000" w:themeColor="text1"/>
          <w:sz w:val="20"/>
          <w:szCs w:val="20"/>
          <w:lang w:val="vi-VN"/>
        </w:rPr>
      </w:pPr>
      <w:proofErr w:type="spellStart"/>
      <w:r w:rsidRPr="007A4759">
        <w:rPr>
          <w:rFonts w:ascii="Arial" w:hAnsi="Arial" w:cs="Arial"/>
          <w:color w:val="000000" w:themeColor="text1"/>
          <w:sz w:val="20"/>
          <w:szCs w:val="20"/>
        </w:rPr>
        <w:t>Anastasiou</w:t>
      </w:r>
      <w:proofErr w:type="spellEnd"/>
      <w:r w:rsidRPr="007A4759">
        <w:rPr>
          <w:rFonts w:ascii="Arial" w:hAnsi="Arial" w:cs="Arial"/>
          <w:color w:val="000000" w:themeColor="text1"/>
          <w:sz w:val="20"/>
          <w:szCs w:val="20"/>
          <w:lang w:val="vi-VN"/>
        </w:rPr>
        <w:t xml:space="preserve">, </w:t>
      </w:r>
      <w:r w:rsidRPr="006623DE">
        <w:rPr>
          <w:rFonts w:ascii="Arial" w:hAnsi="Arial" w:cs="Arial"/>
          <w:color w:val="000000" w:themeColor="text1"/>
          <w:sz w:val="20"/>
          <w:szCs w:val="20"/>
          <w:lang w:val="vi-VN"/>
        </w:rPr>
        <w:t xml:space="preserve">S. </w:t>
      </w:r>
      <w:r w:rsidRPr="006623DE">
        <w:rPr>
          <w:rFonts w:ascii="Arial" w:hAnsi="Arial" w:cs="Arial"/>
          <w:color w:val="000000" w:themeColor="text1"/>
          <w:sz w:val="20"/>
          <w:szCs w:val="20"/>
        </w:rPr>
        <w:t>&amp;</w:t>
      </w:r>
      <w:r w:rsidRPr="006623DE">
        <w:rPr>
          <w:rFonts w:ascii="Arial" w:hAnsi="Arial" w:cs="Arial"/>
          <w:color w:val="000000" w:themeColor="text1"/>
          <w:sz w:val="20"/>
          <w:szCs w:val="20"/>
          <w:lang w:val="vi-VN"/>
        </w:rPr>
        <w:t xml:space="preserve"> Ga</w:t>
      </w:r>
      <w:r w:rsidRPr="006623DE">
        <w:rPr>
          <w:rFonts w:ascii="Arial" w:hAnsi="Arial" w:cs="Arial"/>
          <w:color w:val="000000" w:themeColor="text1"/>
          <w:sz w:val="20"/>
          <w:szCs w:val="20"/>
        </w:rPr>
        <w:t>ramet</w:t>
      </w:r>
      <w:r w:rsidRPr="006623DE">
        <w:rPr>
          <w:rFonts w:ascii="Arial" w:hAnsi="Arial" w:cs="Arial"/>
          <w:color w:val="000000" w:themeColor="text1"/>
          <w:sz w:val="20"/>
          <w:szCs w:val="20"/>
          <w:lang w:val="vi-VN"/>
        </w:rPr>
        <w:t xml:space="preserve">si, V. </w:t>
      </w:r>
      <w:r w:rsidRPr="006623DE">
        <w:rPr>
          <w:rFonts w:ascii="Arial" w:hAnsi="Arial" w:cs="Arial"/>
          <w:color w:val="000000" w:themeColor="text1"/>
          <w:sz w:val="20"/>
          <w:szCs w:val="20"/>
        </w:rPr>
        <w:t>(2021).</w:t>
      </w:r>
      <w:r w:rsidRPr="006623DE">
        <w:rPr>
          <w:rFonts w:ascii="Arial" w:hAnsi="Arial" w:cs="Arial"/>
          <w:color w:val="000000" w:themeColor="text1"/>
          <w:sz w:val="20"/>
          <w:szCs w:val="20"/>
          <w:lang w:val="vi-VN"/>
        </w:rPr>
        <w:t xml:space="preserve"> </w:t>
      </w:r>
      <w:r w:rsidRPr="006623DE">
        <w:rPr>
          <w:rFonts w:ascii="Arial" w:hAnsi="Arial" w:cs="Arial"/>
          <w:color w:val="000000" w:themeColor="text1"/>
          <w:sz w:val="20"/>
          <w:szCs w:val="20"/>
        </w:rPr>
        <w:t>Perceived   leadership   style   and   job   satisfaction   of   teachers   in   public   and   private schools</w:t>
      </w:r>
      <w:r w:rsidRPr="006623DE">
        <w:rPr>
          <w:rFonts w:ascii="Arial" w:hAnsi="Arial" w:cs="Arial"/>
          <w:color w:val="000000" w:themeColor="text1"/>
          <w:sz w:val="20"/>
          <w:szCs w:val="20"/>
          <w:lang w:val="vi-VN"/>
        </w:rPr>
        <w:t xml:space="preserve">. </w:t>
      </w:r>
      <w:r w:rsidRPr="006623DE">
        <w:rPr>
          <w:rFonts w:ascii="Arial" w:hAnsi="Arial" w:cs="Arial"/>
          <w:i/>
          <w:iCs/>
          <w:color w:val="000000" w:themeColor="text1"/>
          <w:sz w:val="20"/>
          <w:szCs w:val="20"/>
        </w:rPr>
        <w:t>International Journal of</w:t>
      </w:r>
      <w:r w:rsidRPr="006623DE">
        <w:rPr>
          <w:rFonts w:ascii="Arial" w:hAnsi="Arial" w:cs="Arial"/>
          <w:i/>
          <w:iCs/>
          <w:color w:val="000000" w:themeColor="text1"/>
          <w:sz w:val="20"/>
          <w:szCs w:val="20"/>
          <w:lang w:val="vi-VN"/>
        </w:rPr>
        <w:t xml:space="preserve"> </w:t>
      </w:r>
      <w:r w:rsidRPr="006623DE">
        <w:rPr>
          <w:rFonts w:ascii="Arial" w:hAnsi="Arial" w:cs="Arial"/>
          <w:i/>
          <w:iCs/>
          <w:color w:val="000000" w:themeColor="text1"/>
          <w:sz w:val="20"/>
          <w:szCs w:val="20"/>
        </w:rPr>
        <w:t>Management in Education</w:t>
      </w:r>
      <w:r w:rsidRPr="006623DE">
        <w:rPr>
          <w:rFonts w:ascii="Arial" w:hAnsi="Arial" w:cs="Arial"/>
          <w:color w:val="000000" w:themeColor="text1"/>
          <w:sz w:val="20"/>
          <w:szCs w:val="20"/>
        </w:rPr>
        <w:t xml:space="preserve">, 15(1), </w:t>
      </w:r>
      <w:r w:rsidRPr="006623DE">
        <w:rPr>
          <w:rFonts w:ascii="Arial" w:hAnsi="Arial" w:cs="Arial"/>
          <w:color w:val="000000" w:themeColor="text1"/>
          <w:sz w:val="20"/>
          <w:szCs w:val="20"/>
          <w:lang w:val="vi-VN"/>
        </w:rPr>
        <w:t>p.</w:t>
      </w:r>
      <w:r w:rsidRPr="006623DE">
        <w:rPr>
          <w:rFonts w:ascii="Arial" w:hAnsi="Arial" w:cs="Arial"/>
          <w:color w:val="000000" w:themeColor="text1"/>
          <w:sz w:val="20"/>
          <w:szCs w:val="20"/>
        </w:rPr>
        <w:t>58-77</w:t>
      </w:r>
      <w:r w:rsidRPr="006623DE">
        <w:rPr>
          <w:rFonts w:ascii="Arial" w:hAnsi="Arial" w:cs="Arial"/>
          <w:color w:val="000000" w:themeColor="text1"/>
          <w:sz w:val="20"/>
          <w:szCs w:val="20"/>
          <w:lang w:val="vi-VN"/>
        </w:rPr>
        <w:t>.</w:t>
      </w:r>
    </w:p>
    <w:p w14:paraId="1F7AD8A0" w14:textId="77777777" w:rsidR="006623DE" w:rsidRPr="006623DE" w:rsidRDefault="006623DE" w:rsidP="006623DE">
      <w:pPr>
        <w:spacing w:after="0" w:line="276" w:lineRule="auto"/>
        <w:ind w:left="450" w:hanging="450"/>
        <w:jc w:val="both"/>
        <w:rPr>
          <w:rFonts w:ascii="Arial" w:hAnsi="Arial" w:cs="Arial"/>
          <w:color w:val="000000" w:themeColor="text1"/>
          <w:sz w:val="20"/>
          <w:szCs w:val="20"/>
        </w:rPr>
      </w:pPr>
      <w:r w:rsidRPr="007A4759">
        <w:rPr>
          <w:rFonts w:ascii="Arial" w:hAnsi="Arial" w:cs="Arial"/>
          <w:color w:val="000000" w:themeColor="text1"/>
          <w:sz w:val="20"/>
          <w:szCs w:val="20"/>
        </w:rPr>
        <w:t>Anderson,</w:t>
      </w:r>
      <w:r w:rsidRPr="006623DE">
        <w:rPr>
          <w:rFonts w:ascii="Arial" w:hAnsi="Arial" w:cs="Arial"/>
          <w:color w:val="000000" w:themeColor="text1"/>
          <w:sz w:val="20"/>
          <w:szCs w:val="20"/>
        </w:rPr>
        <w:t xml:space="preserve"> M.</w:t>
      </w:r>
      <w:r w:rsidRPr="006623DE">
        <w:rPr>
          <w:rFonts w:ascii="Arial" w:hAnsi="Arial" w:cs="Arial"/>
          <w:color w:val="000000" w:themeColor="text1"/>
          <w:sz w:val="20"/>
          <w:szCs w:val="20"/>
          <w:lang w:val="vi-VN"/>
        </w:rPr>
        <w:t xml:space="preserve"> </w:t>
      </w:r>
      <w:r w:rsidRPr="006623DE">
        <w:rPr>
          <w:rFonts w:ascii="Arial" w:hAnsi="Arial" w:cs="Arial"/>
          <w:color w:val="000000" w:themeColor="text1"/>
          <w:sz w:val="20"/>
          <w:szCs w:val="20"/>
        </w:rPr>
        <w:t>(2017).</w:t>
      </w:r>
      <w:r w:rsidRPr="006623DE">
        <w:rPr>
          <w:rFonts w:ascii="Arial" w:hAnsi="Arial" w:cs="Arial"/>
          <w:color w:val="000000" w:themeColor="text1"/>
          <w:sz w:val="20"/>
          <w:szCs w:val="20"/>
          <w:lang w:val="vi-VN"/>
        </w:rPr>
        <w:t xml:space="preserve"> </w:t>
      </w:r>
      <w:r w:rsidRPr="006623DE">
        <w:rPr>
          <w:rFonts w:ascii="Arial" w:hAnsi="Arial" w:cs="Arial"/>
          <w:color w:val="000000" w:themeColor="text1"/>
          <w:sz w:val="20"/>
          <w:szCs w:val="20"/>
        </w:rPr>
        <w:t>Transformational</w:t>
      </w:r>
      <w:r w:rsidRPr="006623DE">
        <w:rPr>
          <w:rFonts w:ascii="Arial" w:hAnsi="Arial" w:cs="Arial"/>
          <w:color w:val="000000" w:themeColor="text1"/>
          <w:sz w:val="20"/>
          <w:szCs w:val="20"/>
          <w:lang w:val="vi-VN"/>
        </w:rPr>
        <w:t xml:space="preserve"> </w:t>
      </w:r>
      <w:r w:rsidRPr="006623DE">
        <w:rPr>
          <w:rFonts w:ascii="Arial" w:hAnsi="Arial" w:cs="Arial"/>
          <w:color w:val="000000" w:themeColor="text1"/>
          <w:sz w:val="20"/>
          <w:szCs w:val="20"/>
        </w:rPr>
        <w:t>leadership</w:t>
      </w:r>
      <w:r w:rsidRPr="006623DE">
        <w:rPr>
          <w:rFonts w:ascii="Arial" w:hAnsi="Arial" w:cs="Arial"/>
          <w:color w:val="000000" w:themeColor="text1"/>
          <w:sz w:val="20"/>
          <w:szCs w:val="20"/>
          <w:lang w:val="vi-VN"/>
        </w:rPr>
        <w:t xml:space="preserve"> </w:t>
      </w:r>
      <w:r w:rsidRPr="006623DE">
        <w:rPr>
          <w:rFonts w:ascii="Arial" w:hAnsi="Arial" w:cs="Arial"/>
          <w:color w:val="000000" w:themeColor="text1"/>
          <w:sz w:val="20"/>
          <w:szCs w:val="20"/>
        </w:rPr>
        <w:t>in</w:t>
      </w:r>
      <w:r w:rsidRPr="006623DE">
        <w:rPr>
          <w:rFonts w:ascii="Arial" w:hAnsi="Arial" w:cs="Arial"/>
          <w:color w:val="000000" w:themeColor="text1"/>
          <w:sz w:val="20"/>
          <w:szCs w:val="20"/>
          <w:lang w:val="vi-VN"/>
        </w:rPr>
        <w:t xml:space="preserve"> </w:t>
      </w:r>
      <w:r w:rsidRPr="006623DE">
        <w:rPr>
          <w:rFonts w:ascii="Arial" w:hAnsi="Arial" w:cs="Arial"/>
          <w:color w:val="000000" w:themeColor="text1"/>
          <w:sz w:val="20"/>
          <w:szCs w:val="20"/>
        </w:rPr>
        <w:t>education:</w:t>
      </w:r>
      <w:r w:rsidRPr="006623DE">
        <w:rPr>
          <w:rFonts w:ascii="Arial" w:hAnsi="Arial" w:cs="Arial"/>
          <w:color w:val="000000" w:themeColor="text1"/>
          <w:sz w:val="20"/>
          <w:szCs w:val="20"/>
          <w:lang w:val="vi-VN"/>
        </w:rPr>
        <w:t xml:space="preserve"> </w:t>
      </w:r>
      <w:r w:rsidRPr="006623DE">
        <w:rPr>
          <w:rFonts w:ascii="Arial" w:hAnsi="Arial" w:cs="Arial"/>
          <w:i/>
          <w:iCs/>
          <w:color w:val="000000" w:themeColor="text1"/>
          <w:sz w:val="20"/>
          <w:szCs w:val="20"/>
        </w:rPr>
        <w:t>A</w:t>
      </w:r>
      <w:r w:rsidRPr="006623DE">
        <w:rPr>
          <w:rFonts w:ascii="Arial" w:hAnsi="Arial" w:cs="Arial"/>
          <w:i/>
          <w:iCs/>
          <w:color w:val="000000" w:themeColor="text1"/>
          <w:sz w:val="20"/>
          <w:szCs w:val="20"/>
          <w:lang w:val="vi-VN"/>
        </w:rPr>
        <w:t xml:space="preserve"> </w:t>
      </w:r>
      <w:r w:rsidRPr="006623DE">
        <w:rPr>
          <w:rFonts w:ascii="Arial" w:hAnsi="Arial" w:cs="Arial"/>
          <w:i/>
          <w:iCs/>
          <w:color w:val="000000" w:themeColor="text1"/>
          <w:sz w:val="20"/>
          <w:szCs w:val="20"/>
        </w:rPr>
        <w:t>review</w:t>
      </w:r>
      <w:r w:rsidRPr="006623DE">
        <w:rPr>
          <w:rFonts w:ascii="Arial" w:hAnsi="Arial" w:cs="Arial"/>
          <w:i/>
          <w:iCs/>
          <w:color w:val="000000" w:themeColor="text1"/>
          <w:sz w:val="20"/>
          <w:szCs w:val="20"/>
          <w:lang w:val="vi-VN"/>
        </w:rPr>
        <w:t xml:space="preserve"> </w:t>
      </w:r>
      <w:r w:rsidRPr="006623DE">
        <w:rPr>
          <w:rFonts w:ascii="Arial" w:hAnsi="Arial" w:cs="Arial"/>
          <w:i/>
          <w:iCs/>
          <w:color w:val="000000" w:themeColor="text1"/>
          <w:sz w:val="20"/>
          <w:szCs w:val="20"/>
        </w:rPr>
        <w:t>of</w:t>
      </w:r>
      <w:r w:rsidRPr="006623DE">
        <w:rPr>
          <w:rFonts w:ascii="Arial" w:hAnsi="Arial" w:cs="Arial"/>
          <w:i/>
          <w:iCs/>
          <w:color w:val="000000" w:themeColor="text1"/>
          <w:sz w:val="20"/>
          <w:szCs w:val="20"/>
          <w:lang w:val="vi-VN"/>
        </w:rPr>
        <w:t xml:space="preserve"> </w:t>
      </w:r>
      <w:r w:rsidRPr="006623DE">
        <w:rPr>
          <w:rFonts w:ascii="Arial" w:hAnsi="Arial" w:cs="Arial"/>
          <w:i/>
          <w:iCs/>
          <w:color w:val="000000" w:themeColor="text1"/>
          <w:sz w:val="20"/>
          <w:szCs w:val="20"/>
        </w:rPr>
        <w:t>existing literature.</w:t>
      </w:r>
      <w:r w:rsidRPr="006623DE">
        <w:rPr>
          <w:rFonts w:ascii="Arial" w:hAnsi="Arial" w:cs="Arial"/>
          <w:i/>
          <w:iCs/>
          <w:color w:val="000000" w:themeColor="text1"/>
          <w:sz w:val="20"/>
          <w:szCs w:val="20"/>
          <w:lang w:val="vi-VN"/>
        </w:rPr>
        <w:t xml:space="preserve"> </w:t>
      </w:r>
      <w:r w:rsidRPr="006623DE">
        <w:rPr>
          <w:rFonts w:ascii="Arial" w:hAnsi="Arial" w:cs="Arial"/>
          <w:i/>
          <w:iCs/>
          <w:color w:val="000000" w:themeColor="text1"/>
          <w:sz w:val="20"/>
          <w:szCs w:val="20"/>
        </w:rPr>
        <w:t>International</w:t>
      </w:r>
      <w:r w:rsidRPr="006623DE">
        <w:rPr>
          <w:rFonts w:ascii="Arial" w:hAnsi="Arial" w:cs="Arial"/>
          <w:i/>
          <w:iCs/>
          <w:color w:val="000000" w:themeColor="text1"/>
          <w:sz w:val="20"/>
          <w:szCs w:val="20"/>
          <w:lang w:val="vi-VN"/>
        </w:rPr>
        <w:t xml:space="preserve"> </w:t>
      </w:r>
      <w:r w:rsidRPr="006623DE">
        <w:rPr>
          <w:rFonts w:ascii="Arial" w:hAnsi="Arial" w:cs="Arial"/>
          <w:i/>
          <w:iCs/>
          <w:color w:val="000000" w:themeColor="text1"/>
          <w:sz w:val="20"/>
          <w:szCs w:val="20"/>
        </w:rPr>
        <w:t>Social</w:t>
      </w:r>
      <w:r w:rsidRPr="006623DE">
        <w:rPr>
          <w:rFonts w:ascii="Arial" w:hAnsi="Arial" w:cs="Arial"/>
          <w:i/>
          <w:iCs/>
          <w:color w:val="000000" w:themeColor="text1"/>
          <w:sz w:val="20"/>
          <w:szCs w:val="20"/>
          <w:lang w:val="vi-VN"/>
        </w:rPr>
        <w:t xml:space="preserve"> </w:t>
      </w:r>
      <w:r w:rsidRPr="006623DE">
        <w:rPr>
          <w:rFonts w:ascii="Arial" w:hAnsi="Arial" w:cs="Arial"/>
          <w:i/>
          <w:iCs/>
          <w:color w:val="000000" w:themeColor="text1"/>
          <w:sz w:val="20"/>
          <w:szCs w:val="20"/>
        </w:rPr>
        <w:t>Science</w:t>
      </w:r>
      <w:r w:rsidRPr="006623DE">
        <w:rPr>
          <w:rFonts w:ascii="Arial" w:hAnsi="Arial" w:cs="Arial"/>
          <w:i/>
          <w:iCs/>
          <w:color w:val="000000" w:themeColor="text1"/>
          <w:sz w:val="20"/>
          <w:szCs w:val="20"/>
          <w:lang w:val="vi-VN"/>
        </w:rPr>
        <w:t xml:space="preserve"> </w:t>
      </w:r>
      <w:r w:rsidRPr="006623DE">
        <w:rPr>
          <w:rFonts w:ascii="Arial" w:hAnsi="Arial" w:cs="Arial"/>
          <w:i/>
          <w:iCs/>
          <w:color w:val="000000" w:themeColor="text1"/>
          <w:sz w:val="20"/>
          <w:szCs w:val="20"/>
        </w:rPr>
        <w:t>Review</w:t>
      </w:r>
      <w:r w:rsidRPr="006623DE">
        <w:rPr>
          <w:rFonts w:ascii="Arial" w:hAnsi="Arial" w:cs="Arial"/>
          <w:color w:val="000000" w:themeColor="text1"/>
          <w:sz w:val="20"/>
          <w:szCs w:val="20"/>
        </w:rPr>
        <w:t>,</w:t>
      </w:r>
      <w:r w:rsidRPr="006623DE">
        <w:rPr>
          <w:rFonts w:ascii="Arial" w:hAnsi="Arial" w:cs="Arial"/>
          <w:color w:val="000000" w:themeColor="text1"/>
          <w:sz w:val="20"/>
          <w:szCs w:val="20"/>
          <w:lang w:val="vi-VN"/>
        </w:rPr>
        <w:t xml:space="preserve"> </w:t>
      </w:r>
      <w:r w:rsidRPr="006623DE">
        <w:rPr>
          <w:rFonts w:ascii="Arial" w:hAnsi="Arial" w:cs="Arial"/>
          <w:color w:val="000000" w:themeColor="text1"/>
          <w:sz w:val="20"/>
          <w:szCs w:val="20"/>
        </w:rPr>
        <w:t>93(1),</w:t>
      </w:r>
      <w:r w:rsidRPr="006623DE">
        <w:rPr>
          <w:rFonts w:ascii="Arial" w:hAnsi="Arial" w:cs="Arial"/>
          <w:color w:val="000000" w:themeColor="text1"/>
          <w:sz w:val="20"/>
          <w:szCs w:val="20"/>
          <w:lang w:val="vi-VN"/>
        </w:rPr>
        <w:t xml:space="preserve"> p.</w:t>
      </w:r>
      <w:r w:rsidRPr="006623DE">
        <w:rPr>
          <w:rFonts w:ascii="Arial" w:hAnsi="Arial" w:cs="Arial"/>
          <w:color w:val="000000" w:themeColor="text1"/>
          <w:sz w:val="20"/>
          <w:szCs w:val="20"/>
        </w:rPr>
        <w:t>1-13.</w:t>
      </w:r>
    </w:p>
    <w:p w14:paraId="46D54572" w14:textId="75F23020" w:rsidR="006623DE" w:rsidRPr="006623DE" w:rsidRDefault="006623DE" w:rsidP="006623DE">
      <w:pPr>
        <w:spacing w:after="0" w:line="276" w:lineRule="auto"/>
        <w:ind w:left="450" w:hanging="450"/>
        <w:jc w:val="both"/>
        <w:rPr>
          <w:rFonts w:ascii="Arial" w:hAnsi="Arial" w:cs="Arial"/>
          <w:color w:val="000000" w:themeColor="text1"/>
          <w:sz w:val="20"/>
          <w:szCs w:val="20"/>
          <w:lang w:val="vi-VN"/>
        </w:rPr>
      </w:pPr>
      <w:r w:rsidRPr="007A4759">
        <w:rPr>
          <w:rFonts w:ascii="Arial" w:hAnsi="Arial" w:cs="Arial"/>
          <w:color w:val="000000" w:themeColor="text1"/>
          <w:sz w:val="20"/>
          <w:szCs w:val="20"/>
          <w:lang w:val="vi-VN"/>
        </w:rPr>
        <w:t>Do</w:t>
      </w:r>
      <w:r w:rsidRPr="007A4759">
        <w:rPr>
          <w:rFonts w:ascii="Arial" w:hAnsi="Arial" w:cs="Arial"/>
          <w:color w:val="000000" w:themeColor="text1"/>
          <w:sz w:val="20"/>
          <w:szCs w:val="20"/>
        </w:rPr>
        <w:t>a</w:t>
      </w:r>
      <w:r w:rsidRPr="007A4759">
        <w:rPr>
          <w:rFonts w:ascii="Arial" w:hAnsi="Arial" w:cs="Arial"/>
          <w:color w:val="000000" w:themeColor="text1"/>
          <w:sz w:val="20"/>
          <w:szCs w:val="20"/>
          <w:lang w:val="vi-VN"/>
        </w:rPr>
        <w:t>n Nh</w:t>
      </w:r>
      <w:r w:rsidR="005A4F02" w:rsidRPr="007A4759">
        <w:rPr>
          <w:rFonts w:ascii="Arial" w:hAnsi="Arial" w:cs="Arial"/>
          <w:color w:val="000000" w:themeColor="text1"/>
          <w:sz w:val="20"/>
          <w:szCs w:val="20"/>
        </w:rPr>
        <w:t>a</w:t>
      </w:r>
      <w:r w:rsidRPr="007A4759">
        <w:rPr>
          <w:rFonts w:ascii="Arial" w:hAnsi="Arial" w:cs="Arial"/>
          <w:color w:val="000000" w:themeColor="text1"/>
          <w:sz w:val="20"/>
          <w:szCs w:val="20"/>
          <w:lang w:val="vi-VN"/>
        </w:rPr>
        <w:t xml:space="preserve">n </w:t>
      </w:r>
      <w:r w:rsidRPr="006623DE">
        <w:rPr>
          <w:rFonts w:ascii="Arial" w:hAnsi="Arial" w:cs="Arial"/>
          <w:color w:val="000000" w:themeColor="text1"/>
          <w:sz w:val="20"/>
          <w:szCs w:val="20"/>
          <w:lang w:val="vi-VN"/>
        </w:rPr>
        <w:t>(2024).</w:t>
      </w:r>
      <w:r w:rsidR="005A4F02" w:rsidRPr="005A4F02">
        <w:t xml:space="preserve"> </w:t>
      </w:r>
      <w:r w:rsidR="005A4F02" w:rsidRPr="005A4F02">
        <w:rPr>
          <w:rFonts w:ascii="Arial" w:hAnsi="Arial" w:cs="Arial"/>
          <w:i/>
          <w:iCs/>
          <w:color w:val="000000" w:themeColor="text1"/>
          <w:sz w:val="20"/>
          <w:szCs w:val="20"/>
          <w:lang w:val="vi-VN"/>
        </w:rPr>
        <w:t>Telling numbers about university education quality assessment after 20 years</w:t>
      </w:r>
      <w:r w:rsidR="005A4F02" w:rsidRPr="005A4F02">
        <w:rPr>
          <w:rFonts w:ascii="Arial" w:hAnsi="Arial" w:cs="Arial"/>
          <w:color w:val="000000" w:themeColor="text1"/>
          <w:sz w:val="20"/>
          <w:szCs w:val="20"/>
          <w:lang w:val="vi-VN"/>
        </w:rPr>
        <w:t xml:space="preserve">. </w:t>
      </w:r>
      <w:r w:rsidR="005A4F02" w:rsidRPr="005A4F02">
        <w:rPr>
          <w:rFonts w:ascii="Arial" w:hAnsi="Arial" w:cs="Arial"/>
          <w:i/>
          <w:iCs/>
          <w:color w:val="000000" w:themeColor="text1"/>
          <w:sz w:val="20"/>
          <w:szCs w:val="20"/>
          <w:lang w:val="vi-VN"/>
        </w:rPr>
        <w:t>Vietnam Education Electronic Magazine</w:t>
      </w:r>
      <w:r w:rsidRPr="005A4F02">
        <w:rPr>
          <w:rFonts w:ascii="Arial" w:hAnsi="Arial" w:cs="Arial"/>
          <w:i/>
          <w:iCs/>
          <w:color w:val="000000" w:themeColor="text1"/>
          <w:sz w:val="20"/>
          <w:szCs w:val="20"/>
          <w:lang w:val="vi-VN"/>
        </w:rPr>
        <w:t>,</w:t>
      </w:r>
      <w:r w:rsidRPr="006623DE">
        <w:rPr>
          <w:rFonts w:ascii="Arial" w:hAnsi="Arial" w:cs="Arial"/>
          <w:color w:val="000000" w:themeColor="text1"/>
          <w:sz w:val="20"/>
          <w:szCs w:val="20"/>
          <w:lang w:val="vi-VN"/>
        </w:rPr>
        <w:t xml:space="preserve"> </w:t>
      </w:r>
      <w:hyperlink r:id="rId8" w:history="1">
        <w:r w:rsidRPr="006623DE">
          <w:rPr>
            <w:rFonts w:ascii="Arial" w:hAnsi="Arial" w:cs="Arial"/>
            <w:color w:val="000000" w:themeColor="text1"/>
            <w:sz w:val="20"/>
            <w:szCs w:val="20"/>
          </w:rPr>
          <w:t>https://giaoduc.net.vn/nhung-con-so-biet-noi-ve-kiem-dinh-chat-luong-giao-duc-dai-hoc-sau-20-nam-post240859.gd</w:t>
        </w:r>
      </w:hyperlink>
    </w:p>
    <w:p w14:paraId="7ED5FFA6" w14:textId="64F53B63" w:rsidR="006623DE" w:rsidRPr="006623DE" w:rsidRDefault="006623DE" w:rsidP="006623DE">
      <w:pPr>
        <w:spacing w:after="0" w:line="276" w:lineRule="auto"/>
        <w:ind w:left="450" w:hanging="450"/>
        <w:jc w:val="both"/>
        <w:rPr>
          <w:rFonts w:ascii="Arial" w:hAnsi="Arial" w:cs="Arial"/>
          <w:color w:val="000000" w:themeColor="text1"/>
          <w:sz w:val="20"/>
          <w:szCs w:val="20"/>
          <w:lang w:val="vi-VN"/>
        </w:rPr>
      </w:pPr>
      <w:r w:rsidRPr="007A4759">
        <w:rPr>
          <w:rFonts w:ascii="Arial" w:hAnsi="Arial" w:cs="Arial"/>
          <w:color w:val="000000" w:themeColor="text1"/>
          <w:sz w:val="20"/>
          <w:szCs w:val="20"/>
          <w:lang w:val="vi-VN"/>
        </w:rPr>
        <w:t>Đo</w:t>
      </w:r>
      <w:r w:rsidR="005A4F02" w:rsidRPr="007A4759">
        <w:rPr>
          <w:rFonts w:ascii="Arial" w:hAnsi="Arial" w:cs="Arial"/>
          <w:color w:val="000000" w:themeColor="text1"/>
          <w:sz w:val="20"/>
          <w:szCs w:val="20"/>
        </w:rPr>
        <w:t>a</w:t>
      </w:r>
      <w:r w:rsidRPr="007A4759">
        <w:rPr>
          <w:rFonts w:ascii="Arial" w:hAnsi="Arial" w:cs="Arial"/>
          <w:color w:val="000000" w:themeColor="text1"/>
          <w:sz w:val="20"/>
          <w:szCs w:val="20"/>
          <w:lang w:val="vi-VN"/>
        </w:rPr>
        <w:t>n Th</w:t>
      </w:r>
      <w:proofErr w:type="spellStart"/>
      <w:r w:rsidR="005A4F02" w:rsidRPr="007A4759">
        <w:rPr>
          <w:rFonts w:ascii="Arial" w:hAnsi="Arial" w:cs="Arial"/>
          <w:color w:val="000000" w:themeColor="text1"/>
          <w:sz w:val="20"/>
          <w:szCs w:val="20"/>
        </w:rPr>
        <w:t>i</w:t>
      </w:r>
      <w:proofErr w:type="spellEnd"/>
      <w:r w:rsidRPr="007A4759">
        <w:rPr>
          <w:rFonts w:ascii="Arial" w:hAnsi="Arial" w:cs="Arial"/>
          <w:color w:val="000000" w:themeColor="text1"/>
          <w:sz w:val="20"/>
          <w:szCs w:val="20"/>
          <w:lang w:val="vi-VN"/>
        </w:rPr>
        <w:t xml:space="preserve"> H</w:t>
      </w:r>
      <w:r w:rsidR="005A4F02" w:rsidRPr="007A4759">
        <w:rPr>
          <w:rFonts w:ascii="Arial" w:hAnsi="Arial" w:cs="Arial"/>
          <w:color w:val="000000" w:themeColor="text1"/>
          <w:sz w:val="20"/>
          <w:szCs w:val="20"/>
        </w:rPr>
        <w:t>o</w:t>
      </w:r>
      <w:r w:rsidRPr="007A4759">
        <w:rPr>
          <w:rFonts w:ascii="Arial" w:hAnsi="Arial" w:cs="Arial"/>
          <w:color w:val="000000" w:themeColor="text1"/>
          <w:sz w:val="20"/>
          <w:szCs w:val="20"/>
          <w:lang w:val="vi-VN"/>
        </w:rPr>
        <w:t>ng V</w:t>
      </w:r>
      <w:r w:rsidR="005A4F02" w:rsidRPr="007A4759">
        <w:rPr>
          <w:rFonts w:ascii="Arial" w:hAnsi="Arial" w:cs="Arial"/>
          <w:color w:val="000000" w:themeColor="text1"/>
          <w:sz w:val="20"/>
          <w:szCs w:val="20"/>
        </w:rPr>
        <w:t>a</w:t>
      </w:r>
      <w:r w:rsidRPr="007A4759">
        <w:rPr>
          <w:rFonts w:ascii="Arial" w:hAnsi="Arial" w:cs="Arial"/>
          <w:color w:val="000000" w:themeColor="text1"/>
          <w:sz w:val="20"/>
          <w:szCs w:val="20"/>
          <w:lang w:val="vi-VN"/>
        </w:rPr>
        <w:t xml:space="preserve">n </w:t>
      </w:r>
      <w:r w:rsidRPr="006623DE">
        <w:rPr>
          <w:rFonts w:ascii="Arial" w:hAnsi="Arial" w:cs="Arial"/>
          <w:color w:val="000000" w:themeColor="text1"/>
          <w:sz w:val="20"/>
          <w:szCs w:val="20"/>
          <w:lang w:val="vi-VN"/>
        </w:rPr>
        <w:t>&amp; Nguy</w:t>
      </w:r>
      <w:r w:rsidR="005A4F02">
        <w:rPr>
          <w:rFonts w:ascii="Arial" w:hAnsi="Arial" w:cs="Arial"/>
          <w:color w:val="000000" w:themeColor="text1"/>
          <w:sz w:val="20"/>
          <w:szCs w:val="20"/>
        </w:rPr>
        <w:t>e</w:t>
      </w:r>
      <w:r w:rsidRPr="006623DE">
        <w:rPr>
          <w:rFonts w:ascii="Arial" w:hAnsi="Arial" w:cs="Arial"/>
          <w:color w:val="000000" w:themeColor="text1"/>
          <w:sz w:val="20"/>
          <w:szCs w:val="20"/>
          <w:lang w:val="vi-VN"/>
        </w:rPr>
        <w:t>n Th</w:t>
      </w:r>
      <w:proofErr w:type="spellStart"/>
      <w:r w:rsidR="005A4F02">
        <w:rPr>
          <w:rFonts w:ascii="Arial" w:hAnsi="Arial" w:cs="Arial"/>
          <w:color w:val="000000" w:themeColor="text1"/>
          <w:sz w:val="20"/>
          <w:szCs w:val="20"/>
        </w:rPr>
        <w:t>i</w:t>
      </w:r>
      <w:proofErr w:type="spellEnd"/>
      <w:r w:rsidRPr="006623DE">
        <w:rPr>
          <w:rFonts w:ascii="Arial" w:hAnsi="Arial" w:cs="Arial"/>
          <w:color w:val="000000" w:themeColor="text1"/>
          <w:sz w:val="20"/>
          <w:szCs w:val="20"/>
          <w:lang w:val="vi-VN"/>
        </w:rPr>
        <w:t xml:space="preserve"> Th</w:t>
      </w:r>
      <w:r w:rsidR="005A4F02">
        <w:rPr>
          <w:rFonts w:ascii="Arial" w:hAnsi="Arial" w:cs="Arial"/>
          <w:color w:val="000000" w:themeColor="text1"/>
          <w:sz w:val="20"/>
          <w:szCs w:val="20"/>
        </w:rPr>
        <w:t>u</w:t>
      </w:r>
      <w:r w:rsidRPr="006623DE">
        <w:rPr>
          <w:rFonts w:ascii="Arial" w:hAnsi="Arial" w:cs="Arial"/>
          <w:color w:val="000000" w:themeColor="text1"/>
          <w:sz w:val="20"/>
          <w:szCs w:val="20"/>
          <w:lang w:val="vi-VN"/>
        </w:rPr>
        <w:t>y Giang. (2021).</w:t>
      </w:r>
      <w:r w:rsidR="00832650" w:rsidRPr="00832650">
        <w:t xml:space="preserve"> </w:t>
      </w:r>
      <w:r w:rsidR="00832650" w:rsidRPr="00832650">
        <w:rPr>
          <w:rFonts w:ascii="Arial" w:hAnsi="Arial" w:cs="Arial"/>
          <w:color w:val="000000" w:themeColor="text1"/>
          <w:sz w:val="20"/>
          <w:szCs w:val="20"/>
          <w:lang w:val="vi-VN"/>
        </w:rPr>
        <w:t>The impact of perceived service quality on brand performance at universities in Ho Chi Minh City</w:t>
      </w:r>
      <w:r w:rsidRPr="006623DE">
        <w:rPr>
          <w:rFonts w:ascii="Arial" w:hAnsi="Arial" w:cs="Arial"/>
          <w:color w:val="000000" w:themeColor="text1"/>
          <w:sz w:val="20"/>
          <w:szCs w:val="20"/>
          <w:lang w:val="vi-VN"/>
        </w:rPr>
        <w:t>. </w:t>
      </w:r>
      <w:r w:rsidR="002E32AD" w:rsidRPr="002E32AD">
        <w:rPr>
          <w:rFonts w:ascii="Arial" w:hAnsi="Arial" w:cs="Arial"/>
          <w:i/>
          <w:iCs/>
          <w:sz w:val="20"/>
          <w:szCs w:val="20"/>
          <w:shd w:val="clear" w:color="auto" w:fill="FFFFFF"/>
        </w:rPr>
        <w:t>Journal of Finance - Marketing Research</w:t>
      </w:r>
      <w:r w:rsidR="00F67B5C">
        <w:rPr>
          <w:rFonts w:ascii="Arial" w:hAnsi="Arial" w:cs="Arial"/>
          <w:i/>
          <w:iCs/>
          <w:sz w:val="20"/>
          <w:szCs w:val="20"/>
          <w:shd w:val="clear" w:color="auto" w:fill="FFFFFF"/>
        </w:rPr>
        <w:t>, 2021</w:t>
      </w:r>
      <w:r w:rsidR="00B27B97">
        <w:rPr>
          <w:rFonts w:ascii="Arial" w:hAnsi="Arial" w:cs="Arial"/>
          <w:i/>
          <w:iCs/>
          <w:sz w:val="20"/>
          <w:szCs w:val="20"/>
          <w:shd w:val="clear" w:color="auto" w:fill="FFFFFF"/>
        </w:rPr>
        <w:t xml:space="preserve"> (JFM)</w:t>
      </w:r>
      <w:r w:rsidRPr="006623DE">
        <w:rPr>
          <w:rFonts w:ascii="Arial" w:hAnsi="Arial" w:cs="Arial"/>
          <w:color w:val="000000" w:themeColor="text1"/>
          <w:sz w:val="20"/>
          <w:szCs w:val="20"/>
          <w:lang w:val="vi-VN"/>
        </w:rPr>
        <w:t xml:space="preserve">, </w:t>
      </w:r>
      <w:r w:rsidR="00B700E0">
        <w:rPr>
          <w:rFonts w:ascii="Arial" w:hAnsi="Arial" w:cs="Arial"/>
          <w:color w:val="000000" w:themeColor="text1"/>
          <w:sz w:val="20"/>
          <w:szCs w:val="20"/>
        </w:rPr>
        <w:t xml:space="preserve">p. </w:t>
      </w:r>
      <w:r w:rsidRPr="006623DE">
        <w:rPr>
          <w:rFonts w:ascii="Arial" w:hAnsi="Arial" w:cs="Arial"/>
          <w:color w:val="000000" w:themeColor="text1"/>
          <w:sz w:val="20"/>
          <w:szCs w:val="20"/>
          <w:lang w:val="vi-VN"/>
        </w:rPr>
        <w:t>86-98.</w:t>
      </w:r>
    </w:p>
    <w:p w14:paraId="72BD9051" w14:textId="77777777" w:rsidR="006623DE" w:rsidRPr="006623DE" w:rsidRDefault="006623DE" w:rsidP="006623DE">
      <w:pPr>
        <w:spacing w:after="0" w:line="276" w:lineRule="auto"/>
        <w:ind w:left="450" w:hanging="450"/>
        <w:jc w:val="both"/>
        <w:rPr>
          <w:rFonts w:ascii="Arial" w:hAnsi="Arial" w:cs="Arial"/>
          <w:color w:val="000000" w:themeColor="text1"/>
          <w:sz w:val="20"/>
          <w:szCs w:val="20"/>
          <w:lang w:val="vi-VN"/>
        </w:rPr>
      </w:pPr>
      <w:r w:rsidRPr="007A4759">
        <w:rPr>
          <w:rFonts w:ascii="Arial" w:hAnsi="Arial" w:cs="Arial"/>
          <w:color w:val="000000" w:themeColor="text1"/>
          <w:sz w:val="20"/>
          <w:szCs w:val="20"/>
          <w:lang w:val="vi-VN"/>
        </w:rPr>
        <w:lastRenderedPageBreak/>
        <w:t xml:space="preserve">Keller, K.L. (1993). </w:t>
      </w:r>
      <w:r w:rsidRPr="006623DE">
        <w:rPr>
          <w:rFonts w:ascii="Arial" w:hAnsi="Arial" w:cs="Arial"/>
          <w:color w:val="000000" w:themeColor="text1"/>
          <w:sz w:val="20"/>
          <w:szCs w:val="20"/>
          <w:lang w:val="vi-VN"/>
        </w:rPr>
        <w:t xml:space="preserve">Conceptualizing measuring and managing customer-based brand equity. </w:t>
      </w:r>
      <w:r w:rsidRPr="006623DE">
        <w:rPr>
          <w:rFonts w:ascii="Arial" w:hAnsi="Arial" w:cs="Arial"/>
          <w:i/>
          <w:iCs/>
          <w:color w:val="000000" w:themeColor="text1"/>
          <w:sz w:val="20"/>
          <w:szCs w:val="20"/>
          <w:lang w:val="vi-VN"/>
        </w:rPr>
        <w:t>Journal of Marketing</w:t>
      </w:r>
      <w:r w:rsidRPr="006623DE">
        <w:rPr>
          <w:rFonts w:ascii="Arial" w:hAnsi="Arial" w:cs="Arial"/>
          <w:color w:val="000000" w:themeColor="text1"/>
          <w:sz w:val="20"/>
          <w:szCs w:val="20"/>
          <w:lang w:val="vi-VN"/>
        </w:rPr>
        <w:t>, 57, 1-22</w:t>
      </w:r>
    </w:p>
    <w:p w14:paraId="6D566DEE" w14:textId="77777777" w:rsidR="006623DE" w:rsidRPr="006623DE" w:rsidRDefault="006623DE" w:rsidP="006623DE">
      <w:pPr>
        <w:spacing w:after="0" w:line="276" w:lineRule="auto"/>
        <w:ind w:left="450" w:hanging="450"/>
        <w:jc w:val="both"/>
        <w:rPr>
          <w:rFonts w:ascii="Arial" w:hAnsi="Arial" w:cs="Arial"/>
          <w:color w:val="000000" w:themeColor="text1"/>
          <w:sz w:val="20"/>
          <w:szCs w:val="20"/>
          <w:lang w:val="vi-VN"/>
        </w:rPr>
      </w:pPr>
      <w:r w:rsidRPr="007A4759">
        <w:rPr>
          <w:rFonts w:ascii="Arial" w:hAnsi="Arial" w:cs="Arial"/>
          <w:color w:val="000000" w:themeColor="text1"/>
          <w:sz w:val="20"/>
          <w:szCs w:val="20"/>
          <w:lang w:val="vi-VN"/>
        </w:rPr>
        <w:t xml:space="preserve">Keller, K.L. (2000). </w:t>
      </w:r>
      <w:r w:rsidRPr="006623DE">
        <w:rPr>
          <w:rFonts w:ascii="Arial" w:hAnsi="Arial" w:cs="Arial"/>
          <w:color w:val="000000" w:themeColor="text1"/>
          <w:sz w:val="20"/>
          <w:szCs w:val="20"/>
          <w:lang w:val="vi-VN"/>
        </w:rPr>
        <w:t xml:space="preserve">The brand report card. </w:t>
      </w:r>
      <w:r w:rsidRPr="006623DE">
        <w:rPr>
          <w:rFonts w:ascii="Arial" w:hAnsi="Arial" w:cs="Arial"/>
          <w:i/>
          <w:iCs/>
          <w:color w:val="000000" w:themeColor="text1"/>
          <w:sz w:val="20"/>
          <w:szCs w:val="20"/>
          <w:lang w:val="vi-VN"/>
        </w:rPr>
        <w:t>Harvard Business Review</w:t>
      </w:r>
      <w:r w:rsidRPr="006623DE">
        <w:rPr>
          <w:rFonts w:ascii="Arial" w:hAnsi="Arial" w:cs="Arial"/>
          <w:color w:val="000000" w:themeColor="text1"/>
          <w:sz w:val="20"/>
          <w:szCs w:val="20"/>
          <w:lang w:val="vi-VN"/>
        </w:rPr>
        <w:t>, 78(1): 147-55</w:t>
      </w:r>
    </w:p>
    <w:p w14:paraId="27C44311" w14:textId="77777777" w:rsidR="006623DE" w:rsidRPr="006623DE" w:rsidRDefault="006623DE" w:rsidP="006623DE">
      <w:pPr>
        <w:spacing w:after="0" w:line="276" w:lineRule="auto"/>
        <w:ind w:left="450" w:hanging="450"/>
        <w:jc w:val="both"/>
        <w:rPr>
          <w:rFonts w:ascii="Arial" w:hAnsi="Arial" w:cs="Arial"/>
          <w:color w:val="000000" w:themeColor="text1"/>
          <w:sz w:val="20"/>
          <w:szCs w:val="20"/>
          <w:lang w:val="vi-VN"/>
        </w:rPr>
      </w:pPr>
      <w:r w:rsidRPr="007A4759">
        <w:rPr>
          <w:rFonts w:ascii="Arial" w:hAnsi="Arial" w:cs="Arial"/>
          <w:color w:val="000000" w:themeColor="text1"/>
          <w:sz w:val="20"/>
          <w:szCs w:val="20"/>
          <w:lang w:val="vi-VN"/>
        </w:rPr>
        <w:t xml:space="preserve">King, C., &amp; Grace, </w:t>
      </w:r>
      <w:r w:rsidRPr="006623DE">
        <w:rPr>
          <w:rFonts w:ascii="Arial" w:hAnsi="Arial" w:cs="Arial"/>
          <w:color w:val="000000" w:themeColor="text1"/>
          <w:sz w:val="20"/>
          <w:szCs w:val="20"/>
          <w:lang w:val="vi-VN"/>
        </w:rPr>
        <w:t xml:space="preserve">D. (2010). Building and measuring employee-based brand equity. </w:t>
      </w:r>
      <w:r w:rsidRPr="006623DE">
        <w:rPr>
          <w:rFonts w:ascii="Arial" w:hAnsi="Arial" w:cs="Arial"/>
          <w:i/>
          <w:iCs/>
          <w:color w:val="000000" w:themeColor="text1"/>
          <w:sz w:val="20"/>
          <w:szCs w:val="20"/>
          <w:lang w:val="vi-VN"/>
        </w:rPr>
        <w:t>European Journal of Marketing</w:t>
      </w:r>
      <w:r w:rsidRPr="006623DE">
        <w:rPr>
          <w:rFonts w:ascii="Arial" w:hAnsi="Arial" w:cs="Arial"/>
          <w:color w:val="000000" w:themeColor="text1"/>
          <w:sz w:val="20"/>
          <w:szCs w:val="20"/>
          <w:lang w:val="vi-VN"/>
        </w:rPr>
        <w:t>, 44(7/8), 938-971</w:t>
      </w:r>
    </w:p>
    <w:p w14:paraId="2F4DA38A" w14:textId="77777777" w:rsidR="006623DE" w:rsidRPr="006623DE" w:rsidRDefault="006623DE" w:rsidP="006623DE">
      <w:pPr>
        <w:spacing w:after="0" w:line="276" w:lineRule="auto"/>
        <w:ind w:left="450" w:hanging="450"/>
        <w:jc w:val="both"/>
        <w:rPr>
          <w:rFonts w:ascii="Arial" w:hAnsi="Arial" w:cs="Arial"/>
          <w:color w:val="000000" w:themeColor="text1"/>
          <w:sz w:val="20"/>
          <w:szCs w:val="20"/>
          <w:lang w:val="vi-VN"/>
        </w:rPr>
      </w:pPr>
      <w:r w:rsidRPr="007A4759">
        <w:rPr>
          <w:rFonts w:ascii="Arial" w:hAnsi="Arial" w:cs="Arial"/>
          <w:color w:val="000000" w:themeColor="text1"/>
          <w:sz w:val="20"/>
          <w:szCs w:val="20"/>
          <w:lang w:val="vi-VN"/>
        </w:rPr>
        <w:t>Hair, J. F., Anderson</w:t>
      </w:r>
      <w:r w:rsidRPr="006623DE">
        <w:rPr>
          <w:rFonts w:ascii="Arial" w:hAnsi="Arial" w:cs="Arial"/>
          <w:color w:val="000000" w:themeColor="text1"/>
          <w:sz w:val="20"/>
          <w:szCs w:val="20"/>
          <w:lang w:val="vi-VN"/>
        </w:rPr>
        <w:t xml:space="preserve">, R., Tatham, R. L., &amp; Black, W. C. (2009). </w:t>
      </w:r>
      <w:r w:rsidRPr="006623DE">
        <w:rPr>
          <w:rFonts w:ascii="Arial" w:hAnsi="Arial" w:cs="Arial"/>
          <w:i/>
          <w:iCs/>
          <w:color w:val="000000" w:themeColor="text1"/>
          <w:sz w:val="20"/>
          <w:szCs w:val="20"/>
          <w:lang w:val="vi-VN"/>
        </w:rPr>
        <w:t>Multivariate Data Analysis</w:t>
      </w:r>
      <w:r w:rsidRPr="006623DE">
        <w:rPr>
          <w:rFonts w:ascii="Arial" w:hAnsi="Arial" w:cs="Arial"/>
          <w:color w:val="000000" w:themeColor="text1"/>
          <w:sz w:val="20"/>
          <w:szCs w:val="20"/>
          <w:lang w:val="vi-VN"/>
        </w:rPr>
        <w:t>. New York, NY: Macmillan</w:t>
      </w:r>
    </w:p>
    <w:p w14:paraId="5087C018" w14:textId="77777777" w:rsidR="006623DE" w:rsidRPr="006623DE" w:rsidRDefault="006623DE" w:rsidP="006623DE">
      <w:pPr>
        <w:spacing w:after="0" w:line="276" w:lineRule="auto"/>
        <w:ind w:left="450" w:hanging="450"/>
        <w:jc w:val="both"/>
        <w:rPr>
          <w:rFonts w:ascii="Arial" w:hAnsi="Arial" w:cs="Arial"/>
          <w:color w:val="FF0000"/>
          <w:sz w:val="20"/>
          <w:szCs w:val="20"/>
          <w:lang w:val="vi-VN"/>
        </w:rPr>
      </w:pPr>
      <w:r w:rsidRPr="000C6BBA">
        <w:rPr>
          <w:rFonts w:ascii="Arial" w:hAnsi="Arial" w:cs="Arial"/>
          <w:color w:val="000000" w:themeColor="text1"/>
          <w:sz w:val="20"/>
          <w:szCs w:val="20"/>
          <w:lang w:val="vi-VN"/>
        </w:rPr>
        <w:t xml:space="preserve">Henseler, J., Ringle, C.M. &amp; Sarstedt, M. (2015). A new criterion for assessing discriminant validity in variance-based structural equation modeling. </w:t>
      </w:r>
      <w:r w:rsidRPr="000C6BBA">
        <w:rPr>
          <w:rFonts w:ascii="Arial" w:hAnsi="Arial" w:cs="Arial"/>
          <w:i/>
          <w:iCs/>
          <w:color w:val="000000" w:themeColor="text1"/>
          <w:sz w:val="20"/>
          <w:szCs w:val="20"/>
          <w:lang w:val="vi-VN"/>
        </w:rPr>
        <w:t>Journal of the Academy of Marketing Science</w:t>
      </w:r>
      <w:r w:rsidRPr="000C6BBA">
        <w:rPr>
          <w:rFonts w:ascii="Arial" w:hAnsi="Arial" w:cs="Arial"/>
          <w:color w:val="000000" w:themeColor="text1"/>
          <w:sz w:val="20"/>
          <w:szCs w:val="20"/>
          <w:lang w:val="vi-VN"/>
        </w:rPr>
        <w:t>, 43(1). 115-135. Doi: 10.1007/s11747-014-0403-8</w:t>
      </w:r>
      <w:r w:rsidRPr="006623DE">
        <w:rPr>
          <w:rFonts w:ascii="Arial" w:hAnsi="Arial" w:cs="Arial"/>
          <w:color w:val="FF0000"/>
          <w:sz w:val="20"/>
          <w:szCs w:val="20"/>
          <w:lang w:val="vi-VN"/>
        </w:rPr>
        <w:t>.</w:t>
      </w:r>
    </w:p>
    <w:p w14:paraId="02E14631" w14:textId="77777777" w:rsidR="006623DE" w:rsidRPr="000C6BBA" w:rsidRDefault="006623DE" w:rsidP="006623DE">
      <w:pPr>
        <w:spacing w:after="0" w:line="276" w:lineRule="auto"/>
        <w:ind w:left="450" w:hanging="450"/>
        <w:jc w:val="both"/>
        <w:rPr>
          <w:rFonts w:ascii="Arial" w:hAnsi="Arial" w:cs="Arial"/>
          <w:color w:val="000000" w:themeColor="text1"/>
          <w:sz w:val="20"/>
          <w:szCs w:val="20"/>
          <w:lang w:val="vi-VN"/>
        </w:rPr>
      </w:pPr>
      <w:r w:rsidRPr="000C6BBA">
        <w:rPr>
          <w:rFonts w:ascii="Arial" w:hAnsi="Arial" w:cs="Arial"/>
          <w:color w:val="000000" w:themeColor="text1"/>
          <w:sz w:val="20"/>
          <w:szCs w:val="20"/>
          <w:lang w:val="vi-VN"/>
        </w:rPr>
        <w:t xml:space="preserve">Hoch, M., &amp; Ringle, C.M. (2010). Local strategic networks in the software industry: an empirical analysis of the value continuum. </w:t>
      </w:r>
      <w:r w:rsidRPr="000C6BBA">
        <w:rPr>
          <w:rFonts w:ascii="Arial" w:hAnsi="Arial" w:cs="Arial"/>
          <w:i/>
          <w:iCs/>
          <w:color w:val="000000" w:themeColor="text1"/>
          <w:sz w:val="20"/>
          <w:szCs w:val="20"/>
          <w:lang w:val="vi-VN"/>
        </w:rPr>
        <w:t>International Journal of Knowledge Management Studies</w:t>
      </w:r>
      <w:r w:rsidRPr="000C6BBA">
        <w:rPr>
          <w:rFonts w:ascii="Arial" w:hAnsi="Arial" w:cs="Arial"/>
          <w:color w:val="000000" w:themeColor="text1"/>
          <w:sz w:val="20"/>
          <w:szCs w:val="20"/>
          <w:lang w:val="vi-VN"/>
        </w:rPr>
        <w:t>, 4(2), 132-151. Doi:10.1540/ijkms.2010.030789</w:t>
      </w:r>
    </w:p>
    <w:p w14:paraId="174E87BE" w14:textId="77777777" w:rsidR="006623DE" w:rsidRPr="006623DE" w:rsidRDefault="006623DE" w:rsidP="006623DE">
      <w:pPr>
        <w:spacing w:after="0" w:line="276" w:lineRule="auto"/>
        <w:ind w:left="450" w:hanging="450"/>
        <w:jc w:val="both"/>
        <w:rPr>
          <w:rFonts w:ascii="Arial" w:hAnsi="Arial" w:cs="Arial"/>
          <w:color w:val="000000" w:themeColor="text1"/>
          <w:sz w:val="20"/>
          <w:szCs w:val="20"/>
          <w:lang w:val="vi-VN"/>
        </w:rPr>
      </w:pPr>
      <w:r w:rsidRPr="007A4759">
        <w:rPr>
          <w:rFonts w:ascii="Arial" w:hAnsi="Arial" w:cs="Arial"/>
          <w:color w:val="000000" w:themeColor="text1"/>
          <w:sz w:val="20"/>
          <w:szCs w:val="20"/>
          <w:lang w:val="vi-VN"/>
        </w:rPr>
        <w:t xml:space="preserve">Hosen, M., Obeibu, </w:t>
      </w:r>
      <w:r w:rsidRPr="006623DE">
        <w:rPr>
          <w:rFonts w:ascii="Arial" w:hAnsi="Arial" w:cs="Arial"/>
          <w:color w:val="000000" w:themeColor="text1"/>
          <w:sz w:val="20"/>
          <w:szCs w:val="20"/>
          <w:lang w:val="vi-VN"/>
        </w:rPr>
        <w:t xml:space="preserve">S., Lim, W.M., Ferraris, A., Munim, Z.H. and Chong, Y.L. (2023). Knowledge sharing behavior among academics: Insights from theory of planned behavior, perceived trust and organizational climate. </w:t>
      </w:r>
      <w:r w:rsidRPr="006623DE">
        <w:rPr>
          <w:rFonts w:ascii="Arial" w:hAnsi="Arial" w:cs="Arial"/>
          <w:i/>
          <w:iCs/>
          <w:color w:val="000000" w:themeColor="text1"/>
          <w:sz w:val="20"/>
          <w:szCs w:val="20"/>
          <w:lang w:val="vi-VN"/>
        </w:rPr>
        <w:t>Journal of Knowledge Management</w:t>
      </w:r>
      <w:r w:rsidRPr="006623DE">
        <w:rPr>
          <w:rFonts w:ascii="Arial" w:hAnsi="Arial" w:cs="Arial"/>
          <w:color w:val="000000" w:themeColor="text1"/>
          <w:sz w:val="20"/>
          <w:szCs w:val="20"/>
          <w:lang w:val="vi-VN"/>
        </w:rPr>
        <w:t>. Vol 27, No 6, p. 1740-1764</w:t>
      </w:r>
    </w:p>
    <w:p w14:paraId="4A75C7F5" w14:textId="2C917B26" w:rsidR="00310AE5" w:rsidRPr="00310AE5" w:rsidRDefault="00310AE5" w:rsidP="00310AE5">
      <w:pPr>
        <w:spacing w:after="0" w:line="276" w:lineRule="auto"/>
        <w:ind w:left="450" w:hanging="450"/>
        <w:jc w:val="both"/>
        <w:rPr>
          <w:rFonts w:ascii="Arial" w:eastAsia="Times New Roman" w:hAnsi="Arial" w:cs="Arial"/>
          <w:color w:val="0070C0"/>
          <w:kern w:val="36"/>
          <w:sz w:val="20"/>
          <w:szCs w:val="20"/>
          <w14:ligatures w14:val="none"/>
        </w:rPr>
      </w:pPr>
      <w:r w:rsidRPr="00310AE5">
        <w:rPr>
          <w:rFonts w:ascii="Arial" w:eastAsia="Times New Roman" w:hAnsi="Arial" w:cs="Arial"/>
          <w:color w:val="0070C0"/>
          <w:kern w:val="36"/>
          <w:sz w:val="20"/>
          <w:szCs w:val="20"/>
          <w14:ligatures w14:val="none"/>
        </w:rPr>
        <w:t xml:space="preserve">Ngo Quang Son, Vu </w:t>
      </w:r>
      <w:proofErr w:type="spellStart"/>
      <w:r w:rsidRPr="00310AE5">
        <w:rPr>
          <w:rFonts w:ascii="Arial" w:eastAsia="Times New Roman" w:hAnsi="Arial" w:cs="Arial"/>
          <w:color w:val="0070C0"/>
          <w:kern w:val="36"/>
          <w:sz w:val="20"/>
          <w:szCs w:val="20"/>
          <w14:ligatures w14:val="none"/>
        </w:rPr>
        <w:t>Thi</w:t>
      </w:r>
      <w:proofErr w:type="spellEnd"/>
      <w:r w:rsidRPr="00310AE5">
        <w:rPr>
          <w:rFonts w:ascii="Arial" w:eastAsia="Times New Roman" w:hAnsi="Arial" w:cs="Arial"/>
          <w:color w:val="0070C0"/>
          <w:kern w:val="36"/>
          <w:sz w:val="20"/>
          <w:szCs w:val="20"/>
          <w14:ligatures w14:val="none"/>
        </w:rPr>
        <w:t xml:space="preserve"> Thanh Minh, Duong </w:t>
      </w:r>
      <w:proofErr w:type="spellStart"/>
      <w:r w:rsidRPr="00310AE5">
        <w:rPr>
          <w:rFonts w:ascii="Arial" w:eastAsia="Times New Roman" w:hAnsi="Arial" w:cs="Arial"/>
          <w:color w:val="0070C0"/>
          <w:kern w:val="36"/>
          <w:sz w:val="20"/>
          <w:szCs w:val="20"/>
          <w14:ligatures w14:val="none"/>
        </w:rPr>
        <w:t>Thi</w:t>
      </w:r>
      <w:proofErr w:type="spellEnd"/>
      <w:r w:rsidRPr="00310AE5">
        <w:rPr>
          <w:rFonts w:ascii="Arial" w:eastAsia="Times New Roman" w:hAnsi="Arial" w:cs="Arial"/>
          <w:color w:val="0070C0"/>
          <w:kern w:val="36"/>
          <w:sz w:val="20"/>
          <w:szCs w:val="20"/>
          <w14:ligatures w14:val="none"/>
        </w:rPr>
        <w:t xml:space="preserve"> Thao (2024). The 4.0 Smart University model -Development trend of Private Universities in the current context. Journal of Scientific Research and Development, Volume 3, Issue 1, 2024. DOI: https://doi.org/10.58902/tcnckhpt.v3i1.127</w:t>
      </w:r>
    </w:p>
    <w:p w14:paraId="3ABA3182" w14:textId="5F6540DA" w:rsidR="006623DE" w:rsidRPr="006623DE" w:rsidRDefault="006623DE" w:rsidP="006623DE">
      <w:pPr>
        <w:spacing w:after="0" w:line="276" w:lineRule="auto"/>
        <w:ind w:left="450" w:hanging="450"/>
        <w:jc w:val="both"/>
        <w:rPr>
          <w:rFonts w:ascii="Arial" w:hAnsi="Arial" w:cs="Arial"/>
          <w:color w:val="000000" w:themeColor="text1"/>
          <w:sz w:val="20"/>
          <w:szCs w:val="20"/>
          <w:lang w:val="vi-VN"/>
        </w:rPr>
      </w:pPr>
      <w:r w:rsidRPr="002E32AD">
        <w:rPr>
          <w:rFonts w:ascii="Arial" w:hAnsi="Arial" w:cs="Arial"/>
          <w:color w:val="000000" w:themeColor="text1"/>
          <w:sz w:val="20"/>
          <w:szCs w:val="20"/>
          <w:lang w:val="vi-VN"/>
        </w:rPr>
        <w:t>Nguy</w:t>
      </w:r>
      <w:r w:rsidR="000C6BBA" w:rsidRPr="002E32AD">
        <w:rPr>
          <w:rFonts w:ascii="Arial" w:hAnsi="Arial" w:cs="Arial"/>
          <w:color w:val="000000" w:themeColor="text1"/>
          <w:sz w:val="20"/>
          <w:szCs w:val="20"/>
        </w:rPr>
        <w:t>e</w:t>
      </w:r>
      <w:r w:rsidRPr="002E32AD">
        <w:rPr>
          <w:rFonts w:ascii="Arial" w:hAnsi="Arial" w:cs="Arial"/>
          <w:color w:val="000000" w:themeColor="text1"/>
          <w:sz w:val="20"/>
          <w:szCs w:val="20"/>
          <w:lang w:val="vi-VN"/>
        </w:rPr>
        <w:t>n Duy Th</w:t>
      </w:r>
      <w:r w:rsidR="000C6BBA" w:rsidRPr="002E32AD">
        <w:rPr>
          <w:rFonts w:ascii="Arial" w:hAnsi="Arial" w:cs="Arial"/>
          <w:color w:val="000000" w:themeColor="text1"/>
          <w:sz w:val="20"/>
          <w:szCs w:val="20"/>
        </w:rPr>
        <w:t>u</w:t>
      </w:r>
      <w:r w:rsidRPr="002E32AD">
        <w:rPr>
          <w:rFonts w:ascii="Arial" w:hAnsi="Arial" w:cs="Arial"/>
          <w:color w:val="000000" w:themeColor="text1"/>
          <w:sz w:val="20"/>
          <w:szCs w:val="20"/>
          <w:lang w:val="vi-VN"/>
        </w:rPr>
        <w:t>c</w:t>
      </w:r>
      <w:r w:rsidRPr="006623DE">
        <w:rPr>
          <w:rFonts w:ascii="Arial" w:hAnsi="Arial" w:cs="Arial"/>
          <w:color w:val="000000" w:themeColor="text1"/>
          <w:sz w:val="20"/>
          <w:szCs w:val="20"/>
          <w:lang w:val="vi-VN"/>
        </w:rPr>
        <w:t>, B</w:t>
      </w:r>
      <w:r w:rsidR="000C6BBA">
        <w:rPr>
          <w:rFonts w:ascii="Arial" w:hAnsi="Arial" w:cs="Arial"/>
          <w:color w:val="000000" w:themeColor="text1"/>
          <w:sz w:val="20"/>
          <w:szCs w:val="20"/>
        </w:rPr>
        <w:t>u</w:t>
      </w:r>
      <w:r w:rsidRPr="006623DE">
        <w:rPr>
          <w:rFonts w:ascii="Arial" w:hAnsi="Arial" w:cs="Arial"/>
          <w:color w:val="000000" w:themeColor="text1"/>
          <w:sz w:val="20"/>
          <w:szCs w:val="20"/>
          <w:lang w:val="vi-VN"/>
        </w:rPr>
        <w:t xml:space="preserve">i Quang Huy (2024). </w:t>
      </w:r>
      <w:r w:rsidR="000C6BBA" w:rsidRPr="000C6BBA">
        <w:rPr>
          <w:rFonts w:ascii="Arial" w:hAnsi="Arial" w:cs="Arial"/>
          <w:color w:val="000000" w:themeColor="text1"/>
          <w:sz w:val="20"/>
          <w:szCs w:val="20"/>
          <w:lang w:val="vi-VN"/>
        </w:rPr>
        <w:t>The impact of lecturers' scientific research activities on university brand image.</w:t>
      </w:r>
      <w:r w:rsidR="002E32AD" w:rsidRPr="002E32AD">
        <w:t xml:space="preserve"> </w:t>
      </w:r>
      <w:r w:rsidR="002E32AD" w:rsidRPr="002E32AD">
        <w:rPr>
          <w:rFonts w:ascii="Arial" w:hAnsi="Arial" w:cs="Arial"/>
          <w:i/>
          <w:iCs/>
          <w:color w:val="000000" w:themeColor="text1"/>
          <w:sz w:val="20"/>
          <w:szCs w:val="20"/>
          <w:lang w:val="vi-VN"/>
        </w:rPr>
        <w:t>Journal of State Management</w:t>
      </w:r>
      <w:r w:rsidRPr="006623DE">
        <w:rPr>
          <w:rFonts w:ascii="Arial" w:hAnsi="Arial" w:cs="Arial"/>
          <w:color w:val="000000" w:themeColor="text1"/>
          <w:sz w:val="20"/>
          <w:szCs w:val="20"/>
          <w:lang w:val="vi-VN"/>
        </w:rPr>
        <w:t xml:space="preserve">, </w:t>
      </w:r>
      <w:r w:rsidR="002E32AD">
        <w:rPr>
          <w:rFonts w:ascii="Arial" w:hAnsi="Arial" w:cs="Arial"/>
          <w:color w:val="000000" w:themeColor="text1"/>
          <w:sz w:val="20"/>
          <w:szCs w:val="20"/>
        </w:rPr>
        <w:t>No</w:t>
      </w:r>
      <w:r w:rsidRPr="006623DE">
        <w:rPr>
          <w:rFonts w:ascii="Arial" w:hAnsi="Arial" w:cs="Arial"/>
          <w:color w:val="000000" w:themeColor="text1"/>
          <w:sz w:val="20"/>
          <w:szCs w:val="20"/>
          <w:lang w:val="vi-VN"/>
        </w:rPr>
        <w:t xml:space="preserve"> 344, </w:t>
      </w:r>
      <w:r w:rsidR="002E32AD">
        <w:rPr>
          <w:rFonts w:ascii="Arial" w:hAnsi="Arial" w:cs="Arial"/>
          <w:color w:val="000000" w:themeColor="text1"/>
          <w:sz w:val="20"/>
          <w:szCs w:val="20"/>
        </w:rPr>
        <w:t>p</w:t>
      </w:r>
      <w:r w:rsidR="002E32AD" w:rsidRPr="002E32AD">
        <w:rPr>
          <w:rFonts w:ascii="Arial" w:hAnsi="Arial" w:cs="Arial"/>
          <w:color w:val="000000" w:themeColor="text1"/>
          <w:sz w:val="20"/>
          <w:szCs w:val="20"/>
          <w:lang w:val="vi-VN"/>
        </w:rPr>
        <w:t>ublished on September 24, 2024</w:t>
      </w:r>
    </w:p>
    <w:p w14:paraId="140A1C86" w14:textId="77777777" w:rsidR="006623DE" w:rsidRPr="006623DE" w:rsidRDefault="006623DE" w:rsidP="006623DE">
      <w:pPr>
        <w:spacing w:after="0" w:line="276" w:lineRule="auto"/>
        <w:ind w:left="450" w:hanging="450"/>
        <w:jc w:val="both"/>
        <w:rPr>
          <w:rFonts w:ascii="Arial" w:hAnsi="Arial" w:cs="Arial"/>
          <w:color w:val="000000" w:themeColor="text1"/>
          <w:sz w:val="20"/>
          <w:szCs w:val="20"/>
          <w:lang w:val="vi-VN"/>
        </w:rPr>
      </w:pPr>
      <w:r w:rsidRPr="002E32AD">
        <w:rPr>
          <w:rFonts w:ascii="Arial" w:hAnsi="Arial" w:cs="Arial"/>
          <w:color w:val="000000" w:themeColor="text1"/>
          <w:sz w:val="20"/>
          <w:szCs w:val="20"/>
          <w:lang w:val="vi-VN"/>
        </w:rPr>
        <w:t>Osama</w:t>
      </w:r>
      <w:r w:rsidRPr="006623DE">
        <w:rPr>
          <w:rFonts w:ascii="Arial" w:hAnsi="Arial" w:cs="Arial"/>
          <w:color w:val="000000" w:themeColor="text1"/>
          <w:sz w:val="20"/>
          <w:szCs w:val="20"/>
          <w:lang w:val="vi-VN"/>
        </w:rPr>
        <w:t xml:space="preserve"> F. Al-Kurdi, Ramzi El-Haddadeh, Tillal Eldab (2020). The role of organizational climate in managing knowledge sharing among academics in higher education. </w:t>
      </w:r>
      <w:r w:rsidRPr="006623DE">
        <w:rPr>
          <w:rFonts w:ascii="Arial" w:hAnsi="Arial" w:cs="Arial"/>
          <w:i/>
          <w:iCs/>
          <w:color w:val="000000" w:themeColor="text1"/>
          <w:sz w:val="20"/>
          <w:szCs w:val="20"/>
          <w:lang w:val="vi-VN"/>
        </w:rPr>
        <w:t>International Journal of Information Management</w:t>
      </w:r>
      <w:r w:rsidRPr="006623DE">
        <w:rPr>
          <w:rFonts w:ascii="Arial" w:hAnsi="Arial" w:cs="Arial"/>
          <w:color w:val="000000" w:themeColor="text1"/>
          <w:sz w:val="20"/>
          <w:szCs w:val="20"/>
          <w:lang w:val="vi-VN"/>
        </w:rPr>
        <w:t>, Vol 50, February 2020, p.217-227.</w:t>
      </w:r>
    </w:p>
    <w:p w14:paraId="62F5016A" w14:textId="6C2708A1" w:rsidR="006623DE" w:rsidRPr="006623DE" w:rsidRDefault="006623DE" w:rsidP="006623DE">
      <w:pPr>
        <w:spacing w:after="0" w:line="276" w:lineRule="auto"/>
        <w:ind w:left="450" w:hanging="450"/>
        <w:jc w:val="both"/>
        <w:rPr>
          <w:rFonts w:ascii="Arial" w:hAnsi="Arial" w:cs="Arial"/>
          <w:color w:val="000000" w:themeColor="text1"/>
          <w:sz w:val="20"/>
          <w:szCs w:val="20"/>
          <w:lang w:val="vi-VN"/>
        </w:rPr>
      </w:pPr>
      <w:r w:rsidRPr="006623DE">
        <w:rPr>
          <w:rFonts w:ascii="Arial" w:hAnsi="Arial" w:cs="Arial"/>
          <w:color w:val="000000" w:themeColor="text1"/>
          <w:sz w:val="20"/>
          <w:szCs w:val="20"/>
          <w:lang w:val="vi-VN"/>
        </w:rPr>
        <w:t>Ph</w:t>
      </w:r>
      <w:r w:rsidR="007A4759">
        <w:rPr>
          <w:rFonts w:ascii="Arial" w:hAnsi="Arial" w:cs="Arial"/>
          <w:color w:val="000000" w:themeColor="text1"/>
          <w:sz w:val="20"/>
          <w:szCs w:val="20"/>
        </w:rPr>
        <w:t>a</w:t>
      </w:r>
      <w:r w:rsidRPr="006623DE">
        <w:rPr>
          <w:rFonts w:ascii="Arial" w:hAnsi="Arial" w:cs="Arial"/>
          <w:color w:val="000000" w:themeColor="text1"/>
          <w:sz w:val="20"/>
          <w:szCs w:val="20"/>
          <w:lang w:val="vi-VN"/>
        </w:rPr>
        <w:t xml:space="preserve">m Quang Vinh (2023). </w:t>
      </w:r>
      <w:r w:rsidR="007A4759" w:rsidRPr="007A4759">
        <w:rPr>
          <w:rFonts w:ascii="Arial" w:hAnsi="Arial" w:cs="Arial"/>
          <w:color w:val="000000" w:themeColor="text1"/>
          <w:sz w:val="20"/>
          <w:szCs w:val="20"/>
          <w:lang w:val="vi-VN"/>
        </w:rPr>
        <w:t xml:space="preserve">The impact of brand value on the competitiveness of universities in Ho Chi Minh City. </w:t>
      </w:r>
      <w:r w:rsidR="007A4759" w:rsidRPr="007A4759">
        <w:rPr>
          <w:rFonts w:ascii="Arial" w:hAnsi="Arial" w:cs="Arial"/>
          <w:i/>
          <w:iCs/>
          <w:color w:val="000000" w:themeColor="text1"/>
          <w:sz w:val="20"/>
          <w:szCs w:val="20"/>
          <w:lang w:val="vi-VN"/>
        </w:rPr>
        <w:t>Finance Magazine</w:t>
      </w:r>
      <w:r w:rsidR="007A4759" w:rsidRPr="007A4759">
        <w:rPr>
          <w:rFonts w:ascii="Arial" w:hAnsi="Arial" w:cs="Arial"/>
          <w:color w:val="000000" w:themeColor="text1"/>
          <w:sz w:val="20"/>
          <w:szCs w:val="20"/>
          <w:lang w:val="vi-VN"/>
        </w:rPr>
        <w:t>, issue 1, August 2023</w:t>
      </w:r>
    </w:p>
    <w:p w14:paraId="6C443D4F" w14:textId="77777777" w:rsidR="006623DE" w:rsidRPr="006623DE" w:rsidRDefault="006623DE" w:rsidP="006623DE">
      <w:pPr>
        <w:spacing w:after="0" w:line="276" w:lineRule="auto"/>
        <w:ind w:left="450" w:hanging="450"/>
        <w:jc w:val="both"/>
        <w:rPr>
          <w:rFonts w:ascii="Arial" w:hAnsi="Arial" w:cs="Arial"/>
          <w:color w:val="000000" w:themeColor="text1"/>
          <w:sz w:val="20"/>
          <w:szCs w:val="20"/>
          <w:lang w:val="vi-VN"/>
        </w:rPr>
      </w:pPr>
      <w:r w:rsidRPr="007A4759">
        <w:rPr>
          <w:rFonts w:ascii="Arial" w:hAnsi="Arial" w:cs="Arial"/>
          <w:color w:val="000000" w:themeColor="text1"/>
          <w:sz w:val="20"/>
          <w:szCs w:val="20"/>
          <w:lang w:val="vi-VN"/>
        </w:rPr>
        <w:t xml:space="preserve">Philip Kotler </w:t>
      </w:r>
      <w:r w:rsidRPr="006623DE">
        <w:rPr>
          <w:rFonts w:ascii="Arial" w:hAnsi="Arial" w:cs="Arial"/>
          <w:color w:val="000000" w:themeColor="text1"/>
          <w:sz w:val="20"/>
          <w:szCs w:val="20"/>
          <w:lang w:val="vi-VN"/>
        </w:rPr>
        <w:t xml:space="preserve">&amp; Kevin Lane Keller (2006). </w:t>
      </w:r>
      <w:r w:rsidRPr="006623DE">
        <w:rPr>
          <w:rFonts w:ascii="Arial" w:hAnsi="Arial" w:cs="Arial"/>
          <w:i/>
          <w:iCs/>
          <w:color w:val="000000" w:themeColor="text1"/>
          <w:sz w:val="20"/>
          <w:szCs w:val="20"/>
          <w:lang w:val="vi-VN"/>
        </w:rPr>
        <w:t>Marketing Management</w:t>
      </w:r>
      <w:r w:rsidRPr="006623DE">
        <w:rPr>
          <w:rFonts w:ascii="Arial" w:hAnsi="Arial" w:cs="Arial"/>
          <w:color w:val="000000" w:themeColor="text1"/>
          <w:sz w:val="20"/>
          <w:szCs w:val="20"/>
          <w:lang w:val="vi-VN"/>
        </w:rPr>
        <w:t>. Pearson Prentice Hall, Marketing Management, 12th Edition (2006).</w:t>
      </w:r>
    </w:p>
    <w:p w14:paraId="10F0FEEE" w14:textId="77777777" w:rsidR="006623DE" w:rsidRPr="006B7FF4" w:rsidRDefault="006623DE" w:rsidP="006623DE">
      <w:pPr>
        <w:spacing w:after="0" w:line="276" w:lineRule="auto"/>
        <w:ind w:left="450" w:hanging="450"/>
        <w:jc w:val="both"/>
        <w:rPr>
          <w:rFonts w:ascii="Arial" w:eastAsia="Times New Roman" w:hAnsi="Arial" w:cs="Arial"/>
          <w:color w:val="0070C0"/>
          <w:kern w:val="36"/>
          <w:sz w:val="20"/>
          <w:szCs w:val="20"/>
          <w14:ligatures w14:val="none"/>
        </w:rPr>
      </w:pPr>
      <w:proofErr w:type="spellStart"/>
      <w:r w:rsidRPr="007A4759">
        <w:rPr>
          <w:rFonts w:ascii="Arial" w:eastAsia="Times New Roman" w:hAnsi="Arial" w:cs="Arial"/>
          <w:color w:val="000000" w:themeColor="text1"/>
          <w:kern w:val="36"/>
          <w:sz w:val="20"/>
          <w:szCs w:val="20"/>
          <w14:ligatures w14:val="none"/>
        </w:rPr>
        <w:t>Qiu</w:t>
      </w:r>
      <w:proofErr w:type="spellEnd"/>
      <w:r w:rsidRPr="007A4759">
        <w:rPr>
          <w:rFonts w:ascii="Arial" w:eastAsia="Times New Roman" w:hAnsi="Arial" w:cs="Arial"/>
          <w:color w:val="000000" w:themeColor="text1"/>
          <w:kern w:val="36"/>
          <w:sz w:val="20"/>
          <w:szCs w:val="20"/>
          <w14:ligatures w14:val="none"/>
        </w:rPr>
        <w:t xml:space="preserve">, S., Dooley, L. M., &amp; </w:t>
      </w:r>
      <w:proofErr w:type="spellStart"/>
      <w:r w:rsidRPr="007A4759">
        <w:rPr>
          <w:rFonts w:ascii="Arial" w:eastAsia="Times New Roman" w:hAnsi="Arial" w:cs="Arial"/>
          <w:color w:val="000000" w:themeColor="text1"/>
          <w:kern w:val="36"/>
          <w:sz w:val="20"/>
          <w:szCs w:val="20"/>
          <w14:ligatures w14:val="none"/>
        </w:rPr>
        <w:t>Xie</w:t>
      </w:r>
      <w:proofErr w:type="spellEnd"/>
      <w:r w:rsidRPr="007A4759">
        <w:rPr>
          <w:rFonts w:ascii="Arial" w:eastAsia="Times New Roman" w:hAnsi="Arial" w:cs="Arial"/>
          <w:color w:val="000000" w:themeColor="text1"/>
          <w:kern w:val="36"/>
          <w:sz w:val="20"/>
          <w:szCs w:val="20"/>
          <w14:ligatures w14:val="none"/>
        </w:rPr>
        <w:t xml:space="preserve">, L. (2020). How servant leadership and self-efficacy interact to affect service quality in the hospitality industry: A polynomial regression with response surface analysis. </w:t>
      </w:r>
      <w:r w:rsidRPr="007A4759">
        <w:rPr>
          <w:rFonts w:ascii="Arial" w:eastAsia="Times New Roman" w:hAnsi="Arial" w:cs="Arial"/>
          <w:i/>
          <w:iCs/>
          <w:color w:val="000000" w:themeColor="text1"/>
          <w:kern w:val="36"/>
          <w:sz w:val="20"/>
          <w:szCs w:val="20"/>
          <w14:ligatures w14:val="none"/>
        </w:rPr>
        <w:t xml:space="preserve">Tourism </w:t>
      </w:r>
      <w:r w:rsidRPr="006B7FF4">
        <w:rPr>
          <w:rFonts w:ascii="Arial" w:eastAsia="Times New Roman" w:hAnsi="Arial" w:cs="Arial"/>
          <w:i/>
          <w:iCs/>
          <w:color w:val="000000" w:themeColor="text1"/>
          <w:kern w:val="36"/>
          <w:sz w:val="20"/>
          <w:szCs w:val="20"/>
          <w14:ligatures w14:val="none"/>
        </w:rPr>
        <w:t>Management</w:t>
      </w:r>
      <w:r w:rsidRPr="006B7FF4">
        <w:rPr>
          <w:rFonts w:ascii="Arial" w:eastAsia="Times New Roman" w:hAnsi="Arial" w:cs="Arial"/>
          <w:color w:val="000000" w:themeColor="text1"/>
          <w:kern w:val="36"/>
          <w:sz w:val="20"/>
          <w:szCs w:val="20"/>
          <w14:ligatures w14:val="none"/>
        </w:rPr>
        <w:t>, 78, 104051</w:t>
      </w:r>
      <w:r w:rsidRPr="006B7FF4">
        <w:rPr>
          <w:rFonts w:ascii="Arial" w:eastAsia="Times New Roman" w:hAnsi="Arial" w:cs="Arial"/>
          <w:color w:val="0070C0"/>
          <w:kern w:val="36"/>
          <w:sz w:val="20"/>
          <w:szCs w:val="20"/>
          <w14:ligatures w14:val="none"/>
        </w:rPr>
        <w:t>.</w:t>
      </w:r>
    </w:p>
    <w:p w14:paraId="2D2EA2E5" w14:textId="25173926" w:rsidR="006B7FF4" w:rsidRDefault="006B7FF4" w:rsidP="006B7FF4">
      <w:pPr>
        <w:spacing w:after="0" w:line="276" w:lineRule="auto"/>
        <w:ind w:left="450" w:hanging="450"/>
        <w:jc w:val="both"/>
        <w:rPr>
          <w:rFonts w:ascii="Arial" w:eastAsia="Times New Roman" w:hAnsi="Arial" w:cs="Arial"/>
          <w:color w:val="0070C0"/>
          <w:kern w:val="36"/>
          <w:sz w:val="20"/>
          <w:szCs w:val="20"/>
          <w14:ligatures w14:val="none"/>
        </w:rPr>
      </w:pPr>
      <w:r w:rsidRPr="006B7FF4">
        <w:rPr>
          <w:rFonts w:ascii="Arial" w:eastAsia="Times New Roman" w:hAnsi="Arial" w:cs="Arial"/>
          <w:color w:val="0070C0"/>
          <w:kern w:val="36"/>
          <w:sz w:val="20"/>
          <w:szCs w:val="20"/>
          <w14:ligatures w14:val="none"/>
        </w:rPr>
        <w:t xml:space="preserve">Education Magazine (2024). Higher Education in Vietnam: Results and Some Challenges. </w:t>
      </w:r>
      <w:r w:rsidRPr="006B7FF4">
        <w:rPr>
          <w:rFonts w:ascii="Arial" w:eastAsia="Times New Roman" w:hAnsi="Arial" w:cs="Arial"/>
          <w:i/>
          <w:iCs/>
          <w:color w:val="0070C0"/>
          <w:kern w:val="36"/>
          <w:sz w:val="20"/>
          <w:szCs w:val="20"/>
          <w14:ligatures w14:val="none"/>
        </w:rPr>
        <w:t>Education Magazine - News and events section</w:t>
      </w:r>
      <w:r w:rsidRPr="006B7FF4">
        <w:rPr>
          <w:rFonts w:ascii="Arial" w:eastAsia="Times New Roman" w:hAnsi="Arial" w:cs="Arial"/>
          <w:color w:val="0070C0"/>
          <w:kern w:val="36"/>
          <w:sz w:val="20"/>
          <w:szCs w:val="20"/>
          <w14:ligatures w14:val="none"/>
        </w:rPr>
        <w:t xml:space="preserve"> (2024), August 28, 2924, </w:t>
      </w:r>
      <w:hyperlink r:id="rId9" w:history="1">
        <w:r w:rsidRPr="006B7FF4">
          <w:rPr>
            <w:rFonts w:eastAsia="Times New Roman"/>
            <w:color w:val="0070C0"/>
            <w:kern w:val="36"/>
            <w14:ligatures w14:val="none"/>
          </w:rPr>
          <w:t>tapchigiaoduc@moet.gov.vn</w:t>
        </w:r>
      </w:hyperlink>
      <w:r w:rsidRPr="006B7FF4">
        <w:rPr>
          <w:rFonts w:ascii="Arial" w:eastAsia="Times New Roman" w:hAnsi="Arial" w:cs="Arial"/>
          <w:color w:val="0070C0"/>
          <w:kern w:val="36"/>
          <w:sz w:val="20"/>
          <w:szCs w:val="20"/>
          <w14:ligatures w14:val="none"/>
        </w:rPr>
        <w:t>.</w:t>
      </w:r>
      <w:r w:rsidRPr="0038603B">
        <w:rPr>
          <w:rFonts w:ascii="Arial" w:hAnsi="Arial" w:cs="Arial"/>
          <w:color w:val="FF0000"/>
          <w:sz w:val="20"/>
          <w:szCs w:val="20"/>
          <w:lang w:val="vi-VN"/>
        </w:rPr>
        <w:t xml:space="preserve"> </w:t>
      </w:r>
      <w:hyperlink r:id="rId10" w:history="1">
        <w:r w:rsidRPr="006B7FF4">
          <w:rPr>
            <w:rFonts w:eastAsia="Times New Roman"/>
            <w:color w:val="0070C0"/>
            <w:kern w:val="36"/>
            <w14:ligatures w14:val="none"/>
          </w:rPr>
          <w:t>https://tapchigiaoduc.edu.vn/article/88776/212/giao-duc-dai-hoc-o-viet-nam-ket-qua-va-mot-so-ton-tai</w:t>
        </w:r>
      </w:hyperlink>
    </w:p>
    <w:p w14:paraId="142C4113" w14:textId="642E37DF" w:rsidR="00EC0E0D" w:rsidRPr="00310AE5" w:rsidRDefault="00EC0E0D" w:rsidP="00310AE5">
      <w:pPr>
        <w:spacing w:after="0" w:line="276" w:lineRule="auto"/>
        <w:ind w:left="450" w:hanging="450"/>
        <w:jc w:val="both"/>
        <w:rPr>
          <w:rFonts w:ascii="Arial" w:eastAsia="Times New Roman" w:hAnsi="Arial" w:cs="Arial"/>
          <w:color w:val="0070C0"/>
          <w:kern w:val="36"/>
          <w:sz w:val="20"/>
          <w:szCs w:val="20"/>
          <w14:ligatures w14:val="none"/>
        </w:rPr>
      </w:pPr>
      <w:r w:rsidRPr="00EC0E0D">
        <w:rPr>
          <w:rFonts w:ascii="Arial" w:eastAsia="Times New Roman" w:hAnsi="Arial" w:cs="Arial"/>
          <w:color w:val="0070C0"/>
          <w:kern w:val="36"/>
          <w:sz w:val="20"/>
          <w:szCs w:val="20"/>
          <w14:ligatures w14:val="none"/>
        </w:rPr>
        <w:t xml:space="preserve">Thuy Van Nguyen (2023). Higher Education in Vietnam in the Current Context of International Integration: Status and Solutions. </w:t>
      </w:r>
      <w:r w:rsidRPr="006B7FF4">
        <w:rPr>
          <w:rFonts w:ascii="Arial" w:eastAsia="Times New Roman" w:hAnsi="Arial" w:cs="Arial"/>
          <w:i/>
          <w:iCs/>
          <w:color w:val="0070C0"/>
          <w:kern w:val="36"/>
          <w:sz w:val="20"/>
          <w:szCs w:val="20"/>
          <w14:ligatures w14:val="none"/>
        </w:rPr>
        <w:t>Journal of Scientific Research and Development</w:t>
      </w:r>
      <w:r w:rsidRPr="00EC0E0D">
        <w:rPr>
          <w:rFonts w:ascii="Arial" w:eastAsia="Times New Roman" w:hAnsi="Arial" w:cs="Arial"/>
          <w:color w:val="0070C0"/>
          <w:kern w:val="36"/>
          <w:sz w:val="20"/>
          <w:szCs w:val="20"/>
          <w14:ligatures w14:val="none"/>
        </w:rPr>
        <w:t>, December 2023. DOI:</w:t>
      </w:r>
      <w:hyperlink r:id="rId11" w:tgtFrame="_blank" w:history="1">
        <w:r w:rsidRPr="00EC0E0D">
          <w:rPr>
            <w:rFonts w:ascii="Arial" w:eastAsia="Times New Roman" w:hAnsi="Arial" w:cs="Arial"/>
            <w:color w:val="0070C0"/>
            <w:kern w:val="36"/>
            <w:sz w:val="20"/>
            <w:szCs w:val="20"/>
            <w14:ligatures w14:val="none"/>
          </w:rPr>
          <w:t>10.58902/</w:t>
        </w:r>
        <w:proofErr w:type="gramStart"/>
        <w:r w:rsidRPr="00EC0E0D">
          <w:rPr>
            <w:rFonts w:ascii="Arial" w:eastAsia="Times New Roman" w:hAnsi="Arial" w:cs="Arial"/>
            <w:color w:val="0070C0"/>
            <w:kern w:val="36"/>
            <w:sz w:val="20"/>
            <w:szCs w:val="20"/>
            <w14:ligatures w14:val="none"/>
          </w:rPr>
          <w:t>tcnckhpt.v</w:t>
        </w:r>
        <w:proofErr w:type="gramEnd"/>
        <w:r w:rsidRPr="00EC0E0D">
          <w:rPr>
            <w:rFonts w:ascii="Arial" w:eastAsia="Times New Roman" w:hAnsi="Arial" w:cs="Arial"/>
            <w:color w:val="0070C0"/>
            <w:kern w:val="36"/>
            <w:sz w:val="20"/>
            <w:szCs w:val="20"/>
            <w14:ligatures w14:val="none"/>
          </w:rPr>
          <w:t>2i4.108</w:t>
        </w:r>
      </w:hyperlink>
    </w:p>
    <w:p w14:paraId="0870B46D" w14:textId="4AFAD78E" w:rsidR="006623DE" w:rsidRPr="006623DE" w:rsidRDefault="006623DE" w:rsidP="006623DE">
      <w:pPr>
        <w:spacing w:after="0" w:line="276" w:lineRule="auto"/>
        <w:ind w:left="450" w:hanging="450"/>
        <w:jc w:val="both"/>
        <w:rPr>
          <w:rFonts w:ascii="Arial" w:hAnsi="Arial" w:cs="Arial"/>
          <w:color w:val="000000" w:themeColor="text1"/>
          <w:sz w:val="20"/>
          <w:szCs w:val="20"/>
          <w:lang w:val="vi-VN"/>
        </w:rPr>
      </w:pPr>
      <w:r w:rsidRPr="007A4759">
        <w:rPr>
          <w:rFonts w:ascii="Arial" w:hAnsi="Arial" w:cs="Arial"/>
          <w:color w:val="000000" w:themeColor="text1"/>
          <w:sz w:val="20"/>
          <w:szCs w:val="20"/>
          <w:lang w:val="vi-VN"/>
        </w:rPr>
        <w:t>Sahibzada,</w:t>
      </w:r>
      <w:r w:rsidRPr="006623DE">
        <w:rPr>
          <w:rFonts w:ascii="Arial" w:hAnsi="Arial" w:cs="Arial"/>
          <w:color w:val="000000" w:themeColor="text1"/>
          <w:sz w:val="20"/>
          <w:szCs w:val="20"/>
          <w:lang w:val="vi-VN"/>
        </w:rPr>
        <w:t xml:space="preserve"> U.F., Janjua, N.A., M. And Aamir, S. (2024). Knowledge-oriented leadership and organizational performance: modelling and the mediating role of service innovation, knowledge sharing quality. </w:t>
      </w:r>
      <w:r w:rsidRPr="006623DE">
        <w:rPr>
          <w:rFonts w:ascii="Arial" w:hAnsi="Arial" w:cs="Arial"/>
          <w:i/>
          <w:iCs/>
          <w:color w:val="000000" w:themeColor="text1"/>
          <w:sz w:val="20"/>
          <w:szCs w:val="20"/>
          <w:lang w:val="vi-VN"/>
        </w:rPr>
        <w:t>Journal of Organizational Effectiveness</w:t>
      </w:r>
      <w:r w:rsidRPr="006623DE">
        <w:rPr>
          <w:rFonts w:ascii="Arial" w:hAnsi="Arial" w:cs="Arial"/>
          <w:color w:val="000000" w:themeColor="text1"/>
          <w:sz w:val="20"/>
          <w:szCs w:val="20"/>
          <w:lang w:val="vi-VN"/>
        </w:rPr>
        <w:t>: People and Performance, Vol 11, No 1, pp.69-89</w:t>
      </w:r>
    </w:p>
    <w:p w14:paraId="66C66368" w14:textId="77777777" w:rsidR="006623DE" w:rsidRPr="006623DE" w:rsidRDefault="006623DE" w:rsidP="006623DE">
      <w:pPr>
        <w:spacing w:after="0" w:line="276" w:lineRule="auto"/>
        <w:ind w:left="450" w:hanging="450"/>
        <w:jc w:val="both"/>
        <w:rPr>
          <w:rFonts w:ascii="Arial" w:hAnsi="Arial" w:cs="Arial"/>
          <w:color w:val="000000" w:themeColor="text1"/>
          <w:sz w:val="20"/>
          <w:szCs w:val="20"/>
          <w:lang w:val="vi-VN"/>
        </w:rPr>
      </w:pPr>
      <w:r w:rsidRPr="007A4759">
        <w:rPr>
          <w:rFonts w:ascii="Arial" w:hAnsi="Arial" w:cs="Arial"/>
          <w:color w:val="000000" w:themeColor="text1"/>
          <w:sz w:val="20"/>
          <w:szCs w:val="20"/>
          <w:lang w:val="vi-VN"/>
        </w:rPr>
        <w:t>Schein, E.H</w:t>
      </w:r>
      <w:r w:rsidRPr="006623DE">
        <w:rPr>
          <w:rFonts w:ascii="Arial" w:hAnsi="Arial" w:cs="Arial"/>
          <w:color w:val="000000" w:themeColor="text1"/>
          <w:sz w:val="20"/>
          <w:szCs w:val="20"/>
          <w:lang w:val="vi-VN"/>
        </w:rPr>
        <w:t xml:space="preserve">. (2004). </w:t>
      </w:r>
      <w:r w:rsidRPr="006623DE">
        <w:rPr>
          <w:rFonts w:ascii="Arial" w:hAnsi="Arial" w:cs="Arial"/>
          <w:i/>
          <w:iCs/>
          <w:color w:val="000000" w:themeColor="text1"/>
          <w:sz w:val="20"/>
          <w:szCs w:val="20"/>
          <w:lang w:val="vi-VN"/>
        </w:rPr>
        <w:t>Organization Culture and Leadership,</w:t>
      </w:r>
      <w:r w:rsidRPr="006623DE">
        <w:rPr>
          <w:rFonts w:ascii="Arial" w:hAnsi="Arial" w:cs="Arial"/>
          <w:color w:val="000000" w:themeColor="text1"/>
          <w:sz w:val="20"/>
          <w:szCs w:val="20"/>
          <w:lang w:val="vi-VN"/>
        </w:rPr>
        <w:t xml:space="preserve"> Jossey-Bass, A Wiley Imprint, New York</w:t>
      </w:r>
    </w:p>
    <w:p w14:paraId="0E65D4FD" w14:textId="2E7C7B16" w:rsidR="006B7988" w:rsidRDefault="006B7988" w:rsidP="00A966C0">
      <w:pPr>
        <w:spacing w:after="0" w:line="276" w:lineRule="auto"/>
        <w:ind w:left="450" w:hanging="450"/>
        <w:jc w:val="both"/>
        <w:rPr>
          <w:rFonts w:ascii="Arial" w:hAnsi="Arial" w:cs="Arial"/>
          <w:color w:val="000000" w:themeColor="text1"/>
          <w:sz w:val="20"/>
          <w:szCs w:val="20"/>
          <w:lang w:val="vi-VN"/>
        </w:rPr>
      </w:pPr>
      <w:r w:rsidRPr="00B554C3">
        <w:rPr>
          <w:rFonts w:ascii="Arial" w:hAnsi="Arial" w:cs="Arial"/>
          <w:color w:val="000000" w:themeColor="text1"/>
          <w:sz w:val="20"/>
          <w:szCs w:val="20"/>
          <w:lang w:val="vi-VN"/>
        </w:rPr>
        <w:t>Shangfeng Jiang</w:t>
      </w:r>
      <w:r w:rsidRPr="00A966C0">
        <w:rPr>
          <w:rFonts w:ascii="Arial" w:hAnsi="Arial" w:cs="Arial"/>
          <w:color w:val="000000" w:themeColor="text1"/>
          <w:sz w:val="20"/>
          <w:szCs w:val="20"/>
          <w:lang w:val="vi-VN"/>
        </w:rPr>
        <w:t xml:space="preserve"> </w:t>
      </w:r>
      <w:r w:rsidRPr="00B554C3">
        <w:rPr>
          <w:rFonts w:ascii="Arial" w:hAnsi="Arial" w:cs="Arial"/>
          <w:color w:val="000000" w:themeColor="text1"/>
          <w:sz w:val="20"/>
          <w:szCs w:val="20"/>
          <w:lang w:val="vi-VN"/>
        </w:rPr>
        <w:t>and</w:t>
      </w:r>
      <w:r w:rsidRPr="00A966C0">
        <w:rPr>
          <w:rFonts w:ascii="Arial" w:hAnsi="Arial" w:cs="Arial"/>
          <w:color w:val="000000" w:themeColor="text1"/>
          <w:sz w:val="20"/>
          <w:szCs w:val="20"/>
          <w:lang w:val="vi-VN"/>
        </w:rPr>
        <w:t xml:space="preserve"> </w:t>
      </w:r>
      <w:r w:rsidRPr="00B554C3">
        <w:rPr>
          <w:rFonts w:ascii="Arial" w:hAnsi="Arial" w:cs="Arial"/>
          <w:color w:val="000000" w:themeColor="text1"/>
          <w:sz w:val="20"/>
          <w:szCs w:val="20"/>
          <w:lang w:val="vi-VN"/>
        </w:rPr>
        <w:t>Fujun Xiao</w:t>
      </w:r>
      <w:r w:rsidRPr="00A966C0">
        <w:rPr>
          <w:rFonts w:ascii="Arial" w:hAnsi="Arial" w:cs="Arial"/>
          <w:color w:val="000000" w:themeColor="text1"/>
          <w:sz w:val="20"/>
          <w:szCs w:val="20"/>
          <w:lang w:val="vi-VN"/>
        </w:rPr>
        <w:t xml:space="preserve"> (2024). </w:t>
      </w:r>
      <w:r w:rsidRPr="00B554C3">
        <w:rPr>
          <w:rFonts w:ascii="Arial" w:hAnsi="Arial" w:cs="Arial"/>
          <w:color w:val="000000" w:themeColor="text1"/>
          <w:sz w:val="20"/>
          <w:szCs w:val="20"/>
          <w:lang w:val="vi-VN"/>
        </w:rPr>
        <w:t>How Teachers Contribute to the Sustainability of the University Brand: Evidence from China</w:t>
      </w:r>
      <w:r w:rsidRPr="00A966C0">
        <w:rPr>
          <w:rFonts w:ascii="Arial" w:hAnsi="Arial" w:cs="Arial"/>
          <w:color w:val="000000" w:themeColor="text1"/>
          <w:sz w:val="20"/>
          <w:szCs w:val="20"/>
          <w:lang w:val="vi-VN"/>
        </w:rPr>
        <w:t xml:space="preserve">. </w:t>
      </w:r>
      <w:r w:rsidRPr="00A966C0">
        <w:rPr>
          <w:rFonts w:ascii="Arial" w:hAnsi="Arial" w:cs="Arial"/>
          <w:i/>
          <w:iCs/>
          <w:color w:val="000000" w:themeColor="text1"/>
          <w:sz w:val="20"/>
          <w:szCs w:val="20"/>
          <w:lang w:val="vi-VN"/>
        </w:rPr>
        <w:t>Sustainability</w:t>
      </w:r>
      <w:r w:rsidRPr="00A966C0">
        <w:rPr>
          <w:rFonts w:ascii="Arial" w:hAnsi="Arial" w:cs="Arial"/>
          <w:color w:val="000000" w:themeColor="text1"/>
          <w:sz w:val="20"/>
          <w:szCs w:val="20"/>
          <w:lang w:val="vi-VN"/>
        </w:rPr>
        <w:t> 2024, </w:t>
      </w:r>
      <w:r w:rsidR="00CE1AAE">
        <w:rPr>
          <w:rFonts w:ascii="Arial" w:hAnsi="Arial" w:cs="Arial"/>
          <w:color w:val="000000" w:themeColor="text1"/>
          <w:sz w:val="20"/>
          <w:szCs w:val="20"/>
          <w:lang w:val="vi-VN"/>
        </w:rPr>
        <w:t xml:space="preserve">Vol </w:t>
      </w:r>
      <w:r w:rsidRPr="00A966C0">
        <w:rPr>
          <w:rFonts w:ascii="Arial" w:hAnsi="Arial" w:cs="Arial"/>
          <w:color w:val="000000" w:themeColor="text1"/>
          <w:sz w:val="20"/>
          <w:szCs w:val="20"/>
          <w:lang w:val="vi-VN"/>
        </w:rPr>
        <w:t>16(9),3793; </w:t>
      </w:r>
      <w:hyperlink r:id="rId12" w:history="1">
        <w:r w:rsidRPr="00A966C0">
          <w:rPr>
            <w:rFonts w:ascii="Arial" w:hAnsi="Arial" w:cs="Arial"/>
            <w:color w:val="000000" w:themeColor="text1"/>
            <w:sz w:val="20"/>
            <w:szCs w:val="20"/>
            <w:lang w:val="vi-VN"/>
          </w:rPr>
          <w:t>https://doi.org/10.3390/su16093793</w:t>
        </w:r>
      </w:hyperlink>
    </w:p>
    <w:p w14:paraId="63E07441" w14:textId="7025A766" w:rsidR="006623DE" w:rsidRPr="006623DE" w:rsidRDefault="006623DE" w:rsidP="006623DE">
      <w:pPr>
        <w:spacing w:after="0" w:line="276" w:lineRule="auto"/>
        <w:ind w:left="450" w:hanging="450"/>
        <w:jc w:val="both"/>
        <w:rPr>
          <w:rFonts w:ascii="Arial" w:hAnsi="Arial" w:cs="Arial"/>
          <w:color w:val="000000" w:themeColor="text1"/>
          <w:sz w:val="20"/>
          <w:szCs w:val="20"/>
          <w:lang w:val="vi-VN"/>
        </w:rPr>
      </w:pPr>
      <w:r w:rsidRPr="007A4759">
        <w:rPr>
          <w:rFonts w:ascii="Arial" w:hAnsi="Arial" w:cs="Arial"/>
          <w:color w:val="000000" w:themeColor="text1"/>
          <w:sz w:val="20"/>
          <w:szCs w:val="20"/>
          <w:lang w:val="vi-VN"/>
        </w:rPr>
        <w:t xml:space="preserve">Stringer, F.J. (2020). </w:t>
      </w:r>
      <w:r w:rsidRPr="006623DE">
        <w:rPr>
          <w:rFonts w:ascii="Arial" w:hAnsi="Arial" w:cs="Arial"/>
          <w:color w:val="000000" w:themeColor="text1"/>
          <w:sz w:val="20"/>
          <w:szCs w:val="20"/>
          <w:lang w:val="vi-VN"/>
        </w:rPr>
        <w:t xml:space="preserve">Work motivation, job satisfaction, and the engagement of lecturers in direct contact with students. </w:t>
      </w:r>
      <w:r w:rsidRPr="006623DE">
        <w:rPr>
          <w:rFonts w:ascii="Arial" w:hAnsi="Arial" w:cs="Arial"/>
          <w:i/>
          <w:iCs/>
          <w:color w:val="000000" w:themeColor="text1"/>
          <w:sz w:val="20"/>
          <w:szCs w:val="20"/>
          <w:lang w:val="vi-VN"/>
        </w:rPr>
        <w:t>International Review of Business Research</w:t>
      </w:r>
      <w:r w:rsidRPr="006623DE">
        <w:rPr>
          <w:rFonts w:ascii="Arial" w:hAnsi="Arial" w:cs="Arial"/>
          <w:color w:val="000000" w:themeColor="text1"/>
          <w:sz w:val="20"/>
          <w:szCs w:val="20"/>
          <w:lang w:val="vi-VN"/>
        </w:rPr>
        <w:t>, 3(2), pp. 54-68</w:t>
      </w:r>
      <w:r w:rsidR="00E936C0">
        <w:rPr>
          <w:rFonts w:ascii="Arial" w:hAnsi="Arial" w:cs="Arial"/>
          <w:color w:val="000000" w:themeColor="text1"/>
          <w:sz w:val="20"/>
          <w:szCs w:val="20"/>
          <w:lang w:val="vi-VN"/>
        </w:rPr>
        <w:t>.</w:t>
      </w:r>
    </w:p>
    <w:p w14:paraId="34D8DBE6" w14:textId="77777777" w:rsidR="006623DE" w:rsidRPr="006623DE" w:rsidRDefault="006623DE" w:rsidP="006623DE">
      <w:pPr>
        <w:spacing w:after="0" w:line="276" w:lineRule="auto"/>
        <w:ind w:left="450" w:hanging="450"/>
        <w:jc w:val="both"/>
        <w:rPr>
          <w:rFonts w:ascii="Arial" w:hAnsi="Arial" w:cs="Arial"/>
          <w:color w:val="000000" w:themeColor="text1"/>
          <w:sz w:val="20"/>
          <w:szCs w:val="20"/>
          <w:lang w:val="vi-VN"/>
        </w:rPr>
      </w:pPr>
      <w:r w:rsidRPr="007A4759">
        <w:rPr>
          <w:rFonts w:ascii="Arial" w:hAnsi="Arial" w:cs="Arial"/>
          <w:color w:val="000000" w:themeColor="text1"/>
          <w:sz w:val="20"/>
          <w:szCs w:val="20"/>
          <w:lang w:val="vi-VN"/>
        </w:rPr>
        <w:t xml:space="preserve">Udey, F.U. </w:t>
      </w:r>
      <w:r w:rsidRPr="006623DE">
        <w:rPr>
          <w:rFonts w:ascii="Arial" w:hAnsi="Arial" w:cs="Arial"/>
          <w:color w:val="000000" w:themeColor="text1"/>
          <w:sz w:val="20"/>
          <w:szCs w:val="20"/>
          <w:lang w:val="vi-VN"/>
        </w:rPr>
        <w:t xml:space="preserve">(2020). Improving organizational culture and workers job satisfaction among university lecturers in Cross River State, Nigeria. </w:t>
      </w:r>
      <w:r w:rsidRPr="006623DE">
        <w:rPr>
          <w:rFonts w:ascii="Arial" w:hAnsi="Arial" w:cs="Arial"/>
          <w:i/>
          <w:iCs/>
          <w:color w:val="000000" w:themeColor="text1"/>
          <w:sz w:val="20"/>
          <w:szCs w:val="20"/>
          <w:lang w:val="vi-VN"/>
        </w:rPr>
        <w:t>Journal of Comtemporary Research</w:t>
      </w:r>
      <w:r w:rsidRPr="006623DE">
        <w:rPr>
          <w:rFonts w:ascii="Arial" w:hAnsi="Arial" w:cs="Arial"/>
          <w:color w:val="000000" w:themeColor="text1"/>
          <w:sz w:val="20"/>
          <w:szCs w:val="20"/>
          <w:lang w:val="vi-VN"/>
        </w:rPr>
        <w:t>, 17 (4), p.75-86.</w:t>
      </w:r>
    </w:p>
    <w:p w14:paraId="7E78CAD0" w14:textId="77777777" w:rsidR="006623DE" w:rsidRPr="006623DE" w:rsidRDefault="00FB6BDC" w:rsidP="006623DE">
      <w:pPr>
        <w:spacing w:after="0" w:line="276" w:lineRule="auto"/>
        <w:ind w:left="450" w:hanging="450"/>
        <w:jc w:val="both"/>
        <w:rPr>
          <w:rFonts w:ascii="Arial" w:hAnsi="Arial" w:cs="Arial"/>
          <w:color w:val="FF0000"/>
          <w:sz w:val="20"/>
          <w:szCs w:val="20"/>
          <w:lang w:val="vi-VN"/>
        </w:rPr>
      </w:pPr>
      <w:hyperlink r:id="rId13" w:anchor="con1" w:history="1">
        <w:r w:rsidR="006623DE" w:rsidRPr="00120014">
          <w:rPr>
            <w:rFonts w:ascii="Arial" w:eastAsia="Times New Roman" w:hAnsi="Arial" w:cs="Arial"/>
            <w:color w:val="000000" w:themeColor="text1"/>
            <w:kern w:val="0"/>
            <w:sz w:val="20"/>
            <w:szCs w:val="20"/>
            <w14:ligatures w14:val="none"/>
          </w:rPr>
          <w:t>Xi Yu Leung</w:t>
        </w:r>
      </w:hyperlink>
      <w:r w:rsidR="006623DE" w:rsidRPr="00120014">
        <w:rPr>
          <w:rFonts w:ascii="Arial" w:eastAsia="Times New Roman" w:hAnsi="Arial" w:cs="Arial"/>
          <w:color w:val="000000" w:themeColor="text1"/>
          <w:kern w:val="0"/>
          <w:sz w:val="20"/>
          <w:szCs w:val="20"/>
          <w14:ligatures w14:val="none"/>
        </w:rPr>
        <w:t>, </w:t>
      </w:r>
      <w:hyperlink r:id="rId14" w:anchor="con2" w:history="1">
        <w:r w:rsidR="006623DE" w:rsidRPr="00120014">
          <w:rPr>
            <w:rFonts w:ascii="Arial" w:eastAsia="Times New Roman" w:hAnsi="Arial" w:cs="Arial"/>
            <w:color w:val="000000" w:themeColor="text1"/>
            <w:kern w:val="0"/>
            <w:sz w:val="20"/>
            <w:szCs w:val="20"/>
            <w14:ligatures w14:val="none"/>
          </w:rPr>
          <w:t>Dan Jin</w:t>
        </w:r>
      </w:hyperlink>
      <w:r w:rsidR="006623DE" w:rsidRPr="00120014">
        <w:rPr>
          <w:rFonts w:ascii="Arial" w:eastAsia="Times New Roman" w:hAnsi="Arial" w:cs="Arial"/>
          <w:color w:val="000000" w:themeColor="text1"/>
          <w:kern w:val="0"/>
          <w:sz w:val="20"/>
          <w:szCs w:val="20"/>
          <w14:ligatures w14:val="none"/>
        </w:rPr>
        <w:t>, and </w:t>
      </w:r>
      <w:hyperlink r:id="rId15" w:anchor="con3" w:history="1">
        <w:r w:rsidR="006623DE" w:rsidRPr="00120014">
          <w:rPr>
            <w:rFonts w:ascii="Arial" w:eastAsia="Times New Roman" w:hAnsi="Arial" w:cs="Arial"/>
            <w:color w:val="000000" w:themeColor="text1"/>
            <w:kern w:val="0"/>
            <w:sz w:val="20"/>
            <w:szCs w:val="20"/>
            <w14:ligatures w14:val="none"/>
          </w:rPr>
          <w:t>Xiaolin Shi</w:t>
        </w:r>
      </w:hyperlink>
      <w:r w:rsidR="006623DE" w:rsidRPr="00120014">
        <w:rPr>
          <w:rFonts w:ascii="Arial" w:eastAsia="Times New Roman" w:hAnsi="Arial" w:cs="Arial"/>
          <w:color w:val="000000" w:themeColor="text1"/>
          <w:kern w:val="0"/>
          <w:sz w:val="20"/>
          <w:szCs w:val="20"/>
          <w:lang w:val="vi-VN"/>
          <w14:ligatures w14:val="none"/>
        </w:rPr>
        <w:t xml:space="preserve"> (2025): “</w:t>
      </w:r>
      <w:r w:rsidR="006623DE" w:rsidRPr="00120014">
        <w:rPr>
          <w:rFonts w:ascii="Arial" w:eastAsia="Times New Roman" w:hAnsi="Arial" w:cs="Arial"/>
          <w:color w:val="000000" w:themeColor="text1"/>
          <w:kern w:val="36"/>
          <w:sz w:val="20"/>
          <w:szCs w:val="20"/>
          <w14:ligatures w14:val="none"/>
        </w:rPr>
        <w:t>Rethinking Hospitality Leadership: Cultivating Human-Robot Co-working Harmony through Rapport Leadership</w:t>
      </w:r>
      <w:r w:rsidR="006623DE" w:rsidRPr="00120014">
        <w:rPr>
          <w:rFonts w:ascii="Arial" w:eastAsia="Times New Roman" w:hAnsi="Arial" w:cs="Arial"/>
          <w:color w:val="000000" w:themeColor="text1"/>
          <w:kern w:val="36"/>
          <w:sz w:val="20"/>
          <w:szCs w:val="20"/>
          <w:lang w:val="vi-VN"/>
          <w14:ligatures w14:val="none"/>
        </w:rPr>
        <w:t>”.</w:t>
      </w:r>
      <w:r w:rsidR="006623DE" w:rsidRPr="006623DE">
        <w:rPr>
          <w:rFonts w:ascii="Arial" w:eastAsia="Times New Roman" w:hAnsi="Arial" w:cs="Arial"/>
          <w:color w:val="555555"/>
          <w:kern w:val="36"/>
          <w:sz w:val="20"/>
          <w:szCs w:val="20"/>
          <w:lang w:val="vi-VN"/>
          <w14:ligatures w14:val="none"/>
        </w:rPr>
        <w:t xml:space="preserve"> </w:t>
      </w:r>
      <w:r w:rsidR="006623DE" w:rsidRPr="006623DE">
        <w:rPr>
          <w:rFonts w:ascii="Arial" w:hAnsi="Arial" w:cs="Arial"/>
          <w:i/>
          <w:iCs/>
          <w:sz w:val="20"/>
          <w:szCs w:val="20"/>
          <w:lang w:val="vi-VN"/>
        </w:rPr>
        <w:t>Jour</w:t>
      </w:r>
      <w:r w:rsidR="006623DE" w:rsidRPr="006623DE">
        <w:rPr>
          <w:rFonts w:ascii="Arial" w:hAnsi="Arial" w:cs="Arial"/>
          <w:i/>
          <w:iCs/>
          <w:sz w:val="20"/>
          <w:szCs w:val="20"/>
        </w:rPr>
        <w:t>n</w:t>
      </w:r>
      <w:r w:rsidR="006623DE" w:rsidRPr="006623DE">
        <w:rPr>
          <w:rFonts w:ascii="Arial" w:hAnsi="Arial" w:cs="Arial"/>
          <w:i/>
          <w:iCs/>
          <w:sz w:val="20"/>
          <w:szCs w:val="20"/>
          <w:lang w:val="vi-VN"/>
        </w:rPr>
        <w:t>al</w:t>
      </w:r>
      <w:r w:rsidR="006623DE" w:rsidRPr="006623DE">
        <w:rPr>
          <w:rFonts w:ascii="Arial" w:hAnsi="Arial" w:cs="Arial"/>
          <w:i/>
          <w:iCs/>
          <w:sz w:val="20"/>
          <w:szCs w:val="20"/>
        </w:rPr>
        <w:t xml:space="preserve"> of Hospitality &amp; Tourism Research</w:t>
      </w:r>
      <w:r w:rsidR="006623DE" w:rsidRPr="006623DE">
        <w:rPr>
          <w:rFonts w:ascii="Arial" w:hAnsi="Arial" w:cs="Arial"/>
          <w:i/>
          <w:iCs/>
          <w:sz w:val="20"/>
          <w:szCs w:val="20"/>
          <w:lang w:val="vi-VN"/>
        </w:rPr>
        <w:t>.</w:t>
      </w:r>
      <w:r w:rsidR="006623DE" w:rsidRPr="006623DE">
        <w:rPr>
          <w:rFonts w:ascii="Arial" w:hAnsi="Arial" w:cs="Arial"/>
          <w:sz w:val="20"/>
          <w:szCs w:val="20"/>
          <w:lang w:val="vi-VN"/>
        </w:rPr>
        <w:t xml:space="preserve"> </w:t>
      </w:r>
      <w:r w:rsidR="006623DE" w:rsidRPr="006623DE">
        <w:rPr>
          <w:rFonts w:ascii="Arial" w:hAnsi="Arial" w:cs="Arial"/>
          <w:color w:val="333333"/>
          <w:sz w:val="20"/>
          <w:szCs w:val="20"/>
          <w:shd w:val="clear" w:color="auto" w:fill="FFFFFF"/>
        </w:rPr>
        <w:t>March 11, 2025</w:t>
      </w:r>
      <w:r w:rsidR="006623DE" w:rsidRPr="006623DE">
        <w:rPr>
          <w:rFonts w:ascii="Arial" w:hAnsi="Arial" w:cs="Arial"/>
          <w:color w:val="333333"/>
          <w:sz w:val="20"/>
          <w:szCs w:val="20"/>
          <w:shd w:val="clear" w:color="auto" w:fill="FFFFFF"/>
          <w:lang w:val="vi-VN"/>
        </w:rPr>
        <w:t xml:space="preserve">, </w:t>
      </w:r>
      <w:hyperlink r:id="rId16" w:history="1">
        <w:r w:rsidR="006623DE" w:rsidRPr="006623DE">
          <w:rPr>
            <w:rFonts w:ascii="Arial" w:eastAsia="Times New Roman" w:hAnsi="Arial" w:cs="Arial"/>
            <w:color w:val="000000" w:themeColor="text1"/>
            <w:kern w:val="0"/>
            <w:sz w:val="20"/>
            <w:szCs w:val="20"/>
            <w14:ligatures w14:val="none"/>
          </w:rPr>
          <w:t>https://doi.org/10.1177/1096348025132857</w:t>
        </w:r>
      </w:hyperlink>
    </w:p>
    <w:p w14:paraId="7B09799B" w14:textId="77777777" w:rsidR="006623DE" w:rsidRPr="006623DE" w:rsidRDefault="006623DE" w:rsidP="006623DE">
      <w:pPr>
        <w:spacing w:after="0" w:line="276" w:lineRule="auto"/>
        <w:ind w:left="450" w:hanging="450"/>
        <w:jc w:val="both"/>
        <w:rPr>
          <w:rFonts w:ascii="Arial" w:hAnsi="Arial" w:cs="Arial"/>
          <w:color w:val="000000" w:themeColor="text1"/>
          <w:sz w:val="20"/>
          <w:szCs w:val="20"/>
          <w:lang w:val="vi-VN"/>
        </w:rPr>
      </w:pPr>
      <w:r w:rsidRPr="007A4759">
        <w:rPr>
          <w:rFonts w:ascii="Arial" w:hAnsi="Arial" w:cs="Arial"/>
          <w:color w:val="000000" w:themeColor="text1"/>
          <w:sz w:val="20"/>
          <w:szCs w:val="20"/>
          <w:lang w:val="vi-VN"/>
        </w:rPr>
        <w:t>Yukl,</w:t>
      </w:r>
      <w:r w:rsidRPr="006623DE">
        <w:rPr>
          <w:rFonts w:ascii="Arial" w:hAnsi="Arial" w:cs="Arial"/>
          <w:color w:val="000000" w:themeColor="text1"/>
          <w:sz w:val="20"/>
          <w:szCs w:val="20"/>
          <w:lang w:val="vi-VN"/>
        </w:rPr>
        <w:t xml:space="preserve"> G.A (1971). </w:t>
      </w:r>
      <w:r w:rsidRPr="006623DE">
        <w:rPr>
          <w:rFonts w:ascii="Arial" w:hAnsi="Arial" w:cs="Arial"/>
          <w:i/>
          <w:iCs/>
          <w:color w:val="000000" w:themeColor="text1"/>
          <w:sz w:val="20"/>
          <w:szCs w:val="20"/>
          <w:lang w:val="vi-VN"/>
        </w:rPr>
        <w:t>Toward  a behavioral theory of leadership, Organization behavior and  Human performance,</w:t>
      </w:r>
      <w:r w:rsidRPr="006623DE">
        <w:rPr>
          <w:rFonts w:ascii="Arial" w:hAnsi="Arial" w:cs="Arial"/>
          <w:color w:val="000000" w:themeColor="text1"/>
          <w:sz w:val="20"/>
          <w:szCs w:val="20"/>
          <w:lang w:val="vi-VN"/>
        </w:rPr>
        <w:t xml:space="preserve"> No.6, pp.414-440</w:t>
      </w:r>
    </w:p>
    <w:p w14:paraId="358B2CD0" w14:textId="77777777" w:rsidR="006623DE" w:rsidRPr="006623DE" w:rsidRDefault="006623DE" w:rsidP="006623DE">
      <w:pPr>
        <w:spacing w:after="0" w:line="276" w:lineRule="auto"/>
        <w:jc w:val="both"/>
        <w:rPr>
          <w:rFonts w:ascii="Arial" w:hAnsi="Arial" w:cs="Arial"/>
          <w:color w:val="000000" w:themeColor="text1"/>
          <w:sz w:val="20"/>
          <w:szCs w:val="20"/>
          <w:lang w:val="vi-VN"/>
        </w:rPr>
      </w:pPr>
    </w:p>
    <w:p w14:paraId="6B4336AE" w14:textId="764AAEEF" w:rsidR="00661C97" w:rsidRPr="006623DE" w:rsidRDefault="00661C97" w:rsidP="00906C7B">
      <w:pPr>
        <w:spacing w:after="0" w:line="360" w:lineRule="auto"/>
        <w:jc w:val="both"/>
        <w:rPr>
          <w:rFonts w:ascii="Arial" w:hAnsi="Arial" w:cs="Arial"/>
          <w:b/>
          <w:bCs/>
          <w:sz w:val="20"/>
          <w:szCs w:val="20"/>
        </w:rPr>
      </w:pPr>
    </w:p>
    <w:sectPr w:rsidR="00661C97" w:rsidRPr="006623D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FE8A6" w14:textId="77777777" w:rsidR="00FB6BDC" w:rsidRDefault="00FB6BDC" w:rsidP="00BC473F">
      <w:pPr>
        <w:spacing w:after="0" w:line="240" w:lineRule="auto"/>
      </w:pPr>
      <w:r>
        <w:separator/>
      </w:r>
    </w:p>
  </w:endnote>
  <w:endnote w:type="continuationSeparator" w:id="0">
    <w:p w14:paraId="2FF43415" w14:textId="77777777" w:rsidR="00FB6BDC" w:rsidRDefault="00FB6BDC" w:rsidP="00BC4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7145349"/>
      <w:docPartObj>
        <w:docPartGallery w:val="Page Numbers (Bottom of Page)"/>
        <w:docPartUnique/>
      </w:docPartObj>
    </w:sdtPr>
    <w:sdtEndPr>
      <w:rPr>
        <w:noProof/>
      </w:rPr>
    </w:sdtEndPr>
    <w:sdtContent>
      <w:p w14:paraId="3DEBE28B" w14:textId="21994D35" w:rsidR="00BC473F" w:rsidRDefault="00BC47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97579A" w14:textId="77777777" w:rsidR="00BC473F" w:rsidRDefault="00BC4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399D4" w14:textId="77777777" w:rsidR="00FB6BDC" w:rsidRDefault="00FB6BDC" w:rsidP="00BC473F">
      <w:pPr>
        <w:spacing w:after="0" w:line="240" w:lineRule="auto"/>
      </w:pPr>
      <w:r>
        <w:separator/>
      </w:r>
    </w:p>
  </w:footnote>
  <w:footnote w:type="continuationSeparator" w:id="0">
    <w:p w14:paraId="153FC7B8" w14:textId="77777777" w:rsidR="00FB6BDC" w:rsidRDefault="00FB6BDC" w:rsidP="00BC4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8184E"/>
    <w:multiLevelType w:val="multilevel"/>
    <w:tmpl w:val="3DF8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85A6B"/>
    <w:multiLevelType w:val="multilevel"/>
    <w:tmpl w:val="2C54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992B35"/>
    <w:multiLevelType w:val="multilevel"/>
    <w:tmpl w:val="A78E9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763531"/>
    <w:multiLevelType w:val="hybridMultilevel"/>
    <w:tmpl w:val="4DCAB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0840B2"/>
    <w:multiLevelType w:val="multilevel"/>
    <w:tmpl w:val="3ECC6BB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60C4E23"/>
    <w:multiLevelType w:val="hybridMultilevel"/>
    <w:tmpl w:val="AB626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8A"/>
    <w:rsid w:val="00006B45"/>
    <w:rsid w:val="00014CED"/>
    <w:rsid w:val="000238A4"/>
    <w:rsid w:val="00023FCC"/>
    <w:rsid w:val="00036E13"/>
    <w:rsid w:val="000449A0"/>
    <w:rsid w:val="00053C0E"/>
    <w:rsid w:val="00072E5C"/>
    <w:rsid w:val="00077D72"/>
    <w:rsid w:val="00086DDC"/>
    <w:rsid w:val="00094E81"/>
    <w:rsid w:val="000957D3"/>
    <w:rsid w:val="00096F6F"/>
    <w:rsid w:val="000A3B8A"/>
    <w:rsid w:val="000B32DC"/>
    <w:rsid w:val="000B4AE3"/>
    <w:rsid w:val="000C112C"/>
    <w:rsid w:val="000C6A21"/>
    <w:rsid w:val="000C6BBA"/>
    <w:rsid w:val="000C6F3A"/>
    <w:rsid w:val="000C6FBE"/>
    <w:rsid w:val="000D2E2E"/>
    <w:rsid w:val="000E2948"/>
    <w:rsid w:val="0011042A"/>
    <w:rsid w:val="00114D6E"/>
    <w:rsid w:val="00120014"/>
    <w:rsid w:val="00121C06"/>
    <w:rsid w:val="00123CF7"/>
    <w:rsid w:val="00141044"/>
    <w:rsid w:val="00156537"/>
    <w:rsid w:val="00161AD7"/>
    <w:rsid w:val="00167936"/>
    <w:rsid w:val="0019033D"/>
    <w:rsid w:val="00192615"/>
    <w:rsid w:val="001A1392"/>
    <w:rsid w:val="001A33AA"/>
    <w:rsid w:val="001A3FE0"/>
    <w:rsid w:val="001B5715"/>
    <w:rsid w:val="001D220F"/>
    <w:rsid w:val="001D623F"/>
    <w:rsid w:val="001E16F1"/>
    <w:rsid w:val="001F056D"/>
    <w:rsid w:val="001F08E4"/>
    <w:rsid w:val="001F2C1C"/>
    <w:rsid w:val="002044F5"/>
    <w:rsid w:val="00211F23"/>
    <w:rsid w:val="00216A25"/>
    <w:rsid w:val="00224A40"/>
    <w:rsid w:val="00230704"/>
    <w:rsid w:val="002348EE"/>
    <w:rsid w:val="00247603"/>
    <w:rsid w:val="00262559"/>
    <w:rsid w:val="00270A55"/>
    <w:rsid w:val="0027290F"/>
    <w:rsid w:val="0027529C"/>
    <w:rsid w:val="0027675C"/>
    <w:rsid w:val="002778C1"/>
    <w:rsid w:val="00277AB3"/>
    <w:rsid w:val="00280E12"/>
    <w:rsid w:val="002A53AA"/>
    <w:rsid w:val="002A7685"/>
    <w:rsid w:val="002B0B69"/>
    <w:rsid w:val="002B44B8"/>
    <w:rsid w:val="002E32AD"/>
    <w:rsid w:val="002E6F79"/>
    <w:rsid w:val="002F678A"/>
    <w:rsid w:val="00310AE5"/>
    <w:rsid w:val="003144DD"/>
    <w:rsid w:val="00332696"/>
    <w:rsid w:val="00340952"/>
    <w:rsid w:val="003460ED"/>
    <w:rsid w:val="003474D5"/>
    <w:rsid w:val="003569FF"/>
    <w:rsid w:val="00357F5B"/>
    <w:rsid w:val="00370186"/>
    <w:rsid w:val="003711CA"/>
    <w:rsid w:val="00371E2F"/>
    <w:rsid w:val="00375D03"/>
    <w:rsid w:val="00377544"/>
    <w:rsid w:val="0038763E"/>
    <w:rsid w:val="00387F08"/>
    <w:rsid w:val="003A11E9"/>
    <w:rsid w:val="003A2687"/>
    <w:rsid w:val="003A5A78"/>
    <w:rsid w:val="003A783C"/>
    <w:rsid w:val="003B11F0"/>
    <w:rsid w:val="003D4E29"/>
    <w:rsid w:val="003F6486"/>
    <w:rsid w:val="003F6C95"/>
    <w:rsid w:val="00404418"/>
    <w:rsid w:val="00404491"/>
    <w:rsid w:val="0040459A"/>
    <w:rsid w:val="0040490D"/>
    <w:rsid w:val="0041439C"/>
    <w:rsid w:val="004251C7"/>
    <w:rsid w:val="00430391"/>
    <w:rsid w:val="004327F8"/>
    <w:rsid w:val="00440151"/>
    <w:rsid w:val="004402B3"/>
    <w:rsid w:val="004411D5"/>
    <w:rsid w:val="004417FF"/>
    <w:rsid w:val="00442FC3"/>
    <w:rsid w:val="00443317"/>
    <w:rsid w:val="00444E06"/>
    <w:rsid w:val="00445FA2"/>
    <w:rsid w:val="004571B7"/>
    <w:rsid w:val="00457701"/>
    <w:rsid w:val="00475443"/>
    <w:rsid w:val="00480ECA"/>
    <w:rsid w:val="004A5070"/>
    <w:rsid w:val="004C5812"/>
    <w:rsid w:val="004C7B72"/>
    <w:rsid w:val="004D1012"/>
    <w:rsid w:val="004D22D5"/>
    <w:rsid w:val="004D56D9"/>
    <w:rsid w:val="004D6373"/>
    <w:rsid w:val="004D7320"/>
    <w:rsid w:val="004D7992"/>
    <w:rsid w:val="004E06FF"/>
    <w:rsid w:val="004E4F17"/>
    <w:rsid w:val="004E6926"/>
    <w:rsid w:val="0051387A"/>
    <w:rsid w:val="00516299"/>
    <w:rsid w:val="00527233"/>
    <w:rsid w:val="005465BA"/>
    <w:rsid w:val="00547905"/>
    <w:rsid w:val="00555FDB"/>
    <w:rsid w:val="00561C49"/>
    <w:rsid w:val="005644C6"/>
    <w:rsid w:val="0057210F"/>
    <w:rsid w:val="00585F52"/>
    <w:rsid w:val="005904E0"/>
    <w:rsid w:val="005A3F42"/>
    <w:rsid w:val="005A46D1"/>
    <w:rsid w:val="005A4F02"/>
    <w:rsid w:val="005C5B8C"/>
    <w:rsid w:val="005E42D2"/>
    <w:rsid w:val="005F0918"/>
    <w:rsid w:val="00600BF1"/>
    <w:rsid w:val="0062756B"/>
    <w:rsid w:val="00633B1B"/>
    <w:rsid w:val="00654D26"/>
    <w:rsid w:val="00660E8A"/>
    <w:rsid w:val="00661C97"/>
    <w:rsid w:val="006623DE"/>
    <w:rsid w:val="00667C3F"/>
    <w:rsid w:val="00677BA1"/>
    <w:rsid w:val="006870EA"/>
    <w:rsid w:val="006B0988"/>
    <w:rsid w:val="006B7988"/>
    <w:rsid w:val="006B7FF4"/>
    <w:rsid w:val="006C78C7"/>
    <w:rsid w:val="006D44A7"/>
    <w:rsid w:val="006D7B4B"/>
    <w:rsid w:val="006E1592"/>
    <w:rsid w:val="00703D54"/>
    <w:rsid w:val="0070693F"/>
    <w:rsid w:val="0071280A"/>
    <w:rsid w:val="00712FC4"/>
    <w:rsid w:val="007137DD"/>
    <w:rsid w:val="007423E6"/>
    <w:rsid w:val="007457F7"/>
    <w:rsid w:val="0074794E"/>
    <w:rsid w:val="00772045"/>
    <w:rsid w:val="00774077"/>
    <w:rsid w:val="00775570"/>
    <w:rsid w:val="0079091E"/>
    <w:rsid w:val="007A4759"/>
    <w:rsid w:val="007A5629"/>
    <w:rsid w:val="007B3893"/>
    <w:rsid w:val="007C2B35"/>
    <w:rsid w:val="007C6A47"/>
    <w:rsid w:val="007D719D"/>
    <w:rsid w:val="007E6E50"/>
    <w:rsid w:val="007F4295"/>
    <w:rsid w:val="008078C3"/>
    <w:rsid w:val="00815A2B"/>
    <w:rsid w:val="00822707"/>
    <w:rsid w:val="00832650"/>
    <w:rsid w:val="0087331E"/>
    <w:rsid w:val="008852DA"/>
    <w:rsid w:val="008903B5"/>
    <w:rsid w:val="008A1459"/>
    <w:rsid w:val="008A477E"/>
    <w:rsid w:val="008B5DC5"/>
    <w:rsid w:val="008B6751"/>
    <w:rsid w:val="008C3687"/>
    <w:rsid w:val="008C5964"/>
    <w:rsid w:val="008D00F0"/>
    <w:rsid w:val="008D04B7"/>
    <w:rsid w:val="008D0FB9"/>
    <w:rsid w:val="008D62D7"/>
    <w:rsid w:val="008D6D11"/>
    <w:rsid w:val="008F27D7"/>
    <w:rsid w:val="008F397C"/>
    <w:rsid w:val="008F4727"/>
    <w:rsid w:val="00906C7B"/>
    <w:rsid w:val="00907D92"/>
    <w:rsid w:val="00907E59"/>
    <w:rsid w:val="00917669"/>
    <w:rsid w:val="00921BB8"/>
    <w:rsid w:val="00923121"/>
    <w:rsid w:val="0094366F"/>
    <w:rsid w:val="00954CF2"/>
    <w:rsid w:val="00957C9C"/>
    <w:rsid w:val="00966AE0"/>
    <w:rsid w:val="009979F1"/>
    <w:rsid w:val="009A479D"/>
    <w:rsid w:val="009A499D"/>
    <w:rsid w:val="009A7148"/>
    <w:rsid w:val="009A7264"/>
    <w:rsid w:val="009A77A7"/>
    <w:rsid w:val="009E06D6"/>
    <w:rsid w:val="009E47E6"/>
    <w:rsid w:val="00A21088"/>
    <w:rsid w:val="00A2108F"/>
    <w:rsid w:val="00A23816"/>
    <w:rsid w:val="00A32125"/>
    <w:rsid w:val="00A51953"/>
    <w:rsid w:val="00A63BC8"/>
    <w:rsid w:val="00A7000C"/>
    <w:rsid w:val="00A825B1"/>
    <w:rsid w:val="00A95E63"/>
    <w:rsid w:val="00A966C0"/>
    <w:rsid w:val="00AC12BE"/>
    <w:rsid w:val="00AC2B3B"/>
    <w:rsid w:val="00AC5FE4"/>
    <w:rsid w:val="00AD3BD1"/>
    <w:rsid w:val="00B00A9D"/>
    <w:rsid w:val="00B07F3E"/>
    <w:rsid w:val="00B141FA"/>
    <w:rsid w:val="00B14798"/>
    <w:rsid w:val="00B15277"/>
    <w:rsid w:val="00B2416A"/>
    <w:rsid w:val="00B27B97"/>
    <w:rsid w:val="00B403EA"/>
    <w:rsid w:val="00B446C1"/>
    <w:rsid w:val="00B50700"/>
    <w:rsid w:val="00B5265B"/>
    <w:rsid w:val="00B54A2D"/>
    <w:rsid w:val="00B611D2"/>
    <w:rsid w:val="00B62234"/>
    <w:rsid w:val="00B700E0"/>
    <w:rsid w:val="00B71403"/>
    <w:rsid w:val="00B77DAD"/>
    <w:rsid w:val="00B930AA"/>
    <w:rsid w:val="00B9363D"/>
    <w:rsid w:val="00BA000B"/>
    <w:rsid w:val="00BA0193"/>
    <w:rsid w:val="00BC473F"/>
    <w:rsid w:val="00BD4593"/>
    <w:rsid w:val="00C01106"/>
    <w:rsid w:val="00C03F24"/>
    <w:rsid w:val="00C0552B"/>
    <w:rsid w:val="00C06155"/>
    <w:rsid w:val="00C116CF"/>
    <w:rsid w:val="00C1255A"/>
    <w:rsid w:val="00C21DCA"/>
    <w:rsid w:val="00C22E3C"/>
    <w:rsid w:val="00C31A11"/>
    <w:rsid w:val="00C37824"/>
    <w:rsid w:val="00C53A6A"/>
    <w:rsid w:val="00C55CF1"/>
    <w:rsid w:val="00C6067A"/>
    <w:rsid w:val="00C636DB"/>
    <w:rsid w:val="00C64926"/>
    <w:rsid w:val="00C65351"/>
    <w:rsid w:val="00C65EA3"/>
    <w:rsid w:val="00C710EF"/>
    <w:rsid w:val="00C71CF6"/>
    <w:rsid w:val="00C82A55"/>
    <w:rsid w:val="00C92EB5"/>
    <w:rsid w:val="00C93982"/>
    <w:rsid w:val="00CA3530"/>
    <w:rsid w:val="00CC473B"/>
    <w:rsid w:val="00CC4867"/>
    <w:rsid w:val="00CD6F3C"/>
    <w:rsid w:val="00CD74B2"/>
    <w:rsid w:val="00CE1AAE"/>
    <w:rsid w:val="00CE6F5A"/>
    <w:rsid w:val="00CF2D42"/>
    <w:rsid w:val="00CF73BE"/>
    <w:rsid w:val="00CF7D5F"/>
    <w:rsid w:val="00D06ACE"/>
    <w:rsid w:val="00D36C73"/>
    <w:rsid w:val="00D44169"/>
    <w:rsid w:val="00D561AD"/>
    <w:rsid w:val="00D702D3"/>
    <w:rsid w:val="00D97F92"/>
    <w:rsid w:val="00DA2255"/>
    <w:rsid w:val="00DA2B82"/>
    <w:rsid w:val="00DA67CC"/>
    <w:rsid w:val="00DC7D26"/>
    <w:rsid w:val="00DD62B1"/>
    <w:rsid w:val="00DE796D"/>
    <w:rsid w:val="00DF60FE"/>
    <w:rsid w:val="00E1723D"/>
    <w:rsid w:val="00E22E68"/>
    <w:rsid w:val="00E23CE2"/>
    <w:rsid w:val="00E3100F"/>
    <w:rsid w:val="00E346D8"/>
    <w:rsid w:val="00E35775"/>
    <w:rsid w:val="00E35DA7"/>
    <w:rsid w:val="00E37D97"/>
    <w:rsid w:val="00E45E44"/>
    <w:rsid w:val="00E47BD0"/>
    <w:rsid w:val="00E51312"/>
    <w:rsid w:val="00E6268B"/>
    <w:rsid w:val="00E64FB3"/>
    <w:rsid w:val="00E737C5"/>
    <w:rsid w:val="00E84ACC"/>
    <w:rsid w:val="00E936C0"/>
    <w:rsid w:val="00EA4BEF"/>
    <w:rsid w:val="00EA6D5E"/>
    <w:rsid w:val="00EC0E0D"/>
    <w:rsid w:val="00ED3425"/>
    <w:rsid w:val="00F07CA2"/>
    <w:rsid w:val="00F24532"/>
    <w:rsid w:val="00F32ACE"/>
    <w:rsid w:val="00F40174"/>
    <w:rsid w:val="00F427D7"/>
    <w:rsid w:val="00F42BF5"/>
    <w:rsid w:val="00F616F9"/>
    <w:rsid w:val="00F67B5C"/>
    <w:rsid w:val="00F716F0"/>
    <w:rsid w:val="00F77CC6"/>
    <w:rsid w:val="00F84BEA"/>
    <w:rsid w:val="00F86D90"/>
    <w:rsid w:val="00F95B55"/>
    <w:rsid w:val="00F95C69"/>
    <w:rsid w:val="00FA115B"/>
    <w:rsid w:val="00FA1523"/>
    <w:rsid w:val="00FB6BDC"/>
    <w:rsid w:val="00FB7459"/>
    <w:rsid w:val="00FC1D63"/>
    <w:rsid w:val="00FC40DA"/>
    <w:rsid w:val="00FD11AB"/>
    <w:rsid w:val="00FD1CBA"/>
    <w:rsid w:val="00FE2FFE"/>
    <w:rsid w:val="00FE4A2D"/>
    <w:rsid w:val="00FF2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2B2E9"/>
  <w15:chartTrackingRefBased/>
  <w15:docId w15:val="{8142E7BB-B22E-4A6F-AD96-25FE158A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E8A"/>
    <w:pPr>
      <w:ind w:left="720"/>
      <w:contextualSpacing/>
    </w:pPr>
  </w:style>
  <w:style w:type="character" w:styleId="Hyperlink">
    <w:name w:val="Hyperlink"/>
    <w:basedOn w:val="DefaultParagraphFont"/>
    <w:uiPriority w:val="99"/>
    <w:unhideWhenUsed/>
    <w:rsid w:val="00527233"/>
    <w:rPr>
      <w:color w:val="0563C1" w:themeColor="hyperlink"/>
      <w:u w:val="single"/>
    </w:rPr>
  </w:style>
  <w:style w:type="character" w:styleId="UnresolvedMention">
    <w:name w:val="Unresolved Mention"/>
    <w:basedOn w:val="DefaultParagraphFont"/>
    <w:uiPriority w:val="99"/>
    <w:semiHidden/>
    <w:unhideWhenUsed/>
    <w:rsid w:val="00527233"/>
    <w:rPr>
      <w:color w:val="605E5C"/>
      <w:shd w:val="clear" w:color="auto" w:fill="E1DFDD"/>
    </w:rPr>
  </w:style>
  <w:style w:type="paragraph" w:styleId="NormalWeb">
    <w:name w:val="Normal (Web)"/>
    <w:basedOn w:val="Normal"/>
    <w:uiPriority w:val="99"/>
    <w:unhideWhenUsed/>
    <w:rsid w:val="000E29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verflow-hidden">
    <w:name w:val="overflow-hidden"/>
    <w:basedOn w:val="DefaultParagraphFont"/>
    <w:rsid w:val="000E2948"/>
  </w:style>
  <w:style w:type="paragraph" w:styleId="Header">
    <w:name w:val="header"/>
    <w:basedOn w:val="Normal"/>
    <w:link w:val="HeaderChar"/>
    <w:uiPriority w:val="99"/>
    <w:unhideWhenUsed/>
    <w:rsid w:val="00BC4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73F"/>
  </w:style>
  <w:style w:type="paragraph" w:styleId="Footer">
    <w:name w:val="footer"/>
    <w:basedOn w:val="Normal"/>
    <w:link w:val="FooterChar"/>
    <w:uiPriority w:val="99"/>
    <w:unhideWhenUsed/>
    <w:rsid w:val="00BC4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73F"/>
  </w:style>
  <w:style w:type="character" w:styleId="Strong">
    <w:name w:val="Strong"/>
    <w:basedOn w:val="DefaultParagraphFont"/>
    <w:uiPriority w:val="22"/>
    <w:qFormat/>
    <w:rsid w:val="00B50700"/>
    <w:rPr>
      <w:b/>
      <w:bCs/>
    </w:rPr>
  </w:style>
  <w:style w:type="table" w:styleId="TableGrid">
    <w:name w:val="Table Grid"/>
    <w:basedOn w:val="TableNormal"/>
    <w:uiPriority w:val="39"/>
    <w:rsid w:val="00F77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78544">
      <w:bodyDiv w:val="1"/>
      <w:marLeft w:val="0"/>
      <w:marRight w:val="0"/>
      <w:marTop w:val="0"/>
      <w:marBottom w:val="0"/>
      <w:divBdr>
        <w:top w:val="none" w:sz="0" w:space="0" w:color="auto"/>
        <w:left w:val="none" w:sz="0" w:space="0" w:color="auto"/>
        <w:bottom w:val="none" w:sz="0" w:space="0" w:color="auto"/>
        <w:right w:val="none" w:sz="0" w:space="0" w:color="auto"/>
      </w:divBdr>
    </w:div>
    <w:div w:id="712467691">
      <w:bodyDiv w:val="1"/>
      <w:marLeft w:val="0"/>
      <w:marRight w:val="0"/>
      <w:marTop w:val="0"/>
      <w:marBottom w:val="0"/>
      <w:divBdr>
        <w:top w:val="none" w:sz="0" w:space="0" w:color="auto"/>
        <w:left w:val="none" w:sz="0" w:space="0" w:color="auto"/>
        <w:bottom w:val="none" w:sz="0" w:space="0" w:color="auto"/>
        <w:right w:val="none" w:sz="0" w:space="0" w:color="auto"/>
      </w:divBdr>
    </w:div>
    <w:div w:id="838890289">
      <w:bodyDiv w:val="1"/>
      <w:marLeft w:val="0"/>
      <w:marRight w:val="0"/>
      <w:marTop w:val="0"/>
      <w:marBottom w:val="0"/>
      <w:divBdr>
        <w:top w:val="none" w:sz="0" w:space="0" w:color="auto"/>
        <w:left w:val="none" w:sz="0" w:space="0" w:color="auto"/>
        <w:bottom w:val="none" w:sz="0" w:space="0" w:color="auto"/>
        <w:right w:val="none" w:sz="0" w:space="0" w:color="auto"/>
      </w:divBdr>
      <w:divsChild>
        <w:div w:id="770860135">
          <w:marLeft w:val="0"/>
          <w:marRight w:val="0"/>
          <w:marTop w:val="0"/>
          <w:marBottom w:val="0"/>
          <w:divBdr>
            <w:top w:val="none" w:sz="0" w:space="0" w:color="auto"/>
            <w:left w:val="none" w:sz="0" w:space="0" w:color="auto"/>
            <w:bottom w:val="none" w:sz="0" w:space="0" w:color="auto"/>
            <w:right w:val="none" w:sz="0" w:space="0" w:color="auto"/>
          </w:divBdr>
          <w:divsChild>
            <w:div w:id="2090884547">
              <w:marLeft w:val="0"/>
              <w:marRight w:val="0"/>
              <w:marTop w:val="0"/>
              <w:marBottom w:val="0"/>
              <w:divBdr>
                <w:top w:val="none" w:sz="0" w:space="0" w:color="auto"/>
                <w:left w:val="none" w:sz="0" w:space="0" w:color="auto"/>
                <w:bottom w:val="none" w:sz="0" w:space="0" w:color="auto"/>
                <w:right w:val="none" w:sz="0" w:space="0" w:color="auto"/>
              </w:divBdr>
              <w:divsChild>
                <w:div w:id="569079699">
                  <w:marLeft w:val="0"/>
                  <w:marRight w:val="0"/>
                  <w:marTop w:val="0"/>
                  <w:marBottom w:val="0"/>
                  <w:divBdr>
                    <w:top w:val="none" w:sz="0" w:space="0" w:color="auto"/>
                    <w:left w:val="none" w:sz="0" w:space="0" w:color="auto"/>
                    <w:bottom w:val="none" w:sz="0" w:space="0" w:color="auto"/>
                    <w:right w:val="none" w:sz="0" w:space="0" w:color="auto"/>
                  </w:divBdr>
                  <w:divsChild>
                    <w:div w:id="115652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45192">
          <w:marLeft w:val="0"/>
          <w:marRight w:val="0"/>
          <w:marTop w:val="0"/>
          <w:marBottom w:val="0"/>
          <w:divBdr>
            <w:top w:val="none" w:sz="0" w:space="0" w:color="auto"/>
            <w:left w:val="none" w:sz="0" w:space="0" w:color="auto"/>
            <w:bottom w:val="none" w:sz="0" w:space="0" w:color="auto"/>
            <w:right w:val="none" w:sz="0" w:space="0" w:color="auto"/>
          </w:divBdr>
          <w:divsChild>
            <w:div w:id="882987520">
              <w:marLeft w:val="0"/>
              <w:marRight w:val="0"/>
              <w:marTop w:val="0"/>
              <w:marBottom w:val="0"/>
              <w:divBdr>
                <w:top w:val="none" w:sz="0" w:space="0" w:color="auto"/>
                <w:left w:val="none" w:sz="0" w:space="0" w:color="auto"/>
                <w:bottom w:val="none" w:sz="0" w:space="0" w:color="auto"/>
                <w:right w:val="none" w:sz="0" w:space="0" w:color="auto"/>
              </w:divBdr>
              <w:divsChild>
                <w:div w:id="667904069">
                  <w:marLeft w:val="0"/>
                  <w:marRight w:val="0"/>
                  <w:marTop w:val="0"/>
                  <w:marBottom w:val="0"/>
                  <w:divBdr>
                    <w:top w:val="none" w:sz="0" w:space="0" w:color="auto"/>
                    <w:left w:val="none" w:sz="0" w:space="0" w:color="auto"/>
                    <w:bottom w:val="none" w:sz="0" w:space="0" w:color="auto"/>
                    <w:right w:val="none" w:sz="0" w:space="0" w:color="auto"/>
                  </w:divBdr>
                  <w:divsChild>
                    <w:div w:id="1290739655">
                      <w:marLeft w:val="0"/>
                      <w:marRight w:val="0"/>
                      <w:marTop w:val="0"/>
                      <w:marBottom w:val="0"/>
                      <w:divBdr>
                        <w:top w:val="none" w:sz="0" w:space="0" w:color="auto"/>
                        <w:left w:val="none" w:sz="0" w:space="0" w:color="auto"/>
                        <w:bottom w:val="none" w:sz="0" w:space="0" w:color="auto"/>
                        <w:right w:val="none" w:sz="0" w:space="0" w:color="auto"/>
                      </w:divBdr>
                      <w:divsChild>
                        <w:div w:id="153211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766738">
      <w:bodyDiv w:val="1"/>
      <w:marLeft w:val="0"/>
      <w:marRight w:val="0"/>
      <w:marTop w:val="0"/>
      <w:marBottom w:val="0"/>
      <w:divBdr>
        <w:top w:val="none" w:sz="0" w:space="0" w:color="auto"/>
        <w:left w:val="none" w:sz="0" w:space="0" w:color="auto"/>
        <w:bottom w:val="none" w:sz="0" w:space="0" w:color="auto"/>
        <w:right w:val="none" w:sz="0" w:space="0" w:color="auto"/>
      </w:divBdr>
    </w:div>
    <w:div w:id="1308045591">
      <w:bodyDiv w:val="1"/>
      <w:marLeft w:val="0"/>
      <w:marRight w:val="0"/>
      <w:marTop w:val="0"/>
      <w:marBottom w:val="0"/>
      <w:divBdr>
        <w:top w:val="none" w:sz="0" w:space="0" w:color="auto"/>
        <w:left w:val="none" w:sz="0" w:space="0" w:color="auto"/>
        <w:bottom w:val="none" w:sz="0" w:space="0" w:color="auto"/>
        <w:right w:val="none" w:sz="0" w:space="0" w:color="auto"/>
      </w:divBdr>
    </w:div>
    <w:div w:id="1336809491">
      <w:bodyDiv w:val="1"/>
      <w:marLeft w:val="0"/>
      <w:marRight w:val="0"/>
      <w:marTop w:val="0"/>
      <w:marBottom w:val="0"/>
      <w:divBdr>
        <w:top w:val="none" w:sz="0" w:space="0" w:color="auto"/>
        <w:left w:val="none" w:sz="0" w:space="0" w:color="auto"/>
        <w:bottom w:val="none" w:sz="0" w:space="0" w:color="auto"/>
        <w:right w:val="none" w:sz="0" w:space="0" w:color="auto"/>
      </w:divBdr>
    </w:div>
    <w:div w:id="1447121992">
      <w:bodyDiv w:val="1"/>
      <w:marLeft w:val="0"/>
      <w:marRight w:val="0"/>
      <w:marTop w:val="0"/>
      <w:marBottom w:val="0"/>
      <w:divBdr>
        <w:top w:val="none" w:sz="0" w:space="0" w:color="auto"/>
        <w:left w:val="none" w:sz="0" w:space="0" w:color="auto"/>
        <w:bottom w:val="none" w:sz="0" w:space="0" w:color="auto"/>
        <w:right w:val="none" w:sz="0" w:space="0" w:color="auto"/>
      </w:divBdr>
      <w:divsChild>
        <w:div w:id="1981113486">
          <w:marLeft w:val="0"/>
          <w:marRight w:val="0"/>
          <w:marTop w:val="0"/>
          <w:marBottom w:val="0"/>
          <w:divBdr>
            <w:top w:val="none" w:sz="0" w:space="0" w:color="auto"/>
            <w:left w:val="none" w:sz="0" w:space="0" w:color="auto"/>
            <w:bottom w:val="none" w:sz="0" w:space="0" w:color="auto"/>
            <w:right w:val="none" w:sz="0" w:space="0" w:color="auto"/>
          </w:divBdr>
          <w:divsChild>
            <w:div w:id="1171261807">
              <w:marLeft w:val="0"/>
              <w:marRight w:val="0"/>
              <w:marTop w:val="0"/>
              <w:marBottom w:val="0"/>
              <w:divBdr>
                <w:top w:val="none" w:sz="0" w:space="0" w:color="auto"/>
                <w:left w:val="none" w:sz="0" w:space="0" w:color="auto"/>
                <w:bottom w:val="none" w:sz="0" w:space="0" w:color="auto"/>
                <w:right w:val="none" w:sz="0" w:space="0" w:color="auto"/>
              </w:divBdr>
              <w:divsChild>
                <w:div w:id="1520121101">
                  <w:marLeft w:val="0"/>
                  <w:marRight w:val="0"/>
                  <w:marTop w:val="0"/>
                  <w:marBottom w:val="0"/>
                  <w:divBdr>
                    <w:top w:val="none" w:sz="0" w:space="0" w:color="auto"/>
                    <w:left w:val="none" w:sz="0" w:space="0" w:color="auto"/>
                    <w:bottom w:val="none" w:sz="0" w:space="0" w:color="auto"/>
                    <w:right w:val="none" w:sz="0" w:space="0" w:color="auto"/>
                  </w:divBdr>
                  <w:divsChild>
                    <w:div w:id="5142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80513">
          <w:marLeft w:val="0"/>
          <w:marRight w:val="0"/>
          <w:marTop w:val="0"/>
          <w:marBottom w:val="0"/>
          <w:divBdr>
            <w:top w:val="none" w:sz="0" w:space="0" w:color="auto"/>
            <w:left w:val="none" w:sz="0" w:space="0" w:color="auto"/>
            <w:bottom w:val="none" w:sz="0" w:space="0" w:color="auto"/>
            <w:right w:val="none" w:sz="0" w:space="0" w:color="auto"/>
          </w:divBdr>
          <w:divsChild>
            <w:div w:id="1309945219">
              <w:marLeft w:val="0"/>
              <w:marRight w:val="0"/>
              <w:marTop w:val="0"/>
              <w:marBottom w:val="0"/>
              <w:divBdr>
                <w:top w:val="none" w:sz="0" w:space="0" w:color="auto"/>
                <w:left w:val="none" w:sz="0" w:space="0" w:color="auto"/>
                <w:bottom w:val="none" w:sz="0" w:space="0" w:color="auto"/>
                <w:right w:val="none" w:sz="0" w:space="0" w:color="auto"/>
              </w:divBdr>
              <w:divsChild>
                <w:div w:id="1502038453">
                  <w:marLeft w:val="0"/>
                  <w:marRight w:val="0"/>
                  <w:marTop w:val="0"/>
                  <w:marBottom w:val="0"/>
                  <w:divBdr>
                    <w:top w:val="none" w:sz="0" w:space="0" w:color="auto"/>
                    <w:left w:val="none" w:sz="0" w:space="0" w:color="auto"/>
                    <w:bottom w:val="none" w:sz="0" w:space="0" w:color="auto"/>
                    <w:right w:val="none" w:sz="0" w:space="0" w:color="auto"/>
                  </w:divBdr>
                  <w:divsChild>
                    <w:div w:id="365176433">
                      <w:marLeft w:val="0"/>
                      <w:marRight w:val="0"/>
                      <w:marTop w:val="0"/>
                      <w:marBottom w:val="0"/>
                      <w:divBdr>
                        <w:top w:val="none" w:sz="0" w:space="0" w:color="auto"/>
                        <w:left w:val="none" w:sz="0" w:space="0" w:color="auto"/>
                        <w:bottom w:val="none" w:sz="0" w:space="0" w:color="auto"/>
                        <w:right w:val="none" w:sz="0" w:space="0" w:color="auto"/>
                      </w:divBdr>
                      <w:divsChild>
                        <w:div w:id="7888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950378">
      <w:bodyDiv w:val="1"/>
      <w:marLeft w:val="0"/>
      <w:marRight w:val="0"/>
      <w:marTop w:val="0"/>
      <w:marBottom w:val="0"/>
      <w:divBdr>
        <w:top w:val="none" w:sz="0" w:space="0" w:color="auto"/>
        <w:left w:val="none" w:sz="0" w:space="0" w:color="auto"/>
        <w:bottom w:val="none" w:sz="0" w:space="0" w:color="auto"/>
        <w:right w:val="none" w:sz="0" w:space="0" w:color="auto"/>
      </w:divBdr>
    </w:div>
    <w:div w:id="1939287332">
      <w:bodyDiv w:val="1"/>
      <w:marLeft w:val="0"/>
      <w:marRight w:val="0"/>
      <w:marTop w:val="0"/>
      <w:marBottom w:val="0"/>
      <w:divBdr>
        <w:top w:val="none" w:sz="0" w:space="0" w:color="auto"/>
        <w:left w:val="none" w:sz="0" w:space="0" w:color="auto"/>
        <w:bottom w:val="none" w:sz="0" w:space="0" w:color="auto"/>
        <w:right w:val="none" w:sz="0" w:space="0" w:color="auto"/>
      </w:divBdr>
    </w:div>
    <w:div w:id="2119636034">
      <w:bodyDiv w:val="1"/>
      <w:marLeft w:val="0"/>
      <w:marRight w:val="0"/>
      <w:marTop w:val="0"/>
      <w:marBottom w:val="0"/>
      <w:divBdr>
        <w:top w:val="none" w:sz="0" w:space="0" w:color="auto"/>
        <w:left w:val="none" w:sz="0" w:space="0" w:color="auto"/>
        <w:bottom w:val="none" w:sz="0" w:space="0" w:color="auto"/>
        <w:right w:val="none" w:sz="0" w:space="0" w:color="auto"/>
      </w:divBdr>
      <w:divsChild>
        <w:div w:id="2057312931">
          <w:marLeft w:val="0"/>
          <w:marRight w:val="0"/>
          <w:marTop w:val="0"/>
          <w:marBottom w:val="0"/>
          <w:divBdr>
            <w:top w:val="none" w:sz="0" w:space="0" w:color="auto"/>
            <w:left w:val="none" w:sz="0" w:space="0" w:color="auto"/>
            <w:bottom w:val="none" w:sz="0" w:space="0" w:color="auto"/>
            <w:right w:val="none" w:sz="0" w:space="0" w:color="auto"/>
          </w:divBdr>
          <w:divsChild>
            <w:div w:id="1553536205">
              <w:marLeft w:val="0"/>
              <w:marRight w:val="0"/>
              <w:marTop w:val="0"/>
              <w:marBottom w:val="0"/>
              <w:divBdr>
                <w:top w:val="none" w:sz="0" w:space="0" w:color="auto"/>
                <w:left w:val="none" w:sz="0" w:space="0" w:color="auto"/>
                <w:bottom w:val="none" w:sz="0" w:space="0" w:color="auto"/>
                <w:right w:val="none" w:sz="0" w:space="0" w:color="auto"/>
              </w:divBdr>
              <w:divsChild>
                <w:div w:id="1477989748">
                  <w:marLeft w:val="0"/>
                  <w:marRight w:val="0"/>
                  <w:marTop w:val="0"/>
                  <w:marBottom w:val="0"/>
                  <w:divBdr>
                    <w:top w:val="none" w:sz="0" w:space="0" w:color="auto"/>
                    <w:left w:val="none" w:sz="0" w:space="0" w:color="auto"/>
                    <w:bottom w:val="none" w:sz="0" w:space="0" w:color="auto"/>
                    <w:right w:val="none" w:sz="0" w:space="0" w:color="auto"/>
                  </w:divBdr>
                  <w:divsChild>
                    <w:div w:id="160268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72205">
          <w:marLeft w:val="0"/>
          <w:marRight w:val="0"/>
          <w:marTop w:val="0"/>
          <w:marBottom w:val="0"/>
          <w:divBdr>
            <w:top w:val="none" w:sz="0" w:space="0" w:color="auto"/>
            <w:left w:val="none" w:sz="0" w:space="0" w:color="auto"/>
            <w:bottom w:val="none" w:sz="0" w:space="0" w:color="auto"/>
            <w:right w:val="none" w:sz="0" w:space="0" w:color="auto"/>
          </w:divBdr>
          <w:divsChild>
            <w:div w:id="1177497123">
              <w:marLeft w:val="0"/>
              <w:marRight w:val="0"/>
              <w:marTop w:val="0"/>
              <w:marBottom w:val="0"/>
              <w:divBdr>
                <w:top w:val="none" w:sz="0" w:space="0" w:color="auto"/>
                <w:left w:val="none" w:sz="0" w:space="0" w:color="auto"/>
                <w:bottom w:val="none" w:sz="0" w:space="0" w:color="auto"/>
                <w:right w:val="none" w:sz="0" w:space="0" w:color="auto"/>
              </w:divBdr>
              <w:divsChild>
                <w:div w:id="1465924731">
                  <w:marLeft w:val="0"/>
                  <w:marRight w:val="0"/>
                  <w:marTop w:val="0"/>
                  <w:marBottom w:val="0"/>
                  <w:divBdr>
                    <w:top w:val="none" w:sz="0" w:space="0" w:color="auto"/>
                    <w:left w:val="none" w:sz="0" w:space="0" w:color="auto"/>
                    <w:bottom w:val="none" w:sz="0" w:space="0" w:color="auto"/>
                    <w:right w:val="none" w:sz="0" w:space="0" w:color="auto"/>
                  </w:divBdr>
                  <w:divsChild>
                    <w:div w:id="1404525139">
                      <w:marLeft w:val="0"/>
                      <w:marRight w:val="0"/>
                      <w:marTop w:val="0"/>
                      <w:marBottom w:val="0"/>
                      <w:divBdr>
                        <w:top w:val="none" w:sz="0" w:space="0" w:color="auto"/>
                        <w:left w:val="none" w:sz="0" w:space="0" w:color="auto"/>
                        <w:bottom w:val="none" w:sz="0" w:space="0" w:color="auto"/>
                        <w:right w:val="none" w:sz="0" w:space="0" w:color="auto"/>
                      </w:divBdr>
                      <w:divsChild>
                        <w:div w:id="19456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aoduc.net.vn/nhung-con-so-biet-noi-ve-kiem-dinh-chat-luong-giao-duc-dai-hoc-sau-20-nam-post240859.gd" TargetMode="External"/><Relationship Id="rId13" Type="http://schemas.openxmlformats.org/officeDocument/2006/relationships/hyperlink" Target="https://journals.sagepub.com/doi/10.1177/1096348025132857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3390/su1609379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177/109634802513285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58902/tcnckhpt.v2i4.108" TargetMode="External"/><Relationship Id="rId5" Type="http://schemas.openxmlformats.org/officeDocument/2006/relationships/footnotes" Target="footnotes.xml"/><Relationship Id="rId15" Type="http://schemas.openxmlformats.org/officeDocument/2006/relationships/hyperlink" Target="https://journals.sagepub.com/doi/10.1177/10963480251328575" TargetMode="External"/><Relationship Id="rId10" Type="http://schemas.openxmlformats.org/officeDocument/2006/relationships/hyperlink" Target="https://tapchigiaoduc.edu.vn/article/88776/212/giao-duc-dai-hoc-o-viet-nam-ket-qua-va-mot-so-ton-ta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apchigiaoduc@moet.gov.vn" TargetMode="External"/><Relationship Id="rId14" Type="http://schemas.openxmlformats.org/officeDocument/2006/relationships/hyperlink" Target="https://journals.sagepub.com/doi/10.1177/10963480251328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12</Pages>
  <Words>4758</Words>
  <Characters>27121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 Vu Truc</dc:creator>
  <cp:keywords/>
  <dc:description/>
  <cp:lastModifiedBy>SDI 1183</cp:lastModifiedBy>
  <cp:revision>325</cp:revision>
  <dcterms:created xsi:type="dcterms:W3CDTF">2025-03-16T02:55:00Z</dcterms:created>
  <dcterms:modified xsi:type="dcterms:W3CDTF">2025-04-07T10:41:00Z</dcterms:modified>
</cp:coreProperties>
</file>