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171B" w14:textId="37E3568C"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b/>
          <w:bCs/>
          <w:sz w:val="28"/>
          <w:szCs w:val="28"/>
        </w:rPr>
        <w:t>Intracardiac masses: epidemiological, clinical, therapeutic and evolutionary aspects</w:t>
      </w:r>
      <w:r w:rsidR="003C0C0F" w:rsidRPr="009A1244">
        <w:rPr>
          <w:rFonts w:ascii="Times New Roman" w:hAnsi="Times New Roman" w:cs="Times New Roman"/>
          <w:b/>
          <w:bCs/>
          <w:sz w:val="28"/>
          <w:szCs w:val="28"/>
        </w:rPr>
        <w:t xml:space="preserve"> </w:t>
      </w:r>
      <w:r w:rsidRPr="009A1244">
        <w:rPr>
          <w:rFonts w:ascii="Times New Roman" w:hAnsi="Times New Roman" w:cs="Times New Roman"/>
          <w:b/>
          <w:bCs/>
          <w:sz w:val="28"/>
          <w:szCs w:val="28"/>
        </w:rPr>
        <w:t>in a cardiology department in sub-Saharan Africa</w:t>
      </w:r>
    </w:p>
    <w:p w14:paraId="561E26E0" w14:textId="77777777" w:rsidR="0052690D" w:rsidRPr="009A1244" w:rsidRDefault="0052690D" w:rsidP="00CB2A3F">
      <w:pPr>
        <w:spacing w:line="276" w:lineRule="auto"/>
        <w:jc w:val="both"/>
        <w:rPr>
          <w:rFonts w:ascii="Times New Roman" w:hAnsi="Times New Roman" w:cs="Times New Roman"/>
          <w:b/>
          <w:bCs/>
          <w:sz w:val="28"/>
          <w:szCs w:val="28"/>
        </w:rPr>
      </w:pPr>
    </w:p>
    <w:p w14:paraId="679B6D8B" w14:textId="5DC65204" w:rsidR="00C0157A" w:rsidRPr="009A1244" w:rsidRDefault="00C0157A" w:rsidP="00CB2A3F">
      <w:pPr>
        <w:spacing w:line="276" w:lineRule="auto"/>
        <w:jc w:val="both"/>
        <w:rPr>
          <w:rFonts w:ascii="Times New Roman" w:hAnsi="Times New Roman" w:cs="Times New Roman"/>
          <w:b/>
          <w:bCs/>
          <w:sz w:val="28"/>
          <w:szCs w:val="28"/>
        </w:rPr>
      </w:pPr>
      <w:r w:rsidRPr="009A1244">
        <w:rPr>
          <w:rFonts w:ascii="Times New Roman" w:hAnsi="Times New Roman" w:cs="Times New Roman"/>
          <w:b/>
          <w:bCs/>
          <w:sz w:val="28"/>
          <w:szCs w:val="28"/>
        </w:rPr>
        <w:t>Abstract</w:t>
      </w:r>
    </w:p>
    <w:p w14:paraId="50C64FA7" w14:textId="77777777"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b/>
          <w:bCs/>
          <w:sz w:val="28"/>
          <w:szCs w:val="28"/>
        </w:rPr>
        <w:t>Introduction/Objective</w:t>
      </w:r>
      <w:r w:rsidRPr="009A1244">
        <w:rPr>
          <w:rFonts w:ascii="Times New Roman" w:hAnsi="Times New Roman" w:cs="Times New Roman"/>
          <w:sz w:val="28"/>
          <w:szCs w:val="28"/>
        </w:rPr>
        <w:t xml:space="preserve">: Intracardiac masses include thrombi, cardiac tumours and valvular vegetations. The aim of this study was to describe the epidemiological, clinical, therapeutic and evolutionary aspects of intra-intracardiac masses in a cardiology department in sub-Saharan Africa.  </w:t>
      </w:r>
    </w:p>
    <w:p w14:paraId="5E6587DE" w14:textId="4CF2A3B4"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b/>
          <w:bCs/>
          <w:sz w:val="28"/>
          <w:szCs w:val="28"/>
        </w:rPr>
        <w:t>Patient and method:</w:t>
      </w:r>
      <w:r w:rsidRPr="009A1244">
        <w:rPr>
          <w:rFonts w:ascii="Times New Roman" w:hAnsi="Times New Roman" w:cs="Times New Roman"/>
          <w:sz w:val="28"/>
          <w:szCs w:val="28"/>
        </w:rPr>
        <w:t xml:space="preserve"> </w:t>
      </w:r>
      <w:r w:rsidR="000A5180" w:rsidRPr="000A5180">
        <w:rPr>
          <w:rFonts w:ascii="Times New Roman" w:hAnsi="Times New Roman" w:cs="Times New Roman"/>
          <w:bCs/>
          <w:sz w:val="26"/>
          <w:szCs w:val="26"/>
          <w:highlight w:val="yellow"/>
        </w:rPr>
        <w:t xml:space="preserve">This was a retrospective descriptive study conducted in the cardiology </w:t>
      </w:r>
      <w:r w:rsidR="000A5180" w:rsidRPr="000A5180">
        <w:rPr>
          <w:rFonts w:ascii="Times New Roman" w:hAnsi="Times New Roman" w:cs="Times New Roman"/>
          <w:bCs/>
          <w:sz w:val="26"/>
          <w:szCs w:val="26"/>
          <w:highlight w:val="yellow"/>
        </w:rPr>
        <w:tab/>
        <w:t>department from 1 January 2011 to 31 March 2013</w:t>
      </w:r>
      <w:r w:rsidR="000A5180" w:rsidRPr="000A5180">
        <w:rPr>
          <w:rFonts w:ascii="Times New Roman" w:hAnsi="Times New Roman" w:cs="Times New Roman"/>
          <w:b/>
          <w:sz w:val="26"/>
          <w:szCs w:val="26"/>
          <w:highlight w:val="yellow"/>
        </w:rPr>
        <w:t>.</w:t>
      </w:r>
      <w:r w:rsidR="000A5180">
        <w:rPr>
          <w:rFonts w:ascii="Times New Roman" w:hAnsi="Times New Roman" w:cs="Times New Roman"/>
          <w:bCs/>
          <w:sz w:val="26"/>
          <w:szCs w:val="26"/>
        </w:rPr>
        <w:t xml:space="preserve"> </w:t>
      </w:r>
      <w:r w:rsidRPr="009A1244">
        <w:rPr>
          <w:rFonts w:ascii="Times New Roman" w:hAnsi="Times New Roman" w:cs="Times New Roman"/>
          <w:sz w:val="28"/>
          <w:szCs w:val="28"/>
        </w:rPr>
        <w:t>All patients diagnosed and hospitalised with intracardiac masses were included in the study. Sociodemographic, clinical, paraclinical, therapeutic and prognostic variables were collected. Qualitative and quantitative variables were assessed</w:t>
      </w:r>
      <w:r w:rsidR="0052690D" w:rsidRPr="009A1244">
        <w:rPr>
          <w:rFonts w:ascii="Times New Roman" w:hAnsi="Times New Roman" w:cs="Times New Roman"/>
          <w:sz w:val="28"/>
          <w:szCs w:val="28"/>
        </w:rPr>
        <w:t xml:space="preserve"> </w:t>
      </w:r>
      <w:r w:rsidRPr="009A1244">
        <w:rPr>
          <w:rFonts w:ascii="Times New Roman" w:hAnsi="Times New Roman" w:cs="Times New Roman"/>
          <w:sz w:val="28"/>
          <w:szCs w:val="28"/>
        </w:rPr>
        <w:t>in terms of frequency and mean plus or minus standard deviation. Comparison of means and percentages was performed using Pearson's Chi2 test with a significance level of p = 0.05.</w:t>
      </w:r>
    </w:p>
    <w:p w14:paraId="4D5D2839" w14:textId="421597A5"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b/>
          <w:bCs/>
          <w:sz w:val="28"/>
          <w:szCs w:val="28"/>
        </w:rPr>
        <w:t>Results:</w:t>
      </w:r>
      <w:r w:rsidRPr="009A1244">
        <w:rPr>
          <w:rFonts w:ascii="Times New Roman" w:hAnsi="Times New Roman" w:cs="Times New Roman"/>
          <w:sz w:val="28"/>
          <w:szCs w:val="28"/>
        </w:rPr>
        <w:t xml:space="preserve"> The hospital incidence of intracardiac masses was 7.5%. Diabetes was found in six patients (7.6%) and arterial hypertension in 57 patients (71.3%). The main aetiologies were dilated cardiomyopathy in 28.8% (n=23) of cases, ischaemic heart disease in 10% (n=8), and peripartum cardiomyopathy in 3.8% (n=3). Treatment consisted of anticoagulants in 65% of cases, antibiotics in 58.8% of cases and instrumental treatments in 1.3% of cases. The mortality rate was 18.5%. The causes of death during hospitalisation were thrombo-embolic complications (30%), uncontrolled heart failure (81.3%), cardiogenic shock (25%) and septic shock (20%). </w:t>
      </w:r>
    </w:p>
    <w:p w14:paraId="09DCEEDF" w14:textId="77777777"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b/>
          <w:bCs/>
          <w:sz w:val="28"/>
          <w:szCs w:val="28"/>
        </w:rPr>
        <w:t>Conclusion:</w:t>
      </w:r>
      <w:r w:rsidRPr="009A1244">
        <w:rPr>
          <w:rFonts w:ascii="Times New Roman" w:hAnsi="Times New Roman" w:cs="Times New Roman"/>
          <w:sz w:val="28"/>
          <w:szCs w:val="28"/>
        </w:rPr>
        <w:t xml:space="preserve"> Intracardiac masses are serious because of their high mortality rate. The most frequent were thromboses. They therefore require prolonged monitoring in order to preserve the patient's survival.</w:t>
      </w:r>
    </w:p>
    <w:p w14:paraId="7BC4A485" w14:textId="77777777"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b/>
          <w:bCs/>
          <w:sz w:val="28"/>
          <w:szCs w:val="28"/>
        </w:rPr>
        <w:t>Key words:</w:t>
      </w:r>
      <w:r w:rsidRPr="009A1244">
        <w:rPr>
          <w:rFonts w:ascii="Times New Roman" w:hAnsi="Times New Roman" w:cs="Times New Roman"/>
          <w:sz w:val="28"/>
          <w:szCs w:val="28"/>
        </w:rPr>
        <w:t xml:space="preserve"> intracardiac masses, thrombus, vegetations, myxoma, Ouagadougou</w:t>
      </w:r>
    </w:p>
    <w:p w14:paraId="41E87568" w14:textId="77777777" w:rsidR="00C0157A" w:rsidRDefault="00C0157A" w:rsidP="00CB2A3F">
      <w:pPr>
        <w:spacing w:line="276" w:lineRule="auto"/>
        <w:jc w:val="both"/>
        <w:rPr>
          <w:rFonts w:ascii="Times New Roman" w:hAnsi="Times New Roman" w:cs="Times New Roman"/>
          <w:sz w:val="28"/>
          <w:szCs w:val="28"/>
        </w:rPr>
      </w:pPr>
    </w:p>
    <w:p w14:paraId="35DC77BF" w14:textId="77777777" w:rsidR="00CB2A3F" w:rsidRPr="009A1244" w:rsidRDefault="00CB2A3F" w:rsidP="00CB2A3F">
      <w:pPr>
        <w:spacing w:line="276" w:lineRule="auto"/>
        <w:jc w:val="both"/>
        <w:rPr>
          <w:rFonts w:ascii="Times New Roman" w:hAnsi="Times New Roman" w:cs="Times New Roman"/>
          <w:sz w:val="28"/>
          <w:szCs w:val="28"/>
        </w:rPr>
      </w:pPr>
    </w:p>
    <w:p w14:paraId="34A84595" w14:textId="77777777" w:rsidR="0052690D" w:rsidRPr="009A1244" w:rsidRDefault="0052690D" w:rsidP="00CB2A3F">
      <w:pPr>
        <w:spacing w:line="276" w:lineRule="auto"/>
        <w:jc w:val="both"/>
        <w:rPr>
          <w:rFonts w:ascii="Times New Roman" w:hAnsi="Times New Roman" w:cs="Times New Roman"/>
          <w:sz w:val="28"/>
          <w:szCs w:val="28"/>
        </w:rPr>
      </w:pPr>
    </w:p>
    <w:p w14:paraId="3D3FFEB8" w14:textId="77777777" w:rsidR="00C0157A" w:rsidRPr="009A1244" w:rsidRDefault="00C0157A" w:rsidP="00CB2A3F">
      <w:pPr>
        <w:spacing w:line="276" w:lineRule="auto"/>
        <w:jc w:val="both"/>
        <w:rPr>
          <w:rFonts w:ascii="Times New Roman" w:hAnsi="Times New Roman" w:cs="Times New Roman"/>
          <w:b/>
          <w:bCs/>
          <w:sz w:val="28"/>
          <w:szCs w:val="28"/>
        </w:rPr>
      </w:pPr>
      <w:r w:rsidRPr="009A1244">
        <w:rPr>
          <w:rFonts w:ascii="Times New Roman" w:hAnsi="Times New Roman" w:cs="Times New Roman"/>
          <w:b/>
          <w:bCs/>
          <w:sz w:val="28"/>
          <w:szCs w:val="28"/>
        </w:rPr>
        <w:lastRenderedPageBreak/>
        <w:t>1.</w:t>
      </w:r>
      <w:r w:rsidRPr="009A1244">
        <w:rPr>
          <w:rFonts w:ascii="Times New Roman" w:hAnsi="Times New Roman" w:cs="Times New Roman"/>
          <w:b/>
          <w:bCs/>
          <w:sz w:val="28"/>
          <w:szCs w:val="28"/>
        </w:rPr>
        <w:tab/>
      </w:r>
      <w:bookmarkStart w:id="0" w:name="_Hlk193365704"/>
      <w:r w:rsidRPr="009A1244">
        <w:rPr>
          <w:rFonts w:ascii="Times New Roman" w:hAnsi="Times New Roman" w:cs="Times New Roman"/>
          <w:b/>
          <w:bCs/>
          <w:sz w:val="28"/>
          <w:szCs w:val="28"/>
        </w:rPr>
        <w:t>Introduction</w:t>
      </w:r>
      <w:bookmarkEnd w:id="0"/>
    </w:p>
    <w:p w14:paraId="35DF029E" w14:textId="24F601EA"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Intracardiac masses (</w:t>
      </w:r>
      <w:bookmarkStart w:id="1" w:name="_Hlk193769038"/>
      <w:r w:rsidRPr="009A1244">
        <w:rPr>
          <w:rFonts w:ascii="Times New Roman" w:hAnsi="Times New Roman" w:cs="Times New Roman"/>
          <w:sz w:val="28"/>
          <w:szCs w:val="28"/>
        </w:rPr>
        <w:t>ICMs</w:t>
      </w:r>
      <w:bookmarkEnd w:id="1"/>
      <w:r w:rsidRPr="009A1244">
        <w:rPr>
          <w:rFonts w:ascii="Times New Roman" w:hAnsi="Times New Roman" w:cs="Times New Roman"/>
          <w:sz w:val="28"/>
          <w:szCs w:val="28"/>
        </w:rPr>
        <w:t xml:space="preserve">) are frequent and serious complications of many heart diseases, including valvular, dilated, ischaemic and rhythmic heart disease. They may be discovered incidentally or during the investigation of a stroke or fever [1,2]. They include </w:t>
      </w:r>
      <w:r w:rsidR="00543D74">
        <w:rPr>
          <w:rFonts w:ascii="Times New Roman" w:hAnsi="Times New Roman" w:cs="Times New Roman"/>
          <w:sz w:val="28"/>
          <w:szCs w:val="28"/>
        </w:rPr>
        <w:t>I</w:t>
      </w:r>
      <w:r w:rsidRPr="009A1244">
        <w:rPr>
          <w:rFonts w:ascii="Times New Roman" w:hAnsi="Times New Roman" w:cs="Times New Roman"/>
          <w:sz w:val="28"/>
          <w:szCs w:val="28"/>
        </w:rPr>
        <w:t>ntra</w:t>
      </w:r>
      <w:r w:rsidR="00543D74">
        <w:rPr>
          <w:rFonts w:ascii="Times New Roman" w:hAnsi="Times New Roman" w:cs="Times New Roman"/>
          <w:sz w:val="28"/>
          <w:szCs w:val="28"/>
        </w:rPr>
        <w:t>-</w:t>
      </w:r>
      <w:r w:rsidRPr="009A1244">
        <w:rPr>
          <w:rFonts w:ascii="Times New Roman" w:hAnsi="Times New Roman" w:cs="Times New Roman"/>
          <w:sz w:val="28"/>
          <w:szCs w:val="28"/>
        </w:rPr>
        <w:t xml:space="preserve">cardiac thrombi (ICT), cardiac </w:t>
      </w:r>
      <w:r w:rsidR="00E433F3" w:rsidRPr="009A1244">
        <w:rPr>
          <w:rFonts w:ascii="Times New Roman" w:hAnsi="Times New Roman" w:cs="Times New Roman"/>
          <w:sz w:val="28"/>
          <w:szCs w:val="28"/>
        </w:rPr>
        <w:t>tumours</w:t>
      </w:r>
      <w:r w:rsidRPr="009A1244">
        <w:rPr>
          <w:rFonts w:ascii="Times New Roman" w:hAnsi="Times New Roman" w:cs="Times New Roman"/>
          <w:sz w:val="28"/>
          <w:szCs w:val="28"/>
        </w:rPr>
        <w:t xml:space="preserve"> and valvular vegetations [3]. The prognosis for intracardiac masses is generally guarded, and their appropriate management sometimes requires cardiac surgery, a technique that is still not widely available in Europe. However, diagnosis has been improved by the advent of transthoracic and </w:t>
      </w:r>
      <w:r w:rsidR="00E433F3" w:rsidRPr="009A1244">
        <w:rPr>
          <w:rFonts w:ascii="Times New Roman" w:hAnsi="Times New Roman" w:cs="Times New Roman"/>
          <w:sz w:val="28"/>
          <w:szCs w:val="28"/>
        </w:rPr>
        <w:t>transoesophageal</w:t>
      </w:r>
      <w:r w:rsidRPr="009A1244">
        <w:rPr>
          <w:rFonts w:ascii="Times New Roman" w:hAnsi="Times New Roman" w:cs="Times New Roman"/>
          <w:sz w:val="28"/>
          <w:szCs w:val="28"/>
        </w:rPr>
        <w:t xml:space="preserve"> Doppler echography (TTE) and cardiac Magnetic Resonance Imaging (MRI)</w:t>
      </w:r>
      <w:r w:rsidR="009B261E" w:rsidRPr="009A1244">
        <w:rPr>
          <w:rFonts w:ascii="Times New Roman" w:hAnsi="Times New Roman" w:cs="Times New Roman"/>
          <w:sz w:val="28"/>
          <w:szCs w:val="28"/>
        </w:rPr>
        <w:t xml:space="preserve"> </w:t>
      </w:r>
      <w:r w:rsidRPr="009A1244">
        <w:rPr>
          <w:rFonts w:ascii="Times New Roman" w:hAnsi="Times New Roman" w:cs="Times New Roman"/>
          <w:sz w:val="28"/>
          <w:szCs w:val="28"/>
        </w:rPr>
        <w:t xml:space="preserve">[4,5]. The Asian general population prevalence of </w:t>
      </w:r>
      <w:r w:rsidR="00A077F7" w:rsidRPr="00A077F7">
        <w:rPr>
          <w:rFonts w:ascii="Times New Roman" w:hAnsi="Times New Roman" w:cs="Times New Roman"/>
          <w:sz w:val="28"/>
          <w:szCs w:val="28"/>
          <w:highlight w:val="yellow"/>
        </w:rPr>
        <w:t>ICMs</w:t>
      </w:r>
      <w:r w:rsidRPr="009A1244">
        <w:rPr>
          <w:rFonts w:ascii="Times New Roman" w:hAnsi="Times New Roman" w:cs="Times New Roman"/>
          <w:sz w:val="28"/>
          <w:szCs w:val="28"/>
        </w:rPr>
        <w:t xml:space="preserve"> was 1.5 ‰ in the 2014 study by Yao et al</w:t>
      </w:r>
      <w:r w:rsidR="009B261E" w:rsidRPr="009A1244">
        <w:rPr>
          <w:rFonts w:ascii="Times New Roman" w:hAnsi="Times New Roman" w:cs="Times New Roman"/>
          <w:sz w:val="28"/>
          <w:szCs w:val="28"/>
        </w:rPr>
        <w:t xml:space="preserve"> </w:t>
      </w:r>
      <w:r w:rsidRPr="009A1244">
        <w:rPr>
          <w:rFonts w:ascii="Times New Roman" w:hAnsi="Times New Roman" w:cs="Times New Roman"/>
          <w:sz w:val="28"/>
          <w:szCs w:val="28"/>
        </w:rPr>
        <w:t xml:space="preserve">[2].  </w:t>
      </w:r>
      <w:r w:rsidR="009B261E" w:rsidRPr="009A1244">
        <w:rPr>
          <w:rFonts w:ascii="Times New Roman" w:hAnsi="Times New Roman" w:cs="Times New Roman"/>
          <w:sz w:val="28"/>
          <w:szCs w:val="28"/>
        </w:rPr>
        <w:t xml:space="preserve">We found no previous studies </w:t>
      </w:r>
      <w:r w:rsidR="009B261E" w:rsidRPr="009A1244">
        <w:rPr>
          <w:rFonts w:ascii="Times New Roman" w:hAnsi="Times New Roman" w:cs="Times New Roman"/>
          <w:color w:val="000000" w:themeColor="text1"/>
          <w:sz w:val="28"/>
          <w:szCs w:val="28"/>
        </w:rPr>
        <w:t xml:space="preserve">with a </w:t>
      </w:r>
      <w:r w:rsidR="009B261E" w:rsidRPr="009A1244">
        <w:rPr>
          <w:rFonts w:ascii="Times New Roman" w:hAnsi="Times New Roman" w:cs="Times New Roman"/>
          <w:color w:val="000000" w:themeColor="text1"/>
          <w:sz w:val="28"/>
          <w:szCs w:val="28"/>
          <w:highlight w:val="yellow"/>
        </w:rPr>
        <w:t>more global interest</w:t>
      </w:r>
      <w:r w:rsidR="009B261E" w:rsidRPr="009A1244">
        <w:rPr>
          <w:rFonts w:ascii="Times New Roman" w:hAnsi="Times New Roman" w:cs="Times New Roman"/>
          <w:color w:val="000000" w:themeColor="text1"/>
          <w:sz w:val="28"/>
          <w:szCs w:val="28"/>
        </w:rPr>
        <w:t xml:space="preserve"> in </w:t>
      </w:r>
      <w:r w:rsidR="00A077F7" w:rsidRPr="00A077F7">
        <w:rPr>
          <w:rFonts w:ascii="Times New Roman" w:hAnsi="Times New Roman" w:cs="Times New Roman"/>
          <w:sz w:val="28"/>
          <w:szCs w:val="28"/>
          <w:highlight w:val="yellow"/>
        </w:rPr>
        <w:t>ICMs</w:t>
      </w:r>
      <w:r w:rsidR="009B261E" w:rsidRPr="009A1244">
        <w:rPr>
          <w:rFonts w:ascii="Times New Roman" w:hAnsi="Times New Roman" w:cs="Times New Roman"/>
          <w:color w:val="000000" w:themeColor="text1"/>
          <w:sz w:val="28"/>
          <w:szCs w:val="28"/>
        </w:rPr>
        <w:t xml:space="preserve"> in Burkina Faso, </w:t>
      </w:r>
      <w:r w:rsidR="009B261E" w:rsidRPr="009A1244">
        <w:rPr>
          <w:rFonts w:ascii="Times New Roman" w:hAnsi="Times New Roman" w:cs="Times New Roman"/>
          <w:color w:val="000000" w:themeColor="text1"/>
          <w:sz w:val="28"/>
          <w:szCs w:val="28"/>
          <w:highlight w:val="yellow"/>
        </w:rPr>
        <w:t>including</w:t>
      </w:r>
      <w:r w:rsidR="009B261E" w:rsidRPr="009A1244">
        <w:rPr>
          <w:rFonts w:ascii="Times New Roman" w:hAnsi="Times New Roman" w:cs="Times New Roman"/>
          <w:sz w:val="28"/>
          <w:szCs w:val="28"/>
        </w:rPr>
        <w:t xml:space="preserve"> of all subgroups (intracardiac thrombi, cardiac </w:t>
      </w:r>
      <w:r w:rsidR="00E433F3" w:rsidRPr="009A1244">
        <w:rPr>
          <w:rFonts w:ascii="Times New Roman" w:hAnsi="Times New Roman" w:cs="Times New Roman"/>
          <w:sz w:val="28"/>
          <w:szCs w:val="28"/>
        </w:rPr>
        <w:t>tumours</w:t>
      </w:r>
      <w:r w:rsidR="009B261E" w:rsidRPr="009A1244">
        <w:rPr>
          <w:rFonts w:ascii="Times New Roman" w:hAnsi="Times New Roman" w:cs="Times New Roman"/>
          <w:sz w:val="28"/>
          <w:szCs w:val="28"/>
        </w:rPr>
        <w:t>, valvular vegetations)</w:t>
      </w:r>
      <w:r w:rsidRPr="009A1244">
        <w:rPr>
          <w:rFonts w:ascii="Times New Roman" w:hAnsi="Times New Roman" w:cs="Times New Roman"/>
          <w:sz w:val="28"/>
          <w:szCs w:val="28"/>
        </w:rPr>
        <w:t xml:space="preserve">. We therefore decided to look at the epidemiological, clinical, therapeutic and evolutionary aspects of </w:t>
      </w:r>
      <w:r w:rsidR="00A077F7" w:rsidRPr="00A077F7">
        <w:rPr>
          <w:rFonts w:ascii="Times New Roman" w:hAnsi="Times New Roman" w:cs="Times New Roman"/>
          <w:sz w:val="28"/>
          <w:szCs w:val="28"/>
          <w:highlight w:val="yellow"/>
        </w:rPr>
        <w:t>ICMs</w:t>
      </w:r>
      <w:r w:rsidR="00A077F7" w:rsidRPr="00A077F7">
        <w:rPr>
          <w:rFonts w:ascii="Times New Roman" w:hAnsi="Times New Roman" w:cs="Times New Roman"/>
          <w:sz w:val="28"/>
          <w:szCs w:val="28"/>
          <w:highlight w:val="yellow"/>
        </w:rPr>
        <w:t xml:space="preserve"> </w:t>
      </w:r>
      <w:r w:rsidRPr="009A1244">
        <w:rPr>
          <w:rFonts w:ascii="Times New Roman" w:hAnsi="Times New Roman" w:cs="Times New Roman"/>
          <w:sz w:val="28"/>
          <w:szCs w:val="28"/>
        </w:rPr>
        <w:t>based on cases collected in the cardiology department of the Yalgado Ouedraogo University Hospital (CHU-YO) from 1 January 2011 to 31 March 2013.</w:t>
      </w:r>
    </w:p>
    <w:p w14:paraId="783EF653" w14:textId="77777777" w:rsidR="00C0157A" w:rsidRPr="009A1244" w:rsidRDefault="00C0157A" w:rsidP="00CB2A3F">
      <w:pPr>
        <w:spacing w:line="276" w:lineRule="auto"/>
        <w:jc w:val="both"/>
        <w:rPr>
          <w:rFonts w:ascii="Times New Roman" w:hAnsi="Times New Roman" w:cs="Times New Roman"/>
          <w:sz w:val="28"/>
          <w:szCs w:val="28"/>
        </w:rPr>
      </w:pPr>
    </w:p>
    <w:p w14:paraId="227CD83F" w14:textId="77777777" w:rsidR="00C0157A" w:rsidRPr="009A1244" w:rsidRDefault="00C0157A" w:rsidP="00CB2A3F">
      <w:pPr>
        <w:spacing w:line="276" w:lineRule="auto"/>
        <w:jc w:val="both"/>
        <w:rPr>
          <w:rFonts w:ascii="Times New Roman" w:hAnsi="Times New Roman" w:cs="Times New Roman"/>
          <w:b/>
          <w:bCs/>
          <w:sz w:val="28"/>
          <w:szCs w:val="28"/>
        </w:rPr>
      </w:pPr>
      <w:r w:rsidRPr="009A1244">
        <w:rPr>
          <w:rFonts w:ascii="Times New Roman" w:hAnsi="Times New Roman" w:cs="Times New Roman"/>
          <w:b/>
          <w:bCs/>
          <w:sz w:val="28"/>
          <w:szCs w:val="28"/>
        </w:rPr>
        <w:t>2.</w:t>
      </w:r>
      <w:r w:rsidRPr="009A1244">
        <w:rPr>
          <w:rFonts w:ascii="Times New Roman" w:hAnsi="Times New Roman" w:cs="Times New Roman"/>
          <w:b/>
          <w:bCs/>
          <w:sz w:val="28"/>
          <w:szCs w:val="28"/>
        </w:rPr>
        <w:tab/>
        <w:t>Patients and method</w:t>
      </w:r>
    </w:p>
    <w:p w14:paraId="2A80B9BC" w14:textId="1EA27147"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 xml:space="preserve">This was a retrospective descriptive study conducted in the cardiology department from 1 January 2011 to 31 March 2013. All patients of both sexes diagnosed and </w:t>
      </w:r>
      <w:r w:rsidR="009B261E" w:rsidRPr="009A1244">
        <w:rPr>
          <w:rFonts w:ascii="Times New Roman" w:hAnsi="Times New Roman" w:cs="Times New Roman"/>
          <w:sz w:val="28"/>
          <w:szCs w:val="28"/>
        </w:rPr>
        <w:t>hospitalized</w:t>
      </w:r>
      <w:r w:rsidRPr="009A1244">
        <w:rPr>
          <w:rFonts w:ascii="Times New Roman" w:hAnsi="Times New Roman" w:cs="Times New Roman"/>
          <w:sz w:val="28"/>
          <w:szCs w:val="28"/>
        </w:rPr>
        <w:t xml:space="preserve"> with intracardiac masses were included in the study. Each patient included had a minimum follow-up of three months. Patients with </w:t>
      </w:r>
      <w:r w:rsidRPr="00973511">
        <w:rPr>
          <w:rFonts w:ascii="Times New Roman" w:hAnsi="Times New Roman" w:cs="Times New Roman"/>
          <w:sz w:val="28"/>
          <w:szCs w:val="28"/>
          <w:highlight w:val="yellow"/>
        </w:rPr>
        <w:t>ICMs</w:t>
      </w:r>
      <w:r w:rsidRPr="009A1244">
        <w:rPr>
          <w:rFonts w:ascii="Times New Roman" w:hAnsi="Times New Roman" w:cs="Times New Roman"/>
          <w:sz w:val="28"/>
          <w:szCs w:val="28"/>
        </w:rPr>
        <w:t xml:space="preserve"> other than </w:t>
      </w:r>
      <w:r w:rsidR="00973511" w:rsidRPr="009A1244">
        <w:rPr>
          <w:rFonts w:ascii="Times New Roman" w:hAnsi="Times New Roman" w:cs="Times New Roman"/>
          <w:sz w:val="28"/>
          <w:szCs w:val="28"/>
        </w:rPr>
        <w:t>tumours</w:t>
      </w:r>
      <w:r w:rsidRPr="009A1244">
        <w:rPr>
          <w:rFonts w:ascii="Times New Roman" w:hAnsi="Times New Roman" w:cs="Times New Roman"/>
          <w:sz w:val="28"/>
          <w:szCs w:val="28"/>
        </w:rPr>
        <w:t xml:space="preserve">, thrombi and valvular vegetations such as pacemaker leads, catheters, anatomical remnants and valvular calcifications were excluded from our study. The variables studied were: </w:t>
      </w:r>
    </w:p>
    <w:p w14:paraId="27623AC3" w14:textId="0E932318" w:rsidR="00C0157A" w:rsidRPr="009A1244" w:rsidRDefault="00C0157A" w:rsidP="00CB2A3F">
      <w:pPr>
        <w:pStyle w:val="Paragraphedeliste"/>
        <w:numPr>
          <w:ilvl w:val="0"/>
          <w:numId w:val="1"/>
        </w:num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Epidemiological data: sex, age, marital status, occupation, place of residence</w:t>
      </w:r>
    </w:p>
    <w:p w14:paraId="7E752008" w14:textId="77777777" w:rsidR="00C0157A" w:rsidRPr="009A1244" w:rsidRDefault="00C0157A" w:rsidP="00CB2A3F">
      <w:pPr>
        <w:pStyle w:val="Paragraphedeliste"/>
        <w:numPr>
          <w:ilvl w:val="0"/>
          <w:numId w:val="1"/>
        </w:num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residence and socio-economic level.</w:t>
      </w:r>
    </w:p>
    <w:p w14:paraId="6E5AC0E6" w14:textId="1B4FAA75" w:rsidR="00C0157A" w:rsidRPr="009A1244" w:rsidRDefault="00C0157A" w:rsidP="00CB2A3F">
      <w:pPr>
        <w:pStyle w:val="Paragraphedeliste"/>
        <w:numPr>
          <w:ilvl w:val="0"/>
          <w:numId w:val="1"/>
        </w:num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Cardiovascular risk factors: age, hypertension, smoking, diabetes, oestroprogestogenic contraception, sedentary lifestyle, obesity, etc.</w:t>
      </w:r>
    </w:p>
    <w:p w14:paraId="13DB11B3" w14:textId="55A66B0E" w:rsidR="00C0157A" w:rsidRPr="009A1244" w:rsidRDefault="00C0157A" w:rsidP="00CB2A3F">
      <w:pPr>
        <w:pStyle w:val="Paragraphedeliste"/>
        <w:numPr>
          <w:ilvl w:val="0"/>
          <w:numId w:val="1"/>
        </w:num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 xml:space="preserve">Clinical data studied: dyspnoea, headaches, </w:t>
      </w:r>
      <w:r w:rsidR="009B261E" w:rsidRPr="009A1244">
        <w:rPr>
          <w:rFonts w:ascii="Times New Roman" w:hAnsi="Times New Roman" w:cs="Times New Roman"/>
          <w:color w:val="000000" w:themeColor="text1"/>
          <w:sz w:val="28"/>
          <w:szCs w:val="28"/>
          <w:highlight w:val="yellow"/>
        </w:rPr>
        <w:t>precordialgia</w:t>
      </w:r>
      <w:r w:rsidRPr="009A1244">
        <w:rPr>
          <w:rFonts w:ascii="Times New Roman" w:hAnsi="Times New Roman" w:cs="Times New Roman"/>
          <w:sz w:val="28"/>
          <w:szCs w:val="28"/>
        </w:rPr>
        <w:t>, palpitations, temperature, heart rate, blood pressure and signs of heart failure and motor deficit.</w:t>
      </w:r>
    </w:p>
    <w:p w14:paraId="5642ABEF" w14:textId="2ABB5C93" w:rsidR="00C0157A" w:rsidRPr="009A1244" w:rsidRDefault="00C0157A" w:rsidP="00CB2A3F">
      <w:pPr>
        <w:pStyle w:val="Paragraphedeliste"/>
        <w:numPr>
          <w:ilvl w:val="0"/>
          <w:numId w:val="1"/>
        </w:num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lastRenderedPageBreak/>
        <w:t xml:space="preserve">Ultrasound data included cardiac chamber dimensions, wall kinetics, shortening fraction, left ventricular ejection function and the presence of </w:t>
      </w:r>
      <w:r w:rsidR="00973511" w:rsidRPr="009A1244">
        <w:rPr>
          <w:rFonts w:ascii="Times New Roman" w:hAnsi="Times New Roman" w:cs="Times New Roman"/>
          <w:sz w:val="28"/>
          <w:szCs w:val="28"/>
        </w:rPr>
        <w:t>tumour</w:t>
      </w:r>
      <w:r w:rsidRPr="009A1244">
        <w:rPr>
          <w:rFonts w:ascii="Times New Roman" w:hAnsi="Times New Roman" w:cs="Times New Roman"/>
          <w:sz w:val="28"/>
          <w:szCs w:val="28"/>
        </w:rPr>
        <w:t xml:space="preserve">, thrombus or valvular vegetation. </w:t>
      </w:r>
    </w:p>
    <w:p w14:paraId="56CADA99" w14:textId="7D4F7154" w:rsidR="00C0157A" w:rsidRPr="009A1244" w:rsidRDefault="00C0157A" w:rsidP="00CB2A3F">
      <w:pPr>
        <w:pStyle w:val="Paragraphedeliste"/>
        <w:numPr>
          <w:ilvl w:val="0"/>
          <w:numId w:val="1"/>
        </w:num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Electrical data: cardiac rhythm disorders;</w:t>
      </w:r>
    </w:p>
    <w:p w14:paraId="3F30F334" w14:textId="69F5112A" w:rsidR="00C0157A" w:rsidRPr="009A1244" w:rsidRDefault="00C0157A" w:rsidP="00CB2A3F">
      <w:pPr>
        <w:pStyle w:val="Paragraphedeliste"/>
        <w:numPr>
          <w:ilvl w:val="0"/>
          <w:numId w:val="1"/>
        </w:num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 xml:space="preserve">atrioventricular or intraventricular conduction; hypertrophy; </w:t>
      </w:r>
      <w:r w:rsidR="009B261E" w:rsidRPr="009A1244">
        <w:rPr>
          <w:rFonts w:ascii="Times New Roman" w:hAnsi="Times New Roman" w:cs="Times New Roman"/>
          <w:sz w:val="28"/>
          <w:szCs w:val="28"/>
        </w:rPr>
        <w:t>repolarization</w:t>
      </w:r>
      <w:r w:rsidRPr="009A1244">
        <w:rPr>
          <w:rFonts w:ascii="Times New Roman" w:hAnsi="Times New Roman" w:cs="Times New Roman"/>
          <w:sz w:val="28"/>
          <w:szCs w:val="28"/>
        </w:rPr>
        <w:t xml:space="preserve"> disorders. </w:t>
      </w:r>
      <w:r w:rsidR="009B261E" w:rsidRPr="009A1244">
        <w:rPr>
          <w:rFonts w:ascii="Times New Roman" w:hAnsi="Times New Roman" w:cs="Times New Roman"/>
          <w:sz w:val="28"/>
          <w:szCs w:val="28"/>
        </w:rPr>
        <w:t>Repolarization</w:t>
      </w:r>
      <w:r w:rsidRPr="009A1244">
        <w:rPr>
          <w:rFonts w:ascii="Times New Roman" w:hAnsi="Times New Roman" w:cs="Times New Roman"/>
          <w:sz w:val="28"/>
          <w:szCs w:val="28"/>
        </w:rPr>
        <w:t xml:space="preserve"> disorders: ST segment elevation or undershoot, ischaemia/injury/necrosis, etc.</w:t>
      </w:r>
    </w:p>
    <w:p w14:paraId="53EEE0A4" w14:textId="15300569" w:rsidR="00C0157A" w:rsidRPr="009A1244" w:rsidRDefault="00C0157A" w:rsidP="00CB2A3F">
      <w:pPr>
        <w:pStyle w:val="Paragraphedeliste"/>
        <w:numPr>
          <w:ilvl w:val="0"/>
          <w:numId w:val="1"/>
        </w:num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 xml:space="preserve">Biological tests: haemogram, azotemia, creatininaemia; blood glucose and lipid levels </w:t>
      </w:r>
    </w:p>
    <w:p w14:paraId="0E2CC9C0" w14:textId="26AB57E5" w:rsidR="00C0157A" w:rsidRPr="009A1244" w:rsidRDefault="00C0157A" w:rsidP="00CB2A3F">
      <w:pPr>
        <w:pStyle w:val="Paragraphedeliste"/>
        <w:numPr>
          <w:ilvl w:val="0"/>
          <w:numId w:val="1"/>
        </w:num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 xml:space="preserve">Therapeutic aspects: nature of treatment: medical (anticoagulant, antiplatelet agent, digitodiuretic, anti-arrhythmic); duration of treatment; whether or not the patient was receiving anticoagulant or antiplatelet agent treatment prior to </w:t>
      </w:r>
      <w:r w:rsidR="009B261E" w:rsidRPr="009A1244">
        <w:rPr>
          <w:rFonts w:ascii="Times New Roman" w:hAnsi="Times New Roman" w:cs="Times New Roman"/>
          <w:sz w:val="28"/>
          <w:szCs w:val="28"/>
        </w:rPr>
        <w:t>hospitalization</w:t>
      </w:r>
      <w:r w:rsidRPr="009A1244">
        <w:rPr>
          <w:rFonts w:ascii="Times New Roman" w:hAnsi="Times New Roman" w:cs="Times New Roman"/>
          <w:sz w:val="28"/>
          <w:szCs w:val="28"/>
        </w:rPr>
        <w:t xml:space="preserve"> in the cardiology department. </w:t>
      </w:r>
    </w:p>
    <w:p w14:paraId="39256044" w14:textId="290A0B3C" w:rsidR="00C0157A" w:rsidRPr="00766063" w:rsidRDefault="00C0157A" w:rsidP="00CB2A3F">
      <w:pPr>
        <w:pStyle w:val="Paragraphedeliste"/>
        <w:numPr>
          <w:ilvl w:val="0"/>
          <w:numId w:val="1"/>
        </w:num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 xml:space="preserve">Evolutionary aspects: length of </w:t>
      </w:r>
      <w:r w:rsidR="009B261E" w:rsidRPr="009A1244">
        <w:rPr>
          <w:rFonts w:ascii="Times New Roman" w:hAnsi="Times New Roman" w:cs="Times New Roman"/>
          <w:sz w:val="28"/>
          <w:szCs w:val="28"/>
        </w:rPr>
        <w:t>hospitalization</w:t>
      </w:r>
      <w:r w:rsidRPr="009A1244">
        <w:rPr>
          <w:rFonts w:ascii="Times New Roman" w:hAnsi="Times New Roman" w:cs="Times New Roman"/>
          <w:sz w:val="28"/>
          <w:szCs w:val="28"/>
        </w:rPr>
        <w:t>, follow-up and survival.</w:t>
      </w:r>
    </w:p>
    <w:p w14:paraId="69EAD5EF" w14:textId="77777777" w:rsidR="00C0157A" w:rsidRPr="009A1244" w:rsidRDefault="00C0157A" w:rsidP="00CB2A3F">
      <w:pPr>
        <w:spacing w:line="276" w:lineRule="auto"/>
        <w:jc w:val="both"/>
        <w:rPr>
          <w:rFonts w:ascii="Times New Roman" w:hAnsi="Times New Roman" w:cs="Times New Roman"/>
          <w:b/>
          <w:bCs/>
          <w:sz w:val="28"/>
          <w:szCs w:val="28"/>
        </w:rPr>
      </w:pPr>
      <w:r w:rsidRPr="009A1244">
        <w:rPr>
          <w:rFonts w:ascii="Times New Roman" w:hAnsi="Times New Roman" w:cs="Times New Roman"/>
          <w:b/>
          <w:bCs/>
          <w:sz w:val="28"/>
          <w:szCs w:val="28"/>
        </w:rPr>
        <w:t>Data processing and analysis</w:t>
      </w:r>
    </w:p>
    <w:p w14:paraId="348390DF" w14:textId="4A4FB61C" w:rsidR="0052690D"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 xml:space="preserve">The data were processed and </w:t>
      </w:r>
      <w:r w:rsidR="00766063" w:rsidRPr="009A1244">
        <w:rPr>
          <w:rFonts w:ascii="Times New Roman" w:hAnsi="Times New Roman" w:cs="Times New Roman"/>
          <w:sz w:val="28"/>
          <w:szCs w:val="28"/>
        </w:rPr>
        <w:t>analysed</w:t>
      </w:r>
      <w:r w:rsidRPr="009A1244">
        <w:rPr>
          <w:rFonts w:ascii="Times New Roman" w:hAnsi="Times New Roman" w:cs="Times New Roman"/>
          <w:sz w:val="28"/>
          <w:szCs w:val="28"/>
        </w:rPr>
        <w:t xml:space="preserve"> using the following software package</w:t>
      </w:r>
      <w:r w:rsidR="0052690D" w:rsidRPr="009A1244">
        <w:rPr>
          <w:rFonts w:ascii="Times New Roman" w:hAnsi="Times New Roman" w:cs="Times New Roman"/>
          <w:sz w:val="28"/>
          <w:szCs w:val="28"/>
        </w:rPr>
        <w:t xml:space="preserve"> </w:t>
      </w:r>
      <w:r w:rsidRPr="009A1244">
        <w:rPr>
          <w:rFonts w:ascii="Times New Roman" w:hAnsi="Times New Roman" w:cs="Times New Roman"/>
          <w:sz w:val="28"/>
          <w:szCs w:val="28"/>
        </w:rPr>
        <w:t xml:space="preserve">EPI info version 3.5.1. </w:t>
      </w:r>
      <w:r w:rsidR="00766063" w:rsidRPr="00766063">
        <w:rPr>
          <w:rFonts w:ascii="Times New Roman" w:hAnsi="Times New Roman" w:cs="Times New Roman"/>
          <w:sz w:val="28"/>
          <w:szCs w:val="28"/>
          <w:highlight w:val="yellow"/>
        </w:rPr>
        <w:t xml:space="preserve">Qualitative and quantitative variables were assessed in terms of frequency and mean plus or minus standard deviation. </w:t>
      </w:r>
    </w:p>
    <w:p w14:paraId="7C813CB0" w14:textId="711F41A5" w:rsidR="00C0157A" w:rsidRPr="009A1244" w:rsidRDefault="00C0157A" w:rsidP="00CB2A3F">
      <w:pPr>
        <w:spacing w:line="276" w:lineRule="auto"/>
        <w:rPr>
          <w:rFonts w:ascii="Times New Roman" w:hAnsi="Times New Roman" w:cs="Times New Roman"/>
          <w:b/>
          <w:bCs/>
          <w:sz w:val="28"/>
          <w:szCs w:val="28"/>
        </w:rPr>
      </w:pPr>
      <w:r w:rsidRPr="009A1244">
        <w:rPr>
          <w:rFonts w:ascii="Times New Roman" w:hAnsi="Times New Roman" w:cs="Times New Roman"/>
          <w:b/>
          <w:bCs/>
          <w:sz w:val="28"/>
          <w:szCs w:val="28"/>
        </w:rPr>
        <w:t>Ethical aspects considerations included</w:t>
      </w:r>
    </w:p>
    <w:p w14:paraId="6423EBBF" w14:textId="135C65FA" w:rsidR="00C0157A" w:rsidRPr="009A1244" w:rsidRDefault="009B261E" w:rsidP="00CB2A3F">
      <w:p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 xml:space="preserve">The </w:t>
      </w:r>
      <w:r w:rsidR="00C0157A" w:rsidRPr="009A1244">
        <w:rPr>
          <w:rFonts w:ascii="Times New Roman" w:hAnsi="Times New Roman" w:cs="Times New Roman"/>
          <w:sz w:val="28"/>
          <w:szCs w:val="28"/>
        </w:rPr>
        <w:t xml:space="preserve">confidentiality of study patient data </w:t>
      </w:r>
      <w:r w:rsidRPr="009A1244">
        <w:rPr>
          <w:rFonts w:ascii="Times New Roman" w:hAnsi="Times New Roman" w:cs="Times New Roman"/>
          <w:sz w:val="28"/>
          <w:szCs w:val="28"/>
        </w:rPr>
        <w:t>was respected. We explained</w:t>
      </w:r>
      <w:r w:rsidR="00C0157A" w:rsidRPr="009A1244">
        <w:rPr>
          <w:rFonts w:ascii="Times New Roman" w:hAnsi="Times New Roman" w:cs="Times New Roman"/>
          <w:sz w:val="28"/>
          <w:szCs w:val="28"/>
        </w:rPr>
        <w:t xml:space="preserve"> the purpose of the study to patients and their informed consent</w:t>
      </w:r>
      <w:r w:rsidRPr="009A1244">
        <w:rPr>
          <w:rFonts w:ascii="Times New Roman" w:hAnsi="Times New Roman" w:cs="Times New Roman"/>
          <w:sz w:val="28"/>
          <w:szCs w:val="28"/>
        </w:rPr>
        <w:t xml:space="preserve"> </w:t>
      </w:r>
      <w:r w:rsidR="00C0157A" w:rsidRPr="009A1244">
        <w:rPr>
          <w:rFonts w:ascii="Times New Roman" w:hAnsi="Times New Roman" w:cs="Times New Roman"/>
          <w:sz w:val="28"/>
          <w:szCs w:val="28"/>
        </w:rPr>
        <w:t>verbal consent was obtained prior to inclusion.</w:t>
      </w:r>
      <w:r w:rsidRPr="009A1244">
        <w:rPr>
          <w:rFonts w:ascii="Times New Roman" w:hAnsi="Times New Roman" w:cs="Times New Roman"/>
          <w:color w:val="FF0000"/>
          <w:sz w:val="28"/>
          <w:szCs w:val="28"/>
        </w:rPr>
        <w:t xml:space="preserve"> </w:t>
      </w:r>
      <w:r w:rsidRPr="009A1244">
        <w:rPr>
          <w:rFonts w:ascii="Times New Roman" w:hAnsi="Times New Roman" w:cs="Times New Roman"/>
          <w:color w:val="000000" w:themeColor="text1"/>
          <w:sz w:val="28"/>
          <w:szCs w:val="28"/>
          <w:highlight w:val="yellow"/>
        </w:rPr>
        <w:t xml:space="preserve">We didn’t use </w:t>
      </w:r>
      <w:r w:rsidRPr="009A1244">
        <w:rPr>
          <w:rFonts w:ascii="Times New Roman" w:hAnsi="Times New Roman" w:cs="Times New Roman"/>
          <w:color w:val="000000" w:themeColor="text1"/>
          <w:sz w:val="28"/>
          <w:szCs w:val="28"/>
          <w:highlight w:val="yellow"/>
        </w:rPr>
        <w:t>written consent</w:t>
      </w:r>
    </w:p>
    <w:p w14:paraId="5117DF91" w14:textId="77777777" w:rsidR="00C0157A" w:rsidRPr="009A1244" w:rsidRDefault="00C0157A" w:rsidP="00CB2A3F">
      <w:pPr>
        <w:spacing w:line="276" w:lineRule="auto"/>
        <w:jc w:val="both"/>
        <w:rPr>
          <w:rFonts w:ascii="Times New Roman" w:hAnsi="Times New Roman" w:cs="Times New Roman"/>
          <w:sz w:val="28"/>
          <w:szCs w:val="28"/>
        </w:rPr>
      </w:pPr>
    </w:p>
    <w:p w14:paraId="1BE8AE12" w14:textId="77777777" w:rsidR="00C0157A" w:rsidRPr="009A1244" w:rsidRDefault="00C0157A" w:rsidP="00CB2A3F">
      <w:pPr>
        <w:spacing w:line="276" w:lineRule="auto"/>
        <w:jc w:val="both"/>
        <w:rPr>
          <w:rFonts w:ascii="Times New Roman" w:hAnsi="Times New Roman" w:cs="Times New Roman"/>
          <w:b/>
          <w:bCs/>
          <w:sz w:val="28"/>
          <w:szCs w:val="28"/>
        </w:rPr>
      </w:pPr>
      <w:r w:rsidRPr="009A1244">
        <w:rPr>
          <w:rFonts w:ascii="Times New Roman" w:hAnsi="Times New Roman" w:cs="Times New Roman"/>
          <w:b/>
          <w:bCs/>
          <w:sz w:val="28"/>
          <w:szCs w:val="28"/>
        </w:rPr>
        <w:t>3.</w:t>
      </w:r>
      <w:r w:rsidRPr="009A1244">
        <w:rPr>
          <w:rFonts w:ascii="Times New Roman" w:hAnsi="Times New Roman" w:cs="Times New Roman"/>
          <w:b/>
          <w:bCs/>
          <w:sz w:val="28"/>
          <w:szCs w:val="28"/>
        </w:rPr>
        <w:tab/>
        <w:t>Results</w:t>
      </w:r>
    </w:p>
    <w:p w14:paraId="486AADB3" w14:textId="77777777" w:rsidR="00C0157A" w:rsidRPr="009A1244" w:rsidRDefault="00C0157A" w:rsidP="00CB2A3F">
      <w:pPr>
        <w:spacing w:line="276" w:lineRule="auto"/>
        <w:jc w:val="both"/>
        <w:rPr>
          <w:rFonts w:ascii="Times New Roman" w:hAnsi="Times New Roman" w:cs="Times New Roman"/>
          <w:b/>
          <w:bCs/>
          <w:sz w:val="28"/>
          <w:szCs w:val="28"/>
        </w:rPr>
      </w:pPr>
      <w:r w:rsidRPr="009A1244">
        <w:rPr>
          <w:rFonts w:ascii="Times New Roman" w:hAnsi="Times New Roman" w:cs="Times New Roman"/>
          <w:b/>
          <w:bCs/>
          <w:sz w:val="28"/>
          <w:szCs w:val="28"/>
        </w:rPr>
        <w:t>General characteristics of the population</w:t>
      </w:r>
    </w:p>
    <w:p w14:paraId="0EF68A72" w14:textId="74A516B0" w:rsidR="00C0157A" w:rsidRPr="009A1244" w:rsidRDefault="00766063" w:rsidP="00CB2A3F">
      <w:pPr>
        <w:spacing w:line="276" w:lineRule="auto"/>
        <w:jc w:val="both"/>
        <w:rPr>
          <w:rFonts w:ascii="Times New Roman" w:hAnsi="Times New Roman" w:cs="Times New Roman"/>
          <w:sz w:val="28"/>
          <w:szCs w:val="28"/>
        </w:rPr>
      </w:pPr>
      <w:r w:rsidRPr="00766063">
        <w:rPr>
          <w:rFonts w:ascii="Times New Roman" w:hAnsi="Times New Roman" w:cs="Times New Roman"/>
          <w:sz w:val="28"/>
          <w:szCs w:val="28"/>
          <w:highlight w:val="yellow"/>
        </w:rPr>
        <w:t>Among the 1,066 patients admitted during the study period, there were 81 patients with intracardiac masses, representing a hospital frequency of 7.5%.</w:t>
      </w:r>
      <w:r w:rsidRPr="00766063">
        <w:rPr>
          <w:rFonts w:ascii="Times New Roman" w:hAnsi="Times New Roman" w:cs="Times New Roman"/>
          <w:sz w:val="28"/>
          <w:szCs w:val="28"/>
          <w:highlight w:val="yellow"/>
        </w:rPr>
        <w:t xml:space="preserve"> </w:t>
      </w:r>
      <w:r w:rsidRPr="00766063">
        <w:rPr>
          <w:rFonts w:ascii="Times New Roman" w:hAnsi="Times New Roman" w:cs="Times New Roman"/>
          <w:sz w:val="28"/>
          <w:szCs w:val="28"/>
          <w:highlight w:val="yellow"/>
        </w:rPr>
        <w:t>Mortality was therefore very high, with a total of 20 during hospitalisation (25%)</w:t>
      </w:r>
      <w:r w:rsidRPr="00766063">
        <w:rPr>
          <w:rFonts w:ascii="Times New Roman" w:hAnsi="Times New Roman" w:cs="Times New Roman"/>
          <w:sz w:val="28"/>
          <w:szCs w:val="28"/>
        </w:rPr>
        <w:t>. </w:t>
      </w:r>
      <w:r w:rsidR="00C0157A" w:rsidRPr="009A1244">
        <w:rPr>
          <w:rFonts w:ascii="Times New Roman" w:hAnsi="Times New Roman" w:cs="Times New Roman"/>
          <w:sz w:val="28"/>
          <w:szCs w:val="28"/>
        </w:rPr>
        <w:t>The mean age of the patients was 48.4 ± 17.4 years, with extremes of 17 and 84 years. Half the patients were male, giving a sex ratio of 1.</w:t>
      </w:r>
    </w:p>
    <w:p w14:paraId="3C77C910" w14:textId="1ECEE039"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lastRenderedPageBreak/>
        <w:t>Among the cardiovascular risk factors, diabetes was found in six patients (7.6%) and arterial hypertension in 57 patients (71.3%). A sedentary lifestyle was found in 59 patients (73.8%) and smoking in 19 (23.8%).</w:t>
      </w:r>
      <w:r w:rsidR="0052690D" w:rsidRPr="009A1244">
        <w:rPr>
          <w:rFonts w:ascii="Times New Roman" w:hAnsi="Times New Roman" w:cs="Times New Roman"/>
          <w:sz w:val="28"/>
          <w:szCs w:val="28"/>
        </w:rPr>
        <w:t xml:space="preserve"> </w:t>
      </w:r>
      <w:r w:rsidR="00A077F7" w:rsidRPr="00A077F7">
        <w:rPr>
          <w:rFonts w:ascii="Times New Roman" w:hAnsi="Times New Roman" w:cs="Times New Roman"/>
          <w:sz w:val="28"/>
          <w:szCs w:val="28"/>
          <w:highlight w:val="yellow"/>
        </w:rPr>
        <w:t>ICMs</w:t>
      </w:r>
      <w:r w:rsidRPr="009A1244">
        <w:rPr>
          <w:rFonts w:ascii="Times New Roman" w:hAnsi="Times New Roman" w:cs="Times New Roman"/>
          <w:sz w:val="28"/>
          <w:szCs w:val="28"/>
        </w:rPr>
        <w:t xml:space="preserve"> was discovered during a thromboembolic complication in 18 cases (22.5%) and during a cardiological work-up for heart disease in 62 cases (77.5%). These ICMs were complicated by stroke in 55.6% of cases, pulmonary embolism in 27.8%, syncope in 11.1% and acute ischaemia of the lower limb in 5.6%. The indications for echocardiography were exertional dyspnoea in 77.5% of cases, precordialgia in 45% of cases and palpitations in 7.5% of cases.</w:t>
      </w:r>
    </w:p>
    <w:p w14:paraId="5A6941F4" w14:textId="77777777" w:rsidR="00C0157A" w:rsidRPr="009A1244" w:rsidRDefault="00C0157A" w:rsidP="00CB2A3F">
      <w:pPr>
        <w:spacing w:line="276" w:lineRule="auto"/>
        <w:jc w:val="both"/>
        <w:rPr>
          <w:rFonts w:ascii="Times New Roman" w:hAnsi="Times New Roman" w:cs="Times New Roman"/>
          <w:b/>
          <w:bCs/>
          <w:sz w:val="28"/>
          <w:szCs w:val="28"/>
        </w:rPr>
      </w:pPr>
      <w:r w:rsidRPr="009A1244">
        <w:rPr>
          <w:rFonts w:ascii="Times New Roman" w:hAnsi="Times New Roman" w:cs="Times New Roman"/>
          <w:b/>
          <w:bCs/>
          <w:sz w:val="28"/>
          <w:szCs w:val="28"/>
        </w:rPr>
        <w:t>Characteristics of intracardiac masses</w:t>
      </w:r>
    </w:p>
    <w:p w14:paraId="40BAF32E" w14:textId="155B034F" w:rsidR="0052690D"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Among these intracardiac masses (ICMs), intra</w:t>
      </w:r>
      <w:r w:rsidR="00543D74">
        <w:rPr>
          <w:rFonts w:ascii="Times New Roman" w:hAnsi="Times New Roman" w:cs="Times New Roman"/>
          <w:sz w:val="28"/>
          <w:szCs w:val="28"/>
        </w:rPr>
        <w:t>-</w:t>
      </w:r>
      <w:r w:rsidRPr="009A1244">
        <w:rPr>
          <w:rFonts w:ascii="Times New Roman" w:hAnsi="Times New Roman" w:cs="Times New Roman"/>
          <w:sz w:val="28"/>
          <w:szCs w:val="28"/>
        </w:rPr>
        <w:t xml:space="preserve">cardiac thrombosis </w:t>
      </w:r>
      <w:r w:rsidRPr="00543D74">
        <w:rPr>
          <w:rFonts w:ascii="Times New Roman" w:hAnsi="Times New Roman" w:cs="Times New Roman"/>
          <w:sz w:val="28"/>
          <w:szCs w:val="28"/>
          <w:highlight w:val="yellow"/>
        </w:rPr>
        <w:t>(ICT)</w:t>
      </w:r>
      <w:r w:rsidRPr="009A1244">
        <w:rPr>
          <w:rFonts w:ascii="Times New Roman" w:hAnsi="Times New Roman" w:cs="Times New Roman"/>
          <w:sz w:val="28"/>
          <w:szCs w:val="28"/>
        </w:rPr>
        <w:t xml:space="preserve"> was observed in 41 cases, i.e. 50.6% of ICMs and 3.84% of admissions. The other masses were intracardiac </w:t>
      </w:r>
      <w:r w:rsidR="00543D74" w:rsidRPr="009A1244">
        <w:rPr>
          <w:rFonts w:ascii="Times New Roman" w:hAnsi="Times New Roman" w:cs="Times New Roman"/>
          <w:sz w:val="28"/>
          <w:szCs w:val="28"/>
        </w:rPr>
        <w:t>tumours</w:t>
      </w:r>
      <w:r w:rsidRPr="009A1244">
        <w:rPr>
          <w:rFonts w:ascii="Times New Roman" w:hAnsi="Times New Roman" w:cs="Times New Roman"/>
          <w:sz w:val="28"/>
          <w:szCs w:val="28"/>
        </w:rPr>
        <w:t xml:space="preserve"> and valvular vegetations.  </w:t>
      </w:r>
      <w:r w:rsidR="0060476B" w:rsidRPr="009A1244">
        <w:rPr>
          <w:rFonts w:ascii="Times New Roman" w:hAnsi="Times New Roman" w:cs="Times New Roman"/>
          <w:bCs/>
          <w:color w:val="0D0D0D" w:themeColor="text1" w:themeTint="F2"/>
          <w:sz w:val="28"/>
          <w:szCs w:val="28"/>
        </w:rPr>
        <w:t>Differentials characteristics of intracardiac masses</w:t>
      </w:r>
      <w:r w:rsidRPr="009A1244">
        <w:rPr>
          <w:rFonts w:ascii="Times New Roman" w:hAnsi="Times New Roman" w:cs="Times New Roman"/>
          <w:sz w:val="28"/>
          <w:szCs w:val="28"/>
        </w:rPr>
        <w:t>.</w:t>
      </w:r>
    </w:p>
    <w:p w14:paraId="72A6957F" w14:textId="1FA5717E"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On echocardiography, we found multiple locations of thrombi in the same patient. Four patients had thrombi in two cavities. Six patients had vegetations on different valves. Figure 1 shows the topographical distribution of the different types of masses.</w:t>
      </w:r>
    </w:p>
    <w:p w14:paraId="7BC223CA" w14:textId="4C9381A2" w:rsidR="00C0157A" w:rsidRPr="009A1244" w:rsidRDefault="009A1244" w:rsidP="00CB2A3F">
      <w:pPr>
        <w:spacing w:line="276" w:lineRule="auto"/>
        <w:jc w:val="both"/>
        <w:rPr>
          <w:rFonts w:ascii="Times New Roman" w:hAnsi="Times New Roman" w:cs="Times New Roman"/>
          <w:b/>
          <w:bCs/>
          <w:sz w:val="28"/>
          <w:szCs w:val="28"/>
        </w:rPr>
      </w:pPr>
      <w:r w:rsidRPr="009A1244">
        <w:rPr>
          <w:rFonts w:ascii="Times New Roman" w:hAnsi="Times New Roman" w:cs="Times New Roman"/>
          <w:b/>
          <w:bCs/>
          <w:sz w:val="28"/>
          <w:szCs w:val="28"/>
        </w:rPr>
        <w:t>E</w:t>
      </w:r>
      <w:r w:rsidR="00C0157A" w:rsidRPr="009A1244">
        <w:rPr>
          <w:rFonts w:ascii="Times New Roman" w:hAnsi="Times New Roman" w:cs="Times New Roman"/>
          <w:b/>
          <w:bCs/>
          <w:sz w:val="28"/>
          <w:szCs w:val="28"/>
        </w:rPr>
        <w:t xml:space="preserve">tiological factors </w:t>
      </w:r>
    </w:p>
    <w:p w14:paraId="61E409EC" w14:textId="77777777"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 xml:space="preserve">Heart failure was found in 65 patients (81.3% of cases). The main aetiologies were dilated cardiomyopathy in 23 patients (28.8% of cases), ischaemic heart disease in 8 patients (10%), and peripartum cardiomyopathy (PPMC) in 3 patients (3.8%). Infective endocarditis was found in 29 patients (36.3%), and decompensated rheumatic valve disease in nine patients (11.3%). </w:t>
      </w:r>
    </w:p>
    <w:p w14:paraId="045D8139" w14:textId="77777777" w:rsidR="00C0157A" w:rsidRPr="009A1244" w:rsidRDefault="00C0157A" w:rsidP="00CB2A3F">
      <w:pPr>
        <w:spacing w:line="276" w:lineRule="auto"/>
        <w:jc w:val="both"/>
        <w:rPr>
          <w:rFonts w:ascii="Times New Roman" w:hAnsi="Times New Roman" w:cs="Times New Roman"/>
          <w:b/>
          <w:bCs/>
          <w:sz w:val="28"/>
          <w:szCs w:val="28"/>
        </w:rPr>
      </w:pPr>
      <w:r w:rsidRPr="009A1244">
        <w:rPr>
          <w:rFonts w:ascii="Times New Roman" w:hAnsi="Times New Roman" w:cs="Times New Roman"/>
          <w:b/>
          <w:bCs/>
          <w:sz w:val="28"/>
          <w:szCs w:val="28"/>
        </w:rPr>
        <w:t>Treatment and outcome</w:t>
      </w:r>
    </w:p>
    <w:p w14:paraId="2A7D69B9" w14:textId="1F7E37FC"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 xml:space="preserve">Curative treatment of intracardiac masses consisted of anticoagulation in 65% of cases, antibiotics in 58.8% of cases and instrumental treatment in 1.3% of cases. Oral anticoagulation was with antivitamin K. </w:t>
      </w:r>
      <w:r w:rsidR="009A1244" w:rsidRPr="009A1244">
        <w:rPr>
          <w:rFonts w:ascii="Times New Roman" w:hAnsi="Times New Roman" w:cs="Times New Roman"/>
          <w:sz w:val="28"/>
          <w:szCs w:val="28"/>
          <w:highlight w:val="yellow"/>
        </w:rPr>
        <w:t>Cardiac surgery was not used as a therapeutic option in our study because it is not available.</w:t>
      </w:r>
      <w:r w:rsidRPr="009A1244">
        <w:rPr>
          <w:rFonts w:ascii="Times New Roman" w:hAnsi="Times New Roman" w:cs="Times New Roman"/>
          <w:sz w:val="28"/>
          <w:szCs w:val="28"/>
        </w:rPr>
        <w:t xml:space="preserve"> The mean length of </w:t>
      </w:r>
      <w:r w:rsidR="009A1244" w:rsidRPr="009A1244">
        <w:rPr>
          <w:rFonts w:ascii="Times New Roman" w:hAnsi="Times New Roman" w:cs="Times New Roman"/>
          <w:sz w:val="28"/>
          <w:szCs w:val="28"/>
        </w:rPr>
        <w:t>hospitalization</w:t>
      </w:r>
      <w:r w:rsidRPr="009A1244">
        <w:rPr>
          <w:rFonts w:ascii="Times New Roman" w:hAnsi="Times New Roman" w:cs="Times New Roman"/>
          <w:sz w:val="28"/>
          <w:szCs w:val="28"/>
        </w:rPr>
        <w:t xml:space="preserve"> was 17.4 ± 9.8 days, with extremes of 2 and 61 days, and the mean length of follow-up was 12 ± 7.8 months, with extremes of 2 and 26 months. Death occurred early, after 14.3 ± 13.2 days, with extremes of one and 60 days. There was </w:t>
      </w:r>
      <w:r w:rsidRPr="009A1244">
        <w:rPr>
          <w:rFonts w:ascii="Times New Roman" w:hAnsi="Times New Roman" w:cs="Times New Roman"/>
          <w:sz w:val="28"/>
          <w:szCs w:val="28"/>
        </w:rPr>
        <w:lastRenderedPageBreak/>
        <w:t xml:space="preserve">only one case of death during the second month of follow-up in our study. Seven patients died as outpatients (i.e. 8.8% of cases), with a mean time to post-hospital death of 4.6 ± 2.7 months, ranging from 2 to 10 months.  </w:t>
      </w:r>
    </w:p>
    <w:p w14:paraId="44AE2F88" w14:textId="77777777"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 xml:space="preserve">Mortality was therefore very high, with a total of 108 patients dying, including 20 during hospitalisation (25%). The specific mortality rate for intracardiac masses was 18.5%. The causes of these in-hospital deaths were thrombo-embolic complications (30%), uncontrolled heart failure (81.3%), cardiogenic shock (25%) and septic shock (20%). </w:t>
      </w:r>
    </w:p>
    <w:p w14:paraId="6962476D" w14:textId="77777777" w:rsidR="00C0157A" w:rsidRPr="009A1244" w:rsidRDefault="00C0157A" w:rsidP="00CB2A3F">
      <w:pPr>
        <w:spacing w:line="276" w:lineRule="auto"/>
        <w:jc w:val="both"/>
        <w:rPr>
          <w:rFonts w:ascii="Times New Roman" w:hAnsi="Times New Roman" w:cs="Times New Roman"/>
          <w:sz w:val="28"/>
          <w:szCs w:val="28"/>
        </w:rPr>
      </w:pPr>
    </w:p>
    <w:p w14:paraId="7A5B0453" w14:textId="77777777" w:rsidR="00C0157A" w:rsidRPr="009A1244" w:rsidRDefault="00C0157A" w:rsidP="00CB2A3F">
      <w:pPr>
        <w:spacing w:line="276" w:lineRule="auto"/>
        <w:jc w:val="both"/>
        <w:rPr>
          <w:rFonts w:ascii="Times New Roman" w:hAnsi="Times New Roman" w:cs="Times New Roman"/>
          <w:b/>
          <w:bCs/>
          <w:sz w:val="28"/>
          <w:szCs w:val="28"/>
        </w:rPr>
      </w:pPr>
      <w:r w:rsidRPr="009A1244">
        <w:rPr>
          <w:rFonts w:ascii="Times New Roman" w:hAnsi="Times New Roman" w:cs="Times New Roman"/>
          <w:b/>
          <w:bCs/>
          <w:sz w:val="28"/>
          <w:szCs w:val="28"/>
        </w:rPr>
        <w:t>4.</w:t>
      </w:r>
      <w:r w:rsidRPr="009A1244">
        <w:rPr>
          <w:rFonts w:ascii="Times New Roman" w:hAnsi="Times New Roman" w:cs="Times New Roman"/>
          <w:b/>
          <w:bCs/>
          <w:sz w:val="28"/>
          <w:szCs w:val="28"/>
        </w:rPr>
        <w:tab/>
        <w:t xml:space="preserve">Discussion  </w:t>
      </w:r>
    </w:p>
    <w:p w14:paraId="10C1DB4B" w14:textId="77777777" w:rsidR="00C0157A" w:rsidRPr="009A1244" w:rsidRDefault="00C0157A" w:rsidP="00CB2A3F">
      <w:pPr>
        <w:spacing w:line="276" w:lineRule="auto"/>
        <w:jc w:val="both"/>
        <w:rPr>
          <w:rFonts w:ascii="Times New Roman" w:hAnsi="Times New Roman" w:cs="Times New Roman"/>
          <w:b/>
          <w:bCs/>
          <w:sz w:val="28"/>
          <w:szCs w:val="28"/>
        </w:rPr>
      </w:pPr>
      <w:r w:rsidRPr="009A1244">
        <w:rPr>
          <w:rFonts w:ascii="Times New Roman" w:hAnsi="Times New Roman" w:cs="Times New Roman"/>
          <w:b/>
          <w:bCs/>
          <w:sz w:val="28"/>
          <w:szCs w:val="28"/>
        </w:rPr>
        <w:t xml:space="preserve">Limitations and constraints of our study </w:t>
      </w:r>
    </w:p>
    <w:p w14:paraId="78067887" w14:textId="77777777" w:rsidR="00C0157A" w:rsidRPr="009A1244" w:rsidRDefault="00C0157A" w:rsidP="00CB2A3F">
      <w:pPr>
        <w:spacing w:line="276" w:lineRule="auto"/>
        <w:jc w:val="both"/>
        <w:rPr>
          <w:rFonts w:ascii="Times New Roman" w:hAnsi="Times New Roman" w:cs="Times New Roman"/>
          <w:sz w:val="28"/>
          <w:szCs w:val="28"/>
        </w:rPr>
      </w:pPr>
      <w:r w:rsidRPr="0099301B">
        <w:rPr>
          <w:rFonts w:ascii="Times New Roman" w:hAnsi="Times New Roman" w:cs="Times New Roman"/>
          <w:sz w:val="28"/>
          <w:szCs w:val="28"/>
          <w:highlight w:val="yellow"/>
        </w:rPr>
        <w:t>Although this study was prospective, several difficulties were encountered. The monocentric nature of the study, the frequent absence of anatomopathological examination to confirm the nature of the mass, non-compliance with follow-up appointments, and the difficulty of recording deaths occurring at home were the main limitations of the study.</w:t>
      </w:r>
      <w:r w:rsidRPr="009A1244">
        <w:rPr>
          <w:rFonts w:ascii="Times New Roman" w:hAnsi="Times New Roman" w:cs="Times New Roman"/>
          <w:sz w:val="28"/>
          <w:szCs w:val="28"/>
        </w:rPr>
        <w:t xml:space="preserve"> </w:t>
      </w:r>
    </w:p>
    <w:p w14:paraId="19967517" w14:textId="626FA664"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 xml:space="preserve">The limited number of studies or scientific works dealing with thrombi, tumours and valve masses at the same time, and looking at epidemiological, clinical, therapeutic and evolutionary aspects, makes it inappropriate to compare some of our results. In fact, most studies of </w:t>
      </w:r>
      <w:r w:rsidR="00543D74" w:rsidRPr="00543D74">
        <w:rPr>
          <w:rFonts w:ascii="Times New Roman" w:hAnsi="Times New Roman" w:cs="Times New Roman"/>
          <w:sz w:val="28"/>
          <w:szCs w:val="28"/>
          <w:highlight w:val="yellow"/>
        </w:rPr>
        <w:t>Intra-cardiac Tumour</w:t>
      </w:r>
      <w:r w:rsidRPr="00543D74">
        <w:rPr>
          <w:rFonts w:ascii="Times New Roman" w:hAnsi="Times New Roman" w:cs="Times New Roman"/>
          <w:sz w:val="28"/>
          <w:szCs w:val="28"/>
          <w:highlight w:val="yellow"/>
        </w:rPr>
        <w:t>s</w:t>
      </w:r>
      <w:r w:rsidRPr="009A1244">
        <w:rPr>
          <w:rFonts w:ascii="Times New Roman" w:hAnsi="Times New Roman" w:cs="Times New Roman"/>
          <w:sz w:val="28"/>
          <w:szCs w:val="28"/>
        </w:rPr>
        <w:t xml:space="preserve"> focus on a specific type of mass, its diagnostic strategies and treatment methods. In our study, we found a prevalence of intracardiac masses of 7.5%, with thrombi representing the most frequent group, in line with the data in the literature [5,6]. During our study, intracardiac tumours accounted for 9.9% of ICMs recorded, i.e. 0.75% of admissions to the cardiology department. Our results are better than those of Damourou et al. in Togo, who reported a rate of 0.2% for cardiac tumours in their </w:t>
      </w:r>
      <w:r w:rsidR="00A077F7" w:rsidRPr="00A077F7">
        <w:rPr>
          <w:rFonts w:ascii="Times New Roman" w:hAnsi="Times New Roman" w:cs="Times New Roman"/>
          <w:sz w:val="28"/>
          <w:szCs w:val="28"/>
          <w:highlight w:val="yellow"/>
        </w:rPr>
        <w:t>ICMs</w:t>
      </w:r>
      <w:r w:rsidRPr="009A1244">
        <w:rPr>
          <w:rFonts w:ascii="Times New Roman" w:hAnsi="Times New Roman" w:cs="Times New Roman"/>
          <w:sz w:val="28"/>
          <w:szCs w:val="28"/>
        </w:rPr>
        <w:t xml:space="preserve"> series [7]. This difference can be explained by the size of the samples (10 cases versus 80 cases).  We observed 32 cases of valvular vegetations, representing 39.5% of </w:t>
      </w:r>
      <w:bookmarkStart w:id="2" w:name="_Hlk193769337"/>
      <w:r w:rsidR="00A077F7" w:rsidRPr="00A077F7">
        <w:rPr>
          <w:rFonts w:ascii="Times New Roman" w:hAnsi="Times New Roman" w:cs="Times New Roman"/>
          <w:sz w:val="28"/>
          <w:szCs w:val="28"/>
          <w:highlight w:val="yellow"/>
        </w:rPr>
        <w:t>ICMs</w:t>
      </w:r>
      <w:bookmarkEnd w:id="2"/>
      <w:r w:rsidRPr="009A1244">
        <w:rPr>
          <w:rFonts w:ascii="Times New Roman" w:hAnsi="Times New Roman" w:cs="Times New Roman"/>
          <w:sz w:val="28"/>
          <w:szCs w:val="28"/>
        </w:rPr>
        <w:t xml:space="preserve"> studied and 3% of admissions to the cardiology department during our study period. Elbey </w:t>
      </w:r>
      <w:r w:rsidR="00543D74">
        <w:rPr>
          <w:rFonts w:ascii="Times New Roman" w:hAnsi="Times New Roman" w:cs="Times New Roman"/>
          <w:sz w:val="28"/>
          <w:szCs w:val="28"/>
        </w:rPr>
        <w:t>and</w:t>
      </w:r>
      <w:r w:rsidRPr="009A1244">
        <w:rPr>
          <w:rFonts w:ascii="Times New Roman" w:hAnsi="Times New Roman" w:cs="Times New Roman"/>
          <w:sz w:val="28"/>
          <w:szCs w:val="28"/>
        </w:rPr>
        <w:t xml:space="preserve"> al. in Turkey noted 89% vegetations in their series, but their study only concerned patients followed up for infective endocarditis, which would explain their higher prevalence</w:t>
      </w:r>
      <w:r w:rsidR="00762F7B" w:rsidRPr="009A1244">
        <w:rPr>
          <w:rFonts w:ascii="Times New Roman" w:hAnsi="Times New Roman" w:cs="Times New Roman"/>
          <w:sz w:val="28"/>
          <w:szCs w:val="28"/>
        </w:rPr>
        <w:t xml:space="preserve"> </w:t>
      </w:r>
      <w:r w:rsidRPr="009A1244">
        <w:rPr>
          <w:rFonts w:ascii="Times New Roman" w:hAnsi="Times New Roman" w:cs="Times New Roman"/>
          <w:sz w:val="28"/>
          <w:szCs w:val="28"/>
        </w:rPr>
        <w:t xml:space="preserve">[8]. In 2010 Ralamboson et al found a sex ratio of 1.5 in their series of cardiac </w:t>
      </w:r>
      <w:r w:rsidRPr="009A1244">
        <w:rPr>
          <w:rFonts w:ascii="Times New Roman" w:hAnsi="Times New Roman" w:cs="Times New Roman"/>
          <w:sz w:val="28"/>
          <w:szCs w:val="28"/>
        </w:rPr>
        <w:lastRenderedPageBreak/>
        <w:t>intracavitary thrombi [9]. Previously described as rare in women, the increase in the prevalence in women could be explained by the increasingly frequent occurrence in women of cardiovascular diseases, particularly those that cause intracardiac thrombi (acute myocardial infarction, dilated cardiomyopathy, valvular diseases).</w:t>
      </w:r>
      <w:r w:rsidR="0052690D" w:rsidRPr="009A1244">
        <w:rPr>
          <w:rFonts w:ascii="Times New Roman" w:hAnsi="Times New Roman" w:cs="Times New Roman"/>
          <w:sz w:val="28"/>
          <w:szCs w:val="28"/>
        </w:rPr>
        <w:t xml:space="preserve"> </w:t>
      </w:r>
      <w:r w:rsidRPr="009A1244">
        <w:rPr>
          <w:rFonts w:ascii="Times New Roman" w:hAnsi="Times New Roman" w:cs="Times New Roman"/>
          <w:sz w:val="28"/>
          <w:szCs w:val="28"/>
        </w:rPr>
        <w:t>The increased use of contraceptives and the higher prevalence of breast and cervical tumours in women could also explain the sex ratio of 1 in our series.</w:t>
      </w:r>
    </w:p>
    <w:p w14:paraId="432AF5AC" w14:textId="33BF3E8D"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 xml:space="preserve">In our study, </w:t>
      </w:r>
      <w:r w:rsidRPr="00543D74">
        <w:rPr>
          <w:rFonts w:ascii="Times New Roman" w:hAnsi="Times New Roman" w:cs="Times New Roman"/>
          <w:sz w:val="28"/>
          <w:szCs w:val="28"/>
          <w:highlight w:val="yellow"/>
        </w:rPr>
        <w:t>IC</w:t>
      </w:r>
      <w:r w:rsidR="00543D74" w:rsidRPr="00543D74">
        <w:rPr>
          <w:rFonts w:ascii="Times New Roman" w:hAnsi="Times New Roman" w:cs="Times New Roman"/>
          <w:sz w:val="28"/>
          <w:szCs w:val="28"/>
          <w:highlight w:val="yellow"/>
        </w:rPr>
        <w:t>M</w:t>
      </w:r>
      <w:r w:rsidRPr="009A1244">
        <w:rPr>
          <w:rFonts w:ascii="Times New Roman" w:hAnsi="Times New Roman" w:cs="Times New Roman"/>
          <w:sz w:val="28"/>
          <w:szCs w:val="28"/>
        </w:rPr>
        <w:t xml:space="preserve"> was diagnosed in 18 cases (22.5%) when a thromboembolic complication occurred, including stroke in 55.6% of cases, pulmonary embolism in 27.8% of cases, syncope in 11.1% of cases and acute ischaemia of the lower limb in 5.6% of cases. </w:t>
      </w:r>
      <w:r w:rsidR="00135DBA" w:rsidRPr="00135DBA">
        <w:rPr>
          <w:rFonts w:ascii="Times New Roman" w:hAnsi="Times New Roman" w:cs="Times New Roman"/>
          <w:sz w:val="28"/>
          <w:szCs w:val="28"/>
          <w:highlight w:val="yellow"/>
        </w:rPr>
        <w:t>Huang L</w:t>
      </w:r>
      <w:r w:rsidR="00135DBA" w:rsidRPr="00135DBA">
        <w:rPr>
          <w:rFonts w:ascii="Times New Roman" w:hAnsi="Times New Roman" w:cs="Times New Roman"/>
          <w:sz w:val="28"/>
          <w:szCs w:val="28"/>
          <w:highlight w:val="yellow"/>
        </w:rPr>
        <w:t xml:space="preserve"> and</w:t>
      </w:r>
      <w:r w:rsidRPr="00135DBA">
        <w:rPr>
          <w:rFonts w:ascii="Times New Roman" w:hAnsi="Times New Roman" w:cs="Times New Roman"/>
          <w:sz w:val="28"/>
          <w:szCs w:val="28"/>
          <w:highlight w:val="yellow"/>
        </w:rPr>
        <w:t xml:space="preserve"> al</w:t>
      </w:r>
      <w:r w:rsidRPr="009A1244">
        <w:rPr>
          <w:rFonts w:ascii="Times New Roman" w:hAnsi="Times New Roman" w:cs="Times New Roman"/>
          <w:sz w:val="28"/>
          <w:szCs w:val="28"/>
        </w:rPr>
        <w:t xml:space="preserve">. noted in their study that </w:t>
      </w:r>
      <w:r w:rsidR="00135DBA" w:rsidRPr="00135DBA">
        <w:rPr>
          <w:rFonts w:ascii="Times New Roman" w:hAnsi="Times New Roman" w:cs="Times New Roman"/>
          <w:sz w:val="28"/>
          <w:szCs w:val="28"/>
        </w:rPr>
        <w:t>27.9%</w:t>
      </w:r>
      <w:r w:rsidR="00135DBA">
        <w:rPr>
          <w:rFonts w:ascii="Times New Roman" w:hAnsi="Times New Roman" w:cs="Times New Roman"/>
          <w:sz w:val="28"/>
          <w:szCs w:val="28"/>
        </w:rPr>
        <w:t xml:space="preserve"> </w:t>
      </w:r>
      <w:r w:rsidRPr="009A1244">
        <w:rPr>
          <w:rFonts w:ascii="Times New Roman" w:hAnsi="Times New Roman" w:cs="Times New Roman"/>
          <w:sz w:val="28"/>
          <w:szCs w:val="28"/>
        </w:rPr>
        <w:t xml:space="preserve">of strokes occurred during a </w:t>
      </w:r>
      <w:r w:rsidR="00135DBA">
        <w:rPr>
          <w:rFonts w:ascii="Times New Roman" w:hAnsi="Times New Roman" w:cs="Times New Roman"/>
          <w:sz w:val="28"/>
          <w:szCs w:val="28"/>
        </w:rPr>
        <w:t xml:space="preserve">12,5 </w:t>
      </w:r>
      <w:r w:rsidRPr="009A1244">
        <w:rPr>
          <w:rFonts w:ascii="Times New Roman" w:hAnsi="Times New Roman" w:cs="Times New Roman"/>
          <w:sz w:val="28"/>
          <w:szCs w:val="28"/>
        </w:rPr>
        <w:t>month</w:t>
      </w:r>
      <w:r w:rsidR="00135DBA">
        <w:rPr>
          <w:rFonts w:ascii="Times New Roman" w:hAnsi="Times New Roman" w:cs="Times New Roman"/>
          <w:sz w:val="28"/>
          <w:szCs w:val="28"/>
        </w:rPr>
        <w:t>s</w:t>
      </w:r>
      <w:r w:rsidRPr="009A1244">
        <w:rPr>
          <w:rFonts w:ascii="Times New Roman" w:hAnsi="Times New Roman" w:cs="Times New Roman"/>
          <w:sz w:val="28"/>
          <w:szCs w:val="28"/>
        </w:rPr>
        <w:t xml:space="preserve"> follow-up in patients with left intraventricular thrombi [10].  The other study was carried out in a national referral hospital which mainly receives complicated </w:t>
      </w:r>
      <w:r w:rsidR="00543D74" w:rsidRPr="009A1244">
        <w:rPr>
          <w:rFonts w:ascii="Times New Roman" w:hAnsi="Times New Roman" w:cs="Times New Roman"/>
          <w:sz w:val="28"/>
          <w:szCs w:val="28"/>
        </w:rPr>
        <w:t xml:space="preserve">ICT, </w:t>
      </w:r>
      <w:r w:rsidRPr="009A1244">
        <w:rPr>
          <w:rFonts w:ascii="Times New Roman" w:hAnsi="Times New Roman" w:cs="Times New Roman"/>
          <w:sz w:val="28"/>
          <w:szCs w:val="28"/>
        </w:rPr>
        <w:t xml:space="preserve">cases transferred from peripheral health facilities. In addition, the low socio-economic level of our populations often makes it difficult to monitor anticoagulant treatment and </w:t>
      </w:r>
      <w:r w:rsidRPr="00A077F7">
        <w:rPr>
          <w:rFonts w:ascii="Times New Roman" w:hAnsi="Times New Roman" w:cs="Times New Roman"/>
          <w:sz w:val="28"/>
          <w:szCs w:val="28"/>
          <w:highlight w:val="yellow"/>
        </w:rPr>
        <w:t>I</w:t>
      </w:r>
      <w:r w:rsidR="00A077F7" w:rsidRPr="00A077F7">
        <w:rPr>
          <w:rFonts w:ascii="Times New Roman" w:hAnsi="Times New Roman" w:cs="Times New Roman"/>
          <w:sz w:val="28"/>
          <w:szCs w:val="28"/>
          <w:highlight w:val="yellow"/>
        </w:rPr>
        <w:t>nternational Normal Ratio</w:t>
      </w:r>
      <w:r w:rsidRPr="009A1244">
        <w:rPr>
          <w:rFonts w:ascii="Times New Roman" w:hAnsi="Times New Roman" w:cs="Times New Roman"/>
          <w:sz w:val="28"/>
          <w:szCs w:val="28"/>
        </w:rPr>
        <w:t xml:space="preserve"> controls. This can lead to treatment breaks or ineffective anticoagulation, which could explain the higher number of strokes.</w:t>
      </w:r>
    </w:p>
    <w:p w14:paraId="453F87A4" w14:textId="5EF01432"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 xml:space="preserve">A left intraventricular location of the thrombus was found in was found in 65.8% of </w:t>
      </w:r>
      <w:r w:rsidR="00543D74" w:rsidRPr="009A1244">
        <w:rPr>
          <w:rFonts w:ascii="Times New Roman" w:hAnsi="Times New Roman" w:cs="Times New Roman"/>
          <w:sz w:val="28"/>
          <w:szCs w:val="28"/>
        </w:rPr>
        <w:t>ICT</w:t>
      </w:r>
      <w:r w:rsidRPr="009A1244">
        <w:rPr>
          <w:rFonts w:ascii="Times New Roman" w:hAnsi="Times New Roman" w:cs="Times New Roman"/>
          <w:sz w:val="28"/>
          <w:szCs w:val="28"/>
        </w:rPr>
        <w:t xml:space="preserve"> cases. This result is in line with those of Stefano and Davinder, who reported that intraventricular thrombosis in the left cavities was the most frequent and occurred most often in heart disease with </w:t>
      </w:r>
      <w:r w:rsidRPr="00543D74">
        <w:rPr>
          <w:rFonts w:ascii="Times New Roman" w:hAnsi="Times New Roman" w:cs="Times New Roman"/>
          <w:sz w:val="28"/>
          <w:szCs w:val="28"/>
          <w:highlight w:val="yellow"/>
        </w:rPr>
        <w:t>L</w:t>
      </w:r>
      <w:r w:rsidR="00543D74" w:rsidRPr="00543D74">
        <w:rPr>
          <w:rFonts w:ascii="Times New Roman" w:hAnsi="Times New Roman" w:cs="Times New Roman"/>
          <w:sz w:val="28"/>
          <w:szCs w:val="28"/>
          <w:highlight w:val="yellow"/>
        </w:rPr>
        <w:t xml:space="preserve">eft </w:t>
      </w:r>
      <w:r w:rsidRPr="00543D74">
        <w:rPr>
          <w:rFonts w:ascii="Times New Roman" w:hAnsi="Times New Roman" w:cs="Times New Roman"/>
          <w:sz w:val="28"/>
          <w:szCs w:val="28"/>
          <w:highlight w:val="yellow"/>
        </w:rPr>
        <w:t>V</w:t>
      </w:r>
      <w:r w:rsidR="00543D74" w:rsidRPr="00543D74">
        <w:rPr>
          <w:rFonts w:ascii="Times New Roman" w:hAnsi="Times New Roman" w:cs="Times New Roman"/>
          <w:sz w:val="28"/>
          <w:szCs w:val="28"/>
          <w:highlight w:val="yellow"/>
        </w:rPr>
        <w:t>entricular</w:t>
      </w:r>
      <w:r w:rsidRPr="009A1244">
        <w:rPr>
          <w:rFonts w:ascii="Times New Roman" w:hAnsi="Times New Roman" w:cs="Times New Roman"/>
          <w:sz w:val="28"/>
          <w:szCs w:val="28"/>
        </w:rPr>
        <w:t xml:space="preserve"> dilatation and in cases of impaired </w:t>
      </w:r>
      <w:r w:rsidR="00543D74" w:rsidRPr="00543D74">
        <w:rPr>
          <w:rFonts w:ascii="Times New Roman" w:hAnsi="Times New Roman" w:cs="Times New Roman"/>
          <w:sz w:val="28"/>
          <w:szCs w:val="28"/>
          <w:highlight w:val="yellow"/>
        </w:rPr>
        <w:t>Left Ventricular</w:t>
      </w:r>
      <w:r w:rsidRPr="009A1244">
        <w:rPr>
          <w:rFonts w:ascii="Times New Roman" w:hAnsi="Times New Roman" w:cs="Times New Roman"/>
          <w:sz w:val="28"/>
          <w:szCs w:val="28"/>
        </w:rPr>
        <w:t xml:space="preserve"> systolic function (dilated cardiomyopathy, acute myocardial infarction) [11,12].  In the literature, left atrial thrombosis is </w:t>
      </w:r>
      <w:r w:rsidR="00A077F7" w:rsidRPr="009A1244">
        <w:rPr>
          <w:rFonts w:ascii="Times New Roman" w:hAnsi="Times New Roman" w:cs="Times New Roman"/>
          <w:sz w:val="28"/>
          <w:szCs w:val="28"/>
        </w:rPr>
        <w:t>favoured</w:t>
      </w:r>
      <w:r w:rsidRPr="009A1244">
        <w:rPr>
          <w:rFonts w:ascii="Times New Roman" w:hAnsi="Times New Roman" w:cs="Times New Roman"/>
          <w:sz w:val="28"/>
          <w:szCs w:val="28"/>
        </w:rPr>
        <w:t xml:space="preserve"> by atrial fibrillation and mitral valve disease [3,13].  They accounted for 29.3% of </w:t>
      </w:r>
      <w:r w:rsidR="00543D74" w:rsidRPr="009A1244">
        <w:rPr>
          <w:rFonts w:ascii="Times New Roman" w:hAnsi="Times New Roman" w:cs="Times New Roman"/>
          <w:sz w:val="28"/>
          <w:szCs w:val="28"/>
        </w:rPr>
        <w:t>ICT</w:t>
      </w:r>
      <w:r w:rsidRPr="009A1244">
        <w:rPr>
          <w:rFonts w:ascii="Times New Roman" w:hAnsi="Times New Roman" w:cs="Times New Roman"/>
          <w:sz w:val="28"/>
          <w:szCs w:val="28"/>
        </w:rPr>
        <w:t xml:space="preserve"> cases, of which 66.7% of patients had valve disease and 41.7% had atrial fibrillation in our series.</w:t>
      </w:r>
    </w:p>
    <w:p w14:paraId="4131A0A1" w14:textId="67CF3767"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The location of the vegetations was predominantly mitral (23.8% of cases)</w:t>
      </w:r>
      <w:r w:rsidR="00A077F7">
        <w:rPr>
          <w:rFonts w:ascii="Times New Roman" w:hAnsi="Times New Roman" w:cs="Times New Roman"/>
          <w:sz w:val="28"/>
          <w:szCs w:val="28"/>
        </w:rPr>
        <w:t xml:space="preserve"> </w:t>
      </w:r>
      <w:r w:rsidRPr="009A1244">
        <w:rPr>
          <w:rFonts w:ascii="Times New Roman" w:hAnsi="Times New Roman" w:cs="Times New Roman"/>
          <w:sz w:val="28"/>
          <w:szCs w:val="28"/>
        </w:rPr>
        <w:t xml:space="preserve">but also aortic in 17.5% of cases. A predominance of mitral location was reported by Elbey </w:t>
      </w:r>
      <w:r w:rsidR="00543D74">
        <w:rPr>
          <w:rFonts w:ascii="Times New Roman" w:hAnsi="Times New Roman" w:cs="Times New Roman"/>
          <w:sz w:val="28"/>
          <w:szCs w:val="28"/>
        </w:rPr>
        <w:t>and</w:t>
      </w:r>
      <w:r w:rsidRPr="009A1244">
        <w:rPr>
          <w:rFonts w:ascii="Times New Roman" w:hAnsi="Times New Roman" w:cs="Times New Roman"/>
          <w:sz w:val="28"/>
          <w:szCs w:val="28"/>
        </w:rPr>
        <w:t xml:space="preserve"> al. in Turkey (mitral in 43.1% of cases, aortic in 39.1% of cases and tricuspid in 8.9% of cases). This is consistent with the physiological and haemodynamic characteristics of the left ventricle. </w:t>
      </w:r>
    </w:p>
    <w:p w14:paraId="18831635" w14:textId="49432220" w:rsidR="00C0157A" w:rsidRPr="009A1244" w:rsidRDefault="00C0157A" w:rsidP="00CB2A3F">
      <w:p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 xml:space="preserve">Treatment of intracardiac thrombosis in our study was based in the majority of cases on the use of anticoagulants. In the literature, the choice of treatment is sometimes </w:t>
      </w:r>
      <w:r w:rsidRPr="009A1244">
        <w:rPr>
          <w:rFonts w:ascii="Times New Roman" w:hAnsi="Times New Roman" w:cs="Times New Roman"/>
          <w:sz w:val="28"/>
          <w:szCs w:val="28"/>
        </w:rPr>
        <w:lastRenderedPageBreak/>
        <w:t xml:space="preserve">debated, ranging from thrombolysis to thrombectomy. It should be noted that cardiac surgery was not accessible in Burkina at that time.  In our study, anticoagulant treatment with low molecular weight heparin (LMWH) was instituted in 100% of patients, 97.6% of whom were followed up with </w:t>
      </w:r>
      <w:r w:rsidR="00A077F7" w:rsidRPr="00A077F7">
        <w:rPr>
          <w:rFonts w:ascii="Times New Roman" w:hAnsi="Times New Roman" w:cs="Times New Roman"/>
          <w:sz w:val="28"/>
          <w:szCs w:val="28"/>
          <w:highlight w:val="yellow"/>
        </w:rPr>
        <w:t>Antivitamin K</w:t>
      </w:r>
      <w:r w:rsidRPr="009A1244">
        <w:rPr>
          <w:rFonts w:ascii="Times New Roman" w:hAnsi="Times New Roman" w:cs="Times New Roman"/>
          <w:sz w:val="28"/>
          <w:szCs w:val="28"/>
        </w:rPr>
        <w:t xml:space="preserve">. For some authors, the benefit of thrombectomy is comparable to anticoagulation in the case of TIC [14]. Intracardiac thrombosis accounted for 19.5% of the 18.5% mortality rate for ITC. In-hospital and out-of-hospital mortality in intracardiac </w:t>
      </w:r>
      <w:r w:rsidR="00A077F7" w:rsidRPr="009A1244">
        <w:rPr>
          <w:rFonts w:ascii="Times New Roman" w:hAnsi="Times New Roman" w:cs="Times New Roman"/>
          <w:sz w:val="28"/>
          <w:szCs w:val="28"/>
        </w:rPr>
        <w:t>tumours</w:t>
      </w:r>
      <w:r w:rsidRPr="009A1244">
        <w:rPr>
          <w:rFonts w:ascii="Times New Roman" w:hAnsi="Times New Roman" w:cs="Times New Roman"/>
          <w:sz w:val="28"/>
          <w:szCs w:val="28"/>
        </w:rPr>
        <w:t xml:space="preserve"> was </w:t>
      </w:r>
      <w:r w:rsidR="00673763">
        <w:rPr>
          <w:rFonts w:ascii="Times New Roman" w:hAnsi="Times New Roman" w:cs="Times New Roman"/>
          <w:sz w:val="28"/>
          <w:szCs w:val="28"/>
        </w:rPr>
        <w:t>28</w:t>
      </w:r>
      <w:r w:rsidRPr="009A1244">
        <w:rPr>
          <w:rFonts w:ascii="Times New Roman" w:hAnsi="Times New Roman" w:cs="Times New Roman"/>
          <w:sz w:val="28"/>
          <w:szCs w:val="28"/>
        </w:rPr>
        <w:t xml:space="preserve">.5% and 40% respectively, reflecting their seriousness. Most authors agree that surgical removal remains the only treatment modality for benign cardiac </w:t>
      </w:r>
      <w:r w:rsidR="00A077F7" w:rsidRPr="009A1244">
        <w:rPr>
          <w:rFonts w:ascii="Times New Roman" w:hAnsi="Times New Roman" w:cs="Times New Roman"/>
          <w:sz w:val="28"/>
          <w:szCs w:val="28"/>
        </w:rPr>
        <w:t>tumours</w:t>
      </w:r>
      <w:r w:rsidRPr="009A1244">
        <w:rPr>
          <w:rFonts w:ascii="Times New Roman" w:hAnsi="Times New Roman" w:cs="Times New Roman"/>
          <w:sz w:val="28"/>
          <w:szCs w:val="28"/>
        </w:rPr>
        <w:t xml:space="preserve"> (myxoma and fibroelastoma) [15-17]. However, only symptomatic treatment was used in our patients, which would </w:t>
      </w:r>
      <w:r w:rsidRPr="009A1244">
        <w:rPr>
          <w:rFonts w:ascii="Times New Roman" w:hAnsi="Times New Roman" w:cs="Times New Roman"/>
          <w:sz w:val="28"/>
          <w:szCs w:val="28"/>
          <w:highlight w:val="yellow"/>
        </w:rPr>
        <w:t xml:space="preserve">justify </w:t>
      </w:r>
      <w:r w:rsidR="009A1244" w:rsidRPr="009A1244">
        <w:rPr>
          <w:rFonts w:ascii="Times New Roman" w:hAnsi="Times New Roman" w:cs="Times New Roman"/>
          <w:sz w:val="28"/>
          <w:szCs w:val="28"/>
          <w:highlight w:val="yellow"/>
        </w:rPr>
        <w:t>explain the</w:t>
      </w:r>
      <w:r w:rsidR="009A1244" w:rsidRPr="009A1244">
        <w:rPr>
          <w:rFonts w:ascii="Times New Roman" w:hAnsi="Times New Roman" w:cs="Times New Roman"/>
          <w:sz w:val="28"/>
          <w:szCs w:val="28"/>
        </w:rPr>
        <w:t xml:space="preserve"> </w:t>
      </w:r>
      <w:r w:rsidRPr="009A1244">
        <w:rPr>
          <w:rFonts w:ascii="Times New Roman" w:hAnsi="Times New Roman" w:cs="Times New Roman"/>
          <w:sz w:val="28"/>
          <w:szCs w:val="28"/>
        </w:rPr>
        <w:t xml:space="preserve">very high mortality rate. </w:t>
      </w:r>
    </w:p>
    <w:p w14:paraId="7378229A" w14:textId="77777777" w:rsidR="00C0157A" w:rsidRPr="009A1244" w:rsidRDefault="00C0157A" w:rsidP="00CB2A3F">
      <w:pPr>
        <w:spacing w:line="276" w:lineRule="auto"/>
        <w:jc w:val="both"/>
        <w:rPr>
          <w:rFonts w:ascii="Times New Roman" w:hAnsi="Times New Roman" w:cs="Times New Roman"/>
          <w:sz w:val="28"/>
          <w:szCs w:val="28"/>
        </w:rPr>
      </w:pPr>
    </w:p>
    <w:p w14:paraId="62D45C2A" w14:textId="77777777" w:rsidR="00C0157A" w:rsidRPr="009A1244" w:rsidRDefault="00C0157A" w:rsidP="00CB2A3F">
      <w:pPr>
        <w:spacing w:line="276" w:lineRule="auto"/>
        <w:jc w:val="both"/>
        <w:rPr>
          <w:rFonts w:ascii="Times New Roman" w:hAnsi="Times New Roman" w:cs="Times New Roman"/>
          <w:b/>
          <w:bCs/>
          <w:sz w:val="28"/>
          <w:szCs w:val="28"/>
        </w:rPr>
      </w:pPr>
      <w:r w:rsidRPr="009A1244">
        <w:rPr>
          <w:rFonts w:ascii="Times New Roman" w:hAnsi="Times New Roman" w:cs="Times New Roman"/>
          <w:b/>
          <w:bCs/>
          <w:sz w:val="28"/>
          <w:szCs w:val="28"/>
        </w:rPr>
        <w:t>5.</w:t>
      </w:r>
      <w:r w:rsidRPr="009A1244">
        <w:rPr>
          <w:rFonts w:ascii="Times New Roman" w:hAnsi="Times New Roman" w:cs="Times New Roman"/>
          <w:b/>
          <w:bCs/>
          <w:sz w:val="28"/>
          <w:szCs w:val="28"/>
        </w:rPr>
        <w:tab/>
        <w:t>Conclusion</w:t>
      </w:r>
    </w:p>
    <w:p w14:paraId="0A4BE94C" w14:textId="72378D0B" w:rsidR="00C0157A" w:rsidRPr="009A1244" w:rsidRDefault="00521CB7" w:rsidP="00CB2A3F">
      <w:pPr>
        <w:spacing w:line="276" w:lineRule="auto"/>
        <w:jc w:val="both"/>
        <w:rPr>
          <w:rFonts w:ascii="Times New Roman" w:hAnsi="Times New Roman" w:cs="Times New Roman"/>
          <w:sz w:val="28"/>
          <w:szCs w:val="28"/>
        </w:rPr>
      </w:pPr>
      <w:bookmarkStart w:id="3" w:name="_Hlk193768745"/>
      <w:r w:rsidRPr="009A1244">
        <w:rPr>
          <w:rFonts w:ascii="Times New Roman" w:hAnsi="Times New Roman" w:cs="Times New Roman"/>
          <w:sz w:val="28"/>
          <w:szCs w:val="28"/>
          <w:highlight w:val="yellow"/>
        </w:rPr>
        <w:t>Patients with intracardiac masses have a high mortality rate. In this series the main cause of intracardiac masses was thrombi. Careful attention to anticoagulation and antibiotic treatment helped prolong survival in this cohort</w:t>
      </w:r>
      <w:r w:rsidRPr="009A1244">
        <w:rPr>
          <w:rFonts w:ascii="Times New Roman" w:hAnsi="Times New Roman" w:cs="Times New Roman"/>
          <w:sz w:val="28"/>
          <w:szCs w:val="28"/>
          <w:highlight w:val="yellow"/>
        </w:rPr>
        <w:t>.</w:t>
      </w:r>
      <w:r w:rsidR="00C0157A" w:rsidRPr="009A1244">
        <w:rPr>
          <w:rFonts w:ascii="Times New Roman" w:hAnsi="Times New Roman" w:cs="Times New Roman"/>
          <w:sz w:val="28"/>
          <w:szCs w:val="28"/>
        </w:rPr>
        <w:t xml:space="preserve"> </w:t>
      </w:r>
      <w:bookmarkEnd w:id="3"/>
      <w:r w:rsidR="00C0157A" w:rsidRPr="009A1244">
        <w:rPr>
          <w:rFonts w:ascii="Times New Roman" w:hAnsi="Times New Roman" w:cs="Times New Roman"/>
          <w:sz w:val="28"/>
          <w:szCs w:val="28"/>
        </w:rPr>
        <w:t xml:space="preserve">Their late diagnosis is a potential source of poor prognosis. They therefore require prolonged monitoring in order to </w:t>
      </w:r>
      <w:r w:rsidR="00C0157A" w:rsidRPr="009A1244">
        <w:rPr>
          <w:rFonts w:ascii="Times New Roman" w:hAnsi="Times New Roman" w:cs="Times New Roman"/>
          <w:sz w:val="28"/>
          <w:szCs w:val="28"/>
          <w:highlight w:val="yellow"/>
        </w:rPr>
        <w:t>preserve</w:t>
      </w:r>
      <w:r w:rsidR="00C0157A" w:rsidRPr="009A1244">
        <w:rPr>
          <w:rFonts w:ascii="Times New Roman" w:hAnsi="Times New Roman" w:cs="Times New Roman"/>
          <w:sz w:val="28"/>
          <w:szCs w:val="28"/>
        </w:rPr>
        <w:t xml:space="preserve"> the patient's survival. A prospective study on a larger sample deserves to be carried out in order to collect </w:t>
      </w:r>
      <w:r w:rsidR="00C0157A" w:rsidRPr="009A1244">
        <w:rPr>
          <w:rFonts w:ascii="Times New Roman" w:hAnsi="Times New Roman" w:cs="Times New Roman"/>
          <w:sz w:val="28"/>
          <w:szCs w:val="28"/>
          <w:highlight w:val="yellow"/>
        </w:rPr>
        <w:t>significant</w:t>
      </w:r>
      <w:r w:rsidR="00C0157A" w:rsidRPr="009A1244">
        <w:rPr>
          <w:rFonts w:ascii="Times New Roman" w:hAnsi="Times New Roman" w:cs="Times New Roman"/>
          <w:sz w:val="28"/>
          <w:szCs w:val="28"/>
        </w:rPr>
        <w:t xml:space="preserve"> data that could help establish a management protocol adapted to our context.</w:t>
      </w:r>
    </w:p>
    <w:p w14:paraId="55F691F0" w14:textId="6F4979FA" w:rsidR="001F209F" w:rsidRDefault="001F209F" w:rsidP="00CB2A3F">
      <w:pPr>
        <w:spacing w:line="276" w:lineRule="auto"/>
        <w:jc w:val="both"/>
        <w:rPr>
          <w:rFonts w:ascii="Times New Roman" w:hAnsi="Times New Roman" w:cs="Times New Roman"/>
          <w:sz w:val="28"/>
          <w:szCs w:val="28"/>
        </w:rPr>
      </w:pPr>
    </w:p>
    <w:p w14:paraId="1D5A2447" w14:textId="501C93A1" w:rsidR="00973511" w:rsidRDefault="00973511" w:rsidP="00CB2A3F">
      <w:pPr>
        <w:spacing w:line="276" w:lineRule="auto"/>
        <w:rPr>
          <w:rFonts w:ascii="Times New Roman" w:hAnsi="Times New Roman" w:cs="Times New Roman"/>
          <w:sz w:val="28"/>
          <w:szCs w:val="28"/>
          <w:lang w:val="fr-FR"/>
        </w:rPr>
      </w:pPr>
      <w:r w:rsidRPr="00973511">
        <w:rPr>
          <w:rFonts w:ascii="Times New Roman" w:hAnsi="Times New Roman" w:cs="Times New Roman"/>
          <w:b/>
          <w:bCs/>
          <w:sz w:val="28"/>
          <w:szCs w:val="28"/>
          <w:lang w:val="fr-FR"/>
        </w:rPr>
        <w:t>Conflit d'</w:t>
      </w:r>
      <w:proofErr w:type="spellStart"/>
      <w:r w:rsidRPr="00973511">
        <w:rPr>
          <w:rFonts w:ascii="Times New Roman" w:hAnsi="Times New Roman" w:cs="Times New Roman"/>
          <w:b/>
          <w:bCs/>
          <w:sz w:val="28"/>
          <w:szCs w:val="28"/>
          <w:lang w:val="fr-FR"/>
        </w:rPr>
        <w:t>interet</w:t>
      </w:r>
      <w:proofErr w:type="spellEnd"/>
      <w:r w:rsidRPr="00973511">
        <w:rPr>
          <w:rFonts w:ascii="Times New Roman" w:hAnsi="Times New Roman" w:cs="Times New Roman"/>
          <w:b/>
          <w:bCs/>
          <w:sz w:val="28"/>
          <w:szCs w:val="28"/>
          <w:lang w:val="fr-FR"/>
        </w:rPr>
        <w:br/>
      </w:r>
      <w:r w:rsidRPr="00973511">
        <w:rPr>
          <w:rFonts w:ascii="Times New Roman" w:hAnsi="Times New Roman" w:cs="Times New Roman"/>
          <w:sz w:val="28"/>
          <w:szCs w:val="28"/>
          <w:lang w:val="fr-FR"/>
        </w:rPr>
        <w:t>Nous avons aucun conflit d'</w:t>
      </w:r>
      <w:proofErr w:type="spellStart"/>
      <w:r w:rsidRPr="00973511">
        <w:rPr>
          <w:rFonts w:ascii="Times New Roman" w:hAnsi="Times New Roman" w:cs="Times New Roman"/>
          <w:sz w:val="28"/>
          <w:szCs w:val="28"/>
          <w:lang w:val="fr-FR"/>
        </w:rPr>
        <w:t>interet</w:t>
      </w:r>
      <w:proofErr w:type="spellEnd"/>
    </w:p>
    <w:p w14:paraId="22720FFB" w14:textId="77777777" w:rsidR="00973511" w:rsidRPr="00973511" w:rsidRDefault="00973511" w:rsidP="00CB2A3F">
      <w:pPr>
        <w:spacing w:line="276" w:lineRule="auto"/>
        <w:rPr>
          <w:rFonts w:ascii="Times New Roman" w:hAnsi="Times New Roman" w:cs="Times New Roman"/>
          <w:sz w:val="28"/>
          <w:szCs w:val="28"/>
          <w:lang w:val="fr-FR"/>
        </w:rPr>
      </w:pPr>
    </w:p>
    <w:p w14:paraId="0702A551" w14:textId="77777777" w:rsidR="001F209F" w:rsidRPr="009A1244" w:rsidRDefault="001F209F" w:rsidP="00CB2A3F">
      <w:pPr>
        <w:spacing w:line="276" w:lineRule="auto"/>
        <w:jc w:val="both"/>
        <w:rPr>
          <w:rFonts w:ascii="Times New Roman" w:hAnsi="Times New Roman" w:cs="Times New Roman"/>
          <w:sz w:val="28"/>
          <w:szCs w:val="28"/>
          <w:highlight w:val="yellow"/>
        </w:rPr>
      </w:pPr>
      <w:r w:rsidRPr="009A1244">
        <w:rPr>
          <w:rFonts w:ascii="Times New Roman" w:hAnsi="Times New Roman" w:cs="Times New Roman"/>
          <w:sz w:val="28"/>
          <w:szCs w:val="28"/>
          <w:highlight w:val="yellow"/>
        </w:rPr>
        <w:t>Disclaimer (Artificial intelligence)</w:t>
      </w:r>
    </w:p>
    <w:p w14:paraId="506A8E22" w14:textId="77777777" w:rsidR="001F209F" w:rsidRPr="009A1244" w:rsidRDefault="001F209F" w:rsidP="00CB2A3F">
      <w:pPr>
        <w:spacing w:line="276" w:lineRule="auto"/>
        <w:jc w:val="both"/>
        <w:rPr>
          <w:rFonts w:ascii="Times New Roman" w:hAnsi="Times New Roman" w:cs="Times New Roman"/>
          <w:sz w:val="28"/>
          <w:szCs w:val="28"/>
          <w:highlight w:val="yellow"/>
        </w:rPr>
      </w:pPr>
      <w:r w:rsidRPr="009A1244">
        <w:rPr>
          <w:rFonts w:ascii="Times New Roman" w:hAnsi="Times New Roman" w:cs="Times New Roman"/>
          <w:sz w:val="28"/>
          <w:szCs w:val="28"/>
          <w:highlight w:val="yellow"/>
        </w:rPr>
        <w:t xml:space="preserve">Author(s) hereby </w:t>
      </w:r>
      <w:proofErr w:type="gramStart"/>
      <w:r w:rsidRPr="009A1244">
        <w:rPr>
          <w:rFonts w:ascii="Times New Roman" w:hAnsi="Times New Roman" w:cs="Times New Roman"/>
          <w:sz w:val="28"/>
          <w:szCs w:val="28"/>
          <w:highlight w:val="yellow"/>
        </w:rPr>
        <w:t>declare</w:t>
      </w:r>
      <w:proofErr w:type="gramEnd"/>
      <w:r w:rsidRPr="009A1244">
        <w:rPr>
          <w:rFonts w:ascii="Times New Roman" w:hAnsi="Times New Roman" w:cs="Times New Roman"/>
          <w:sz w:val="28"/>
          <w:szCs w:val="28"/>
          <w:highlight w:val="yellow"/>
        </w:rPr>
        <w:t xml:space="preserve"> that NO generative AI technologies such as Large Language Models (ChatGPT, COPILOT, etc.) and text-to-image generators have been used during the writing or editing of this manuscript. </w:t>
      </w:r>
    </w:p>
    <w:p w14:paraId="22DB9BAD" w14:textId="77777777" w:rsidR="001F209F" w:rsidRPr="009A1244" w:rsidRDefault="001F209F" w:rsidP="00CB2A3F">
      <w:pPr>
        <w:spacing w:line="276" w:lineRule="auto"/>
        <w:jc w:val="both"/>
        <w:rPr>
          <w:rFonts w:ascii="Times New Roman" w:hAnsi="Times New Roman" w:cs="Times New Roman"/>
          <w:sz w:val="28"/>
          <w:szCs w:val="28"/>
          <w:highlight w:val="yellow"/>
        </w:rPr>
      </w:pPr>
    </w:p>
    <w:p w14:paraId="3274B326" w14:textId="77777777" w:rsidR="00C0157A" w:rsidRPr="009A1244" w:rsidRDefault="00C0157A" w:rsidP="00CB2A3F">
      <w:pPr>
        <w:spacing w:line="276" w:lineRule="auto"/>
        <w:jc w:val="both"/>
        <w:rPr>
          <w:rFonts w:ascii="Times New Roman" w:hAnsi="Times New Roman" w:cs="Times New Roman"/>
          <w:b/>
          <w:bCs/>
          <w:sz w:val="28"/>
          <w:szCs w:val="28"/>
        </w:rPr>
      </w:pPr>
      <w:r w:rsidRPr="009A1244">
        <w:rPr>
          <w:rFonts w:ascii="Times New Roman" w:hAnsi="Times New Roman" w:cs="Times New Roman"/>
          <w:b/>
          <w:bCs/>
          <w:sz w:val="28"/>
          <w:szCs w:val="28"/>
        </w:rPr>
        <w:t>References</w:t>
      </w:r>
    </w:p>
    <w:p w14:paraId="42098DB3" w14:textId="0AD10B5F" w:rsidR="00C0157A" w:rsidRPr="009A1244" w:rsidRDefault="00C0157A" w:rsidP="00CB2A3F">
      <w:pPr>
        <w:spacing w:line="276" w:lineRule="auto"/>
        <w:ind w:left="720" w:hanging="720"/>
        <w:jc w:val="both"/>
        <w:rPr>
          <w:rFonts w:ascii="Times New Roman" w:hAnsi="Times New Roman" w:cs="Times New Roman"/>
          <w:sz w:val="28"/>
          <w:szCs w:val="28"/>
        </w:rPr>
      </w:pPr>
      <w:r w:rsidRPr="00726DBC">
        <w:rPr>
          <w:rFonts w:ascii="Times New Roman" w:hAnsi="Times New Roman" w:cs="Times New Roman"/>
          <w:sz w:val="28"/>
          <w:szCs w:val="28"/>
          <w:highlight w:val="yellow"/>
        </w:rPr>
        <w:lastRenderedPageBreak/>
        <w:t xml:space="preserve">1. </w:t>
      </w:r>
      <w:r w:rsidRPr="00726DBC">
        <w:rPr>
          <w:rFonts w:ascii="Times New Roman" w:hAnsi="Times New Roman" w:cs="Times New Roman"/>
          <w:sz w:val="28"/>
          <w:szCs w:val="28"/>
          <w:highlight w:val="yellow"/>
        </w:rPr>
        <w:tab/>
      </w:r>
      <w:r w:rsidR="00726DBC" w:rsidRPr="00726DBC">
        <w:rPr>
          <w:rFonts w:ascii="Times New Roman" w:hAnsi="Times New Roman" w:cs="Times New Roman"/>
          <w:sz w:val="28"/>
          <w:szCs w:val="28"/>
          <w:highlight w:val="yellow"/>
        </w:rPr>
        <w:t>Huo X, Lian Z, Dang P, Zhang Y. The Development of a Nomogram Predictive Model for Intracardiac Thrombosis Risk: A Study Based on Risk Factors in Patients with Acute Myocardial Infarction. </w:t>
      </w:r>
      <w:r w:rsidR="00726DBC" w:rsidRPr="00726DBC">
        <w:rPr>
          <w:rFonts w:ascii="Times New Roman" w:hAnsi="Times New Roman" w:cs="Times New Roman"/>
          <w:i/>
          <w:iCs/>
          <w:sz w:val="28"/>
          <w:szCs w:val="28"/>
          <w:highlight w:val="yellow"/>
        </w:rPr>
        <w:t>Biomedicines</w:t>
      </w:r>
      <w:r w:rsidR="00726DBC" w:rsidRPr="00726DBC">
        <w:rPr>
          <w:rFonts w:ascii="Times New Roman" w:hAnsi="Times New Roman" w:cs="Times New Roman"/>
          <w:sz w:val="28"/>
          <w:szCs w:val="28"/>
          <w:highlight w:val="yellow"/>
        </w:rPr>
        <w:t>. 2025; 13(3):679. https://doi.org/10.3390/biomedicines13030679</w:t>
      </w:r>
    </w:p>
    <w:p w14:paraId="038DDE27" w14:textId="77777777" w:rsidR="00C0157A" w:rsidRPr="009A1244" w:rsidRDefault="00C0157A" w:rsidP="00CB2A3F">
      <w:pPr>
        <w:spacing w:line="276" w:lineRule="auto"/>
        <w:ind w:left="720" w:hanging="720"/>
        <w:jc w:val="both"/>
        <w:rPr>
          <w:rFonts w:ascii="Times New Roman" w:hAnsi="Times New Roman" w:cs="Times New Roman"/>
          <w:sz w:val="28"/>
          <w:szCs w:val="28"/>
        </w:rPr>
      </w:pPr>
      <w:r w:rsidRPr="009A1244">
        <w:rPr>
          <w:rFonts w:ascii="Times New Roman" w:hAnsi="Times New Roman" w:cs="Times New Roman"/>
          <w:sz w:val="28"/>
          <w:szCs w:val="28"/>
        </w:rPr>
        <w:t xml:space="preserve">2. </w:t>
      </w:r>
      <w:r w:rsidRPr="009A1244">
        <w:rPr>
          <w:rFonts w:ascii="Times New Roman" w:hAnsi="Times New Roman" w:cs="Times New Roman"/>
          <w:sz w:val="28"/>
          <w:szCs w:val="28"/>
        </w:rPr>
        <w:tab/>
        <w:t xml:space="preserve">Yao H, N'Guetta R, Ekou A, </w:t>
      </w:r>
      <w:proofErr w:type="spellStart"/>
      <w:r w:rsidRPr="009A1244">
        <w:rPr>
          <w:rFonts w:ascii="Times New Roman" w:hAnsi="Times New Roman" w:cs="Times New Roman"/>
          <w:sz w:val="28"/>
          <w:szCs w:val="28"/>
        </w:rPr>
        <w:t>Anzouan</w:t>
      </w:r>
      <w:proofErr w:type="spellEnd"/>
      <w:r w:rsidRPr="009A1244">
        <w:rPr>
          <w:rFonts w:ascii="Times New Roman" w:hAnsi="Times New Roman" w:cs="Times New Roman"/>
          <w:sz w:val="28"/>
          <w:szCs w:val="28"/>
        </w:rPr>
        <w:t xml:space="preserve">-Kacou J-B, </w:t>
      </w:r>
      <w:proofErr w:type="spellStart"/>
      <w:r w:rsidRPr="009A1244">
        <w:rPr>
          <w:rFonts w:ascii="Times New Roman" w:hAnsi="Times New Roman" w:cs="Times New Roman"/>
          <w:sz w:val="28"/>
          <w:szCs w:val="28"/>
        </w:rPr>
        <w:t>Souaga</w:t>
      </w:r>
      <w:proofErr w:type="spellEnd"/>
      <w:r w:rsidRPr="009A1244">
        <w:rPr>
          <w:rFonts w:ascii="Times New Roman" w:hAnsi="Times New Roman" w:cs="Times New Roman"/>
          <w:sz w:val="28"/>
          <w:szCs w:val="28"/>
        </w:rPr>
        <w:t xml:space="preserve"> A, </w:t>
      </w:r>
      <w:proofErr w:type="spellStart"/>
      <w:r w:rsidRPr="009A1244">
        <w:rPr>
          <w:rFonts w:ascii="Times New Roman" w:hAnsi="Times New Roman" w:cs="Times New Roman"/>
          <w:sz w:val="28"/>
          <w:szCs w:val="28"/>
        </w:rPr>
        <w:t>Adoh</w:t>
      </w:r>
      <w:proofErr w:type="spellEnd"/>
      <w:r w:rsidRPr="009A1244">
        <w:rPr>
          <w:rFonts w:ascii="Times New Roman" w:hAnsi="Times New Roman" w:cs="Times New Roman"/>
          <w:sz w:val="28"/>
          <w:szCs w:val="28"/>
        </w:rPr>
        <w:t xml:space="preserve"> M. Cardiac masses: clinical, epidemiological and evolutionary characteristics of 50 cases. </w:t>
      </w:r>
      <w:proofErr w:type="gramStart"/>
      <w:r w:rsidRPr="009A1244">
        <w:rPr>
          <w:rFonts w:ascii="Times New Roman" w:hAnsi="Times New Roman" w:cs="Times New Roman"/>
          <w:sz w:val="28"/>
          <w:szCs w:val="28"/>
        </w:rPr>
        <w:t>2014;4:273</w:t>
      </w:r>
      <w:proofErr w:type="gramEnd"/>
      <w:r w:rsidRPr="009A1244">
        <w:rPr>
          <w:rFonts w:ascii="Times New Roman" w:hAnsi="Times New Roman" w:cs="Times New Roman"/>
          <w:sz w:val="28"/>
          <w:szCs w:val="28"/>
        </w:rPr>
        <w:t xml:space="preserve">-311. </w:t>
      </w:r>
    </w:p>
    <w:p w14:paraId="749034A3" w14:textId="77777777" w:rsidR="00C0157A" w:rsidRPr="009A1244" w:rsidRDefault="00C0157A" w:rsidP="00CB2A3F">
      <w:pPr>
        <w:spacing w:line="276" w:lineRule="auto"/>
        <w:ind w:left="720" w:hanging="720"/>
        <w:jc w:val="both"/>
        <w:rPr>
          <w:rFonts w:ascii="Times New Roman" w:hAnsi="Times New Roman" w:cs="Times New Roman"/>
          <w:sz w:val="28"/>
          <w:szCs w:val="28"/>
        </w:rPr>
      </w:pPr>
      <w:r w:rsidRPr="009A1244">
        <w:rPr>
          <w:rFonts w:ascii="Times New Roman" w:hAnsi="Times New Roman" w:cs="Times New Roman"/>
          <w:sz w:val="28"/>
          <w:szCs w:val="28"/>
        </w:rPr>
        <w:t xml:space="preserve">3. </w:t>
      </w:r>
      <w:r w:rsidRPr="009A1244">
        <w:rPr>
          <w:rFonts w:ascii="Times New Roman" w:hAnsi="Times New Roman" w:cs="Times New Roman"/>
          <w:sz w:val="28"/>
          <w:szCs w:val="28"/>
        </w:rPr>
        <w:tab/>
        <w:t xml:space="preserve">Maryam E. Echocardiographic evaluation of intracardiac masses. The journal of </w:t>
      </w:r>
      <w:proofErr w:type="spellStart"/>
      <w:r w:rsidRPr="009A1244">
        <w:rPr>
          <w:rFonts w:ascii="Times New Roman" w:hAnsi="Times New Roman" w:cs="Times New Roman"/>
          <w:sz w:val="28"/>
          <w:szCs w:val="28"/>
        </w:rPr>
        <w:t>tehran</w:t>
      </w:r>
      <w:proofErr w:type="spellEnd"/>
      <w:r w:rsidRPr="009A1244">
        <w:rPr>
          <w:rFonts w:ascii="Times New Roman" w:hAnsi="Times New Roman" w:cs="Times New Roman"/>
          <w:sz w:val="28"/>
          <w:szCs w:val="28"/>
        </w:rPr>
        <w:t xml:space="preserve"> university heart center; 2008;3(2):59-75. </w:t>
      </w:r>
    </w:p>
    <w:p w14:paraId="72E1717D" w14:textId="47825C3C" w:rsidR="00B22C74" w:rsidRPr="009A1244" w:rsidRDefault="00C0157A" w:rsidP="00CB2A3F">
      <w:pPr>
        <w:spacing w:line="276" w:lineRule="auto"/>
        <w:ind w:left="720" w:hanging="720"/>
        <w:jc w:val="both"/>
        <w:rPr>
          <w:rFonts w:ascii="Times New Roman" w:hAnsi="Times New Roman" w:cs="Times New Roman"/>
          <w:sz w:val="28"/>
          <w:szCs w:val="28"/>
        </w:rPr>
      </w:pPr>
      <w:r w:rsidRPr="00B22C74">
        <w:rPr>
          <w:rFonts w:ascii="Times New Roman" w:hAnsi="Times New Roman" w:cs="Times New Roman"/>
          <w:sz w:val="28"/>
          <w:szCs w:val="28"/>
          <w:highlight w:val="yellow"/>
        </w:rPr>
        <w:t xml:space="preserve">4. </w:t>
      </w:r>
      <w:r w:rsidRPr="00B22C74">
        <w:rPr>
          <w:rFonts w:ascii="Times New Roman" w:hAnsi="Times New Roman" w:cs="Times New Roman"/>
          <w:sz w:val="28"/>
          <w:szCs w:val="28"/>
          <w:highlight w:val="yellow"/>
        </w:rPr>
        <w:tab/>
      </w:r>
      <w:r w:rsidR="00B22C74" w:rsidRPr="00B22C74">
        <w:rPr>
          <w:rFonts w:ascii="Times New Roman" w:hAnsi="Times New Roman" w:cs="Times New Roman"/>
          <w:sz w:val="28"/>
          <w:szCs w:val="28"/>
          <w:highlight w:val="yellow"/>
        </w:rPr>
        <w:t xml:space="preserve">Sozzi, Fabiola B., Eleonora Gnan, Andrea Pandolfi, Laura Iacuzio, Jin Kyung Kim, Ciro Canetta, Alessandra S. Rizzuto, Massimiliano </w:t>
      </w:r>
      <w:proofErr w:type="spellStart"/>
      <w:r w:rsidR="00B22C74" w:rsidRPr="00B22C74">
        <w:rPr>
          <w:rFonts w:ascii="Times New Roman" w:hAnsi="Times New Roman" w:cs="Times New Roman"/>
          <w:sz w:val="28"/>
          <w:szCs w:val="28"/>
          <w:highlight w:val="yellow"/>
        </w:rPr>
        <w:t>Ruscica</w:t>
      </w:r>
      <w:proofErr w:type="spellEnd"/>
      <w:r w:rsidR="00B22C74" w:rsidRPr="00B22C74">
        <w:rPr>
          <w:rFonts w:ascii="Times New Roman" w:hAnsi="Times New Roman" w:cs="Times New Roman"/>
          <w:sz w:val="28"/>
          <w:szCs w:val="28"/>
          <w:highlight w:val="yellow"/>
        </w:rPr>
        <w:t xml:space="preserve">, and Stefano </w:t>
      </w:r>
      <w:proofErr w:type="spellStart"/>
      <w:r w:rsidR="00B22C74" w:rsidRPr="00B22C74">
        <w:rPr>
          <w:rFonts w:ascii="Times New Roman" w:hAnsi="Times New Roman" w:cs="Times New Roman"/>
          <w:sz w:val="28"/>
          <w:szCs w:val="28"/>
          <w:highlight w:val="yellow"/>
        </w:rPr>
        <w:t>Carugo</w:t>
      </w:r>
      <w:proofErr w:type="spellEnd"/>
      <w:r w:rsidR="00B22C74" w:rsidRPr="00B22C74">
        <w:rPr>
          <w:rFonts w:ascii="Times New Roman" w:hAnsi="Times New Roman" w:cs="Times New Roman"/>
          <w:sz w:val="28"/>
          <w:szCs w:val="28"/>
          <w:highlight w:val="yellow"/>
        </w:rPr>
        <w:t>. 2025. "Diagnostic Algorithm Using Multimodal Imaging for the Differential Diagnosis of Intra-Cardiac Masses" </w:t>
      </w:r>
      <w:r w:rsidR="00B22C74" w:rsidRPr="00B22C74">
        <w:rPr>
          <w:rFonts w:ascii="Times New Roman" w:hAnsi="Times New Roman" w:cs="Times New Roman"/>
          <w:i/>
          <w:iCs/>
          <w:sz w:val="28"/>
          <w:szCs w:val="28"/>
          <w:highlight w:val="yellow"/>
        </w:rPr>
        <w:t>Journal of Clinical Medicine</w:t>
      </w:r>
      <w:r w:rsidR="00B22C74" w:rsidRPr="00B22C74">
        <w:rPr>
          <w:rFonts w:ascii="Times New Roman" w:hAnsi="Times New Roman" w:cs="Times New Roman"/>
          <w:sz w:val="28"/>
          <w:szCs w:val="28"/>
          <w:highlight w:val="yellow"/>
        </w:rPr>
        <w:t> 14, no. 2: 508. https://doi.org/10.3390/jcm14020508</w:t>
      </w:r>
    </w:p>
    <w:p w14:paraId="4DCDE433" w14:textId="77777777" w:rsidR="00C0157A" w:rsidRPr="009A1244" w:rsidRDefault="00C0157A" w:rsidP="00CB2A3F">
      <w:pPr>
        <w:spacing w:line="276" w:lineRule="auto"/>
        <w:ind w:left="720" w:hanging="720"/>
        <w:jc w:val="both"/>
        <w:rPr>
          <w:rFonts w:ascii="Times New Roman" w:hAnsi="Times New Roman" w:cs="Times New Roman"/>
          <w:sz w:val="28"/>
          <w:szCs w:val="28"/>
        </w:rPr>
      </w:pPr>
      <w:r w:rsidRPr="009A1244">
        <w:rPr>
          <w:rFonts w:ascii="Times New Roman" w:hAnsi="Times New Roman" w:cs="Times New Roman"/>
          <w:sz w:val="28"/>
          <w:szCs w:val="28"/>
        </w:rPr>
        <w:t xml:space="preserve">5. </w:t>
      </w:r>
      <w:r w:rsidRPr="009A1244">
        <w:rPr>
          <w:rFonts w:ascii="Times New Roman" w:hAnsi="Times New Roman" w:cs="Times New Roman"/>
          <w:sz w:val="28"/>
          <w:szCs w:val="28"/>
        </w:rPr>
        <w:tab/>
        <w:t xml:space="preserve">Ejim EC, </w:t>
      </w:r>
      <w:proofErr w:type="spellStart"/>
      <w:r w:rsidRPr="009A1244">
        <w:rPr>
          <w:rFonts w:ascii="Times New Roman" w:hAnsi="Times New Roman" w:cs="Times New Roman"/>
          <w:sz w:val="28"/>
          <w:szCs w:val="28"/>
        </w:rPr>
        <w:t>Anisiuba</w:t>
      </w:r>
      <w:proofErr w:type="spellEnd"/>
      <w:r w:rsidRPr="009A1244">
        <w:rPr>
          <w:rFonts w:ascii="Times New Roman" w:hAnsi="Times New Roman" w:cs="Times New Roman"/>
          <w:sz w:val="28"/>
          <w:szCs w:val="28"/>
        </w:rPr>
        <w:t xml:space="preserve"> BC, Ike SO, </w:t>
      </w:r>
      <w:proofErr w:type="spellStart"/>
      <w:r w:rsidRPr="009A1244">
        <w:rPr>
          <w:rFonts w:ascii="Times New Roman" w:hAnsi="Times New Roman" w:cs="Times New Roman"/>
          <w:sz w:val="28"/>
          <w:szCs w:val="28"/>
        </w:rPr>
        <w:t>Oguanobi</w:t>
      </w:r>
      <w:proofErr w:type="spellEnd"/>
      <w:r w:rsidRPr="009A1244">
        <w:rPr>
          <w:rFonts w:ascii="Times New Roman" w:hAnsi="Times New Roman" w:cs="Times New Roman"/>
          <w:sz w:val="28"/>
          <w:szCs w:val="28"/>
        </w:rPr>
        <w:t xml:space="preserve"> NI, Ubani-Ukoma C, Essien I, et al. Intra-cardiac masses in adults: A review of echocardiogram records at two echocardiographic laboratories in Enugu, South-East Nigeria. Nigerian Journal of Clinical Practice. 2013;16(4). </w:t>
      </w:r>
    </w:p>
    <w:p w14:paraId="6EB863AC" w14:textId="0FE169D6" w:rsidR="00C0157A" w:rsidRPr="009A1244" w:rsidRDefault="00C0157A" w:rsidP="00CB2A3F">
      <w:pPr>
        <w:spacing w:line="276" w:lineRule="auto"/>
        <w:ind w:left="720" w:hanging="720"/>
        <w:jc w:val="both"/>
        <w:rPr>
          <w:rFonts w:ascii="Times New Roman" w:hAnsi="Times New Roman" w:cs="Times New Roman"/>
          <w:sz w:val="28"/>
          <w:szCs w:val="28"/>
        </w:rPr>
      </w:pPr>
      <w:r w:rsidRPr="0099301B">
        <w:rPr>
          <w:rFonts w:ascii="Times New Roman" w:hAnsi="Times New Roman" w:cs="Times New Roman"/>
          <w:sz w:val="28"/>
          <w:szCs w:val="28"/>
          <w:highlight w:val="yellow"/>
        </w:rPr>
        <w:t xml:space="preserve">6. </w:t>
      </w:r>
      <w:r w:rsidRPr="0099301B">
        <w:rPr>
          <w:rFonts w:ascii="Times New Roman" w:hAnsi="Times New Roman" w:cs="Times New Roman"/>
          <w:sz w:val="28"/>
          <w:szCs w:val="28"/>
          <w:highlight w:val="yellow"/>
        </w:rPr>
        <w:tab/>
      </w:r>
      <w:proofErr w:type="spellStart"/>
      <w:r w:rsidR="0099301B" w:rsidRPr="0099301B">
        <w:rPr>
          <w:rFonts w:ascii="Times New Roman" w:hAnsi="Times New Roman" w:cs="Times New Roman"/>
          <w:sz w:val="28"/>
          <w:szCs w:val="28"/>
          <w:highlight w:val="yellow"/>
        </w:rPr>
        <w:t>Bendahmash</w:t>
      </w:r>
      <w:proofErr w:type="spellEnd"/>
      <w:r w:rsidR="0099301B" w:rsidRPr="0099301B">
        <w:rPr>
          <w:rFonts w:ascii="Times New Roman" w:hAnsi="Times New Roman" w:cs="Times New Roman"/>
          <w:sz w:val="28"/>
          <w:szCs w:val="28"/>
          <w:highlight w:val="yellow"/>
        </w:rPr>
        <w:t xml:space="preserve"> A, </w:t>
      </w:r>
      <w:proofErr w:type="spellStart"/>
      <w:r w:rsidR="0099301B" w:rsidRPr="0099301B">
        <w:rPr>
          <w:rFonts w:ascii="Times New Roman" w:hAnsi="Times New Roman" w:cs="Times New Roman"/>
          <w:sz w:val="28"/>
          <w:szCs w:val="28"/>
          <w:highlight w:val="yellow"/>
        </w:rPr>
        <w:t>Almanie</w:t>
      </w:r>
      <w:proofErr w:type="spellEnd"/>
      <w:r w:rsidR="0099301B" w:rsidRPr="0099301B">
        <w:rPr>
          <w:rFonts w:ascii="Times New Roman" w:hAnsi="Times New Roman" w:cs="Times New Roman"/>
          <w:sz w:val="28"/>
          <w:szCs w:val="28"/>
          <w:highlight w:val="yellow"/>
        </w:rPr>
        <w:t xml:space="preserve"> </w:t>
      </w:r>
      <w:proofErr w:type="spellStart"/>
      <w:proofErr w:type="gramStart"/>
      <w:r w:rsidR="0099301B" w:rsidRPr="0099301B">
        <w:rPr>
          <w:rFonts w:ascii="Times New Roman" w:hAnsi="Times New Roman" w:cs="Times New Roman"/>
          <w:sz w:val="28"/>
          <w:szCs w:val="28"/>
          <w:highlight w:val="yellow"/>
        </w:rPr>
        <w:t>S,Alwadai</w:t>
      </w:r>
      <w:proofErr w:type="spellEnd"/>
      <w:proofErr w:type="gramEnd"/>
      <w:r w:rsidR="0099301B" w:rsidRPr="0099301B">
        <w:rPr>
          <w:rFonts w:ascii="Times New Roman" w:hAnsi="Times New Roman" w:cs="Times New Roman"/>
          <w:sz w:val="28"/>
          <w:szCs w:val="28"/>
          <w:highlight w:val="yellow"/>
        </w:rPr>
        <w:t xml:space="preserve"> A. Intracardiac thrombus formation </w:t>
      </w:r>
      <w:proofErr w:type="spellStart"/>
      <w:r w:rsidR="0099301B" w:rsidRPr="0099301B">
        <w:rPr>
          <w:rFonts w:ascii="Times New Roman" w:hAnsi="Times New Roman" w:cs="Times New Roman"/>
          <w:sz w:val="28"/>
          <w:szCs w:val="28"/>
          <w:highlight w:val="yellow"/>
        </w:rPr>
        <w:t>andthromboembolic</w:t>
      </w:r>
      <w:proofErr w:type="spellEnd"/>
      <w:r w:rsidR="0099301B" w:rsidRPr="0099301B">
        <w:rPr>
          <w:rFonts w:ascii="Times New Roman" w:hAnsi="Times New Roman" w:cs="Times New Roman"/>
          <w:sz w:val="28"/>
          <w:szCs w:val="28"/>
          <w:highlight w:val="yellow"/>
        </w:rPr>
        <w:t xml:space="preserve"> events in children </w:t>
      </w:r>
      <w:proofErr w:type="spellStart"/>
      <w:r w:rsidR="0099301B" w:rsidRPr="0099301B">
        <w:rPr>
          <w:rFonts w:ascii="Times New Roman" w:hAnsi="Times New Roman" w:cs="Times New Roman"/>
          <w:sz w:val="28"/>
          <w:szCs w:val="28"/>
          <w:highlight w:val="yellow"/>
        </w:rPr>
        <w:t>withcardiomyopathies</w:t>
      </w:r>
      <w:proofErr w:type="spellEnd"/>
      <w:r w:rsidR="0099301B" w:rsidRPr="0099301B">
        <w:rPr>
          <w:rFonts w:ascii="Times New Roman" w:hAnsi="Times New Roman" w:cs="Times New Roman"/>
          <w:sz w:val="28"/>
          <w:szCs w:val="28"/>
          <w:highlight w:val="yellow"/>
        </w:rPr>
        <w:t xml:space="preserve">: A single-center case series. </w:t>
      </w:r>
      <w:proofErr w:type="spellStart"/>
      <w:r w:rsidR="0099301B" w:rsidRPr="0099301B">
        <w:rPr>
          <w:rFonts w:ascii="Times New Roman" w:hAnsi="Times New Roman" w:cs="Times New Roman"/>
          <w:sz w:val="28"/>
          <w:szCs w:val="28"/>
          <w:highlight w:val="yellow"/>
        </w:rPr>
        <w:t>ClinCase</w:t>
      </w:r>
      <w:proofErr w:type="spellEnd"/>
      <w:r w:rsidR="0099301B" w:rsidRPr="0099301B">
        <w:rPr>
          <w:rFonts w:ascii="Times New Roman" w:hAnsi="Times New Roman" w:cs="Times New Roman"/>
          <w:sz w:val="28"/>
          <w:szCs w:val="28"/>
          <w:highlight w:val="yellow"/>
        </w:rPr>
        <w:t xml:space="preserve"> Rep. </w:t>
      </w:r>
      <w:proofErr w:type="gramStart"/>
      <w:r w:rsidR="0099301B" w:rsidRPr="0099301B">
        <w:rPr>
          <w:rFonts w:ascii="Times New Roman" w:hAnsi="Times New Roman" w:cs="Times New Roman"/>
          <w:sz w:val="28"/>
          <w:szCs w:val="28"/>
          <w:highlight w:val="yellow"/>
        </w:rPr>
        <w:t>2020;8:1693</w:t>
      </w:r>
      <w:proofErr w:type="gramEnd"/>
      <w:r w:rsidR="0099301B" w:rsidRPr="0099301B">
        <w:rPr>
          <w:rFonts w:ascii="Times New Roman" w:hAnsi="Times New Roman" w:cs="Times New Roman"/>
          <w:sz w:val="28"/>
          <w:szCs w:val="28"/>
          <w:highlight w:val="yellow"/>
        </w:rPr>
        <w:t>–1697. https://doi.org/10.1002/ccr3.2972</w:t>
      </w:r>
    </w:p>
    <w:p w14:paraId="15FA8B1D" w14:textId="77777777" w:rsidR="00F869BF" w:rsidRPr="009A1244" w:rsidRDefault="00C0157A" w:rsidP="00CB2A3F">
      <w:pPr>
        <w:spacing w:line="276" w:lineRule="auto"/>
        <w:ind w:left="720" w:hanging="720"/>
        <w:jc w:val="both"/>
        <w:rPr>
          <w:rFonts w:ascii="Times New Roman" w:hAnsi="Times New Roman" w:cs="Times New Roman"/>
          <w:sz w:val="28"/>
          <w:szCs w:val="28"/>
        </w:rPr>
      </w:pPr>
      <w:r w:rsidRPr="009A1244">
        <w:rPr>
          <w:rFonts w:ascii="Times New Roman" w:hAnsi="Times New Roman" w:cs="Times New Roman"/>
          <w:sz w:val="28"/>
          <w:szCs w:val="28"/>
        </w:rPr>
        <w:t xml:space="preserve">7. </w:t>
      </w:r>
      <w:r w:rsidRPr="009A1244">
        <w:rPr>
          <w:rFonts w:ascii="Times New Roman" w:hAnsi="Times New Roman" w:cs="Times New Roman"/>
          <w:sz w:val="28"/>
          <w:szCs w:val="28"/>
        </w:rPr>
        <w:tab/>
      </w:r>
      <w:proofErr w:type="spellStart"/>
      <w:r w:rsidR="00F869BF" w:rsidRPr="009A1244">
        <w:rPr>
          <w:rFonts w:ascii="Times New Roman" w:hAnsi="Times New Roman" w:cs="Times New Roman"/>
          <w:sz w:val="28"/>
          <w:szCs w:val="28"/>
        </w:rPr>
        <w:t>Damorou</w:t>
      </w:r>
      <w:proofErr w:type="spellEnd"/>
      <w:r w:rsidR="00F869BF" w:rsidRPr="009A1244">
        <w:rPr>
          <w:rFonts w:ascii="Times New Roman" w:hAnsi="Times New Roman" w:cs="Times New Roman"/>
          <w:sz w:val="28"/>
          <w:szCs w:val="28"/>
        </w:rPr>
        <w:t xml:space="preserve"> F, </w:t>
      </w:r>
      <w:proofErr w:type="spellStart"/>
      <w:r w:rsidR="00F869BF" w:rsidRPr="009A1244">
        <w:rPr>
          <w:rFonts w:ascii="Times New Roman" w:hAnsi="Times New Roman" w:cs="Times New Roman"/>
          <w:sz w:val="28"/>
          <w:szCs w:val="28"/>
        </w:rPr>
        <w:t>Pessinaba</w:t>
      </w:r>
      <w:proofErr w:type="spellEnd"/>
      <w:r w:rsidR="00F869BF" w:rsidRPr="009A1244">
        <w:rPr>
          <w:rFonts w:ascii="Times New Roman" w:hAnsi="Times New Roman" w:cs="Times New Roman"/>
          <w:sz w:val="28"/>
          <w:szCs w:val="28"/>
        </w:rPr>
        <w:t xml:space="preserve"> S, </w:t>
      </w:r>
      <w:proofErr w:type="spellStart"/>
      <w:r w:rsidR="00F869BF" w:rsidRPr="009A1244">
        <w:rPr>
          <w:rFonts w:ascii="Times New Roman" w:hAnsi="Times New Roman" w:cs="Times New Roman"/>
          <w:sz w:val="28"/>
          <w:szCs w:val="28"/>
        </w:rPr>
        <w:t>Yayehd</w:t>
      </w:r>
      <w:proofErr w:type="spellEnd"/>
      <w:r w:rsidR="00F869BF" w:rsidRPr="009A1244">
        <w:rPr>
          <w:rFonts w:ascii="Times New Roman" w:hAnsi="Times New Roman" w:cs="Times New Roman"/>
          <w:sz w:val="28"/>
          <w:szCs w:val="28"/>
        </w:rPr>
        <w:t xml:space="preserve"> K, </w:t>
      </w:r>
      <w:proofErr w:type="spellStart"/>
      <w:r w:rsidR="00F869BF" w:rsidRPr="009A1244">
        <w:rPr>
          <w:rFonts w:ascii="Times New Roman" w:hAnsi="Times New Roman" w:cs="Times New Roman"/>
          <w:sz w:val="28"/>
          <w:szCs w:val="28"/>
        </w:rPr>
        <w:t>Soussou</w:t>
      </w:r>
      <w:proofErr w:type="spellEnd"/>
      <w:r w:rsidR="00F869BF" w:rsidRPr="009A1244">
        <w:rPr>
          <w:rFonts w:ascii="Times New Roman" w:hAnsi="Times New Roman" w:cs="Times New Roman"/>
          <w:sz w:val="28"/>
          <w:szCs w:val="28"/>
        </w:rPr>
        <w:t xml:space="preserve"> B. Non-infectious intracardiac masses. Diagnostic and therapeutic aspects in Lomé. Journal of Scientific Research of the University of Lomé. 2009; 11(2).</w:t>
      </w:r>
    </w:p>
    <w:p w14:paraId="41AF3AA3" w14:textId="402CE92F" w:rsidR="00C0157A" w:rsidRPr="009A1244" w:rsidRDefault="00C0157A" w:rsidP="00CB2A3F">
      <w:pPr>
        <w:spacing w:line="276" w:lineRule="auto"/>
        <w:ind w:left="720" w:hanging="720"/>
        <w:jc w:val="both"/>
        <w:rPr>
          <w:rFonts w:ascii="Times New Roman" w:hAnsi="Times New Roman" w:cs="Times New Roman"/>
          <w:sz w:val="28"/>
          <w:szCs w:val="28"/>
        </w:rPr>
      </w:pPr>
      <w:r w:rsidRPr="009A1244">
        <w:rPr>
          <w:rFonts w:ascii="Times New Roman" w:hAnsi="Times New Roman" w:cs="Times New Roman"/>
          <w:sz w:val="28"/>
          <w:szCs w:val="28"/>
        </w:rPr>
        <w:t xml:space="preserve">8. </w:t>
      </w:r>
      <w:r w:rsidRPr="009A1244">
        <w:rPr>
          <w:rFonts w:ascii="Times New Roman" w:hAnsi="Times New Roman" w:cs="Times New Roman"/>
          <w:sz w:val="28"/>
          <w:szCs w:val="28"/>
        </w:rPr>
        <w:tab/>
        <w:t xml:space="preserve">Elbey MA, Akdag S, Kalkan ME, Kaya MG, Sayin MR, </w:t>
      </w:r>
      <w:proofErr w:type="spellStart"/>
      <w:r w:rsidRPr="009A1244">
        <w:rPr>
          <w:rFonts w:ascii="Times New Roman" w:hAnsi="Times New Roman" w:cs="Times New Roman"/>
          <w:sz w:val="28"/>
          <w:szCs w:val="28"/>
        </w:rPr>
        <w:t>Karapinar</w:t>
      </w:r>
      <w:proofErr w:type="spellEnd"/>
      <w:r w:rsidRPr="009A1244">
        <w:rPr>
          <w:rFonts w:ascii="Times New Roman" w:hAnsi="Times New Roman" w:cs="Times New Roman"/>
          <w:sz w:val="28"/>
          <w:szCs w:val="28"/>
        </w:rPr>
        <w:t xml:space="preserve"> H, et al. A </w:t>
      </w:r>
      <w:proofErr w:type="spellStart"/>
      <w:r w:rsidRPr="009A1244">
        <w:rPr>
          <w:rFonts w:ascii="Times New Roman" w:hAnsi="Times New Roman" w:cs="Times New Roman"/>
          <w:sz w:val="28"/>
          <w:szCs w:val="28"/>
        </w:rPr>
        <w:t>multicenter</w:t>
      </w:r>
      <w:proofErr w:type="spellEnd"/>
      <w:r w:rsidRPr="009A1244">
        <w:rPr>
          <w:rFonts w:ascii="Times New Roman" w:hAnsi="Times New Roman" w:cs="Times New Roman"/>
          <w:sz w:val="28"/>
          <w:szCs w:val="28"/>
        </w:rPr>
        <w:t xml:space="preserve"> study on experience of 13 tertiary hospitals in Turkey in patients with infective endocarditis. Anadolu </w:t>
      </w:r>
      <w:proofErr w:type="spellStart"/>
      <w:r w:rsidRPr="009A1244">
        <w:rPr>
          <w:rFonts w:ascii="Times New Roman" w:hAnsi="Times New Roman" w:cs="Times New Roman"/>
          <w:sz w:val="28"/>
          <w:szCs w:val="28"/>
        </w:rPr>
        <w:t>Kardiyol</w:t>
      </w:r>
      <w:proofErr w:type="spellEnd"/>
      <w:r w:rsidRPr="009A1244">
        <w:rPr>
          <w:rFonts w:ascii="Times New Roman" w:hAnsi="Times New Roman" w:cs="Times New Roman"/>
          <w:sz w:val="28"/>
          <w:szCs w:val="28"/>
        </w:rPr>
        <w:t xml:space="preserve"> Derg. 2013 </w:t>
      </w:r>
    </w:p>
    <w:p w14:paraId="5B8CB532" w14:textId="180D421D" w:rsidR="0052690D" w:rsidRPr="009A1244" w:rsidRDefault="00C0157A" w:rsidP="00CB2A3F">
      <w:pPr>
        <w:spacing w:line="276" w:lineRule="auto"/>
        <w:ind w:left="720" w:hanging="720"/>
        <w:jc w:val="both"/>
        <w:rPr>
          <w:rFonts w:ascii="Times New Roman" w:hAnsi="Times New Roman" w:cs="Times New Roman"/>
          <w:sz w:val="28"/>
          <w:szCs w:val="28"/>
        </w:rPr>
      </w:pPr>
      <w:r w:rsidRPr="009A1244">
        <w:rPr>
          <w:rFonts w:ascii="Times New Roman" w:hAnsi="Times New Roman" w:cs="Times New Roman"/>
          <w:sz w:val="28"/>
          <w:szCs w:val="28"/>
        </w:rPr>
        <w:t xml:space="preserve">9. </w:t>
      </w:r>
      <w:r w:rsidRPr="009A1244">
        <w:rPr>
          <w:rFonts w:ascii="Times New Roman" w:hAnsi="Times New Roman" w:cs="Times New Roman"/>
          <w:sz w:val="28"/>
          <w:szCs w:val="28"/>
        </w:rPr>
        <w:tab/>
      </w:r>
      <w:r w:rsidR="00F869BF" w:rsidRPr="009A1244">
        <w:rPr>
          <w:rFonts w:ascii="Times New Roman" w:hAnsi="Times New Roman" w:cs="Times New Roman"/>
          <w:sz w:val="28"/>
          <w:szCs w:val="28"/>
        </w:rPr>
        <w:t xml:space="preserve">Ralamboson S. A., </w:t>
      </w:r>
      <w:proofErr w:type="spellStart"/>
      <w:r w:rsidR="00F869BF" w:rsidRPr="009A1244">
        <w:rPr>
          <w:rFonts w:ascii="Times New Roman" w:hAnsi="Times New Roman" w:cs="Times New Roman"/>
          <w:sz w:val="28"/>
          <w:szCs w:val="28"/>
        </w:rPr>
        <w:t>Miandrisoa</w:t>
      </w:r>
      <w:proofErr w:type="spellEnd"/>
      <w:r w:rsidR="00F869BF" w:rsidRPr="009A1244">
        <w:rPr>
          <w:rFonts w:ascii="Times New Roman" w:hAnsi="Times New Roman" w:cs="Times New Roman"/>
          <w:sz w:val="28"/>
          <w:szCs w:val="28"/>
        </w:rPr>
        <w:t xml:space="preserve"> R. M., Riel A., </w:t>
      </w:r>
      <w:proofErr w:type="spellStart"/>
      <w:r w:rsidR="00F869BF" w:rsidRPr="009A1244">
        <w:rPr>
          <w:rFonts w:ascii="Times New Roman" w:hAnsi="Times New Roman" w:cs="Times New Roman"/>
          <w:sz w:val="28"/>
          <w:szCs w:val="28"/>
        </w:rPr>
        <w:t>Ravaoavy</w:t>
      </w:r>
      <w:proofErr w:type="spellEnd"/>
      <w:r w:rsidR="00F869BF" w:rsidRPr="009A1244">
        <w:rPr>
          <w:rFonts w:ascii="Times New Roman" w:hAnsi="Times New Roman" w:cs="Times New Roman"/>
          <w:sz w:val="28"/>
          <w:szCs w:val="28"/>
        </w:rPr>
        <w:t xml:space="preserve"> H, Rakotomanga D., </w:t>
      </w:r>
      <w:proofErr w:type="spellStart"/>
      <w:r w:rsidR="00F869BF" w:rsidRPr="009A1244">
        <w:rPr>
          <w:rFonts w:ascii="Times New Roman" w:hAnsi="Times New Roman" w:cs="Times New Roman"/>
          <w:sz w:val="28"/>
          <w:szCs w:val="28"/>
        </w:rPr>
        <w:t>Rajomarison</w:t>
      </w:r>
      <w:proofErr w:type="spellEnd"/>
      <w:r w:rsidR="00F869BF" w:rsidRPr="009A1244">
        <w:rPr>
          <w:rFonts w:ascii="Times New Roman" w:hAnsi="Times New Roman" w:cs="Times New Roman"/>
          <w:sz w:val="28"/>
          <w:szCs w:val="28"/>
        </w:rPr>
        <w:t xml:space="preserve"> M., Heno P., Rakotoarimanana S. Epidemiological-clinical and </w:t>
      </w:r>
      <w:r w:rsidR="00F869BF" w:rsidRPr="009A1244">
        <w:rPr>
          <w:rFonts w:ascii="Times New Roman" w:hAnsi="Times New Roman" w:cs="Times New Roman"/>
          <w:sz w:val="28"/>
          <w:szCs w:val="28"/>
        </w:rPr>
        <w:lastRenderedPageBreak/>
        <w:t xml:space="preserve">ultrasound aspects of intracavitary cardiac thrombi seen at the </w:t>
      </w:r>
      <w:proofErr w:type="spellStart"/>
      <w:r w:rsidR="00F869BF" w:rsidRPr="009A1244">
        <w:rPr>
          <w:rFonts w:ascii="Times New Roman" w:hAnsi="Times New Roman" w:cs="Times New Roman"/>
          <w:sz w:val="28"/>
          <w:szCs w:val="28"/>
        </w:rPr>
        <w:t>Soaviandriana</w:t>
      </w:r>
      <w:proofErr w:type="spellEnd"/>
      <w:r w:rsidR="00F869BF" w:rsidRPr="009A1244">
        <w:rPr>
          <w:rFonts w:ascii="Times New Roman" w:hAnsi="Times New Roman" w:cs="Times New Roman"/>
          <w:sz w:val="28"/>
          <w:szCs w:val="28"/>
        </w:rPr>
        <w:t xml:space="preserve"> Hospital Center. Rev. </w:t>
      </w:r>
      <w:proofErr w:type="spellStart"/>
      <w:r w:rsidR="00F869BF" w:rsidRPr="009A1244">
        <w:rPr>
          <w:rFonts w:ascii="Times New Roman" w:hAnsi="Times New Roman" w:cs="Times New Roman"/>
          <w:sz w:val="28"/>
          <w:szCs w:val="28"/>
        </w:rPr>
        <w:t>méd</w:t>
      </w:r>
      <w:proofErr w:type="spellEnd"/>
      <w:r w:rsidR="00F869BF" w:rsidRPr="009A1244">
        <w:rPr>
          <w:rFonts w:ascii="Times New Roman" w:hAnsi="Times New Roman" w:cs="Times New Roman"/>
          <w:sz w:val="28"/>
          <w:szCs w:val="28"/>
        </w:rPr>
        <w:t>. Madag. 2011; 1: 58-62.</w:t>
      </w:r>
      <w:r w:rsidRPr="009A1244">
        <w:rPr>
          <w:rFonts w:ascii="Times New Roman" w:hAnsi="Times New Roman" w:cs="Times New Roman"/>
          <w:sz w:val="28"/>
          <w:szCs w:val="28"/>
        </w:rPr>
        <w:t xml:space="preserve">  </w:t>
      </w:r>
    </w:p>
    <w:p w14:paraId="74FC300D" w14:textId="5E18C877" w:rsidR="00C0157A" w:rsidRPr="009A1244" w:rsidRDefault="00C0157A" w:rsidP="00CB2A3F">
      <w:pPr>
        <w:spacing w:line="276" w:lineRule="auto"/>
        <w:ind w:left="720" w:hanging="720"/>
        <w:jc w:val="both"/>
        <w:rPr>
          <w:rFonts w:ascii="Times New Roman" w:hAnsi="Times New Roman" w:cs="Times New Roman"/>
          <w:sz w:val="28"/>
          <w:szCs w:val="28"/>
        </w:rPr>
      </w:pPr>
      <w:r w:rsidRPr="00135DBA">
        <w:rPr>
          <w:rFonts w:ascii="Times New Roman" w:hAnsi="Times New Roman" w:cs="Times New Roman"/>
          <w:sz w:val="28"/>
          <w:szCs w:val="28"/>
          <w:highlight w:val="yellow"/>
        </w:rPr>
        <w:t xml:space="preserve">10. </w:t>
      </w:r>
      <w:r w:rsidR="00135DBA" w:rsidRPr="00135DBA">
        <w:rPr>
          <w:rFonts w:ascii="Times New Roman" w:hAnsi="Times New Roman" w:cs="Times New Roman"/>
          <w:sz w:val="28"/>
          <w:szCs w:val="28"/>
          <w:highlight w:val="yellow"/>
        </w:rPr>
        <w:t>Huang L, Zhao X, Wang J, et al. Clinical Profile, Treatment, and Prognosis of Left Ventricular Thrombus in Dilated Cardiomyopathy. </w:t>
      </w:r>
      <w:r w:rsidR="00135DBA" w:rsidRPr="00135DBA">
        <w:rPr>
          <w:rFonts w:ascii="Times New Roman" w:hAnsi="Times New Roman" w:cs="Times New Roman"/>
          <w:i/>
          <w:iCs/>
          <w:sz w:val="28"/>
          <w:szCs w:val="28"/>
          <w:highlight w:val="yellow"/>
        </w:rPr>
        <w:t>Clinical and Applied Thrombosis/</w:t>
      </w:r>
      <w:proofErr w:type="spellStart"/>
      <w:r w:rsidR="00135DBA" w:rsidRPr="00135DBA">
        <w:rPr>
          <w:rFonts w:ascii="Times New Roman" w:hAnsi="Times New Roman" w:cs="Times New Roman"/>
          <w:i/>
          <w:iCs/>
          <w:sz w:val="28"/>
          <w:szCs w:val="28"/>
          <w:highlight w:val="yellow"/>
        </w:rPr>
        <w:t>Hemostasis</w:t>
      </w:r>
      <w:proofErr w:type="spellEnd"/>
      <w:r w:rsidR="00135DBA" w:rsidRPr="00135DBA">
        <w:rPr>
          <w:rFonts w:ascii="Times New Roman" w:hAnsi="Times New Roman" w:cs="Times New Roman"/>
          <w:sz w:val="28"/>
          <w:szCs w:val="28"/>
          <w:highlight w:val="yellow"/>
        </w:rPr>
        <w:t>. 2023;29. doi:</w:t>
      </w:r>
      <w:hyperlink r:id="rId7" w:history="1">
        <w:r w:rsidR="00135DBA" w:rsidRPr="00135DBA">
          <w:rPr>
            <w:rStyle w:val="Lienhypertexte"/>
            <w:rFonts w:ascii="Times New Roman" w:hAnsi="Times New Roman" w:cs="Times New Roman"/>
            <w:sz w:val="28"/>
            <w:szCs w:val="28"/>
            <w:highlight w:val="yellow"/>
          </w:rPr>
          <w:t>10.1177/10760296231179683</w:t>
        </w:r>
      </w:hyperlink>
    </w:p>
    <w:p w14:paraId="748741C0" w14:textId="61396645" w:rsidR="0052690D" w:rsidRPr="009A1244" w:rsidRDefault="00C0157A" w:rsidP="00CB2A3F">
      <w:pPr>
        <w:spacing w:line="276" w:lineRule="auto"/>
        <w:ind w:left="720" w:hanging="720"/>
        <w:jc w:val="both"/>
        <w:rPr>
          <w:rFonts w:ascii="Times New Roman" w:hAnsi="Times New Roman" w:cs="Times New Roman"/>
          <w:sz w:val="28"/>
          <w:szCs w:val="28"/>
        </w:rPr>
      </w:pPr>
      <w:r w:rsidRPr="009A1244">
        <w:rPr>
          <w:rFonts w:ascii="Times New Roman" w:hAnsi="Times New Roman" w:cs="Times New Roman"/>
          <w:sz w:val="28"/>
          <w:szCs w:val="28"/>
        </w:rPr>
        <w:t xml:space="preserve">11. Jassal DS, </w:t>
      </w:r>
      <w:proofErr w:type="spellStart"/>
      <w:r w:rsidRPr="009A1244">
        <w:rPr>
          <w:rFonts w:ascii="Times New Roman" w:hAnsi="Times New Roman" w:cs="Times New Roman"/>
          <w:sz w:val="28"/>
          <w:szCs w:val="28"/>
        </w:rPr>
        <w:t>Aminbakhsh</w:t>
      </w:r>
      <w:proofErr w:type="spellEnd"/>
      <w:r w:rsidRPr="009A1244">
        <w:rPr>
          <w:rFonts w:ascii="Times New Roman" w:hAnsi="Times New Roman" w:cs="Times New Roman"/>
          <w:sz w:val="28"/>
          <w:szCs w:val="28"/>
        </w:rPr>
        <w:t xml:space="preserve"> A, Fang T, Shaikh N, </w:t>
      </w:r>
      <w:proofErr w:type="spellStart"/>
      <w:r w:rsidRPr="009A1244">
        <w:rPr>
          <w:rFonts w:ascii="Times New Roman" w:hAnsi="Times New Roman" w:cs="Times New Roman"/>
          <w:sz w:val="28"/>
          <w:szCs w:val="28"/>
        </w:rPr>
        <w:t>Embil</w:t>
      </w:r>
      <w:proofErr w:type="spellEnd"/>
      <w:r w:rsidRPr="009A1244">
        <w:rPr>
          <w:rFonts w:ascii="Times New Roman" w:hAnsi="Times New Roman" w:cs="Times New Roman"/>
          <w:sz w:val="28"/>
          <w:szCs w:val="28"/>
        </w:rPr>
        <w:t xml:space="preserve"> JM, Mackenzie GS, et al. Diagnostic value of harmonic transthoracic echocardiography in native valve infective endocarditis: comparison with </w:t>
      </w:r>
      <w:proofErr w:type="spellStart"/>
      <w:r w:rsidRPr="009A1244">
        <w:rPr>
          <w:rFonts w:ascii="Times New Roman" w:hAnsi="Times New Roman" w:cs="Times New Roman"/>
          <w:sz w:val="28"/>
          <w:szCs w:val="28"/>
        </w:rPr>
        <w:t>transesophageal</w:t>
      </w:r>
      <w:proofErr w:type="spellEnd"/>
      <w:r w:rsidRPr="009A1244">
        <w:rPr>
          <w:rFonts w:ascii="Times New Roman" w:hAnsi="Times New Roman" w:cs="Times New Roman"/>
          <w:sz w:val="28"/>
          <w:szCs w:val="28"/>
        </w:rPr>
        <w:t xml:space="preserve"> echocardiography. Cardiovasc Ultrasound. 2007;5(1):20. </w:t>
      </w:r>
    </w:p>
    <w:p w14:paraId="798E5452" w14:textId="77777777" w:rsidR="0010570C" w:rsidRPr="0010570C" w:rsidRDefault="00C0157A" w:rsidP="00CB2A3F">
      <w:pPr>
        <w:spacing w:line="276" w:lineRule="auto"/>
        <w:ind w:left="720" w:hanging="720"/>
        <w:jc w:val="both"/>
        <w:rPr>
          <w:rFonts w:ascii="Times New Roman" w:hAnsi="Times New Roman" w:cs="Times New Roman"/>
          <w:sz w:val="28"/>
          <w:szCs w:val="28"/>
          <w:lang w:val="fr-FR"/>
        </w:rPr>
      </w:pPr>
      <w:r w:rsidRPr="00E85F6A">
        <w:rPr>
          <w:rFonts w:ascii="Times New Roman" w:hAnsi="Times New Roman" w:cs="Times New Roman"/>
          <w:sz w:val="28"/>
          <w:szCs w:val="28"/>
          <w:highlight w:val="yellow"/>
        </w:rPr>
        <w:t xml:space="preserve">12. </w:t>
      </w:r>
      <w:r w:rsidR="0010570C" w:rsidRPr="00E85F6A">
        <w:rPr>
          <w:rFonts w:ascii="Times New Roman" w:hAnsi="Times New Roman" w:cs="Times New Roman"/>
          <w:sz w:val="28"/>
          <w:szCs w:val="28"/>
          <w:highlight w:val="yellow"/>
          <w:lang w:val="fr-FR"/>
        </w:rPr>
        <w:t xml:space="preserve">I. </w:t>
      </w:r>
      <w:proofErr w:type="spellStart"/>
      <w:r w:rsidR="0010570C" w:rsidRPr="00E85F6A">
        <w:rPr>
          <w:rFonts w:ascii="Times New Roman" w:hAnsi="Times New Roman" w:cs="Times New Roman"/>
          <w:sz w:val="28"/>
          <w:szCs w:val="28"/>
          <w:highlight w:val="yellow"/>
          <w:lang w:val="fr-FR"/>
        </w:rPr>
        <w:t>Guettaf</w:t>
      </w:r>
      <w:proofErr w:type="spellEnd"/>
      <w:r w:rsidR="0010570C" w:rsidRPr="00E85F6A">
        <w:rPr>
          <w:rFonts w:ascii="Times New Roman" w:hAnsi="Times New Roman" w:cs="Times New Roman"/>
          <w:sz w:val="28"/>
          <w:szCs w:val="28"/>
          <w:highlight w:val="yellow"/>
          <w:lang w:val="fr-FR"/>
        </w:rPr>
        <w:t xml:space="preserve">, F. </w:t>
      </w:r>
      <w:proofErr w:type="spellStart"/>
      <w:r w:rsidR="0010570C" w:rsidRPr="00E85F6A">
        <w:rPr>
          <w:rFonts w:ascii="Times New Roman" w:hAnsi="Times New Roman" w:cs="Times New Roman"/>
          <w:sz w:val="28"/>
          <w:szCs w:val="28"/>
          <w:highlight w:val="yellow"/>
          <w:lang w:val="fr-FR"/>
        </w:rPr>
        <w:t>Menzou</w:t>
      </w:r>
      <w:proofErr w:type="spellEnd"/>
      <w:r w:rsidR="0010570C" w:rsidRPr="00E85F6A">
        <w:rPr>
          <w:rFonts w:ascii="Times New Roman" w:hAnsi="Times New Roman" w:cs="Times New Roman"/>
          <w:sz w:val="28"/>
          <w:szCs w:val="28"/>
          <w:highlight w:val="yellow"/>
          <w:lang w:val="fr-FR"/>
        </w:rPr>
        <w:t xml:space="preserve">, M. </w:t>
      </w:r>
      <w:proofErr w:type="spellStart"/>
      <w:r w:rsidR="0010570C" w:rsidRPr="00E85F6A">
        <w:rPr>
          <w:rFonts w:ascii="Times New Roman" w:hAnsi="Times New Roman" w:cs="Times New Roman"/>
          <w:sz w:val="28"/>
          <w:szCs w:val="28"/>
          <w:highlight w:val="yellow"/>
          <w:lang w:val="fr-FR"/>
        </w:rPr>
        <w:t>Fissah</w:t>
      </w:r>
      <w:proofErr w:type="spellEnd"/>
      <w:r w:rsidR="0010570C" w:rsidRPr="00E85F6A">
        <w:rPr>
          <w:rFonts w:ascii="Times New Roman" w:hAnsi="Times New Roman" w:cs="Times New Roman"/>
          <w:sz w:val="28"/>
          <w:szCs w:val="28"/>
          <w:highlight w:val="yellow"/>
          <w:lang w:val="fr-FR"/>
        </w:rPr>
        <w:t xml:space="preserve">, S. </w:t>
      </w:r>
      <w:proofErr w:type="spellStart"/>
      <w:r w:rsidR="0010570C" w:rsidRPr="00E85F6A">
        <w:rPr>
          <w:rFonts w:ascii="Times New Roman" w:hAnsi="Times New Roman" w:cs="Times New Roman"/>
          <w:sz w:val="28"/>
          <w:szCs w:val="28"/>
          <w:highlight w:val="yellow"/>
          <w:lang w:val="fr-FR"/>
        </w:rPr>
        <w:t>Taharboucht</w:t>
      </w:r>
      <w:proofErr w:type="spellEnd"/>
      <w:r w:rsidR="0010570C" w:rsidRPr="00E85F6A">
        <w:rPr>
          <w:rFonts w:ascii="Times New Roman" w:hAnsi="Times New Roman" w:cs="Times New Roman"/>
          <w:sz w:val="28"/>
          <w:szCs w:val="28"/>
          <w:highlight w:val="yellow"/>
          <w:lang w:val="fr-FR"/>
        </w:rPr>
        <w:t xml:space="preserve">, M. </w:t>
      </w:r>
      <w:proofErr w:type="spellStart"/>
      <w:r w:rsidR="0010570C" w:rsidRPr="00E85F6A">
        <w:rPr>
          <w:rFonts w:ascii="Times New Roman" w:hAnsi="Times New Roman" w:cs="Times New Roman"/>
          <w:sz w:val="28"/>
          <w:szCs w:val="28"/>
          <w:highlight w:val="yellow"/>
          <w:lang w:val="fr-FR"/>
        </w:rPr>
        <w:t>Djouhri</w:t>
      </w:r>
      <w:proofErr w:type="spellEnd"/>
      <w:r w:rsidR="0010570C" w:rsidRPr="00E85F6A">
        <w:rPr>
          <w:rFonts w:ascii="Times New Roman" w:hAnsi="Times New Roman" w:cs="Times New Roman"/>
          <w:sz w:val="28"/>
          <w:szCs w:val="28"/>
          <w:highlight w:val="yellow"/>
          <w:lang w:val="fr-FR"/>
        </w:rPr>
        <w:t xml:space="preserve">, L. </w:t>
      </w:r>
      <w:proofErr w:type="spellStart"/>
      <w:r w:rsidR="0010570C" w:rsidRPr="00E85F6A">
        <w:rPr>
          <w:rFonts w:ascii="Times New Roman" w:hAnsi="Times New Roman" w:cs="Times New Roman"/>
          <w:sz w:val="28"/>
          <w:szCs w:val="28"/>
          <w:highlight w:val="yellow"/>
          <w:lang w:val="fr-FR"/>
        </w:rPr>
        <w:t>Talbi</w:t>
      </w:r>
      <w:proofErr w:type="spellEnd"/>
      <w:r w:rsidR="0010570C" w:rsidRPr="00E85F6A">
        <w:rPr>
          <w:rFonts w:ascii="Times New Roman" w:hAnsi="Times New Roman" w:cs="Times New Roman"/>
          <w:sz w:val="28"/>
          <w:szCs w:val="28"/>
          <w:highlight w:val="yellow"/>
          <w:lang w:val="fr-FR"/>
        </w:rPr>
        <w:t xml:space="preserve">, A. </w:t>
      </w:r>
      <w:proofErr w:type="spellStart"/>
      <w:r w:rsidR="0010570C" w:rsidRPr="00E85F6A">
        <w:rPr>
          <w:rFonts w:ascii="Times New Roman" w:hAnsi="Times New Roman" w:cs="Times New Roman"/>
          <w:sz w:val="28"/>
          <w:szCs w:val="28"/>
          <w:highlight w:val="yellow"/>
          <w:lang w:val="fr-FR"/>
        </w:rPr>
        <w:t>Chibane</w:t>
      </w:r>
      <w:proofErr w:type="spellEnd"/>
      <w:r w:rsidR="0010570C" w:rsidRPr="00E85F6A">
        <w:rPr>
          <w:rFonts w:ascii="Times New Roman" w:hAnsi="Times New Roman" w:cs="Times New Roman"/>
          <w:sz w:val="28"/>
          <w:szCs w:val="28"/>
          <w:highlight w:val="yellow"/>
          <w:lang w:val="fr-FR"/>
        </w:rPr>
        <w:t xml:space="preserve">, Thrombus intracardiaque en médecine </w:t>
      </w:r>
      <w:proofErr w:type="gramStart"/>
      <w:r w:rsidR="0010570C" w:rsidRPr="00E85F6A">
        <w:rPr>
          <w:rFonts w:ascii="Times New Roman" w:hAnsi="Times New Roman" w:cs="Times New Roman"/>
          <w:sz w:val="28"/>
          <w:szCs w:val="28"/>
          <w:highlight w:val="yellow"/>
          <w:lang w:val="fr-FR"/>
        </w:rPr>
        <w:t>interne :</w:t>
      </w:r>
      <w:proofErr w:type="gramEnd"/>
      <w:r w:rsidR="0010570C" w:rsidRPr="00E85F6A">
        <w:rPr>
          <w:rFonts w:ascii="Times New Roman" w:hAnsi="Times New Roman" w:cs="Times New Roman"/>
          <w:sz w:val="28"/>
          <w:szCs w:val="28"/>
          <w:highlight w:val="yellow"/>
          <w:lang w:val="fr-FR"/>
        </w:rPr>
        <w:t xml:space="preserve"> étude descriptive d’une série hospitalière, La Revue de Médecine Interne, 45(1) 2024, 236-A237,</w:t>
      </w:r>
    </w:p>
    <w:p w14:paraId="678624F6" w14:textId="77777777" w:rsidR="0099301B" w:rsidRDefault="00F869BF" w:rsidP="00CB2A3F">
      <w:pPr>
        <w:spacing w:line="276" w:lineRule="auto"/>
        <w:ind w:left="720" w:hanging="720"/>
        <w:jc w:val="both"/>
        <w:rPr>
          <w:rFonts w:ascii="Times New Roman" w:hAnsi="Times New Roman" w:cs="Times New Roman"/>
          <w:sz w:val="28"/>
          <w:szCs w:val="28"/>
        </w:rPr>
      </w:pPr>
      <w:r w:rsidRPr="009A1244">
        <w:rPr>
          <w:rFonts w:ascii="Times New Roman" w:hAnsi="Times New Roman" w:cs="Times New Roman"/>
          <w:sz w:val="28"/>
          <w:szCs w:val="28"/>
        </w:rPr>
        <w:t xml:space="preserve">13. </w:t>
      </w:r>
      <w:proofErr w:type="spellStart"/>
      <w:r w:rsidRPr="009A1244">
        <w:rPr>
          <w:rFonts w:ascii="Times New Roman" w:hAnsi="Times New Roman" w:cs="Times New Roman"/>
          <w:sz w:val="28"/>
          <w:szCs w:val="28"/>
        </w:rPr>
        <w:t>Benyounes</w:t>
      </w:r>
      <w:proofErr w:type="spellEnd"/>
      <w:r w:rsidRPr="009A1244">
        <w:rPr>
          <w:rFonts w:ascii="Times New Roman" w:hAnsi="Times New Roman" w:cs="Times New Roman"/>
          <w:sz w:val="28"/>
          <w:szCs w:val="28"/>
        </w:rPr>
        <w:t xml:space="preserve"> N., </w:t>
      </w:r>
      <w:proofErr w:type="spellStart"/>
      <w:r w:rsidRPr="009A1244">
        <w:rPr>
          <w:rFonts w:ascii="Times New Roman" w:hAnsi="Times New Roman" w:cs="Times New Roman"/>
          <w:sz w:val="28"/>
          <w:szCs w:val="28"/>
        </w:rPr>
        <w:t>Haddour</w:t>
      </w:r>
      <w:proofErr w:type="spellEnd"/>
      <w:r w:rsidRPr="009A1244">
        <w:rPr>
          <w:rFonts w:ascii="Times New Roman" w:hAnsi="Times New Roman" w:cs="Times New Roman"/>
          <w:sz w:val="28"/>
          <w:szCs w:val="28"/>
        </w:rPr>
        <w:t xml:space="preserve"> N., Cohen A. Echocardiography and cardiac sources of embolism. </w:t>
      </w:r>
      <w:proofErr w:type="spellStart"/>
      <w:r w:rsidRPr="009A1244">
        <w:rPr>
          <w:rFonts w:ascii="Times New Roman" w:hAnsi="Times New Roman" w:cs="Times New Roman"/>
          <w:sz w:val="28"/>
          <w:szCs w:val="28"/>
        </w:rPr>
        <w:t>Kardiovaskul</w:t>
      </w:r>
      <w:proofErr w:type="spellEnd"/>
      <w:r w:rsidRPr="009A1244">
        <w:rPr>
          <w:rFonts w:ascii="Times New Roman" w:hAnsi="Times New Roman" w:cs="Times New Roman"/>
          <w:sz w:val="28"/>
          <w:szCs w:val="28"/>
        </w:rPr>
        <w:t>. Med. 2010; 13: 6-17</w:t>
      </w:r>
    </w:p>
    <w:p w14:paraId="017A3128" w14:textId="77777777" w:rsidR="00673763" w:rsidRDefault="00F869BF" w:rsidP="00CB2A3F">
      <w:pPr>
        <w:spacing w:line="276" w:lineRule="auto"/>
        <w:ind w:left="720" w:hanging="720"/>
        <w:jc w:val="both"/>
        <w:rPr>
          <w:rFonts w:ascii="Times New Roman" w:hAnsi="Times New Roman" w:cs="Times New Roman"/>
          <w:sz w:val="28"/>
          <w:szCs w:val="28"/>
        </w:rPr>
      </w:pPr>
      <w:r w:rsidRPr="009A1244">
        <w:rPr>
          <w:rFonts w:ascii="Times New Roman" w:hAnsi="Times New Roman" w:cs="Times New Roman"/>
          <w:sz w:val="28"/>
          <w:szCs w:val="28"/>
        </w:rPr>
        <w:t xml:space="preserve">14. </w:t>
      </w:r>
      <w:proofErr w:type="spellStart"/>
      <w:r w:rsidRPr="009A1244">
        <w:rPr>
          <w:rFonts w:ascii="Times New Roman" w:hAnsi="Times New Roman" w:cs="Times New Roman"/>
          <w:sz w:val="28"/>
          <w:szCs w:val="28"/>
        </w:rPr>
        <w:t>Hashash</w:t>
      </w:r>
      <w:proofErr w:type="spellEnd"/>
      <w:r w:rsidRPr="009A1244">
        <w:rPr>
          <w:rFonts w:ascii="Times New Roman" w:hAnsi="Times New Roman" w:cs="Times New Roman"/>
          <w:sz w:val="28"/>
          <w:szCs w:val="28"/>
        </w:rPr>
        <w:t xml:space="preserve"> JG, </w:t>
      </w:r>
      <w:proofErr w:type="spellStart"/>
      <w:r w:rsidRPr="009A1244">
        <w:rPr>
          <w:rFonts w:ascii="Times New Roman" w:hAnsi="Times New Roman" w:cs="Times New Roman"/>
          <w:sz w:val="28"/>
          <w:szCs w:val="28"/>
        </w:rPr>
        <w:t>Zeineh</w:t>
      </w:r>
      <w:proofErr w:type="spellEnd"/>
      <w:r w:rsidRPr="009A1244">
        <w:rPr>
          <w:rFonts w:ascii="Times New Roman" w:hAnsi="Times New Roman" w:cs="Times New Roman"/>
          <w:sz w:val="28"/>
          <w:szCs w:val="28"/>
        </w:rPr>
        <w:t xml:space="preserve"> NS, Crock FW. Multiple intracardiac thrombi. Cleve Clin J Med. 2013;80(7):415-6.</w:t>
      </w:r>
    </w:p>
    <w:p w14:paraId="0128FD2D" w14:textId="662B2CD3" w:rsidR="00673763" w:rsidRDefault="00673763" w:rsidP="00CB2A3F">
      <w:pPr>
        <w:spacing w:line="276" w:lineRule="auto"/>
        <w:ind w:left="720" w:hanging="720"/>
        <w:jc w:val="both"/>
        <w:rPr>
          <w:rFonts w:ascii="Times New Roman" w:hAnsi="Times New Roman" w:cs="Times New Roman"/>
          <w:sz w:val="28"/>
          <w:szCs w:val="28"/>
        </w:rPr>
      </w:pPr>
      <w:r w:rsidRPr="00673763">
        <w:rPr>
          <w:rFonts w:ascii="Times New Roman" w:hAnsi="Times New Roman" w:cs="Times New Roman"/>
          <w:sz w:val="28"/>
          <w:szCs w:val="28"/>
          <w:highlight w:val="yellow"/>
          <w:lang w:val="fr-FR"/>
        </w:rPr>
        <w:t xml:space="preserve">15. </w:t>
      </w:r>
      <w:r w:rsidRPr="00673763">
        <w:rPr>
          <w:rFonts w:ascii="Times New Roman" w:hAnsi="Times New Roman" w:cs="Times New Roman"/>
          <w:sz w:val="28"/>
          <w:szCs w:val="28"/>
          <w:highlight w:val="yellow"/>
          <w:lang w:val="fr-FR"/>
        </w:rPr>
        <w:t xml:space="preserve">Pacini D, </w:t>
      </w:r>
      <w:proofErr w:type="spellStart"/>
      <w:r w:rsidRPr="00673763">
        <w:rPr>
          <w:rFonts w:ascii="Times New Roman" w:hAnsi="Times New Roman" w:cs="Times New Roman"/>
          <w:sz w:val="28"/>
          <w:szCs w:val="28"/>
          <w:highlight w:val="yellow"/>
          <w:lang w:val="fr-FR"/>
        </w:rPr>
        <w:t>Careddu</w:t>
      </w:r>
      <w:proofErr w:type="spellEnd"/>
      <w:r w:rsidRPr="00673763">
        <w:rPr>
          <w:rFonts w:ascii="Times New Roman" w:hAnsi="Times New Roman" w:cs="Times New Roman"/>
          <w:sz w:val="28"/>
          <w:szCs w:val="28"/>
          <w:highlight w:val="yellow"/>
          <w:lang w:val="fr-FR"/>
        </w:rPr>
        <w:t xml:space="preserve"> L, </w:t>
      </w:r>
      <w:proofErr w:type="spellStart"/>
      <w:r w:rsidRPr="00673763">
        <w:rPr>
          <w:rFonts w:ascii="Times New Roman" w:hAnsi="Times New Roman" w:cs="Times New Roman"/>
          <w:sz w:val="28"/>
          <w:szCs w:val="28"/>
          <w:highlight w:val="yellow"/>
          <w:lang w:val="fr-FR"/>
        </w:rPr>
        <w:t>Pantaleo</w:t>
      </w:r>
      <w:proofErr w:type="spellEnd"/>
      <w:r w:rsidRPr="00673763">
        <w:rPr>
          <w:rFonts w:ascii="Times New Roman" w:hAnsi="Times New Roman" w:cs="Times New Roman"/>
          <w:sz w:val="28"/>
          <w:szCs w:val="28"/>
          <w:highlight w:val="yellow"/>
          <w:lang w:val="fr-FR"/>
        </w:rPr>
        <w:t xml:space="preserve"> A, et al. </w:t>
      </w:r>
      <w:r w:rsidRPr="00673763">
        <w:rPr>
          <w:rFonts w:ascii="Times New Roman" w:hAnsi="Times New Roman" w:cs="Times New Roman"/>
          <w:sz w:val="28"/>
          <w:szCs w:val="28"/>
          <w:highlight w:val="yellow"/>
        </w:rPr>
        <w:t xml:space="preserve">Primary malignant </w:t>
      </w:r>
      <w:proofErr w:type="spellStart"/>
      <w:r w:rsidRPr="00673763">
        <w:rPr>
          <w:rFonts w:ascii="Times New Roman" w:hAnsi="Times New Roman" w:cs="Times New Roman"/>
          <w:sz w:val="28"/>
          <w:szCs w:val="28"/>
          <w:highlight w:val="yellow"/>
        </w:rPr>
        <w:t>tumors</w:t>
      </w:r>
      <w:proofErr w:type="spellEnd"/>
      <w:r w:rsidRPr="00673763">
        <w:rPr>
          <w:rFonts w:ascii="Times New Roman" w:hAnsi="Times New Roman" w:cs="Times New Roman"/>
          <w:sz w:val="28"/>
          <w:szCs w:val="28"/>
          <w:highlight w:val="yellow"/>
        </w:rPr>
        <w:t xml:space="preserve"> of the heart: Outcomes of the surgical treatment. </w:t>
      </w:r>
      <w:r w:rsidRPr="00673763">
        <w:rPr>
          <w:rFonts w:ascii="Times New Roman" w:hAnsi="Times New Roman" w:cs="Times New Roman"/>
          <w:i/>
          <w:iCs/>
          <w:sz w:val="28"/>
          <w:szCs w:val="28"/>
          <w:highlight w:val="yellow"/>
        </w:rPr>
        <w:t>Asian Cardiovascular and Thoracic Annals</w:t>
      </w:r>
      <w:r w:rsidRPr="00673763">
        <w:rPr>
          <w:rFonts w:ascii="Times New Roman" w:hAnsi="Times New Roman" w:cs="Times New Roman"/>
          <w:sz w:val="28"/>
          <w:szCs w:val="28"/>
          <w:highlight w:val="yellow"/>
        </w:rPr>
        <w:t>. 2015;23(6):645-651. doi:</w:t>
      </w:r>
      <w:hyperlink r:id="rId8" w:history="1">
        <w:r w:rsidRPr="00673763">
          <w:rPr>
            <w:rStyle w:val="Lienhypertexte"/>
            <w:rFonts w:ascii="Times New Roman" w:hAnsi="Times New Roman" w:cs="Times New Roman"/>
            <w:sz w:val="28"/>
            <w:szCs w:val="28"/>
            <w:highlight w:val="yellow"/>
          </w:rPr>
          <w:t>10.1177/0218492315573674</w:t>
        </w:r>
      </w:hyperlink>
    </w:p>
    <w:p w14:paraId="0F89356D" w14:textId="77777777" w:rsidR="008D7BA0" w:rsidRDefault="00F869BF" w:rsidP="00CB2A3F">
      <w:pPr>
        <w:spacing w:line="276" w:lineRule="auto"/>
        <w:ind w:left="720" w:hanging="720"/>
        <w:jc w:val="both"/>
        <w:rPr>
          <w:rFonts w:ascii="Times New Roman" w:hAnsi="Times New Roman" w:cs="Times New Roman"/>
          <w:sz w:val="28"/>
          <w:szCs w:val="28"/>
        </w:rPr>
      </w:pPr>
      <w:r w:rsidRPr="00673763">
        <w:rPr>
          <w:rFonts w:ascii="Times New Roman" w:hAnsi="Times New Roman" w:cs="Times New Roman"/>
          <w:sz w:val="28"/>
          <w:szCs w:val="28"/>
          <w:highlight w:val="yellow"/>
        </w:rPr>
        <w:t>1</w:t>
      </w:r>
      <w:r w:rsidR="00673763">
        <w:rPr>
          <w:rFonts w:ascii="Times New Roman" w:hAnsi="Times New Roman" w:cs="Times New Roman"/>
          <w:sz w:val="28"/>
          <w:szCs w:val="28"/>
          <w:highlight w:val="yellow"/>
        </w:rPr>
        <w:t>6</w:t>
      </w:r>
      <w:r w:rsidRPr="00673763">
        <w:rPr>
          <w:rFonts w:ascii="Times New Roman" w:hAnsi="Times New Roman" w:cs="Times New Roman"/>
          <w:sz w:val="28"/>
          <w:szCs w:val="28"/>
          <w:highlight w:val="yellow"/>
        </w:rPr>
        <w:t xml:space="preserve">. </w:t>
      </w:r>
      <w:r w:rsidR="00673763" w:rsidRPr="00673763">
        <w:rPr>
          <w:rFonts w:ascii="Times New Roman" w:hAnsi="Times New Roman" w:cs="Times New Roman"/>
          <w:sz w:val="28"/>
          <w:szCs w:val="28"/>
          <w:highlight w:val="yellow"/>
        </w:rPr>
        <w:t xml:space="preserve">Leja MJ, Shah DJ, Reardon MJ. Primary cardiac </w:t>
      </w:r>
      <w:proofErr w:type="spellStart"/>
      <w:r w:rsidR="00673763" w:rsidRPr="00673763">
        <w:rPr>
          <w:rFonts w:ascii="Times New Roman" w:hAnsi="Times New Roman" w:cs="Times New Roman"/>
          <w:sz w:val="28"/>
          <w:szCs w:val="28"/>
          <w:highlight w:val="yellow"/>
        </w:rPr>
        <w:t>tumors</w:t>
      </w:r>
      <w:proofErr w:type="spellEnd"/>
      <w:r w:rsidR="00673763" w:rsidRPr="00673763">
        <w:rPr>
          <w:rFonts w:ascii="Times New Roman" w:hAnsi="Times New Roman" w:cs="Times New Roman"/>
          <w:sz w:val="28"/>
          <w:szCs w:val="28"/>
          <w:highlight w:val="yellow"/>
        </w:rPr>
        <w:t>. Tex Heart Inst J. 2011;38(3):261-2</w:t>
      </w:r>
    </w:p>
    <w:p w14:paraId="6671A053" w14:textId="7FDE55A9" w:rsidR="000F01B8" w:rsidRPr="009A1244" w:rsidRDefault="00F869BF" w:rsidP="00CB2A3F">
      <w:pPr>
        <w:spacing w:line="276" w:lineRule="auto"/>
        <w:ind w:left="720" w:hanging="720"/>
        <w:jc w:val="both"/>
        <w:rPr>
          <w:rFonts w:ascii="Times New Roman" w:hAnsi="Times New Roman" w:cs="Times New Roman"/>
          <w:sz w:val="28"/>
          <w:szCs w:val="28"/>
        </w:rPr>
      </w:pPr>
      <w:r w:rsidRPr="009A1244">
        <w:rPr>
          <w:rFonts w:ascii="Times New Roman" w:hAnsi="Times New Roman" w:cs="Times New Roman"/>
          <w:sz w:val="28"/>
          <w:szCs w:val="28"/>
        </w:rPr>
        <w:t xml:space="preserve">17. Cornily J-C, Pennec P-Y, Blanc J-J. Malignant </w:t>
      </w:r>
      <w:proofErr w:type="spellStart"/>
      <w:r w:rsidRPr="009A1244">
        <w:rPr>
          <w:rFonts w:ascii="Times New Roman" w:hAnsi="Times New Roman" w:cs="Times New Roman"/>
          <w:sz w:val="28"/>
          <w:szCs w:val="28"/>
        </w:rPr>
        <w:t>Tumors</w:t>
      </w:r>
      <w:proofErr w:type="spellEnd"/>
      <w:r w:rsidRPr="009A1244">
        <w:rPr>
          <w:rFonts w:ascii="Times New Roman" w:hAnsi="Times New Roman" w:cs="Times New Roman"/>
          <w:sz w:val="28"/>
          <w:szCs w:val="28"/>
        </w:rPr>
        <w:t xml:space="preserve"> of the Heart and Pericardium. The Cancerologist's Letter 2009; 18: 272-75.</w:t>
      </w:r>
    </w:p>
    <w:p w14:paraId="4593725B" w14:textId="6E933289" w:rsidR="000F01B8" w:rsidRDefault="000F01B8" w:rsidP="00CB2A3F">
      <w:pPr>
        <w:spacing w:line="276" w:lineRule="auto"/>
        <w:jc w:val="both"/>
        <w:rPr>
          <w:rFonts w:ascii="Times New Roman" w:hAnsi="Times New Roman" w:cs="Times New Roman"/>
          <w:sz w:val="28"/>
          <w:szCs w:val="28"/>
        </w:rPr>
      </w:pPr>
    </w:p>
    <w:p w14:paraId="003CC71A" w14:textId="583A5C96" w:rsidR="009D42A1" w:rsidRPr="009A1244" w:rsidRDefault="009D42A1" w:rsidP="00CB2A3F">
      <w:pPr>
        <w:spacing w:line="276" w:lineRule="auto"/>
        <w:jc w:val="both"/>
        <w:rPr>
          <w:rFonts w:ascii="Times New Roman" w:hAnsi="Times New Roman" w:cs="Times New Roman"/>
          <w:sz w:val="28"/>
          <w:szCs w:val="28"/>
        </w:rPr>
      </w:pPr>
      <w:r>
        <w:rPr>
          <w:noProof/>
        </w:rPr>
        <w:lastRenderedPageBreak/>
        <w:drawing>
          <wp:inline distT="0" distB="0" distL="0" distR="0" wp14:anchorId="51FEDE4D" wp14:editId="01EFFD7A">
            <wp:extent cx="6066845" cy="3681095"/>
            <wp:effectExtent l="0" t="0" r="10160" b="14605"/>
            <wp:docPr id="1421133133" name="Graphique 1">
              <a:extLst xmlns:a="http://schemas.openxmlformats.org/drawingml/2006/main">
                <a:ext uri="{FF2B5EF4-FFF2-40B4-BE49-F238E27FC236}">
                  <a16:creationId xmlns:a16="http://schemas.microsoft.com/office/drawing/2014/main" id="{A4E0ED03-1601-6258-F86C-88595DB9BB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96DE81" w14:textId="77777777" w:rsidR="000F01B8" w:rsidRPr="009A1244" w:rsidRDefault="000F01B8" w:rsidP="00CB2A3F">
      <w:pPr>
        <w:spacing w:line="276" w:lineRule="auto"/>
        <w:jc w:val="both"/>
        <w:rPr>
          <w:rFonts w:ascii="Times New Roman" w:hAnsi="Times New Roman" w:cs="Times New Roman"/>
          <w:sz w:val="28"/>
          <w:szCs w:val="28"/>
        </w:rPr>
      </w:pPr>
      <w:r w:rsidRPr="009A1244">
        <w:rPr>
          <w:rFonts w:ascii="Times New Roman" w:hAnsi="Times New Roman" w:cs="Times New Roman"/>
          <w:sz w:val="28"/>
          <w:szCs w:val="28"/>
        </w:rPr>
        <w:t>Figure 1: Topographical distribution of different types of mass</w:t>
      </w:r>
    </w:p>
    <w:p w14:paraId="6AE2E5B5" w14:textId="77777777" w:rsidR="000F01B8" w:rsidRPr="009A1244" w:rsidRDefault="000F01B8" w:rsidP="00CB2A3F">
      <w:pPr>
        <w:spacing w:line="276" w:lineRule="auto"/>
        <w:jc w:val="both"/>
        <w:rPr>
          <w:rFonts w:ascii="Times New Roman" w:hAnsi="Times New Roman" w:cs="Times New Roman"/>
          <w:sz w:val="28"/>
          <w:szCs w:val="28"/>
        </w:rPr>
      </w:pPr>
    </w:p>
    <w:p w14:paraId="23C244B3" w14:textId="77777777" w:rsidR="00322805" w:rsidRPr="009A1244" w:rsidRDefault="00322805" w:rsidP="00CB2A3F">
      <w:pPr>
        <w:spacing w:line="276" w:lineRule="auto"/>
        <w:jc w:val="both"/>
        <w:rPr>
          <w:rFonts w:ascii="Times New Roman" w:hAnsi="Times New Roman" w:cs="Times New Roman"/>
          <w:sz w:val="28"/>
          <w:szCs w:val="28"/>
        </w:rPr>
      </w:pPr>
    </w:p>
    <w:p w14:paraId="142C20BE" w14:textId="77777777" w:rsidR="00322805" w:rsidRPr="009A1244" w:rsidRDefault="00322805" w:rsidP="00CB2A3F">
      <w:pPr>
        <w:spacing w:line="276" w:lineRule="auto"/>
        <w:jc w:val="both"/>
        <w:rPr>
          <w:rFonts w:ascii="Times New Roman" w:hAnsi="Times New Roman" w:cs="Times New Roman"/>
          <w:sz w:val="28"/>
          <w:szCs w:val="28"/>
        </w:rPr>
      </w:pPr>
    </w:p>
    <w:p w14:paraId="612F8D2B" w14:textId="77777777" w:rsidR="00322805" w:rsidRPr="009A1244" w:rsidRDefault="00322805" w:rsidP="00CB2A3F">
      <w:pPr>
        <w:spacing w:line="276" w:lineRule="auto"/>
        <w:jc w:val="both"/>
        <w:rPr>
          <w:rFonts w:ascii="Times New Roman" w:hAnsi="Times New Roman" w:cs="Times New Roman"/>
          <w:sz w:val="28"/>
          <w:szCs w:val="28"/>
        </w:rPr>
      </w:pPr>
    </w:p>
    <w:p w14:paraId="6DBF515C" w14:textId="77777777" w:rsidR="00322805" w:rsidRPr="009A1244" w:rsidRDefault="00322805" w:rsidP="00CB2A3F">
      <w:pPr>
        <w:spacing w:line="276" w:lineRule="auto"/>
        <w:jc w:val="both"/>
        <w:rPr>
          <w:rFonts w:ascii="Times New Roman" w:hAnsi="Times New Roman" w:cs="Times New Roman"/>
          <w:sz w:val="28"/>
          <w:szCs w:val="28"/>
        </w:rPr>
      </w:pPr>
    </w:p>
    <w:p w14:paraId="456BF8E0" w14:textId="77777777" w:rsidR="00322805" w:rsidRPr="009A1244" w:rsidRDefault="00322805" w:rsidP="00CB2A3F">
      <w:pPr>
        <w:spacing w:line="276" w:lineRule="auto"/>
        <w:jc w:val="both"/>
        <w:rPr>
          <w:rFonts w:ascii="Times New Roman" w:hAnsi="Times New Roman" w:cs="Times New Roman"/>
          <w:sz w:val="28"/>
          <w:szCs w:val="28"/>
        </w:rPr>
      </w:pPr>
    </w:p>
    <w:p w14:paraId="1C925F19" w14:textId="77777777" w:rsidR="00322805" w:rsidRPr="009A1244" w:rsidRDefault="00322805" w:rsidP="00CB2A3F">
      <w:pPr>
        <w:spacing w:line="276" w:lineRule="auto"/>
        <w:jc w:val="both"/>
        <w:rPr>
          <w:rFonts w:ascii="Times New Roman" w:hAnsi="Times New Roman" w:cs="Times New Roman"/>
          <w:sz w:val="28"/>
          <w:szCs w:val="28"/>
        </w:rPr>
      </w:pPr>
    </w:p>
    <w:p w14:paraId="42C38D5A" w14:textId="77777777" w:rsidR="00322805" w:rsidRPr="009A1244" w:rsidRDefault="00322805" w:rsidP="00CB2A3F">
      <w:pPr>
        <w:spacing w:line="276" w:lineRule="auto"/>
        <w:jc w:val="both"/>
        <w:rPr>
          <w:rFonts w:ascii="Times New Roman" w:hAnsi="Times New Roman" w:cs="Times New Roman"/>
          <w:sz w:val="28"/>
          <w:szCs w:val="28"/>
        </w:rPr>
      </w:pPr>
    </w:p>
    <w:p w14:paraId="59FF6D9B" w14:textId="77777777" w:rsidR="00322805" w:rsidRPr="009A1244" w:rsidRDefault="00322805" w:rsidP="00CB2A3F">
      <w:pPr>
        <w:spacing w:line="276" w:lineRule="auto"/>
        <w:jc w:val="both"/>
        <w:rPr>
          <w:rFonts w:ascii="Times New Roman" w:hAnsi="Times New Roman" w:cs="Times New Roman"/>
          <w:sz w:val="28"/>
          <w:szCs w:val="28"/>
        </w:rPr>
      </w:pPr>
    </w:p>
    <w:p w14:paraId="61E93F73" w14:textId="77777777" w:rsidR="00322805" w:rsidRDefault="00322805" w:rsidP="00CB2A3F">
      <w:pPr>
        <w:spacing w:line="276" w:lineRule="auto"/>
        <w:jc w:val="both"/>
        <w:rPr>
          <w:rFonts w:ascii="Times New Roman" w:hAnsi="Times New Roman" w:cs="Times New Roman"/>
          <w:sz w:val="28"/>
          <w:szCs w:val="28"/>
        </w:rPr>
      </w:pPr>
    </w:p>
    <w:p w14:paraId="061BA9D2" w14:textId="77777777" w:rsidR="00CD6CBE" w:rsidRPr="009A1244" w:rsidRDefault="00CD6CBE" w:rsidP="00CB2A3F">
      <w:pPr>
        <w:spacing w:line="276" w:lineRule="auto"/>
        <w:jc w:val="both"/>
        <w:rPr>
          <w:rFonts w:ascii="Times New Roman" w:hAnsi="Times New Roman" w:cs="Times New Roman"/>
          <w:sz w:val="28"/>
          <w:szCs w:val="28"/>
        </w:rPr>
      </w:pPr>
    </w:p>
    <w:p w14:paraId="037918AF" w14:textId="77777777" w:rsidR="00322805" w:rsidRPr="009A1244" w:rsidRDefault="00322805" w:rsidP="00CB2A3F">
      <w:pPr>
        <w:spacing w:line="276" w:lineRule="auto"/>
        <w:jc w:val="both"/>
        <w:rPr>
          <w:rFonts w:ascii="Times New Roman" w:hAnsi="Times New Roman" w:cs="Times New Roman"/>
          <w:sz w:val="28"/>
          <w:szCs w:val="28"/>
        </w:rPr>
      </w:pPr>
    </w:p>
    <w:p w14:paraId="7330A1F1" w14:textId="0ECAF3C5" w:rsidR="000F01B8" w:rsidRPr="009A1244" w:rsidRDefault="000F01B8" w:rsidP="00CB2A3F">
      <w:pPr>
        <w:spacing w:after="36" w:line="276" w:lineRule="auto"/>
        <w:jc w:val="both"/>
        <w:rPr>
          <w:rFonts w:ascii="Times New Roman" w:hAnsi="Times New Roman" w:cs="Times New Roman"/>
          <w:color w:val="0D0D0D" w:themeColor="text1" w:themeTint="F2"/>
          <w:sz w:val="28"/>
          <w:szCs w:val="28"/>
        </w:rPr>
      </w:pPr>
      <w:r w:rsidRPr="009A1244">
        <w:rPr>
          <w:rFonts w:ascii="Times New Roman" w:hAnsi="Times New Roman" w:cs="Times New Roman"/>
          <w:b/>
          <w:color w:val="0D0D0D" w:themeColor="text1" w:themeTint="F2"/>
          <w:sz w:val="28"/>
          <w:szCs w:val="28"/>
        </w:rPr>
        <w:lastRenderedPageBreak/>
        <w:t xml:space="preserve">Table </w:t>
      </w:r>
      <w:proofErr w:type="gramStart"/>
      <w:r w:rsidRPr="009A1244">
        <w:rPr>
          <w:rFonts w:ascii="Times New Roman" w:hAnsi="Times New Roman" w:cs="Times New Roman"/>
          <w:b/>
          <w:color w:val="0D0D0D" w:themeColor="text1" w:themeTint="F2"/>
          <w:sz w:val="28"/>
          <w:szCs w:val="28"/>
        </w:rPr>
        <w:t>1</w:t>
      </w:r>
      <w:r w:rsidR="004B28F4" w:rsidRPr="009A1244">
        <w:rPr>
          <w:rFonts w:ascii="Times New Roman" w:hAnsi="Times New Roman" w:cs="Times New Roman"/>
          <w:b/>
          <w:color w:val="0D0D0D" w:themeColor="text1" w:themeTint="F2"/>
          <w:sz w:val="28"/>
          <w:szCs w:val="28"/>
        </w:rPr>
        <w:t xml:space="preserve"> </w:t>
      </w:r>
      <w:r w:rsidRPr="009A1244">
        <w:rPr>
          <w:rFonts w:ascii="Times New Roman" w:hAnsi="Times New Roman" w:cs="Times New Roman"/>
          <w:b/>
          <w:color w:val="0D0D0D" w:themeColor="text1" w:themeTint="F2"/>
          <w:sz w:val="28"/>
          <w:szCs w:val="28"/>
        </w:rPr>
        <w:t>:</w:t>
      </w:r>
      <w:proofErr w:type="gramEnd"/>
      <w:r w:rsidRPr="009A1244">
        <w:rPr>
          <w:rFonts w:ascii="Times New Roman" w:hAnsi="Times New Roman" w:cs="Times New Roman"/>
          <w:b/>
          <w:color w:val="0D0D0D" w:themeColor="text1" w:themeTint="F2"/>
          <w:sz w:val="28"/>
          <w:szCs w:val="28"/>
        </w:rPr>
        <w:t xml:space="preserve"> Diff</w:t>
      </w:r>
      <w:r w:rsidR="0060476B" w:rsidRPr="009A1244">
        <w:rPr>
          <w:rFonts w:ascii="Times New Roman" w:hAnsi="Times New Roman" w:cs="Times New Roman"/>
          <w:b/>
          <w:color w:val="0D0D0D" w:themeColor="text1" w:themeTint="F2"/>
          <w:sz w:val="28"/>
          <w:szCs w:val="28"/>
        </w:rPr>
        <w:t>erentials characteristics of intracardiac masses</w:t>
      </w:r>
    </w:p>
    <w:tbl>
      <w:tblPr>
        <w:tblStyle w:val="TableGrid"/>
        <w:tblW w:w="10237" w:type="dxa"/>
        <w:tblInd w:w="0" w:type="dxa"/>
        <w:tblBorders>
          <w:top w:val="single" w:sz="4" w:space="0" w:color="auto"/>
          <w:bottom w:val="single" w:sz="4" w:space="0" w:color="auto"/>
        </w:tblBorders>
        <w:tblCellMar>
          <w:top w:w="12" w:type="dxa"/>
          <w:right w:w="115" w:type="dxa"/>
        </w:tblCellMar>
        <w:tblLook w:val="04A0" w:firstRow="1" w:lastRow="0" w:firstColumn="1" w:lastColumn="0" w:noHBand="0" w:noVBand="1"/>
      </w:tblPr>
      <w:tblGrid>
        <w:gridCol w:w="2944"/>
        <w:gridCol w:w="1402"/>
        <w:gridCol w:w="1762"/>
        <w:gridCol w:w="480"/>
        <w:gridCol w:w="988"/>
        <w:gridCol w:w="2661"/>
      </w:tblGrid>
      <w:tr w:rsidR="00322805" w:rsidRPr="009A1244" w14:paraId="4AD96D0A" w14:textId="77777777" w:rsidTr="0060476B">
        <w:trPr>
          <w:trHeight w:val="310"/>
        </w:trPr>
        <w:tc>
          <w:tcPr>
            <w:tcW w:w="2946" w:type="dxa"/>
            <w:tcBorders>
              <w:top w:val="single" w:sz="4" w:space="0" w:color="auto"/>
              <w:bottom w:val="nil"/>
            </w:tcBorders>
            <w:hideMark/>
          </w:tcPr>
          <w:p w14:paraId="2BC1A206" w14:textId="77777777" w:rsidR="004B28F4" w:rsidRPr="009A1244" w:rsidRDefault="004B28F4" w:rsidP="00CB2A3F">
            <w:pPr>
              <w:spacing w:line="276" w:lineRule="auto"/>
              <w:ind w:left="122"/>
              <w:jc w:val="both"/>
              <w:rPr>
                <w:rFonts w:ascii="Times New Roman" w:hAnsi="Times New Roman" w:cs="Times New Roman"/>
                <w:color w:val="0D0D0D" w:themeColor="text1" w:themeTint="F2"/>
                <w:sz w:val="24"/>
                <w:szCs w:val="24"/>
              </w:rPr>
            </w:pPr>
            <w:r w:rsidRPr="009A1244">
              <w:rPr>
                <w:rFonts w:ascii="Times New Roman" w:hAnsi="Times New Roman" w:cs="Times New Roman"/>
                <w:b/>
                <w:color w:val="0D0D0D" w:themeColor="text1" w:themeTint="F2"/>
                <w:sz w:val="24"/>
                <w:szCs w:val="24"/>
              </w:rPr>
              <w:t xml:space="preserve">Type of masse </w:t>
            </w:r>
          </w:p>
        </w:tc>
        <w:tc>
          <w:tcPr>
            <w:tcW w:w="1403" w:type="dxa"/>
            <w:tcBorders>
              <w:top w:val="single" w:sz="4" w:space="0" w:color="auto"/>
              <w:bottom w:val="nil"/>
            </w:tcBorders>
            <w:hideMark/>
          </w:tcPr>
          <w:p w14:paraId="3E71833E" w14:textId="0380188F" w:rsidR="004B28F4" w:rsidRPr="009A1244" w:rsidRDefault="004B28F4" w:rsidP="00CB2A3F">
            <w:pPr>
              <w:spacing w:line="276" w:lineRule="auto"/>
              <w:jc w:val="both"/>
              <w:rPr>
                <w:rFonts w:ascii="Times New Roman" w:hAnsi="Times New Roman" w:cs="Times New Roman"/>
                <w:color w:val="0D0D0D" w:themeColor="text1" w:themeTint="F2"/>
                <w:sz w:val="24"/>
                <w:szCs w:val="24"/>
              </w:rPr>
            </w:pPr>
            <w:proofErr w:type="spellStart"/>
            <w:r w:rsidRPr="009A1244">
              <w:rPr>
                <w:rFonts w:ascii="Times New Roman" w:hAnsi="Times New Roman" w:cs="Times New Roman"/>
                <w:b/>
                <w:color w:val="0D0D0D" w:themeColor="text1" w:themeTint="F2"/>
                <w:sz w:val="24"/>
                <w:szCs w:val="24"/>
              </w:rPr>
              <w:t>Effectif</w:t>
            </w:r>
            <w:proofErr w:type="spellEnd"/>
            <w:r w:rsidRPr="009A1244">
              <w:rPr>
                <w:rFonts w:ascii="Times New Roman" w:hAnsi="Times New Roman" w:cs="Times New Roman"/>
                <w:b/>
                <w:color w:val="0D0D0D" w:themeColor="text1" w:themeTint="F2"/>
                <w:sz w:val="24"/>
                <w:szCs w:val="24"/>
              </w:rPr>
              <w:t xml:space="preserve"> (n=)</w:t>
            </w:r>
          </w:p>
        </w:tc>
        <w:tc>
          <w:tcPr>
            <w:tcW w:w="3226" w:type="dxa"/>
            <w:gridSpan w:val="3"/>
            <w:tcBorders>
              <w:top w:val="single" w:sz="4" w:space="0" w:color="auto"/>
              <w:bottom w:val="nil"/>
            </w:tcBorders>
          </w:tcPr>
          <w:p w14:paraId="2FE27C56" w14:textId="11B64C74" w:rsidR="004B28F4" w:rsidRPr="009A1244" w:rsidRDefault="0060476B" w:rsidP="00CB2A3F">
            <w:pPr>
              <w:spacing w:line="276" w:lineRule="auto"/>
              <w:jc w:val="both"/>
              <w:rPr>
                <w:rFonts w:ascii="Times New Roman" w:hAnsi="Times New Roman" w:cs="Times New Roman"/>
                <w:b/>
                <w:color w:val="0D0D0D" w:themeColor="text1" w:themeTint="F2"/>
                <w:sz w:val="24"/>
                <w:szCs w:val="24"/>
              </w:rPr>
            </w:pPr>
            <w:r w:rsidRPr="009A1244">
              <w:rPr>
                <w:rFonts w:ascii="Times New Roman" w:hAnsi="Times New Roman" w:cs="Times New Roman"/>
                <w:b/>
                <w:color w:val="0D0D0D" w:themeColor="text1" w:themeTint="F2"/>
                <w:sz w:val="24"/>
                <w:szCs w:val="24"/>
              </w:rPr>
              <w:t>Mass number per cavity</w:t>
            </w:r>
          </w:p>
        </w:tc>
        <w:tc>
          <w:tcPr>
            <w:tcW w:w="2662" w:type="dxa"/>
            <w:tcBorders>
              <w:top w:val="single" w:sz="4" w:space="0" w:color="auto"/>
              <w:bottom w:val="nil"/>
            </w:tcBorders>
            <w:hideMark/>
          </w:tcPr>
          <w:p w14:paraId="23C4AACE" w14:textId="4CEC2C73" w:rsidR="004B28F4" w:rsidRPr="009A1244" w:rsidRDefault="0060476B" w:rsidP="00CB2A3F">
            <w:pPr>
              <w:spacing w:line="276" w:lineRule="auto"/>
              <w:jc w:val="center"/>
              <w:rPr>
                <w:rFonts w:ascii="Times New Roman" w:hAnsi="Times New Roman" w:cs="Times New Roman"/>
                <w:color w:val="0D0D0D" w:themeColor="text1" w:themeTint="F2"/>
                <w:sz w:val="24"/>
                <w:szCs w:val="24"/>
              </w:rPr>
            </w:pPr>
            <w:r w:rsidRPr="009A1244">
              <w:rPr>
                <w:rFonts w:ascii="Times New Roman" w:hAnsi="Times New Roman" w:cs="Times New Roman"/>
                <w:b/>
                <w:color w:val="0D0D0D" w:themeColor="text1" w:themeTint="F2"/>
                <w:sz w:val="24"/>
                <w:szCs w:val="24"/>
              </w:rPr>
              <w:t>Percentage of mortality</w:t>
            </w:r>
            <w:r w:rsidR="004B28F4" w:rsidRPr="009A1244">
              <w:rPr>
                <w:rFonts w:ascii="Times New Roman" w:hAnsi="Times New Roman" w:cs="Times New Roman"/>
                <w:b/>
                <w:color w:val="0D0D0D" w:themeColor="text1" w:themeTint="F2"/>
                <w:sz w:val="24"/>
                <w:szCs w:val="24"/>
              </w:rPr>
              <w:t xml:space="preserve"> n/N (%)</w:t>
            </w:r>
          </w:p>
        </w:tc>
      </w:tr>
      <w:tr w:rsidR="00322805" w:rsidRPr="009A1244" w14:paraId="6A03F3C7" w14:textId="77777777" w:rsidTr="0060476B">
        <w:trPr>
          <w:trHeight w:val="223"/>
        </w:trPr>
        <w:tc>
          <w:tcPr>
            <w:tcW w:w="2946" w:type="dxa"/>
            <w:vMerge w:val="restart"/>
            <w:tcBorders>
              <w:top w:val="single" w:sz="4" w:space="0" w:color="auto"/>
            </w:tcBorders>
          </w:tcPr>
          <w:p w14:paraId="1B59BBDF" w14:textId="77777777" w:rsidR="00322805" w:rsidRPr="009A1244" w:rsidRDefault="00322805" w:rsidP="00CB2A3F">
            <w:pPr>
              <w:spacing w:after="115" w:line="276" w:lineRule="auto"/>
              <w:ind w:left="122"/>
              <w:rPr>
                <w:rFonts w:ascii="Times New Roman" w:hAnsi="Times New Roman" w:cs="Times New Roman"/>
                <w:color w:val="0D0D0D" w:themeColor="text1" w:themeTint="F2"/>
                <w:sz w:val="24"/>
                <w:szCs w:val="24"/>
              </w:rPr>
            </w:pPr>
          </w:p>
          <w:p w14:paraId="13F66222" w14:textId="77777777" w:rsidR="00322805" w:rsidRPr="009A1244" w:rsidRDefault="00322805" w:rsidP="00CB2A3F">
            <w:pPr>
              <w:spacing w:after="115" w:line="276" w:lineRule="auto"/>
              <w:ind w:left="122"/>
              <w:rPr>
                <w:rFonts w:ascii="Times New Roman" w:hAnsi="Times New Roman" w:cs="Times New Roman"/>
                <w:color w:val="0D0D0D" w:themeColor="text1" w:themeTint="F2"/>
                <w:sz w:val="24"/>
                <w:szCs w:val="24"/>
              </w:rPr>
            </w:pPr>
          </w:p>
          <w:p w14:paraId="1238E80F" w14:textId="5C892251" w:rsidR="00322805" w:rsidRPr="009A1244" w:rsidRDefault="00322805" w:rsidP="00CB2A3F">
            <w:pPr>
              <w:spacing w:after="115" w:line="276" w:lineRule="auto"/>
              <w:ind w:left="122"/>
              <w:rPr>
                <w:rFonts w:ascii="Times New Roman" w:hAnsi="Times New Roman" w:cs="Times New Roman"/>
                <w:color w:val="0D0D0D" w:themeColor="text1" w:themeTint="F2"/>
                <w:sz w:val="24"/>
                <w:szCs w:val="24"/>
              </w:rPr>
            </w:pPr>
            <w:proofErr w:type="spellStart"/>
            <w:r w:rsidRPr="009A1244">
              <w:rPr>
                <w:rFonts w:ascii="Times New Roman" w:hAnsi="Times New Roman" w:cs="Times New Roman"/>
                <w:color w:val="0D0D0D" w:themeColor="text1" w:themeTint="F2"/>
                <w:sz w:val="24"/>
                <w:szCs w:val="24"/>
              </w:rPr>
              <w:t>Intacardiac</w:t>
            </w:r>
            <w:proofErr w:type="spellEnd"/>
            <w:r w:rsidRPr="009A1244">
              <w:rPr>
                <w:rFonts w:ascii="Times New Roman" w:hAnsi="Times New Roman" w:cs="Times New Roman"/>
                <w:color w:val="0D0D0D" w:themeColor="text1" w:themeTint="F2"/>
                <w:sz w:val="24"/>
                <w:szCs w:val="24"/>
              </w:rPr>
              <w:t xml:space="preserve"> </w:t>
            </w:r>
            <w:proofErr w:type="spellStart"/>
            <w:r w:rsidRPr="009A1244">
              <w:rPr>
                <w:rFonts w:ascii="Times New Roman" w:hAnsi="Times New Roman" w:cs="Times New Roman"/>
                <w:color w:val="0D0D0D" w:themeColor="text1" w:themeTint="F2"/>
                <w:sz w:val="24"/>
                <w:szCs w:val="24"/>
              </w:rPr>
              <w:t>Thombos</w:t>
            </w:r>
            <w:proofErr w:type="spellEnd"/>
          </w:p>
        </w:tc>
        <w:tc>
          <w:tcPr>
            <w:tcW w:w="1403" w:type="dxa"/>
            <w:vMerge w:val="restart"/>
            <w:tcBorders>
              <w:top w:val="single" w:sz="4" w:space="0" w:color="auto"/>
            </w:tcBorders>
          </w:tcPr>
          <w:p w14:paraId="41B8E53A" w14:textId="77777777" w:rsidR="00322805" w:rsidRPr="009A1244" w:rsidRDefault="00322805" w:rsidP="00CB2A3F">
            <w:pPr>
              <w:spacing w:after="112" w:line="276" w:lineRule="auto"/>
              <w:ind w:left="260"/>
              <w:rPr>
                <w:rFonts w:ascii="Times New Roman" w:hAnsi="Times New Roman" w:cs="Times New Roman"/>
                <w:color w:val="0D0D0D" w:themeColor="text1" w:themeTint="F2"/>
                <w:sz w:val="24"/>
                <w:szCs w:val="24"/>
              </w:rPr>
            </w:pPr>
          </w:p>
          <w:p w14:paraId="1B73A30B" w14:textId="77777777" w:rsidR="00322805" w:rsidRPr="009A1244" w:rsidRDefault="00322805" w:rsidP="00CB2A3F">
            <w:pPr>
              <w:spacing w:after="112" w:line="276" w:lineRule="auto"/>
              <w:ind w:left="260"/>
              <w:rPr>
                <w:rFonts w:ascii="Times New Roman" w:hAnsi="Times New Roman" w:cs="Times New Roman"/>
                <w:color w:val="0D0D0D" w:themeColor="text1" w:themeTint="F2"/>
                <w:sz w:val="24"/>
                <w:szCs w:val="24"/>
              </w:rPr>
            </w:pPr>
          </w:p>
          <w:p w14:paraId="2C2B4F9B" w14:textId="6D3EC0B4" w:rsidR="00322805" w:rsidRPr="009A1244" w:rsidRDefault="00322805" w:rsidP="00CB2A3F">
            <w:pPr>
              <w:spacing w:after="112" w:line="276" w:lineRule="auto"/>
              <w:ind w:left="260"/>
              <w:rPr>
                <w:rFonts w:ascii="Times New Roman" w:hAnsi="Times New Roman" w:cs="Times New Roman"/>
                <w:color w:val="0D0D0D" w:themeColor="text1" w:themeTint="F2"/>
                <w:sz w:val="24"/>
                <w:szCs w:val="24"/>
              </w:rPr>
            </w:pPr>
            <w:r w:rsidRPr="009A1244">
              <w:rPr>
                <w:rFonts w:ascii="Times New Roman" w:hAnsi="Times New Roman" w:cs="Times New Roman"/>
                <w:color w:val="0D0D0D" w:themeColor="text1" w:themeTint="F2"/>
                <w:sz w:val="24"/>
                <w:szCs w:val="24"/>
              </w:rPr>
              <w:t>41</w:t>
            </w:r>
          </w:p>
        </w:tc>
        <w:tc>
          <w:tcPr>
            <w:tcW w:w="2244" w:type="dxa"/>
            <w:gridSpan w:val="2"/>
            <w:tcBorders>
              <w:top w:val="single" w:sz="4" w:space="0" w:color="auto"/>
              <w:bottom w:val="nil"/>
            </w:tcBorders>
          </w:tcPr>
          <w:p w14:paraId="74741FE2" w14:textId="48F27EBF" w:rsidR="00322805" w:rsidRPr="009A1244" w:rsidRDefault="00322805" w:rsidP="00CB2A3F">
            <w:pPr>
              <w:spacing w:after="115" w:line="276" w:lineRule="auto"/>
              <w:jc w:val="both"/>
              <w:rPr>
                <w:rFonts w:ascii="Times New Roman" w:hAnsi="Times New Roman" w:cs="Times New Roman"/>
                <w:color w:val="0D0D0D" w:themeColor="text1" w:themeTint="F2"/>
              </w:rPr>
            </w:pPr>
            <w:r w:rsidRPr="009A1244">
              <w:rPr>
                <w:rFonts w:ascii="Times New Roman" w:hAnsi="Times New Roman" w:cs="Times New Roman"/>
                <w:color w:val="0D0D0D" w:themeColor="text1" w:themeTint="F2"/>
                <w:sz w:val="24"/>
                <w:szCs w:val="24"/>
              </w:rPr>
              <w:t xml:space="preserve">Left </w:t>
            </w:r>
            <w:proofErr w:type="spellStart"/>
            <w:r w:rsidRPr="009A1244">
              <w:rPr>
                <w:rFonts w:ascii="Times New Roman" w:hAnsi="Times New Roman" w:cs="Times New Roman"/>
                <w:color w:val="0D0D0D" w:themeColor="text1" w:themeTint="F2"/>
                <w:sz w:val="24"/>
                <w:szCs w:val="24"/>
              </w:rPr>
              <w:t>ventrcle</w:t>
            </w:r>
            <w:proofErr w:type="spellEnd"/>
            <w:r w:rsidRPr="009A1244">
              <w:rPr>
                <w:rFonts w:ascii="Times New Roman" w:hAnsi="Times New Roman" w:cs="Times New Roman"/>
                <w:color w:val="0D0D0D" w:themeColor="text1" w:themeTint="F2"/>
                <w:sz w:val="24"/>
                <w:szCs w:val="24"/>
              </w:rPr>
              <w:t xml:space="preserve"> </w:t>
            </w:r>
          </w:p>
        </w:tc>
        <w:tc>
          <w:tcPr>
            <w:tcW w:w="981" w:type="dxa"/>
            <w:tcBorders>
              <w:top w:val="single" w:sz="4" w:space="0" w:color="auto"/>
              <w:bottom w:val="nil"/>
            </w:tcBorders>
          </w:tcPr>
          <w:p w14:paraId="154D5988" w14:textId="3828C16E" w:rsidR="00322805" w:rsidRPr="009A1244" w:rsidRDefault="00322805" w:rsidP="00CB2A3F">
            <w:pPr>
              <w:spacing w:after="115" w:line="276" w:lineRule="auto"/>
              <w:ind w:left="632"/>
              <w:jc w:val="right"/>
              <w:rPr>
                <w:rFonts w:ascii="Times New Roman" w:hAnsi="Times New Roman" w:cs="Times New Roman"/>
                <w:color w:val="0D0D0D" w:themeColor="text1" w:themeTint="F2"/>
                <w:sz w:val="24"/>
                <w:szCs w:val="24"/>
              </w:rPr>
            </w:pPr>
            <w:r w:rsidRPr="009A1244">
              <w:rPr>
                <w:rFonts w:ascii="Times New Roman" w:hAnsi="Times New Roman" w:cs="Times New Roman"/>
                <w:color w:val="0D0D0D" w:themeColor="text1" w:themeTint="F2"/>
                <w:sz w:val="24"/>
                <w:szCs w:val="24"/>
              </w:rPr>
              <w:t>27</w:t>
            </w:r>
          </w:p>
        </w:tc>
        <w:tc>
          <w:tcPr>
            <w:tcW w:w="2662" w:type="dxa"/>
            <w:vMerge w:val="restart"/>
            <w:tcBorders>
              <w:top w:val="single" w:sz="4" w:space="0" w:color="auto"/>
            </w:tcBorders>
          </w:tcPr>
          <w:p w14:paraId="0B74A3D4" w14:textId="77777777" w:rsidR="00322805" w:rsidRPr="009A1244" w:rsidRDefault="00322805" w:rsidP="00CB2A3F">
            <w:pPr>
              <w:spacing w:after="115" w:line="276" w:lineRule="auto"/>
              <w:ind w:left="632"/>
              <w:rPr>
                <w:rFonts w:ascii="Times New Roman" w:hAnsi="Times New Roman" w:cs="Times New Roman"/>
                <w:color w:val="0D0D0D" w:themeColor="text1" w:themeTint="F2"/>
                <w:sz w:val="24"/>
                <w:szCs w:val="24"/>
              </w:rPr>
            </w:pPr>
          </w:p>
          <w:p w14:paraId="4CAEBEAF" w14:textId="77777777" w:rsidR="00322805" w:rsidRPr="009A1244" w:rsidRDefault="00322805" w:rsidP="00CB2A3F">
            <w:pPr>
              <w:spacing w:after="115" w:line="276" w:lineRule="auto"/>
              <w:ind w:left="632"/>
              <w:rPr>
                <w:rFonts w:ascii="Times New Roman" w:hAnsi="Times New Roman" w:cs="Times New Roman"/>
                <w:color w:val="0D0D0D" w:themeColor="text1" w:themeTint="F2"/>
                <w:sz w:val="24"/>
                <w:szCs w:val="24"/>
              </w:rPr>
            </w:pPr>
          </w:p>
          <w:p w14:paraId="1499C414" w14:textId="14BDB3FD" w:rsidR="00322805" w:rsidRPr="009A1244" w:rsidRDefault="00322805" w:rsidP="00CB2A3F">
            <w:pPr>
              <w:spacing w:after="115" w:line="276" w:lineRule="auto"/>
              <w:ind w:left="632"/>
              <w:rPr>
                <w:rFonts w:ascii="Times New Roman" w:hAnsi="Times New Roman" w:cs="Times New Roman"/>
                <w:color w:val="0D0D0D" w:themeColor="text1" w:themeTint="F2"/>
                <w:sz w:val="24"/>
                <w:szCs w:val="24"/>
              </w:rPr>
            </w:pPr>
            <w:r w:rsidRPr="009A1244">
              <w:rPr>
                <w:rFonts w:ascii="Times New Roman" w:hAnsi="Times New Roman" w:cs="Times New Roman"/>
                <w:color w:val="0D0D0D" w:themeColor="text1" w:themeTint="F2"/>
                <w:sz w:val="24"/>
                <w:szCs w:val="24"/>
              </w:rPr>
              <w:t>8/81 (9,67%)</w:t>
            </w:r>
          </w:p>
        </w:tc>
      </w:tr>
      <w:tr w:rsidR="00322805" w:rsidRPr="009A1244" w14:paraId="28235F60" w14:textId="77777777" w:rsidTr="0060476B">
        <w:trPr>
          <w:trHeight w:val="223"/>
        </w:trPr>
        <w:tc>
          <w:tcPr>
            <w:tcW w:w="2946" w:type="dxa"/>
            <w:vMerge/>
          </w:tcPr>
          <w:p w14:paraId="3390B64D" w14:textId="77777777" w:rsidR="00322805" w:rsidRPr="009A1244" w:rsidRDefault="00322805" w:rsidP="00CB2A3F">
            <w:pPr>
              <w:spacing w:after="115" w:line="276" w:lineRule="auto"/>
              <w:ind w:left="122"/>
              <w:jc w:val="both"/>
              <w:rPr>
                <w:rFonts w:ascii="Times New Roman" w:hAnsi="Times New Roman" w:cs="Times New Roman"/>
                <w:color w:val="0D0D0D" w:themeColor="text1" w:themeTint="F2"/>
                <w:sz w:val="24"/>
                <w:szCs w:val="24"/>
              </w:rPr>
            </w:pPr>
          </w:p>
        </w:tc>
        <w:tc>
          <w:tcPr>
            <w:tcW w:w="1403" w:type="dxa"/>
            <w:vMerge/>
          </w:tcPr>
          <w:p w14:paraId="51AE79F2" w14:textId="77777777" w:rsidR="00322805" w:rsidRPr="009A1244" w:rsidRDefault="00322805" w:rsidP="00CB2A3F">
            <w:pPr>
              <w:spacing w:after="112" w:line="276" w:lineRule="auto"/>
              <w:ind w:left="260"/>
              <w:jc w:val="both"/>
              <w:rPr>
                <w:rFonts w:ascii="Times New Roman" w:hAnsi="Times New Roman" w:cs="Times New Roman"/>
                <w:color w:val="0D0D0D" w:themeColor="text1" w:themeTint="F2"/>
                <w:sz w:val="24"/>
                <w:szCs w:val="24"/>
              </w:rPr>
            </w:pPr>
          </w:p>
        </w:tc>
        <w:tc>
          <w:tcPr>
            <w:tcW w:w="2244" w:type="dxa"/>
            <w:gridSpan w:val="2"/>
            <w:tcBorders>
              <w:top w:val="single" w:sz="4" w:space="0" w:color="auto"/>
              <w:bottom w:val="nil"/>
            </w:tcBorders>
          </w:tcPr>
          <w:p w14:paraId="4533ADF9" w14:textId="7D59157C" w:rsidR="00322805" w:rsidRPr="009A1244" w:rsidRDefault="00322805" w:rsidP="00CB2A3F">
            <w:pPr>
              <w:spacing w:after="115" w:line="276" w:lineRule="auto"/>
              <w:jc w:val="both"/>
              <w:rPr>
                <w:rFonts w:ascii="Times New Roman" w:hAnsi="Times New Roman" w:cs="Times New Roman"/>
                <w:color w:val="0D0D0D" w:themeColor="text1" w:themeTint="F2"/>
              </w:rPr>
            </w:pPr>
            <w:r w:rsidRPr="009A1244">
              <w:rPr>
                <w:rFonts w:ascii="Times New Roman" w:hAnsi="Times New Roman" w:cs="Times New Roman"/>
                <w:color w:val="0D0D0D" w:themeColor="text1" w:themeTint="F2"/>
                <w:sz w:val="24"/>
                <w:szCs w:val="24"/>
              </w:rPr>
              <w:t>L</w:t>
            </w:r>
            <w:r w:rsidRPr="009A1244">
              <w:rPr>
                <w:rFonts w:ascii="Times New Roman" w:hAnsi="Times New Roman" w:cs="Times New Roman"/>
                <w:color w:val="0D0D0D" w:themeColor="text1" w:themeTint="F2"/>
                <w:sz w:val="24"/>
                <w:szCs w:val="24"/>
              </w:rPr>
              <w:t>eft atrial</w:t>
            </w:r>
            <w:r w:rsidRPr="009A1244">
              <w:rPr>
                <w:rFonts w:ascii="Times New Roman" w:hAnsi="Times New Roman" w:cs="Times New Roman"/>
                <w:color w:val="0D0D0D" w:themeColor="text1" w:themeTint="F2"/>
                <w:sz w:val="24"/>
                <w:szCs w:val="24"/>
              </w:rPr>
              <w:t xml:space="preserve"> </w:t>
            </w:r>
          </w:p>
        </w:tc>
        <w:tc>
          <w:tcPr>
            <w:tcW w:w="981" w:type="dxa"/>
            <w:tcBorders>
              <w:top w:val="single" w:sz="4" w:space="0" w:color="auto"/>
              <w:bottom w:val="nil"/>
            </w:tcBorders>
          </w:tcPr>
          <w:p w14:paraId="2D8907D1" w14:textId="7DC74219" w:rsidR="00322805" w:rsidRPr="009A1244" w:rsidRDefault="00322805" w:rsidP="00CB2A3F">
            <w:pPr>
              <w:spacing w:after="115" w:line="276" w:lineRule="auto"/>
              <w:ind w:left="632"/>
              <w:jc w:val="right"/>
              <w:rPr>
                <w:rFonts w:ascii="Times New Roman" w:hAnsi="Times New Roman" w:cs="Times New Roman"/>
                <w:color w:val="0D0D0D" w:themeColor="text1" w:themeTint="F2"/>
                <w:sz w:val="24"/>
                <w:szCs w:val="24"/>
              </w:rPr>
            </w:pPr>
            <w:r w:rsidRPr="009A1244">
              <w:rPr>
                <w:rFonts w:ascii="Times New Roman" w:hAnsi="Times New Roman" w:cs="Times New Roman"/>
                <w:color w:val="0D0D0D" w:themeColor="text1" w:themeTint="F2"/>
                <w:sz w:val="24"/>
                <w:szCs w:val="24"/>
              </w:rPr>
              <w:t>12</w:t>
            </w:r>
          </w:p>
        </w:tc>
        <w:tc>
          <w:tcPr>
            <w:tcW w:w="2662" w:type="dxa"/>
            <w:vMerge/>
          </w:tcPr>
          <w:p w14:paraId="7CFD9AAA" w14:textId="77777777" w:rsidR="00322805" w:rsidRPr="009A1244" w:rsidRDefault="00322805" w:rsidP="00CB2A3F">
            <w:pPr>
              <w:spacing w:after="115" w:line="276" w:lineRule="auto"/>
              <w:ind w:left="632"/>
              <w:rPr>
                <w:rFonts w:ascii="Times New Roman" w:hAnsi="Times New Roman" w:cs="Times New Roman"/>
                <w:color w:val="0D0D0D" w:themeColor="text1" w:themeTint="F2"/>
                <w:sz w:val="24"/>
                <w:szCs w:val="24"/>
              </w:rPr>
            </w:pPr>
          </w:p>
        </w:tc>
      </w:tr>
      <w:tr w:rsidR="00322805" w:rsidRPr="009A1244" w14:paraId="40B8327C" w14:textId="77777777" w:rsidTr="0060476B">
        <w:trPr>
          <w:trHeight w:val="223"/>
        </w:trPr>
        <w:tc>
          <w:tcPr>
            <w:tcW w:w="2946" w:type="dxa"/>
            <w:vMerge/>
          </w:tcPr>
          <w:p w14:paraId="700EA3D7" w14:textId="77777777" w:rsidR="00322805" w:rsidRPr="009A1244" w:rsidRDefault="00322805" w:rsidP="00CB2A3F">
            <w:pPr>
              <w:spacing w:after="115" w:line="276" w:lineRule="auto"/>
              <w:ind w:left="122"/>
              <w:jc w:val="both"/>
              <w:rPr>
                <w:rFonts w:ascii="Times New Roman" w:hAnsi="Times New Roman" w:cs="Times New Roman"/>
                <w:color w:val="0D0D0D" w:themeColor="text1" w:themeTint="F2"/>
                <w:sz w:val="24"/>
                <w:szCs w:val="24"/>
              </w:rPr>
            </w:pPr>
          </w:p>
        </w:tc>
        <w:tc>
          <w:tcPr>
            <w:tcW w:w="1403" w:type="dxa"/>
            <w:vMerge/>
          </w:tcPr>
          <w:p w14:paraId="7CB05142" w14:textId="77777777" w:rsidR="00322805" w:rsidRPr="009A1244" w:rsidRDefault="00322805" w:rsidP="00CB2A3F">
            <w:pPr>
              <w:spacing w:after="112" w:line="276" w:lineRule="auto"/>
              <w:ind w:left="260"/>
              <w:jc w:val="both"/>
              <w:rPr>
                <w:rFonts w:ascii="Times New Roman" w:hAnsi="Times New Roman" w:cs="Times New Roman"/>
                <w:color w:val="0D0D0D" w:themeColor="text1" w:themeTint="F2"/>
                <w:sz w:val="24"/>
                <w:szCs w:val="24"/>
              </w:rPr>
            </w:pPr>
          </w:p>
        </w:tc>
        <w:tc>
          <w:tcPr>
            <w:tcW w:w="2244" w:type="dxa"/>
            <w:gridSpan w:val="2"/>
            <w:tcBorders>
              <w:top w:val="single" w:sz="4" w:space="0" w:color="auto"/>
              <w:bottom w:val="nil"/>
            </w:tcBorders>
          </w:tcPr>
          <w:p w14:paraId="49212696" w14:textId="33D45BC6" w:rsidR="00322805" w:rsidRPr="009A1244" w:rsidRDefault="00322805" w:rsidP="00CB2A3F">
            <w:pPr>
              <w:spacing w:after="115" w:line="276" w:lineRule="auto"/>
              <w:jc w:val="both"/>
              <w:rPr>
                <w:rFonts w:ascii="Times New Roman" w:hAnsi="Times New Roman" w:cs="Times New Roman"/>
                <w:color w:val="0D0D0D" w:themeColor="text1" w:themeTint="F2"/>
              </w:rPr>
            </w:pPr>
            <w:r w:rsidRPr="009A1244">
              <w:rPr>
                <w:rFonts w:ascii="Times New Roman" w:hAnsi="Times New Roman" w:cs="Times New Roman"/>
                <w:color w:val="0D0D0D" w:themeColor="text1" w:themeTint="F2"/>
                <w:sz w:val="24"/>
                <w:szCs w:val="24"/>
              </w:rPr>
              <w:t>R</w:t>
            </w:r>
            <w:r w:rsidRPr="009A1244">
              <w:rPr>
                <w:rFonts w:ascii="Times New Roman" w:hAnsi="Times New Roman" w:cs="Times New Roman"/>
                <w:color w:val="0D0D0D" w:themeColor="text1" w:themeTint="F2"/>
                <w:sz w:val="24"/>
                <w:szCs w:val="24"/>
              </w:rPr>
              <w:t xml:space="preserve">ight </w:t>
            </w:r>
            <w:proofErr w:type="spellStart"/>
            <w:r w:rsidRPr="009A1244">
              <w:rPr>
                <w:rFonts w:ascii="Times New Roman" w:hAnsi="Times New Roman" w:cs="Times New Roman"/>
                <w:color w:val="0D0D0D" w:themeColor="text1" w:themeTint="F2"/>
                <w:sz w:val="24"/>
                <w:szCs w:val="24"/>
              </w:rPr>
              <w:t>ventrcle</w:t>
            </w:r>
            <w:proofErr w:type="spellEnd"/>
            <w:r w:rsidRPr="009A1244">
              <w:rPr>
                <w:rFonts w:ascii="Times New Roman" w:hAnsi="Times New Roman" w:cs="Times New Roman"/>
                <w:color w:val="0D0D0D" w:themeColor="text1" w:themeTint="F2"/>
                <w:sz w:val="24"/>
                <w:szCs w:val="24"/>
              </w:rPr>
              <w:t xml:space="preserve"> </w:t>
            </w:r>
          </w:p>
        </w:tc>
        <w:tc>
          <w:tcPr>
            <w:tcW w:w="981" w:type="dxa"/>
            <w:tcBorders>
              <w:top w:val="single" w:sz="4" w:space="0" w:color="auto"/>
              <w:bottom w:val="nil"/>
            </w:tcBorders>
          </w:tcPr>
          <w:p w14:paraId="132A4F62" w14:textId="754D9399" w:rsidR="00322805" w:rsidRPr="009A1244" w:rsidRDefault="00322805" w:rsidP="00CB2A3F">
            <w:pPr>
              <w:spacing w:after="115" w:line="276" w:lineRule="auto"/>
              <w:ind w:left="632"/>
              <w:jc w:val="right"/>
              <w:rPr>
                <w:rFonts w:ascii="Times New Roman" w:hAnsi="Times New Roman" w:cs="Times New Roman"/>
                <w:color w:val="0D0D0D" w:themeColor="text1" w:themeTint="F2"/>
                <w:sz w:val="24"/>
                <w:szCs w:val="24"/>
              </w:rPr>
            </w:pPr>
            <w:r w:rsidRPr="009A1244">
              <w:rPr>
                <w:rFonts w:ascii="Times New Roman" w:hAnsi="Times New Roman" w:cs="Times New Roman"/>
                <w:color w:val="0D0D0D" w:themeColor="text1" w:themeTint="F2"/>
                <w:sz w:val="24"/>
                <w:szCs w:val="24"/>
              </w:rPr>
              <w:t>04</w:t>
            </w:r>
          </w:p>
        </w:tc>
        <w:tc>
          <w:tcPr>
            <w:tcW w:w="2662" w:type="dxa"/>
            <w:vMerge/>
          </w:tcPr>
          <w:p w14:paraId="5934268F" w14:textId="77777777" w:rsidR="00322805" w:rsidRPr="009A1244" w:rsidRDefault="00322805" w:rsidP="00CB2A3F">
            <w:pPr>
              <w:spacing w:after="115" w:line="276" w:lineRule="auto"/>
              <w:ind w:left="632"/>
              <w:rPr>
                <w:rFonts w:ascii="Times New Roman" w:hAnsi="Times New Roman" w:cs="Times New Roman"/>
                <w:color w:val="0D0D0D" w:themeColor="text1" w:themeTint="F2"/>
                <w:sz w:val="24"/>
                <w:szCs w:val="24"/>
              </w:rPr>
            </w:pPr>
          </w:p>
        </w:tc>
      </w:tr>
      <w:tr w:rsidR="00322805" w:rsidRPr="009A1244" w14:paraId="6212922D" w14:textId="77777777" w:rsidTr="0060476B">
        <w:trPr>
          <w:trHeight w:val="223"/>
        </w:trPr>
        <w:tc>
          <w:tcPr>
            <w:tcW w:w="2946" w:type="dxa"/>
            <w:vMerge/>
            <w:tcBorders>
              <w:bottom w:val="single" w:sz="4" w:space="0" w:color="auto"/>
            </w:tcBorders>
          </w:tcPr>
          <w:p w14:paraId="7575A685" w14:textId="77777777" w:rsidR="00322805" w:rsidRPr="009A1244" w:rsidRDefault="00322805" w:rsidP="00CB2A3F">
            <w:pPr>
              <w:spacing w:after="115" w:line="276" w:lineRule="auto"/>
              <w:ind w:left="122"/>
              <w:jc w:val="both"/>
              <w:rPr>
                <w:rFonts w:ascii="Times New Roman" w:hAnsi="Times New Roman" w:cs="Times New Roman"/>
                <w:color w:val="0D0D0D" w:themeColor="text1" w:themeTint="F2"/>
                <w:sz w:val="24"/>
                <w:szCs w:val="24"/>
              </w:rPr>
            </w:pPr>
          </w:p>
        </w:tc>
        <w:tc>
          <w:tcPr>
            <w:tcW w:w="1403" w:type="dxa"/>
            <w:vMerge/>
            <w:tcBorders>
              <w:bottom w:val="single" w:sz="4" w:space="0" w:color="auto"/>
            </w:tcBorders>
          </w:tcPr>
          <w:p w14:paraId="3D82369A" w14:textId="77777777" w:rsidR="00322805" w:rsidRPr="009A1244" w:rsidRDefault="00322805" w:rsidP="00CB2A3F">
            <w:pPr>
              <w:spacing w:after="112" w:line="276" w:lineRule="auto"/>
              <w:ind w:left="260"/>
              <w:jc w:val="both"/>
              <w:rPr>
                <w:rFonts w:ascii="Times New Roman" w:hAnsi="Times New Roman" w:cs="Times New Roman"/>
                <w:color w:val="0D0D0D" w:themeColor="text1" w:themeTint="F2"/>
                <w:sz w:val="24"/>
                <w:szCs w:val="24"/>
              </w:rPr>
            </w:pPr>
          </w:p>
        </w:tc>
        <w:tc>
          <w:tcPr>
            <w:tcW w:w="2244" w:type="dxa"/>
            <w:gridSpan w:val="2"/>
            <w:tcBorders>
              <w:top w:val="single" w:sz="4" w:space="0" w:color="auto"/>
              <w:bottom w:val="single" w:sz="4" w:space="0" w:color="auto"/>
            </w:tcBorders>
          </w:tcPr>
          <w:p w14:paraId="5D54A259" w14:textId="64ABB0FF" w:rsidR="00322805" w:rsidRPr="009A1244" w:rsidRDefault="00322805" w:rsidP="00CB2A3F">
            <w:pPr>
              <w:spacing w:after="115" w:line="276" w:lineRule="auto"/>
              <w:jc w:val="both"/>
              <w:rPr>
                <w:rFonts w:ascii="Times New Roman" w:hAnsi="Times New Roman" w:cs="Times New Roman"/>
                <w:color w:val="0D0D0D" w:themeColor="text1" w:themeTint="F2"/>
              </w:rPr>
            </w:pPr>
            <w:r w:rsidRPr="009A1244">
              <w:rPr>
                <w:rFonts w:ascii="Times New Roman" w:hAnsi="Times New Roman" w:cs="Times New Roman"/>
                <w:color w:val="0D0D0D" w:themeColor="text1" w:themeTint="F2"/>
                <w:sz w:val="24"/>
                <w:szCs w:val="24"/>
              </w:rPr>
              <w:t>R</w:t>
            </w:r>
            <w:r w:rsidRPr="009A1244">
              <w:rPr>
                <w:rFonts w:ascii="Times New Roman" w:hAnsi="Times New Roman" w:cs="Times New Roman"/>
                <w:color w:val="0D0D0D" w:themeColor="text1" w:themeTint="F2"/>
                <w:sz w:val="24"/>
                <w:szCs w:val="24"/>
              </w:rPr>
              <w:t xml:space="preserve">ight atrial </w:t>
            </w:r>
            <w:r w:rsidRPr="009A1244">
              <w:rPr>
                <w:rFonts w:ascii="Times New Roman" w:hAnsi="Times New Roman" w:cs="Times New Roman"/>
                <w:color w:val="0D0D0D" w:themeColor="text1" w:themeTint="F2"/>
                <w:sz w:val="24"/>
                <w:szCs w:val="24"/>
              </w:rPr>
              <w:t xml:space="preserve"> </w:t>
            </w:r>
          </w:p>
        </w:tc>
        <w:tc>
          <w:tcPr>
            <w:tcW w:w="981" w:type="dxa"/>
            <w:tcBorders>
              <w:top w:val="single" w:sz="4" w:space="0" w:color="auto"/>
              <w:bottom w:val="single" w:sz="4" w:space="0" w:color="auto"/>
            </w:tcBorders>
          </w:tcPr>
          <w:p w14:paraId="47757634" w14:textId="775C904F" w:rsidR="00322805" w:rsidRPr="009A1244" w:rsidRDefault="00322805" w:rsidP="00CB2A3F">
            <w:pPr>
              <w:spacing w:after="115" w:line="276" w:lineRule="auto"/>
              <w:ind w:left="632"/>
              <w:jc w:val="right"/>
              <w:rPr>
                <w:rFonts w:ascii="Times New Roman" w:hAnsi="Times New Roman" w:cs="Times New Roman"/>
                <w:color w:val="0D0D0D" w:themeColor="text1" w:themeTint="F2"/>
                <w:sz w:val="24"/>
                <w:szCs w:val="24"/>
              </w:rPr>
            </w:pPr>
            <w:r w:rsidRPr="009A1244">
              <w:rPr>
                <w:rFonts w:ascii="Times New Roman" w:hAnsi="Times New Roman" w:cs="Times New Roman"/>
                <w:color w:val="0D0D0D" w:themeColor="text1" w:themeTint="F2"/>
                <w:sz w:val="24"/>
                <w:szCs w:val="24"/>
              </w:rPr>
              <w:t>02</w:t>
            </w:r>
          </w:p>
        </w:tc>
        <w:tc>
          <w:tcPr>
            <w:tcW w:w="2662" w:type="dxa"/>
            <w:vMerge/>
            <w:tcBorders>
              <w:bottom w:val="single" w:sz="4" w:space="0" w:color="auto"/>
            </w:tcBorders>
          </w:tcPr>
          <w:p w14:paraId="004494F1" w14:textId="77777777" w:rsidR="00322805" w:rsidRPr="009A1244" w:rsidRDefault="00322805" w:rsidP="00CB2A3F">
            <w:pPr>
              <w:spacing w:after="115" w:line="276" w:lineRule="auto"/>
              <w:ind w:left="632"/>
              <w:rPr>
                <w:rFonts w:ascii="Times New Roman" w:hAnsi="Times New Roman" w:cs="Times New Roman"/>
                <w:color w:val="0D0D0D" w:themeColor="text1" w:themeTint="F2"/>
                <w:sz w:val="24"/>
                <w:szCs w:val="24"/>
              </w:rPr>
            </w:pPr>
          </w:p>
        </w:tc>
      </w:tr>
      <w:tr w:rsidR="00322805" w:rsidRPr="009A1244" w14:paraId="476C8405" w14:textId="77777777" w:rsidTr="0060476B">
        <w:trPr>
          <w:trHeight w:val="121"/>
        </w:trPr>
        <w:tc>
          <w:tcPr>
            <w:tcW w:w="2946" w:type="dxa"/>
            <w:vMerge w:val="restart"/>
            <w:tcBorders>
              <w:top w:val="single" w:sz="4" w:space="0" w:color="auto"/>
            </w:tcBorders>
          </w:tcPr>
          <w:p w14:paraId="704C97BB" w14:textId="77777777" w:rsidR="0060476B" w:rsidRPr="009A1244" w:rsidRDefault="0060476B" w:rsidP="00CB2A3F">
            <w:pPr>
              <w:spacing w:after="112" w:line="276" w:lineRule="auto"/>
              <w:ind w:left="122"/>
              <w:jc w:val="both"/>
              <w:rPr>
                <w:rFonts w:ascii="Times New Roman" w:hAnsi="Times New Roman" w:cs="Times New Roman"/>
                <w:color w:val="0D0D0D" w:themeColor="text1" w:themeTint="F2"/>
                <w:sz w:val="24"/>
                <w:szCs w:val="24"/>
              </w:rPr>
            </w:pPr>
          </w:p>
          <w:p w14:paraId="6FA8F6FA" w14:textId="77777777" w:rsidR="0060476B" w:rsidRPr="009A1244" w:rsidRDefault="0060476B" w:rsidP="00CB2A3F">
            <w:pPr>
              <w:spacing w:after="112" w:line="276" w:lineRule="auto"/>
              <w:ind w:left="122"/>
              <w:jc w:val="both"/>
              <w:rPr>
                <w:rFonts w:ascii="Times New Roman" w:hAnsi="Times New Roman" w:cs="Times New Roman"/>
                <w:color w:val="0D0D0D" w:themeColor="text1" w:themeTint="F2"/>
                <w:sz w:val="24"/>
                <w:szCs w:val="24"/>
              </w:rPr>
            </w:pPr>
          </w:p>
          <w:p w14:paraId="34AC0232" w14:textId="4565DBAB" w:rsidR="00322805" w:rsidRPr="009A1244" w:rsidRDefault="00322805" w:rsidP="00CB2A3F">
            <w:pPr>
              <w:spacing w:after="112" w:line="276" w:lineRule="auto"/>
              <w:ind w:left="122"/>
              <w:jc w:val="both"/>
              <w:rPr>
                <w:rFonts w:ascii="Times New Roman" w:hAnsi="Times New Roman" w:cs="Times New Roman"/>
                <w:color w:val="0D0D0D" w:themeColor="text1" w:themeTint="F2"/>
                <w:sz w:val="24"/>
                <w:szCs w:val="24"/>
              </w:rPr>
            </w:pPr>
            <w:r w:rsidRPr="009A1244">
              <w:rPr>
                <w:rFonts w:ascii="Times New Roman" w:hAnsi="Times New Roman" w:cs="Times New Roman"/>
                <w:color w:val="0D0D0D" w:themeColor="text1" w:themeTint="F2"/>
                <w:sz w:val="24"/>
                <w:szCs w:val="24"/>
              </w:rPr>
              <w:t xml:space="preserve">Valvular vegetations </w:t>
            </w:r>
          </w:p>
        </w:tc>
        <w:tc>
          <w:tcPr>
            <w:tcW w:w="1403" w:type="dxa"/>
            <w:vMerge w:val="restart"/>
            <w:tcBorders>
              <w:top w:val="single" w:sz="4" w:space="0" w:color="auto"/>
            </w:tcBorders>
          </w:tcPr>
          <w:p w14:paraId="3C076C99" w14:textId="77777777" w:rsidR="0060476B" w:rsidRPr="009A1244" w:rsidRDefault="0060476B" w:rsidP="00CB2A3F">
            <w:pPr>
              <w:spacing w:after="112" w:line="276" w:lineRule="auto"/>
              <w:ind w:left="260"/>
              <w:jc w:val="both"/>
              <w:rPr>
                <w:rFonts w:ascii="Times New Roman" w:hAnsi="Times New Roman" w:cs="Times New Roman"/>
                <w:color w:val="0D0D0D" w:themeColor="text1" w:themeTint="F2"/>
                <w:sz w:val="24"/>
                <w:szCs w:val="24"/>
              </w:rPr>
            </w:pPr>
          </w:p>
          <w:p w14:paraId="77D150EB" w14:textId="77777777" w:rsidR="0060476B" w:rsidRPr="009A1244" w:rsidRDefault="0060476B" w:rsidP="00CB2A3F">
            <w:pPr>
              <w:spacing w:after="112" w:line="276" w:lineRule="auto"/>
              <w:ind w:left="260"/>
              <w:jc w:val="both"/>
              <w:rPr>
                <w:rFonts w:ascii="Times New Roman" w:hAnsi="Times New Roman" w:cs="Times New Roman"/>
                <w:color w:val="0D0D0D" w:themeColor="text1" w:themeTint="F2"/>
                <w:sz w:val="24"/>
                <w:szCs w:val="24"/>
              </w:rPr>
            </w:pPr>
          </w:p>
          <w:p w14:paraId="45DCF707" w14:textId="03DE0779" w:rsidR="00322805" w:rsidRPr="009A1244" w:rsidRDefault="00322805" w:rsidP="00CB2A3F">
            <w:pPr>
              <w:spacing w:after="112" w:line="276" w:lineRule="auto"/>
              <w:ind w:left="260"/>
              <w:jc w:val="both"/>
              <w:rPr>
                <w:rFonts w:ascii="Times New Roman" w:hAnsi="Times New Roman" w:cs="Times New Roman"/>
                <w:color w:val="0D0D0D" w:themeColor="text1" w:themeTint="F2"/>
                <w:sz w:val="24"/>
                <w:szCs w:val="24"/>
              </w:rPr>
            </w:pPr>
            <w:r w:rsidRPr="009A1244">
              <w:rPr>
                <w:rFonts w:ascii="Times New Roman" w:hAnsi="Times New Roman" w:cs="Times New Roman"/>
                <w:color w:val="0D0D0D" w:themeColor="text1" w:themeTint="F2"/>
                <w:sz w:val="24"/>
                <w:szCs w:val="24"/>
              </w:rPr>
              <w:t>32</w:t>
            </w:r>
          </w:p>
        </w:tc>
        <w:tc>
          <w:tcPr>
            <w:tcW w:w="2244" w:type="dxa"/>
            <w:gridSpan w:val="2"/>
            <w:tcBorders>
              <w:top w:val="single" w:sz="4" w:space="0" w:color="auto"/>
              <w:bottom w:val="single" w:sz="4" w:space="0" w:color="auto"/>
            </w:tcBorders>
          </w:tcPr>
          <w:p w14:paraId="211FBA76" w14:textId="330E6B33" w:rsidR="00322805" w:rsidRPr="009A1244" w:rsidRDefault="00322805" w:rsidP="00CB2A3F">
            <w:pPr>
              <w:spacing w:after="112" w:line="276" w:lineRule="auto"/>
              <w:jc w:val="both"/>
              <w:rPr>
                <w:rFonts w:ascii="Times New Roman" w:hAnsi="Times New Roman" w:cs="Times New Roman"/>
                <w:color w:val="0D0D0D" w:themeColor="text1" w:themeTint="F2"/>
              </w:rPr>
            </w:pPr>
            <w:r w:rsidRPr="009A1244">
              <w:rPr>
                <w:rFonts w:ascii="Times New Roman" w:hAnsi="Times New Roman" w:cs="Times New Roman"/>
                <w:color w:val="0D0D0D" w:themeColor="text1" w:themeTint="F2"/>
              </w:rPr>
              <w:t>Mitral valve</w:t>
            </w:r>
          </w:p>
        </w:tc>
        <w:tc>
          <w:tcPr>
            <w:tcW w:w="981" w:type="dxa"/>
            <w:tcBorders>
              <w:top w:val="single" w:sz="4" w:space="0" w:color="auto"/>
              <w:bottom w:val="single" w:sz="4" w:space="0" w:color="auto"/>
            </w:tcBorders>
          </w:tcPr>
          <w:p w14:paraId="1C21C330" w14:textId="2088FF9A" w:rsidR="00322805" w:rsidRPr="009A1244" w:rsidRDefault="00322805" w:rsidP="00CB2A3F">
            <w:pPr>
              <w:spacing w:after="112" w:line="276" w:lineRule="auto"/>
              <w:ind w:left="632"/>
              <w:jc w:val="right"/>
              <w:rPr>
                <w:rFonts w:ascii="Times New Roman" w:hAnsi="Times New Roman" w:cs="Times New Roman"/>
                <w:color w:val="0D0D0D" w:themeColor="text1" w:themeTint="F2"/>
                <w:sz w:val="24"/>
                <w:szCs w:val="24"/>
              </w:rPr>
            </w:pPr>
            <w:r w:rsidRPr="009A1244">
              <w:rPr>
                <w:rFonts w:ascii="Times New Roman" w:hAnsi="Times New Roman" w:cs="Times New Roman"/>
                <w:color w:val="0D0D0D" w:themeColor="text1" w:themeTint="F2"/>
                <w:sz w:val="24"/>
                <w:szCs w:val="24"/>
              </w:rPr>
              <w:t>19</w:t>
            </w:r>
          </w:p>
        </w:tc>
        <w:tc>
          <w:tcPr>
            <w:tcW w:w="2662" w:type="dxa"/>
            <w:vMerge w:val="restart"/>
            <w:tcBorders>
              <w:top w:val="single" w:sz="4" w:space="0" w:color="auto"/>
            </w:tcBorders>
          </w:tcPr>
          <w:p w14:paraId="54A2707F" w14:textId="77777777" w:rsidR="0060476B" w:rsidRPr="009A1244" w:rsidRDefault="0060476B" w:rsidP="00CB2A3F">
            <w:pPr>
              <w:spacing w:after="112" w:line="276" w:lineRule="auto"/>
              <w:ind w:left="632"/>
              <w:rPr>
                <w:rFonts w:ascii="Times New Roman" w:hAnsi="Times New Roman" w:cs="Times New Roman"/>
                <w:color w:val="0D0D0D" w:themeColor="text1" w:themeTint="F2"/>
                <w:sz w:val="24"/>
                <w:szCs w:val="24"/>
              </w:rPr>
            </w:pPr>
          </w:p>
          <w:p w14:paraId="255AC7F9" w14:textId="77777777" w:rsidR="0060476B" w:rsidRPr="009A1244" w:rsidRDefault="0060476B" w:rsidP="00CB2A3F">
            <w:pPr>
              <w:spacing w:after="112" w:line="276" w:lineRule="auto"/>
              <w:ind w:left="632"/>
              <w:rPr>
                <w:rFonts w:ascii="Times New Roman" w:hAnsi="Times New Roman" w:cs="Times New Roman"/>
                <w:color w:val="0D0D0D" w:themeColor="text1" w:themeTint="F2"/>
                <w:sz w:val="24"/>
                <w:szCs w:val="24"/>
              </w:rPr>
            </w:pPr>
          </w:p>
          <w:p w14:paraId="48FDB098" w14:textId="76C2AC59" w:rsidR="00322805" w:rsidRPr="009A1244" w:rsidRDefault="00322805" w:rsidP="00CB2A3F">
            <w:pPr>
              <w:spacing w:after="112" w:line="276" w:lineRule="auto"/>
              <w:ind w:left="632"/>
              <w:rPr>
                <w:rFonts w:ascii="Times New Roman" w:hAnsi="Times New Roman" w:cs="Times New Roman"/>
                <w:color w:val="0D0D0D" w:themeColor="text1" w:themeTint="F2"/>
                <w:sz w:val="24"/>
                <w:szCs w:val="24"/>
              </w:rPr>
            </w:pPr>
            <w:r w:rsidRPr="009A1244">
              <w:rPr>
                <w:rFonts w:ascii="Times New Roman" w:hAnsi="Times New Roman" w:cs="Times New Roman"/>
                <w:color w:val="0D0D0D" w:themeColor="text1" w:themeTint="F2"/>
                <w:sz w:val="24"/>
                <w:szCs w:val="24"/>
              </w:rPr>
              <w:t>9/81 (11,11%)</w:t>
            </w:r>
          </w:p>
        </w:tc>
      </w:tr>
      <w:tr w:rsidR="00322805" w:rsidRPr="009A1244" w14:paraId="0CB9F440" w14:textId="77777777" w:rsidTr="0060476B">
        <w:trPr>
          <w:trHeight w:val="120"/>
        </w:trPr>
        <w:tc>
          <w:tcPr>
            <w:tcW w:w="2946" w:type="dxa"/>
            <w:vMerge/>
          </w:tcPr>
          <w:p w14:paraId="45A7B4B0" w14:textId="77777777" w:rsidR="00322805" w:rsidRPr="009A1244" w:rsidRDefault="00322805" w:rsidP="00CB2A3F">
            <w:pPr>
              <w:spacing w:after="112" w:line="276" w:lineRule="auto"/>
              <w:ind w:left="122"/>
              <w:jc w:val="both"/>
              <w:rPr>
                <w:rFonts w:ascii="Times New Roman" w:hAnsi="Times New Roman" w:cs="Times New Roman"/>
                <w:color w:val="0D0D0D" w:themeColor="text1" w:themeTint="F2"/>
              </w:rPr>
            </w:pPr>
          </w:p>
        </w:tc>
        <w:tc>
          <w:tcPr>
            <w:tcW w:w="1403" w:type="dxa"/>
            <w:vMerge/>
          </w:tcPr>
          <w:p w14:paraId="4DCBA21F" w14:textId="77777777" w:rsidR="00322805" w:rsidRPr="009A1244" w:rsidRDefault="00322805" w:rsidP="00CB2A3F">
            <w:pPr>
              <w:spacing w:after="112" w:line="276" w:lineRule="auto"/>
              <w:ind w:left="260"/>
              <w:jc w:val="both"/>
              <w:rPr>
                <w:rFonts w:ascii="Times New Roman" w:hAnsi="Times New Roman" w:cs="Times New Roman"/>
                <w:color w:val="0D0D0D" w:themeColor="text1" w:themeTint="F2"/>
              </w:rPr>
            </w:pPr>
          </w:p>
        </w:tc>
        <w:tc>
          <w:tcPr>
            <w:tcW w:w="2244" w:type="dxa"/>
            <w:gridSpan w:val="2"/>
            <w:tcBorders>
              <w:top w:val="single" w:sz="4" w:space="0" w:color="auto"/>
              <w:bottom w:val="single" w:sz="4" w:space="0" w:color="auto"/>
            </w:tcBorders>
          </w:tcPr>
          <w:p w14:paraId="78E45753" w14:textId="1337FE12" w:rsidR="00322805" w:rsidRPr="009A1244" w:rsidRDefault="00322805" w:rsidP="00CB2A3F">
            <w:pPr>
              <w:spacing w:after="112" w:line="276" w:lineRule="auto"/>
              <w:jc w:val="both"/>
              <w:rPr>
                <w:rFonts w:ascii="Times New Roman" w:hAnsi="Times New Roman" w:cs="Times New Roman"/>
                <w:color w:val="0D0D0D" w:themeColor="text1" w:themeTint="F2"/>
              </w:rPr>
            </w:pPr>
            <w:r w:rsidRPr="009A1244">
              <w:rPr>
                <w:rFonts w:ascii="Times New Roman" w:hAnsi="Times New Roman" w:cs="Times New Roman"/>
                <w:color w:val="0D0D0D" w:themeColor="text1" w:themeTint="F2"/>
              </w:rPr>
              <w:t>Aortic valve</w:t>
            </w:r>
          </w:p>
        </w:tc>
        <w:tc>
          <w:tcPr>
            <w:tcW w:w="981" w:type="dxa"/>
            <w:tcBorders>
              <w:top w:val="single" w:sz="4" w:space="0" w:color="auto"/>
              <w:bottom w:val="single" w:sz="4" w:space="0" w:color="auto"/>
            </w:tcBorders>
          </w:tcPr>
          <w:p w14:paraId="18176577" w14:textId="2AE3A8FE" w:rsidR="00322805" w:rsidRPr="009A1244" w:rsidRDefault="00322805" w:rsidP="00CB2A3F">
            <w:pPr>
              <w:spacing w:after="112" w:line="276" w:lineRule="auto"/>
              <w:ind w:left="632"/>
              <w:jc w:val="right"/>
              <w:rPr>
                <w:rFonts w:ascii="Times New Roman" w:hAnsi="Times New Roman" w:cs="Times New Roman"/>
                <w:color w:val="0D0D0D" w:themeColor="text1" w:themeTint="F2"/>
              </w:rPr>
            </w:pPr>
            <w:r w:rsidRPr="009A1244">
              <w:rPr>
                <w:rFonts w:ascii="Times New Roman" w:hAnsi="Times New Roman" w:cs="Times New Roman"/>
                <w:color w:val="0D0D0D" w:themeColor="text1" w:themeTint="F2"/>
              </w:rPr>
              <w:t>14</w:t>
            </w:r>
          </w:p>
        </w:tc>
        <w:tc>
          <w:tcPr>
            <w:tcW w:w="2662" w:type="dxa"/>
            <w:vMerge/>
          </w:tcPr>
          <w:p w14:paraId="549C56C7" w14:textId="77777777" w:rsidR="00322805" w:rsidRPr="009A1244" w:rsidRDefault="00322805" w:rsidP="00CB2A3F">
            <w:pPr>
              <w:spacing w:after="112" w:line="276" w:lineRule="auto"/>
              <w:ind w:left="632"/>
              <w:rPr>
                <w:rFonts w:ascii="Times New Roman" w:hAnsi="Times New Roman" w:cs="Times New Roman"/>
                <w:color w:val="0D0D0D" w:themeColor="text1" w:themeTint="F2"/>
              </w:rPr>
            </w:pPr>
          </w:p>
        </w:tc>
      </w:tr>
      <w:tr w:rsidR="00322805" w:rsidRPr="009A1244" w14:paraId="2073F6DA" w14:textId="77777777" w:rsidTr="0060476B">
        <w:trPr>
          <w:trHeight w:val="120"/>
        </w:trPr>
        <w:tc>
          <w:tcPr>
            <w:tcW w:w="2946" w:type="dxa"/>
            <w:vMerge/>
          </w:tcPr>
          <w:p w14:paraId="54DBFA90" w14:textId="77777777" w:rsidR="00322805" w:rsidRPr="009A1244" w:rsidRDefault="00322805" w:rsidP="00CB2A3F">
            <w:pPr>
              <w:spacing w:after="112" w:line="276" w:lineRule="auto"/>
              <w:ind w:left="122"/>
              <w:jc w:val="both"/>
              <w:rPr>
                <w:rFonts w:ascii="Times New Roman" w:hAnsi="Times New Roman" w:cs="Times New Roman"/>
                <w:color w:val="0D0D0D" w:themeColor="text1" w:themeTint="F2"/>
              </w:rPr>
            </w:pPr>
          </w:p>
        </w:tc>
        <w:tc>
          <w:tcPr>
            <w:tcW w:w="1403" w:type="dxa"/>
            <w:vMerge/>
          </w:tcPr>
          <w:p w14:paraId="162852D0" w14:textId="77777777" w:rsidR="00322805" w:rsidRPr="009A1244" w:rsidRDefault="00322805" w:rsidP="00CB2A3F">
            <w:pPr>
              <w:spacing w:after="112" w:line="276" w:lineRule="auto"/>
              <w:ind w:left="260"/>
              <w:jc w:val="both"/>
              <w:rPr>
                <w:rFonts w:ascii="Times New Roman" w:hAnsi="Times New Roman" w:cs="Times New Roman"/>
                <w:color w:val="0D0D0D" w:themeColor="text1" w:themeTint="F2"/>
              </w:rPr>
            </w:pPr>
          </w:p>
        </w:tc>
        <w:tc>
          <w:tcPr>
            <w:tcW w:w="2244" w:type="dxa"/>
            <w:gridSpan w:val="2"/>
            <w:tcBorders>
              <w:top w:val="single" w:sz="4" w:space="0" w:color="auto"/>
              <w:bottom w:val="single" w:sz="4" w:space="0" w:color="auto"/>
            </w:tcBorders>
          </w:tcPr>
          <w:p w14:paraId="1A1A6A89" w14:textId="6D1F2A90" w:rsidR="00322805" w:rsidRPr="009A1244" w:rsidRDefault="00322805" w:rsidP="00CB2A3F">
            <w:pPr>
              <w:spacing w:after="112" w:line="276" w:lineRule="auto"/>
              <w:jc w:val="both"/>
              <w:rPr>
                <w:rFonts w:ascii="Times New Roman" w:hAnsi="Times New Roman" w:cs="Times New Roman"/>
                <w:color w:val="0D0D0D" w:themeColor="text1" w:themeTint="F2"/>
              </w:rPr>
            </w:pPr>
            <w:r w:rsidRPr="009A1244">
              <w:rPr>
                <w:rFonts w:ascii="Times New Roman" w:hAnsi="Times New Roman" w:cs="Times New Roman"/>
                <w:color w:val="0D0D0D" w:themeColor="text1" w:themeTint="F2"/>
              </w:rPr>
              <w:t>Tricuspid valve</w:t>
            </w:r>
          </w:p>
        </w:tc>
        <w:tc>
          <w:tcPr>
            <w:tcW w:w="981" w:type="dxa"/>
            <w:tcBorders>
              <w:top w:val="single" w:sz="4" w:space="0" w:color="auto"/>
              <w:bottom w:val="single" w:sz="4" w:space="0" w:color="auto"/>
            </w:tcBorders>
          </w:tcPr>
          <w:p w14:paraId="23FDA9A4" w14:textId="19B2EAB6" w:rsidR="00322805" w:rsidRPr="009A1244" w:rsidRDefault="00322805" w:rsidP="00CB2A3F">
            <w:pPr>
              <w:spacing w:after="112" w:line="276" w:lineRule="auto"/>
              <w:ind w:left="632"/>
              <w:jc w:val="right"/>
              <w:rPr>
                <w:rFonts w:ascii="Times New Roman" w:hAnsi="Times New Roman" w:cs="Times New Roman"/>
                <w:color w:val="0D0D0D" w:themeColor="text1" w:themeTint="F2"/>
              </w:rPr>
            </w:pPr>
            <w:r w:rsidRPr="009A1244">
              <w:rPr>
                <w:rFonts w:ascii="Times New Roman" w:hAnsi="Times New Roman" w:cs="Times New Roman"/>
                <w:color w:val="0D0D0D" w:themeColor="text1" w:themeTint="F2"/>
              </w:rPr>
              <w:t>05</w:t>
            </w:r>
          </w:p>
        </w:tc>
        <w:tc>
          <w:tcPr>
            <w:tcW w:w="2662" w:type="dxa"/>
            <w:vMerge/>
          </w:tcPr>
          <w:p w14:paraId="5561B545" w14:textId="77777777" w:rsidR="00322805" w:rsidRPr="009A1244" w:rsidRDefault="00322805" w:rsidP="00CB2A3F">
            <w:pPr>
              <w:spacing w:after="112" w:line="276" w:lineRule="auto"/>
              <w:ind w:left="632"/>
              <w:rPr>
                <w:rFonts w:ascii="Times New Roman" w:hAnsi="Times New Roman" w:cs="Times New Roman"/>
                <w:color w:val="0D0D0D" w:themeColor="text1" w:themeTint="F2"/>
              </w:rPr>
            </w:pPr>
          </w:p>
        </w:tc>
      </w:tr>
      <w:tr w:rsidR="00322805" w:rsidRPr="009A1244" w14:paraId="0C66889D" w14:textId="77777777" w:rsidTr="0060476B">
        <w:trPr>
          <w:trHeight w:val="120"/>
        </w:trPr>
        <w:tc>
          <w:tcPr>
            <w:tcW w:w="2946" w:type="dxa"/>
            <w:vMerge/>
            <w:tcBorders>
              <w:bottom w:val="single" w:sz="4" w:space="0" w:color="auto"/>
            </w:tcBorders>
          </w:tcPr>
          <w:p w14:paraId="1BD1DA6C" w14:textId="77777777" w:rsidR="00322805" w:rsidRPr="009A1244" w:rsidRDefault="00322805" w:rsidP="00CB2A3F">
            <w:pPr>
              <w:spacing w:after="112" w:line="276" w:lineRule="auto"/>
              <w:ind w:left="122"/>
              <w:jc w:val="both"/>
              <w:rPr>
                <w:rFonts w:ascii="Times New Roman" w:hAnsi="Times New Roman" w:cs="Times New Roman"/>
                <w:color w:val="0D0D0D" w:themeColor="text1" w:themeTint="F2"/>
              </w:rPr>
            </w:pPr>
          </w:p>
        </w:tc>
        <w:tc>
          <w:tcPr>
            <w:tcW w:w="1403" w:type="dxa"/>
            <w:vMerge/>
            <w:tcBorders>
              <w:bottom w:val="single" w:sz="4" w:space="0" w:color="auto"/>
            </w:tcBorders>
          </w:tcPr>
          <w:p w14:paraId="5CB510D0" w14:textId="77777777" w:rsidR="00322805" w:rsidRPr="009A1244" w:rsidRDefault="00322805" w:rsidP="00CB2A3F">
            <w:pPr>
              <w:spacing w:after="112" w:line="276" w:lineRule="auto"/>
              <w:ind w:left="260"/>
              <w:jc w:val="both"/>
              <w:rPr>
                <w:rFonts w:ascii="Times New Roman" w:hAnsi="Times New Roman" w:cs="Times New Roman"/>
                <w:color w:val="0D0D0D" w:themeColor="text1" w:themeTint="F2"/>
              </w:rPr>
            </w:pPr>
          </w:p>
        </w:tc>
        <w:tc>
          <w:tcPr>
            <w:tcW w:w="2244" w:type="dxa"/>
            <w:gridSpan w:val="2"/>
            <w:tcBorders>
              <w:top w:val="single" w:sz="4" w:space="0" w:color="auto"/>
              <w:bottom w:val="single" w:sz="4" w:space="0" w:color="auto"/>
            </w:tcBorders>
          </w:tcPr>
          <w:p w14:paraId="615001F6" w14:textId="1B720FAC" w:rsidR="00322805" w:rsidRPr="009A1244" w:rsidRDefault="0060476B" w:rsidP="00CB2A3F">
            <w:pPr>
              <w:spacing w:after="112" w:line="276" w:lineRule="auto"/>
              <w:rPr>
                <w:rFonts w:ascii="Times New Roman" w:hAnsi="Times New Roman" w:cs="Times New Roman"/>
                <w:color w:val="0D0D0D" w:themeColor="text1" w:themeTint="F2"/>
              </w:rPr>
            </w:pPr>
            <w:r w:rsidRPr="009A1244">
              <w:rPr>
                <w:rFonts w:ascii="Times New Roman" w:hAnsi="Times New Roman" w:cs="Times New Roman"/>
                <w:color w:val="0D0D0D" w:themeColor="text1" w:themeTint="F2"/>
              </w:rPr>
              <w:t>Valvular protector</w:t>
            </w:r>
          </w:p>
        </w:tc>
        <w:tc>
          <w:tcPr>
            <w:tcW w:w="981" w:type="dxa"/>
            <w:tcBorders>
              <w:top w:val="single" w:sz="4" w:space="0" w:color="auto"/>
              <w:bottom w:val="single" w:sz="4" w:space="0" w:color="auto"/>
            </w:tcBorders>
          </w:tcPr>
          <w:p w14:paraId="2952E284" w14:textId="377C5C50" w:rsidR="00322805" w:rsidRPr="009A1244" w:rsidRDefault="0060476B" w:rsidP="00CB2A3F">
            <w:pPr>
              <w:spacing w:after="112" w:line="276" w:lineRule="auto"/>
              <w:ind w:left="632"/>
              <w:jc w:val="right"/>
              <w:rPr>
                <w:rFonts w:ascii="Times New Roman" w:hAnsi="Times New Roman" w:cs="Times New Roman"/>
                <w:color w:val="0D0D0D" w:themeColor="text1" w:themeTint="F2"/>
              </w:rPr>
            </w:pPr>
            <w:r w:rsidRPr="009A1244">
              <w:rPr>
                <w:rFonts w:ascii="Times New Roman" w:hAnsi="Times New Roman" w:cs="Times New Roman"/>
                <w:color w:val="0D0D0D" w:themeColor="text1" w:themeTint="F2"/>
              </w:rPr>
              <w:t>01</w:t>
            </w:r>
          </w:p>
        </w:tc>
        <w:tc>
          <w:tcPr>
            <w:tcW w:w="2662" w:type="dxa"/>
            <w:vMerge/>
            <w:tcBorders>
              <w:bottom w:val="single" w:sz="4" w:space="0" w:color="auto"/>
            </w:tcBorders>
          </w:tcPr>
          <w:p w14:paraId="6BC8AB75" w14:textId="77777777" w:rsidR="00322805" w:rsidRPr="009A1244" w:rsidRDefault="00322805" w:rsidP="00CB2A3F">
            <w:pPr>
              <w:spacing w:after="112" w:line="276" w:lineRule="auto"/>
              <w:ind w:left="632"/>
              <w:rPr>
                <w:rFonts w:ascii="Times New Roman" w:hAnsi="Times New Roman" w:cs="Times New Roman"/>
                <w:color w:val="0D0D0D" w:themeColor="text1" w:themeTint="F2"/>
              </w:rPr>
            </w:pPr>
          </w:p>
        </w:tc>
      </w:tr>
      <w:tr w:rsidR="0060476B" w:rsidRPr="009A1244" w14:paraId="2E6162BD" w14:textId="77777777" w:rsidTr="0060476B">
        <w:trPr>
          <w:trHeight w:val="241"/>
        </w:trPr>
        <w:tc>
          <w:tcPr>
            <w:tcW w:w="2946" w:type="dxa"/>
            <w:vMerge w:val="restart"/>
            <w:tcBorders>
              <w:top w:val="single" w:sz="4" w:space="0" w:color="auto"/>
            </w:tcBorders>
          </w:tcPr>
          <w:p w14:paraId="016A5B16" w14:textId="77777777" w:rsidR="0060476B" w:rsidRPr="009A1244" w:rsidRDefault="0060476B" w:rsidP="00CB2A3F">
            <w:pPr>
              <w:spacing w:after="112" w:line="276" w:lineRule="auto"/>
              <w:ind w:left="122"/>
              <w:jc w:val="both"/>
              <w:rPr>
                <w:rFonts w:ascii="Times New Roman" w:hAnsi="Times New Roman" w:cs="Times New Roman"/>
                <w:color w:val="0D0D0D" w:themeColor="text1" w:themeTint="F2"/>
                <w:sz w:val="24"/>
                <w:szCs w:val="24"/>
              </w:rPr>
            </w:pPr>
          </w:p>
          <w:p w14:paraId="291194A0" w14:textId="7F33CDC8" w:rsidR="0060476B" w:rsidRPr="009A1244" w:rsidRDefault="0060476B" w:rsidP="00CB2A3F">
            <w:pPr>
              <w:spacing w:after="112" w:line="276" w:lineRule="auto"/>
              <w:ind w:left="122"/>
              <w:jc w:val="both"/>
              <w:rPr>
                <w:rFonts w:ascii="Times New Roman" w:hAnsi="Times New Roman" w:cs="Times New Roman"/>
                <w:color w:val="0D0D0D" w:themeColor="text1" w:themeTint="F2"/>
                <w:sz w:val="24"/>
                <w:szCs w:val="24"/>
              </w:rPr>
            </w:pPr>
            <w:proofErr w:type="spellStart"/>
            <w:r w:rsidRPr="009A1244">
              <w:rPr>
                <w:rFonts w:ascii="Times New Roman" w:hAnsi="Times New Roman" w:cs="Times New Roman"/>
                <w:color w:val="0D0D0D" w:themeColor="text1" w:themeTint="F2"/>
                <w:sz w:val="24"/>
                <w:szCs w:val="24"/>
              </w:rPr>
              <w:t>Intrcardiac</w:t>
            </w:r>
            <w:proofErr w:type="spellEnd"/>
            <w:r w:rsidRPr="009A1244">
              <w:rPr>
                <w:rFonts w:ascii="Times New Roman" w:hAnsi="Times New Roman" w:cs="Times New Roman"/>
                <w:color w:val="0D0D0D" w:themeColor="text1" w:themeTint="F2"/>
                <w:sz w:val="24"/>
                <w:szCs w:val="24"/>
              </w:rPr>
              <w:t xml:space="preserve"> </w:t>
            </w:r>
            <w:proofErr w:type="spellStart"/>
            <w:r w:rsidRPr="009A1244">
              <w:rPr>
                <w:rFonts w:ascii="Times New Roman" w:hAnsi="Times New Roman" w:cs="Times New Roman"/>
                <w:color w:val="0D0D0D" w:themeColor="text1" w:themeTint="F2"/>
                <w:sz w:val="24"/>
                <w:szCs w:val="24"/>
              </w:rPr>
              <w:t>tumor</w:t>
            </w:r>
            <w:proofErr w:type="spellEnd"/>
            <w:r w:rsidRPr="009A1244">
              <w:rPr>
                <w:rFonts w:ascii="Times New Roman" w:hAnsi="Times New Roman" w:cs="Times New Roman"/>
                <w:color w:val="0D0D0D" w:themeColor="text1" w:themeTint="F2"/>
                <w:sz w:val="24"/>
                <w:szCs w:val="24"/>
              </w:rPr>
              <w:t xml:space="preserve"> </w:t>
            </w:r>
          </w:p>
        </w:tc>
        <w:tc>
          <w:tcPr>
            <w:tcW w:w="1403" w:type="dxa"/>
            <w:vMerge w:val="restart"/>
            <w:tcBorders>
              <w:top w:val="single" w:sz="4" w:space="0" w:color="auto"/>
            </w:tcBorders>
          </w:tcPr>
          <w:p w14:paraId="227F8BAE" w14:textId="77777777" w:rsidR="0060476B" w:rsidRPr="009A1244" w:rsidRDefault="0060476B" w:rsidP="00CB2A3F">
            <w:pPr>
              <w:spacing w:after="112" w:line="276" w:lineRule="auto"/>
              <w:ind w:left="260"/>
              <w:jc w:val="both"/>
              <w:rPr>
                <w:rFonts w:ascii="Times New Roman" w:hAnsi="Times New Roman" w:cs="Times New Roman"/>
                <w:color w:val="0D0D0D" w:themeColor="text1" w:themeTint="F2"/>
                <w:sz w:val="24"/>
                <w:szCs w:val="24"/>
              </w:rPr>
            </w:pPr>
            <w:r w:rsidRPr="009A1244">
              <w:rPr>
                <w:rFonts w:ascii="Times New Roman" w:hAnsi="Times New Roman" w:cs="Times New Roman"/>
                <w:color w:val="0D0D0D" w:themeColor="text1" w:themeTint="F2"/>
                <w:sz w:val="24"/>
                <w:szCs w:val="24"/>
              </w:rPr>
              <w:t>08</w:t>
            </w:r>
          </w:p>
        </w:tc>
        <w:tc>
          <w:tcPr>
            <w:tcW w:w="1763" w:type="dxa"/>
            <w:tcBorders>
              <w:top w:val="single" w:sz="4" w:space="0" w:color="auto"/>
              <w:bottom w:val="single" w:sz="4" w:space="0" w:color="auto"/>
            </w:tcBorders>
          </w:tcPr>
          <w:p w14:paraId="735E883D" w14:textId="10328F43" w:rsidR="0060476B" w:rsidRPr="009A1244" w:rsidRDefault="0060476B" w:rsidP="00CB2A3F">
            <w:pPr>
              <w:spacing w:after="112" w:line="276" w:lineRule="auto"/>
              <w:rPr>
                <w:rFonts w:ascii="Times New Roman" w:hAnsi="Times New Roman" w:cs="Times New Roman"/>
                <w:color w:val="0D0D0D" w:themeColor="text1" w:themeTint="F2"/>
              </w:rPr>
            </w:pPr>
            <w:r w:rsidRPr="009A1244">
              <w:rPr>
                <w:rFonts w:ascii="Times New Roman" w:hAnsi="Times New Roman" w:cs="Times New Roman"/>
                <w:color w:val="0D0D0D" w:themeColor="text1" w:themeTint="F2"/>
              </w:rPr>
              <w:t xml:space="preserve">Benign </w:t>
            </w:r>
            <w:proofErr w:type="spellStart"/>
            <w:r w:rsidRPr="009A1244">
              <w:rPr>
                <w:rFonts w:ascii="Times New Roman" w:hAnsi="Times New Roman" w:cs="Times New Roman"/>
                <w:color w:val="0D0D0D" w:themeColor="text1" w:themeTint="F2"/>
              </w:rPr>
              <w:t>tumor</w:t>
            </w:r>
            <w:proofErr w:type="spellEnd"/>
          </w:p>
        </w:tc>
        <w:tc>
          <w:tcPr>
            <w:tcW w:w="1462" w:type="dxa"/>
            <w:gridSpan w:val="2"/>
            <w:tcBorders>
              <w:top w:val="single" w:sz="4" w:space="0" w:color="auto"/>
              <w:bottom w:val="single" w:sz="4" w:space="0" w:color="auto"/>
            </w:tcBorders>
          </w:tcPr>
          <w:p w14:paraId="67E87897" w14:textId="038303D8" w:rsidR="0060476B" w:rsidRPr="009A1244" w:rsidRDefault="0060476B" w:rsidP="00CB2A3F">
            <w:pPr>
              <w:spacing w:after="112" w:line="276" w:lineRule="auto"/>
              <w:ind w:left="632"/>
              <w:jc w:val="both"/>
              <w:rPr>
                <w:rFonts w:ascii="Times New Roman" w:hAnsi="Times New Roman" w:cs="Times New Roman"/>
                <w:color w:val="0D0D0D" w:themeColor="text1" w:themeTint="F2"/>
                <w:sz w:val="24"/>
                <w:szCs w:val="24"/>
              </w:rPr>
            </w:pPr>
            <w:r w:rsidRPr="009A1244">
              <w:rPr>
                <w:rFonts w:ascii="Times New Roman" w:hAnsi="Times New Roman" w:cs="Times New Roman"/>
                <w:color w:val="0D0D0D" w:themeColor="text1" w:themeTint="F2"/>
                <w:sz w:val="24"/>
                <w:szCs w:val="24"/>
              </w:rPr>
              <w:t xml:space="preserve">        02</w:t>
            </w:r>
          </w:p>
        </w:tc>
        <w:tc>
          <w:tcPr>
            <w:tcW w:w="2662" w:type="dxa"/>
            <w:vMerge w:val="restart"/>
            <w:tcBorders>
              <w:top w:val="single" w:sz="4" w:space="0" w:color="auto"/>
            </w:tcBorders>
          </w:tcPr>
          <w:p w14:paraId="121E459D" w14:textId="5DCBB0E7" w:rsidR="0060476B" w:rsidRPr="009A1244" w:rsidRDefault="0060476B" w:rsidP="00CB2A3F">
            <w:pPr>
              <w:spacing w:after="112" w:line="276" w:lineRule="auto"/>
              <w:ind w:left="632"/>
              <w:rPr>
                <w:rFonts w:ascii="Times New Roman" w:hAnsi="Times New Roman" w:cs="Times New Roman"/>
                <w:color w:val="0D0D0D" w:themeColor="text1" w:themeTint="F2"/>
                <w:sz w:val="24"/>
                <w:szCs w:val="24"/>
              </w:rPr>
            </w:pPr>
            <w:r w:rsidRPr="009A1244">
              <w:rPr>
                <w:rFonts w:ascii="Times New Roman" w:hAnsi="Times New Roman" w:cs="Times New Roman"/>
                <w:color w:val="0D0D0D" w:themeColor="text1" w:themeTint="F2"/>
                <w:sz w:val="24"/>
                <w:szCs w:val="24"/>
              </w:rPr>
              <w:t>3/81 (3,70%)</w:t>
            </w:r>
          </w:p>
        </w:tc>
      </w:tr>
      <w:tr w:rsidR="0060476B" w:rsidRPr="009A1244" w14:paraId="6A1B6C8A" w14:textId="77777777" w:rsidTr="0060476B">
        <w:trPr>
          <w:trHeight w:val="240"/>
        </w:trPr>
        <w:tc>
          <w:tcPr>
            <w:tcW w:w="2946" w:type="dxa"/>
            <w:vMerge/>
            <w:tcBorders>
              <w:bottom w:val="single" w:sz="4" w:space="0" w:color="auto"/>
            </w:tcBorders>
          </w:tcPr>
          <w:p w14:paraId="135BCF9C" w14:textId="77777777" w:rsidR="0060476B" w:rsidRPr="009A1244" w:rsidRDefault="0060476B" w:rsidP="00CB2A3F">
            <w:pPr>
              <w:spacing w:after="112" w:line="276" w:lineRule="auto"/>
              <w:ind w:left="122"/>
              <w:jc w:val="both"/>
              <w:rPr>
                <w:rFonts w:ascii="Times New Roman" w:hAnsi="Times New Roman" w:cs="Times New Roman"/>
                <w:color w:val="0D0D0D" w:themeColor="text1" w:themeTint="F2"/>
              </w:rPr>
            </w:pPr>
          </w:p>
        </w:tc>
        <w:tc>
          <w:tcPr>
            <w:tcW w:w="1403" w:type="dxa"/>
            <w:vMerge/>
            <w:tcBorders>
              <w:bottom w:val="single" w:sz="4" w:space="0" w:color="auto"/>
            </w:tcBorders>
          </w:tcPr>
          <w:p w14:paraId="443851F0" w14:textId="77777777" w:rsidR="0060476B" w:rsidRPr="009A1244" w:rsidRDefault="0060476B" w:rsidP="00CB2A3F">
            <w:pPr>
              <w:spacing w:after="112" w:line="276" w:lineRule="auto"/>
              <w:ind w:left="260"/>
              <w:jc w:val="both"/>
              <w:rPr>
                <w:rFonts w:ascii="Times New Roman" w:hAnsi="Times New Roman" w:cs="Times New Roman"/>
                <w:color w:val="0D0D0D" w:themeColor="text1" w:themeTint="F2"/>
              </w:rPr>
            </w:pPr>
          </w:p>
        </w:tc>
        <w:tc>
          <w:tcPr>
            <w:tcW w:w="1763" w:type="dxa"/>
            <w:tcBorders>
              <w:top w:val="single" w:sz="4" w:space="0" w:color="auto"/>
              <w:bottom w:val="single" w:sz="4" w:space="0" w:color="auto"/>
            </w:tcBorders>
          </w:tcPr>
          <w:p w14:paraId="44D34D06" w14:textId="404F0CD7" w:rsidR="0060476B" w:rsidRPr="009A1244" w:rsidRDefault="0060476B" w:rsidP="00CB2A3F">
            <w:pPr>
              <w:spacing w:after="112" w:line="276" w:lineRule="auto"/>
              <w:jc w:val="both"/>
              <w:rPr>
                <w:rFonts w:ascii="Times New Roman" w:hAnsi="Times New Roman" w:cs="Times New Roman"/>
                <w:color w:val="0D0D0D" w:themeColor="text1" w:themeTint="F2"/>
              </w:rPr>
            </w:pPr>
            <w:r w:rsidRPr="009A1244">
              <w:rPr>
                <w:rFonts w:ascii="Times New Roman" w:hAnsi="Times New Roman" w:cs="Times New Roman"/>
                <w:color w:val="0D0D0D" w:themeColor="text1" w:themeTint="F2"/>
              </w:rPr>
              <w:t xml:space="preserve">Malignant </w:t>
            </w:r>
            <w:proofErr w:type="spellStart"/>
            <w:r w:rsidRPr="009A1244">
              <w:rPr>
                <w:rFonts w:ascii="Times New Roman" w:hAnsi="Times New Roman" w:cs="Times New Roman"/>
                <w:color w:val="0D0D0D" w:themeColor="text1" w:themeTint="F2"/>
              </w:rPr>
              <w:t>tumor</w:t>
            </w:r>
            <w:proofErr w:type="spellEnd"/>
          </w:p>
        </w:tc>
        <w:tc>
          <w:tcPr>
            <w:tcW w:w="1462" w:type="dxa"/>
            <w:gridSpan w:val="2"/>
            <w:tcBorders>
              <w:top w:val="single" w:sz="4" w:space="0" w:color="auto"/>
              <w:bottom w:val="single" w:sz="4" w:space="0" w:color="auto"/>
            </w:tcBorders>
          </w:tcPr>
          <w:p w14:paraId="3FAC3BDB" w14:textId="227EBE65" w:rsidR="0060476B" w:rsidRPr="009A1244" w:rsidRDefault="0060476B" w:rsidP="00CB2A3F">
            <w:pPr>
              <w:spacing w:after="112" w:line="276" w:lineRule="auto"/>
              <w:ind w:left="632"/>
              <w:jc w:val="both"/>
              <w:rPr>
                <w:rFonts w:ascii="Times New Roman" w:hAnsi="Times New Roman" w:cs="Times New Roman"/>
                <w:color w:val="0D0D0D" w:themeColor="text1" w:themeTint="F2"/>
              </w:rPr>
            </w:pPr>
            <w:r w:rsidRPr="009A1244">
              <w:rPr>
                <w:rFonts w:ascii="Times New Roman" w:hAnsi="Times New Roman" w:cs="Times New Roman"/>
                <w:color w:val="0D0D0D" w:themeColor="text1" w:themeTint="F2"/>
              </w:rPr>
              <w:t xml:space="preserve">         06</w:t>
            </w:r>
          </w:p>
        </w:tc>
        <w:tc>
          <w:tcPr>
            <w:tcW w:w="2662" w:type="dxa"/>
            <w:vMerge/>
            <w:tcBorders>
              <w:bottom w:val="single" w:sz="4" w:space="0" w:color="auto"/>
            </w:tcBorders>
          </w:tcPr>
          <w:p w14:paraId="4D8107F7" w14:textId="77777777" w:rsidR="0060476B" w:rsidRPr="009A1244" w:rsidRDefault="0060476B" w:rsidP="00CB2A3F">
            <w:pPr>
              <w:spacing w:after="112" w:line="276" w:lineRule="auto"/>
              <w:ind w:left="632"/>
              <w:rPr>
                <w:rFonts w:ascii="Times New Roman" w:hAnsi="Times New Roman" w:cs="Times New Roman"/>
                <w:color w:val="0D0D0D" w:themeColor="text1" w:themeTint="F2"/>
              </w:rPr>
            </w:pPr>
          </w:p>
        </w:tc>
      </w:tr>
      <w:tr w:rsidR="00322805" w:rsidRPr="009A1244" w14:paraId="23C9760A" w14:textId="77777777" w:rsidTr="0060476B">
        <w:trPr>
          <w:trHeight w:val="147"/>
        </w:trPr>
        <w:tc>
          <w:tcPr>
            <w:tcW w:w="2946" w:type="dxa"/>
            <w:tcBorders>
              <w:top w:val="single" w:sz="4" w:space="0" w:color="auto"/>
            </w:tcBorders>
          </w:tcPr>
          <w:p w14:paraId="6915CA2B" w14:textId="77777777" w:rsidR="004B28F4" w:rsidRPr="009A1244" w:rsidRDefault="004B28F4" w:rsidP="00CB2A3F">
            <w:pPr>
              <w:spacing w:after="112" w:line="276" w:lineRule="auto"/>
              <w:ind w:left="122"/>
              <w:jc w:val="both"/>
              <w:rPr>
                <w:rFonts w:ascii="Times New Roman" w:hAnsi="Times New Roman" w:cs="Times New Roman"/>
                <w:color w:val="0D0D0D" w:themeColor="text1" w:themeTint="F2"/>
                <w:sz w:val="24"/>
                <w:szCs w:val="24"/>
              </w:rPr>
            </w:pPr>
            <w:r w:rsidRPr="009A1244">
              <w:rPr>
                <w:rFonts w:ascii="Times New Roman" w:hAnsi="Times New Roman" w:cs="Times New Roman"/>
                <w:color w:val="0D0D0D" w:themeColor="text1" w:themeTint="F2"/>
                <w:sz w:val="24"/>
                <w:szCs w:val="24"/>
              </w:rPr>
              <w:t>Total</w:t>
            </w:r>
          </w:p>
        </w:tc>
        <w:tc>
          <w:tcPr>
            <w:tcW w:w="1403" w:type="dxa"/>
            <w:tcBorders>
              <w:top w:val="single" w:sz="4" w:space="0" w:color="auto"/>
            </w:tcBorders>
          </w:tcPr>
          <w:p w14:paraId="03F9C7D7" w14:textId="77777777" w:rsidR="004B28F4" w:rsidRPr="009A1244" w:rsidRDefault="004B28F4" w:rsidP="00CB2A3F">
            <w:pPr>
              <w:spacing w:after="112" w:line="276" w:lineRule="auto"/>
              <w:ind w:left="260"/>
              <w:jc w:val="both"/>
              <w:rPr>
                <w:rFonts w:ascii="Times New Roman" w:hAnsi="Times New Roman" w:cs="Times New Roman"/>
                <w:color w:val="0D0D0D" w:themeColor="text1" w:themeTint="F2"/>
                <w:sz w:val="24"/>
                <w:szCs w:val="24"/>
              </w:rPr>
            </w:pPr>
            <w:r w:rsidRPr="009A1244">
              <w:rPr>
                <w:rFonts w:ascii="Times New Roman" w:hAnsi="Times New Roman" w:cs="Times New Roman"/>
                <w:color w:val="0D0D0D" w:themeColor="text1" w:themeTint="F2"/>
                <w:sz w:val="24"/>
                <w:szCs w:val="24"/>
              </w:rPr>
              <w:t>81</w:t>
            </w:r>
          </w:p>
        </w:tc>
        <w:tc>
          <w:tcPr>
            <w:tcW w:w="3226" w:type="dxa"/>
            <w:gridSpan w:val="3"/>
            <w:tcBorders>
              <w:top w:val="single" w:sz="4" w:space="0" w:color="auto"/>
            </w:tcBorders>
          </w:tcPr>
          <w:p w14:paraId="7A1F7E81" w14:textId="77777777" w:rsidR="004B28F4" w:rsidRPr="009A1244" w:rsidRDefault="004B28F4" w:rsidP="00CB2A3F">
            <w:pPr>
              <w:spacing w:after="112" w:line="276" w:lineRule="auto"/>
              <w:ind w:left="632"/>
              <w:jc w:val="both"/>
              <w:rPr>
                <w:rFonts w:ascii="Times New Roman" w:hAnsi="Times New Roman" w:cs="Times New Roman"/>
                <w:color w:val="0D0D0D" w:themeColor="text1" w:themeTint="F2"/>
                <w:sz w:val="24"/>
                <w:szCs w:val="24"/>
              </w:rPr>
            </w:pPr>
          </w:p>
        </w:tc>
        <w:tc>
          <w:tcPr>
            <w:tcW w:w="2662" w:type="dxa"/>
            <w:tcBorders>
              <w:top w:val="single" w:sz="4" w:space="0" w:color="auto"/>
            </w:tcBorders>
          </w:tcPr>
          <w:p w14:paraId="20742C05" w14:textId="5CD90533" w:rsidR="004B28F4" w:rsidRPr="009A1244" w:rsidRDefault="004B28F4" w:rsidP="00CB2A3F">
            <w:pPr>
              <w:spacing w:after="112" w:line="276" w:lineRule="auto"/>
              <w:ind w:left="632"/>
              <w:rPr>
                <w:rFonts w:ascii="Times New Roman" w:hAnsi="Times New Roman" w:cs="Times New Roman"/>
                <w:color w:val="0D0D0D" w:themeColor="text1" w:themeTint="F2"/>
                <w:sz w:val="24"/>
                <w:szCs w:val="24"/>
              </w:rPr>
            </w:pPr>
            <w:r w:rsidRPr="009A1244">
              <w:rPr>
                <w:rFonts w:ascii="Times New Roman" w:hAnsi="Times New Roman" w:cs="Times New Roman"/>
                <w:color w:val="0D0D0D" w:themeColor="text1" w:themeTint="F2"/>
                <w:sz w:val="24"/>
                <w:szCs w:val="24"/>
              </w:rPr>
              <w:t>20/81 (24,69%)</w:t>
            </w:r>
          </w:p>
        </w:tc>
      </w:tr>
    </w:tbl>
    <w:p w14:paraId="02C21648" w14:textId="77777777" w:rsidR="000F01B8" w:rsidRPr="009A1244" w:rsidRDefault="000F01B8" w:rsidP="00CB2A3F">
      <w:pPr>
        <w:spacing w:line="276" w:lineRule="auto"/>
      </w:pPr>
    </w:p>
    <w:p w14:paraId="6A889929" w14:textId="77777777" w:rsidR="000F01B8" w:rsidRPr="001B0525" w:rsidRDefault="000F01B8" w:rsidP="00CB2A3F">
      <w:pPr>
        <w:spacing w:line="276" w:lineRule="auto"/>
        <w:jc w:val="both"/>
        <w:rPr>
          <w:rFonts w:ascii="Times New Roman" w:hAnsi="Times New Roman" w:cs="Times New Roman"/>
          <w:sz w:val="28"/>
          <w:szCs w:val="28"/>
          <w:lang w:val="fr-FR"/>
        </w:rPr>
      </w:pPr>
    </w:p>
    <w:sectPr w:rsidR="000F01B8" w:rsidRPr="001B052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4BF9" w14:textId="77777777" w:rsidR="00B45371" w:rsidRPr="009A1244" w:rsidRDefault="00B45371" w:rsidP="00D476B7">
      <w:pPr>
        <w:spacing w:after="0" w:line="240" w:lineRule="auto"/>
      </w:pPr>
      <w:r w:rsidRPr="009A1244">
        <w:separator/>
      </w:r>
    </w:p>
  </w:endnote>
  <w:endnote w:type="continuationSeparator" w:id="0">
    <w:p w14:paraId="3B4B573C" w14:textId="77777777" w:rsidR="00B45371" w:rsidRPr="009A1244" w:rsidRDefault="00B45371" w:rsidP="00D476B7">
      <w:pPr>
        <w:spacing w:after="0" w:line="240" w:lineRule="auto"/>
      </w:pPr>
      <w:r w:rsidRPr="009A12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28D9" w14:textId="77777777" w:rsidR="00D476B7" w:rsidRPr="009A1244" w:rsidRDefault="00D476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71CC" w14:textId="77777777" w:rsidR="00D476B7" w:rsidRPr="009A1244" w:rsidRDefault="00D476B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4CA9" w14:textId="77777777" w:rsidR="00D476B7" w:rsidRPr="009A1244" w:rsidRDefault="00D476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EA3C6" w14:textId="77777777" w:rsidR="00B45371" w:rsidRPr="009A1244" w:rsidRDefault="00B45371" w:rsidP="00D476B7">
      <w:pPr>
        <w:spacing w:after="0" w:line="240" w:lineRule="auto"/>
      </w:pPr>
      <w:r w:rsidRPr="009A1244">
        <w:separator/>
      </w:r>
    </w:p>
  </w:footnote>
  <w:footnote w:type="continuationSeparator" w:id="0">
    <w:p w14:paraId="2AD4C592" w14:textId="77777777" w:rsidR="00B45371" w:rsidRPr="009A1244" w:rsidRDefault="00B45371" w:rsidP="00D476B7">
      <w:pPr>
        <w:spacing w:after="0" w:line="240" w:lineRule="auto"/>
      </w:pPr>
      <w:r w:rsidRPr="009A12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6670" w14:textId="1A41264A" w:rsidR="00D476B7" w:rsidRPr="009A1244" w:rsidRDefault="00000000">
    <w:pPr>
      <w:pStyle w:val="En-tte"/>
    </w:pPr>
    <w:r w:rsidRPr="009A1244">
      <w:pict w14:anchorId="593D2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944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2FB7" w14:textId="7588FFB9" w:rsidR="00D476B7" w:rsidRPr="009A1244" w:rsidRDefault="00000000">
    <w:pPr>
      <w:pStyle w:val="En-tte"/>
    </w:pPr>
    <w:r w:rsidRPr="009A1244">
      <w:pict w14:anchorId="0AF1B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944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EAB7" w14:textId="4927993F" w:rsidR="00D476B7" w:rsidRPr="009A1244" w:rsidRDefault="00000000">
    <w:pPr>
      <w:pStyle w:val="En-tte"/>
    </w:pPr>
    <w:r w:rsidRPr="009A1244">
      <w:pict w14:anchorId="790ED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944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84BF6"/>
    <w:multiLevelType w:val="hybridMultilevel"/>
    <w:tmpl w:val="AA4816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9425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7A"/>
    <w:rsid w:val="000A5180"/>
    <w:rsid w:val="000F01B8"/>
    <w:rsid w:val="0010570C"/>
    <w:rsid w:val="00135DBA"/>
    <w:rsid w:val="001B0525"/>
    <w:rsid w:val="001F209F"/>
    <w:rsid w:val="002B400E"/>
    <w:rsid w:val="00322805"/>
    <w:rsid w:val="00375E5F"/>
    <w:rsid w:val="003C0C0F"/>
    <w:rsid w:val="004B28F4"/>
    <w:rsid w:val="00500EA8"/>
    <w:rsid w:val="00521CB7"/>
    <w:rsid w:val="0052690D"/>
    <w:rsid w:val="00543D74"/>
    <w:rsid w:val="00544D74"/>
    <w:rsid w:val="005574B0"/>
    <w:rsid w:val="0060476B"/>
    <w:rsid w:val="00673763"/>
    <w:rsid w:val="00726DBC"/>
    <w:rsid w:val="00762F7B"/>
    <w:rsid w:val="00766063"/>
    <w:rsid w:val="008D7BA0"/>
    <w:rsid w:val="00973511"/>
    <w:rsid w:val="0099301B"/>
    <w:rsid w:val="009A1244"/>
    <w:rsid w:val="009B261E"/>
    <w:rsid w:val="009D42A1"/>
    <w:rsid w:val="00A077F7"/>
    <w:rsid w:val="00A26D22"/>
    <w:rsid w:val="00A47553"/>
    <w:rsid w:val="00A96681"/>
    <w:rsid w:val="00B22C74"/>
    <w:rsid w:val="00B45371"/>
    <w:rsid w:val="00C0157A"/>
    <w:rsid w:val="00CB2A3F"/>
    <w:rsid w:val="00CD6CBE"/>
    <w:rsid w:val="00D476B7"/>
    <w:rsid w:val="00DB79FC"/>
    <w:rsid w:val="00E433F3"/>
    <w:rsid w:val="00E85F6A"/>
    <w:rsid w:val="00F869BF"/>
    <w:rsid w:val="00FD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786CD"/>
  <w15:chartTrackingRefBased/>
  <w15:docId w15:val="{27A6B8AD-3B2C-4F50-969B-FEFA25AB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C015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C015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0157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0157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0157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015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15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15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15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157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C0157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0157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0157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0157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015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15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15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157A"/>
    <w:rPr>
      <w:rFonts w:eastAsiaTheme="majorEastAsia" w:cstheme="majorBidi"/>
      <w:color w:val="272727" w:themeColor="text1" w:themeTint="D8"/>
    </w:rPr>
  </w:style>
  <w:style w:type="paragraph" w:styleId="Titre">
    <w:name w:val="Title"/>
    <w:basedOn w:val="Normal"/>
    <w:next w:val="Normal"/>
    <w:link w:val="TitreCar"/>
    <w:uiPriority w:val="10"/>
    <w:qFormat/>
    <w:rsid w:val="00C01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15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15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15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157A"/>
    <w:pPr>
      <w:spacing w:before="160"/>
      <w:jc w:val="center"/>
    </w:pPr>
    <w:rPr>
      <w:i/>
      <w:iCs/>
      <w:color w:val="404040" w:themeColor="text1" w:themeTint="BF"/>
    </w:rPr>
  </w:style>
  <w:style w:type="character" w:customStyle="1" w:styleId="CitationCar">
    <w:name w:val="Citation Car"/>
    <w:basedOn w:val="Policepardfaut"/>
    <w:link w:val="Citation"/>
    <w:uiPriority w:val="29"/>
    <w:rsid w:val="00C0157A"/>
    <w:rPr>
      <w:i/>
      <w:iCs/>
      <w:color w:val="404040" w:themeColor="text1" w:themeTint="BF"/>
    </w:rPr>
  </w:style>
  <w:style w:type="paragraph" w:styleId="Paragraphedeliste">
    <w:name w:val="List Paragraph"/>
    <w:basedOn w:val="Normal"/>
    <w:uiPriority w:val="34"/>
    <w:qFormat/>
    <w:rsid w:val="00C0157A"/>
    <w:pPr>
      <w:ind w:left="720"/>
      <w:contextualSpacing/>
    </w:pPr>
  </w:style>
  <w:style w:type="character" w:styleId="Accentuationintense">
    <w:name w:val="Intense Emphasis"/>
    <w:basedOn w:val="Policepardfaut"/>
    <w:uiPriority w:val="21"/>
    <w:qFormat/>
    <w:rsid w:val="00C0157A"/>
    <w:rPr>
      <w:i/>
      <w:iCs/>
      <w:color w:val="2F5496" w:themeColor="accent1" w:themeShade="BF"/>
    </w:rPr>
  </w:style>
  <w:style w:type="paragraph" w:styleId="Citationintense">
    <w:name w:val="Intense Quote"/>
    <w:basedOn w:val="Normal"/>
    <w:next w:val="Normal"/>
    <w:link w:val="CitationintenseCar"/>
    <w:uiPriority w:val="30"/>
    <w:qFormat/>
    <w:rsid w:val="00C01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0157A"/>
    <w:rPr>
      <w:i/>
      <w:iCs/>
      <w:color w:val="2F5496" w:themeColor="accent1" w:themeShade="BF"/>
    </w:rPr>
  </w:style>
  <w:style w:type="character" w:styleId="Rfrenceintense">
    <w:name w:val="Intense Reference"/>
    <w:basedOn w:val="Policepardfaut"/>
    <w:uiPriority w:val="32"/>
    <w:qFormat/>
    <w:rsid w:val="00C0157A"/>
    <w:rPr>
      <w:b/>
      <w:bCs/>
      <w:smallCaps/>
      <w:color w:val="2F5496" w:themeColor="accent1" w:themeShade="BF"/>
      <w:spacing w:val="5"/>
    </w:rPr>
  </w:style>
  <w:style w:type="table" w:customStyle="1" w:styleId="TableGrid">
    <w:name w:val="TableGrid"/>
    <w:rsid w:val="00C0157A"/>
    <w:pPr>
      <w:spacing w:after="0" w:line="240" w:lineRule="auto"/>
    </w:pPr>
    <w:rPr>
      <w:rFonts w:eastAsiaTheme="minorEastAsia"/>
      <w:sz w:val="22"/>
      <w:szCs w:val="22"/>
    </w:rPr>
    <w:tblPr>
      <w:tblCellMar>
        <w:top w:w="0" w:type="dxa"/>
        <w:left w:w="0" w:type="dxa"/>
        <w:bottom w:w="0" w:type="dxa"/>
        <w:right w:w="0" w:type="dxa"/>
      </w:tblCellMar>
    </w:tblPr>
  </w:style>
  <w:style w:type="character" w:styleId="Lienhypertexte">
    <w:name w:val="Hyperlink"/>
    <w:basedOn w:val="Policepardfaut"/>
    <w:uiPriority w:val="99"/>
    <w:unhideWhenUsed/>
    <w:rsid w:val="00544D74"/>
    <w:rPr>
      <w:color w:val="0563C1" w:themeColor="hyperlink"/>
      <w:u w:val="single"/>
    </w:rPr>
  </w:style>
  <w:style w:type="character" w:styleId="Mentionnonrsolue">
    <w:name w:val="Unresolved Mention"/>
    <w:basedOn w:val="Policepardfaut"/>
    <w:uiPriority w:val="99"/>
    <w:semiHidden/>
    <w:unhideWhenUsed/>
    <w:rsid w:val="00544D74"/>
    <w:rPr>
      <w:color w:val="605E5C"/>
      <w:shd w:val="clear" w:color="auto" w:fill="E1DFDD"/>
    </w:rPr>
  </w:style>
  <w:style w:type="paragraph" w:styleId="En-tte">
    <w:name w:val="header"/>
    <w:basedOn w:val="Normal"/>
    <w:link w:val="En-tteCar"/>
    <w:uiPriority w:val="99"/>
    <w:unhideWhenUsed/>
    <w:rsid w:val="00D476B7"/>
    <w:pPr>
      <w:tabs>
        <w:tab w:val="center" w:pos="4680"/>
        <w:tab w:val="right" w:pos="9360"/>
      </w:tabs>
      <w:spacing w:after="0" w:line="240" w:lineRule="auto"/>
    </w:pPr>
  </w:style>
  <w:style w:type="character" w:customStyle="1" w:styleId="En-tteCar">
    <w:name w:val="En-tête Car"/>
    <w:basedOn w:val="Policepardfaut"/>
    <w:link w:val="En-tte"/>
    <w:uiPriority w:val="99"/>
    <w:rsid w:val="00D476B7"/>
  </w:style>
  <w:style w:type="paragraph" w:styleId="Pieddepage">
    <w:name w:val="footer"/>
    <w:basedOn w:val="Normal"/>
    <w:link w:val="PieddepageCar"/>
    <w:uiPriority w:val="99"/>
    <w:unhideWhenUsed/>
    <w:rsid w:val="00D476B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47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44688">
      <w:bodyDiv w:val="1"/>
      <w:marLeft w:val="0"/>
      <w:marRight w:val="0"/>
      <w:marTop w:val="0"/>
      <w:marBottom w:val="0"/>
      <w:divBdr>
        <w:top w:val="none" w:sz="0" w:space="0" w:color="auto"/>
        <w:left w:val="none" w:sz="0" w:space="0" w:color="auto"/>
        <w:bottom w:val="none" w:sz="0" w:space="0" w:color="auto"/>
        <w:right w:val="none" w:sz="0" w:space="0" w:color="auto"/>
      </w:divBdr>
      <w:divsChild>
        <w:div w:id="1294096127">
          <w:marLeft w:val="0"/>
          <w:marRight w:val="0"/>
          <w:marTop w:val="0"/>
          <w:marBottom w:val="0"/>
          <w:divBdr>
            <w:top w:val="none" w:sz="0" w:space="0" w:color="auto"/>
            <w:left w:val="none" w:sz="0" w:space="0" w:color="auto"/>
            <w:bottom w:val="none" w:sz="0" w:space="0" w:color="auto"/>
            <w:right w:val="none" w:sz="0" w:space="0" w:color="auto"/>
          </w:divBdr>
          <w:divsChild>
            <w:div w:id="766854068">
              <w:marLeft w:val="0"/>
              <w:marRight w:val="0"/>
              <w:marTop w:val="0"/>
              <w:marBottom w:val="0"/>
              <w:divBdr>
                <w:top w:val="none" w:sz="0" w:space="0" w:color="auto"/>
                <w:left w:val="none" w:sz="0" w:space="0" w:color="auto"/>
                <w:bottom w:val="none" w:sz="0" w:space="0" w:color="auto"/>
                <w:right w:val="none" w:sz="0" w:space="0" w:color="auto"/>
              </w:divBdr>
            </w:div>
            <w:div w:id="1583833635">
              <w:marLeft w:val="0"/>
              <w:marRight w:val="0"/>
              <w:marTop w:val="0"/>
              <w:marBottom w:val="0"/>
              <w:divBdr>
                <w:top w:val="none" w:sz="0" w:space="0" w:color="auto"/>
                <w:left w:val="none" w:sz="0" w:space="0" w:color="auto"/>
                <w:bottom w:val="none" w:sz="0" w:space="0" w:color="auto"/>
                <w:right w:val="none" w:sz="0" w:space="0" w:color="auto"/>
              </w:divBdr>
            </w:div>
            <w:div w:id="197355053">
              <w:marLeft w:val="0"/>
              <w:marRight w:val="0"/>
              <w:marTop w:val="0"/>
              <w:marBottom w:val="0"/>
              <w:divBdr>
                <w:top w:val="none" w:sz="0" w:space="0" w:color="auto"/>
                <w:left w:val="none" w:sz="0" w:space="0" w:color="auto"/>
                <w:bottom w:val="none" w:sz="0" w:space="0" w:color="auto"/>
                <w:right w:val="none" w:sz="0" w:space="0" w:color="auto"/>
              </w:divBdr>
            </w:div>
            <w:div w:id="2108572232">
              <w:marLeft w:val="0"/>
              <w:marRight w:val="0"/>
              <w:marTop w:val="0"/>
              <w:marBottom w:val="0"/>
              <w:divBdr>
                <w:top w:val="none" w:sz="0" w:space="0" w:color="auto"/>
                <w:left w:val="none" w:sz="0" w:space="0" w:color="auto"/>
                <w:bottom w:val="none" w:sz="0" w:space="0" w:color="auto"/>
                <w:right w:val="none" w:sz="0" w:space="0" w:color="auto"/>
              </w:divBdr>
            </w:div>
            <w:div w:id="1581282772">
              <w:marLeft w:val="0"/>
              <w:marRight w:val="0"/>
              <w:marTop w:val="0"/>
              <w:marBottom w:val="0"/>
              <w:divBdr>
                <w:top w:val="none" w:sz="0" w:space="0" w:color="auto"/>
                <w:left w:val="none" w:sz="0" w:space="0" w:color="auto"/>
                <w:bottom w:val="none" w:sz="0" w:space="0" w:color="auto"/>
                <w:right w:val="none" w:sz="0" w:space="0" w:color="auto"/>
              </w:divBdr>
            </w:div>
            <w:div w:id="1727099819">
              <w:marLeft w:val="0"/>
              <w:marRight w:val="0"/>
              <w:marTop w:val="0"/>
              <w:marBottom w:val="0"/>
              <w:divBdr>
                <w:top w:val="none" w:sz="0" w:space="0" w:color="auto"/>
                <w:left w:val="none" w:sz="0" w:space="0" w:color="auto"/>
                <w:bottom w:val="none" w:sz="0" w:space="0" w:color="auto"/>
                <w:right w:val="none" w:sz="0" w:space="0" w:color="auto"/>
              </w:divBdr>
            </w:div>
            <w:div w:id="318727966">
              <w:marLeft w:val="0"/>
              <w:marRight w:val="0"/>
              <w:marTop w:val="0"/>
              <w:marBottom w:val="0"/>
              <w:divBdr>
                <w:top w:val="none" w:sz="0" w:space="0" w:color="auto"/>
                <w:left w:val="none" w:sz="0" w:space="0" w:color="auto"/>
                <w:bottom w:val="none" w:sz="0" w:space="0" w:color="auto"/>
                <w:right w:val="none" w:sz="0" w:space="0" w:color="auto"/>
              </w:divBdr>
            </w:div>
            <w:div w:id="154995266">
              <w:marLeft w:val="0"/>
              <w:marRight w:val="0"/>
              <w:marTop w:val="0"/>
              <w:marBottom w:val="0"/>
              <w:divBdr>
                <w:top w:val="none" w:sz="0" w:space="0" w:color="auto"/>
                <w:left w:val="none" w:sz="0" w:space="0" w:color="auto"/>
                <w:bottom w:val="none" w:sz="0" w:space="0" w:color="auto"/>
                <w:right w:val="none" w:sz="0" w:space="0" w:color="auto"/>
              </w:divBdr>
            </w:div>
            <w:div w:id="44015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89943">
      <w:bodyDiv w:val="1"/>
      <w:marLeft w:val="0"/>
      <w:marRight w:val="0"/>
      <w:marTop w:val="0"/>
      <w:marBottom w:val="0"/>
      <w:divBdr>
        <w:top w:val="none" w:sz="0" w:space="0" w:color="auto"/>
        <w:left w:val="none" w:sz="0" w:space="0" w:color="auto"/>
        <w:bottom w:val="none" w:sz="0" w:space="0" w:color="auto"/>
        <w:right w:val="none" w:sz="0" w:space="0" w:color="auto"/>
      </w:divBdr>
      <w:divsChild>
        <w:div w:id="1272977428">
          <w:marLeft w:val="0"/>
          <w:marRight w:val="0"/>
          <w:marTop w:val="0"/>
          <w:marBottom w:val="0"/>
          <w:divBdr>
            <w:top w:val="none" w:sz="0" w:space="0" w:color="auto"/>
            <w:left w:val="none" w:sz="0" w:space="0" w:color="auto"/>
            <w:bottom w:val="none" w:sz="0" w:space="0" w:color="auto"/>
            <w:right w:val="none" w:sz="0" w:space="0" w:color="auto"/>
          </w:divBdr>
          <w:divsChild>
            <w:div w:id="1176117966">
              <w:marLeft w:val="0"/>
              <w:marRight w:val="0"/>
              <w:marTop w:val="0"/>
              <w:marBottom w:val="0"/>
              <w:divBdr>
                <w:top w:val="none" w:sz="0" w:space="0" w:color="auto"/>
                <w:left w:val="none" w:sz="0" w:space="0" w:color="auto"/>
                <w:bottom w:val="none" w:sz="0" w:space="0" w:color="auto"/>
                <w:right w:val="none" w:sz="0" w:space="0" w:color="auto"/>
              </w:divBdr>
            </w:div>
            <w:div w:id="953949159">
              <w:marLeft w:val="0"/>
              <w:marRight w:val="0"/>
              <w:marTop w:val="0"/>
              <w:marBottom w:val="0"/>
              <w:divBdr>
                <w:top w:val="none" w:sz="0" w:space="0" w:color="auto"/>
                <w:left w:val="none" w:sz="0" w:space="0" w:color="auto"/>
                <w:bottom w:val="none" w:sz="0" w:space="0" w:color="auto"/>
                <w:right w:val="none" w:sz="0" w:space="0" w:color="auto"/>
              </w:divBdr>
            </w:div>
            <w:div w:id="1925919707">
              <w:marLeft w:val="0"/>
              <w:marRight w:val="0"/>
              <w:marTop w:val="0"/>
              <w:marBottom w:val="0"/>
              <w:divBdr>
                <w:top w:val="none" w:sz="0" w:space="0" w:color="auto"/>
                <w:left w:val="none" w:sz="0" w:space="0" w:color="auto"/>
                <w:bottom w:val="none" w:sz="0" w:space="0" w:color="auto"/>
                <w:right w:val="none" w:sz="0" w:space="0" w:color="auto"/>
              </w:divBdr>
            </w:div>
            <w:div w:id="1837498707">
              <w:marLeft w:val="0"/>
              <w:marRight w:val="0"/>
              <w:marTop w:val="0"/>
              <w:marBottom w:val="0"/>
              <w:divBdr>
                <w:top w:val="none" w:sz="0" w:space="0" w:color="auto"/>
                <w:left w:val="none" w:sz="0" w:space="0" w:color="auto"/>
                <w:bottom w:val="none" w:sz="0" w:space="0" w:color="auto"/>
                <w:right w:val="none" w:sz="0" w:space="0" w:color="auto"/>
              </w:divBdr>
            </w:div>
            <w:div w:id="1373266966">
              <w:marLeft w:val="0"/>
              <w:marRight w:val="0"/>
              <w:marTop w:val="0"/>
              <w:marBottom w:val="0"/>
              <w:divBdr>
                <w:top w:val="none" w:sz="0" w:space="0" w:color="auto"/>
                <w:left w:val="none" w:sz="0" w:space="0" w:color="auto"/>
                <w:bottom w:val="none" w:sz="0" w:space="0" w:color="auto"/>
                <w:right w:val="none" w:sz="0" w:space="0" w:color="auto"/>
              </w:divBdr>
            </w:div>
            <w:div w:id="1351373766">
              <w:marLeft w:val="0"/>
              <w:marRight w:val="0"/>
              <w:marTop w:val="0"/>
              <w:marBottom w:val="0"/>
              <w:divBdr>
                <w:top w:val="none" w:sz="0" w:space="0" w:color="auto"/>
                <w:left w:val="none" w:sz="0" w:space="0" w:color="auto"/>
                <w:bottom w:val="none" w:sz="0" w:space="0" w:color="auto"/>
                <w:right w:val="none" w:sz="0" w:space="0" w:color="auto"/>
              </w:divBdr>
            </w:div>
            <w:div w:id="64646961">
              <w:marLeft w:val="0"/>
              <w:marRight w:val="0"/>
              <w:marTop w:val="0"/>
              <w:marBottom w:val="0"/>
              <w:divBdr>
                <w:top w:val="none" w:sz="0" w:space="0" w:color="auto"/>
                <w:left w:val="none" w:sz="0" w:space="0" w:color="auto"/>
                <w:bottom w:val="none" w:sz="0" w:space="0" w:color="auto"/>
                <w:right w:val="none" w:sz="0" w:space="0" w:color="auto"/>
              </w:divBdr>
            </w:div>
            <w:div w:id="1385986103">
              <w:marLeft w:val="0"/>
              <w:marRight w:val="0"/>
              <w:marTop w:val="0"/>
              <w:marBottom w:val="0"/>
              <w:divBdr>
                <w:top w:val="none" w:sz="0" w:space="0" w:color="auto"/>
                <w:left w:val="none" w:sz="0" w:space="0" w:color="auto"/>
                <w:bottom w:val="none" w:sz="0" w:space="0" w:color="auto"/>
                <w:right w:val="none" w:sz="0" w:space="0" w:color="auto"/>
              </w:divBdr>
            </w:div>
            <w:div w:id="21318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21849231557367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77/1076029623117968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Feuil1!$B$4:$B$12</c:f>
              <c:strCache>
                <c:ptCount val="9"/>
                <c:pt idx="0">
                  <c:v>Left intraventricular thrombus</c:v>
                </c:pt>
                <c:pt idx="1">
                  <c:v>Mitral vegetations</c:v>
                </c:pt>
                <c:pt idx="2">
                  <c:v>Aortic vegetations</c:v>
                </c:pt>
                <c:pt idx="3">
                  <c:v>Left-earner-ear thrombus</c:v>
                </c:pt>
                <c:pt idx="4">
                  <c:v>Heart tumours</c:v>
                </c:pt>
                <c:pt idx="5">
                  <c:v>Tricuspid vegetations</c:v>
                </c:pt>
                <c:pt idx="6">
                  <c:v>Straight intraventricular thrombus</c:v>
                </c:pt>
                <c:pt idx="7">
                  <c:v>Right in-ear thrombus</c:v>
                </c:pt>
                <c:pt idx="8">
                  <c:v>Vegetations on aortic prosthesis</c:v>
                </c:pt>
              </c:strCache>
            </c:strRef>
          </c:cat>
          <c:val>
            <c:numRef>
              <c:f>Feuil1!$C$4:$C$12</c:f>
              <c:numCache>
                <c:formatCode>General</c:formatCode>
                <c:ptCount val="9"/>
                <c:pt idx="0">
                  <c:v>27</c:v>
                </c:pt>
                <c:pt idx="1">
                  <c:v>19</c:v>
                </c:pt>
                <c:pt idx="2">
                  <c:v>14</c:v>
                </c:pt>
                <c:pt idx="3">
                  <c:v>12</c:v>
                </c:pt>
                <c:pt idx="4">
                  <c:v>8</c:v>
                </c:pt>
                <c:pt idx="5">
                  <c:v>5</c:v>
                </c:pt>
                <c:pt idx="6">
                  <c:v>4</c:v>
                </c:pt>
                <c:pt idx="7">
                  <c:v>2</c:v>
                </c:pt>
                <c:pt idx="8">
                  <c:v>1</c:v>
                </c:pt>
              </c:numCache>
            </c:numRef>
          </c:val>
          <c:extLst>
            <c:ext xmlns:c16="http://schemas.microsoft.com/office/drawing/2014/chart" uri="{C3380CC4-5D6E-409C-BE32-E72D297353CC}">
              <c16:uniqueId val="{00000000-EA9A-4BBE-ABDD-2869E4C7604E}"/>
            </c:ext>
          </c:extLst>
        </c:ser>
        <c:dLbls>
          <c:dLblPos val="outEnd"/>
          <c:showLegendKey val="0"/>
          <c:showVal val="1"/>
          <c:showCatName val="0"/>
          <c:showSerName val="0"/>
          <c:showPercent val="0"/>
          <c:showBubbleSize val="0"/>
        </c:dLbls>
        <c:gapWidth val="182"/>
        <c:axId val="527310072"/>
        <c:axId val="527307552"/>
      </c:barChart>
      <c:catAx>
        <c:axId val="527310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100" b="0">
                    <a:latin typeface="Times New Roman" panose="02020603050405020304" pitchFamily="18" charset="0"/>
                    <a:cs typeface="Times New Roman" panose="02020603050405020304" pitchFamily="18" charset="0"/>
                  </a:rPr>
                  <a:t>Location of masses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527307552"/>
        <c:crosses val="autoZero"/>
        <c:auto val="1"/>
        <c:lblAlgn val="ctr"/>
        <c:lblOffset val="100"/>
        <c:noMultiLvlLbl val="0"/>
      </c:catAx>
      <c:valAx>
        <c:axId val="527307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100">
                    <a:latin typeface="Times New Roman" panose="02020603050405020304" pitchFamily="18" charset="0"/>
                    <a:cs typeface="Times New Roman" panose="02020603050405020304" pitchFamily="18" charset="0"/>
                  </a:rPr>
                  <a:t>Number</a:t>
                </a:r>
                <a:r>
                  <a:rPr lang="fr-FR" sz="1100" baseline="0">
                    <a:latin typeface="Times New Roman" panose="02020603050405020304" pitchFamily="18" charset="0"/>
                    <a:cs typeface="Times New Roman" panose="02020603050405020304" pitchFamily="18" charset="0"/>
                  </a:rPr>
                  <a:t> of patients</a:t>
                </a:r>
                <a:endParaRPr lang="fr-FR" sz="1100">
                  <a:latin typeface="Times New Roman" panose="02020603050405020304" pitchFamily="18" charset="0"/>
                  <a:cs typeface="Times New Roman" panose="02020603050405020304" pitchFamily="18" charset="0"/>
                </a:endParaRPr>
              </a:p>
            </c:rich>
          </c:tx>
          <c:layout>
            <c:manualLayout>
              <c:xMode val="edge"/>
              <c:yMode val="edge"/>
              <c:x val="0.40732025445971798"/>
              <c:y val="0.917234138211591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27310072"/>
        <c:crosses val="autoZero"/>
        <c:crossBetween val="between"/>
      </c:valAx>
      <c:spPr>
        <a:noFill/>
        <a:ln>
          <a:solidFill>
            <a:schemeClr val="accent1"/>
          </a:solid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2905</Words>
  <Characters>15981</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Nac</dc:creator>
  <cp:keywords/>
  <dc:description/>
  <cp:lastModifiedBy>hp</cp:lastModifiedBy>
  <cp:revision>18</cp:revision>
  <dcterms:created xsi:type="dcterms:W3CDTF">2025-02-14T23:31:00Z</dcterms:created>
  <dcterms:modified xsi:type="dcterms:W3CDTF">2025-03-25T13:57:00Z</dcterms:modified>
</cp:coreProperties>
</file>