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B650" w14:textId="77777777" w:rsidR="0098577A" w:rsidRPr="0098577A" w:rsidRDefault="0098577A" w:rsidP="0098577A">
      <w:pPr>
        <w:pStyle w:val="Titre1"/>
        <w:jc w:val="center"/>
        <w:rPr>
          <w:rFonts w:cstheme="majorHAnsi"/>
          <w:i/>
          <w:iCs/>
          <w:sz w:val="36"/>
          <w:szCs w:val="36"/>
          <w:u w:val="single"/>
        </w:rPr>
      </w:pPr>
      <w:r w:rsidRPr="0098577A">
        <w:rPr>
          <w:rFonts w:cstheme="majorHAnsi"/>
          <w:i/>
          <w:iCs/>
          <w:sz w:val="36"/>
          <w:szCs w:val="36"/>
          <w:u w:val="single"/>
        </w:rPr>
        <w:t xml:space="preserve">Case report </w:t>
      </w:r>
    </w:p>
    <w:p w14:paraId="7C235B36" w14:textId="77777777" w:rsidR="0098577A" w:rsidRPr="006C338F" w:rsidRDefault="0098577A" w:rsidP="006C338F">
      <w:pPr>
        <w:pStyle w:val="Titre1"/>
        <w:jc w:val="center"/>
        <w:rPr>
          <w:rFonts w:cstheme="majorHAnsi"/>
          <w:color w:val="1F497D" w:themeColor="text2"/>
          <w:sz w:val="48"/>
          <w:szCs w:val="48"/>
        </w:rPr>
      </w:pPr>
    </w:p>
    <w:p w14:paraId="67C51201" w14:textId="1E8E19CA" w:rsidR="001C5FE8" w:rsidRPr="006C338F" w:rsidRDefault="006C338F" w:rsidP="006C338F">
      <w:pPr>
        <w:jc w:val="center"/>
        <w:rPr>
          <w:rFonts w:asciiTheme="majorHAnsi" w:hAnsiTheme="majorHAnsi" w:cstheme="majorHAnsi"/>
          <w:color w:val="1F497D" w:themeColor="text2"/>
          <w:sz w:val="144"/>
          <w:szCs w:val="96"/>
        </w:rPr>
      </w:pPr>
      <w:r w:rsidRPr="006C338F">
        <w:rPr>
          <w:rFonts w:asciiTheme="majorHAnsi" w:hAnsiTheme="majorHAnsi" w:cstheme="majorHAnsi"/>
          <w:b/>
          <w:bCs/>
          <w:color w:val="1F497D" w:themeColor="text2"/>
          <w:sz w:val="40"/>
          <w:szCs w:val="40"/>
          <w:highlight w:val="yellow"/>
          <w:lang w:val="en-GB"/>
        </w:rPr>
        <w:t>Relapsing Po</w:t>
      </w:r>
      <w:proofErr w:type="spellStart"/>
      <w:r w:rsidRPr="006C338F">
        <w:rPr>
          <w:rFonts w:asciiTheme="majorHAnsi" w:hAnsiTheme="majorHAnsi" w:cstheme="majorHAnsi"/>
          <w:b/>
          <w:bCs/>
          <w:color w:val="1F497D" w:themeColor="text2"/>
          <w:sz w:val="40"/>
          <w:szCs w:val="40"/>
          <w:highlight w:val="yellow"/>
          <w:lang w:val="en-GB"/>
        </w:rPr>
        <w:t>lychondritis</w:t>
      </w:r>
      <w:proofErr w:type="spellEnd"/>
      <w:r w:rsidRPr="006C338F">
        <w:rPr>
          <w:rFonts w:asciiTheme="majorHAnsi" w:hAnsiTheme="majorHAnsi" w:cstheme="majorHAnsi"/>
          <w:b/>
          <w:bCs/>
          <w:color w:val="1F497D" w:themeColor="text2"/>
          <w:sz w:val="40"/>
          <w:szCs w:val="40"/>
          <w:highlight w:val="yellow"/>
          <w:lang w:val="en-GB"/>
        </w:rPr>
        <w:t xml:space="preserve"> with Auricular and Ocular Involvement: A Case Report and Literature Review.</w:t>
      </w:r>
    </w:p>
    <w:p w14:paraId="74BC10F2" w14:textId="77777777" w:rsidR="00CA587F" w:rsidRPr="00CA587F" w:rsidRDefault="00D32182" w:rsidP="00CA587F">
      <w:pPr>
        <w:pStyle w:val="Titre2"/>
        <w:rPr>
          <w:rFonts w:cstheme="majorHAnsi"/>
        </w:rPr>
      </w:pPr>
      <w:r w:rsidRPr="00CA587F">
        <w:rPr>
          <w:rFonts w:cstheme="majorHAnsi"/>
        </w:rPr>
        <w:lastRenderedPageBreak/>
        <w:t>Abstract</w:t>
      </w:r>
      <w:r w:rsidR="00CA587F">
        <w:rPr>
          <w:rFonts w:cstheme="majorHAnsi"/>
        </w:rPr>
        <w:t xml:space="preserve"> :</w:t>
      </w:r>
    </w:p>
    <w:p w14:paraId="0C980257" w14:textId="77777777" w:rsidR="00AB6C10" w:rsidRDefault="00AB6C10" w:rsidP="001C5FE8">
      <w:pPr>
        <w:pStyle w:val="Titre2"/>
        <w:rPr>
          <w:color w:val="222222"/>
          <w:sz w:val="30"/>
          <w:szCs w:val="30"/>
          <w:shd w:val="clear" w:color="auto" w:fill="FFFFFF"/>
        </w:rPr>
      </w:pPr>
      <w:r w:rsidRPr="00AB6C10">
        <w:rPr>
          <w:color w:val="222222"/>
          <w:sz w:val="30"/>
          <w:szCs w:val="30"/>
          <w:highlight w:val="yellow"/>
          <w:shd w:val="clear" w:color="auto" w:fill="FFFFFF"/>
        </w:rPr>
        <w:t xml:space="preserve">Relapsing </w:t>
      </w:r>
      <w:proofErr w:type="spellStart"/>
      <w:r w:rsidRPr="00AB6C10">
        <w:rPr>
          <w:color w:val="222222"/>
          <w:sz w:val="30"/>
          <w:szCs w:val="30"/>
          <w:highlight w:val="yellow"/>
          <w:shd w:val="clear" w:color="auto" w:fill="FFFFFF"/>
        </w:rPr>
        <w:t>polychondritis</w:t>
      </w:r>
      <w:proofErr w:type="spellEnd"/>
      <w:r w:rsidRPr="00AB6C10">
        <w:rPr>
          <w:color w:val="222222"/>
          <w:sz w:val="30"/>
          <w:szCs w:val="30"/>
          <w:highlight w:val="yellow"/>
          <w:shd w:val="clear" w:color="auto" w:fill="FFFFFF"/>
        </w:rPr>
        <w:t xml:space="preserve"> (RP) is a rare, immune-mediated systemic disorder with an estimated prevalence of 4.5 to 20 cases per million population. It is characterized by recurrent inflammation of cartilaginous and proteoglycan-rich tissues, particularly affecting the auricles, nasal cartilage, respiratory tract, eyes, and joints. Due to its rarity and variable presentation, diagnosis is often delayed, and misdiagnosis can lead to irreversible complications. We report the case of a 48-year-old male with a two-year history of recurrent bilateral auricular chondritis, nasal pain without deformity, ocular inflammation (scleritis), and arthralgias. The diagnosis was made clinically, supported by elevated inflammatory markers (CRP 50 mg/L) and exclusion of autoimmune and infectious differentials through an extensive immunological workup. The patient responded favorably to corticosteroid therapy. This case highlights the importance of early recognition of characteristic features of RP, particularly auricular chondritis with lobular sparing, in facilitating timely diagnosis and treatment. Given the lack of standardized diagnostic biomarkers and the limited evidence from controlled trials, future research should aim to identify reliable diagnostic tools and evaluate targeted therapies in larger cohorts.</w:t>
      </w:r>
    </w:p>
    <w:p w14:paraId="3B343879" w14:textId="7CDEDB82" w:rsidR="001C5FE8" w:rsidRPr="00CA587F" w:rsidRDefault="001C5FE8" w:rsidP="001C5FE8">
      <w:pPr>
        <w:pStyle w:val="Titre2"/>
        <w:rPr>
          <w:rFonts w:cstheme="majorHAnsi"/>
          <w:color w:val="222222"/>
          <w:sz w:val="24"/>
          <w:szCs w:val="24"/>
          <w:shd w:val="clear" w:color="auto" w:fill="FFFFFF"/>
        </w:rPr>
      </w:pPr>
      <w:r w:rsidRPr="00CA587F">
        <w:rPr>
          <w:rFonts w:cstheme="majorHAnsi"/>
        </w:rPr>
        <w:t xml:space="preserve">Keywords :  </w:t>
      </w:r>
      <w:r w:rsidRPr="00CA587F">
        <w:rPr>
          <w:rFonts w:cstheme="majorHAnsi"/>
          <w:b w:val="0"/>
          <w:bCs w:val="0"/>
          <w:color w:val="222222"/>
          <w:sz w:val="24"/>
          <w:szCs w:val="24"/>
          <w:shd w:val="clear" w:color="auto" w:fill="FFFFFF"/>
        </w:rPr>
        <w:t xml:space="preserve">Relapsing </w:t>
      </w:r>
      <w:proofErr w:type="spellStart"/>
      <w:r w:rsidRPr="00CA587F">
        <w:rPr>
          <w:rFonts w:cstheme="majorHAnsi"/>
          <w:b w:val="0"/>
          <w:bCs w:val="0"/>
          <w:color w:val="222222"/>
          <w:sz w:val="24"/>
          <w:szCs w:val="24"/>
          <w:shd w:val="clear" w:color="auto" w:fill="FFFFFF"/>
        </w:rPr>
        <w:t>Polychondritis</w:t>
      </w:r>
      <w:proofErr w:type="spellEnd"/>
      <w:r w:rsidRPr="00CA587F">
        <w:rPr>
          <w:rFonts w:cstheme="majorHAnsi"/>
          <w:b w:val="0"/>
          <w:bCs w:val="0"/>
          <w:color w:val="222222"/>
          <w:sz w:val="24"/>
          <w:szCs w:val="24"/>
          <w:shd w:val="clear" w:color="auto" w:fill="FFFFFF"/>
        </w:rPr>
        <w:t xml:space="preserve"> , Autoimmune Diseases , Immunosuppressive Agents</w:t>
      </w:r>
      <w:r w:rsidR="00CA587F" w:rsidRPr="00CA587F">
        <w:rPr>
          <w:rFonts w:cstheme="majorHAnsi"/>
          <w:b w:val="0"/>
          <w:bCs w:val="0"/>
          <w:color w:val="222222"/>
          <w:sz w:val="24"/>
          <w:szCs w:val="24"/>
          <w:shd w:val="clear" w:color="auto" w:fill="FFFFFF"/>
        </w:rPr>
        <w:t>.</w:t>
      </w:r>
    </w:p>
    <w:p w14:paraId="5D673F6A" w14:textId="77777777" w:rsidR="00CA587F" w:rsidRPr="00CA587F" w:rsidRDefault="00CA587F" w:rsidP="00CA587F">
      <w:pPr>
        <w:rPr>
          <w:rFonts w:asciiTheme="majorHAnsi" w:hAnsiTheme="majorHAnsi" w:cstheme="majorHAnsi"/>
        </w:rPr>
      </w:pPr>
    </w:p>
    <w:p w14:paraId="02B80770" w14:textId="77777777" w:rsidR="00F305EB" w:rsidRPr="00CA587F" w:rsidRDefault="00D32182">
      <w:pPr>
        <w:pStyle w:val="Titre2"/>
        <w:rPr>
          <w:rFonts w:cstheme="majorHAnsi"/>
          <w:sz w:val="32"/>
          <w:szCs w:val="32"/>
          <w:u w:val="single"/>
        </w:rPr>
      </w:pPr>
      <w:r w:rsidRPr="00CA587F">
        <w:rPr>
          <w:rFonts w:cstheme="majorHAnsi"/>
          <w:sz w:val="32"/>
          <w:szCs w:val="32"/>
          <w:u w:val="single"/>
        </w:rPr>
        <w:lastRenderedPageBreak/>
        <w:t>Introduction</w:t>
      </w:r>
      <w:r w:rsidR="00CA587F" w:rsidRPr="00CA587F">
        <w:rPr>
          <w:rFonts w:cstheme="majorHAnsi"/>
          <w:sz w:val="32"/>
          <w:szCs w:val="32"/>
          <w:u w:val="single"/>
        </w:rPr>
        <w:t xml:space="preserve"> :</w:t>
      </w:r>
    </w:p>
    <w:p w14:paraId="7E88912B" w14:textId="38B0089A" w:rsidR="00370D54" w:rsidRPr="00370D54" w:rsidRDefault="00370D54" w:rsidP="00370D54">
      <w:pPr>
        <w:pStyle w:val="Titre2"/>
        <w:rPr>
          <w:rFonts w:eastAsiaTheme="minorEastAsia" w:cstheme="majorHAnsi"/>
          <w:b w:val="0"/>
          <w:bCs w:val="0"/>
          <w:color w:val="auto"/>
          <w:sz w:val="28"/>
          <w:szCs w:val="24"/>
          <w:highlight w:val="yellow"/>
        </w:rPr>
      </w:pPr>
      <w:r w:rsidRPr="00370D54">
        <w:rPr>
          <w:rFonts w:eastAsiaTheme="minorEastAsia" w:cstheme="majorHAnsi"/>
          <w:b w:val="0"/>
          <w:bCs w:val="0"/>
          <w:color w:val="auto"/>
          <w:sz w:val="28"/>
          <w:szCs w:val="24"/>
          <w:highlight w:val="yellow"/>
        </w:rPr>
        <w:t xml:space="preserve">Relapsing </w:t>
      </w:r>
      <w:proofErr w:type="spellStart"/>
      <w:r w:rsidRPr="00370D54">
        <w:rPr>
          <w:rFonts w:eastAsiaTheme="minorEastAsia" w:cstheme="majorHAnsi"/>
          <w:b w:val="0"/>
          <w:bCs w:val="0"/>
          <w:color w:val="auto"/>
          <w:sz w:val="28"/>
          <w:szCs w:val="24"/>
          <w:highlight w:val="yellow"/>
        </w:rPr>
        <w:t>polychondritis</w:t>
      </w:r>
      <w:proofErr w:type="spellEnd"/>
      <w:r w:rsidRPr="00370D54">
        <w:rPr>
          <w:rFonts w:eastAsiaTheme="minorEastAsia" w:cstheme="majorHAnsi"/>
          <w:b w:val="0"/>
          <w:bCs w:val="0"/>
          <w:color w:val="auto"/>
          <w:sz w:val="28"/>
          <w:szCs w:val="24"/>
          <w:highlight w:val="yellow"/>
        </w:rPr>
        <w:t xml:space="preserve"> is an uncommon systemic inflammatory disorder first </w:t>
      </w:r>
      <w:proofErr w:type="spellStart"/>
      <w:r w:rsidRPr="00370D54">
        <w:rPr>
          <w:rFonts w:eastAsiaTheme="minorEastAsia" w:cstheme="majorHAnsi"/>
          <w:b w:val="0"/>
          <w:bCs w:val="0"/>
          <w:color w:val="auto"/>
          <w:sz w:val="28"/>
          <w:szCs w:val="24"/>
          <w:highlight w:val="yellow"/>
        </w:rPr>
        <w:t>described</w:t>
      </w:r>
      <w:r w:rsidRPr="00370D54">
        <w:rPr>
          <w:rFonts w:eastAsiaTheme="minorEastAsia" w:cstheme="majorHAnsi"/>
          <w:b w:val="0"/>
          <w:bCs w:val="0"/>
          <w:color w:val="auto"/>
          <w:sz w:val="28"/>
          <w:szCs w:val="24"/>
          <w:highlight w:val="yellow"/>
        </w:rPr>
        <w:t>m</w:t>
      </w:r>
      <w:r w:rsidRPr="00370D54">
        <w:rPr>
          <w:rFonts w:eastAsiaTheme="minorEastAsia" w:cstheme="majorHAnsi"/>
          <w:b w:val="0"/>
          <w:bCs w:val="0"/>
          <w:color w:val="auto"/>
          <w:sz w:val="28"/>
          <w:szCs w:val="24"/>
          <w:highlight w:val="yellow"/>
        </w:rPr>
        <w:t>in</w:t>
      </w:r>
      <w:proofErr w:type="spellEnd"/>
      <w:r w:rsidRPr="00370D54">
        <w:rPr>
          <w:rFonts w:eastAsiaTheme="minorEastAsia" w:cstheme="majorHAnsi"/>
          <w:b w:val="0"/>
          <w:bCs w:val="0"/>
          <w:color w:val="auto"/>
          <w:sz w:val="28"/>
          <w:szCs w:val="24"/>
          <w:highlight w:val="yellow"/>
        </w:rPr>
        <w:t xml:space="preserve"> 1923 and further characterized by McAdam in 1976 (1). It is marked by episodic</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inflammation and progressive destruction of cartilaginous structures throughout the body.</w:t>
      </w:r>
    </w:p>
    <w:p w14:paraId="19118D99" w14:textId="77777777" w:rsidR="00370D54" w:rsidRDefault="00370D54" w:rsidP="00370D54">
      <w:pPr>
        <w:pStyle w:val="Titre2"/>
        <w:rPr>
          <w:rFonts w:eastAsiaTheme="minorEastAsia" w:cstheme="majorHAnsi"/>
          <w:b w:val="0"/>
          <w:bCs w:val="0"/>
          <w:color w:val="auto"/>
          <w:sz w:val="28"/>
          <w:szCs w:val="24"/>
        </w:rPr>
      </w:pPr>
      <w:r w:rsidRPr="00370D54">
        <w:rPr>
          <w:rFonts w:eastAsiaTheme="minorEastAsia" w:cstheme="majorHAnsi"/>
          <w:b w:val="0"/>
          <w:bCs w:val="0"/>
          <w:color w:val="auto"/>
          <w:sz w:val="28"/>
          <w:szCs w:val="24"/>
          <w:highlight w:val="yellow"/>
        </w:rPr>
        <w:t>The disease typically affects adults aged 40–60 years, with no significant gender</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predominance. Due to its rarity and clinical heterogeneity, diagnosis is often delayed.</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Approximately 30% of patients have an associated autoimmune disease, most commonly</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rheumatoid arthritis, systemic lupus erythematosus, or systemic vasculitis (2,3). The</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pathogenesis remains incompletely understood but is thought to involve immune</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responses directed against type II collagen and matrilin-1 (4).</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Recent studies have shed more light on the immunopathogenesis of RP. In addition to</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humoral responses against type II collagen, matrilin-1, and cartilage-specific proteins, T-</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cell mediated mechanisms are believed to play a critical role. Elevated levels of pro-inflammatory cytokines such as TNF-α, IL-6, and IL-17 have been reported in active</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disease. Dysregulation of regulatory T cells (Tregs) and activation of Th1/Th17 pathways</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may contribute to the chronic and relapsing nature of the disease. Although these findings</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suggest potential targets for biologic therapy, specific pathogenic biomarkers are still</w:t>
      </w:r>
      <w:r w:rsidRPr="00370D54">
        <w:rPr>
          <w:rFonts w:eastAsiaTheme="minorEastAsia" w:cstheme="majorHAnsi"/>
          <w:b w:val="0"/>
          <w:bCs w:val="0"/>
          <w:color w:val="auto"/>
          <w:sz w:val="28"/>
          <w:szCs w:val="24"/>
          <w:highlight w:val="yellow"/>
        </w:rPr>
        <w:t xml:space="preserve"> </w:t>
      </w:r>
      <w:r w:rsidRPr="00370D54">
        <w:rPr>
          <w:rFonts w:eastAsiaTheme="minorEastAsia" w:cstheme="majorHAnsi"/>
          <w:b w:val="0"/>
          <w:bCs w:val="0"/>
          <w:color w:val="auto"/>
          <w:sz w:val="28"/>
          <w:szCs w:val="24"/>
          <w:highlight w:val="yellow"/>
        </w:rPr>
        <w:t>lacking, and the disease remains primarily a clinical diagnosis (1,4,5).</w:t>
      </w:r>
    </w:p>
    <w:p w14:paraId="0B8F4251" w14:textId="11E4FED9" w:rsidR="00F305EB" w:rsidRPr="00370D54" w:rsidRDefault="00D32182" w:rsidP="00370D54">
      <w:pPr>
        <w:pStyle w:val="Titre2"/>
        <w:rPr>
          <w:rFonts w:eastAsiaTheme="minorEastAsia" w:cstheme="majorHAnsi"/>
          <w:b w:val="0"/>
          <w:bCs w:val="0"/>
          <w:color w:val="auto"/>
          <w:sz w:val="28"/>
          <w:szCs w:val="24"/>
        </w:rPr>
      </w:pPr>
      <w:r w:rsidRPr="00CA587F">
        <w:rPr>
          <w:rFonts w:cstheme="majorHAnsi"/>
          <w:sz w:val="32"/>
          <w:szCs w:val="32"/>
          <w:u w:val="single"/>
        </w:rPr>
        <w:t xml:space="preserve">Case </w:t>
      </w:r>
      <w:r w:rsidR="0098577A">
        <w:rPr>
          <w:rFonts w:cstheme="majorHAnsi"/>
          <w:sz w:val="32"/>
          <w:szCs w:val="32"/>
          <w:u w:val="single"/>
        </w:rPr>
        <w:t>Presentation</w:t>
      </w:r>
      <w:r w:rsidR="00CA587F">
        <w:rPr>
          <w:rFonts w:cstheme="majorHAnsi"/>
          <w:sz w:val="32"/>
          <w:szCs w:val="32"/>
          <w:u w:val="single"/>
        </w:rPr>
        <w:t xml:space="preserve"> :</w:t>
      </w:r>
    </w:p>
    <w:p w14:paraId="11EFE429" w14:textId="77777777" w:rsidR="00910589" w:rsidRPr="00CA587F" w:rsidRDefault="00D32182">
      <w:pPr>
        <w:spacing w:after="240"/>
        <w:rPr>
          <w:rFonts w:asciiTheme="majorHAnsi" w:hAnsiTheme="majorHAnsi" w:cstheme="majorHAnsi"/>
          <w:sz w:val="28"/>
          <w:szCs w:val="28"/>
        </w:rPr>
      </w:pPr>
      <w:r w:rsidRPr="00CA587F">
        <w:rPr>
          <w:rFonts w:asciiTheme="majorHAnsi" w:hAnsiTheme="majorHAnsi" w:cstheme="majorHAnsi"/>
          <w:sz w:val="28"/>
          <w:szCs w:val="28"/>
        </w:rPr>
        <w:t>A 48-year-old man presented to our department with a 24-month history of recurrent, painful inflammation of both ears, with sparing of the ear lobules. Episodes were associated with warmth, erythema, and tenderness of the cartilaginous portions. He also reported nasal discomfort, primarily at the base, without any nasal deformity or obstruction. Ophthalmologic assessment during flares revealed unilateral non-infectious scleritis</w:t>
      </w:r>
      <w:r w:rsidR="00554B53" w:rsidRPr="00CA587F">
        <w:rPr>
          <w:rFonts w:asciiTheme="majorHAnsi" w:hAnsiTheme="majorHAnsi" w:cstheme="majorHAnsi"/>
          <w:sz w:val="28"/>
          <w:szCs w:val="28"/>
        </w:rPr>
        <w:t xml:space="preserve"> (figure 2)</w:t>
      </w:r>
      <w:r w:rsidRPr="00CA587F">
        <w:rPr>
          <w:rFonts w:asciiTheme="majorHAnsi" w:hAnsiTheme="majorHAnsi" w:cstheme="majorHAnsi"/>
          <w:sz w:val="28"/>
          <w:szCs w:val="28"/>
        </w:rPr>
        <w:t>, accompanied by photophobia. The patient experienced intermittent joint pain without signs of synovitis or deformities.</w:t>
      </w:r>
      <w:r w:rsidRPr="00CA587F">
        <w:rPr>
          <w:rFonts w:asciiTheme="majorHAnsi" w:hAnsiTheme="majorHAnsi" w:cstheme="majorHAnsi"/>
          <w:sz w:val="28"/>
          <w:szCs w:val="28"/>
        </w:rPr>
        <w:br/>
      </w:r>
      <w:r w:rsidRPr="00CA587F">
        <w:rPr>
          <w:rFonts w:asciiTheme="majorHAnsi" w:hAnsiTheme="majorHAnsi" w:cstheme="majorHAnsi"/>
          <w:sz w:val="28"/>
          <w:szCs w:val="28"/>
        </w:rPr>
        <w:br/>
      </w:r>
      <w:r w:rsidRPr="00CA587F">
        <w:rPr>
          <w:rFonts w:asciiTheme="majorHAnsi" w:hAnsiTheme="majorHAnsi" w:cstheme="majorHAnsi"/>
          <w:sz w:val="28"/>
          <w:szCs w:val="28"/>
        </w:rPr>
        <w:lastRenderedPageBreak/>
        <w:t>On examination, bilateral auricular chondritis was evident</w:t>
      </w:r>
      <w:r w:rsidR="001C5FE8" w:rsidRPr="00CA587F">
        <w:rPr>
          <w:rFonts w:asciiTheme="majorHAnsi" w:hAnsiTheme="majorHAnsi" w:cstheme="majorHAnsi"/>
          <w:sz w:val="28"/>
          <w:szCs w:val="28"/>
        </w:rPr>
        <w:t xml:space="preserve"> (figure </w:t>
      </w:r>
      <w:r w:rsidR="00554B53" w:rsidRPr="00CA587F">
        <w:rPr>
          <w:rFonts w:asciiTheme="majorHAnsi" w:hAnsiTheme="majorHAnsi" w:cstheme="majorHAnsi"/>
          <w:sz w:val="28"/>
          <w:szCs w:val="28"/>
        </w:rPr>
        <w:t>2</w:t>
      </w:r>
      <w:r w:rsidR="001C5FE8" w:rsidRPr="00CA587F">
        <w:rPr>
          <w:rFonts w:asciiTheme="majorHAnsi" w:hAnsiTheme="majorHAnsi" w:cstheme="majorHAnsi"/>
          <w:sz w:val="28"/>
          <w:szCs w:val="28"/>
        </w:rPr>
        <w:t>)</w:t>
      </w:r>
      <w:r w:rsidRPr="00CA587F">
        <w:rPr>
          <w:rFonts w:asciiTheme="majorHAnsi" w:hAnsiTheme="majorHAnsi" w:cstheme="majorHAnsi"/>
          <w:sz w:val="28"/>
          <w:szCs w:val="28"/>
        </w:rPr>
        <w:t>. The lobules remained unaffected, supporting the diagnosis of RP. There was no tracheal tenderness, dyspnea, or hoarseness, suggesting an absence of airway involvement. Laboratory findings revealed an elevated CRP (50 mg/L), with a normal ESR. A comprehensive autoimmune panel including ANA, rheumatoid factor, anti-CCP, and ANCA (both anti-MPO and anti-PR3) returned negative. Imaging studies including chest X-ray and sinus CT were unremarkable. Audiometry and laryngoscopy did not reveal cochleovestibular or airway involvement.</w:t>
      </w:r>
    </w:p>
    <w:p w14:paraId="3B10BE5B" w14:textId="77777777" w:rsidR="00891ADB" w:rsidRPr="00CA587F" w:rsidRDefault="00891ADB">
      <w:pPr>
        <w:spacing w:after="240"/>
        <w:rPr>
          <w:rFonts w:asciiTheme="majorHAnsi" w:hAnsiTheme="majorHAnsi" w:cstheme="majorHAnsi"/>
        </w:rPr>
      </w:pPr>
    </w:p>
    <w:p w14:paraId="0C636B26" w14:textId="77777777" w:rsidR="00891ADB" w:rsidRPr="00CA587F" w:rsidRDefault="00891ADB">
      <w:pPr>
        <w:spacing w:after="240"/>
        <w:rPr>
          <w:rFonts w:asciiTheme="majorHAnsi" w:hAnsiTheme="majorHAnsi" w:cstheme="majorHAnsi"/>
        </w:rPr>
      </w:pPr>
    </w:p>
    <w:p w14:paraId="5D124C39" w14:textId="77777777" w:rsidR="00891ADB" w:rsidRPr="00CA587F" w:rsidRDefault="00891ADB">
      <w:pPr>
        <w:spacing w:after="240"/>
        <w:rPr>
          <w:rFonts w:asciiTheme="majorHAnsi" w:hAnsiTheme="majorHAnsi" w:cstheme="majorHAnsi"/>
        </w:rPr>
      </w:pPr>
    </w:p>
    <w:p w14:paraId="2203021F" w14:textId="77777777" w:rsidR="00891ADB" w:rsidRPr="00CA587F" w:rsidRDefault="00891ADB" w:rsidP="00891ADB">
      <w:pPr>
        <w:spacing w:after="240"/>
        <w:jc w:val="center"/>
        <w:rPr>
          <w:rFonts w:asciiTheme="majorHAnsi" w:hAnsiTheme="majorHAnsi" w:cstheme="majorHAnsi"/>
        </w:rPr>
      </w:pPr>
      <w:r w:rsidRPr="00CA587F">
        <w:rPr>
          <w:rFonts w:asciiTheme="majorHAnsi" w:hAnsiTheme="majorHAnsi" w:cstheme="majorHAnsi"/>
          <w:noProof/>
        </w:rPr>
        <w:drawing>
          <wp:inline distT="0" distB="0" distL="0" distR="0" wp14:anchorId="3AB91BB4" wp14:editId="6A68A659">
            <wp:extent cx="2901169" cy="2612571"/>
            <wp:effectExtent l="12700" t="12700" r="7620" b="16510"/>
            <wp:docPr id="21466570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55952" name="Image 109455952"/>
                    <pic:cNvPicPr/>
                  </pic:nvPicPr>
                  <pic:blipFill>
                    <a:blip r:embed="rId8"/>
                    <a:stretch>
                      <a:fillRect/>
                    </a:stretch>
                  </pic:blipFill>
                  <pic:spPr>
                    <a:xfrm>
                      <a:off x="0" y="0"/>
                      <a:ext cx="2923569" cy="2632743"/>
                    </a:xfrm>
                    <a:prstGeom prst="rect">
                      <a:avLst/>
                    </a:prstGeom>
                    <a:ln>
                      <a:solidFill>
                        <a:schemeClr val="tx1"/>
                      </a:solidFill>
                    </a:ln>
                  </pic:spPr>
                </pic:pic>
              </a:graphicData>
            </a:graphic>
          </wp:inline>
        </w:drawing>
      </w:r>
    </w:p>
    <w:p w14:paraId="687529D0" w14:textId="77777777" w:rsidR="00891ADB" w:rsidRPr="00CA587F" w:rsidRDefault="00891ADB" w:rsidP="00891ADB">
      <w:pPr>
        <w:spacing w:after="240"/>
        <w:jc w:val="center"/>
        <w:rPr>
          <w:rFonts w:asciiTheme="majorHAnsi" w:hAnsiTheme="majorHAnsi" w:cstheme="majorHAnsi"/>
        </w:rPr>
      </w:pPr>
      <w:r w:rsidRPr="00CA587F">
        <w:rPr>
          <w:rFonts w:asciiTheme="majorHAnsi" w:hAnsiTheme="majorHAnsi" w:cstheme="majorHAnsi"/>
          <w:b/>
          <w:bCs/>
          <w:u w:val="single"/>
        </w:rPr>
        <w:t>Figure 1:</w:t>
      </w:r>
      <w:r w:rsidRPr="00CA587F">
        <w:rPr>
          <w:rFonts w:asciiTheme="majorHAnsi" w:hAnsiTheme="majorHAnsi" w:cstheme="majorHAnsi"/>
        </w:rPr>
        <w:t xml:space="preserve"> scleritis.</w:t>
      </w:r>
    </w:p>
    <w:p w14:paraId="71D2067F" w14:textId="77777777" w:rsidR="00910589" w:rsidRPr="00CA587F" w:rsidRDefault="00910589" w:rsidP="00891ADB">
      <w:pPr>
        <w:spacing w:after="240"/>
        <w:jc w:val="center"/>
        <w:rPr>
          <w:rFonts w:asciiTheme="majorHAnsi" w:hAnsiTheme="majorHAnsi" w:cstheme="majorHAnsi"/>
        </w:rPr>
      </w:pPr>
    </w:p>
    <w:p w14:paraId="21503298" w14:textId="77777777" w:rsidR="00910589" w:rsidRPr="00CA587F" w:rsidRDefault="001C5FE8" w:rsidP="00910589">
      <w:pPr>
        <w:spacing w:after="240"/>
        <w:jc w:val="center"/>
        <w:rPr>
          <w:rFonts w:asciiTheme="majorHAnsi" w:hAnsiTheme="majorHAnsi" w:cstheme="majorHAnsi"/>
        </w:rPr>
      </w:pPr>
      <w:r w:rsidRPr="00CA587F">
        <w:rPr>
          <w:rFonts w:asciiTheme="majorHAnsi" w:hAnsiTheme="majorHAnsi" w:cstheme="majorHAnsi"/>
          <w:noProof/>
        </w:rPr>
        <w:lastRenderedPageBreak/>
        <w:drawing>
          <wp:inline distT="0" distB="0" distL="0" distR="0" wp14:anchorId="4BC29BFE" wp14:editId="03E73C30">
            <wp:extent cx="2415612" cy="3235355"/>
            <wp:effectExtent l="12700" t="12700" r="10160" b="15875"/>
            <wp:docPr id="14636353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35321" name="Image 1463635321"/>
                    <pic:cNvPicPr/>
                  </pic:nvPicPr>
                  <pic:blipFill>
                    <a:blip r:embed="rId9"/>
                    <a:stretch>
                      <a:fillRect/>
                    </a:stretch>
                  </pic:blipFill>
                  <pic:spPr>
                    <a:xfrm>
                      <a:off x="0" y="0"/>
                      <a:ext cx="2457100" cy="3290922"/>
                    </a:xfrm>
                    <a:prstGeom prst="rect">
                      <a:avLst/>
                    </a:prstGeom>
                    <a:ln>
                      <a:solidFill>
                        <a:schemeClr val="tx1"/>
                      </a:solidFill>
                    </a:ln>
                  </pic:spPr>
                </pic:pic>
              </a:graphicData>
            </a:graphic>
          </wp:inline>
        </w:drawing>
      </w:r>
    </w:p>
    <w:p w14:paraId="1CB1BFD2" w14:textId="77777777" w:rsidR="00910589" w:rsidRPr="00CA587F" w:rsidRDefault="001C5FE8" w:rsidP="00910589">
      <w:pPr>
        <w:spacing w:after="240"/>
        <w:jc w:val="center"/>
        <w:rPr>
          <w:rFonts w:asciiTheme="majorHAnsi" w:hAnsiTheme="majorHAnsi" w:cstheme="majorHAnsi"/>
        </w:rPr>
      </w:pPr>
      <w:r w:rsidRPr="00CA587F">
        <w:rPr>
          <w:rFonts w:asciiTheme="majorHAnsi" w:hAnsiTheme="majorHAnsi" w:cstheme="majorHAnsi"/>
          <w:b/>
          <w:bCs/>
          <w:u w:val="single"/>
        </w:rPr>
        <w:t xml:space="preserve">Figure </w:t>
      </w:r>
      <w:r w:rsidR="00891ADB" w:rsidRPr="00CA587F">
        <w:rPr>
          <w:rFonts w:asciiTheme="majorHAnsi" w:hAnsiTheme="majorHAnsi" w:cstheme="majorHAnsi"/>
          <w:b/>
          <w:bCs/>
          <w:u w:val="single"/>
        </w:rPr>
        <w:t>2</w:t>
      </w:r>
      <w:r w:rsidRPr="00CA587F">
        <w:rPr>
          <w:rFonts w:asciiTheme="majorHAnsi" w:hAnsiTheme="majorHAnsi" w:cstheme="majorHAnsi"/>
          <w:b/>
          <w:bCs/>
          <w:u w:val="single"/>
        </w:rPr>
        <w:t xml:space="preserve"> :</w:t>
      </w:r>
      <w:r w:rsidRPr="00CA587F">
        <w:rPr>
          <w:rFonts w:asciiTheme="majorHAnsi" w:hAnsiTheme="majorHAnsi" w:cstheme="majorHAnsi"/>
        </w:rPr>
        <w:t xml:space="preserve"> </w:t>
      </w:r>
      <w:r w:rsidR="00891ADB" w:rsidRPr="00CA587F">
        <w:rPr>
          <w:rFonts w:asciiTheme="majorHAnsi" w:hAnsiTheme="majorHAnsi" w:cstheme="majorHAnsi"/>
        </w:rPr>
        <w:t>chondritis of the auricle.</w:t>
      </w:r>
    </w:p>
    <w:p w14:paraId="6A18A385" w14:textId="77777777" w:rsidR="00910589" w:rsidRPr="00CA587F" w:rsidRDefault="00910589" w:rsidP="00910589">
      <w:pPr>
        <w:spacing w:after="240"/>
        <w:jc w:val="center"/>
        <w:rPr>
          <w:rFonts w:asciiTheme="majorHAnsi" w:hAnsiTheme="majorHAnsi" w:cstheme="majorHAnsi"/>
        </w:rPr>
      </w:pPr>
    </w:p>
    <w:p w14:paraId="4E46030D" w14:textId="77777777" w:rsidR="001C5FE8" w:rsidRPr="00CA587F" w:rsidRDefault="001C5FE8" w:rsidP="001C5FE8">
      <w:pPr>
        <w:spacing w:after="240"/>
        <w:jc w:val="center"/>
        <w:rPr>
          <w:rFonts w:asciiTheme="majorHAnsi" w:hAnsiTheme="majorHAnsi" w:cstheme="majorHAnsi"/>
        </w:rPr>
      </w:pPr>
    </w:p>
    <w:p w14:paraId="6EEFEC7A" w14:textId="77777777" w:rsidR="001C5FE8" w:rsidRPr="00CA587F" w:rsidRDefault="001C5FE8" w:rsidP="001C5FE8">
      <w:pPr>
        <w:spacing w:after="240"/>
        <w:rPr>
          <w:rFonts w:asciiTheme="majorHAnsi" w:hAnsiTheme="majorHAnsi" w:cstheme="majorHAnsi"/>
        </w:rPr>
      </w:pPr>
    </w:p>
    <w:p w14:paraId="054FED99" w14:textId="77777777" w:rsidR="00F305EB" w:rsidRPr="00CA587F" w:rsidRDefault="00D32182" w:rsidP="001C5FE8">
      <w:pPr>
        <w:spacing w:after="240"/>
        <w:rPr>
          <w:rFonts w:asciiTheme="majorHAnsi" w:hAnsiTheme="majorHAnsi" w:cstheme="majorHAnsi"/>
        </w:rPr>
      </w:pPr>
      <w:r w:rsidRPr="00CA587F">
        <w:rPr>
          <w:rFonts w:asciiTheme="majorHAnsi" w:hAnsiTheme="majorHAnsi" w:cstheme="majorHAnsi"/>
        </w:rPr>
        <w:br/>
      </w:r>
      <w:r w:rsidRPr="00CA587F">
        <w:rPr>
          <w:rFonts w:asciiTheme="majorHAnsi" w:hAnsiTheme="majorHAnsi" w:cstheme="majorHAnsi"/>
        </w:rPr>
        <w:br/>
      </w:r>
      <w:r w:rsidRPr="00CA587F">
        <w:rPr>
          <w:rFonts w:asciiTheme="majorHAnsi" w:hAnsiTheme="majorHAnsi" w:cstheme="majorHAnsi"/>
          <w:sz w:val="28"/>
          <w:szCs w:val="24"/>
        </w:rPr>
        <w:t>Based on McAdam’s criteria</w:t>
      </w:r>
      <w:r w:rsidR="00910589" w:rsidRPr="00CA587F">
        <w:rPr>
          <w:rFonts w:asciiTheme="majorHAnsi" w:hAnsiTheme="majorHAnsi" w:cstheme="majorHAnsi"/>
          <w:sz w:val="28"/>
          <w:szCs w:val="24"/>
        </w:rPr>
        <w:t xml:space="preserve"> : </w:t>
      </w:r>
      <w:r w:rsidRPr="00CA587F">
        <w:rPr>
          <w:rFonts w:asciiTheme="majorHAnsi" w:hAnsiTheme="majorHAnsi" w:cstheme="majorHAnsi"/>
          <w:sz w:val="28"/>
          <w:szCs w:val="24"/>
        </w:rPr>
        <w:t>auricular chondritis, nasal chondritis, ocular inflammation, and polyarthralgia</w:t>
      </w:r>
      <w:r w:rsidR="00910589" w:rsidRPr="00CA587F">
        <w:rPr>
          <w:rFonts w:asciiTheme="majorHAnsi" w:hAnsiTheme="majorHAnsi" w:cstheme="majorHAnsi"/>
          <w:sz w:val="28"/>
          <w:szCs w:val="24"/>
        </w:rPr>
        <w:t xml:space="preserve">, </w:t>
      </w:r>
      <w:r w:rsidRPr="00CA587F">
        <w:rPr>
          <w:rFonts w:asciiTheme="majorHAnsi" w:hAnsiTheme="majorHAnsi" w:cstheme="majorHAnsi"/>
          <w:sz w:val="28"/>
          <w:szCs w:val="24"/>
        </w:rPr>
        <w:t>the diagnosis of RP was established (1). The patient was started on oral prednisone at 1 mg/kg/day. At 4-week follow-up, he showed marked clinical improvement with resolution of auricular and ocular symptoms. A steroid-sparing agent (methotrexate) was considered for maintenance therapy (4).</w:t>
      </w:r>
    </w:p>
    <w:p w14:paraId="665AC200" w14:textId="77777777" w:rsidR="00F305EB" w:rsidRPr="00CA587F" w:rsidRDefault="00D32182">
      <w:pPr>
        <w:pStyle w:val="Titre2"/>
        <w:rPr>
          <w:rFonts w:cstheme="majorHAnsi"/>
          <w:sz w:val="32"/>
          <w:szCs w:val="32"/>
          <w:u w:val="single"/>
        </w:rPr>
      </w:pPr>
      <w:r w:rsidRPr="00CA587F">
        <w:rPr>
          <w:rFonts w:cstheme="majorHAnsi"/>
          <w:sz w:val="32"/>
          <w:szCs w:val="32"/>
          <w:u w:val="single"/>
        </w:rPr>
        <w:lastRenderedPageBreak/>
        <w:t>Discussion</w:t>
      </w:r>
      <w:r w:rsidR="00CA587F">
        <w:rPr>
          <w:rFonts w:cstheme="majorHAnsi"/>
          <w:sz w:val="32"/>
          <w:szCs w:val="32"/>
          <w:u w:val="single"/>
        </w:rPr>
        <w:t>:</w:t>
      </w:r>
    </w:p>
    <w:p w14:paraId="5DBB0648" w14:textId="095E5E1B" w:rsidR="006C338F" w:rsidRPr="006C338F" w:rsidRDefault="006C338F" w:rsidP="006C338F">
      <w:pPr>
        <w:pStyle w:val="Titre2"/>
        <w:rPr>
          <w:rFonts w:eastAsiaTheme="minorEastAsia" w:cstheme="majorHAnsi"/>
          <w:b w:val="0"/>
          <w:bCs w:val="0"/>
          <w:color w:val="auto"/>
          <w:sz w:val="28"/>
          <w:szCs w:val="28"/>
          <w:highlight w:val="yellow"/>
        </w:rPr>
      </w:pPr>
      <w:r w:rsidRPr="006C338F">
        <w:rPr>
          <w:rFonts w:eastAsiaTheme="minorEastAsia" w:cstheme="majorHAnsi"/>
          <w:b w:val="0"/>
          <w:bCs w:val="0"/>
          <w:color w:val="auto"/>
          <w:sz w:val="28"/>
          <w:szCs w:val="28"/>
          <w:highlight w:val="yellow"/>
        </w:rPr>
        <w:t xml:space="preserve">RP is a multisystem disease of unpredictable course, either relapsing-remitting </w:t>
      </w:r>
      <w:proofErr w:type="spellStart"/>
      <w:r w:rsidRPr="006C338F">
        <w:rPr>
          <w:rFonts w:eastAsiaTheme="minorEastAsia" w:cstheme="majorHAnsi"/>
          <w:b w:val="0"/>
          <w:bCs w:val="0"/>
          <w:color w:val="auto"/>
          <w:sz w:val="28"/>
          <w:szCs w:val="28"/>
          <w:highlight w:val="yellow"/>
        </w:rPr>
        <w:t>orprogressive</w:t>
      </w:r>
      <w:proofErr w:type="spellEnd"/>
      <w:r w:rsidRPr="006C338F">
        <w:rPr>
          <w:rFonts w:eastAsiaTheme="minorEastAsia" w:cstheme="majorHAnsi"/>
          <w:b w:val="0"/>
          <w:bCs w:val="0"/>
          <w:color w:val="auto"/>
          <w:sz w:val="28"/>
          <w:szCs w:val="28"/>
          <w:highlight w:val="yellow"/>
        </w:rPr>
        <w:t>. Diagnostic confirmation relies on clinical criteria since histologic and</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serologic findings are not specific. McAdam et al. proposed six diagnostic criteria:</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bilateral auricular chondritis, seronegative polyarthritis, nasal chondritis, ocular</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inflammation, respiratory tract chondritis, and cochleo-vestibular dysfunction (1).</w:t>
      </w:r>
    </w:p>
    <w:p w14:paraId="71ECAE60" w14:textId="5377D8F2" w:rsidR="006C338F" w:rsidRPr="006C338F" w:rsidRDefault="006C338F" w:rsidP="006C338F">
      <w:pPr>
        <w:pStyle w:val="Titre2"/>
        <w:rPr>
          <w:rFonts w:eastAsiaTheme="minorEastAsia" w:cstheme="majorHAnsi"/>
          <w:b w:val="0"/>
          <w:bCs w:val="0"/>
          <w:color w:val="auto"/>
          <w:sz w:val="28"/>
          <w:szCs w:val="28"/>
          <w:highlight w:val="yellow"/>
        </w:rPr>
      </w:pPr>
      <w:r w:rsidRPr="006C338F">
        <w:rPr>
          <w:rFonts w:eastAsiaTheme="minorEastAsia" w:cstheme="majorHAnsi"/>
          <w:b w:val="0"/>
          <w:bCs w:val="0"/>
          <w:color w:val="auto"/>
          <w:sz w:val="28"/>
          <w:szCs w:val="28"/>
          <w:highlight w:val="yellow"/>
        </w:rPr>
        <w:t>Diagnosis requires at least three of these features.</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The sparing of the ear lobule is characteristic and helps differentiate RP from infections</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or trauma. Absence of airway involvement is reassuring, since tracheobronchial</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inflammation can lead to serious morbidity and mortality. Cardiovascular (e.g., aortitis),neurologic, and renal involvement, although rare, must be monitored (6).</w:t>
      </w:r>
    </w:p>
    <w:p w14:paraId="5C838E26" w14:textId="77777777" w:rsidR="006C338F" w:rsidRDefault="006C338F" w:rsidP="006C338F">
      <w:pPr>
        <w:pStyle w:val="Titre2"/>
        <w:rPr>
          <w:rFonts w:eastAsiaTheme="minorEastAsia" w:cstheme="majorHAnsi"/>
          <w:b w:val="0"/>
          <w:bCs w:val="0"/>
          <w:color w:val="auto"/>
          <w:sz w:val="28"/>
          <w:szCs w:val="28"/>
        </w:rPr>
      </w:pPr>
      <w:r w:rsidRPr="006C338F">
        <w:rPr>
          <w:rFonts w:eastAsiaTheme="minorEastAsia" w:cstheme="majorHAnsi"/>
          <w:b w:val="0"/>
          <w:bCs w:val="0"/>
          <w:color w:val="auto"/>
          <w:sz w:val="28"/>
          <w:szCs w:val="28"/>
          <w:highlight w:val="yellow"/>
        </w:rPr>
        <w:t>Corticosteroids are first-line treatment. In steroid-dependent or refractory cases,</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immunosuppressants such as methotrexate, azathioprine, or mycophenolate mofetil are</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used (4). Biologic agents (e.g., TNF-α or IL-6 inhibitors like tocilizumab) have shown</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promise in resistant forms but lack large-scale evidence (7,8). Recent epidemiological</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data from a UK population-based cohort study have provided clearer estimates on</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incidence and associated mortality, especially in patients with systemic features (9).Pediatric-onset RP, although uncommon, has been reported and may follow a more</w:t>
      </w:r>
      <w:r w:rsidRPr="006C338F">
        <w:rPr>
          <w:rFonts w:eastAsiaTheme="minorEastAsia" w:cstheme="majorHAnsi"/>
          <w:b w:val="0"/>
          <w:bCs w:val="0"/>
          <w:color w:val="auto"/>
          <w:sz w:val="28"/>
          <w:szCs w:val="28"/>
          <w:highlight w:val="yellow"/>
        </w:rPr>
        <w:t xml:space="preserve"> </w:t>
      </w:r>
      <w:r w:rsidRPr="006C338F">
        <w:rPr>
          <w:rFonts w:eastAsiaTheme="minorEastAsia" w:cstheme="majorHAnsi"/>
          <w:b w:val="0"/>
          <w:bCs w:val="0"/>
          <w:color w:val="auto"/>
          <w:sz w:val="28"/>
          <w:szCs w:val="28"/>
          <w:highlight w:val="yellow"/>
        </w:rPr>
        <w:t>severe course, requiring early immunosuppressive strategies (10,11).</w:t>
      </w:r>
    </w:p>
    <w:p w14:paraId="73C68E0F" w14:textId="6E8E19E0" w:rsidR="00F305EB" w:rsidRPr="006C338F" w:rsidRDefault="00D32182" w:rsidP="006C338F">
      <w:pPr>
        <w:pStyle w:val="Titre2"/>
        <w:rPr>
          <w:rFonts w:eastAsiaTheme="minorEastAsia" w:cstheme="majorHAnsi"/>
          <w:b w:val="0"/>
          <w:bCs w:val="0"/>
          <w:color w:val="auto"/>
          <w:sz w:val="28"/>
          <w:szCs w:val="28"/>
        </w:rPr>
      </w:pPr>
      <w:r w:rsidRPr="00CA587F">
        <w:rPr>
          <w:rFonts w:cstheme="majorHAnsi"/>
          <w:sz w:val="28"/>
          <w:szCs w:val="28"/>
          <w:u w:val="single"/>
        </w:rPr>
        <w:t>Conclusion</w:t>
      </w:r>
      <w:r w:rsidR="00CA587F">
        <w:rPr>
          <w:rFonts w:cstheme="majorHAnsi"/>
          <w:sz w:val="28"/>
          <w:szCs w:val="28"/>
          <w:u w:val="single"/>
        </w:rPr>
        <w:t xml:space="preserve"> :</w:t>
      </w:r>
    </w:p>
    <w:p w14:paraId="2344CB63" w14:textId="77777777" w:rsidR="00F305EB" w:rsidRDefault="00D32182">
      <w:pPr>
        <w:spacing w:after="240"/>
        <w:rPr>
          <w:rFonts w:asciiTheme="majorHAnsi" w:hAnsiTheme="majorHAnsi" w:cstheme="majorHAnsi"/>
          <w:sz w:val="28"/>
          <w:szCs w:val="28"/>
        </w:rPr>
      </w:pPr>
      <w:r w:rsidRPr="00CA587F">
        <w:rPr>
          <w:rFonts w:asciiTheme="majorHAnsi" w:hAnsiTheme="majorHAnsi" w:cstheme="majorHAnsi"/>
          <w:sz w:val="28"/>
          <w:szCs w:val="28"/>
        </w:rPr>
        <w:t xml:space="preserve">This case highlights the classic presentation of relapsing </w:t>
      </w:r>
      <w:proofErr w:type="spellStart"/>
      <w:r w:rsidRPr="00CA587F">
        <w:rPr>
          <w:rFonts w:asciiTheme="majorHAnsi" w:hAnsiTheme="majorHAnsi" w:cstheme="majorHAnsi"/>
          <w:sz w:val="28"/>
          <w:szCs w:val="28"/>
        </w:rPr>
        <w:t>polychondritis</w:t>
      </w:r>
      <w:proofErr w:type="spellEnd"/>
      <w:r w:rsidRPr="00CA587F">
        <w:rPr>
          <w:rFonts w:asciiTheme="majorHAnsi" w:hAnsiTheme="majorHAnsi" w:cstheme="majorHAnsi"/>
          <w:sz w:val="28"/>
          <w:szCs w:val="28"/>
        </w:rPr>
        <w:t xml:space="preserve"> involving bilateral auricular chondritis with sparing of the lobules, nasal discomfort, scleritis, and elevated inflammatory markers. The diagnosis remains clinical, supported by exclusion of mimicking diseases. Prompt initiation of corticosteroids can result in significant clinical improvement. </w:t>
      </w:r>
      <w:r w:rsidRPr="00CA587F">
        <w:rPr>
          <w:rFonts w:asciiTheme="majorHAnsi" w:hAnsiTheme="majorHAnsi" w:cstheme="majorHAnsi"/>
          <w:sz w:val="28"/>
          <w:szCs w:val="28"/>
        </w:rPr>
        <w:lastRenderedPageBreak/>
        <w:t>Long-term management may require immunosuppressive therapy tailored to organ involvement and disease severity.</w:t>
      </w:r>
    </w:p>
    <w:p w14:paraId="7D8247D3" w14:textId="0F21ADE5" w:rsidR="00C675BD" w:rsidRPr="00C675BD" w:rsidRDefault="00C675BD" w:rsidP="00C675BD">
      <w:pPr>
        <w:spacing w:after="240"/>
        <w:rPr>
          <w:rFonts w:asciiTheme="majorHAnsi" w:hAnsiTheme="majorHAnsi" w:cstheme="majorHAnsi"/>
          <w:b/>
          <w:bCs/>
          <w:color w:val="1F497D" w:themeColor="text2"/>
          <w:sz w:val="28"/>
          <w:szCs w:val="28"/>
          <w:u w:val="single"/>
        </w:rPr>
      </w:pPr>
      <w:r w:rsidRPr="00C675BD">
        <w:rPr>
          <w:rFonts w:asciiTheme="majorHAnsi" w:hAnsiTheme="majorHAnsi" w:cstheme="majorHAnsi"/>
          <w:b/>
          <w:bCs/>
          <w:color w:val="1F497D" w:themeColor="text2"/>
          <w:sz w:val="28"/>
          <w:szCs w:val="28"/>
          <w:u w:val="single"/>
        </w:rPr>
        <w:t>Limitations</w:t>
      </w:r>
      <w:r>
        <w:rPr>
          <w:rFonts w:asciiTheme="majorHAnsi" w:hAnsiTheme="majorHAnsi" w:cstheme="majorHAnsi"/>
          <w:b/>
          <w:bCs/>
          <w:color w:val="1F497D" w:themeColor="text2"/>
          <w:sz w:val="28"/>
          <w:szCs w:val="28"/>
          <w:u w:val="single"/>
        </w:rPr>
        <w:t>:</w:t>
      </w:r>
    </w:p>
    <w:p w14:paraId="435A5A0D" w14:textId="6A08D295" w:rsidR="00C675BD" w:rsidRPr="00C675BD" w:rsidRDefault="00C675BD" w:rsidP="00C675BD">
      <w:pPr>
        <w:spacing w:after="240"/>
        <w:rPr>
          <w:rFonts w:asciiTheme="majorHAnsi" w:hAnsiTheme="majorHAnsi" w:cstheme="majorHAnsi"/>
          <w:sz w:val="28"/>
          <w:szCs w:val="28"/>
        </w:rPr>
      </w:pPr>
      <w:r w:rsidRPr="00C675BD">
        <w:rPr>
          <w:rFonts w:asciiTheme="majorHAnsi" w:hAnsiTheme="majorHAnsi" w:cstheme="majorHAnsi"/>
          <w:sz w:val="28"/>
          <w:szCs w:val="28"/>
        </w:rPr>
        <w:t xml:space="preserve">This case report describes a typical presentation of relapsing </w:t>
      </w:r>
      <w:proofErr w:type="spellStart"/>
      <w:r w:rsidRPr="00C675BD">
        <w:rPr>
          <w:rFonts w:asciiTheme="majorHAnsi" w:hAnsiTheme="majorHAnsi" w:cstheme="majorHAnsi"/>
          <w:sz w:val="28"/>
          <w:szCs w:val="28"/>
        </w:rPr>
        <w:t>polychondritis</w:t>
      </w:r>
      <w:proofErr w:type="spellEnd"/>
      <w:r w:rsidRPr="00C675BD">
        <w:rPr>
          <w:rFonts w:asciiTheme="majorHAnsi" w:hAnsiTheme="majorHAnsi" w:cstheme="majorHAnsi"/>
          <w:sz w:val="28"/>
          <w:szCs w:val="28"/>
        </w:rPr>
        <w:t xml:space="preserve"> and</w:t>
      </w:r>
      <w:r>
        <w:rPr>
          <w:rFonts w:asciiTheme="majorHAnsi" w:hAnsiTheme="majorHAnsi" w:cstheme="majorHAnsi"/>
          <w:sz w:val="28"/>
          <w:szCs w:val="28"/>
        </w:rPr>
        <w:t xml:space="preserve"> </w:t>
      </w:r>
      <w:r w:rsidRPr="00C675BD">
        <w:rPr>
          <w:rFonts w:asciiTheme="majorHAnsi" w:hAnsiTheme="majorHAnsi" w:cstheme="majorHAnsi"/>
          <w:sz w:val="28"/>
          <w:szCs w:val="28"/>
        </w:rPr>
        <w:t>reinforces the clinical value of McAdam’s criteria in diagnosis. However, being a single</w:t>
      </w:r>
      <w:r>
        <w:rPr>
          <w:rFonts w:asciiTheme="majorHAnsi" w:hAnsiTheme="majorHAnsi" w:cstheme="majorHAnsi"/>
          <w:sz w:val="28"/>
          <w:szCs w:val="28"/>
        </w:rPr>
        <w:t xml:space="preserve"> </w:t>
      </w:r>
      <w:r w:rsidRPr="00C675BD">
        <w:rPr>
          <w:rFonts w:asciiTheme="majorHAnsi" w:hAnsiTheme="majorHAnsi" w:cstheme="majorHAnsi"/>
          <w:sz w:val="28"/>
          <w:szCs w:val="28"/>
        </w:rPr>
        <w:t>case, its findings cannot be generalized to the wider population. No novel diagnostic or</w:t>
      </w:r>
      <w:r>
        <w:rPr>
          <w:rFonts w:asciiTheme="majorHAnsi" w:hAnsiTheme="majorHAnsi" w:cstheme="majorHAnsi"/>
          <w:sz w:val="28"/>
          <w:szCs w:val="28"/>
        </w:rPr>
        <w:t xml:space="preserve"> </w:t>
      </w:r>
      <w:r w:rsidRPr="00C675BD">
        <w:rPr>
          <w:rFonts w:asciiTheme="majorHAnsi" w:hAnsiTheme="majorHAnsi" w:cstheme="majorHAnsi"/>
          <w:sz w:val="28"/>
          <w:szCs w:val="28"/>
        </w:rPr>
        <w:t>therapeutic strategies were tested, and the follow-up period was relatively short.</w:t>
      </w:r>
    </w:p>
    <w:p w14:paraId="3C205130" w14:textId="75A2C59C" w:rsidR="00C675BD" w:rsidRPr="00CA587F" w:rsidRDefault="00C675BD" w:rsidP="00C675BD">
      <w:pPr>
        <w:spacing w:after="240"/>
        <w:rPr>
          <w:rFonts w:asciiTheme="majorHAnsi" w:hAnsiTheme="majorHAnsi" w:cstheme="majorHAnsi"/>
          <w:sz w:val="28"/>
          <w:szCs w:val="28"/>
        </w:rPr>
      </w:pPr>
      <w:r w:rsidRPr="00C675BD">
        <w:rPr>
          <w:rFonts w:asciiTheme="majorHAnsi" w:hAnsiTheme="majorHAnsi" w:cstheme="majorHAnsi"/>
          <w:sz w:val="28"/>
          <w:szCs w:val="28"/>
        </w:rPr>
        <w:t>Furthermore, the absence of histological confirmation, although common in clinical</w:t>
      </w:r>
      <w:r>
        <w:rPr>
          <w:rFonts w:asciiTheme="majorHAnsi" w:hAnsiTheme="majorHAnsi" w:cstheme="majorHAnsi"/>
          <w:sz w:val="28"/>
          <w:szCs w:val="28"/>
        </w:rPr>
        <w:t xml:space="preserve"> </w:t>
      </w:r>
      <w:r w:rsidRPr="00C675BD">
        <w:rPr>
          <w:rFonts w:asciiTheme="majorHAnsi" w:hAnsiTheme="majorHAnsi" w:cstheme="majorHAnsi"/>
          <w:sz w:val="28"/>
          <w:szCs w:val="28"/>
        </w:rPr>
        <w:t>practice, may be viewed as a limitation from an academic perspective. Future prospective</w:t>
      </w:r>
      <w:r>
        <w:rPr>
          <w:rFonts w:asciiTheme="majorHAnsi" w:hAnsiTheme="majorHAnsi" w:cstheme="majorHAnsi"/>
          <w:sz w:val="28"/>
          <w:szCs w:val="28"/>
        </w:rPr>
        <w:t xml:space="preserve"> </w:t>
      </w:r>
      <w:r w:rsidRPr="00C675BD">
        <w:rPr>
          <w:rFonts w:asciiTheme="majorHAnsi" w:hAnsiTheme="majorHAnsi" w:cstheme="majorHAnsi"/>
          <w:sz w:val="28"/>
          <w:szCs w:val="28"/>
        </w:rPr>
        <w:t>studies and multicenter case series are needed to better define prognostic factors and</w:t>
      </w:r>
      <w:r>
        <w:rPr>
          <w:rFonts w:asciiTheme="majorHAnsi" w:hAnsiTheme="majorHAnsi" w:cstheme="majorHAnsi"/>
          <w:sz w:val="28"/>
          <w:szCs w:val="28"/>
        </w:rPr>
        <w:t xml:space="preserve"> </w:t>
      </w:r>
      <w:r w:rsidRPr="00C675BD">
        <w:rPr>
          <w:rFonts w:asciiTheme="majorHAnsi" w:hAnsiTheme="majorHAnsi" w:cstheme="majorHAnsi"/>
          <w:sz w:val="28"/>
          <w:szCs w:val="28"/>
        </w:rPr>
        <w:t>treatment outcomes.</w:t>
      </w:r>
    </w:p>
    <w:p w14:paraId="213B6B36" w14:textId="77777777" w:rsidR="00CA587F" w:rsidRPr="00CA587F" w:rsidRDefault="00CA587F">
      <w:pPr>
        <w:spacing w:after="240"/>
        <w:rPr>
          <w:rFonts w:asciiTheme="majorHAnsi" w:hAnsiTheme="majorHAnsi" w:cstheme="majorHAnsi"/>
        </w:rPr>
      </w:pPr>
    </w:p>
    <w:p w14:paraId="7F8CACB6" w14:textId="77777777" w:rsidR="00CA587F" w:rsidRPr="00CA587F" w:rsidRDefault="00CA587F" w:rsidP="00CA587F">
      <w:pPr>
        <w:rPr>
          <w:rFonts w:asciiTheme="majorHAnsi" w:hAnsiTheme="majorHAnsi" w:cstheme="majorHAnsi"/>
          <w:b/>
          <w:szCs w:val="24"/>
        </w:rPr>
      </w:pPr>
      <w:r w:rsidRPr="00CA587F">
        <w:rPr>
          <w:rFonts w:asciiTheme="majorHAnsi" w:hAnsiTheme="majorHAnsi" w:cstheme="majorHAnsi"/>
          <w:b/>
          <w:szCs w:val="24"/>
        </w:rPr>
        <w:t>CONSENT :</w:t>
      </w:r>
    </w:p>
    <w:p w14:paraId="52CAC7DD" w14:textId="77777777" w:rsidR="00CA587F" w:rsidRPr="00CA587F" w:rsidRDefault="00CA587F" w:rsidP="00CA587F">
      <w:pPr>
        <w:rPr>
          <w:rFonts w:asciiTheme="majorHAnsi" w:hAnsiTheme="majorHAnsi" w:cstheme="majorHAnsi"/>
          <w:szCs w:val="24"/>
        </w:rPr>
      </w:pPr>
      <w:r w:rsidRPr="00CA587F">
        <w:rPr>
          <w:rFonts w:asciiTheme="majorHAnsi" w:hAnsiTheme="majorHAnsi" w:cstheme="majorHAnsi"/>
          <w:szCs w:val="24"/>
        </w:rPr>
        <w:t xml:space="preserve"> As   per   international   standards   or   university standards,  patient(s)  written  consent  has  been collected and preserved by the author(s).</w:t>
      </w:r>
    </w:p>
    <w:p w14:paraId="48624BF7" w14:textId="77777777" w:rsidR="00CA587F" w:rsidRPr="00CA587F" w:rsidRDefault="00CA587F" w:rsidP="00CA587F">
      <w:pPr>
        <w:rPr>
          <w:rFonts w:asciiTheme="majorHAnsi" w:hAnsiTheme="majorHAnsi" w:cstheme="majorHAnsi"/>
          <w:b/>
          <w:szCs w:val="24"/>
        </w:rPr>
      </w:pPr>
      <w:r w:rsidRPr="00CA587F">
        <w:rPr>
          <w:rFonts w:asciiTheme="majorHAnsi" w:hAnsiTheme="majorHAnsi" w:cstheme="majorHAnsi"/>
          <w:b/>
          <w:szCs w:val="24"/>
        </w:rPr>
        <w:t>ETHICAL APPROVAL :</w:t>
      </w:r>
    </w:p>
    <w:p w14:paraId="7E092508" w14:textId="77777777" w:rsidR="00CA587F" w:rsidRPr="00CA587F" w:rsidRDefault="00CA587F" w:rsidP="00CA587F">
      <w:pPr>
        <w:rPr>
          <w:rFonts w:asciiTheme="majorHAnsi" w:hAnsiTheme="majorHAnsi" w:cstheme="majorHAnsi"/>
          <w:szCs w:val="24"/>
        </w:rPr>
      </w:pPr>
      <w:r w:rsidRPr="00CA587F">
        <w:rPr>
          <w:rFonts w:asciiTheme="majorHAnsi" w:hAnsiTheme="majorHAnsi" w:cstheme="majorHAnsi"/>
          <w:szCs w:val="24"/>
        </w:rPr>
        <w:t xml:space="preserve">Ethical  approval  was  exempted  by  the  Ethical Committee  at  Ibn  </w:t>
      </w:r>
      <w:proofErr w:type="spellStart"/>
      <w:r w:rsidRPr="00CA587F">
        <w:rPr>
          <w:rFonts w:asciiTheme="majorHAnsi" w:hAnsiTheme="majorHAnsi" w:cstheme="majorHAnsi"/>
          <w:szCs w:val="24"/>
        </w:rPr>
        <w:t>Roch</w:t>
      </w:r>
      <w:proofErr w:type="spellEnd"/>
      <w:r w:rsidRPr="00CA587F">
        <w:rPr>
          <w:rFonts w:asciiTheme="majorHAnsi" w:hAnsiTheme="majorHAnsi" w:cstheme="majorHAnsi"/>
          <w:szCs w:val="24"/>
        </w:rPr>
        <w:t xml:space="preserve">  university  hospital  for reporting this case.</w:t>
      </w:r>
    </w:p>
    <w:p w14:paraId="3FDEB019" w14:textId="77777777" w:rsidR="00CA587F" w:rsidRPr="00CA587F" w:rsidRDefault="00CA587F" w:rsidP="00CA587F">
      <w:pPr>
        <w:rPr>
          <w:rFonts w:asciiTheme="majorHAnsi" w:hAnsiTheme="majorHAnsi" w:cstheme="majorHAnsi"/>
          <w:b/>
          <w:szCs w:val="24"/>
        </w:rPr>
      </w:pPr>
      <w:r w:rsidRPr="00CA587F">
        <w:rPr>
          <w:rFonts w:asciiTheme="majorHAnsi" w:hAnsiTheme="majorHAnsi" w:cstheme="majorHAnsi"/>
          <w:b/>
          <w:szCs w:val="24"/>
        </w:rPr>
        <w:t>COMPETING INTERESTS :</w:t>
      </w:r>
    </w:p>
    <w:p w14:paraId="5D16833A" w14:textId="69018C5E" w:rsidR="00CA587F" w:rsidRDefault="00CA587F" w:rsidP="00CA587F">
      <w:pPr>
        <w:rPr>
          <w:rFonts w:asciiTheme="majorHAnsi" w:hAnsiTheme="majorHAnsi" w:cstheme="majorHAnsi"/>
          <w:szCs w:val="24"/>
        </w:rPr>
      </w:pPr>
      <w:r w:rsidRPr="00CA587F">
        <w:rPr>
          <w:rFonts w:asciiTheme="majorHAnsi" w:hAnsiTheme="majorHAnsi" w:cstheme="majorHAnsi"/>
          <w:szCs w:val="24"/>
        </w:rPr>
        <w:t>Authors have declared that no competing interests exist</w:t>
      </w:r>
      <w:r>
        <w:rPr>
          <w:rFonts w:asciiTheme="majorHAnsi" w:hAnsiTheme="majorHAnsi" w:cstheme="majorHAnsi"/>
          <w:szCs w:val="24"/>
        </w:rPr>
        <w:t>.</w:t>
      </w:r>
    </w:p>
    <w:p w14:paraId="7B72E709" w14:textId="02162BE6" w:rsidR="0065545C" w:rsidRDefault="0065545C" w:rsidP="00CA587F">
      <w:pPr>
        <w:rPr>
          <w:rFonts w:asciiTheme="majorHAnsi" w:hAnsiTheme="majorHAnsi" w:cstheme="majorHAnsi"/>
          <w:szCs w:val="24"/>
        </w:rPr>
      </w:pPr>
    </w:p>
    <w:p w14:paraId="12EFD89E" w14:textId="77777777" w:rsidR="0065545C" w:rsidRPr="009C5487" w:rsidRDefault="0065545C" w:rsidP="0065545C">
      <w:pPr>
        <w:rPr>
          <w:rFonts w:ascii="Calibri" w:eastAsia="Calibri" w:hAnsi="Calibri" w:cs="Times New Roman"/>
          <w:kern w:val="2"/>
          <w:highlight w:val="yellow"/>
        </w:rPr>
      </w:pPr>
      <w:bookmarkStart w:id="0" w:name="_Hlk193540946"/>
      <w:bookmarkStart w:id="1" w:name="_Hlk180402183"/>
      <w:bookmarkStart w:id="2" w:name="_Hlk183680988"/>
      <w:r w:rsidRPr="009C5487">
        <w:rPr>
          <w:rFonts w:ascii="Calibri" w:eastAsia="Calibri" w:hAnsi="Calibri" w:cs="Times New Roman"/>
          <w:kern w:val="2"/>
          <w:highlight w:val="yellow"/>
        </w:rPr>
        <w:t>Disclaimer (Artificial intelligence)</w:t>
      </w:r>
    </w:p>
    <w:p w14:paraId="7659BBF3" w14:textId="77777777" w:rsidR="0065545C" w:rsidRPr="009C5487" w:rsidRDefault="0065545C" w:rsidP="0065545C">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401E1BB0" w14:textId="0EE629D8" w:rsidR="0065545C" w:rsidRPr="009C5487" w:rsidRDefault="0065545C" w:rsidP="0065545C">
      <w:pPr>
        <w:rPr>
          <w:rFonts w:ascii="Calibri" w:eastAsia="Calibri" w:hAnsi="Calibri" w:cs="Times New Roman"/>
          <w:kern w:val="2"/>
          <w:highlight w:val="yellow"/>
        </w:rPr>
      </w:pPr>
    </w:p>
    <w:bookmarkEnd w:id="0"/>
    <w:bookmarkEnd w:id="1"/>
    <w:bookmarkEnd w:id="2"/>
    <w:p w14:paraId="279ED220" w14:textId="77777777" w:rsidR="0065545C" w:rsidRPr="00CA587F" w:rsidRDefault="0065545C" w:rsidP="00CA587F">
      <w:pPr>
        <w:rPr>
          <w:rFonts w:asciiTheme="majorHAnsi" w:hAnsiTheme="majorHAnsi" w:cstheme="majorHAnsi"/>
          <w:szCs w:val="24"/>
        </w:rPr>
      </w:pPr>
    </w:p>
    <w:p w14:paraId="43B5213C" w14:textId="77777777" w:rsidR="00CA587F" w:rsidRPr="00CA587F" w:rsidRDefault="00CA587F">
      <w:pPr>
        <w:spacing w:after="240"/>
        <w:rPr>
          <w:rFonts w:asciiTheme="majorHAnsi" w:hAnsiTheme="majorHAnsi" w:cstheme="majorHAnsi"/>
        </w:rPr>
      </w:pPr>
    </w:p>
    <w:p w14:paraId="16C8DA7C" w14:textId="77777777" w:rsidR="00CA587F" w:rsidRPr="00CA587F" w:rsidRDefault="00CA587F">
      <w:pPr>
        <w:spacing w:after="240"/>
        <w:rPr>
          <w:rFonts w:asciiTheme="majorHAnsi" w:hAnsiTheme="majorHAnsi" w:cstheme="majorHAnsi"/>
        </w:rPr>
      </w:pPr>
    </w:p>
    <w:p w14:paraId="327278CD" w14:textId="77777777" w:rsidR="00CA587F" w:rsidRPr="00CA587F" w:rsidRDefault="00CA587F">
      <w:pPr>
        <w:spacing w:after="240"/>
        <w:rPr>
          <w:rFonts w:asciiTheme="majorHAnsi" w:hAnsiTheme="majorHAnsi" w:cstheme="majorHAnsi"/>
        </w:rPr>
      </w:pPr>
    </w:p>
    <w:p w14:paraId="6C911B53" w14:textId="77777777" w:rsidR="00F305EB" w:rsidRPr="00CA587F" w:rsidRDefault="00D32182">
      <w:pPr>
        <w:pStyle w:val="Titre2"/>
        <w:rPr>
          <w:rFonts w:cstheme="majorHAnsi"/>
        </w:rPr>
      </w:pPr>
      <w:r w:rsidRPr="00CA587F">
        <w:rPr>
          <w:rFonts w:cstheme="majorHAnsi"/>
        </w:rPr>
        <w:t>References</w:t>
      </w:r>
    </w:p>
    <w:p w14:paraId="4C249FE6" w14:textId="14B71F29" w:rsidR="006C338F" w:rsidRPr="006C338F" w:rsidRDefault="006C338F" w:rsidP="006C338F">
      <w:pPr>
        <w:spacing w:after="240"/>
        <w:rPr>
          <w:rFonts w:asciiTheme="majorHAnsi" w:hAnsiTheme="majorHAnsi" w:cstheme="majorHAnsi"/>
          <w:highlight w:val="yellow"/>
        </w:rPr>
      </w:pPr>
      <w:r w:rsidRPr="006C338F">
        <w:rPr>
          <w:rFonts w:asciiTheme="majorHAnsi" w:hAnsiTheme="majorHAnsi" w:cstheme="majorHAnsi"/>
          <w:highlight w:val="yellow"/>
        </w:rPr>
        <w:t xml:space="preserve">1. McAdam LP, et al. 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a clinical review. Medicine (Baltimore).</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1976;55(3):193–215. Available from: https://pubmed.ncbi.nlm.nih.gov/775252/</w:t>
      </w:r>
    </w:p>
    <w:p w14:paraId="19B1304A" w14:textId="286F417A" w:rsidR="006C338F" w:rsidRPr="006C338F" w:rsidRDefault="006C338F" w:rsidP="006C338F">
      <w:pPr>
        <w:spacing w:after="240"/>
        <w:rPr>
          <w:rFonts w:asciiTheme="majorHAnsi" w:hAnsiTheme="majorHAnsi" w:cstheme="majorHAnsi"/>
          <w:highlight w:val="yellow"/>
        </w:rPr>
      </w:pPr>
      <w:r w:rsidRPr="006C338F">
        <w:rPr>
          <w:rFonts w:asciiTheme="majorHAnsi" w:hAnsiTheme="majorHAnsi" w:cstheme="majorHAnsi"/>
          <w:highlight w:val="yellow"/>
        </w:rPr>
        <w:t xml:space="preserve">2. Damiani JM, Levine HL. 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xml:space="preserve">—report of ten </w:t>
      </w:r>
      <w:proofErr w:type="spellStart"/>
      <w:r w:rsidRPr="006C338F">
        <w:rPr>
          <w:rFonts w:asciiTheme="majorHAnsi" w:hAnsiTheme="majorHAnsi" w:cstheme="majorHAnsi"/>
          <w:highlight w:val="yellow"/>
        </w:rPr>
        <w:t>cases.Laryngoscope</w:t>
      </w:r>
      <w:proofErr w:type="spellEnd"/>
      <w:r w:rsidRPr="006C338F">
        <w:rPr>
          <w:rFonts w:asciiTheme="majorHAnsi" w:hAnsiTheme="majorHAnsi" w:cstheme="majorHAnsi"/>
          <w:highlight w:val="yellow"/>
        </w:rPr>
        <w:t xml:space="preserve">. 1979;89(6 Pt 1):929–46. </w:t>
      </w:r>
      <w:proofErr w:type="spellStart"/>
      <w:r w:rsidRPr="006C338F">
        <w:rPr>
          <w:rFonts w:asciiTheme="majorHAnsi" w:hAnsiTheme="majorHAnsi" w:cstheme="majorHAnsi"/>
          <w:highlight w:val="yellow"/>
          <w:lang w:val="fr-MA"/>
        </w:rPr>
        <w:t>Available</w:t>
      </w:r>
      <w:proofErr w:type="spellEnd"/>
      <w:r w:rsidRPr="006C338F">
        <w:rPr>
          <w:rFonts w:asciiTheme="majorHAnsi" w:hAnsiTheme="majorHAnsi" w:cstheme="majorHAnsi"/>
          <w:highlight w:val="yellow"/>
          <w:lang w:val="fr-MA"/>
        </w:rPr>
        <w:t xml:space="preserve"> </w:t>
      </w:r>
      <w:proofErr w:type="spellStart"/>
      <w:r w:rsidRPr="006C338F">
        <w:rPr>
          <w:rFonts w:asciiTheme="majorHAnsi" w:hAnsiTheme="majorHAnsi" w:cstheme="majorHAnsi"/>
          <w:highlight w:val="yellow"/>
          <w:lang w:val="fr-MA"/>
        </w:rPr>
        <w:t>from</w:t>
      </w:r>
      <w:proofErr w:type="spellEnd"/>
      <w:r w:rsidRPr="006C338F">
        <w:rPr>
          <w:rFonts w:asciiTheme="majorHAnsi" w:hAnsiTheme="majorHAnsi" w:cstheme="majorHAnsi"/>
          <w:highlight w:val="yellow"/>
          <w:lang w:val="fr-MA"/>
        </w:rPr>
        <w:t>:</w:t>
      </w:r>
      <w:r w:rsidRPr="006C338F">
        <w:rPr>
          <w:rFonts w:asciiTheme="majorHAnsi" w:hAnsiTheme="majorHAnsi" w:cstheme="majorHAnsi"/>
          <w:highlight w:val="yellow"/>
        </w:rPr>
        <w:t xml:space="preserve"> </w:t>
      </w:r>
      <w:r w:rsidRPr="006C338F">
        <w:rPr>
          <w:rFonts w:asciiTheme="majorHAnsi" w:hAnsiTheme="majorHAnsi" w:cstheme="majorHAnsi"/>
          <w:highlight w:val="yellow"/>
          <w:lang w:val="fr-MA"/>
        </w:rPr>
        <w:t>https://pubmed.ncbi.nlm.nih.gov/449538/</w:t>
      </w:r>
    </w:p>
    <w:p w14:paraId="5C84799D" w14:textId="16001F18" w:rsidR="006C338F" w:rsidRPr="006C338F" w:rsidRDefault="006C338F" w:rsidP="006C338F">
      <w:pPr>
        <w:spacing w:after="240"/>
        <w:rPr>
          <w:rFonts w:asciiTheme="majorHAnsi" w:hAnsiTheme="majorHAnsi" w:cstheme="majorHAnsi"/>
          <w:highlight w:val="yellow"/>
        </w:rPr>
      </w:pPr>
      <w:r w:rsidRPr="006C338F">
        <w:rPr>
          <w:rFonts w:asciiTheme="majorHAnsi" w:hAnsiTheme="majorHAnsi" w:cstheme="majorHAnsi"/>
          <w:highlight w:val="yellow"/>
          <w:lang w:val="fr-MA"/>
        </w:rPr>
        <w:t xml:space="preserve">3. Michet CJ, et al. </w:t>
      </w:r>
      <w:r w:rsidRPr="006C338F">
        <w:rPr>
          <w:rFonts w:asciiTheme="majorHAnsi" w:hAnsiTheme="majorHAnsi" w:cstheme="majorHAnsi"/>
          <w:highlight w:val="yellow"/>
        </w:rPr>
        <w:t xml:space="preserve">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survival and predictive role of early disease</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 xml:space="preserve">manifestations. </w:t>
      </w:r>
      <w:r w:rsidRPr="006C338F">
        <w:rPr>
          <w:rFonts w:asciiTheme="majorHAnsi" w:hAnsiTheme="majorHAnsi" w:cstheme="majorHAnsi"/>
          <w:highlight w:val="yellow"/>
          <w:lang w:val="fr-MA"/>
        </w:rPr>
        <w:t xml:space="preserve">Ann </w:t>
      </w:r>
      <w:proofErr w:type="spellStart"/>
      <w:r w:rsidRPr="006C338F">
        <w:rPr>
          <w:rFonts w:asciiTheme="majorHAnsi" w:hAnsiTheme="majorHAnsi" w:cstheme="majorHAnsi"/>
          <w:highlight w:val="yellow"/>
          <w:lang w:val="fr-MA"/>
        </w:rPr>
        <w:t>Intern</w:t>
      </w:r>
      <w:proofErr w:type="spellEnd"/>
      <w:r w:rsidRPr="006C338F">
        <w:rPr>
          <w:rFonts w:asciiTheme="majorHAnsi" w:hAnsiTheme="majorHAnsi" w:cstheme="majorHAnsi"/>
          <w:highlight w:val="yellow"/>
          <w:lang w:val="fr-MA"/>
        </w:rPr>
        <w:t xml:space="preserve"> Med. 1986;104(1):74–8. </w:t>
      </w:r>
      <w:proofErr w:type="spellStart"/>
      <w:r w:rsidRPr="006C338F">
        <w:rPr>
          <w:rFonts w:asciiTheme="majorHAnsi" w:hAnsiTheme="majorHAnsi" w:cstheme="majorHAnsi"/>
          <w:highlight w:val="yellow"/>
          <w:lang w:val="fr-MA"/>
        </w:rPr>
        <w:t>Available</w:t>
      </w:r>
      <w:proofErr w:type="spellEnd"/>
      <w:r w:rsidRPr="006C338F">
        <w:rPr>
          <w:rFonts w:asciiTheme="majorHAnsi" w:hAnsiTheme="majorHAnsi" w:cstheme="majorHAnsi"/>
          <w:highlight w:val="yellow"/>
          <w:lang w:val="fr-MA"/>
        </w:rPr>
        <w:t xml:space="preserve"> </w:t>
      </w:r>
      <w:proofErr w:type="spellStart"/>
      <w:r w:rsidRPr="006C338F">
        <w:rPr>
          <w:rFonts w:asciiTheme="majorHAnsi" w:hAnsiTheme="majorHAnsi" w:cstheme="majorHAnsi"/>
          <w:highlight w:val="yellow"/>
          <w:lang w:val="fr-MA"/>
        </w:rPr>
        <w:t>from</w:t>
      </w:r>
      <w:proofErr w:type="spellEnd"/>
      <w:r w:rsidRPr="006C338F">
        <w:rPr>
          <w:rFonts w:asciiTheme="majorHAnsi" w:hAnsiTheme="majorHAnsi" w:cstheme="majorHAnsi"/>
          <w:highlight w:val="yellow"/>
          <w:lang w:val="fr-MA"/>
        </w:rPr>
        <w:t>:</w:t>
      </w:r>
      <w:r w:rsidRPr="006C338F">
        <w:rPr>
          <w:rFonts w:asciiTheme="majorHAnsi" w:hAnsiTheme="majorHAnsi" w:cstheme="majorHAnsi"/>
          <w:highlight w:val="yellow"/>
        </w:rPr>
        <w:t xml:space="preserve"> </w:t>
      </w:r>
      <w:r w:rsidRPr="006C338F">
        <w:rPr>
          <w:rFonts w:asciiTheme="majorHAnsi" w:hAnsiTheme="majorHAnsi" w:cstheme="majorHAnsi"/>
          <w:highlight w:val="yellow"/>
          <w:lang w:val="fr-MA"/>
        </w:rPr>
        <w:t>https://pubmed.ncbi.nlm.nih.gov/3484422/</w:t>
      </w:r>
    </w:p>
    <w:p w14:paraId="177B92D9" w14:textId="58E4671A" w:rsidR="006C338F" w:rsidRPr="006C338F" w:rsidRDefault="006C338F" w:rsidP="006C338F">
      <w:pPr>
        <w:spacing w:after="240"/>
        <w:rPr>
          <w:rFonts w:asciiTheme="majorHAnsi" w:hAnsiTheme="majorHAnsi" w:cstheme="majorHAnsi"/>
          <w:highlight w:val="yellow"/>
          <w:lang w:val="fr-MA"/>
        </w:rPr>
      </w:pPr>
      <w:r w:rsidRPr="006C338F">
        <w:rPr>
          <w:rFonts w:asciiTheme="majorHAnsi" w:hAnsiTheme="majorHAnsi" w:cstheme="majorHAnsi"/>
          <w:highlight w:val="yellow"/>
          <w:lang w:val="fr-MA"/>
        </w:rPr>
        <w:t xml:space="preserve">4. Kent PD, et al. </w:t>
      </w:r>
      <w:r w:rsidRPr="006C338F">
        <w:rPr>
          <w:rFonts w:asciiTheme="majorHAnsi" w:hAnsiTheme="majorHAnsi" w:cstheme="majorHAnsi"/>
          <w:highlight w:val="yellow"/>
        </w:rPr>
        <w:t xml:space="preserve">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xml:space="preserve">. </w:t>
      </w:r>
      <w:proofErr w:type="spellStart"/>
      <w:r w:rsidRPr="006C338F">
        <w:rPr>
          <w:rFonts w:asciiTheme="majorHAnsi" w:hAnsiTheme="majorHAnsi" w:cstheme="majorHAnsi"/>
          <w:highlight w:val="yellow"/>
        </w:rPr>
        <w:t>Curr</w:t>
      </w:r>
      <w:proofErr w:type="spellEnd"/>
      <w:r w:rsidRPr="006C338F">
        <w:rPr>
          <w:rFonts w:asciiTheme="majorHAnsi" w:hAnsiTheme="majorHAnsi" w:cstheme="majorHAnsi"/>
          <w:highlight w:val="yellow"/>
        </w:rPr>
        <w:t xml:space="preserve"> </w:t>
      </w:r>
      <w:proofErr w:type="spellStart"/>
      <w:r w:rsidRPr="006C338F">
        <w:rPr>
          <w:rFonts w:asciiTheme="majorHAnsi" w:hAnsiTheme="majorHAnsi" w:cstheme="majorHAnsi"/>
          <w:highlight w:val="yellow"/>
        </w:rPr>
        <w:t>Opin</w:t>
      </w:r>
      <w:proofErr w:type="spellEnd"/>
      <w:r w:rsidRPr="006C338F">
        <w:rPr>
          <w:rFonts w:asciiTheme="majorHAnsi" w:hAnsiTheme="majorHAnsi" w:cstheme="majorHAnsi"/>
          <w:highlight w:val="yellow"/>
        </w:rPr>
        <w:t xml:space="preserve"> </w:t>
      </w:r>
      <w:proofErr w:type="spellStart"/>
      <w:r w:rsidRPr="006C338F">
        <w:rPr>
          <w:rFonts w:asciiTheme="majorHAnsi" w:hAnsiTheme="majorHAnsi" w:cstheme="majorHAnsi"/>
          <w:highlight w:val="yellow"/>
        </w:rPr>
        <w:t>Rheumatol</w:t>
      </w:r>
      <w:proofErr w:type="spellEnd"/>
      <w:r w:rsidRPr="006C338F">
        <w:rPr>
          <w:rFonts w:asciiTheme="majorHAnsi" w:hAnsiTheme="majorHAnsi" w:cstheme="majorHAnsi"/>
          <w:highlight w:val="yellow"/>
        </w:rPr>
        <w:t xml:space="preserve">. </w:t>
      </w:r>
      <w:r w:rsidRPr="006C338F">
        <w:rPr>
          <w:rFonts w:asciiTheme="majorHAnsi" w:hAnsiTheme="majorHAnsi" w:cstheme="majorHAnsi"/>
          <w:highlight w:val="yellow"/>
          <w:lang w:val="fr-MA"/>
        </w:rPr>
        <w:t>2004;16(1):56–61.</w:t>
      </w:r>
      <w:r w:rsidRPr="006C338F">
        <w:rPr>
          <w:rFonts w:asciiTheme="majorHAnsi" w:hAnsiTheme="majorHAnsi" w:cstheme="majorHAnsi"/>
          <w:highlight w:val="yellow"/>
          <w:lang w:val="fr-MA"/>
        </w:rPr>
        <w:t xml:space="preserve"> </w:t>
      </w:r>
      <w:proofErr w:type="spellStart"/>
      <w:r w:rsidRPr="006C338F">
        <w:rPr>
          <w:rFonts w:asciiTheme="majorHAnsi" w:hAnsiTheme="majorHAnsi" w:cstheme="majorHAnsi"/>
          <w:highlight w:val="yellow"/>
          <w:lang w:val="fr-MA"/>
        </w:rPr>
        <w:t>Available</w:t>
      </w:r>
      <w:proofErr w:type="spellEnd"/>
      <w:r w:rsidRPr="006C338F">
        <w:rPr>
          <w:rFonts w:asciiTheme="majorHAnsi" w:hAnsiTheme="majorHAnsi" w:cstheme="majorHAnsi"/>
          <w:highlight w:val="yellow"/>
          <w:lang w:val="fr-MA"/>
        </w:rPr>
        <w:t xml:space="preserve"> </w:t>
      </w:r>
      <w:proofErr w:type="spellStart"/>
      <w:r w:rsidRPr="006C338F">
        <w:rPr>
          <w:rFonts w:asciiTheme="majorHAnsi" w:hAnsiTheme="majorHAnsi" w:cstheme="majorHAnsi"/>
          <w:highlight w:val="yellow"/>
          <w:lang w:val="fr-MA"/>
        </w:rPr>
        <w:t>from</w:t>
      </w:r>
      <w:proofErr w:type="spellEnd"/>
      <w:r w:rsidRPr="006C338F">
        <w:rPr>
          <w:rFonts w:asciiTheme="majorHAnsi" w:hAnsiTheme="majorHAnsi" w:cstheme="majorHAnsi"/>
          <w:highlight w:val="yellow"/>
          <w:lang w:val="fr-MA"/>
        </w:rPr>
        <w:t>: https://pubmed.ncbi.nlm.nih.gov/14673384/</w:t>
      </w:r>
    </w:p>
    <w:p w14:paraId="17116EBA" w14:textId="64679E61" w:rsidR="006C338F" w:rsidRPr="006C338F" w:rsidRDefault="006C338F" w:rsidP="006C338F">
      <w:pPr>
        <w:spacing w:after="240"/>
        <w:rPr>
          <w:rFonts w:asciiTheme="majorHAnsi" w:hAnsiTheme="majorHAnsi" w:cstheme="majorHAnsi"/>
          <w:highlight w:val="yellow"/>
        </w:rPr>
      </w:pPr>
      <w:r w:rsidRPr="006C338F">
        <w:rPr>
          <w:rFonts w:asciiTheme="majorHAnsi" w:hAnsiTheme="majorHAnsi" w:cstheme="majorHAnsi"/>
          <w:highlight w:val="yellow"/>
          <w:lang w:val="fr-MA"/>
        </w:rPr>
        <w:t xml:space="preserve">5. Dion J, et al. </w:t>
      </w:r>
      <w:r w:rsidRPr="006C338F">
        <w:rPr>
          <w:rFonts w:asciiTheme="majorHAnsi" w:hAnsiTheme="majorHAnsi" w:cstheme="majorHAnsi"/>
          <w:highlight w:val="yellow"/>
        </w:rPr>
        <w:t xml:space="preserve">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an update on clinical features, diagnostic tools,</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 xml:space="preserve">treatment and biological drug use. </w:t>
      </w:r>
      <w:proofErr w:type="spellStart"/>
      <w:r w:rsidRPr="006C338F">
        <w:rPr>
          <w:rFonts w:asciiTheme="majorHAnsi" w:hAnsiTheme="majorHAnsi" w:cstheme="majorHAnsi"/>
          <w:highlight w:val="yellow"/>
          <w:lang w:val="fr-MA"/>
        </w:rPr>
        <w:t>Autoimmun</w:t>
      </w:r>
      <w:proofErr w:type="spellEnd"/>
      <w:r w:rsidRPr="006C338F">
        <w:rPr>
          <w:rFonts w:asciiTheme="majorHAnsi" w:hAnsiTheme="majorHAnsi" w:cstheme="majorHAnsi"/>
          <w:highlight w:val="yellow"/>
          <w:lang w:val="fr-MA"/>
        </w:rPr>
        <w:t xml:space="preserve"> </w:t>
      </w:r>
      <w:proofErr w:type="spellStart"/>
      <w:r w:rsidRPr="006C338F">
        <w:rPr>
          <w:rFonts w:asciiTheme="majorHAnsi" w:hAnsiTheme="majorHAnsi" w:cstheme="majorHAnsi"/>
          <w:highlight w:val="yellow"/>
          <w:lang w:val="fr-MA"/>
        </w:rPr>
        <w:t>Rev</w:t>
      </w:r>
      <w:proofErr w:type="spellEnd"/>
      <w:r w:rsidRPr="006C338F">
        <w:rPr>
          <w:rFonts w:asciiTheme="majorHAnsi" w:hAnsiTheme="majorHAnsi" w:cstheme="majorHAnsi"/>
          <w:highlight w:val="yellow"/>
          <w:lang w:val="fr-MA"/>
        </w:rPr>
        <w:t xml:space="preserve">. 2016;15(5):407–13. </w:t>
      </w:r>
      <w:proofErr w:type="spellStart"/>
      <w:r w:rsidRPr="006C338F">
        <w:rPr>
          <w:rFonts w:asciiTheme="majorHAnsi" w:hAnsiTheme="majorHAnsi" w:cstheme="majorHAnsi"/>
          <w:highlight w:val="yellow"/>
          <w:lang w:val="fr-MA"/>
        </w:rPr>
        <w:t>Available</w:t>
      </w:r>
      <w:proofErr w:type="spellEnd"/>
      <w:r w:rsidRPr="006C338F">
        <w:rPr>
          <w:rFonts w:asciiTheme="majorHAnsi" w:hAnsiTheme="majorHAnsi" w:cstheme="majorHAnsi"/>
          <w:highlight w:val="yellow"/>
          <w:lang w:val="fr-MA"/>
        </w:rPr>
        <w:t xml:space="preserve"> </w:t>
      </w:r>
      <w:proofErr w:type="spellStart"/>
      <w:r w:rsidRPr="006C338F">
        <w:rPr>
          <w:rFonts w:asciiTheme="majorHAnsi" w:hAnsiTheme="majorHAnsi" w:cstheme="majorHAnsi"/>
          <w:highlight w:val="yellow"/>
          <w:lang w:val="fr-MA"/>
        </w:rPr>
        <w:t>from</w:t>
      </w:r>
      <w:proofErr w:type="spellEnd"/>
      <w:r w:rsidRPr="006C338F">
        <w:rPr>
          <w:rFonts w:asciiTheme="majorHAnsi" w:hAnsiTheme="majorHAnsi" w:cstheme="majorHAnsi"/>
          <w:highlight w:val="yellow"/>
          <w:lang w:val="fr-MA"/>
        </w:rPr>
        <w:t>:</w:t>
      </w:r>
      <w:r w:rsidRPr="006C338F">
        <w:rPr>
          <w:rFonts w:asciiTheme="majorHAnsi" w:hAnsiTheme="majorHAnsi" w:cstheme="majorHAnsi"/>
          <w:highlight w:val="yellow"/>
        </w:rPr>
        <w:t xml:space="preserve"> </w:t>
      </w:r>
      <w:r w:rsidRPr="006C338F">
        <w:rPr>
          <w:rFonts w:asciiTheme="majorHAnsi" w:hAnsiTheme="majorHAnsi" w:cstheme="majorHAnsi"/>
          <w:highlight w:val="yellow"/>
          <w:lang w:val="fr-MA"/>
        </w:rPr>
        <w:t>https://pubmed.ncbi.nlm.nih.gov/26852389/</w:t>
      </w:r>
    </w:p>
    <w:p w14:paraId="26AA7FC2" w14:textId="0C1E7447" w:rsidR="006C338F" w:rsidRPr="006C338F" w:rsidRDefault="006C338F" w:rsidP="006C338F">
      <w:pPr>
        <w:spacing w:after="240"/>
        <w:rPr>
          <w:rFonts w:asciiTheme="majorHAnsi" w:hAnsiTheme="majorHAnsi" w:cstheme="majorHAnsi"/>
          <w:highlight w:val="yellow"/>
        </w:rPr>
      </w:pPr>
      <w:r w:rsidRPr="006C338F">
        <w:rPr>
          <w:rFonts w:asciiTheme="majorHAnsi" w:hAnsiTheme="majorHAnsi" w:cstheme="majorHAnsi"/>
          <w:highlight w:val="yellow"/>
        </w:rPr>
        <w:t xml:space="preserve">6. Borgia F, et al. Cardiac involvement in 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a case report and</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 xml:space="preserve">review. </w:t>
      </w:r>
      <w:proofErr w:type="spellStart"/>
      <w:r w:rsidRPr="006C338F">
        <w:rPr>
          <w:rFonts w:asciiTheme="majorHAnsi" w:hAnsiTheme="majorHAnsi" w:cstheme="majorHAnsi"/>
          <w:highlight w:val="yellow"/>
        </w:rPr>
        <w:t>Eur</w:t>
      </w:r>
      <w:proofErr w:type="spellEnd"/>
      <w:r w:rsidRPr="006C338F">
        <w:rPr>
          <w:rFonts w:asciiTheme="majorHAnsi" w:hAnsiTheme="majorHAnsi" w:cstheme="majorHAnsi"/>
          <w:highlight w:val="yellow"/>
        </w:rPr>
        <w:t xml:space="preserve"> J Intern Med. 2004;15(3):183–6. Available from:</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https://pubmed.ncbi.nlm.nih.gov/15223218/</w:t>
      </w:r>
    </w:p>
    <w:p w14:paraId="3BD708D9" w14:textId="15CC83C1" w:rsidR="006C338F" w:rsidRPr="006C338F" w:rsidRDefault="006C338F" w:rsidP="006C338F">
      <w:pPr>
        <w:spacing w:after="240"/>
        <w:rPr>
          <w:rFonts w:asciiTheme="majorHAnsi" w:hAnsiTheme="majorHAnsi" w:cstheme="majorHAnsi"/>
          <w:highlight w:val="yellow"/>
        </w:rPr>
      </w:pPr>
      <w:r w:rsidRPr="006C338F">
        <w:rPr>
          <w:rFonts w:asciiTheme="majorHAnsi" w:hAnsiTheme="majorHAnsi" w:cstheme="majorHAnsi"/>
          <w:highlight w:val="yellow"/>
        </w:rPr>
        <w:t xml:space="preserve">7. Yamashita H, et al. Tocilizumab for 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efficacy in refractory</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 xml:space="preserve">disease. </w:t>
      </w:r>
      <w:proofErr w:type="spellStart"/>
      <w:r w:rsidRPr="006C338F">
        <w:rPr>
          <w:rFonts w:asciiTheme="majorHAnsi" w:hAnsiTheme="majorHAnsi" w:cstheme="majorHAnsi"/>
          <w:highlight w:val="yellow"/>
        </w:rPr>
        <w:t>Rheumatol</w:t>
      </w:r>
      <w:proofErr w:type="spellEnd"/>
      <w:r w:rsidRPr="006C338F">
        <w:rPr>
          <w:rFonts w:asciiTheme="majorHAnsi" w:hAnsiTheme="majorHAnsi" w:cstheme="majorHAnsi"/>
          <w:highlight w:val="yellow"/>
        </w:rPr>
        <w:t xml:space="preserve"> Int. 2012;32(10):3289–95. Available from:</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https://pubmed.ncbi.nlm.nih.gov/22101587/</w:t>
      </w:r>
    </w:p>
    <w:p w14:paraId="3875B931" w14:textId="5106C1AD" w:rsidR="006C338F" w:rsidRPr="006C338F" w:rsidRDefault="006C338F" w:rsidP="006C338F">
      <w:pPr>
        <w:spacing w:after="240"/>
        <w:rPr>
          <w:rFonts w:asciiTheme="majorHAnsi" w:hAnsiTheme="majorHAnsi" w:cstheme="majorHAnsi"/>
          <w:highlight w:val="yellow"/>
        </w:rPr>
      </w:pPr>
      <w:r w:rsidRPr="006C338F">
        <w:rPr>
          <w:rFonts w:asciiTheme="majorHAnsi" w:hAnsiTheme="majorHAnsi" w:cstheme="majorHAnsi"/>
          <w:highlight w:val="yellow"/>
        </w:rPr>
        <w:t xml:space="preserve">8. </w:t>
      </w:r>
      <w:proofErr w:type="spellStart"/>
      <w:r w:rsidRPr="006C338F">
        <w:rPr>
          <w:rFonts w:asciiTheme="majorHAnsi" w:hAnsiTheme="majorHAnsi" w:cstheme="majorHAnsi"/>
          <w:highlight w:val="yellow"/>
        </w:rPr>
        <w:t>Ferrada</w:t>
      </w:r>
      <w:proofErr w:type="spellEnd"/>
      <w:r w:rsidRPr="006C338F">
        <w:rPr>
          <w:rFonts w:asciiTheme="majorHAnsi" w:hAnsiTheme="majorHAnsi" w:cstheme="majorHAnsi"/>
          <w:highlight w:val="yellow"/>
        </w:rPr>
        <w:t xml:space="preserve"> MA, et al. Treatment of 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xml:space="preserve"> with biologic agents: a</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 xml:space="preserve">single-center experience. Clin </w:t>
      </w:r>
      <w:proofErr w:type="spellStart"/>
      <w:r w:rsidRPr="006C338F">
        <w:rPr>
          <w:rFonts w:asciiTheme="majorHAnsi" w:hAnsiTheme="majorHAnsi" w:cstheme="majorHAnsi"/>
          <w:highlight w:val="yellow"/>
        </w:rPr>
        <w:t>Rheumatol</w:t>
      </w:r>
      <w:proofErr w:type="spellEnd"/>
      <w:r w:rsidRPr="006C338F">
        <w:rPr>
          <w:rFonts w:asciiTheme="majorHAnsi" w:hAnsiTheme="majorHAnsi" w:cstheme="majorHAnsi"/>
          <w:highlight w:val="yellow"/>
        </w:rPr>
        <w:t>. 2014;33(8):1095–101. Available from:</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https://pubmed.ncbi.nlm.nih.gov/24615371/</w:t>
      </w:r>
    </w:p>
    <w:p w14:paraId="310BF300" w14:textId="63B43FBA" w:rsidR="006C338F" w:rsidRPr="006C338F" w:rsidRDefault="006C338F" w:rsidP="006C338F">
      <w:pPr>
        <w:spacing w:after="240"/>
        <w:rPr>
          <w:rFonts w:asciiTheme="majorHAnsi" w:hAnsiTheme="majorHAnsi" w:cstheme="majorHAnsi"/>
          <w:highlight w:val="yellow"/>
        </w:rPr>
      </w:pPr>
      <w:r w:rsidRPr="006C338F">
        <w:rPr>
          <w:rFonts w:asciiTheme="majorHAnsi" w:hAnsiTheme="majorHAnsi" w:cstheme="majorHAnsi"/>
          <w:highlight w:val="yellow"/>
        </w:rPr>
        <w:t xml:space="preserve">9. </w:t>
      </w:r>
      <w:proofErr w:type="spellStart"/>
      <w:r w:rsidRPr="006C338F">
        <w:rPr>
          <w:rFonts w:asciiTheme="majorHAnsi" w:hAnsiTheme="majorHAnsi" w:cstheme="majorHAnsi"/>
          <w:highlight w:val="yellow"/>
        </w:rPr>
        <w:t>Hazra</w:t>
      </w:r>
      <w:proofErr w:type="spellEnd"/>
      <w:r w:rsidRPr="006C338F">
        <w:rPr>
          <w:rFonts w:asciiTheme="majorHAnsi" w:hAnsiTheme="majorHAnsi" w:cstheme="majorHAnsi"/>
          <w:highlight w:val="yellow"/>
        </w:rPr>
        <w:t xml:space="preserve"> N, et al. Incidence and mortality of 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xml:space="preserve"> in the UK: a</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 xml:space="preserve">population-based cohort study. Rheumatology. </w:t>
      </w:r>
      <w:r w:rsidRPr="006C338F">
        <w:rPr>
          <w:rFonts w:asciiTheme="majorHAnsi" w:hAnsiTheme="majorHAnsi" w:cstheme="majorHAnsi"/>
          <w:highlight w:val="yellow"/>
          <w:lang w:val="fr-MA"/>
        </w:rPr>
        <w:t xml:space="preserve">2015;54(11):2181–7. </w:t>
      </w:r>
      <w:r w:rsidRPr="006C338F">
        <w:rPr>
          <w:rFonts w:asciiTheme="majorHAnsi" w:hAnsiTheme="majorHAnsi" w:cstheme="majorHAnsi"/>
          <w:highlight w:val="yellow"/>
        </w:rPr>
        <w:t>Available from:</w:t>
      </w:r>
      <w:r w:rsidRPr="006C338F">
        <w:rPr>
          <w:rFonts w:asciiTheme="majorHAnsi" w:hAnsiTheme="majorHAnsi" w:cstheme="majorHAnsi"/>
          <w:highlight w:val="yellow"/>
        </w:rPr>
        <w:t xml:space="preserve"> </w:t>
      </w:r>
      <w:hyperlink r:id="rId10" w:history="1">
        <w:r w:rsidRPr="006C338F">
          <w:rPr>
            <w:rStyle w:val="Lienhypertexte"/>
            <w:rFonts w:asciiTheme="majorHAnsi" w:hAnsiTheme="majorHAnsi" w:cstheme="majorHAnsi"/>
            <w:highlight w:val="yellow"/>
          </w:rPr>
          <w:t>https://pubmed.ncbi.nlm.nih.gov/26142402/</w:t>
        </w:r>
      </w:hyperlink>
    </w:p>
    <w:p w14:paraId="482182CB" w14:textId="77777777" w:rsidR="006C338F" w:rsidRPr="006C338F" w:rsidRDefault="006C338F" w:rsidP="006C338F">
      <w:pPr>
        <w:spacing w:after="240"/>
        <w:rPr>
          <w:rFonts w:asciiTheme="majorHAnsi" w:hAnsiTheme="majorHAnsi" w:cstheme="majorHAnsi"/>
          <w:highlight w:val="yellow"/>
        </w:rPr>
      </w:pPr>
    </w:p>
    <w:p w14:paraId="10369C6C" w14:textId="00F12523" w:rsidR="006C338F" w:rsidRPr="006C338F" w:rsidRDefault="006C338F" w:rsidP="006C338F">
      <w:pPr>
        <w:spacing w:after="240"/>
        <w:rPr>
          <w:rFonts w:asciiTheme="majorHAnsi" w:hAnsiTheme="majorHAnsi" w:cstheme="majorHAnsi"/>
          <w:highlight w:val="yellow"/>
        </w:rPr>
      </w:pPr>
      <w:r w:rsidRPr="006C338F">
        <w:rPr>
          <w:rFonts w:asciiTheme="majorHAnsi" w:hAnsiTheme="majorHAnsi" w:cstheme="majorHAnsi"/>
          <w:highlight w:val="yellow"/>
        </w:rPr>
        <w:t xml:space="preserve">10. Sharma A, et al. 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clinical presentations, disease activity and</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 xml:space="preserve">outcomes. </w:t>
      </w:r>
      <w:proofErr w:type="spellStart"/>
      <w:r w:rsidRPr="006C338F">
        <w:rPr>
          <w:rFonts w:asciiTheme="majorHAnsi" w:hAnsiTheme="majorHAnsi" w:cstheme="majorHAnsi"/>
          <w:highlight w:val="yellow"/>
          <w:lang w:val="fr-MA"/>
        </w:rPr>
        <w:t>Orphanet</w:t>
      </w:r>
      <w:proofErr w:type="spellEnd"/>
      <w:r w:rsidRPr="006C338F">
        <w:rPr>
          <w:rFonts w:asciiTheme="majorHAnsi" w:hAnsiTheme="majorHAnsi" w:cstheme="majorHAnsi"/>
          <w:highlight w:val="yellow"/>
          <w:lang w:val="fr-MA"/>
        </w:rPr>
        <w:t xml:space="preserve"> J Rare Dis. 2014;9:198. </w:t>
      </w:r>
      <w:proofErr w:type="spellStart"/>
      <w:r w:rsidRPr="006C338F">
        <w:rPr>
          <w:rFonts w:asciiTheme="majorHAnsi" w:hAnsiTheme="majorHAnsi" w:cstheme="majorHAnsi"/>
          <w:highlight w:val="yellow"/>
          <w:lang w:val="fr-MA"/>
        </w:rPr>
        <w:t>Available</w:t>
      </w:r>
      <w:proofErr w:type="spellEnd"/>
      <w:r w:rsidRPr="006C338F">
        <w:rPr>
          <w:rFonts w:asciiTheme="majorHAnsi" w:hAnsiTheme="majorHAnsi" w:cstheme="majorHAnsi"/>
          <w:highlight w:val="yellow"/>
          <w:lang w:val="fr-MA"/>
        </w:rPr>
        <w:t xml:space="preserve"> </w:t>
      </w:r>
      <w:proofErr w:type="spellStart"/>
      <w:r w:rsidRPr="006C338F">
        <w:rPr>
          <w:rFonts w:asciiTheme="majorHAnsi" w:hAnsiTheme="majorHAnsi" w:cstheme="majorHAnsi"/>
          <w:highlight w:val="yellow"/>
          <w:lang w:val="fr-MA"/>
        </w:rPr>
        <w:t>from</w:t>
      </w:r>
      <w:proofErr w:type="spellEnd"/>
      <w:r w:rsidRPr="006C338F">
        <w:rPr>
          <w:rFonts w:asciiTheme="majorHAnsi" w:hAnsiTheme="majorHAnsi" w:cstheme="majorHAnsi"/>
          <w:highlight w:val="yellow"/>
          <w:lang w:val="fr-MA"/>
        </w:rPr>
        <w:t>:</w:t>
      </w:r>
      <w:r w:rsidRPr="006C338F">
        <w:rPr>
          <w:rFonts w:asciiTheme="majorHAnsi" w:hAnsiTheme="majorHAnsi" w:cstheme="majorHAnsi"/>
          <w:highlight w:val="yellow"/>
        </w:rPr>
        <w:t xml:space="preserve"> </w:t>
      </w:r>
      <w:r w:rsidRPr="006C338F">
        <w:rPr>
          <w:rFonts w:asciiTheme="majorHAnsi" w:hAnsiTheme="majorHAnsi" w:cstheme="majorHAnsi"/>
          <w:highlight w:val="yellow"/>
          <w:lang w:val="fr-MA"/>
        </w:rPr>
        <w:t>https://pubmed.ncbi.nlm.nih.gov/25491150/</w:t>
      </w:r>
    </w:p>
    <w:p w14:paraId="15D22A9A" w14:textId="1B5B4C47" w:rsidR="00F305EB" w:rsidRPr="006C338F" w:rsidRDefault="006C338F" w:rsidP="006C338F">
      <w:pPr>
        <w:spacing w:after="240"/>
        <w:rPr>
          <w:rFonts w:asciiTheme="majorHAnsi" w:hAnsiTheme="majorHAnsi" w:cstheme="majorHAnsi"/>
        </w:rPr>
      </w:pPr>
      <w:r w:rsidRPr="006C338F">
        <w:rPr>
          <w:rFonts w:asciiTheme="majorHAnsi" w:hAnsiTheme="majorHAnsi" w:cstheme="majorHAnsi"/>
          <w:highlight w:val="yellow"/>
        </w:rPr>
        <w:t xml:space="preserve">11. </w:t>
      </w:r>
      <w:proofErr w:type="spellStart"/>
      <w:r w:rsidRPr="006C338F">
        <w:rPr>
          <w:rFonts w:asciiTheme="majorHAnsi" w:hAnsiTheme="majorHAnsi" w:cstheme="majorHAnsi"/>
          <w:highlight w:val="yellow"/>
        </w:rPr>
        <w:t>Belot</w:t>
      </w:r>
      <w:proofErr w:type="spellEnd"/>
      <w:r w:rsidRPr="006C338F">
        <w:rPr>
          <w:rFonts w:asciiTheme="majorHAnsi" w:hAnsiTheme="majorHAnsi" w:cstheme="majorHAnsi"/>
          <w:highlight w:val="yellow"/>
        </w:rPr>
        <w:t xml:space="preserve"> A, et al. Pediatric-onset relapsing </w:t>
      </w:r>
      <w:proofErr w:type="spellStart"/>
      <w:r w:rsidRPr="006C338F">
        <w:rPr>
          <w:rFonts w:asciiTheme="majorHAnsi" w:hAnsiTheme="majorHAnsi" w:cstheme="majorHAnsi"/>
          <w:highlight w:val="yellow"/>
        </w:rPr>
        <w:t>polychondritis</w:t>
      </w:r>
      <w:proofErr w:type="spellEnd"/>
      <w:r w:rsidRPr="006C338F">
        <w:rPr>
          <w:rFonts w:asciiTheme="majorHAnsi" w:hAnsiTheme="majorHAnsi" w:cstheme="majorHAnsi"/>
          <w:highlight w:val="yellow"/>
        </w:rPr>
        <w:t>: case series and systematic</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 xml:space="preserve">review. J </w:t>
      </w:r>
      <w:proofErr w:type="spellStart"/>
      <w:r w:rsidRPr="006C338F">
        <w:rPr>
          <w:rFonts w:asciiTheme="majorHAnsi" w:hAnsiTheme="majorHAnsi" w:cstheme="majorHAnsi"/>
          <w:highlight w:val="yellow"/>
        </w:rPr>
        <w:t>Pediatr</w:t>
      </w:r>
      <w:proofErr w:type="spellEnd"/>
      <w:r w:rsidRPr="006C338F">
        <w:rPr>
          <w:rFonts w:asciiTheme="majorHAnsi" w:hAnsiTheme="majorHAnsi" w:cstheme="majorHAnsi"/>
          <w:highlight w:val="yellow"/>
        </w:rPr>
        <w:t>. 2010;156(3):484–9. Available from</w:t>
      </w:r>
      <w:r w:rsidRPr="006C338F">
        <w:rPr>
          <w:rFonts w:asciiTheme="majorHAnsi" w:hAnsiTheme="majorHAnsi" w:cstheme="majorHAnsi"/>
          <w:highlight w:val="yellow"/>
        </w:rPr>
        <w:t xml:space="preserve">: </w:t>
      </w:r>
      <w:r w:rsidRPr="006C338F">
        <w:rPr>
          <w:rFonts w:asciiTheme="majorHAnsi" w:hAnsiTheme="majorHAnsi" w:cstheme="majorHAnsi"/>
          <w:highlight w:val="yellow"/>
        </w:rPr>
        <w:t>https://pubmed.ncbi.nlm.nih.gov/19910236/</w:t>
      </w:r>
    </w:p>
    <w:sectPr w:rsidR="00F305EB" w:rsidRPr="006C338F"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B9C7" w14:textId="77777777" w:rsidR="007C4F62" w:rsidRDefault="007C4F62" w:rsidP="00003EF4">
      <w:pPr>
        <w:spacing w:after="0" w:line="240" w:lineRule="auto"/>
      </w:pPr>
      <w:r>
        <w:separator/>
      </w:r>
    </w:p>
  </w:endnote>
  <w:endnote w:type="continuationSeparator" w:id="0">
    <w:p w14:paraId="7992DBC9" w14:textId="77777777" w:rsidR="007C4F62" w:rsidRDefault="007C4F62" w:rsidP="00003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50FA" w14:textId="77777777" w:rsidR="008378A6" w:rsidRDefault="008378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F169" w14:textId="77777777" w:rsidR="008378A6" w:rsidRDefault="008378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473E" w14:textId="77777777" w:rsidR="008378A6" w:rsidRDefault="008378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AA73" w14:textId="77777777" w:rsidR="007C4F62" w:rsidRDefault="007C4F62" w:rsidP="00003EF4">
      <w:pPr>
        <w:spacing w:after="0" w:line="240" w:lineRule="auto"/>
      </w:pPr>
      <w:r>
        <w:separator/>
      </w:r>
    </w:p>
  </w:footnote>
  <w:footnote w:type="continuationSeparator" w:id="0">
    <w:p w14:paraId="2F905F55" w14:textId="77777777" w:rsidR="007C4F62" w:rsidRDefault="007C4F62" w:rsidP="00003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9588" w14:textId="16A836CC" w:rsidR="008378A6" w:rsidRDefault="007C4F62">
    <w:pPr>
      <w:pStyle w:val="En-tte"/>
    </w:pPr>
    <w:r>
      <w:rPr>
        <w:noProof/>
      </w:rPr>
      <w:pict w14:anchorId="240CB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027297" o:spid="_x0000_s1027" type="#_x0000_t136" alt="" style="position:absolute;margin-left:0;margin-top:0;width:548.1pt;height:60.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4D15" w14:textId="7016EBF1" w:rsidR="008378A6" w:rsidRDefault="007C4F62">
    <w:pPr>
      <w:pStyle w:val="En-tte"/>
    </w:pPr>
    <w:r>
      <w:rPr>
        <w:noProof/>
      </w:rPr>
      <w:pict w14:anchorId="7E467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027298" o:spid="_x0000_s1026" type="#_x0000_t136" alt="" style="position:absolute;margin-left:0;margin-top:0;width:548.1pt;height:60.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C5B9" w14:textId="04BFB10D" w:rsidR="008378A6" w:rsidRDefault="007C4F62">
    <w:pPr>
      <w:pStyle w:val="En-tte"/>
    </w:pPr>
    <w:r>
      <w:rPr>
        <w:noProof/>
      </w:rPr>
      <w:pict w14:anchorId="4F582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027296" o:spid="_x0000_s1025" type="#_x0000_t136" alt="" style="position:absolute;margin-left:0;margin-top:0;width:548.1pt;height:60.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233390496">
    <w:abstractNumId w:val="8"/>
  </w:num>
  <w:num w:numId="2" w16cid:durableId="101843736">
    <w:abstractNumId w:val="6"/>
  </w:num>
  <w:num w:numId="3" w16cid:durableId="407313063">
    <w:abstractNumId w:val="5"/>
  </w:num>
  <w:num w:numId="4" w16cid:durableId="183321972">
    <w:abstractNumId w:val="4"/>
  </w:num>
  <w:num w:numId="5" w16cid:durableId="660697363">
    <w:abstractNumId w:val="7"/>
  </w:num>
  <w:num w:numId="6" w16cid:durableId="1966153472">
    <w:abstractNumId w:val="3"/>
  </w:num>
  <w:num w:numId="7" w16cid:durableId="1139570863">
    <w:abstractNumId w:val="2"/>
  </w:num>
  <w:num w:numId="8" w16cid:durableId="1831601932">
    <w:abstractNumId w:val="1"/>
  </w:num>
  <w:num w:numId="9" w16cid:durableId="178653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EF4"/>
    <w:rsid w:val="00034616"/>
    <w:rsid w:val="0006063C"/>
    <w:rsid w:val="000839B0"/>
    <w:rsid w:val="0015074B"/>
    <w:rsid w:val="001C5FE8"/>
    <w:rsid w:val="002068AC"/>
    <w:rsid w:val="0029639D"/>
    <w:rsid w:val="00311D0D"/>
    <w:rsid w:val="00326F90"/>
    <w:rsid w:val="00370D54"/>
    <w:rsid w:val="005351EE"/>
    <w:rsid w:val="00554B53"/>
    <w:rsid w:val="0065545C"/>
    <w:rsid w:val="006A6D5D"/>
    <w:rsid w:val="006C338F"/>
    <w:rsid w:val="007C4F62"/>
    <w:rsid w:val="008378A6"/>
    <w:rsid w:val="00891ADB"/>
    <w:rsid w:val="00910589"/>
    <w:rsid w:val="0098577A"/>
    <w:rsid w:val="00AA1D8D"/>
    <w:rsid w:val="00AB6C10"/>
    <w:rsid w:val="00AE042B"/>
    <w:rsid w:val="00B47730"/>
    <w:rsid w:val="00C675BD"/>
    <w:rsid w:val="00CA587F"/>
    <w:rsid w:val="00CB0664"/>
    <w:rsid w:val="00D32182"/>
    <w:rsid w:val="00DB74ED"/>
    <w:rsid w:val="00E74703"/>
    <w:rsid w:val="00E75052"/>
    <w:rsid w:val="00EE2528"/>
    <w:rsid w:val="00EE2A16"/>
    <w:rsid w:val="00F305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00270B"/>
  <w14:defaultImageDpi w14:val="300"/>
  <w15:docId w15:val="{083AE2A1-4251-BC42-9F36-D771F839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1C5FE8"/>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Lienhypertexte">
    <w:name w:val="Hyperlink"/>
    <w:basedOn w:val="Policepardfaut"/>
    <w:uiPriority w:val="99"/>
    <w:unhideWhenUsed/>
    <w:rsid w:val="001C5FE8"/>
    <w:rPr>
      <w:color w:val="0000FF" w:themeColor="hyperlink"/>
      <w:u w:val="single"/>
    </w:rPr>
  </w:style>
  <w:style w:type="character" w:styleId="Mentionnonrsolue">
    <w:name w:val="Unresolved Mention"/>
    <w:basedOn w:val="Policepardfaut"/>
    <w:uiPriority w:val="99"/>
    <w:semiHidden/>
    <w:unhideWhenUsed/>
    <w:rsid w:val="001C5FE8"/>
    <w:rPr>
      <w:color w:val="605E5C"/>
      <w:shd w:val="clear" w:color="auto" w:fill="E1DFDD"/>
    </w:rPr>
  </w:style>
  <w:style w:type="paragraph" w:styleId="NormalWeb">
    <w:name w:val="Normal (Web)"/>
    <w:basedOn w:val="Normal"/>
    <w:uiPriority w:val="99"/>
    <w:unhideWhenUsed/>
    <w:rsid w:val="00370D54"/>
    <w:pPr>
      <w:spacing w:before="100" w:beforeAutospacing="1" w:after="100" w:afterAutospacing="1" w:line="240" w:lineRule="auto"/>
    </w:pPr>
    <w:rPr>
      <w:rFonts w:eastAsia="Times New Roman" w:cs="Times New Roman"/>
      <w:szCs w:val="24"/>
      <w:lang w:val="fr-MA" w:eastAsia="fr-FR"/>
    </w:rPr>
  </w:style>
  <w:style w:type="character" w:customStyle="1" w:styleId="apple-converted-space">
    <w:name w:val="apple-converted-space"/>
    <w:basedOn w:val="Policepardfaut"/>
    <w:rsid w:val="0037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8062">
      <w:bodyDiv w:val="1"/>
      <w:marLeft w:val="0"/>
      <w:marRight w:val="0"/>
      <w:marTop w:val="0"/>
      <w:marBottom w:val="0"/>
      <w:divBdr>
        <w:top w:val="none" w:sz="0" w:space="0" w:color="auto"/>
        <w:left w:val="none" w:sz="0" w:space="0" w:color="auto"/>
        <w:bottom w:val="none" w:sz="0" w:space="0" w:color="auto"/>
        <w:right w:val="none" w:sz="0" w:space="0" w:color="auto"/>
      </w:divBdr>
    </w:div>
    <w:div w:id="803083193">
      <w:bodyDiv w:val="1"/>
      <w:marLeft w:val="0"/>
      <w:marRight w:val="0"/>
      <w:marTop w:val="0"/>
      <w:marBottom w:val="0"/>
      <w:divBdr>
        <w:top w:val="none" w:sz="0" w:space="0" w:color="auto"/>
        <w:left w:val="none" w:sz="0" w:space="0" w:color="auto"/>
        <w:bottom w:val="none" w:sz="0" w:space="0" w:color="auto"/>
        <w:right w:val="none" w:sz="0" w:space="0" w:color="auto"/>
      </w:divBdr>
    </w:div>
    <w:div w:id="1919250322">
      <w:bodyDiv w:val="1"/>
      <w:marLeft w:val="0"/>
      <w:marRight w:val="0"/>
      <w:marTop w:val="0"/>
      <w:marBottom w:val="0"/>
      <w:divBdr>
        <w:top w:val="none" w:sz="0" w:space="0" w:color="auto"/>
        <w:left w:val="none" w:sz="0" w:space="0" w:color="auto"/>
        <w:bottom w:val="none" w:sz="0" w:space="0" w:color="auto"/>
        <w:right w:val="none" w:sz="0" w:space="0" w:color="auto"/>
      </w:divBdr>
    </w:div>
    <w:div w:id="2139031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ubmed.ncbi.nlm.nih.gov/2614240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94C55-D805-4A0E-B980-F78F06A4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1539</Words>
  <Characters>8466</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16</cp:revision>
  <dcterms:created xsi:type="dcterms:W3CDTF">2025-04-02T18:44:00Z</dcterms:created>
  <dcterms:modified xsi:type="dcterms:W3CDTF">2025-04-05T18:21:00Z</dcterms:modified>
  <cp:category/>
</cp:coreProperties>
</file>