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813" w:rsidRPr="00540D6C" w:rsidRDefault="00A80813" w:rsidP="00E45DF6">
      <w:pPr>
        <w:pStyle w:val="Heading1"/>
        <w:rPr>
          <w:rFonts w:cs="Times New Roman"/>
          <w:bCs/>
          <w:szCs w:val="24"/>
          <w:lang w:val="en-US"/>
        </w:rPr>
      </w:pPr>
      <w:r w:rsidRPr="00540D6C">
        <w:rPr>
          <w:rFonts w:cs="Times New Roman"/>
          <w:bCs/>
          <w:szCs w:val="24"/>
          <w:lang w:val="en-US"/>
        </w:rPr>
        <w:t>Health Risk Assessment of some Heavy Metals Content</w:t>
      </w:r>
      <w:r w:rsidR="009A74FA" w:rsidRPr="00540D6C">
        <w:rPr>
          <w:rFonts w:cs="Times New Roman"/>
          <w:bCs/>
          <w:szCs w:val="24"/>
          <w:lang w:val="en-US"/>
        </w:rPr>
        <w:t>s</w:t>
      </w:r>
      <w:r w:rsidRPr="00540D6C">
        <w:rPr>
          <w:rFonts w:cs="Times New Roman"/>
          <w:bCs/>
          <w:szCs w:val="24"/>
          <w:lang w:val="en-US"/>
        </w:rPr>
        <w:t xml:space="preserve"> in Sediment and Water at B</w:t>
      </w:r>
      <w:r w:rsidR="005F28E1">
        <w:rPr>
          <w:rFonts w:cs="Times New Roman"/>
          <w:bCs/>
          <w:szCs w:val="24"/>
          <w:lang w:val="en-US"/>
        </w:rPr>
        <w:t xml:space="preserve">alanga Dam </w:t>
      </w:r>
      <w:proofErr w:type="spellStart"/>
      <w:r w:rsidR="005F28E1">
        <w:rPr>
          <w:rFonts w:cs="Times New Roman"/>
          <w:bCs/>
          <w:szCs w:val="24"/>
          <w:lang w:val="en-US"/>
        </w:rPr>
        <w:t>Gombe</w:t>
      </w:r>
      <w:proofErr w:type="spellEnd"/>
      <w:r w:rsidR="005F28E1">
        <w:rPr>
          <w:rFonts w:cs="Times New Roman"/>
          <w:bCs/>
          <w:szCs w:val="24"/>
          <w:lang w:val="en-US"/>
        </w:rPr>
        <w:t xml:space="preserve"> State, Nigeria</w:t>
      </w:r>
    </w:p>
    <w:p w:rsidR="00344B72" w:rsidRPr="00540D6C" w:rsidRDefault="00344B72" w:rsidP="00C90E88">
      <w:pPr>
        <w:rPr>
          <w:rFonts w:cs="Times New Roman"/>
          <w:szCs w:val="24"/>
        </w:rPr>
      </w:pPr>
    </w:p>
    <w:p w:rsidR="00CE4002" w:rsidRPr="00540D6C" w:rsidRDefault="00CE4002" w:rsidP="00CE4002">
      <w:pPr>
        <w:pStyle w:val="Heading1"/>
        <w:rPr>
          <w:rFonts w:cs="Times New Roman"/>
          <w:szCs w:val="24"/>
        </w:rPr>
      </w:pPr>
      <w:bookmarkStart w:id="0" w:name="_Toc192333797"/>
      <w:bookmarkStart w:id="1" w:name="_Toc192277510"/>
      <w:r w:rsidRPr="00540D6C">
        <w:rPr>
          <w:rFonts w:cs="Times New Roman"/>
          <w:szCs w:val="24"/>
        </w:rPr>
        <w:t>ABSTRACT</w:t>
      </w:r>
      <w:bookmarkEnd w:id="0"/>
      <w:bookmarkEnd w:id="1"/>
    </w:p>
    <w:p w:rsidR="00CE4002" w:rsidRDefault="00CE4002" w:rsidP="00EE6180">
      <w:pPr>
        <w:jc w:val="both"/>
        <w:rPr>
          <w:rFonts w:cs="Times New Roman"/>
          <w:szCs w:val="24"/>
        </w:rPr>
      </w:pPr>
      <w:r w:rsidRPr="00540D6C">
        <w:rPr>
          <w:rFonts w:cs="Times New Roman"/>
          <w:szCs w:val="24"/>
        </w:rPr>
        <w:t xml:space="preserve">Heavy metals are occurring in </w:t>
      </w:r>
      <w:r w:rsidRPr="00540D6C">
        <w:rPr>
          <w:rFonts w:cs="Times New Roman"/>
          <w:szCs w:val="24"/>
          <w:lang w:val="en-GB"/>
        </w:rPr>
        <w:t>n</w:t>
      </w:r>
      <w:r w:rsidR="00D35F3C">
        <w:rPr>
          <w:rFonts w:cs="Times New Roman"/>
          <w:szCs w:val="24"/>
          <w:lang w:val="en-GB"/>
        </w:rPr>
        <w:t xml:space="preserve">atural waters bodies </w:t>
      </w:r>
      <w:r w:rsidR="00D35F3C" w:rsidRPr="00D35F3C">
        <w:rPr>
          <w:rFonts w:cs="Times New Roman"/>
          <w:color w:val="00B050"/>
          <w:szCs w:val="24"/>
          <w:lang w:val="en-GB"/>
        </w:rPr>
        <w:t>can be found in both dissolved and particles form</w:t>
      </w:r>
      <w:r w:rsidRPr="00540D6C">
        <w:rPr>
          <w:rFonts w:cs="Times New Roman"/>
          <w:szCs w:val="24"/>
          <w:lang w:val="en-GB"/>
        </w:rPr>
        <w:t xml:space="preserve"> which are essential to living organisms, yet may become highly toxic when present in high concentrations</w:t>
      </w:r>
      <w:r w:rsidRPr="00540D6C">
        <w:rPr>
          <w:rFonts w:cs="Times New Roman"/>
          <w:szCs w:val="24"/>
        </w:rPr>
        <w:t>.The study was aimed at evaluating heavy metals potential in Balanga Dam</w:t>
      </w:r>
      <w:r w:rsidR="00EE6180">
        <w:rPr>
          <w:rFonts w:cs="Times New Roman"/>
          <w:szCs w:val="24"/>
        </w:rPr>
        <w:t xml:space="preserve"> </w:t>
      </w:r>
      <w:r w:rsidR="0083545B">
        <w:rPr>
          <w:rFonts w:cs="Times New Roman"/>
          <w:szCs w:val="24"/>
        </w:rPr>
        <w:t>reservoir. F</w:t>
      </w:r>
      <w:r w:rsidRPr="00540D6C">
        <w:rPr>
          <w:rFonts w:cs="Times New Roman"/>
          <w:szCs w:val="24"/>
        </w:rPr>
        <w:t>our sam</w:t>
      </w:r>
      <w:r w:rsidR="00D97856">
        <w:rPr>
          <w:rFonts w:cs="Times New Roman"/>
          <w:szCs w:val="24"/>
        </w:rPr>
        <w:t xml:space="preserve">ples of water and sediments </w:t>
      </w:r>
      <w:r w:rsidR="00D97856" w:rsidRPr="00D97856">
        <w:rPr>
          <w:rFonts w:cs="Times New Roman"/>
          <w:color w:val="00B050"/>
          <w:szCs w:val="24"/>
        </w:rPr>
        <w:t>where heavy metals were</w:t>
      </w:r>
      <w:r w:rsidR="00D97856">
        <w:rPr>
          <w:rFonts w:cs="Times New Roman"/>
          <w:szCs w:val="24"/>
        </w:rPr>
        <w:t xml:space="preserve"> investigated</w:t>
      </w:r>
      <w:r w:rsidRPr="00540D6C">
        <w:rPr>
          <w:rFonts w:cs="Times New Roman"/>
          <w:szCs w:val="24"/>
        </w:rPr>
        <w:t xml:space="preserve"> (Cu, Pb, Cr, Cd, As, Ni, Fe, Mn and Zn) by their concentrations using AAS. Heavy metals concentrations in both water and sediment were beyond the recommended permissible limits range 0.002 to 0.004 mg/kg.  Hazard Index of Non-carcinogenic in heavy metals in Water were calculated in three pathways; ingestion, inhalation and dermal range; Mn=2.75E-05 to Pb = 1.04E-06 while Hazard Index in Sediments range; Mn=2.52E-06 to </w:t>
      </w:r>
      <w:proofErr w:type="gramStart"/>
      <w:r w:rsidRPr="00540D6C">
        <w:rPr>
          <w:rFonts w:cs="Times New Roman"/>
          <w:szCs w:val="24"/>
        </w:rPr>
        <w:t>As</w:t>
      </w:r>
      <w:proofErr w:type="gramEnd"/>
      <w:r w:rsidRPr="00540D6C">
        <w:rPr>
          <w:rFonts w:cs="Times New Roman"/>
          <w:szCs w:val="24"/>
        </w:rPr>
        <w:t xml:space="preserve"> = 1.57E+07. Both water and Sediments showed HI &gt;1 indicated adverse health risk effect. Cancer risk of ingestion pathway in water showed value of Cr = 8.02E-06 &gt; C</w:t>
      </w:r>
      <w:r w:rsidR="00321102">
        <w:rPr>
          <w:rFonts w:cs="Times New Roman"/>
          <w:szCs w:val="24"/>
        </w:rPr>
        <w:t>d=1.68E-06 &gt; As=2.50E-07 &gt; Pb=1.</w:t>
      </w:r>
      <w:r w:rsidRPr="00540D6C">
        <w:rPr>
          <w:rFonts w:cs="Times New Roman"/>
          <w:szCs w:val="24"/>
        </w:rPr>
        <w:t>28E-09 has the least value. Inhalation path way showed Cr = 1.24E-09&gt; Cd=2.48E-10 &gt; As</w:t>
      </w:r>
      <w:r w:rsidR="00FB349C">
        <w:rPr>
          <w:rFonts w:cs="Times New Roman"/>
          <w:szCs w:val="24"/>
        </w:rPr>
        <w:t>=3.81E-11&gt; Pb=9,328E-13 which was</w:t>
      </w:r>
      <w:r w:rsidRPr="00540D6C">
        <w:rPr>
          <w:rFonts w:cs="Times New Roman"/>
          <w:szCs w:val="24"/>
        </w:rPr>
        <w:t xml:space="preserve"> too low. Cancer risk assessment of carcinogenic heavy metals in sediments were also shown in two specific pathways whereby the result indicated the same values with the water pathway. Physicochemical parameters of water and sediments showed the mean pH values of 6.16 and the conductivity have the mean value of 150 μscm</w:t>
      </w:r>
      <w:r w:rsidRPr="00540D6C">
        <w:rPr>
          <w:rFonts w:cs="Times New Roman"/>
          <w:szCs w:val="24"/>
          <w:vertAlign w:val="superscript"/>
        </w:rPr>
        <w:t>-1</w:t>
      </w:r>
      <w:r w:rsidRPr="00540D6C">
        <w:rPr>
          <w:rFonts w:cs="Times New Roman"/>
          <w:szCs w:val="24"/>
        </w:rPr>
        <w:t xml:space="preserve">.Heavy metals investigated in water and sediments showed concentrations beyond permissible limits constituted a threat to aquatic life and human health </w:t>
      </w:r>
      <w:r w:rsidR="00D80491" w:rsidRPr="00540D6C">
        <w:rPr>
          <w:rFonts w:cs="Times New Roman"/>
          <w:szCs w:val="24"/>
        </w:rPr>
        <w:t>hazard and cancer risk on human</w:t>
      </w:r>
      <w:r w:rsidRPr="00540D6C">
        <w:rPr>
          <w:rFonts w:cs="Times New Roman"/>
          <w:szCs w:val="24"/>
        </w:rPr>
        <w:t xml:space="preserve"> will persisted on body systems of humans and aquatic life at certain prolong time</w:t>
      </w:r>
      <w:r w:rsidR="00FF0788">
        <w:rPr>
          <w:rFonts w:cs="Times New Roman"/>
          <w:szCs w:val="24"/>
        </w:rPr>
        <w:t>.</w:t>
      </w:r>
    </w:p>
    <w:p w:rsidR="00FF0788" w:rsidRPr="00540D6C" w:rsidRDefault="00FF0788" w:rsidP="00EE6180">
      <w:pPr>
        <w:jc w:val="both"/>
        <w:rPr>
          <w:rFonts w:cs="Times New Roman"/>
          <w:szCs w:val="24"/>
        </w:rPr>
      </w:pPr>
      <w:r w:rsidRPr="00510666">
        <w:rPr>
          <w:rFonts w:cs="Times New Roman"/>
          <w:b/>
          <w:szCs w:val="24"/>
        </w:rPr>
        <w:t>Key Words</w:t>
      </w:r>
      <w:r>
        <w:rPr>
          <w:rFonts w:cs="Times New Roman"/>
          <w:szCs w:val="24"/>
        </w:rPr>
        <w:t xml:space="preserve">: Water, Sediments, Heavy metals, Pollution, </w:t>
      </w:r>
      <w:r w:rsidR="000C5100">
        <w:rPr>
          <w:rFonts w:cs="Times New Roman"/>
          <w:szCs w:val="24"/>
        </w:rPr>
        <w:t xml:space="preserve">Cancer risk, Health index, </w:t>
      </w:r>
      <w:r w:rsidR="00201657">
        <w:rPr>
          <w:rFonts w:cs="Times New Roman"/>
          <w:color w:val="00B050"/>
          <w:szCs w:val="24"/>
        </w:rPr>
        <w:t>Toxicity</w:t>
      </w:r>
    </w:p>
    <w:p w:rsidR="00A80813" w:rsidRPr="00540D6C" w:rsidRDefault="00CE4002" w:rsidP="00A80813">
      <w:pPr>
        <w:jc w:val="both"/>
        <w:rPr>
          <w:rFonts w:cs="Times New Roman"/>
          <w:b/>
          <w:szCs w:val="24"/>
          <w:lang w:val="en-GB"/>
        </w:rPr>
      </w:pPr>
      <w:r w:rsidRPr="00540D6C">
        <w:rPr>
          <w:rFonts w:cs="Times New Roman"/>
          <w:b/>
          <w:szCs w:val="24"/>
          <w:lang w:val="en-GB"/>
        </w:rPr>
        <w:t>Introduction</w:t>
      </w:r>
    </w:p>
    <w:p w:rsidR="00A80813" w:rsidRPr="00540D6C" w:rsidRDefault="00A80813" w:rsidP="00A80813">
      <w:pPr>
        <w:jc w:val="both"/>
        <w:rPr>
          <w:rFonts w:cs="Times New Roman"/>
          <w:szCs w:val="24"/>
          <w:lang w:val="en-GB"/>
        </w:rPr>
      </w:pPr>
      <w:r w:rsidRPr="00540D6C">
        <w:rPr>
          <w:rFonts w:cs="Times New Roman"/>
          <w:szCs w:val="24"/>
          <w:lang w:val="en-GB"/>
        </w:rPr>
        <w:t xml:space="preserve">Heavy metals are commonly found in natural waters such as rivers, lakes and seas in limited amounts as non-degradable, non-toxic, naturally occurring free elements. Some are essential to living organisms, yet may become highly toxic when present in high concentrations (Bai </w:t>
      </w:r>
      <w:r w:rsidRPr="00540D6C">
        <w:rPr>
          <w:rFonts w:cs="Times New Roman"/>
          <w:i/>
          <w:szCs w:val="24"/>
          <w:lang w:val="en-GB"/>
        </w:rPr>
        <w:t>et al.</w:t>
      </w:r>
      <w:r w:rsidRPr="00540D6C">
        <w:rPr>
          <w:rFonts w:cs="Times New Roman"/>
          <w:szCs w:val="24"/>
          <w:lang w:val="en-GB"/>
        </w:rPr>
        <w:t>, 2011)</w:t>
      </w:r>
      <w:r w:rsidR="001C0390">
        <w:rPr>
          <w:rFonts w:cs="Times New Roman"/>
          <w:szCs w:val="24"/>
          <w:lang w:val="en-GB"/>
        </w:rPr>
        <w:t>. Source of heavy metals from many continental ecosystems according to reliable environmental study emanated from</w:t>
      </w:r>
      <w:r w:rsidRPr="00540D6C">
        <w:rPr>
          <w:rFonts w:cs="Times New Roman"/>
          <w:szCs w:val="24"/>
          <w:lang w:val="en-GB"/>
        </w:rPr>
        <w:t xml:space="preserve"> industrial effluents. Heav</w:t>
      </w:r>
      <w:r w:rsidR="00963122">
        <w:rPr>
          <w:rFonts w:cs="Times New Roman"/>
          <w:szCs w:val="24"/>
          <w:lang w:val="en-GB"/>
        </w:rPr>
        <w:t>y metal contamination from</w:t>
      </w:r>
      <w:r w:rsidRPr="00540D6C">
        <w:rPr>
          <w:rFonts w:cs="Times New Roman"/>
          <w:szCs w:val="24"/>
          <w:lang w:val="en-GB"/>
        </w:rPr>
        <w:t xml:space="preserve"> water</w:t>
      </w:r>
      <w:r w:rsidR="00963122">
        <w:rPr>
          <w:rFonts w:cs="Times New Roman"/>
          <w:szCs w:val="24"/>
          <w:lang w:val="en-GB"/>
        </w:rPr>
        <w:t xml:space="preserve"> bodies</w:t>
      </w:r>
      <w:r w:rsidR="00E14717">
        <w:rPr>
          <w:rFonts w:cs="Times New Roman"/>
          <w:szCs w:val="24"/>
          <w:lang w:val="en-GB"/>
        </w:rPr>
        <w:t xml:space="preserve"> were dually investigated</w:t>
      </w:r>
      <w:r w:rsidRPr="00540D6C">
        <w:rPr>
          <w:rFonts w:cs="Times New Roman"/>
          <w:szCs w:val="24"/>
          <w:lang w:val="en-GB"/>
        </w:rPr>
        <w:t xml:space="preserve"> as a serious pollution </w:t>
      </w:r>
      <w:r w:rsidR="00E14717">
        <w:rPr>
          <w:rFonts w:cs="Times New Roman"/>
          <w:szCs w:val="24"/>
          <w:lang w:val="en-GB"/>
        </w:rPr>
        <w:t xml:space="preserve"> </w:t>
      </w:r>
      <w:r w:rsidR="00DA3D18">
        <w:rPr>
          <w:rFonts w:cs="Times New Roman"/>
          <w:szCs w:val="24"/>
          <w:lang w:val="en-GB"/>
        </w:rPr>
        <w:t>menace to developed</w:t>
      </w:r>
      <w:r w:rsidRPr="00540D6C">
        <w:rPr>
          <w:rFonts w:cs="Times New Roman"/>
          <w:szCs w:val="24"/>
          <w:lang w:val="en-GB"/>
        </w:rPr>
        <w:t xml:space="preserve"> cities</w:t>
      </w:r>
      <w:r w:rsidR="00DA3D18">
        <w:rPr>
          <w:rFonts w:cs="Times New Roman"/>
          <w:szCs w:val="24"/>
          <w:lang w:val="en-GB"/>
        </w:rPr>
        <w:t>, Thus,</w:t>
      </w:r>
      <w:r w:rsidR="006869EA">
        <w:rPr>
          <w:rFonts w:cs="Times New Roman"/>
          <w:szCs w:val="24"/>
          <w:lang w:val="en-GB"/>
        </w:rPr>
        <w:t xml:space="preserve"> </w:t>
      </w:r>
      <w:r w:rsidRPr="00540D6C">
        <w:rPr>
          <w:rFonts w:cs="Times New Roman"/>
          <w:szCs w:val="24"/>
          <w:lang w:val="en-GB"/>
        </w:rPr>
        <w:t xml:space="preserve"> </w:t>
      </w:r>
      <w:r w:rsidR="00DA3D18">
        <w:rPr>
          <w:rFonts w:cs="Times New Roman"/>
          <w:szCs w:val="24"/>
          <w:lang w:val="en-GB"/>
        </w:rPr>
        <w:lastRenderedPageBreak/>
        <w:t>purification</w:t>
      </w:r>
      <w:r w:rsidR="006869EA" w:rsidRPr="006869EA">
        <w:rPr>
          <w:rFonts w:cs="Times New Roman"/>
          <w:color w:val="00B050"/>
          <w:szCs w:val="24"/>
          <w:lang w:val="en-GB"/>
        </w:rPr>
        <w:t xml:space="preserve"> water</w:t>
      </w:r>
      <w:r w:rsidR="00B1592A">
        <w:rPr>
          <w:rFonts w:cs="Times New Roman"/>
          <w:color w:val="00B050"/>
          <w:szCs w:val="24"/>
          <w:lang w:val="en-GB"/>
        </w:rPr>
        <w:t xml:space="preserve"> treatment</w:t>
      </w:r>
      <w:r w:rsidR="00DA3D18">
        <w:rPr>
          <w:rFonts w:cs="Times New Roman"/>
          <w:szCs w:val="24"/>
          <w:lang w:val="en-GB"/>
        </w:rPr>
        <w:t xml:space="preserve"> process and</w:t>
      </w:r>
      <w:r w:rsidRPr="00540D6C">
        <w:rPr>
          <w:rFonts w:cs="Times New Roman"/>
          <w:szCs w:val="24"/>
          <w:lang w:val="en-GB"/>
        </w:rPr>
        <w:t xml:space="preserve"> infrastruc</w:t>
      </w:r>
      <w:r w:rsidR="00DA3D18">
        <w:rPr>
          <w:rFonts w:cs="Times New Roman"/>
          <w:szCs w:val="24"/>
          <w:lang w:val="en-GB"/>
        </w:rPr>
        <w:t>tural products contradicted with alarming</w:t>
      </w:r>
      <w:r w:rsidRPr="00540D6C">
        <w:rPr>
          <w:rFonts w:cs="Times New Roman"/>
          <w:szCs w:val="24"/>
          <w:lang w:val="en-GB"/>
        </w:rPr>
        <w:t xml:space="preserve"> population </w:t>
      </w:r>
      <w:r w:rsidR="00DA3D18">
        <w:rPr>
          <w:rFonts w:cs="Times New Roman"/>
          <w:szCs w:val="24"/>
          <w:lang w:val="en-GB"/>
        </w:rPr>
        <w:t xml:space="preserve"> growth and urbanization </w:t>
      </w:r>
      <w:r w:rsidRPr="00540D6C">
        <w:rPr>
          <w:rFonts w:cs="Times New Roman"/>
          <w:szCs w:val="24"/>
          <w:lang w:val="en-GB"/>
        </w:rPr>
        <w:t xml:space="preserve"> especially in developing countries such as Nigeria (</w:t>
      </w:r>
      <w:r w:rsidRPr="00540D6C">
        <w:rPr>
          <w:rFonts w:cs="Times New Roman"/>
          <w:szCs w:val="24"/>
        </w:rPr>
        <w:t xml:space="preserve">Ahmad </w:t>
      </w:r>
      <w:r w:rsidRPr="00540D6C">
        <w:rPr>
          <w:rFonts w:cs="Times New Roman"/>
          <w:i/>
          <w:szCs w:val="24"/>
        </w:rPr>
        <w:t xml:space="preserve">et al. </w:t>
      </w:r>
      <w:r w:rsidRPr="00540D6C">
        <w:rPr>
          <w:rFonts w:cs="Times New Roman"/>
          <w:szCs w:val="24"/>
        </w:rPr>
        <w:t>2010</w:t>
      </w:r>
      <w:r w:rsidRPr="00540D6C">
        <w:rPr>
          <w:rFonts w:cs="Times New Roman"/>
          <w:szCs w:val="24"/>
          <w:lang w:val="en-GB"/>
        </w:rPr>
        <w:t>).</w:t>
      </w:r>
    </w:p>
    <w:p w:rsidR="00A80813" w:rsidRPr="00540D6C" w:rsidRDefault="00A80813" w:rsidP="00581525">
      <w:pPr>
        <w:jc w:val="both"/>
        <w:rPr>
          <w:rFonts w:cs="Times New Roman"/>
          <w:szCs w:val="24"/>
        </w:rPr>
      </w:pPr>
      <w:r w:rsidRPr="00540D6C">
        <w:rPr>
          <w:rFonts w:cs="Times New Roman"/>
          <w:szCs w:val="24"/>
        </w:rPr>
        <w:t xml:space="preserve">Sediment </w:t>
      </w:r>
      <w:r w:rsidR="004869DE">
        <w:rPr>
          <w:rFonts w:cs="Times New Roman"/>
          <w:szCs w:val="24"/>
        </w:rPr>
        <w:t xml:space="preserve">serves as </w:t>
      </w:r>
      <w:r w:rsidR="006A196D">
        <w:rPr>
          <w:rFonts w:cs="Times New Roman"/>
          <w:szCs w:val="24"/>
        </w:rPr>
        <w:t>a pollutant accumulator</w:t>
      </w:r>
      <w:r w:rsidRPr="00540D6C">
        <w:rPr>
          <w:rFonts w:cs="Times New Roman"/>
          <w:szCs w:val="24"/>
        </w:rPr>
        <w:t xml:space="preserve"> and a source of heavy metals pollution in an aquatic environment. </w:t>
      </w:r>
      <w:r w:rsidR="006A196D">
        <w:rPr>
          <w:rFonts w:cs="Times New Roman"/>
          <w:szCs w:val="24"/>
        </w:rPr>
        <w:t>T</w:t>
      </w:r>
      <w:r w:rsidRPr="00540D6C">
        <w:rPr>
          <w:rFonts w:cs="Times New Roman"/>
          <w:szCs w:val="24"/>
        </w:rPr>
        <w:t>he heavy metals deposited in the</w:t>
      </w:r>
      <w:r w:rsidR="00C706DE">
        <w:rPr>
          <w:rFonts w:cs="Times New Roman"/>
          <w:szCs w:val="24"/>
        </w:rPr>
        <w:t xml:space="preserve"> sediments became suspended and absorbed particles</w:t>
      </w:r>
      <w:r w:rsidRPr="00540D6C">
        <w:rPr>
          <w:rFonts w:cs="Times New Roman"/>
          <w:szCs w:val="24"/>
        </w:rPr>
        <w:t xml:space="preserve"> </w:t>
      </w:r>
      <w:r w:rsidR="00C706DE">
        <w:rPr>
          <w:rFonts w:cs="Times New Roman"/>
          <w:szCs w:val="24"/>
        </w:rPr>
        <w:t xml:space="preserve">which formed habitat for aquatic life, </w:t>
      </w:r>
      <w:r w:rsidRPr="00540D6C">
        <w:rPr>
          <w:rFonts w:cs="Times New Roman"/>
          <w:szCs w:val="24"/>
        </w:rPr>
        <w:t>resulting</w:t>
      </w:r>
      <w:r w:rsidR="00C706DE">
        <w:rPr>
          <w:rFonts w:cs="Times New Roman"/>
          <w:szCs w:val="24"/>
        </w:rPr>
        <w:t xml:space="preserve"> to food chain stage</w:t>
      </w:r>
      <w:r w:rsidRPr="00540D6C">
        <w:rPr>
          <w:rFonts w:cs="Times New Roman"/>
          <w:szCs w:val="24"/>
        </w:rPr>
        <w:t xml:space="preserve"> in </w:t>
      </w:r>
      <w:r w:rsidR="00C706DE">
        <w:rPr>
          <w:rFonts w:cs="Times New Roman"/>
          <w:szCs w:val="24"/>
        </w:rPr>
        <w:t>water pollution in cycle</w:t>
      </w:r>
      <w:r w:rsidR="002B2C52">
        <w:rPr>
          <w:rFonts w:cs="Times New Roman"/>
          <w:szCs w:val="24"/>
        </w:rPr>
        <w:t>. T</w:t>
      </w:r>
      <w:r w:rsidRPr="00540D6C">
        <w:rPr>
          <w:rFonts w:cs="Times New Roman"/>
          <w:szCs w:val="24"/>
        </w:rPr>
        <w:t>he</w:t>
      </w:r>
      <w:r w:rsidR="002B2C52">
        <w:rPr>
          <w:rFonts w:cs="Times New Roman"/>
          <w:szCs w:val="24"/>
        </w:rPr>
        <w:t xml:space="preserve">ir dissolved particles converted to </w:t>
      </w:r>
      <w:r w:rsidR="002B2C52" w:rsidRPr="00540D6C">
        <w:rPr>
          <w:rFonts w:cs="Times New Roman"/>
          <w:szCs w:val="24"/>
        </w:rPr>
        <w:t>serious</w:t>
      </w:r>
      <w:r w:rsidRPr="00540D6C">
        <w:rPr>
          <w:rFonts w:cs="Times New Roman"/>
          <w:szCs w:val="24"/>
        </w:rPr>
        <w:t xml:space="preserve"> pollution sources in the aquatic e</w:t>
      </w:r>
      <w:r w:rsidR="0027126B">
        <w:rPr>
          <w:rFonts w:cs="Times New Roman"/>
          <w:szCs w:val="24"/>
        </w:rPr>
        <w:t xml:space="preserve">nvironment </w:t>
      </w:r>
      <w:r w:rsidR="002B2C52">
        <w:rPr>
          <w:rFonts w:cs="Times New Roman"/>
          <w:szCs w:val="24"/>
        </w:rPr>
        <w:t>that have significant threats</w:t>
      </w:r>
      <w:r w:rsidR="0027126B">
        <w:rPr>
          <w:rFonts w:cs="Times New Roman"/>
          <w:szCs w:val="24"/>
        </w:rPr>
        <w:t>. The effects toxicity of heavy metals persisted in the environment by</w:t>
      </w:r>
      <w:r w:rsidRPr="00540D6C">
        <w:rPr>
          <w:rFonts w:cs="Times New Roman"/>
          <w:szCs w:val="24"/>
        </w:rPr>
        <w:t xml:space="preserve"> accumulation in the aquatic ecosystem </w:t>
      </w:r>
      <w:r w:rsidR="0027126B">
        <w:rPr>
          <w:rFonts w:cs="Times New Roman"/>
          <w:szCs w:val="24"/>
        </w:rPr>
        <w:t>beyond permissible limits.</w:t>
      </w:r>
      <w:r w:rsidRPr="00540D6C">
        <w:rPr>
          <w:rFonts w:cs="Times New Roman"/>
          <w:szCs w:val="24"/>
        </w:rPr>
        <w:t xml:space="preserve"> (Anyanwu</w:t>
      </w:r>
      <w:r w:rsidRPr="00540D6C">
        <w:rPr>
          <w:rFonts w:cs="Times New Roman"/>
          <w:i/>
          <w:szCs w:val="24"/>
        </w:rPr>
        <w:t xml:space="preserve"> et al</w:t>
      </w:r>
      <w:r w:rsidR="0027126B">
        <w:rPr>
          <w:rFonts w:cs="Times New Roman"/>
          <w:szCs w:val="24"/>
        </w:rPr>
        <w:t>., 2022). Many of these</w:t>
      </w:r>
      <w:r w:rsidRPr="00540D6C">
        <w:rPr>
          <w:rFonts w:cs="Times New Roman"/>
          <w:szCs w:val="24"/>
        </w:rPr>
        <w:t xml:space="preserve"> heavy metals</w:t>
      </w:r>
      <w:r w:rsidR="0027126B">
        <w:rPr>
          <w:rFonts w:cs="Times New Roman"/>
          <w:szCs w:val="24"/>
        </w:rPr>
        <w:t xml:space="preserve"> pollutants contain carbon-based compounds and </w:t>
      </w:r>
      <w:r w:rsidRPr="00540D6C">
        <w:rPr>
          <w:rFonts w:cs="Times New Roman"/>
          <w:szCs w:val="24"/>
        </w:rPr>
        <w:t xml:space="preserve">nutrients, </w:t>
      </w:r>
      <w:r w:rsidR="0027126B">
        <w:rPr>
          <w:rFonts w:cs="Times New Roman"/>
          <w:szCs w:val="24"/>
        </w:rPr>
        <w:t>which are agents of diseases to</w:t>
      </w:r>
      <w:r w:rsidRPr="00540D6C">
        <w:rPr>
          <w:rFonts w:cs="Times New Roman"/>
          <w:szCs w:val="24"/>
        </w:rPr>
        <w:t xml:space="preserve"> organisms, poses significant hazards to humans and aquatic </w:t>
      </w:r>
      <w:r w:rsidR="0027126B">
        <w:rPr>
          <w:rFonts w:cs="Times New Roman"/>
          <w:szCs w:val="24"/>
        </w:rPr>
        <w:t>life. Toxic heavy metals</w:t>
      </w:r>
      <w:r w:rsidRPr="00540D6C">
        <w:rPr>
          <w:rFonts w:cs="Times New Roman"/>
          <w:szCs w:val="24"/>
        </w:rPr>
        <w:t xml:space="preserve"> accumulate</w:t>
      </w:r>
      <w:r w:rsidR="0027126B">
        <w:rPr>
          <w:rFonts w:cs="Times New Roman"/>
          <w:szCs w:val="24"/>
        </w:rPr>
        <w:t>d</w:t>
      </w:r>
      <w:r w:rsidRPr="00540D6C">
        <w:rPr>
          <w:rFonts w:cs="Times New Roman"/>
          <w:szCs w:val="24"/>
        </w:rPr>
        <w:t xml:space="preserve"> in the </w:t>
      </w:r>
      <w:r w:rsidR="0027126B" w:rsidRPr="00540D6C">
        <w:rPr>
          <w:rFonts w:cs="Times New Roman"/>
          <w:szCs w:val="24"/>
        </w:rPr>
        <w:t>apparent</w:t>
      </w:r>
      <w:r w:rsidR="0027126B">
        <w:rPr>
          <w:rFonts w:cs="Times New Roman"/>
          <w:szCs w:val="24"/>
        </w:rPr>
        <w:t xml:space="preserve"> sediments, thereby provided</w:t>
      </w:r>
      <w:r w:rsidRPr="00540D6C">
        <w:rPr>
          <w:rFonts w:cs="Times New Roman"/>
          <w:szCs w:val="24"/>
        </w:rPr>
        <w:t xml:space="preserve"> </w:t>
      </w:r>
      <w:r w:rsidR="0027126B">
        <w:rPr>
          <w:rFonts w:cs="Times New Roman"/>
          <w:szCs w:val="24"/>
        </w:rPr>
        <w:t xml:space="preserve">tiny particles with major </w:t>
      </w:r>
      <w:r w:rsidR="00647F6A">
        <w:rPr>
          <w:rFonts w:cs="Times New Roman"/>
          <w:szCs w:val="24"/>
        </w:rPr>
        <w:t>constituents on prolong depositions</w:t>
      </w:r>
      <w:r w:rsidRPr="00540D6C">
        <w:rPr>
          <w:rFonts w:cs="Times New Roman"/>
          <w:szCs w:val="24"/>
        </w:rPr>
        <w:t xml:space="preserve"> (Bai </w:t>
      </w:r>
      <w:r w:rsidRPr="00540D6C">
        <w:rPr>
          <w:rFonts w:cs="Times New Roman"/>
          <w:i/>
          <w:szCs w:val="24"/>
        </w:rPr>
        <w:t>et al</w:t>
      </w:r>
      <w:r w:rsidR="00E81D84">
        <w:rPr>
          <w:rFonts w:cs="Times New Roman"/>
          <w:szCs w:val="24"/>
        </w:rPr>
        <w:t>., 2011). H</w:t>
      </w:r>
      <w:r w:rsidRPr="00540D6C">
        <w:rPr>
          <w:rFonts w:cs="Times New Roman"/>
          <w:szCs w:val="24"/>
        </w:rPr>
        <w:t>eavy metal</w:t>
      </w:r>
      <w:r w:rsidR="00E81D84">
        <w:rPr>
          <w:rFonts w:cs="Times New Roman"/>
          <w:szCs w:val="24"/>
        </w:rPr>
        <w:t>s</w:t>
      </w:r>
      <w:r w:rsidRPr="00540D6C">
        <w:rPr>
          <w:rFonts w:cs="Times New Roman"/>
          <w:szCs w:val="24"/>
        </w:rPr>
        <w:t xml:space="preserve"> concentration</w:t>
      </w:r>
      <w:r w:rsidR="00485C3B">
        <w:rPr>
          <w:rFonts w:cs="Times New Roman"/>
          <w:szCs w:val="24"/>
        </w:rPr>
        <w:t>s</w:t>
      </w:r>
      <w:r w:rsidRPr="00540D6C">
        <w:rPr>
          <w:rFonts w:cs="Times New Roman"/>
          <w:szCs w:val="24"/>
        </w:rPr>
        <w:t xml:space="preserve"> </w:t>
      </w:r>
      <w:r w:rsidR="00E81D84">
        <w:rPr>
          <w:rFonts w:cs="Times New Roman"/>
          <w:szCs w:val="24"/>
        </w:rPr>
        <w:t xml:space="preserve">analysis </w:t>
      </w:r>
      <w:r w:rsidR="00B14953">
        <w:rPr>
          <w:rFonts w:cs="Times New Roman"/>
          <w:szCs w:val="24"/>
        </w:rPr>
        <w:t xml:space="preserve">frequently </w:t>
      </w:r>
      <w:r w:rsidR="00E81D84">
        <w:rPr>
          <w:rFonts w:cs="Times New Roman"/>
          <w:szCs w:val="24"/>
        </w:rPr>
        <w:t>revealed their</w:t>
      </w:r>
      <w:r w:rsidRPr="00540D6C">
        <w:rPr>
          <w:rFonts w:cs="Times New Roman"/>
          <w:szCs w:val="24"/>
        </w:rPr>
        <w:t xml:space="preserve"> </w:t>
      </w:r>
      <w:r w:rsidR="00927ECF">
        <w:rPr>
          <w:rFonts w:cs="Times New Roman"/>
          <w:szCs w:val="24"/>
        </w:rPr>
        <w:t xml:space="preserve">higher </w:t>
      </w:r>
      <w:r w:rsidRPr="00540D6C">
        <w:rPr>
          <w:rFonts w:cs="Times New Roman"/>
          <w:szCs w:val="24"/>
        </w:rPr>
        <w:t>contamin</w:t>
      </w:r>
      <w:r w:rsidR="00E81D84">
        <w:rPr>
          <w:rFonts w:cs="Times New Roman"/>
          <w:szCs w:val="24"/>
        </w:rPr>
        <w:t>ation</w:t>
      </w:r>
      <w:r w:rsidR="00927ECF">
        <w:rPr>
          <w:rFonts w:cs="Times New Roman"/>
          <w:szCs w:val="24"/>
        </w:rPr>
        <w:t>s</w:t>
      </w:r>
      <w:r w:rsidR="00E81D84">
        <w:rPr>
          <w:rFonts w:cs="Times New Roman"/>
          <w:szCs w:val="24"/>
        </w:rPr>
        <w:t xml:space="preserve"> and toxicity levels in many</w:t>
      </w:r>
      <w:r w:rsidRPr="00540D6C">
        <w:rPr>
          <w:rFonts w:cs="Times New Roman"/>
          <w:szCs w:val="24"/>
        </w:rPr>
        <w:t xml:space="preserve"> environment</w:t>
      </w:r>
      <w:r w:rsidR="00E81D84">
        <w:rPr>
          <w:rFonts w:cs="Times New Roman"/>
          <w:szCs w:val="24"/>
        </w:rPr>
        <w:t>s and ecosystems in general</w:t>
      </w:r>
      <w:r w:rsidRPr="00540D6C">
        <w:rPr>
          <w:rFonts w:cs="Times New Roman"/>
          <w:szCs w:val="24"/>
        </w:rPr>
        <w:t xml:space="preserve"> (Kumar </w:t>
      </w:r>
      <w:r w:rsidRPr="00540D6C">
        <w:rPr>
          <w:rFonts w:cs="Times New Roman"/>
          <w:i/>
          <w:szCs w:val="24"/>
        </w:rPr>
        <w:t>et al</w:t>
      </w:r>
      <w:r w:rsidRPr="00540D6C">
        <w:rPr>
          <w:rFonts w:cs="Times New Roman"/>
          <w:szCs w:val="24"/>
        </w:rPr>
        <w:t>., 2020).</w:t>
      </w:r>
    </w:p>
    <w:p w:rsidR="001A597B" w:rsidRPr="00540D6C" w:rsidRDefault="002B60EC" w:rsidP="00A80813">
      <w:pPr>
        <w:jc w:val="both"/>
        <w:rPr>
          <w:rFonts w:cs="Times New Roman"/>
          <w:szCs w:val="24"/>
        </w:rPr>
      </w:pPr>
      <w:r>
        <w:rPr>
          <w:rFonts w:cs="Times New Roman"/>
          <w:szCs w:val="24"/>
        </w:rPr>
        <w:t>Water is a</w:t>
      </w:r>
      <w:r w:rsidR="00A80813" w:rsidRPr="00540D6C">
        <w:rPr>
          <w:rFonts w:cs="Times New Roman"/>
          <w:szCs w:val="24"/>
        </w:rPr>
        <w:t xml:space="preserve"> </w:t>
      </w:r>
      <w:r>
        <w:rPr>
          <w:rFonts w:cs="Times New Roman"/>
          <w:szCs w:val="24"/>
        </w:rPr>
        <w:t xml:space="preserve">vital source to </w:t>
      </w:r>
      <w:r w:rsidR="00B6480F">
        <w:rPr>
          <w:rFonts w:cs="Times New Roman"/>
          <w:szCs w:val="24"/>
        </w:rPr>
        <w:t>organism’s</w:t>
      </w:r>
      <w:r>
        <w:rPr>
          <w:rFonts w:cs="Times New Roman"/>
          <w:szCs w:val="24"/>
        </w:rPr>
        <w:t xml:space="preserve"> survival which is also necessary for several human activities and</w:t>
      </w:r>
      <w:r w:rsidR="00A80813" w:rsidRPr="00540D6C">
        <w:rPr>
          <w:rFonts w:cs="Times New Roman"/>
          <w:szCs w:val="24"/>
        </w:rPr>
        <w:t xml:space="preserve"> life’s existence, including drinking, healthcare, ag</w:t>
      </w:r>
      <w:r>
        <w:rPr>
          <w:rFonts w:cs="Times New Roman"/>
          <w:szCs w:val="24"/>
        </w:rPr>
        <w:t>riculture, economics, and</w:t>
      </w:r>
      <w:r w:rsidR="00A80813" w:rsidRPr="00540D6C">
        <w:rPr>
          <w:rFonts w:cs="Times New Roman"/>
          <w:szCs w:val="24"/>
        </w:rPr>
        <w:t xml:space="preserve"> industr</w:t>
      </w:r>
      <w:r>
        <w:rPr>
          <w:rFonts w:cs="Times New Roman"/>
          <w:szCs w:val="24"/>
        </w:rPr>
        <w:t>ial applications. Alarming population</w:t>
      </w:r>
      <w:r w:rsidR="00266252">
        <w:rPr>
          <w:rFonts w:cs="Times New Roman"/>
          <w:szCs w:val="24"/>
        </w:rPr>
        <w:t xml:space="preserve"> growth across the world </w:t>
      </w:r>
      <w:r w:rsidR="00A80813" w:rsidRPr="00540D6C">
        <w:rPr>
          <w:rFonts w:cs="Times New Roman"/>
          <w:szCs w:val="24"/>
        </w:rPr>
        <w:t>lack of safe drinkable water</w:t>
      </w:r>
      <w:r w:rsidR="00266252">
        <w:rPr>
          <w:rFonts w:cs="Times New Roman"/>
          <w:szCs w:val="24"/>
        </w:rPr>
        <w:t xml:space="preserve"> due to pollution of water bodies by human activities</w:t>
      </w:r>
      <w:r w:rsidR="00A80813" w:rsidRPr="00540D6C">
        <w:rPr>
          <w:rFonts w:cs="Times New Roman"/>
          <w:szCs w:val="24"/>
        </w:rPr>
        <w:t xml:space="preserve"> (Taka </w:t>
      </w:r>
      <w:r w:rsidR="00A80813" w:rsidRPr="00540D6C">
        <w:rPr>
          <w:rFonts w:cs="Times New Roman"/>
          <w:i/>
          <w:szCs w:val="24"/>
        </w:rPr>
        <w:t>et al</w:t>
      </w:r>
      <w:r w:rsidR="00A80813" w:rsidRPr="00540D6C">
        <w:rPr>
          <w:rFonts w:cs="Times New Roman"/>
          <w:szCs w:val="24"/>
        </w:rPr>
        <w:t>., 2</w:t>
      </w:r>
      <w:r w:rsidR="00266252">
        <w:rPr>
          <w:rFonts w:cs="Times New Roman"/>
          <w:szCs w:val="24"/>
        </w:rPr>
        <w:t>017). Human population increase in whole world contradicted economic advancement with poor portable drinking water became threats to global warming.</w:t>
      </w:r>
      <w:r w:rsidR="00A80813" w:rsidRPr="00540D6C">
        <w:rPr>
          <w:rFonts w:cs="Times New Roman"/>
          <w:szCs w:val="24"/>
        </w:rPr>
        <w:t xml:space="preserve"> </w:t>
      </w:r>
      <w:r w:rsidR="00266252">
        <w:rPr>
          <w:rFonts w:cs="Times New Roman"/>
          <w:szCs w:val="24"/>
        </w:rPr>
        <w:t>F</w:t>
      </w:r>
      <w:r w:rsidR="00266252" w:rsidRPr="00540D6C">
        <w:rPr>
          <w:rFonts w:cs="Times New Roman"/>
          <w:szCs w:val="24"/>
        </w:rPr>
        <w:t>actors res</w:t>
      </w:r>
      <w:r w:rsidR="00266252">
        <w:rPr>
          <w:rFonts w:cs="Times New Roman"/>
          <w:szCs w:val="24"/>
        </w:rPr>
        <w:t>ponsible for potable a drinking water deficiencies</w:t>
      </w:r>
      <w:r w:rsidR="00266252" w:rsidRPr="00540D6C">
        <w:rPr>
          <w:rFonts w:cs="Times New Roman"/>
          <w:szCs w:val="24"/>
        </w:rPr>
        <w:t xml:space="preserve"> </w:t>
      </w:r>
      <w:r w:rsidR="00A80813" w:rsidRPr="00540D6C">
        <w:rPr>
          <w:rFonts w:cs="Times New Roman"/>
          <w:szCs w:val="24"/>
        </w:rPr>
        <w:t>and water resources </w:t>
      </w:r>
      <w:r w:rsidR="00266252">
        <w:rPr>
          <w:rFonts w:cs="Times New Roman"/>
          <w:szCs w:val="24"/>
        </w:rPr>
        <w:t>contaminations were reliable on</w:t>
      </w:r>
      <w:r w:rsidR="006A3FFC">
        <w:rPr>
          <w:rFonts w:cs="Times New Roman"/>
          <w:szCs w:val="24"/>
        </w:rPr>
        <w:t> weathering, erosion</w:t>
      </w:r>
      <w:r w:rsidR="00FF4528">
        <w:rPr>
          <w:rFonts w:cs="Times New Roman"/>
          <w:szCs w:val="24"/>
        </w:rPr>
        <w:t>,</w:t>
      </w:r>
      <w:r w:rsidR="006A3FFC">
        <w:rPr>
          <w:rFonts w:cs="Times New Roman"/>
          <w:szCs w:val="24"/>
        </w:rPr>
        <w:t xml:space="preserve"> industrial effluences, </w:t>
      </w:r>
      <w:r w:rsidR="00266252">
        <w:rPr>
          <w:rFonts w:cs="Times New Roman"/>
          <w:szCs w:val="24"/>
        </w:rPr>
        <w:t xml:space="preserve"> domestic</w:t>
      </w:r>
      <w:r w:rsidR="006A3FFC">
        <w:rPr>
          <w:rFonts w:cs="Times New Roman"/>
          <w:szCs w:val="24"/>
        </w:rPr>
        <w:t xml:space="preserve"> wastes, </w:t>
      </w:r>
      <w:r w:rsidR="00A80813" w:rsidRPr="00540D6C">
        <w:rPr>
          <w:rFonts w:cs="Times New Roman"/>
          <w:szCs w:val="24"/>
        </w:rPr>
        <w:t xml:space="preserve"> and </w:t>
      </w:r>
      <w:r w:rsidR="006A3FFC">
        <w:rPr>
          <w:rFonts w:cs="Times New Roman"/>
          <w:szCs w:val="24"/>
        </w:rPr>
        <w:t>con</w:t>
      </w:r>
      <w:r w:rsidR="00FF4528">
        <w:rPr>
          <w:rFonts w:cs="Times New Roman"/>
          <w:szCs w:val="24"/>
        </w:rPr>
        <w:t>s</w:t>
      </w:r>
      <w:r w:rsidR="006A3FFC">
        <w:rPr>
          <w:rFonts w:cs="Times New Roman"/>
          <w:szCs w:val="24"/>
        </w:rPr>
        <w:t>tant applications of pesticides and herbicides,</w:t>
      </w:r>
      <w:r w:rsidR="00A80813" w:rsidRPr="00540D6C">
        <w:rPr>
          <w:rFonts w:cs="Times New Roman"/>
          <w:szCs w:val="24"/>
        </w:rPr>
        <w:t xml:space="preserve"> (Amin </w:t>
      </w:r>
      <w:r w:rsidR="00A80813" w:rsidRPr="00540D6C">
        <w:rPr>
          <w:rFonts w:cs="Times New Roman"/>
          <w:i/>
          <w:szCs w:val="24"/>
        </w:rPr>
        <w:t>et al</w:t>
      </w:r>
      <w:r w:rsidR="00A80813" w:rsidRPr="00540D6C">
        <w:rPr>
          <w:rFonts w:cs="Times New Roman"/>
          <w:szCs w:val="24"/>
        </w:rPr>
        <w:t>.</w:t>
      </w:r>
      <w:r w:rsidR="00FF4528">
        <w:rPr>
          <w:rFonts w:cs="Times New Roman"/>
          <w:szCs w:val="24"/>
        </w:rPr>
        <w:t>, 2014). T</w:t>
      </w:r>
      <w:r w:rsidR="00A80813" w:rsidRPr="00540D6C">
        <w:rPr>
          <w:rFonts w:cs="Times New Roman"/>
          <w:szCs w:val="24"/>
        </w:rPr>
        <w:t xml:space="preserve">he </w:t>
      </w:r>
      <w:r w:rsidR="00FF4528">
        <w:rPr>
          <w:rFonts w:cs="Times New Roman"/>
          <w:szCs w:val="24"/>
        </w:rPr>
        <w:t xml:space="preserve">population </w:t>
      </w:r>
      <w:r w:rsidR="00A80813" w:rsidRPr="00540D6C">
        <w:rPr>
          <w:rFonts w:cs="Times New Roman"/>
          <w:szCs w:val="24"/>
        </w:rPr>
        <w:t xml:space="preserve">of </w:t>
      </w:r>
      <w:r w:rsidR="00FF4528">
        <w:rPr>
          <w:rFonts w:cs="Times New Roman"/>
          <w:szCs w:val="24"/>
        </w:rPr>
        <w:t xml:space="preserve">people lacking access </w:t>
      </w:r>
      <w:r w:rsidR="00A80813" w:rsidRPr="00540D6C">
        <w:rPr>
          <w:rFonts w:cs="Times New Roman"/>
          <w:szCs w:val="24"/>
        </w:rPr>
        <w:t xml:space="preserve">potable water and proper sanitation </w:t>
      </w:r>
      <w:r w:rsidR="00FF4528">
        <w:rPr>
          <w:rFonts w:cs="Times New Roman"/>
          <w:szCs w:val="24"/>
        </w:rPr>
        <w:t>h</w:t>
      </w:r>
      <w:r w:rsidR="00A80813" w:rsidRPr="00540D6C">
        <w:rPr>
          <w:rFonts w:cs="Times New Roman"/>
          <w:szCs w:val="24"/>
        </w:rPr>
        <w:t>a</w:t>
      </w:r>
      <w:r w:rsidR="00FF4528">
        <w:rPr>
          <w:rFonts w:cs="Times New Roman"/>
          <w:szCs w:val="24"/>
        </w:rPr>
        <w:t>v</w:t>
      </w:r>
      <w:r w:rsidR="00A80813" w:rsidRPr="00540D6C">
        <w:rPr>
          <w:rFonts w:cs="Times New Roman"/>
          <w:szCs w:val="24"/>
        </w:rPr>
        <w:t xml:space="preserve">e </w:t>
      </w:r>
      <w:r w:rsidR="00FF4528">
        <w:rPr>
          <w:rFonts w:cs="Times New Roman"/>
          <w:szCs w:val="24"/>
        </w:rPr>
        <w:t xml:space="preserve">been multiply </w:t>
      </w:r>
      <w:r w:rsidR="00A80813" w:rsidRPr="00540D6C">
        <w:rPr>
          <w:rFonts w:cs="Times New Roman"/>
          <w:szCs w:val="24"/>
        </w:rPr>
        <w:t>a</w:t>
      </w:r>
      <w:r w:rsidR="00FF4528">
        <w:rPr>
          <w:rFonts w:cs="Times New Roman"/>
          <w:szCs w:val="24"/>
        </w:rPr>
        <w:t xml:space="preserve">nnually based on </w:t>
      </w:r>
      <w:r w:rsidR="005F5047">
        <w:rPr>
          <w:rFonts w:cs="Times New Roman"/>
          <w:szCs w:val="24"/>
        </w:rPr>
        <w:t>world environmenta</w:t>
      </w:r>
      <w:r w:rsidR="00E9282C">
        <w:rPr>
          <w:rFonts w:cs="Times New Roman"/>
          <w:szCs w:val="24"/>
        </w:rPr>
        <w:t>l</w:t>
      </w:r>
      <w:r w:rsidR="005F5047">
        <w:rPr>
          <w:rFonts w:cs="Times New Roman"/>
          <w:szCs w:val="24"/>
        </w:rPr>
        <w:t xml:space="preserve"> data</w:t>
      </w:r>
      <w:r w:rsidR="00A80813" w:rsidRPr="00540D6C">
        <w:rPr>
          <w:rFonts w:cs="Times New Roman"/>
          <w:szCs w:val="24"/>
        </w:rPr>
        <w:t xml:space="preserve"> (Taka </w:t>
      </w:r>
      <w:r w:rsidR="00A80813" w:rsidRPr="00540D6C">
        <w:rPr>
          <w:rFonts w:cs="Times New Roman"/>
          <w:i/>
          <w:szCs w:val="24"/>
        </w:rPr>
        <w:t>et al</w:t>
      </w:r>
      <w:r w:rsidR="00E9282C">
        <w:rPr>
          <w:rFonts w:cs="Times New Roman"/>
          <w:szCs w:val="24"/>
        </w:rPr>
        <w:t>., 2017). Modern policies on</w:t>
      </w:r>
      <w:r w:rsidR="00A80813" w:rsidRPr="00540D6C">
        <w:rPr>
          <w:rFonts w:cs="Times New Roman"/>
          <w:szCs w:val="24"/>
        </w:rPr>
        <w:t xml:space="preserve"> effective </w:t>
      </w:r>
      <w:r w:rsidR="00E9282C">
        <w:rPr>
          <w:rFonts w:cs="Times New Roman"/>
          <w:szCs w:val="24"/>
        </w:rPr>
        <w:t xml:space="preserve">portal </w:t>
      </w:r>
      <w:r w:rsidR="00A80813" w:rsidRPr="00540D6C">
        <w:rPr>
          <w:rFonts w:cs="Times New Roman"/>
          <w:szCs w:val="24"/>
        </w:rPr>
        <w:t xml:space="preserve">water </w:t>
      </w:r>
      <w:r w:rsidR="00E9282C">
        <w:rPr>
          <w:rFonts w:cs="Times New Roman"/>
          <w:szCs w:val="24"/>
        </w:rPr>
        <w:t>accomplishments by resolving  scarcity of portable water resources incorporated</w:t>
      </w:r>
      <w:r w:rsidR="00A80813" w:rsidRPr="00540D6C">
        <w:rPr>
          <w:rFonts w:cs="Times New Roman"/>
          <w:szCs w:val="24"/>
        </w:rPr>
        <w:t xml:space="preserve"> the treatment of wastewater effluents (Ahmed </w:t>
      </w:r>
      <w:r w:rsidR="00A80813" w:rsidRPr="00540D6C">
        <w:rPr>
          <w:rFonts w:cs="Times New Roman"/>
          <w:i/>
          <w:szCs w:val="24"/>
        </w:rPr>
        <w:t>et al</w:t>
      </w:r>
      <w:r w:rsidR="00E9282C">
        <w:rPr>
          <w:rFonts w:cs="Times New Roman"/>
          <w:szCs w:val="24"/>
        </w:rPr>
        <w:t>., 2011), where by freshwater constituted</w:t>
      </w:r>
      <w:r w:rsidR="00A80813" w:rsidRPr="00540D6C">
        <w:rPr>
          <w:rFonts w:cs="Times New Roman"/>
          <w:szCs w:val="24"/>
        </w:rPr>
        <w:t xml:space="preserve"> less than 1% of the entire</w:t>
      </w:r>
      <w:r w:rsidR="00E9282C">
        <w:rPr>
          <w:rFonts w:cs="Times New Roman"/>
          <w:szCs w:val="24"/>
        </w:rPr>
        <w:t xml:space="preserve"> world </w:t>
      </w:r>
      <w:r w:rsidR="00A80813" w:rsidRPr="00540D6C">
        <w:rPr>
          <w:rFonts w:cs="Times New Roman"/>
          <w:szCs w:val="24"/>
        </w:rPr>
        <w:t xml:space="preserve"> accessible wat</w:t>
      </w:r>
      <w:r w:rsidR="00E9282C">
        <w:rPr>
          <w:rFonts w:cs="Times New Roman"/>
          <w:szCs w:val="24"/>
        </w:rPr>
        <w:t>er i</w:t>
      </w:r>
      <w:r w:rsidR="00A80813" w:rsidRPr="00540D6C">
        <w:rPr>
          <w:rFonts w:cs="Times New Roman"/>
          <w:szCs w:val="24"/>
        </w:rPr>
        <w:t>n the</w:t>
      </w:r>
      <w:r w:rsidR="00E9282C">
        <w:rPr>
          <w:rFonts w:cs="Times New Roman"/>
          <w:szCs w:val="24"/>
        </w:rPr>
        <w:t xml:space="preserve"> ecosystems</w:t>
      </w:r>
      <w:r w:rsidR="00A80813" w:rsidRPr="00540D6C">
        <w:rPr>
          <w:rFonts w:cs="Times New Roman"/>
          <w:szCs w:val="24"/>
        </w:rPr>
        <w:t xml:space="preserve"> (Huang </w:t>
      </w:r>
      <w:r w:rsidR="00A80813" w:rsidRPr="00540D6C">
        <w:rPr>
          <w:rFonts w:cs="Times New Roman"/>
          <w:i/>
          <w:szCs w:val="24"/>
        </w:rPr>
        <w:t>et al</w:t>
      </w:r>
      <w:r w:rsidR="00A80813" w:rsidRPr="00540D6C">
        <w:rPr>
          <w:rFonts w:cs="Times New Roman"/>
          <w:szCs w:val="24"/>
        </w:rPr>
        <w:t>., 2019).</w:t>
      </w:r>
    </w:p>
    <w:p w:rsidR="0045135F" w:rsidRPr="00540D6C" w:rsidRDefault="006036B1" w:rsidP="00A80813">
      <w:pPr>
        <w:jc w:val="both"/>
        <w:rPr>
          <w:rFonts w:cs="Times New Roman"/>
          <w:b/>
          <w:szCs w:val="24"/>
        </w:rPr>
      </w:pPr>
      <w:r w:rsidRPr="00540D6C">
        <w:rPr>
          <w:rFonts w:cs="Times New Roman"/>
          <w:b/>
          <w:szCs w:val="24"/>
        </w:rPr>
        <w:t>Methodology</w:t>
      </w:r>
    </w:p>
    <w:p w:rsidR="00D7330E" w:rsidRPr="00540D6C" w:rsidRDefault="007F79EB" w:rsidP="00D7330E">
      <w:pPr>
        <w:jc w:val="both"/>
        <w:rPr>
          <w:rFonts w:cs="Times New Roman"/>
          <w:b/>
          <w:szCs w:val="24"/>
        </w:rPr>
      </w:pPr>
      <w:r>
        <w:rPr>
          <w:rFonts w:cs="Times New Roman"/>
          <w:b/>
          <w:szCs w:val="24"/>
        </w:rPr>
        <w:t xml:space="preserve">2.1 </w:t>
      </w:r>
      <w:r w:rsidR="00D7330E" w:rsidRPr="00540D6C">
        <w:rPr>
          <w:rFonts w:cs="Times New Roman"/>
          <w:b/>
          <w:szCs w:val="24"/>
        </w:rPr>
        <w:t>Study Area</w:t>
      </w:r>
    </w:p>
    <w:p w:rsidR="00D7330E" w:rsidRDefault="002250E0" w:rsidP="002250E0">
      <w:pPr>
        <w:jc w:val="both"/>
        <w:rPr>
          <w:rFonts w:cs="Times New Roman"/>
          <w:szCs w:val="24"/>
        </w:rPr>
      </w:pPr>
      <w:r>
        <w:rPr>
          <w:rFonts w:cs="Times New Roman"/>
          <w:szCs w:val="24"/>
        </w:rPr>
        <w:lastRenderedPageBreak/>
        <w:t>This study was conducted</w:t>
      </w:r>
      <w:r w:rsidR="00353318">
        <w:rPr>
          <w:rFonts w:cs="Times New Roman"/>
          <w:szCs w:val="24"/>
        </w:rPr>
        <w:t xml:space="preserve"> at Balanga Dam Reservoir</w:t>
      </w:r>
      <w:r w:rsidR="00D7330E" w:rsidRPr="00540D6C">
        <w:rPr>
          <w:rFonts w:cs="Times New Roman"/>
          <w:szCs w:val="24"/>
        </w:rPr>
        <w:t xml:space="preserve"> in </w:t>
      </w:r>
      <w:proofErr w:type="spellStart"/>
      <w:r w:rsidR="00D7330E" w:rsidRPr="00540D6C">
        <w:rPr>
          <w:rFonts w:cs="Times New Roman"/>
          <w:szCs w:val="24"/>
        </w:rPr>
        <w:t>Balanga</w:t>
      </w:r>
      <w:proofErr w:type="spellEnd"/>
      <w:r w:rsidR="00D7330E" w:rsidRPr="00540D6C">
        <w:rPr>
          <w:rFonts w:cs="Times New Roman"/>
          <w:szCs w:val="24"/>
        </w:rPr>
        <w:t xml:space="preserve"> Local </w:t>
      </w:r>
      <w:proofErr w:type="spellStart"/>
      <w:r w:rsidR="00D7330E" w:rsidRPr="00540D6C">
        <w:rPr>
          <w:rFonts w:cs="Times New Roman"/>
          <w:szCs w:val="24"/>
        </w:rPr>
        <w:t>Goverbnment</w:t>
      </w:r>
      <w:proofErr w:type="spellEnd"/>
      <w:r w:rsidR="00D7330E" w:rsidRPr="00540D6C">
        <w:rPr>
          <w:rFonts w:cs="Times New Roman"/>
          <w:szCs w:val="24"/>
        </w:rPr>
        <w:t xml:space="preserve"> Area of </w:t>
      </w:r>
      <w:proofErr w:type="spellStart"/>
      <w:r w:rsidR="00D7330E" w:rsidRPr="00540D6C">
        <w:rPr>
          <w:rFonts w:cs="Times New Roman"/>
          <w:szCs w:val="24"/>
        </w:rPr>
        <w:t>Gombe</w:t>
      </w:r>
      <w:proofErr w:type="spellEnd"/>
      <w:r w:rsidR="00D7330E" w:rsidRPr="00540D6C">
        <w:rPr>
          <w:rFonts w:cs="Times New Roman"/>
          <w:szCs w:val="24"/>
        </w:rPr>
        <w:t xml:space="preserve"> State, which is located in the center part of north-east</w:t>
      </w:r>
      <w:r w:rsidR="002C0CF8">
        <w:rPr>
          <w:rFonts w:cs="Times New Roman"/>
          <w:szCs w:val="24"/>
        </w:rPr>
        <w:t>ern part of Nigeria latitude (11</w:t>
      </w:r>
      <w:r w:rsidR="00D7330E" w:rsidRPr="00540D6C">
        <w:rPr>
          <w:rFonts w:cs="Times New Roman"/>
          <w:szCs w:val="24"/>
          <w:vertAlign w:val="superscript"/>
        </w:rPr>
        <w:t>0</w:t>
      </w:r>
      <w:r w:rsidR="002C0CF8">
        <w:rPr>
          <w:rFonts w:cs="Times New Roman"/>
          <w:szCs w:val="24"/>
        </w:rPr>
        <w:t xml:space="preserve"> </w:t>
      </w:r>
      <w:r w:rsidR="002C0CF8" w:rsidRPr="002C0CF8">
        <w:rPr>
          <w:rFonts w:cs="Times New Roman"/>
          <w:color w:val="00B050"/>
          <w:szCs w:val="24"/>
        </w:rPr>
        <w:t>20</w:t>
      </w:r>
      <w:r w:rsidR="00D7330E" w:rsidRPr="002C0CF8">
        <w:rPr>
          <w:rFonts w:cs="Times New Roman"/>
          <w:color w:val="00B050"/>
          <w:szCs w:val="24"/>
        </w:rPr>
        <w:t>′</w:t>
      </w:r>
      <w:r w:rsidR="002C0CF8" w:rsidRPr="002C0CF8">
        <w:rPr>
          <w:rFonts w:cs="Times New Roman"/>
          <w:color w:val="00B050"/>
          <w:szCs w:val="24"/>
        </w:rPr>
        <w:t>E to 11</w:t>
      </w:r>
      <w:r w:rsidR="00D7330E" w:rsidRPr="002C0CF8">
        <w:rPr>
          <w:rFonts w:cs="Times New Roman"/>
          <w:color w:val="00B050"/>
          <w:szCs w:val="24"/>
          <w:vertAlign w:val="superscript"/>
        </w:rPr>
        <w:t>0</w:t>
      </w:r>
      <w:r w:rsidR="002C0CF8" w:rsidRPr="002C0CF8">
        <w:rPr>
          <w:rFonts w:cs="Times New Roman"/>
          <w:color w:val="00B050"/>
          <w:szCs w:val="24"/>
        </w:rPr>
        <w:t xml:space="preserve"> 40</w:t>
      </w:r>
      <w:r w:rsidR="00D7330E" w:rsidRPr="002C0CF8">
        <w:rPr>
          <w:rFonts w:cs="Times New Roman"/>
          <w:color w:val="00B050"/>
          <w:szCs w:val="24"/>
        </w:rPr>
        <w:t>′</w:t>
      </w:r>
      <w:r w:rsidR="002C0CF8" w:rsidRPr="002C0CF8">
        <w:rPr>
          <w:rFonts w:cs="Times New Roman"/>
          <w:color w:val="00B050"/>
          <w:szCs w:val="24"/>
        </w:rPr>
        <w:t>E</w:t>
      </w:r>
      <w:r w:rsidR="002C0CF8">
        <w:rPr>
          <w:rFonts w:cs="Times New Roman"/>
          <w:szCs w:val="24"/>
        </w:rPr>
        <w:t xml:space="preserve">) and between longitudes </w:t>
      </w:r>
      <w:r w:rsidR="002C0CF8" w:rsidRPr="002C0CF8">
        <w:rPr>
          <w:rFonts w:cs="Times New Roman"/>
          <w:color w:val="00B050"/>
          <w:szCs w:val="24"/>
        </w:rPr>
        <w:t>(09</w:t>
      </w:r>
      <w:r w:rsidR="00D7330E" w:rsidRPr="002C0CF8">
        <w:rPr>
          <w:rFonts w:cs="Times New Roman"/>
          <w:color w:val="00B050"/>
          <w:szCs w:val="24"/>
          <w:vertAlign w:val="superscript"/>
        </w:rPr>
        <w:t>0</w:t>
      </w:r>
      <w:r w:rsidR="00D7330E" w:rsidRPr="002C0CF8">
        <w:rPr>
          <w:rFonts w:cs="Times New Roman"/>
          <w:color w:val="00B050"/>
          <w:szCs w:val="24"/>
        </w:rPr>
        <w:t xml:space="preserve"> </w:t>
      </w:r>
      <w:r w:rsidR="002C0CF8" w:rsidRPr="002C0CF8">
        <w:rPr>
          <w:rFonts w:cs="Times New Roman"/>
          <w:color w:val="00B050"/>
          <w:szCs w:val="24"/>
        </w:rPr>
        <w:t>4</w:t>
      </w:r>
      <w:r w:rsidR="00D7330E" w:rsidRPr="002C0CF8">
        <w:rPr>
          <w:rFonts w:cs="Times New Roman"/>
          <w:color w:val="00B050"/>
          <w:szCs w:val="24"/>
        </w:rPr>
        <w:t>0</w:t>
      </w:r>
      <w:r w:rsidR="002C0CF8" w:rsidRPr="002C0CF8">
        <w:rPr>
          <w:rFonts w:cs="Times New Roman"/>
          <w:color w:val="00B050"/>
          <w:szCs w:val="24"/>
        </w:rPr>
        <w:t>′N to 10</w:t>
      </w:r>
      <w:r w:rsidR="00D7330E" w:rsidRPr="002C0CF8">
        <w:rPr>
          <w:rFonts w:cs="Times New Roman"/>
          <w:color w:val="00B050"/>
          <w:szCs w:val="24"/>
          <w:vertAlign w:val="superscript"/>
        </w:rPr>
        <w:t>0</w:t>
      </w:r>
      <w:r w:rsidR="002C0CF8" w:rsidRPr="002C0CF8">
        <w:rPr>
          <w:rFonts w:cs="Times New Roman"/>
          <w:color w:val="00B050"/>
          <w:szCs w:val="24"/>
        </w:rPr>
        <w:t xml:space="preserve"> 00</w:t>
      </w:r>
      <w:r w:rsidR="00D7330E" w:rsidRPr="002C0CF8">
        <w:rPr>
          <w:rFonts w:cs="Times New Roman"/>
          <w:color w:val="00B050"/>
          <w:szCs w:val="24"/>
        </w:rPr>
        <w:t>′</w:t>
      </w:r>
      <w:r w:rsidR="002C0CF8" w:rsidRPr="002C0CF8">
        <w:rPr>
          <w:rFonts w:cs="Times New Roman"/>
          <w:color w:val="00B050"/>
          <w:szCs w:val="24"/>
        </w:rPr>
        <w:t>N</w:t>
      </w:r>
      <w:r w:rsidR="002C0CF8">
        <w:rPr>
          <w:rFonts w:cs="Times New Roman"/>
          <w:szCs w:val="24"/>
        </w:rPr>
        <w:t xml:space="preserve">). </w:t>
      </w:r>
      <w:r w:rsidR="002C0CF8" w:rsidRPr="002C0CF8">
        <w:rPr>
          <w:rFonts w:cs="Times New Roman"/>
          <w:color w:val="00B050"/>
          <w:szCs w:val="24"/>
        </w:rPr>
        <w:t xml:space="preserve">The </w:t>
      </w:r>
      <w:r w:rsidR="00D7330E" w:rsidRPr="00540D6C">
        <w:rPr>
          <w:rFonts w:cs="Times New Roman"/>
          <w:szCs w:val="24"/>
        </w:rPr>
        <w:t>area was engulf in between m</w:t>
      </w:r>
      <w:r w:rsidR="00C67B27">
        <w:rPr>
          <w:rFonts w:cs="Times New Roman"/>
          <w:szCs w:val="24"/>
        </w:rPr>
        <w:t xml:space="preserve">ountain ranges along </w:t>
      </w:r>
      <w:proofErr w:type="spellStart"/>
      <w:r w:rsidR="00C67B27">
        <w:rPr>
          <w:rFonts w:cs="Times New Roman"/>
          <w:szCs w:val="24"/>
        </w:rPr>
        <w:t>Talasse</w:t>
      </w:r>
      <w:proofErr w:type="spellEnd"/>
      <w:r w:rsidR="00C67B27">
        <w:rPr>
          <w:rFonts w:cs="Times New Roman"/>
          <w:szCs w:val="24"/>
        </w:rPr>
        <w:t xml:space="preserve"> road leading along</w:t>
      </w:r>
      <w:r w:rsidR="00D7330E" w:rsidRPr="00540D6C">
        <w:rPr>
          <w:rFonts w:cs="Times New Roman"/>
          <w:szCs w:val="24"/>
        </w:rPr>
        <w:t xml:space="preserve"> </w:t>
      </w:r>
      <w:proofErr w:type="spellStart"/>
      <w:r w:rsidR="00D7330E" w:rsidRPr="00540D6C">
        <w:rPr>
          <w:rFonts w:cs="Times New Roman"/>
          <w:szCs w:val="24"/>
        </w:rPr>
        <w:t>Degri</w:t>
      </w:r>
      <w:proofErr w:type="spellEnd"/>
      <w:r w:rsidR="00D7330E" w:rsidRPr="00540D6C">
        <w:rPr>
          <w:rFonts w:cs="Times New Roman"/>
          <w:szCs w:val="24"/>
        </w:rPr>
        <w:t xml:space="preserve"> </w:t>
      </w:r>
      <w:r w:rsidR="00DD6F62">
        <w:rPr>
          <w:rFonts w:cs="Times New Roman"/>
          <w:szCs w:val="24"/>
        </w:rPr>
        <w:t xml:space="preserve">to </w:t>
      </w:r>
      <w:proofErr w:type="spellStart"/>
      <w:r w:rsidR="00DD6F62">
        <w:rPr>
          <w:rFonts w:cs="Times New Roman"/>
          <w:szCs w:val="24"/>
        </w:rPr>
        <w:t>Kulani</w:t>
      </w:r>
      <w:proofErr w:type="spellEnd"/>
      <w:r w:rsidR="00DD6F62">
        <w:rPr>
          <w:rFonts w:cs="Times New Roman"/>
          <w:szCs w:val="24"/>
        </w:rPr>
        <w:t xml:space="preserve"> </w:t>
      </w:r>
      <w:r w:rsidR="00D7330E" w:rsidRPr="00540D6C">
        <w:rPr>
          <w:rFonts w:cs="Times New Roman"/>
          <w:szCs w:val="24"/>
        </w:rPr>
        <w:t>road leading to Cham in Gombe state Nigeria.</w:t>
      </w:r>
    </w:p>
    <w:p w:rsidR="00D7330E" w:rsidRPr="002250E0" w:rsidRDefault="00DD6F62" w:rsidP="002250E0">
      <w:pPr>
        <w:pStyle w:val="NormalWeb"/>
      </w:pPr>
      <w:r>
        <w:rPr>
          <w:noProof/>
        </w:rPr>
        <w:drawing>
          <wp:inline distT="0" distB="0" distL="0" distR="0">
            <wp:extent cx="5213350" cy="3581400"/>
            <wp:effectExtent l="0" t="0" r="6350" b="0"/>
            <wp:docPr id="2" name="Picture 2" descr="C:\Users\DELL\Desktop\IMG-20250418-WA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IMG-20250418-WA001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27576" cy="3591173"/>
                    </a:xfrm>
                    <a:prstGeom prst="rect">
                      <a:avLst/>
                    </a:prstGeom>
                    <a:noFill/>
                    <a:ln>
                      <a:noFill/>
                    </a:ln>
                  </pic:spPr>
                </pic:pic>
              </a:graphicData>
            </a:graphic>
          </wp:inline>
        </w:drawing>
      </w:r>
    </w:p>
    <w:p w:rsidR="00D7330E" w:rsidRPr="00540D6C" w:rsidRDefault="00C90E88" w:rsidP="00D7330E">
      <w:pPr>
        <w:jc w:val="both"/>
        <w:rPr>
          <w:rFonts w:cs="Times New Roman"/>
          <w:szCs w:val="24"/>
        </w:rPr>
      </w:pPr>
      <w:r w:rsidRPr="00540D6C">
        <w:rPr>
          <w:rFonts w:cs="Times New Roman"/>
          <w:szCs w:val="24"/>
        </w:rPr>
        <w:t xml:space="preserve">Figure </w:t>
      </w:r>
      <w:r w:rsidR="00D775D9">
        <w:rPr>
          <w:rFonts w:cs="Times New Roman"/>
          <w:szCs w:val="24"/>
        </w:rPr>
        <w:t>1 map of Balanga Dam R</w:t>
      </w:r>
      <w:r w:rsidR="00D7330E" w:rsidRPr="00540D6C">
        <w:rPr>
          <w:rFonts w:cs="Times New Roman"/>
          <w:szCs w:val="24"/>
        </w:rPr>
        <w:t>eservoir</w:t>
      </w:r>
      <w:r w:rsidR="00D775D9">
        <w:rPr>
          <w:rFonts w:cs="Times New Roman"/>
          <w:szCs w:val="24"/>
        </w:rPr>
        <w:t xml:space="preserve"> showing Study Area</w:t>
      </w:r>
    </w:p>
    <w:p w:rsidR="00D7330E" w:rsidRDefault="00D7330E" w:rsidP="00D7330E">
      <w:pPr>
        <w:jc w:val="both"/>
        <w:rPr>
          <w:rFonts w:cs="Times New Roman"/>
          <w:b/>
          <w:szCs w:val="24"/>
        </w:rPr>
      </w:pPr>
      <w:r w:rsidRPr="00540D6C">
        <w:rPr>
          <w:rFonts w:cs="Times New Roman"/>
          <w:b/>
          <w:szCs w:val="24"/>
        </w:rPr>
        <w:t xml:space="preserve"> </w:t>
      </w:r>
      <w:r w:rsidR="007F79EB">
        <w:rPr>
          <w:rFonts w:cs="Times New Roman"/>
          <w:b/>
          <w:szCs w:val="24"/>
        </w:rPr>
        <w:t xml:space="preserve">2.2 </w:t>
      </w:r>
      <w:r w:rsidRPr="00540D6C">
        <w:rPr>
          <w:rFonts w:cs="Times New Roman"/>
          <w:b/>
          <w:szCs w:val="24"/>
        </w:rPr>
        <w:t>Sample Collection</w:t>
      </w:r>
    </w:p>
    <w:p w:rsidR="00314BD5" w:rsidRPr="00314BD5" w:rsidRDefault="00314BD5" w:rsidP="00D7330E">
      <w:pPr>
        <w:jc w:val="both"/>
        <w:rPr>
          <w:rFonts w:cs="Times New Roman"/>
          <w:b/>
          <w:i/>
          <w:szCs w:val="24"/>
        </w:rPr>
      </w:pPr>
      <w:r>
        <w:rPr>
          <w:rFonts w:cs="Times New Roman"/>
          <w:b/>
          <w:i/>
          <w:szCs w:val="24"/>
        </w:rPr>
        <w:t xml:space="preserve">2.2.1 </w:t>
      </w:r>
      <w:r w:rsidRPr="00314BD5">
        <w:rPr>
          <w:rFonts w:cs="Times New Roman"/>
          <w:b/>
          <w:i/>
          <w:szCs w:val="24"/>
        </w:rPr>
        <w:t>Soil sampl</w:t>
      </w:r>
      <w:r>
        <w:rPr>
          <w:rFonts w:cs="Times New Roman"/>
          <w:b/>
          <w:i/>
          <w:szCs w:val="24"/>
        </w:rPr>
        <w:t>ing</w:t>
      </w:r>
    </w:p>
    <w:p w:rsidR="00D7330E" w:rsidRDefault="0074569F" w:rsidP="00D7330E">
      <w:pPr>
        <w:spacing w:after="0"/>
        <w:jc w:val="both"/>
        <w:rPr>
          <w:rFonts w:cs="Times New Roman"/>
          <w:szCs w:val="24"/>
        </w:rPr>
      </w:pPr>
      <w:r>
        <w:rPr>
          <w:rFonts w:cs="Times New Roman"/>
          <w:szCs w:val="24"/>
        </w:rPr>
        <w:t xml:space="preserve"> The Soil Sediments</w:t>
      </w:r>
      <w:r w:rsidR="00D7330E" w:rsidRPr="00540D6C">
        <w:rPr>
          <w:rFonts w:cs="Times New Roman"/>
          <w:szCs w:val="24"/>
        </w:rPr>
        <w:t xml:space="preserve"> samples for this rese</w:t>
      </w:r>
      <w:r w:rsidR="00F654C1">
        <w:rPr>
          <w:rFonts w:cs="Times New Roman"/>
          <w:szCs w:val="24"/>
        </w:rPr>
        <w:t>arch work are collected in Four</w:t>
      </w:r>
      <w:r w:rsidR="00D7330E" w:rsidRPr="00540D6C">
        <w:rPr>
          <w:rFonts w:cs="Times New Roman"/>
          <w:szCs w:val="24"/>
        </w:rPr>
        <w:t xml:space="preserve"> different sampling points, Samples of soil are identified and names as S1 = Soil at bank of the Eastern site of the Dam, S2 = Soil at t</w:t>
      </w:r>
      <w:r w:rsidR="00F654C1">
        <w:rPr>
          <w:rFonts w:cs="Times New Roman"/>
          <w:szCs w:val="24"/>
        </w:rPr>
        <w:t>he western site of the Dam,</w:t>
      </w:r>
      <w:r w:rsidR="00FA5A7F">
        <w:rPr>
          <w:rFonts w:cs="Times New Roman"/>
          <w:szCs w:val="24"/>
        </w:rPr>
        <w:t xml:space="preserve"> </w:t>
      </w:r>
      <w:r w:rsidR="00D7330E" w:rsidRPr="00540D6C">
        <w:rPr>
          <w:rFonts w:cs="Times New Roman"/>
          <w:szCs w:val="24"/>
        </w:rPr>
        <w:t>S3=</w:t>
      </w:r>
      <w:r w:rsidR="00F654C1">
        <w:rPr>
          <w:rFonts w:cs="Times New Roman"/>
          <w:szCs w:val="24"/>
        </w:rPr>
        <w:t xml:space="preserve"> Southwestern site of the reservoir and S4=</w:t>
      </w:r>
      <w:r w:rsidR="00D7330E" w:rsidRPr="00540D6C">
        <w:rPr>
          <w:rFonts w:cs="Times New Roman"/>
          <w:szCs w:val="24"/>
        </w:rPr>
        <w:t xml:space="preserve"> Soil at the farmland away from Dam site. Each of the sample area soil were</w:t>
      </w:r>
      <w:r w:rsidR="000F6645">
        <w:rPr>
          <w:rFonts w:cs="Times New Roman"/>
          <w:szCs w:val="24"/>
        </w:rPr>
        <w:t xml:space="preserve"> collected at various deep of</w:t>
      </w:r>
      <w:r w:rsidR="00D7330E" w:rsidRPr="00540D6C">
        <w:rPr>
          <w:rFonts w:cs="Times New Roman"/>
          <w:szCs w:val="24"/>
        </w:rPr>
        <w:t xml:space="preserve"> the soil layers to have comprehensive segments compositions. All the layers are mixed together to form representative fractions suitable for the analysis as adopted by Usman </w:t>
      </w:r>
      <w:r w:rsidR="00D7330E" w:rsidRPr="00540D6C">
        <w:rPr>
          <w:rFonts w:cs="Times New Roman"/>
          <w:i/>
          <w:szCs w:val="24"/>
        </w:rPr>
        <w:t>et al</w:t>
      </w:r>
      <w:r w:rsidR="00D7330E" w:rsidRPr="00540D6C">
        <w:rPr>
          <w:rFonts w:cs="Times New Roman"/>
          <w:szCs w:val="24"/>
        </w:rPr>
        <w:t>., (2022).</w:t>
      </w:r>
    </w:p>
    <w:p w:rsidR="00314BD5" w:rsidRDefault="00314BD5" w:rsidP="00314BD5">
      <w:pPr>
        <w:jc w:val="both"/>
        <w:rPr>
          <w:rFonts w:cs="Times New Roman"/>
          <w:b/>
          <w:i/>
          <w:szCs w:val="24"/>
        </w:rPr>
      </w:pPr>
      <w:r>
        <w:rPr>
          <w:rFonts w:cs="Times New Roman"/>
          <w:b/>
          <w:i/>
          <w:szCs w:val="24"/>
        </w:rPr>
        <w:t>2.2.2 Water</w:t>
      </w:r>
      <w:r w:rsidRPr="00314BD5">
        <w:rPr>
          <w:rFonts w:cs="Times New Roman"/>
          <w:b/>
          <w:i/>
          <w:szCs w:val="24"/>
        </w:rPr>
        <w:t xml:space="preserve"> sampl</w:t>
      </w:r>
      <w:r>
        <w:rPr>
          <w:rFonts w:cs="Times New Roman"/>
          <w:b/>
          <w:i/>
          <w:szCs w:val="24"/>
        </w:rPr>
        <w:t>ing</w:t>
      </w:r>
    </w:p>
    <w:p w:rsidR="00DA121E" w:rsidRPr="00314BD5" w:rsidRDefault="00DA121E" w:rsidP="00314BD5">
      <w:pPr>
        <w:jc w:val="both"/>
        <w:rPr>
          <w:rFonts w:cs="Times New Roman"/>
          <w:b/>
          <w:i/>
          <w:szCs w:val="24"/>
        </w:rPr>
      </w:pPr>
      <w:r>
        <w:lastRenderedPageBreak/>
        <w:t xml:space="preserve">Water samples were collected by at the bank of the reservoir nearly </w:t>
      </w:r>
      <w:proofErr w:type="spellStart"/>
      <w:r>
        <w:t>midle</w:t>
      </w:r>
      <w:proofErr w:type="spellEnd"/>
      <w:r>
        <w:t xml:space="preserve"> depth of one meter in the sampling location using a plastic bottles. The sample was collected from four locations at Inlet WI= Eastern site, W2= western site, Outlet W3= southwestern site  and W4=northern site of the Dam at different points intervals of about 200 meters apart which are </w:t>
      </w:r>
      <w:r w:rsidR="0089523A">
        <w:t>meant for analysis.</w:t>
      </w:r>
      <w:r>
        <w:t xml:space="preserve"> Every sampling locations, was allocated a separate sampling clean bottles before collection of th</w:t>
      </w:r>
      <w:r w:rsidR="00513A50">
        <w:t xml:space="preserve">e sample. The samples were </w:t>
      </w:r>
      <w:r w:rsidR="00513A50" w:rsidRPr="00513A50">
        <w:rPr>
          <w:color w:val="00B050"/>
        </w:rPr>
        <w:t>left to settled, then 2 cm</w:t>
      </w:r>
      <w:r w:rsidR="00513A50" w:rsidRPr="00513A50">
        <w:rPr>
          <w:color w:val="00B050"/>
          <w:vertAlign w:val="superscript"/>
        </w:rPr>
        <w:t>3</w:t>
      </w:r>
      <w:r w:rsidRPr="00513A50">
        <w:rPr>
          <w:color w:val="00B050"/>
        </w:rPr>
        <w:t xml:space="preserve"> of</w:t>
      </w:r>
      <w:r>
        <w:t xml:space="preserve"> concentrated HNO</w:t>
      </w:r>
      <w:r w:rsidRPr="0089523A">
        <w:rPr>
          <w:vertAlign w:val="subscript"/>
        </w:rPr>
        <w:t>3</w:t>
      </w:r>
      <w:r>
        <w:t xml:space="preserve"> </w:t>
      </w:r>
      <w:r w:rsidR="00513A50" w:rsidRPr="00513A50">
        <w:rPr>
          <w:color w:val="00B050"/>
        </w:rPr>
        <w:t>was poured into</w:t>
      </w:r>
      <w:r w:rsidR="00DA0C9D">
        <w:rPr>
          <w:color w:val="00B050"/>
        </w:rPr>
        <w:t xml:space="preserve"> 100</w:t>
      </w:r>
      <w:r w:rsidR="00513A50">
        <w:t xml:space="preserve"> </w:t>
      </w:r>
      <w:r w:rsidR="00DA0C9D" w:rsidRPr="00513A50">
        <w:rPr>
          <w:color w:val="00B050"/>
        </w:rPr>
        <w:t>cm</w:t>
      </w:r>
      <w:r w:rsidR="00DA0C9D" w:rsidRPr="00513A50">
        <w:rPr>
          <w:color w:val="00B050"/>
          <w:vertAlign w:val="superscript"/>
        </w:rPr>
        <w:t>3</w:t>
      </w:r>
      <w:r w:rsidR="00DA0C9D">
        <w:rPr>
          <w:color w:val="00B050"/>
          <w:vertAlign w:val="superscript"/>
        </w:rPr>
        <w:t xml:space="preserve"> </w:t>
      </w:r>
      <w:r w:rsidR="00DA0C9D" w:rsidRPr="00DA0C9D">
        <w:rPr>
          <w:color w:val="00B050"/>
        </w:rPr>
        <w:t xml:space="preserve">of </w:t>
      </w:r>
      <w:r w:rsidR="00513A50">
        <w:t xml:space="preserve">the samples </w:t>
      </w:r>
      <w:r>
        <w:t>that prevented metal adsorption onto the inner surface of the</w:t>
      </w:r>
      <w:r w:rsidR="0089523A">
        <w:t xml:space="preserve"> sampling bottle. The methods was adopted with sligh</w:t>
      </w:r>
      <w:r w:rsidR="00ED7BDB">
        <w:t>t</w:t>
      </w:r>
      <w:r w:rsidR="0089523A">
        <w:t xml:space="preserve"> modifications by Modibbo </w:t>
      </w:r>
      <w:r w:rsidR="0089523A" w:rsidRPr="009168FB">
        <w:rPr>
          <w:i/>
        </w:rPr>
        <w:t>et al</w:t>
      </w:r>
      <w:r w:rsidR="009168FB">
        <w:t>.,</w:t>
      </w:r>
      <w:r w:rsidR="0089523A">
        <w:t xml:space="preserve"> (2024).</w:t>
      </w:r>
    </w:p>
    <w:p w:rsidR="00314BD5" w:rsidRPr="00540D6C" w:rsidRDefault="00314BD5" w:rsidP="00D7330E">
      <w:pPr>
        <w:spacing w:after="0"/>
        <w:jc w:val="both"/>
        <w:rPr>
          <w:rFonts w:cs="Times New Roman"/>
          <w:szCs w:val="24"/>
        </w:rPr>
      </w:pPr>
    </w:p>
    <w:p w:rsidR="00AB2299" w:rsidRPr="00540D6C" w:rsidRDefault="007F79EB" w:rsidP="00D7330E">
      <w:pPr>
        <w:spacing w:after="0"/>
        <w:jc w:val="both"/>
        <w:rPr>
          <w:rFonts w:cs="Times New Roman"/>
          <w:b/>
          <w:szCs w:val="24"/>
        </w:rPr>
      </w:pPr>
      <w:r>
        <w:rPr>
          <w:rFonts w:cs="Times New Roman"/>
          <w:b/>
          <w:szCs w:val="24"/>
        </w:rPr>
        <w:t xml:space="preserve">2.3 </w:t>
      </w:r>
      <w:r w:rsidR="00AB2299" w:rsidRPr="00540D6C">
        <w:rPr>
          <w:rFonts w:cs="Times New Roman"/>
          <w:b/>
          <w:szCs w:val="24"/>
        </w:rPr>
        <w:t>Samp</w:t>
      </w:r>
      <w:r w:rsidR="00F654C1">
        <w:rPr>
          <w:rFonts w:cs="Times New Roman"/>
          <w:b/>
          <w:szCs w:val="24"/>
        </w:rPr>
        <w:t>le Preparation for AAS Analysis</w:t>
      </w:r>
    </w:p>
    <w:p w:rsidR="00AB2299" w:rsidRPr="00540D6C" w:rsidRDefault="00AB2299" w:rsidP="00D7330E">
      <w:pPr>
        <w:spacing w:after="0"/>
        <w:jc w:val="both"/>
        <w:rPr>
          <w:rFonts w:cs="Times New Roman"/>
          <w:szCs w:val="24"/>
        </w:rPr>
      </w:pPr>
      <w:r w:rsidRPr="00540D6C">
        <w:rPr>
          <w:rFonts w:cs="Times New Roman"/>
          <w:szCs w:val="24"/>
        </w:rPr>
        <w:t>Initially, 10 cm</w:t>
      </w:r>
      <w:r w:rsidRPr="00CD33B2">
        <w:rPr>
          <w:rFonts w:cs="Times New Roman"/>
          <w:szCs w:val="24"/>
          <w:vertAlign w:val="superscript"/>
        </w:rPr>
        <w:t>3</w:t>
      </w:r>
      <w:r w:rsidRPr="00540D6C">
        <w:rPr>
          <w:rFonts w:cs="Times New Roman"/>
          <w:szCs w:val="24"/>
        </w:rPr>
        <w:t xml:space="preserve"> of 1M HNO</w:t>
      </w:r>
      <w:r w:rsidRPr="00CD33B2">
        <w:rPr>
          <w:rFonts w:cs="Times New Roman"/>
          <w:szCs w:val="24"/>
          <w:vertAlign w:val="subscript"/>
        </w:rPr>
        <w:t>3</w:t>
      </w:r>
      <w:r w:rsidRPr="00540D6C">
        <w:rPr>
          <w:rFonts w:cs="Times New Roman"/>
          <w:szCs w:val="24"/>
        </w:rPr>
        <w:t xml:space="preserve"> was added to </w:t>
      </w:r>
      <w:r w:rsidR="009168FB">
        <w:rPr>
          <w:rFonts w:cs="Times New Roman"/>
          <w:szCs w:val="24"/>
        </w:rPr>
        <w:t xml:space="preserve">1.00 g of </w:t>
      </w:r>
      <w:r w:rsidR="00BB13C0" w:rsidRPr="00540D6C">
        <w:rPr>
          <w:rFonts w:cs="Times New Roman"/>
          <w:szCs w:val="24"/>
        </w:rPr>
        <w:t xml:space="preserve">both water and sediments </w:t>
      </w:r>
      <w:r w:rsidRPr="00540D6C">
        <w:rPr>
          <w:rFonts w:cs="Times New Roman"/>
          <w:szCs w:val="24"/>
        </w:rPr>
        <w:t>sample in 25 x 15</w:t>
      </w:r>
      <w:r w:rsidR="009168FB">
        <w:rPr>
          <w:rFonts w:cs="Times New Roman"/>
          <w:szCs w:val="24"/>
        </w:rPr>
        <w:t>0 mm glass digestion tube. S</w:t>
      </w:r>
      <w:r w:rsidRPr="00540D6C">
        <w:rPr>
          <w:rFonts w:cs="Times New Roman"/>
          <w:szCs w:val="24"/>
        </w:rPr>
        <w:t xml:space="preserve">amples </w:t>
      </w:r>
      <w:r w:rsidR="009168FB">
        <w:rPr>
          <w:rFonts w:cs="Times New Roman"/>
          <w:szCs w:val="24"/>
        </w:rPr>
        <w:t xml:space="preserve">of both water and sediment were subjected to direct heating on heating mantle at 95 ± 10 °C for 15 minutes. The samples were cooled and </w:t>
      </w:r>
      <w:r w:rsidRPr="00540D6C">
        <w:rPr>
          <w:rFonts w:cs="Times New Roman"/>
          <w:szCs w:val="24"/>
        </w:rPr>
        <w:t>5 cm</w:t>
      </w:r>
      <w:r w:rsidRPr="00CD33B2">
        <w:rPr>
          <w:rFonts w:cs="Times New Roman"/>
          <w:szCs w:val="24"/>
          <w:vertAlign w:val="superscript"/>
        </w:rPr>
        <w:t>3</w:t>
      </w:r>
      <w:r w:rsidRPr="00540D6C">
        <w:rPr>
          <w:rFonts w:cs="Times New Roman"/>
          <w:szCs w:val="24"/>
        </w:rPr>
        <w:t xml:space="preserve"> of HNO</w:t>
      </w:r>
      <w:r w:rsidRPr="00CD33B2">
        <w:rPr>
          <w:rFonts w:cs="Times New Roman"/>
          <w:szCs w:val="24"/>
          <w:vertAlign w:val="subscript"/>
        </w:rPr>
        <w:t>3</w:t>
      </w:r>
      <w:r w:rsidRPr="00540D6C">
        <w:rPr>
          <w:rFonts w:cs="Times New Roman"/>
          <w:szCs w:val="24"/>
        </w:rPr>
        <w:t xml:space="preserve"> was added and </w:t>
      </w:r>
      <w:r w:rsidR="009168FB">
        <w:rPr>
          <w:rFonts w:cs="Times New Roman"/>
          <w:szCs w:val="24"/>
        </w:rPr>
        <w:t>re</w:t>
      </w:r>
      <w:r w:rsidRPr="00540D6C">
        <w:rPr>
          <w:rFonts w:cs="Times New Roman"/>
          <w:szCs w:val="24"/>
        </w:rPr>
        <w:t>heated for another 30 minutes. The digests were again allowed to cool, then 2 cm</w:t>
      </w:r>
      <w:r w:rsidRPr="00CD33B2">
        <w:rPr>
          <w:rFonts w:cs="Times New Roman"/>
          <w:szCs w:val="24"/>
          <w:vertAlign w:val="superscript"/>
        </w:rPr>
        <w:t>3</w:t>
      </w:r>
      <w:r w:rsidRPr="00540D6C">
        <w:rPr>
          <w:rFonts w:cs="Times New Roman"/>
          <w:szCs w:val="24"/>
        </w:rPr>
        <w:t xml:space="preserve"> of distilled water and 3 cm</w:t>
      </w:r>
      <w:r w:rsidRPr="00AC6A82">
        <w:rPr>
          <w:rFonts w:cs="Times New Roman"/>
          <w:szCs w:val="24"/>
          <w:vertAlign w:val="superscript"/>
        </w:rPr>
        <w:t>3</w:t>
      </w:r>
      <w:r w:rsidRPr="00540D6C">
        <w:rPr>
          <w:rFonts w:cs="Times New Roman"/>
          <w:szCs w:val="24"/>
        </w:rPr>
        <w:t xml:space="preserve"> of 30 % H</w:t>
      </w:r>
      <w:r w:rsidRPr="00AC6A82">
        <w:rPr>
          <w:rFonts w:cs="Times New Roman"/>
          <w:szCs w:val="24"/>
          <w:vertAlign w:val="subscript"/>
        </w:rPr>
        <w:t>2</w:t>
      </w:r>
      <w:r w:rsidRPr="00540D6C">
        <w:rPr>
          <w:rFonts w:cs="Times New Roman"/>
          <w:szCs w:val="24"/>
        </w:rPr>
        <w:t>O</w:t>
      </w:r>
      <w:r w:rsidRPr="00AC6A82">
        <w:rPr>
          <w:rFonts w:cs="Times New Roman"/>
          <w:szCs w:val="24"/>
          <w:vertAlign w:val="subscript"/>
        </w:rPr>
        <w:t>2</w:t>
      </w:r>
      <w:r w:rsidRPr="00540D6C">
        <w:rPr>
          <w:rFonts w:cs="Times New Roman"/>
          <w:szCs w:val="24"/>
        </w:rPr>
        <w:t xml:space="preserve"> was added and heated to 95 ± 5 °C. After the digests were cooled again, another 1 cm</w:t>
      </w:r>
      <w:r w:rsidRPr="00AC6A82">
        <w:rPr>
          <w:rFonts w:cs="Times New Roman"/>
          <w:szCs w:val="24"/>
          <w:vertAlign w:val="superscript"/>
        </w:rPr>
        <w:t>3</w:t>
      </w:r>
      <w:r w:rsidRPr="00540D6C">
        <w:rPr>
          <w:rFonts w:cs="Times New Roman"/>
          <w:szCs w:val="24"/>
        </w:rPr>
        <w:t xml:space="preserve"> of 30 % H</w:t>
      </w:r>
      <w:r w:rsidRPr="00AC6A82">
        <w:rPr>
          <w:rFonts w:cs="Times New Roman"/>
          <w:szCs w:val="24"/>
          <w:vertAlign w:val="subscript"/>
        </w:rPr>
        <w:t>2</w:t>
      </w:r>
      <w:r w:rsidRPr="00540D6C">
        <w:rPr>
          <w:rFonts w:cs="Times New Roman"/>
          <w:szCs w:val="24"/>
        </w:rPr>
        <w:t>O</w:t>
      </w:r>
      <w:r w:rsidRPr="00AC6A82">
        <w:rPr>
          <w:rFonts w:cs="Times New Roman"/>
          <w:szCs w:val="24"/>
          <w:vertAlign w:val="subscript"/>
        </w:rPr>
        <w:t>2</w:t>
      </w:r>
      <w:r w:rsidRPr="00540D6C">
        <w:rPr>
          <w:rFonts w:cs="Times New Roman"/>
          <w:szCs w:val="24"/>
        </w:rPr>
        <w:t xml:space="preserve"> was added. Heating continued until the sample volumes reduced to approximately 5 cm3. The digests were then allowed to cool again before being diluted to 50 cm</w:t>
      </w:r>
      <w:r w:rsidRPr="00AC6A82">
        <w:rPr>
          <w:rFonts w:cs="Times New Roman"/>
          <w:szCs w:val="24"/>
          <w:vertAlign w:val="superscript"/>
        </w:rPr>
        <w:t>3</w:t>
      </w:r>
      <w:r w:rsidRPr="00540D6C">
        <w:rPr>
          <w:rFonts w:cs="Times New Roman"/>
          <w:szCs w:val="24"/>
        </w:rPr>
        <w:t xml:space="preserve"> with distilled water. Prior to analysis, the tomatoes digests were further diluted for analysis of metals content as adopted by (Usman </w:t>
      </w:r>
      <w:r w:rsidRPr="00AC6A82">
        <w:rPr>
          <w:rFonts w:cs="Times New Roman"/>
          <w:i/>
          <w:szCs w:val="24"/>
        </w:rPr>
        <w:t>et al</w:t>
      </w:r>
      <w:r w:rsidRPr="00540D6C">
        <w:rPr>
          <w:rFonts w:cs="Times New Roman"/>
          <w:szCs w:val="24"/>
        </w:rPr>
        <w:t>.,</w:t>
      </w:r>
      <w:r w:rsidR="00BB13C0" w:rsidRPr="00540D6C">
        <w:rPr>
          <w:rFonts w:cs="Times New Roman"/>
          <w:szCs w:val="24"/>
        </w:rPr>
        <w:t xml:space="preserve"> 2022)</w:t>
      </w:r>
    </w:p>
    <w:p w:rsidR="00D7330E" w:rsidRPr="00540D6C" w:rsidRDefault="007F79EB" w:rsidP="00D7330E">
      <w:pPr>
        <w:jc w:val="both"/>
        <w:rPr>
          <w:rFonts w:cs="Times New Roman"/>
          <w:b/>
          <w:szCs w:val="24"/>
        </w:rPr>
      </w:pPr>
      <w:r>
        <w:rPr>
          <w:rFonts w:cs="Times New Roman"/>
          <w:b/>
          <w:szCs w:val="24"/>
        </w:rPr>
        <w:t xml:space="preserve">2.4 </w:t>
      </w:r>
      <w:r w:rsidR="00D7330E" w:rsidRPr="00540D6C">
        <w:rPr>
          <w:rFonts w:cs="Times New Roman"/>
          <w:b/>
          <w:szCs w:val="24"/>
        </w:rPr>
        <w:t>Det</w:t>
      </w:r>
      <w:r w:rsidR="005F745A">
        <w:rPr>
          <w:rFonts w:cs="Times New Roman"/>
          <w:b/>
          <w:szCs w:val="24"/>
        </w:rPr>
        <w:t>ermination of pH values of Soil Sediments</w:t>
      </w:r>
    </w:p>
    <w:p w:rsidR="00D7330E" w:rsidRPr="00540D6C" w:rsidRDefault="00A40654" w:rsidP="00D7330E">
      <w:pPr>
        <w:jc w:val="both"/>
        <w:rPr>
          <w:rFonts w:cs="Times New Roman"/>
          <w:szCs w:val="24"/>
        </w:rPr>
      </w:pPr>
      <w:r w:rsidRPr="00540D6C">
        <w:rPr>
          <w:rFonts w:cs="Times New Roman"/>
          <w:szCs w:val="24"/>
        </w:rPr>
        <w:t>pH Values of both</w:t>
      </w:r>
      <w:r w:rsidR="00D7330E" w:rsidRPr="00540D6C">
        <w:rPr>
          <w:rFonts w:cs="Times New Roman"/>
          <w:szCs w:val="24"/>
        </w:rPr>
        <w:t xml:space="preserve"> Sample of 2 g of grounded soil was mixed up with 50</w:t>
      </w:r>
      <w:r w:rsidR="007338CE">
        <w:rPr>
          <w:rFonts w:cs="Times New Roman"/>
          <w:szCs w:val="24"/>
        </w:rPr>
        <w:t xml:space="preserve"> </w:t>
      </w:r>
      <w:r w:rsidR="00D7330E" w:rsidRPr="00540D6C">
        <w:rPr>
          <w:rFonts w:cs="Times New Roman"/>
          <w:szCs w:val="24"/>
        </w:rPr>
        <w:t>cm</w:t>
      </w:r>
      <w:r w:rsidR="00D7330E" w:rsidRPr="00540D6C">
        <w:rPr>
          <w:rFonts w:cs="Times New Roman"/>
          <w:szCs w:val="24"/>
          <w:vertAlign w:val="superscript"/>
        </w:rPr>
        <w:t>3</w:t>
      </w:r>
      <w:r w:rsidR="00D7330E" w:rsidRPr="00540D6C">
        <w:rPr>
          <w:rFonts w:cs="Times New Roman"/>
          <w:szCs w:val="24"/>
        </w:rPr>
        <w:t xml:space="preserve"> of distilled water was poured into a 250</w:t>
      </w:r>
      <w:r w:rsidR="00ED7BDB">
        <w:rPr>
          <w:rFonts w:cs="Times New Roman"/>
          <w:szCs w:val="24"/>
        </w:rPr>
        <w:t xml:space="preserve"> </w:t>
      </w:r>
      <w:r w:rsidR="00D7330E" w:rsidRPr="00540D6C">
        <w:rPr>
          <w:rFonts w:cs="Times New Roman"/>
          <w:szCs w:val="24"/>
        </w:rPr>
        <w:t>cm</w:t>
      </w:r>
      <w:r w:rsidR="00D7330E" w:rsidRPr="00540D6C">
        <w:rPr>
          <w:rFonts w:cs="Times New Roman"/>
          <w:szCs w:val="24"/>
          <w:vertAlign w:val="superscript"/>
        </w:rPr>
        <w:t>3</w:t>
      </w:r>
      <w:r w:rsidR="00D7330E" w:rsidRPr="00540D6C">
        <w:rPr>
          <w:rFonts w:cs="Times New Roman"/>
          <w:szCs w:val="24"/>
        </w:rPr>
        <w:t xml:space="preserve"> conical flask then 20</w:t>
      </w:r>
      <w:r w:rsidR="00ED7BDB">
        <w:rPr>
          <w:rFonts w:cs="Times New Roman"/>
          <w:szCs w:val="24"/>
        </w:rPr>
        <w:t xml:space="preserve"> </w:t>
      </w:r>
      <w:r w:rsidR="00D7330E" w:rsidRPr="00540D6C">
        <w:rPr>
          <w:rFonts w:cs="Times New Roman"/>
          <w:szCs w:val="24"/>
        </w:rPr>
        <w:t>cm</w:t>
      </w:r>
      <w:r w:rsidR="00D7330E" w:rsidRPr="00540D6C">
        <w:rPr>
          <w:rFonts w:cs="Times New Roman"/>
          <w:szCs w:val="24"/>
          <w:vertAlign w:val="superscript"/>
        </w:rPr>
        <w:t>3</w:t>
      </w:r>
      <w:r w:rsidR="00D7330E" w:rsidRPr="00540D6C">
        <w:rPr>
          <w:rFonts w:cs="Times New Roman"/>
          <w:szCs w:val="24"/>
        </w:rPr>
        <w:t xml:space="preserve"> of Buffer 7.0 solutions was added that mixed up the solutions. Then pH meter (3150 Jen way) was calibrated with the buffer solutions (7.0) added and inserted into the solution immediately. The probe was then left standing in distilled water for 6 hours, the pH values of the onion samples collected from three samples locations were recorded at an hourly ba</w:t>
      </w:r>
      <w:r w:rsidR="00EB526A">
        <w:rPr>
          <w:rFonts w:cs="Times New Roman"/>
          <w:szCs w:val="24"/>
        </w:rPr>
        <w:t xml:space="preserve">sis for 6 hours as reported by </w:t>
      </w:r>
      <w:r w:rsidR="00D7330E" w:rsidRPr="00540D6C">
        <w:rPr>
          <w:rFonts w:cs="Times New Roman"/>
          <w:szCs w:val="24"/>
        </w:rPr>
        <w:t xml:space="preserve">Usman </w:t>
      </w:r>
      <w:r w:rsidR="00D7330E" w:rsidRPr="00540D6C">
        <w:rPr>
          <w:rFonts w:cs="Times New Roman"/>
          <w:i/>
          <w:szCs w:val="24"/>
        </w:rPr>
        <w:t>et al</w:t>
      </w:r>
      <w:r w:rsidR="00D7330E" w:rsidRPr="00540D6C">
        <w:rPr>
          <w:rFonts w:cs="Times New Roman"/>
          <w:szCs w:val="24"/>
        </w:rPr>
        <w:t xml:space="preserve">., </w:t>
      </w:r>
      <w:r w:rsidR="00EB526A">
        <w:rPr>
          <w:rFonts w:cs="Times New Roman"/>
          <w:szCs w:val="24"/>
        </w:rPr>
        <w:t>(</w:t>
      </w:r>
      <w:r w:rsidR="00D7330E" w:rsidRPr="00EB526A">
        <w:rPr>
          <w:rFonts w:cs="Times New Roman"/>
          <w:color w:val="00B050"/>
          <w:szCs w:val="24"/>
        </w:rPr>
        <w:t>2022)</w:t>
      </w:r>
      <w:r w:rsidR="00D7330E" w:rsidRPr="00540D6C">
        <w:rPr>
          <w:rFonts w:cs="Times New Roman"/>
          <w:szCs w:val="24"/>
        </w:rPr>
        <w:t>.</w:t>
      </w:r>
    </w:p>
    <w:p w:rsidR="00D7330E" w:rsidRPr="00540D6C" w:rsidRDefault="007F79EB" w:rsidP="00D7330E">
      <w:pPr>
        <w:autoSpaceDE w:val="0"/>
        <w:autoSpaceDN w:val="0"/>
        <w:adjustRightInd w:val="0"/>
        <w:spacing w:after="0"/>
        <w:jc w:val="both"/>
        <w:outlineLvl w:val="0"/>
        <w:rPr>
          <w:rFonts w:cs="Times New Roman"/>
          <w:b/>
          <w:szCs w:val="24"/>
        </w:rPr>
      </w:pPr>
      <w:bookmarkStart w:id="2" w:name="_Toc192472816"/>
      <w:r>
        <w:rPr>
          <w:rFonts w:cs="Times New Roman"/>
          <w:b/>
          <w:szCs w:val="24"/>
        </w:rPr>
        <w:t xml:space="preserve">2.5 </w:t>
      </w:r>
      <w:r w:rsidR="00D7330E" w:rsidRPr="00540D6C">
        <w:rPr>
          <w:rFonts w:cs="Times New Roman"/>
          <w:b/>
          <w:szCs w:val="24"/>
        </w:rPr>
        <w:t>Conductivity Test of Soils S</w:t>
      </w:r>
      <w:bookmarkEnd w:id="2"/>
      <w:r w:rsidR="005F745A">
        <w:rPr>
          <w:rFonts w:cs="Times New Roman"/>
          <w:b/>
          <w:szCs w:val="24"/>
        </w:rPr>
        <w:t>ediments</w:t>
      </w:r>
      <w:r w:rsidR="00D7330E" w:rsidRPr="00540D6C">
        <w:rPr>
          <w:rFonts w:cs="Times New Roman"/>
          <w:b/>
          <w:szCs w:val="24"/>
        </w:rPr>
        <w:t xml:space="preserve">                                              </w:t>
      </w:r>
    </w:p>
    <w:p w:rsidR="00D7330E" w:rsidRPr="00540D6C" w:rsidRDefault="00D7330E" w:rsidP="00D7330E">
      <w:pPr>
        <w:jc w:val="both"/>
        <w:rPr>
          <w:rFonts w:cs="Times New Roman"/>
          <w:szCs w:val="24"/>
        </w:rPr>
      </w:pPr>
      <w:r w:rsidRPr="00540D6C">
        <w:rPr>
          <w:rFonts w:cs="Times New Roman"/>
          <w:szCs w:val="24"/>
        </w:rPr>
        <w:t>About 3g of each of the soil samples was soaked with 50ml of distilled water in an extraction bottle and shaken with mechanical shaker (Griffin flask shaker) for 1hr. The suspension was filtered twice to remove turbidity and two drops of 0.1% Na</w:t>
      </w:r>
      <w:r w:rsidRPr="00540D6C">
        <w:rPr>
          <w:rFonts w:cs="Times New Roman"/>
          <w:szCs w:val="24"/>
          <w:vertAlign w:val="subscript"/>
        </w:rPr>
        <w:t>2</w:t>
      </w:r>
      <w:r w:rsidRPr="00540D6C">
        <w:rPr>
          <w:rFonts w:cs="Times New Roman"/>
          <w:szCs w:val="24"/>
        </w:rPr>
        <w:t>PO</w:t>
      </w:r>
      <w:r w:rsidRPr="00540D6C">
        <w:rPr>
          <w:rFonts w:cs="Times New Roman"/>
          <w:szCs w:val="24"/>
          <w:vertAlign w:val="subscript"/>
        </w:rPr>
        <w:t xml:space="preserve">3 </w:t>
      </w:r>
      <w:r w:rsidRPr="00540D6C">
        <w:rPr>
          <w:rFonts w:cs="Times New Roman"/>
          <w:szCs w:val="24"/>
        </w:rPr>
        <w:t>was added to the filtrate. Probe of conductivity meter was inserted and values are recorded in NScm</w:t>
      </w:r>
      <w:r w:rsidRPr="00540D6C">
        <w:rPr>
          <w:rFonts w:cs="Times New Roman"/>
          <w:szCs w:val="24"/>
          <w:vertAlign w:val="superscript"/>
        </w:rPr>
        <w:t>-1</w:t>
      </w:r>
      <w:r w:rsidRPr="00540D6C">
        <w:rPr>
          <w:rFonts w:cs="Times New Roman"/>
          <w:szCs w:val="24"/>
        </w:rPr>
        <w:t xml:space="preserve"> at interval of an </w:t>
      </w:r>
      <w:r w:rsidRPr="00540D6C">
        <w:rPr>
          <w:rFonts w:cs="Times New Roman"/>
          <w:szCs w:val="24"/>
        </w:rPr>
        <w:lastRenderedPageBreak/>
        <w:t xml:space="preserve">hour for 4 hours. </w:t>
      </w:r>
      <w:r w:rsidRPr="00540D6C">
        <w:rPr>
          <w:rFonts w:eastAsia="Times New Roman" w:cs="Times New Roman"/>
          <w:szCs w:val="24"/>
        </w:rPr>
        <w:t xml:space="preserve">Voltage was applied between two electrodes in a probe immersed in the sample water. The drop in voltage caused by the resistance of the water was used to determine the conductivity per centimeter </w:t>
      </w:r>
      <w:r w:rsidRPr="00540D6C">
        <w:rPr>
          <w:rFonts w:cs="Times New Roman"/>
          <w:szCs w:val="24"/>
        </w:rPr>
        <w:t xml:space="preserve">(Usman </w:t>
      </w:r>
      <w:r w:rsidRPr="00540D6C">
        <w:rPr>
          <w:rFonts w:cs="Times New Roman"/>
          <w:i/>
          <w:szCs w:val="24"/>
        </w:rPr>
        <w:t>et al</w:t>
      </w:r>
      <w:r w:rsidRPr="00540D6C">
        <w:rPr>
          <w:rFonts w:cs="Times New Roman"/>
          <w:szCs w:val="24"/>
        </w:rPr>
        <w:t>., 2022)</w:t>
      </w:r>
    </w:p>
    <w:p w:rsidR="004342D1" w:rsidRPr="00540D6C" w:rsidRDefault="007F79EB" w:rsidP="004342D1">
      <w:pPr>
        <w:spacing w:after="0"/>
        <w:jc w:val="both"/>
        <w:rPr>
          <w:rFonts w:cs="Times New Roman"/>
          <w:b/>
          <w:szCs w:val="24"/>
        </w:rPr>
      </w:pPr>
      <w:r>
        <w:rPr>
          <w:rFonts w:cs="Times New Roman"/>
          <w:b/>
          <w:szCs w:val="24"/>
        </w:rPr>
        <w:t xml:space="preserve">2.6 </w:t>
      </w:r>
      <w:r w:rsidR="004342D1" w:rsidRPr="00540D6C">
        <w:rPr>
          <w:rFonts w:cs="Times New Roman"/>
          <w:b/>
          <w:szCs w:val="24"/>
        </w:rPr>
        <w:t xml:space="preserve">Health Risks Assessment </w:t>
      </w:r>
    </w:p>
    <w:p w:rsidR="004342D1" w:rsidRPr="00540D6C" w:rsidRDefault="004342D1" w:rsidP="004342D1">
      <w:pPr>
        <w:spacing w:after="0"/>
        <w:jc w:val="both"/>
        <w:rPr>
          <w:rFonts w:cs="Times New Roman"/>
          <w:szCs w:val="24"/>
        </w:rPr>
      </w:pPr>
      <w:r w:rsidRPr="00540D6C">
        <w:rPr>
          <w:rFonts w:cs="Times New Roman"/>
          <w:szCs w:val="24"/>
        </w:rPr>
        <w:t>Health risks assessment of carcinogenic and non-carcinogenic risk through Heavy metals present in soil and sediments around Balanga Dam Gombe has been determined using exposure pathways of inhalation, ingestion and dermal to determined health risk of human as evide</w:t>
      </w:r>
      <w:r w:rsidR="00B77CE9">
        <w:rPr>
          <w:rFonts w:cs="Times New Roman"/>
          <w:szCs w:val="24"/>
        </w:rPr>
        <w:t>nce for taking decision, (</w:t>
      </w:r>
      <w:proofErr w:type="spellStart"/>
      <w:r w:rsidR="00B77CE9">
        <w:rPr>
          <w:rFonts w:cs="Times New Roman"/>
          <w:szCs w:val="24"/>
        </w:rPr>
        <w:t>Saheh</w:t>
      </w:r>
      <w:proofErr w:type="spellEnd"/>
      <w:r w:rsidR="00B77CE9" w:rsidRPr="00540D6C">
        <w:rPr>
          <w:rFonts w:cs="Times New Roman"/>
          <w:i/>
          <w:szCs w:val="24"/>
        </w:rPr>
        <w:t xml:space="preserve"> </w:t>
      </w:r>
      <w:r w:rsidRPr="00540D6C">
        <w:rPr>
          <w:rFonts w:cs="Times New Roman"/>
          <w:i/>
          <w:szCs w:val="24"/>
        </w:rPr>
        <w:t>et al</w:t>
      </w:r>
      <w:r w:rsidR="00B77CE9">
        <w:rPr>
          <w:rFonts w:cs="Times New Roman"/>
          <w:szCs w:val="24"/>
        </w:rPr>
        <w:t>., 2025</w:t>
      </w:r>
      <w:r w:rsidRPr="00540D6C">
        <w:rPr>
          <w:rFonts w:cs="Times New Roman"/>
          <w:szCs w:val="24"/>
        </w:rPr>
        <w:t xml:space="preserve">) and  the methods adopted was through (Usman </w:t>
      </w:r>
      <w:r w:rsidRPr="00540D6C">
        <w:rPr>
          <w:rFonts w:cs="Times New Roman"/>
          <w:i/>
          <w:szCs w:val="24"/>
        </w:rPr>
        <w:t>et al</w:t>
      </w:r>
      <w:r w:rsidRPr="00540D6C">
        <w:rPr>
          <w:rFonts w:cs="Times New Roman"/>
          <w:szCs w:val="24"/>
        </w:rPr>
        <w:t xml:space="preserve">., 2020) which are mention below. </w:t>
      </w:r>
    </w:p>
    <w:p w:rsidR="004342D1" w:rsidRPr="00540D6C" w:rsidRDefault="004342D1" w:rsidP="004342D1">
      <w:pPr>
        <w:spacing w:after="0"/>
        <w:jc w:val="both"/>
        <w:rPr>
          <w:rFonts w:cs="Times New Roman"/>
          <w:szCs w:val="24"/>
        </w:rPr>
      </w:pPr>
    </w:p>
    <w:p w:rsidR="004342D1" w:rsidRPr="00540D6C" w:rsidRDefault="004342D1" w:rsidP="004342D1">
      <w:pPr>
        <w:spacing w:after="0"/>
        <w:jc w:val="both"/>
        <w:rPr>
          <w:rFonts w:cs="Times New Roman"/>
          <w:b/>
          <w:szCs w:val="24"/>
        </w:rPr>
      </w:pPr>
      <w:r w:rsidRPr="00540D6C">
        <w:rPr>
          <w:rFonts w:cs="Times New Roman"/>
          <w:b/>
          <w:szCs w:val="24"/>
        </w:rPr>
        <w:t>Ingestion</w:t>
      </w:r>
    </w:p>
    <w:p w:rsidR="004342D1" w:rsidRPr="00540D6C" w:rsidRDefault="004342D1" w:rsidP="004342D1">
      <w:pPr>
        <w:spacing w:after="0"/>
        <w:jc w:val="both"/>
        <w:rPr>
          <w:rFonts w:cs="Times New Roman"/>
          <w:szCs w:val="24"/>
        </w:rPr>
      </w:pPr>
      <w:proofErr w:type="spellStart"/>
      <w:r w:rsidRPr="00540D6C">
        <w:rPr>
          <w:rFonts w:cs="Times New Roman"/>
          <w:szCs w:val="24"/>
        </w:rPr>
        <w:t>AD</w:t>
      </w:r>
      <w:r w:rsidRPr="00540D6C">
        <w:rPr>
          <w:rFonts w:cs="Times New Roman"/>
          <w:szCs w:val="24"/>
          <w:vertAlign w:val="subscript"/>
        </w:rPr>
        <w:t>ing</w:t>
      </w:r>
      <w:proofErr w:type="spellEnd"/>
      <w:r w:rsidRPr="00540D6C">
        <w:rPr>
          <w:rFonts w:cs="Times New Roman"/>
          <w:szCs w:val="24"/>
        </w:rPr>
        <w:t xml:space="preserve"> (mg/kg</w:t>
      </w:r>
      <w:r w:rsidRPr="00540D6C">
        <w:rPr>
          <w:rFonts w:cs="Times New Roman"/>
          <w:szCs w:val="24"/>
          <w:vertAlign w:val="superscript"/>
        </w:rPr>
        <w:t>-1</w:t>
      </w:r>
      <w:r w:rsidRPr="00540D6C">
        <w:rPr>
          <w:rFonts w:cs="Times New Roman"/>
          <w:szCs w:val="24"/>
        </w:rPr>
        <w:t xml:space="preserve"> day</w:t>
      </w:r>
      <w:r w:rsidRPr="00540D6C">
        <w:rPr>
          <w:rFonts w:cs="Times New Roman"/>
          <w:szCs w:val="24"/>
          <w:vertAlign w:val="superscript"/>
        </w:rPr>
        <w:t>-1</w:t>
      </w:r>
      <w:r w:rsidRPr="00540D6C">
        <w:rPr>
          <w:rFonts w:cs="Times New Roman"/>
          <w:szCs w:val="24"/>
        </w:rPr>
        <w:t xml:space="preserve">) =  </w:t>
      </w:r>
      <w:r w:rsidRPr="00540D6C">
        <w:rPr>
          <w:rFonts w:cs="Times New Roman"/>
          <w:noProof/>
          <w:szCs w:val="24"/>
        </w:rPr>
        <w:drawing>
          <wp:inline distT="0" distB="0" distL="0" distR="0" wp14:anchorId="5D0DDEBB" wp14:editId="78268DDD">
            <wp:extent cx="2178685" cy="492759"/>
            <wp:effectExtent l="0" t="0" r="0" b="2540"/>
            <wp:docPr id="1026"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8" cstate="print"/>
                    <a:srcRect/>
                    <a:stretch/>
                  </pic:blipFill>
                  <pic:spPr>
                    <a:xfrm>
                      <a:off x="0" y="0"/>
                      <a:ext cx="2178685" cy="492759"/>
                    </a:xfrm>
                    <a:prstGeom prst="rect">
                      <a:avLst/>
                    </a:prstGeom>
                    <a:ln>
                      <a:noFill/>
                    </a:ln>
                  </pic:spPr>
                </pic:pic>
              </a:graphicData>
            </a:graphic>
          </wp:inline>
        </w:drawing>
      </w:r>
      <w:r w:rsidRPr="00540D6C">
        <w:rPr>
          <w:rFonts w:cs="Times New Roman"/>
          <w:szCs w:val="24"/>
        </w:rPr>
        <w:t xml:space="preserve">  (Usman </w:t>
      </w:r>
      <w:r w:rsidRPr="00540D6C">
        <w:rPr>
          <w:rFonts w:cs="Times New Roman"/>
          <w:i/>
          <w:szCs w:val="24"/>
        </w:rPr>
        <w:t>et al</w:t>
      </w:r>
      <w:r w:rsidRPr="00540D6C">
        <w:rPr>
          <w:rFonts w:cs="Times New Roman"/>
          <w:szCs w:val="24"/>
        </w:rPr>
        <w:t>., 2020)</w:t>
      </w:r>
    </w:p>
    <w:p w:rsidR="004342D1" w:rsidRPr="00540D6C" w:rsidRDefault="004342D1" w:rsidP="004342D1">
      <w:pPr>
        <w:spacing w:after="0"/>
        <w:jc w:val="both"/>
        <w:rPr>
          <w:rFonts w:cs="Times New Roman"/>
          <w:b/>
          <w:szCs w:val="24"/>
        </w:rPr>
      </w:pPr>
      <w:r w:rsidRPr="00540D6C">
        <w:rPr>
          <w:rFonts w:cs="Times New Roman"/>
          <w:b/>
          <w:szCs w:val="24"/>
        </w:rPr>
        <w:t>Inhalation</w:t>
      </w:r>
    </w:p>
    <w:p w:rsidR="004342D1" w:rsidRPr="00540D6C" w:rsidRDefault="004342D1" w:rsidP="004342D1">
      <w:pPr>
        <w:spacing w:after="0"/>
        <w:jc w:val="both"/>
        <w:rPr>
          <w:rFonts w:cs="Times New Roman"/>
          <w:szCs w:val="24"/>
        </w:rPr>
      </w:pPr>
      <w:proofErr w:type="spellStart"/>
      <w:r w:rsidRPr="00540D6C">
        <w:rPr>
          <w:rFonts w:cs="Times New Roman"/>
          <w:szCs w:val="24"/>
        </w:rPr>
        <w:t>AD</w:t>
      </w:r>
      <w:r w:rsidRPr="00540D6C">
        <w:rPr>
          <w:rFonts w:cs="Times New Roman"/>
          <w:szCs w:val="24"/>
          <w:vertAlign w:val="subscript"/>
        </w:rPr>
        <w:t>inh</w:t>
      </w:r>
      <w:proofErr w:type="spellEnd"/>
      <w:r w:rsidRPr="00540D6C">
        <w:rPr>
          <w:rFonts w:cs="Times New Roman"/>
          <w:szCs w:val="24"/>
        </w:rPr>
        <w:t xml:space="preserve"> (mg/kg</w:t>
      </w:r>
      <w:r w:rsidRPr="00540D6C">
        <w:rPr>
          <w:rFonts w:cs="Times New Roman"/>
          <w:szCs w:val="24"/>
          <w:vertAlign w:val="superscript"/>
        </w:rPr>
        <w:t>-1</w:t>
      </w:r>
      <w:r w:rsidRPr="00540D6C">
        <w:rPr>
          <w:rFonts w:cs="Times New Roman"/>
          <w:szCs w:val="24"/>
        </w:rPr>
        <w:t xml:space="preserve"> day</w:t>
      </w:r>
      <w:r w:rsidRPr="00540D6C">
        <w:rPr>
          <w:rFonts w:cs="Times New Roman"/>
          <w:szCs w:val="24"/>
          <w:vertAlign w:val="superscript"/>
        </w:rPr>
        <w:t>-1</w:t>
      </w:r>
      <w:r w:rsidRPr="00540D6C">
        <w:rPr>
          <w:rFonts w:cs="Times New Roman"/>
          <w:szCs w:val="24"/>
        </w:rPr>
        <w:t xml:space="preserve">) =  </w:t>
      </w:r>
      <w:r w:rsidRPr="00540D6C">
        <w:rPr>
          <w:rFonts w:cs="Times New Roman"/>
          <w:noProof/>
          <w:szCs w:val="24"/>
        </w:rPr>
        <w:drawing>
          <wp:inline distT="0" distB="0" distL="0" distR="0" wp14:anchorId="7A1D40A2" wp14:editId="4F456FAD">
            <wp:extent cx="1892300" cy="492759"/>
            <wp:effectExtent l="0" t="0" r="0" b="2540"/>
            <wp:docPr id="1027"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4"/>
                    <pic:cNvPicPr/>
                  </pic:nvPicPr>
                  <pic:blipFill>
                    <a:blip r:embed="rId9" cstate="print"/>
                    <a:srcRect/>
                    <a:stretch/>
                  </pic:blipFill>
                  <pic:spPr>
                    <a:xfrm>
                      <a:off x="0" y="0"/>
                      <a:ext cx="1892300" cy="492759"/>
                    </a:xfrm>
                    <a:prstGeom prst="rect">
                      <a:avLst/>
                    </a:prstGeom>
                    <a:ln>
                      <a:noFill/>
                    </a:ln>
                  </pic:spPr>
                </pic:pic>
              </a:graphicData>
            </a:graphic>
          </wp:inline>
        </w:drawing>
      </w:r>
      <w:r w:rsidR="006809E9">
        <w:rPr>
          <w:rFonts w:cs="Times New Roman"/>
          <w:szCs w:val="24"/>
        </w:rPr>
        <w:t xml:space="preserve"> </w:t>
      </w:r>
    </w:p>
    <w:p w:rsidR="004342D1" w:rsidRPr="00540D6C" w:rsidRDefault="006809E9" w:rsidP="004342D1">
      <w:pPr>
        <w:spacing w:after="0"/>
        <w:jc w:val="both"/>
        <w:rPr>
          <w:rFonts w:cs="Times New Roman"/>
          <w:b/>
          <w:szCs w:val="24"/>
        </w:rPr>
      </w:pPr>
      <w:r>
        <w:rPr>
          <w:rFonts w:cs="Times New Roman"/>
          <w:szCs w:val="24"/>
        </w:rPr>
        <w:t xml:space="preserve">                                                                                </w:t>
      </w:r>
      <w:r w:rsidRPr="00540D6C">
        <w:rPr>
          <w:rFonts w:cs="Times New Roman"/>
          <w:szCs w:val="24"/>
        </w:rPr>
        <w:t xml:space="preserve">(Usman </w:t>
      </w:r>
      <w:r w:rsidRPr="00540D6C">
        <w:rPr>
          <w:rFonts w:cs="Times New Roman"/>
          <w:i/>
          <w:szCs w:val="24"/>
        </w:rPr>
        <w:t>et al</w:t>
      </w:r>
      <w:r w:rsidRPr="00540D6C">
        <w:rPr>
          <w:rFonts w:cs="Times New Roman"/>
          <w:szCs w:val="24"/>
        </w:rPr>
        <w:t>., 2020)</w:t>
      </w:r>
      <w:r>
        <w:rPr>
          <w:rFonts w:cs="Times New Roman"/>
          <w:szCs w:val="24"/>
        </w:rPr>
        <w:t>(</w:t>
      </w:r>
      <w:proofErr w:type="spellStart"/>
      <w:r>
        <w:rPr>
          <w:rFonts w:cs="Times New Roman"/>
          <w:szCs w:val="24"/>
        </w:rPr>
        <w:t>Saheh</w:t>
      </w:r>
      <w:proofErr w:type="spellEnd"/>
      <w:r>
        <w:rPr>
          <w:rFonts w:cs="Times New Roman"/>
          <w:szCs w:val="24"/>
        </w:rPr>
        <w:t xml:space="preserve"> </w:t>
      </w:r>
      <w:r w:rsidRPr="006809E9">
        <w:rPr>
          <w:rFonts w:cs="Times New Roman"/>
          <w:i/>
          <w:szCs w:val="24"/>
        </w:rPr>
        <w:t>et al</w:t>
      </w:r>
      <w:r>
        <w:rPr>
          <w:rFonts w:cs="Times New Roman"/>
          <w:szCs w:val="24"/>
        </w:rPr>
        <w:t>., 2025)</w:t>
      </w:r>
    </w:p>
    <w:p w:rsidR="004342D1" w:rsidRPr="00540D6C" w:rsidRDefault="004342D1" w:rsidP="004342D1">
      <w:pPr>
        <w:spacing w:after="0"/>
        <w:jc w:val="both"/>
        <w:rPr>
          <w:rFonts w:cs="Times New Roman"/>
          <w:b/>
          <w:szCs w:val="24"/>
        </w:rPr>
      </w:pPr>
      <w:r w:rsidRPr="00540D6C">
        <w:rPr>
          <w:rFonts w:cs="Times New Roman"/>
          <w:b/>
          <w:szCs w:val="24"/>
        </w:rPr>
        <w:t>Dermal</w:t>
      </w:r>
    </w:p>
    <w:p w:rsidR="004342D1" w:rsidRPr="00540D6C" w:rsidRDefault="004342D1" w:rsidP="004342D1">
      <w:pPr>
        <w:spacing w:after="0"/>
        <w:jc w:val="both"/>
        <w:rPr>
          <w:rFonts w:cs="Times New Roman"/>
          <w:szCs w:val="24"/>
        </w:rPr>
      </w:pPr>
      <w:proofErr w:type="spellStart"/>
      <w:r w:rsidRPr="00540D6C">
        <w:rPr>
          <w:rFonts w:cs="Times New Roman"/>
          <w:szCs w:val="24"/>
        </w:rPr>
        <w:t>AD</w:t>
      </w:r>
      <w:r w:rsidRPr="00540D6C">
        <w:rPr>
          <w:rFonts w:cs="Times New Roman"/>
          <w:szCs w:val="24"/>
          <w:vertAlign w:val="subscript"/>
        </w:rPr>
        <w:t>der</w:t>
      </w:r>
      <w:proofErr w:type="spellEnd"/>
      <w:r w:rsidRPr="00540D6C">
        <w:rPr>
          <w:rFonts w:cs="Times New Roman"/>
          <w:szCs w:val="24"/>
        </w:rPr>
        <w:t xml:space="preserve"> (mg/kg</w:t>
      </w:r>
      <w:r w:rsidRPr="00540D6C">
        <w:rPr>
          <w:rFonts w:cs="Times New Roman"/>
          <w:szCs w:val="24"/>
          <w:vertAlign w:val="superscript"/>
        </w:rPr>
        <w:t>-1</w:t>
      </w:r>
      <w:r w:rsidRPr="00540D6C">
        <w:rPr>
          <w:rFonts w:cs="Times New Roman"/>
          <w:szCs w:val="24"/>
        </w:rPr>
        <w:t xml:space="preserve"> day</w:t>
      </w:r>
      <w:r w:rsidRPr="00540D6C">
        <w:rPr>
          <w:rFonts w:cs="Times New Roman"/>
          <w:szCs w:val="24"/>
          <w:vertAlign w:val="superscript"/>
        </w:rPr>
        <w:t>-1</w:t>
      </w:r>
      <w:r w:rsidRPr="00540D6C">
        <w:rPr>
          <w:rFonts w:cs="Times New Roman"/>
          <w:szCs w:val="24"/>
        </w:rPr>
        <w:t xml:space="preserve">) =  </w:t>
      </w:r>
      <w:r w:rsidRPr="00540D6C">
        <w:rPr>
          <w:rFonts w:cs="Times New Roman"/>
          <w:noProof/>
          <w:szCs w:val="24"/>
        </w:rPr>
        <w:drawing>
          <wp:inline distT="0" distB="0" distL="0" distR="0" wp14:anchorId="35DA1E2F" wp14:editId="0BC4BEDA">
            <wp:extent cx="2465070" cy="492759"/>
            <wp:effectExtent l="0" t="0" r="0" b="2540"/>
            <wp:docPr id="102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3"/>
                    <pic:cNvPicPr/>
                  </pic:nvPicPr>
                  <pic:blipFill>
                    <a:blip r:embed="rId10" cstate="print"/>
                    <a:srcRect/>
                    <a:stretch/>
                  </pic:blipFill>
                  <pic:spPr>
                    <a:xfrm>
                      <a:off x="0" y="0"/>
                      <a:ext cx="2465070" cy="492759"/>
                    </a:xfrm>
                    <a:prstGeom prst="rect">
                      <a:avLst/>
                    </a:prstGeom>
                    <a:ln>
                      <a:noFill/>
                    </a:ln>
                  </pic:spPr>
                </pic:pic>
              </a:graphicData>
            </a:graphic>
          </wp:inline>
        </w:drawing>
      </w:r>
      <w:r w:rsidRPr="00540D6C">
        <w:rPr>
          <w:rFonts w:cs="Times New Roman"/>
          <w:szCs w:val="24"/>
        </w:rPr>
        <w:t xml:space="preserve">   (Usman </w:t>
      </w:r>
      <w:r w:rsidRPr="00540D6C">
        <w:rPr>
          <w:rFonts w:cs="Times New Roman"/>
          <w:i/>
          <w:szCs w:val="24"/>
        </w:rPr>
        <w:t>et al</w:t>
      </w:r>
      <w:r w:rsidRPr="00540D6C">
        <w:rPr>
          <w:rFonts w:cs="Times New Roman"/>
          <w:szCs w:val="24"/>
        </w:rPr>
        <w:t>., 2020)</w:t>
      </w:r>
    </w:p>
    <w:p w:rsidR="004342D1" w:rsidRPr="00540D6C" w:rsidRDefault="004342D1" w:rsidP="004342D1">
      <w:pPr>
        <w:spacing w:after="0"/>
        <w:jc w:val="both"/>
        <w:rPr>
          <w:rFonts w:cs="Times New Roman"/>
          <w:szCs w:val="24"/>
        </w:rPr>
      </w:pPr>
      <w:r w:rsidRPr="00540D6C">
        <w:rPr>
          <w:rFonts w:cs="Times New Roman"/>
          <w:szCs w:val="24"/>
        </w:rPr>
        <w:t>Where AD (mg/kg</w:t>
      </w:r>
      <w:r w:rsidRPr="00540D6C">
        <w:rPr>
          <w:rFonts w:cs="Times New Roman"/>
          <w:szCs w:val="24"/>
          <w:vertAlign w:val="superscript"/>
        </w:rPr>
        <w:t>-1</w:t>
      </w:r>
      <w:r w:rsidRPr="00540D6C">
        <w:rPr>
          <w:rFonts w:cs="Times New Roman"/>
          <w:szCs w:val="24"/>
        </w:rPr>
        <w:t xml:space="preserve"> day</w:t>
      </w:r>
      <w:r w:rsidRPr="00540D6C">
        <w:rPr>
          <w:rFonts w:cs="Times New Roman"/>
          <w:szCs w:val="24"/>
          <w:vertAlign w:val="superscript"/>
        </w:rPr>
        <w:t>-1</w:t>
      </w:r>
      <w:r w:rsidRPr="00540D6C">
        <w:rPr>
          <w:rFonts w:cs="Times New Roman"/>
          <w:szCs w:val="24"/>
        </w:rPr>
        <w:t>) is the absorbed dose of exposure to through ingestion (</w:t>
      </w:r>
      <w:proofErr w:type="spellStart"/>
      <w:r w:rsidRPr="00540D6C">
        <w:rPr>
          <w:rFonts w:cs="Times New Roman"/>
          <w:szCs w:val="24"/>
        </w:rPr>
        <w:t>AD</w:t>
      </w:r>
      <w:r w:rsidRPr="00540D6C">
        <w:rPr>
          <w:rFonts w:cs="Times New Roman"/>
          <w:szCs w:val="24"/>
          <w:vertAlign w:val="subscript"/>
        </w:rPr>
        <w:t>ing</w:t>
      </w:r>
      <w:proofErr w:type="spellEnd"/>
      <w:r w:rsidRPr="00540D6C">
        <w:rPr>
          <w:rFonts w:cs="Times New Roman"/>
          <w:szCs w:val="24"/>
        </w:rPr>
        <w:t>), inhalation (</w:t>
      </w:r>
      <w:proofErr w:type="spellStart"/>
      <w:r w:rsidRPr="00540D6C">
        <w:rPr>
          <w:rFonts w:cs="Times New Roman"/>
          <w:szCs w:val="24"/>
        </w:rPr>
        <w:t>AD</w:t>
      </w:r>
      <w:r w:rsidRPr="00540D6C">
        <w:rPr>
          <w:rFonts w:cs="Times New Roman"/>
          <w:szCs w:val="24"/>
          <w:vertAlign w:val="subscript"/>
        </w:rPr>
        <w:t>inh</w:t>
      </w:r>
      <w:proofErr w:type="spellEnd"/>
      <w:r w:rsidRPr="00540D6C">
        <w:rPr>
          <w:rFonts w:cs="Times New Roman"/>
          <w:szCs w:val="24"/>
        </w:rPr>
        <w:t>), and dermal contact (</w:t>
      </w:r>
      <w:proofErr w:type="spellStart"/>
      <w:r w:rsidRPr="00540D6C">
        <w:rPr>
          <w:rFonts w:cs="Times New Roman"/>
          <w:szCs w:val="24"/>
        </w:rPr>
        <w:t>AD</w:t>
      </w:r>
      <w:r w:rsidRPr="00540D6C">
        <w:rPr>
          <w:rFonts w:cs="Times New Roman"/>
          <w:szCs w:val="24"/>
          <w:vertAlign w:val="subscript"/>
        </w:rPr>
        <w:t>der</w:t>
      </w:r>
      <w:proofErr w:type="spellEnd"/>
      <w:r w:rsidRPr="00540D6C">
        <w:rPr>
          <w:rFonts w:cs="Times New Roman"/>
          <w:szCs w:val="24"/>
        </w:rPr>
        <w:t>)</w:t>
      </w:r>
    </w:p>
    <w:p w:rsidR="004342D1" w:rsidRPr="00540D6C" w:rsidRDefault="004342D1" w:rsidP="004342D1">
      <w:pPr>
        <w:spacing w:after="0"/>
        <w:jc w:val="both"/>
        <w:rPr>
          <w:rFonts w:cs="Times New Roman"/>
          <w:szCs w:val="24"/>
        </w:rPr>
      </w:pPr>
      <w:r w:rsidRPr="00540D6C">
        <w:rPr>
          <w:rFonts w:cs="Times New Roman"/>
          <w:szCs w:val="24"/>
        </w:rPr>
        <w:t>CS = Chemical concentration in a sample (mg/kg)</w:t>
      </w:r>
    </w:p>
    <w:p w:rsidR="004342D1" w:rsidRPr="00540D6C" w:rsidRDefault="004342D1" w:rsidP="004342D1">
      <w:pPr>
        <w:spacing w:after="0"/>
        <w:jc w:val="both"/>
        <w:rPr>
          <w:rFonts w:cs="Times New Roman"/>
          <w:szCs w:val="24"/>
        </w:rPr>
      </w:pPr>
      <w:r w:rsidRPr="00540D6C">
        <w:rPr>
          <w:rFonts w:cs="Times New Roman"/>
          <w:szCs w:val="24"/>
        </w:rPr>
        <w:t>IR</w:t>
      </w:r>
      <w:r w:rsidRPr="00540D6C">
        <w:rPr>
          <w:rFonts w:cs="Times New Roman"/>
          <w:szCs w:val="24"/>
          <w:vertAlign w:val="subscript"/>
        </w:rPr>
        <w:t xml:space="preserve">ing </w:t>
      </w:r>
      <w:r w:rsidRPr="00540D6C">
        <w:rPr>
          <w:rFonts w:cs="Times New Roman"/>
          <w:szCs w:val="24"/>
        </w:rPr>
        <w:t>= Ingestion rate (mg soil/day): 100 mg/day</w:t>
      </w:r>
      <w:r w:rsidRPr="00540D6C">
        <w:rPr>
          <w:rFonts w:cs="Times New Roman"/>
          <w:szCs w:val="24"/>
          <w:vertAlign w:val="subscript"/>
        </w:rPr>
        <w:t xml:space="preserve"> </w:t>
      </w:r>
    </w:p>
    <w:p w:rsidR="004342D1" w:rsidRPr="00540D6C" w:rsidRDefault="004342D1" w:rsidP="004342D1">
      <w:pPr>
        <w:spacing w:after="0"/>
        <w:jc w:val="both"/>
        <w:rPr>
          <w:rFonts w:cs="Times New Roman"/>
          <w:szCs w:val="24"/>
        </w:rPr>
      </w:pPr>
      <w:r w:rsidRPr="00540D6C">
        <w:rPr>
          <w:rFonts w:cs="Times New Roman"/>
          <w:szCs w:val="24"/>
        </w:rPr>
        <w:t>FI = Fraction ingestion from contaminated source: 1 a</w:t>
      </w:r>
      <w:r w:rsidR="00067A17">
        <w:rPr>
          <w:rFonts w:cs="Times New Roman"/>
          <w:szCs w:val="24"/>
        </w:rPr>
        <w:t xml:space="preserve">t reasonable maximum exposure </w:t>
      </w:r>
    </w:p>
    <w:p w:rsidR="004342D1" w:rsidRPr="00540D6C" w:rsidRDefault="004342D1" w:rsidP="004342D1">
      <w:pPr>
        <w:spacing w:after="0"/>
        <w:jc w:val="both"/>
        <w:rPr>
          <w:rFonts w:cs="Times New Roman"/>
          <w:szCs w:val="24"/>
        </w:rPr>
      </w:pPr>
      <w:r w:rsidRPr="00540D6C">
        <w:rPr>
          <w:rFonts w:cs="Times New Roman"/>
          <w:szCs w:val="24"/>
        </w:rPr>
        <w:t xml:space="preserve">EF: Exposure frequency: 350 days </w:t>
      </w:r>
      <w:r w:rsidR="00067A17">
        <w:rPr>
          <w:rFonts w:cs="Times New Roman"/>
          <w:szCs w:val="24"/>
        </w:rPr>
        <w:t xml:space="preserve">for non- carcinogenic effect </w:t>
      </w:r>
    </w:p>
    <w:p w:rsidR="004342D1" w:rsidRPr="00540D6C" w:rsidRDefault="004342D1" w:rsidP="004342D1">
      <w:pPr>
        <w:spacing w:after="0"/>
        <w:jc w:val="both"/>
        <w:rPr>
          <w:rFonts w:cs="Times New Roman"/>
          <w:szCs w:val="24"/>
        </w:rPr>
      </w:pPr>
      <w:r w:rsidRPr="00540D6C">
        <w:rPr>
          <w:rFonts w:cs="Times New Roman"/>
          <w:szCs w:val="24"/>
        </w:rPr>
        <w:t>SA= Exposure skin area: 5700cm</w:t>
      </w:r>
      <w:r w:rsidRPr="00540D6C">
        <w:rPr>
          <w:rFonts w:cs="Times New Roman"/>
          <w:szCs w:val="24"/>
          <w:vertAlign w:val="superscript"/>
        </w:rPr>
        <w:t xml:space="preserve">3 </w:t>
      </w:r>
    </w:p>
    <w:p w:rsidR="004342D1" w:rsidRPr="00540D6C" w:rsidRDefault="004342D1" w:rsidP="004342D1">
      <w:pPr>
        <w:spacing w:after="0"/>
        <w:jc w:val="both"/>
        <w:rPr>
          <w:rFonts w:cs="Times New Roman"/>
          <w:szCs w:val="24"/>
        </w:rPr>
      </w:pPr>
      <w:r w:rsidRPr="00540D6C">
        <w:rPr>
          <w:rFonts w:cs="Times New Roman"/>
          <w:szCs w:val="24"/>
        </w:rPr>
        <w:t>AF: Soil to skin adherence factor (mg/cm</w:t>
      </w:r>
      <w:r w:rsidRPr="00540D6C">
        <w:rPr>
          <w:rFonts w:cs="Times New Roman"/>
          <w:szCs w:val="24"/>
          <w:vertAlign w:val="superscript"/>
        </w:rPr>
        <w:t>3</w:t>
      </w:r>
      <w:r w:rsidRPr="00540D6C">
        <w:rPr>
          <w:rFonts w:cs="Times New Roman"/>
          <w:szCs w:val="24"/>
        </w:rPr>
        <w:t>)0.07 mg/cm</w:t>
      </w:r>
      <w:r w:rsidR="00067A17">
        <w:rPr>
          <w:rFonts w:cs="Times New Roman"/>
          <w:szCs w:val="24"/>
          <w:vertAlign w:val="superscript"/>
        </w:rPr>
        <w:t>3</w:t>
      </w:r>
      <w:r w:rsidR="00067A17">
        <w:rPr>
          <w:rFonts w:cs="Times New Roman"/>
          <w:szCs w:val="24"/>
        </w:rPr>
        <w:t xml:space="preserve"> </w:t>
      </w:r>
    </w:p>
    <w:p w:rsidR="004342D1" w:rsidRPr="00540D6C" w:rsidRDefault="004342D1" w:rsidP="004342D1">
      <w:pPr>
        <w:spacing w:after="0"/>
        <w:jc w:val="both"/>
        <w:rPr>
          <w:rFonts w:cs="Times New Roman"/>
          <w:szCs w:val="24"/>
        </w:rPr>
      </w:pPr>
      <w:r w:rsidRPr="00540D6C">
        <w:rPr>
          <w:rFonts w:cs="Times New Roman"/>
          <w:szCs w:val="24"/>
        </w:rPr>
        <w:t>ABS: Absorption factor (mg/cm</w:t>
      </w:r>
      <w:r w:rsidRPr="00540D6C">
        <w:rPr>
          <w:rFonts w:cs="Times New Roman"/>
          <w:szCs w:val="24"/>
          <w:vertAlign w:val="superscript"/>
        </w:rPr>
        <w:t>3</w:t>
      </w:r>
      <w:r w:rsidRPr="00540D6C">
        <w:rPr>
          <w:rFonts w:cs="Times New Roman"/>
          <w:szCs w:val="24"/>
        </w:rPr>
        <w:t>)0.03</w:t>
      </w:r>
      <w:r w:rsidR="00067A17">
        <w:rPr>
          <w:rFonts w:cs="Times New Roman"/>
          <w:szCs w:val="24"/>
        </w:rPr>
        <w:t xml:space="preserve">(As) 1 </w:t>
      </w:r>
    </w:p>
    <w:p w:rsidR="004342D1" w:rsidRPr="00540D6C" w:rsidRDefault="004342D1" w:rsidP="004342D1">
      <w:pPr>
        <w:spacing w:after="0"/>
        <w:jc w:val="both"/>
        <w:rPr>
          <w:rFonts w:cs="Times New Roman"/>
          <w:szCs w:val="24"/>
        </w:rPr>
      </w:pPr>
      <w:r w:rsidRPr="00540D6C">
        <w:rPr>
          <w:rFonts w:cs="Times New Roman"/>
          <w:szCs w:val="24"/>
        </w:rPr>
        <w:t xml:space="preserve">BW: Body weight in (Kg); 70kg for adult average </w:t>
      </w:r>
    </w:p>
    <w:p w:rsidR="004342D1" w:rsidRPr="00540D6C" w:rsidRDefault="004342D1" w:rsidP="004342D1">
      <w:pPr>
        <w:spacing w:after="0"/>
        <w:jc w:val="both"/>
        <w:rPr>
          <w:rFonts w:cs="Times New Roman"/>
          <w:szCs w:val="24"/>
        </w:rPr>
      </w:pPr>
      <w:r w:rsidRPr="00540D6C">
        <w:rPr>
          <w:rFonts w:cs="Times New Roman"/>
          <w:szCs w:val="24"/>
        </w:rPr>
        <w:t>PEF: Particle Emission factor: 1.36 x 10</w:t>
      </w:r>
      <w:r w:rsidRPr="00540D6C">
        <w:rPr>
          <w:rFonts w:cs="Times New Roman"/>
          <w:szCs w:val="24"/>
          <w:vertAlign w:val="superscript"/>
        </w:rPr>
        <w:t xml:space="preserve">9 </w:t>
      </w:r>
      <w:r w:rsidRPr="00540D6C">
        <w:rPr>
          <w:rFonts w:cs="Times New Roman"/>
          <w:szCs w:val="24"/>
        </w:rPr>
        <w:t>m</w:t>
      </w:r>
      <w:r w:rsidRPr="00540D6C">
        <w:rPr>
          <w:rFonts w:cs="Times New Roman"/>
          <w:szCs w:val="24"/>
          <w:vertAlign w:val="superscript"/>
        </w:rPr>
        <w:t>3</w:t>
      </w:r>
      <w:r w:rsidRPr="00540D6C">
        <w:rPr>
          <w:rFonts w:cs="Times New Roman"/>
          <w:szCs w:val="24"/>
        </w:rPr>
        <w:t>.kg</w:t>
      </w:r>
      <w:r w:rsidRPr="00540D6C">
        <w:rPr>
          <w:rFonts w:cs="Times New Roman"/>
          <w:szCs w:val="24"/>
          <w:vertAlign w:val="superscript"/>
        </w:rPr>
        <w:t xml:space="preserve">-1 </w:t>
      </w:r>
    </w:p>
    <w:p w:rsidR="004342D1" w:rsidRPr="00540D6C" w:rsidRDefault="004342D1" w:rsidP="004342D1">
      <w:pPr>
        <w:spacing w:after="0"/>
        <w:jc w:val="both"/>
        <w:rPr>
          <w:rFonts w:cs="Times New Roman"/>
          <w:szCs w:val="24"/>
        </w:rPr>
      </w:pPr>
      <w:r w:rsidRPr="00540D6C">
        <w:rPr>
          <w:rFonts w:cs="Times New Roman"/>
          <w:szCs w:val="24"/>
        </w:rPr>
        <w:t xml:space="preserve">AT: Average. 365 x ED for non-carcinogenic effect and 365 x 70 for carcinogenic effect     </w:t>
      </w:r>
    </w:p>
    <w:p w:rsidR="004342D1" w:rsidRPr="00540D6C" w:rsidRDefault="004342D1" w:rsidP="004342D1">
      <w:pPr>
        <w:spacing w:after="0"/>
        <w:jc w:val="both"/>
        <w:rPr>
          <w:rFonts w:cs="Times New Roman"/>
          <w:b/>
          <w:szCs w:val="24"/>
        </w:rPr>
      </w:pPr>
      <w:r w:rsidRPr="00540D6C">
        <w:rPr>
          <w:rFonts w:cs="Times New Roman"/>
          <w:szCs w:val="24"/>
        </w:rPr>
        <w:lastRenderedPageBreak/>
        <w:t xml:space="preserve"> CF: conversion factor (10</w:t>
      </w:r>
      <w:r w:rsidRPr="00540D6C">
        <w:rPr>
          <w:rFonts w:cs="Times New Roman"/>
          <w:szCs w:val="24"/>
          <w:vertAlign w:val="superscript"/>
        </w:rPr>
        <w:t>-6</w:t>
      </w:r>
      <w:r w:rsidRPr="00540D6C">
        <w:rPr>
          <w:rFonts w:cs="Times New Roman"/>
          <w:szCs w:val="24"/>
        </w:rPr>
        <w:t>)    (USE</w:t>
      </w:r>
      <w:r w:rsidR="004B7C75">
        <w:rPr>
          <w:rFonts w:cs="Times New Roman"/>
          <w:szCs w:val="24"/>
        </w:rPr>
        <w:t>PA, 2011) and (</w:t>
      </w:r>
      <w:proofErr w:type="spellStart"/>
      <w:r w:rsidR="004B7C75">
        <w:rPr>
          <w:rFonts w:cs="Times New Roman"/>
          <w:szCs w:val="24"/>
        </w:rPr>
        <w:t>Saheh</w:t>
      </w:r>
      <w:proofErr w:type="spellEnd"/>
      <w:r w:rsidRPr="00540D6C">
        <w:rPr>
          <w:rFonts w:cs="Times New Roman"/>
          <w:szCs w:val="24"/>
        </w:rPr>
        <w:t xml:space="preserve"> </w:t>
      </w:r>
      <w:r w:rsidRPr="00540D6C">
        <w:rPr>
          <w:rFonts w:cs="Times New Roman"/>
          <w:i/>
          <w:szCs w:val="24"/>
        </w:rPr>
        <w:t>et al</w:t>
      </w:r>
      <w:r w:rsidR="004B7C75">
        <w:rPr>
          <w:rFonts w:cs="Times New Roman"/>
          <w:szCs w:val="24"/>
        </w:rPr>
        <w:t>., 2025</w:t>
      </w:r>
      <w:r w:rsidRPr="00540D6C">
        <w:rPr>
          <w:rFonts w:cs="Times New Roman"/>
          <w:b/>
          <w:szCs w:val="24"/>
        </w:rPr>
        <w:t>)</w:t>
      </w:r>
    </w:p>
    <w:p w:rsidR="004342D1" w:rsidRPr="00540D6C" w:rsidRDefault="004342D1" w:rsidP="00D7330E">
      <w:pPr>
        <w:jc w:val="both"/>
        <w:rPr>
          <w:rFonts w:cs="Times New Roman"/>
          <w:b/>
          <w:szCs w:val="24"/>
        </w:rPr>
      </w:pPr>
    </w:p>
    <w:p w:rsidR="006036B1" w:rsidRPr="00540D6C" w:rsidRDefault="006036B1" w:rsidP="00A80813">
      <w:pPr>
        <w:jc w:val="both"/>
        <w:rPr>
          <w:rFonts w:cs="Times New Roman"/>
          <w:b/>
          <w:szCs w:val="24"/>
        </w:rPr>
      </w:pPr>
      <w:r w:rsidRPr="00540D6C">
        <w:rPr>
          <w:rFonts w:cs="Times New Roman"/>
          <w:b/>
          <w:szCs w:val="24"/>
        </w:rPr>
        <w:t>Results and Discussions</w:t>
      </w:r>
    </w:p>
    <w:p w:rsidR="006036B1" w:rsidRPr="00540D6C" w:rsidRDefault="007F79EB" w:rsidP="006036B1">
      <w:pPr>
        <w:pStyle w:val="Default"/>
        <w:spacing w:line="360" w:lineRule="auto"/>
        <w:rPr>
          <w:b/>
          <w:bCs/>
        </w:rPr>
      </w:pPr>
      <w:r>
        <w:rPr>
          <w:b/>
          <w:bCs/>
        </w:rPr>
        <w:t xml:space="preserve">3.1 </w:t>
      </w:r>
      <w:r w:rsidR="006036B1" w:rsidRPr="00540D6C">
        <w:rPr>
          <w:b/>
          <w:bCs/>
        </w:rPr>
        <w:t>pH Values of Water Samples</w:t>
      </w:r>
    </w:p>
    <w:p w:rsidR="006036B1" w:rsidRPr="00540D6C" w:rsidRDefault="006036B1" w:rsidP="006036B1">
      <w:pPr>
        <w:pStyle w:val="Default"/>
        <w:spacing w:line="360" w:lineRule="auto"/>
        <w:jc w:val="both"/>
        <w:rPr>
          <w:bCs/>
        </w:rPr>
      </w:pPr>
      <w:r w:rsidRPr="00540D6C">
        <w:rPr>
          <w:bCs/>
        </w:rPr>
        <w:t>The pH Values of the sample wat</w:t>
      </w:r>
      <w:r w:rsidR="00C90E88" w:rsidRPr="00540D6C">
        <w:rPr>
          <w:bCs/>
        </w:rPr>
        <w:t>er was represented on Figure 2</w:t>
      </w:r>
      <w:r w:rsidRPr="00540D6C">
        <w:rPr>
          <w:bCs/>
        </w:rPr>
        <w:t xml:space="preserve"> whereby the sampling area W2 showed the highest mean acidity of 6.86 at varying range of one to four hours of measurements. On the other hand W4 exhibited the highest mean alkalinity value of 7.26. The result obtained showe</w:t>
      </w:r>
      <w:r w:rsidR="0079284B">
        <w:rPr>
          <w:bCs/>
        </w:rPr>
        <w:t xml:space="preserve">d that the acidity values </w:t>
      </w:r>
      <w:r w:rsidR="0079284B" w:rsidRPr="0079284B">
        <w:rPr>
          <w:bCs/>
          <w:color w:val="00B050"/>
        </w:rPr>
        <w:t>change</w:t>
      </w:r>
      <w:r w:rsidRPr="00540D6C">
        <w:rPr>
          <w:bCs/>
        </w:rPr>
        <w:t xml:space="preserve"> in the order of W2= 6.86 &gt; W3 = 7.13 &gt;W1 = 7.24 &gt; W4 = 7.25 respectively. The result obtained was related to the findings of Usman </w:t>
      </w:r>
      <w:r w:rsidRPr="00540D6C">
        <w:rPr>
          <w:bCs/>
          <w:i/>
        </w:rPr>
        <w:t>et al</w:t>
      </w:r>
      <w:r w:rsidRPr="00540D6C">
        <w:rPr>
          <w:bCs/>
        </w:rPr>
        <w:t>., (2020)</w:t>
      </w:r>
      <w:r w:rsidR="00067A17">
        <w:rPr>
          <w:bCs/>
        </w:rPr>
        <w:t xml:space="preserve">, However, the result </w:t>
      </w:r>
      <w:r w:rsidR="00067A17" w:rsidRPr="007C4C33">
        <w:rPr>
          <w:bCs/>
          <w:color w:val="00B050"/>
        </w:rPr>
        <w:t>o</w:t>
      </w:r>
      <w:r w:rsidR="007C4C33" w:rsidRPr="007C4C33">
        <w:rPr>
          <w:bCs/>
          <w:color w:val="00B050"/>
        </w:rPr>
        <w:t>b</w:t>
      </w:r>
      <w:r w:rsidR="00067A17" w:rsidRPr="007C4C33">
        <w:rPr>
          <w:bCs/>
          <w:color w:val="00B050"/>
        </w:rPr>
        <w:t>tain</w:t>
      </w:r>
      <w:r w:rsidR="007C4C33" w:rsidRPr="007C4C33">
        <w:rPr>
          <w:bCs/>
          <w:color w:val="00B050"/>
        </w:rPr>
        <w:t>ed</w:t>
      </w:r>
      <w:r w:rsidR="00067A17">
        <w:rPr>
          <w:bCs/>
        </w:rPr>
        <w:t xml:space="preserve"> was contrary to pH</w:t>
      </w:r>
      <w:r w:rsidR="00DF1791">
        <w:rPr>
          <w:bCs/>
        </w:rPr>
        <w:t xml:space="preserve"> values </w:t>
      </w:r>
      <w:r w:rsidR="00067A17">
        <w:rPr>
          <w:bCs/>
        </w:rPr>
        <w:t>range of 7.3</w:t>
      </w:r>
      <w:r w:rsidR="00DF1791">
        <w:rPr>
          <w:bCs/>
        </w:rPr>
        <w:t>5 to 7.89 in waste water</w:t>
      </w:r>
      <w:r w:rsidR="00067A17">
        <w:rPr>
          <w:bCs/>
        </w:rPr>
        <w:t xml:space="preserve"> as reported by </w:t>
      </w:r>
      <w:proofErr w:type="spellStart"/>
      <w:r w:rsidR="00067A17">
        <w:rPr>
          <w:bCs/>
        </w:rPr>
        <w:t>Saheh</w:t>
      </w:r>
      <w:proofErr w:type="spellEnd"/>
      <w:r w:rsidR="00067A17">
        <w:rPr>
          <w:bCs/>
        </w:rPr>
        <w:t xml:space="preserve"> </w:t>
      </w:r>
      <w:r w:rsidR="00067A17" w:rsidRPr="00DF1791">
        <w:rPr>
          <w:bCs/>
          <w:i/>
        </w:rPr>
        <w:t>et al</w:t>
      </w:r>
      <w:r w:rsidR="00067A17">
        <w:rPr>
          <w:bCs/>
        </w:rPr>
        <w:t>., (2025)</w:t>
      </w:r>
      <w:r w:rsidR="007C4C33">
        <w:rPr>
          <w:bCs/>
        </w:rPr>
        <w:t xml:space="preserve">, Also </w:t>
      </w:r>
      <w:r w:rsidR="000E4BF4">
        <w:rPr>
          <w:bCs/>
        </w:rPr>
        <w:t>the</w:t>
      </w:r>
      <w:r w:rsidR="007C4C33">
        <w:rPr>
          <w:bCs/>
        </w:rPr>
        <w:t xml:space="preserve"> pH of water at Balanga Dam was contrary to the pH water of water range 4.8 5.0 at reported by </w:t>
      </w:r>
      <w:proofErr w:type="spellStart"/>
      <w:r w:rsidR="007C4C33">
        <w:rPr>
          <w:bCs/>
        </w:rPr>
        <w:t>Faleye</w:t>
      </w:r>
      <w:proofErr w:type="spellEnd"/>
      <w:r w:rsidR="007C4C33">
        <w:rPr>
          <w:bCs/>
        </w:rPr>
        <w:t xml:space="preserve"> </w:t>
      </w:r>
      <w:r w:rsidR="007C4C33" w:rsidRPr="000E4BF4">
        <w:rPr>
          <w:bCs/>
          <w:i/>
        </w:rPr>
        <w:t>et al</w:t>
      </w:r>
      <w:r w:rsidR="007C4C33">
        <w:rPr>
          <w:bCs/>
        </w:rPr>
        <w:t>., 2024</w:t>
      </w:r>
    </w:p>
    <w:p w:rsidR="006036B1" w:rsidRPr="00540D6C" w:rsidRDefault="006036B1" w:rsidP="006036B1">
      <w:pPr>
        <w:pStyle w:val="Default"/>
        <w:spacing w:line="360" w:lineRule="auto"/>
        <w:rPr>
          <w:bCs/>
        </w:rPr>
      </w:pPr>
    </w:p>
    <w:p w:rsidR="006036B1" w:rsidRPr="00540D6C" w:rsidRDefault="006036B1" w:rsidP="006036B1">
      <w:pPr>
        <w:pStyle w:val="Default"/>
        <w:spacing w:line="360" w:lineRule="auto"/>
        <w:rPr>
          <w:bCs/>
        </w:rPr>
      </w:pPr>
      <w:r w:rsidRPr="00540D6C">
        <w:rPr>
          <w:noProof/>
        </w:rPr>
        <w:drawing>
          <wp:inline distT="0" distB="0" distL="114300" distR="114300" wp14:anchorId="3FC41A5D" wp14:editId="61344823">
            <wp:extent cx="4572000" cy="2743200"/>
            <wp:effectExtent l="0" t="0" r="0" b="0"/>
            <wp:docPr id="1030"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036B1" w:rsidRPr="00540D6C" w:rsidRDefault="00C90E88" w:rsidP="006036B1">
      <w:pPr>
        <w:pStyle w:val="Default"/>
        <w:spacing w:line="360" w:lineRule="auto"/>
        <w:rPr>
          <w:bCs/>
        </w:rPr>
      </w:pPr>
      <w:r w:rsidRPr="00540D6C">
        <w:rPr>
          <w:bCs/>
        </w:rPr>
        <w:t>Figure 2</w:t>
      </w:r>
      <w:r w:rsidR="006036B1" w:rsidRPr="00540D6C">
        <w:rPr>
          <w:bCs/>
        </w:rPr>
        <w:t xml:space="preserve"> pH Values of Water Sample</w:t>
      </w:r>
    </w:p>
    <w:p w:rsidR="006036B1" w:rsidRPr="00540D6C" w:rsidRDefault="006036B1" w:rsidP="006036B1">
      <w:pPr>
        <w:pStyle w:val="Default"/>
        <w:spacing w:line="360" w:lineRule="auto"/>
        <w:rPr>
          <w:bCs/>
        </w:rPr>
      </w:pPr>
    </w:p>
    <w:p w:rsidR="006036B1" w:rsidRPr="00540D6C" w:rsidRDefault="007F79EB" w:rsidP="006036B1">
      <w:pPr>
        <w:pStyle w:val="Default"/>
        <w:spacing w:line="360" w:lineRule="auto"/>
        <w:rPr>
          <w:b/>
          <w:bCs/>
        </w:rPr>
      </w:pPr>
      <w:r>
        <w:rPr>
          <w:b/>
          <w:bCs/>
        </w:rPr>
        <w:t xml:space="preserve">3.2 </w:t>
      </w:r>
      <w:r w:rsidR="006036B1" w:rsidRPr="00540D6C">
        <w:rPr>
          <w:b/>
          <w:bCs/>
        </w:rPr>
        <w:t>pH Values of Sediments Samples</w:t>
      </w:r>
    </w:p>
    <w:p w:rsidR="006036B1" w:rsidRPr="00540D6C" w:rsidRDefault="006036B1" w:rsidP="006036B1">
      <w:pPr>
        <w:pStyle w:val="Default"/>
        <w:spacing w:line="360" w:lineRule="auto"/>
        <w:jc w:val="both"/>
        <w:rPr>
          <w:bCs/>
        </w:rPr>
      </w:pPr>
      <w:r w:rsidRPr="00540D6C">
        <w:rPr>
          <w:bCs/>
        </w:rPr>
        <w:t>The pH Values of the sediments samp</w:t>
      </w:r>
      <w:r w:rsidR="00C90E88" w:rsidRPr="00540D6C">
        <w:rPr>
          <w:bCs/>
        </w:rPr>
        <w:t>le was represented on Figure 3</w:t>
      </w:r>
      <w:r w:rsidRPr="00540D6C">
        <w:rPr>
          <w:bCs/>
        </w:rPr>
        <w:t xml:space="preserve"> whereby the sampling area S2 showed the highest mean acidity of 5.40 at varying range of one to four hours of measurements. On the other hand S4 exhibited the highest mean alkalinity value of 6.85. The result obtained showed that the acidity values decreased in the order of S2= 5.4 &gt; S3 = 6.25 &gt;S1 = 6.66 &gt; S4 = 6.85 respectively. The result obtained was related to the findings of Usman </w:t>
      </w:r>
      <w:r w:rsidRPr="00540D6C">
        <w:rPr>
          <w:bCs/>
          <w:i/>
        </w:rPr>
        <w:lastRenderedPageBreak/>
        <w:t>et al</w:t>
      </w:r>
      <w:r w:rsidRPr="00540D6C">
        <w:rPr>
          <w:bCs/>
        </w:rPr>
        <w:t>. (2020)</w:t>
      </w:r>
      <w:r w:rsidR="00EF7663">
        <w:rPr>
          <w:bCs/>
        </w:rPr>
        <w:t xml:space="preserve"> while pH of Sediments obtained </w:t>
      </w:r>
      <w:r w:rsidR="003E715C">
        <w:rPr>
          <w:bCs/>
        </w:rPr>
        <w:t>contradicted</w:t>
      </w:r>
      <w:r w:rsidR="00EF7663">
        <w:rPr>
          <w:bCs/>
        </w:rPr>
        <w:t xml:space="preserve"> the</w:t>
      </w:r>
      <w:r w:rsidR="009953F0">
        <w:rPr>
          <w:bCs/>
        </w:rPr>
        <w:t xml:space="preserve"> range of</w:t>
      </w:r>
      <w:r w:rsidR="00EF7663">
        <w:rPr>
          <w:bCs/>
        </w:rPr>
        <w:t xml:space="preserve"> pH</w:t>
      </w:r>
      <w:r w:rsidR="009953F0">
        <w:rPr>
          <w:bCs/>
        </w:rPr>
        <w:t xml:space="preserve"> </w:t>
      </w:r>
      <w:r w:rsidR="00EF7663">
        <w:rPr>
          <w:bCs/>
        </w:rPr>
        <w:t>values of</w:t>
      </w:r>
      <w:r w:rsidR="001B63C5">
        <w:rPr>
          <w:bCs/>
        </w:rPr>
        <w:t xml:space="preserve"> </w:t>
      </w:r>
      <w:r w:rsidR="009953F0">
        <w:rPr>
          <w:bCs/>
        </w:rPr>
        <w:t>5.2</w:t>
      </w:r>
      <w:r w:rsidR="00EF7663">
        <w:rPr>
          <w:bCs/>
        </w:rPr>
        <w:t>9 to 6.59 obtained by</w:t>
      </w:r>
      <w:r w:rsidR="009953F0">
        <w:rPr>
          <w:bCs/>
        </w:rPr>
        <w:t xml:space="preserve"> the findings</w:t>
      </w:r>
      <w:r w:rsidR="00E1477E">
        <w:rPr>
          <w:bCs/>
        </w:rPr>
        <w:t xml:space="preserve"> </w:t>
      </w:r>
      <w:proofErr w:type="spellStart"/>
      <w:r w:rsidR="00E1477E">
        <w:rPr>
          <w:bCs/>
        </w:rPr>
        <w:t>Sardique</w:t>
      </w:r>
      <w:proofErr w:type="spellEnd"/>
      <w:r w:rsidR="00E1477E">
        <w:rPr>
          <w:bCs/>
        </w:rPr>
        <w:t xml:space="preserve"> </w:t>
      </w:r>
      <w:r w:rsidR="00E1477E" w:rsidRPr="00EF7663">
        <w:rPr>
          <w:bCs/>
          <w:i/>
        </w:rPr>
        <w:t>et al</w:t>
      </w:r>
      <w:r w:rsidR="00E1477E">
        <w:rPr>
          <w:bCs/>
        </w:rPr>
        <w:t>.</w:t>
      </w:r>
      <w:proofErr w:type="gramStart"/>
      <w:r w:rsidR="00E1477E">
        <w:rPr>
          <w:bCs/>
        </w:rPr>
        <w:t>,(</w:t>
      </w:r>
      <w:proofErr w:type="gramEnd"/>
      <w:r w:rsidR="00E1477E">
        <w:rPr>
          <w:bCs/>
        </w:rPr>
        <w:t>2025)</w:t>
      </w:r>
    </w:p>
    <w:p w:rsidR="006036B1" w:rsidRPr="00540D6C" w:rsidRDefault="006036B1" w:rsidP="006036B1">
      <w:pPr>
        <w:pStyle w:val="Default"/>
        <w:spacing w:line="360" w:lineRule="auto"/>
        <w:jc w:val="both"/>
        <w:rPr>
          <w:bCs/>
        </w:rPr>
      </w:pPr>
    </w:p>
    <w:p w:rsidR="006036B1" w:rsidRPr="00540D6C" w:rsidRDefault="006036B1" w:rsidP="006036B1">
      <w:pPr>
        <w:pStyle w:val="Default"/>
        <w:spacing w:line="360" w:lineRule="auto"/>
        <w:rPr>
          <w:bCs/>
        </w:rPr>
      </w:pPr>
    </w:p>
    <w:p w:rsidR="006036B1" w:rsidRPr="00DC6D37" w:rsidRDefault="006036B1" w:rsidP="006036B1">
      <w:pPr>
        <w:pStyle w:val="Default"/>
        <w:spacing w:line="360" w:lineRule="auto"/>
        <w:rPr>
          <w:bCs/>
        </w:rPr>
      </w:pPr>
      <w:r w:rsidRPr="00540D6C">
        <w:rPr>
          <w:noProof/>
        </w:rPr>
        <w:drawing>
          <wp:anchor distT="0" distB="0" distL="114300" distR="114300" simplePos="0" relativeHeight="251659264" behindDoc="0" locked="0" layoutInCell="1" allowOverlap="1" wp14:anchorId="2DC04533" wp14:editId="442B913D">
            <wp:simplePos x="914400" y="914400"/>
            <wp:positionH relativeFrom="margin">
              <wp:align>left</wp:align>
            </wp:positionH>
            <wp:positionV relativeFrom="paragraph">
              <wp:align>top</wp:align>
            </wp:positionV>
            <wp:extent cx="4572000" cy="2592705"/>
            <wp:effectExtent l="0" t="0" r="0" b="17145"/>
            <wp:wrapSquare wrapText="bothSides"/>
            <wp:docPr id="1032"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V relativeFrom="margin">
              <wp14:pctHeight>0</wp14:pctHeight>
            </wp14:sizeRelV>
          </wp:anchor>
        </w:drawing>
      </w:r>
      <w:r w:rsidRPr="00540D6C">
        <w:rPr>
          <w:bCs/>
        </w:rPr>
        <w:br w:type="textWrapping" w:clear="all"/>
        <w:t xml:space="preserve">Figure </w:t>
      </w:r>
      <w:r w:rsidR="00C90E88" w:rsidRPr="00540D6C">
        <w:rPr>
          <w:bCs/>
        </w:rPr>
        <w:t>3</w:t>
      </w:r>
      <w:r w:rsidRPr="00540D6C">
        <w:rPr>
          <w:bCs/>
        </w:rPr>
        <w:t xml:space="preserve"> pH Values of Sediments Samples</w:t>
      </w:r>
    </w:p>
    <w:p w:rsidR="006036B1" w:rsidRPr="00540D6C" w:rsidRDefault="007F79EB" w:rsidP="006036B1">
      <w:pPr>
        <w:pStyle w:val="Default"/>
        <w:spacing w:line="360" w:lineRule="auto"/>
        <w:rPr>
          <w:b/>
          <w:bCs/>
        </w:rPr>
      </w:pPr>
      <w:r>
        <w:rPr>
          <w:b/>
          <w:bCs/>
        </w:rPr>
        <w:t xml:space="preserve">3.3 </w:t>
      </w:r>
      <w:r w:rsidR="006036B1" w:rsidRPr="00540D6C">
        <w:rPr>
          <w:b/>
          <w:bCs/>
        </w:rPr>
        <w:t>Conductivity of Water Samples</w:t>
      </w:r>
    </w:p>
    <w:p w:rsidR="006036B1" w:rsidRPr="00540D6C" w:rsidRDefault="006036B1" w:rsidP="006036B1">
      <w:pPr>
        <w:pStyle w:val="Default"/>
        <w:spacing w:line="360" w:lineRule="auto"/>
        <w:jc w:val="both"/>
        <w:rPr>
          <w:bCs/>
        </w:rPr>
      </w:pPr>
      <w:r w:rsidRPr="00540D6C">
        <w:rPr>
          <w:bCs/>
        </w:rPr>
        <w:t>The conductivity values of the water samp</w:t>
      </w:r>
      <w:r w:rsidR="00C90E88" w:rsidRPr="00540D6C">
        <w:rPr>
          <w:bCs/>
        </w:rPr>
        <w:t>le was represented on figure 4</w:t>
      </w:r>
      <w:r w:rsidRPr="00540D6C">
        <w:rPr>
          <w:bCs/>
        </w:rPr>
        <w:t xml:space="preserve"> in which the conductivity was recorded at varying range of one to four hours. The result showed sampling area W2 with highest conductivity of 290 </w:t>
      </w:r>
      <w:r w:rsidRPr="00540D6C">
        <w:t>μscm-¹</w:t>
      </w:r>
      <w:r w:rsidRPr="00540D6C">
        <w:rPr>
          <w:bCs/>
        </w:rPr>
        <w:t xml:space="preserve"> followed by W4 and W3 in decreasing order. Also W1 exhibited the lower conductivity value of WI = 145 </w:t>
      </w:r>
      <w:r w:rsidRPr="00540D6C">
        <w:t>μscm-¹</w:t>
      </w:r>
      <w:r w:rsidRPr="00540D6C">
        <w:rPr>
          <w:bCs/>
        </w:rPr>
        <w:t xml:space="preserve">. The result obtained showed that the conductivity values decreased in order of W2=290 </w:t>
      </w:r>
      <w:r w:rsidRPr="00540D6C">
        <w:t>μscm-¹</w:t>
      </w:r>
      <w:r w:rsidRPr="00540D6C">
        <w:rPr>
          <w:bCs/>
        </w:rPr>
        <w:t xml:space="preserve"> &gt; W4=200 </w:t>
      </w:r>
      <w:r w:rsidRPr="00540D6C">
        <w:t>μscm-¹</w:t>
      </w:r>
      <w:r w:rsidRPr="00540D6C">
        <w:rPr>
          <w:bCs/>
        </w:rPr>
        <w:t xml:space="preserve"> &gt; W3=180 </w:t>
      </w:r>
      <w:r w:rsidRPr="00540D6C">
        <w:t xml:space="preserve">μscm-¹ </w:t>
      </w:r>
      <w:r w:rsidRPr="00540D6C">
        <w:rPr>
          <w:bCs/>
        </w:rPr>
        <w:t xml:space="preserve">&gt; W1=145 </w:t>
      </w:r>
      <w:r w:rsidRPr="00540D6C">
        <w:t>μscm-¹</w:t>
      </w:r>
      <w:r w:rsidRPr="00540D6C">
        <w:rPr>
          <w:bCs/>
        </w:rPr>
        <w:t xml:space="preserve"> respectively. The result obtained was related to the findings of Usman </w:t>
      </w:r>
      <w:r w:rsidRPr="00540D6C">
        <w:rPr>
          <w:bCs/>
          <w:i/>
        </w:rPr>
        <w:t>et al</w:t>
      </w:r>
      <w:r w:rsidRPr="00540D6C">
        <w:rPr>
          <w:bCs/>
        </w:rPr>
        <w:t xml:space="preserve">., (2020)                                                                        </w:t>
      </w:r>
    </w:p>
    <w:p w:rsidR="006036B1" w:rsidRPr="00540D6C" w:rsidRDefault="006036B1" w:rsidP="006036B1">
      <w:pPr>
        <w:pStyle w:val="Default"/>
        <w:spacing w:line="360" w:lineRule="auto"/>
        <w:rPr>
          <w:bCs/>
        </w:rPr>
      </w:pPr>
      <w:r w:rsidRPr="00540D6C">
        <w:rPr>
          <w:noProof/>
        </w:rPr>
        <w:drawing>
          <wp:inline distT="0" distB="0" distL="114300" distR="114300" wp14:anchorId="566FB796" wp14:editId="16E2DAF3">
            <wp:extent cx="4572000" cy="2565779"/>
            <wp:effectExtent l="0" t="0" r="0" b="6350"/>
            <wp:docPr id="1034"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036B1" w:rsidRPr="00540D6C" w:rsidRDefault="00C90E88" w:rsidP="006036B1">
      <w:pPr>
        <w:pStyle w:val="Default"/>
        <w:spacing w:line="360" w:lineRule="auto"/>
        <w:rPr>
          <w:bCs/>
        </w:rPr>
      </w:pPr>
      <w:r w:rsidRPr="00540D6C">
        <w:rPr>
          <w:bCs/>
        </w:rPr>
        <w:t>Figure 4</w:t>
      </w:r>
      <w:r w:rsidR="006036B1" w:rsidRPr="00540D6C">
        <w:rPr>
          <w:bCs/>
        </w:rPr>
        <w:t xml:space="preserve"> Conductivity of Water Samples</w:t>
      </w:r>
    </w:p>
    <w:p w:rsidR="006036B1" w:rsidRDefault="006036B1" w:rsidP="006036B1">
      <w:pPr>
        <w:pStyle w:val="Default"/>
        <w:spacing w:line="360" w:lineRule="auto"/>
        <w:rPr>
          <w:b/>
          <w:bCs/>
        </w:rPr>
      </w:pPr>
    </w:p>
    <w:p w:rsidR="005D1CE6" w:rsidRPr="00540D6C" w:rsidRDefault="005D1CE6" w:rsidP="006036B1">
      <w:pPr>
        <w:pStyle w:val="Default"/>
        <w:spacing w:line="360" w:lineRule="auto"/>
        <w:rPr>
          <w:b/>
          <w:bCs/>
        </w:rPr>
      </w:pPr>
    </w:p>
    <w:p w:rsidR="006036B1" w:rsidRPr="00540D6C" w:rsidRDefault="007F79EB" w:rsidP="006036B1">
      <w:pPr>
        <w:pStyle w:val="Default"/>
        <w:spacing w:line="360" w:lineRule="auto"/>
        <w:rPr>
          <w:b/>
          <w:bCs/>
        </w:rPr>
      </w:pPr>
      <w:r>
        <w:rPr>
          <w:b/>
          <w:bCs/>
        </w:rPr>
        <w:t xml:space="preserve">3.4 </w:t>
      </w:r>
      <w:r w:rsidR="006036B1" w:rsidRPr="00540D6C">
        <w:rPr>
          <w:b/>
          <w:bCs/>
        </w:rPr>
        <w:t>Conductivity of Sediments Samples</w:t>
      </w:r>
    </w:p>
    <w:p w:rsidR="006036B1" w:rsidRPr="00540D6C" w:rsidRDefault="006036B1" w:rsidP="006036B1">
      <w:pPr>
        <w:pStyle w:val="Default"/>
        <w:spacing w:line="360" w:lineRule="auto"/>
        <w:jc w:val="both"/>
        <w:rPr>
          <w:bCs/>
        </w:rPr>
      </w:pPr>
      <w:r w:rsidRPr="00540D6C">
        <w:rPr>
          <w:bCs/>
        </w:rPr>
        <w:t xml:space="preserve">The conductivity values of the sediment sample was </w:t>
      </w:r>
      <w:r w:rsidR="00C90E88" w:rsidRPr="00540D6C">
        <w:rPr>
          <w:bCs/>
        </w:rPr>
        <w:t xml:space="preserve">represented on the figure of </w:t>
      </w:r>
      <w:proofErr w:type="gramStart"/>
      <w:r w:rsidR="00C90E88" w:rsidRPr="00540D6C">
        <w:rPr>
          <w:bCs/>
        </w:rPr>
        <w:t>5</w:t>
      </w:r>
      <w:proofErr w:type="gramEnd"/>
      <w:r w:rsidRPr="00540D6C">
        <w:rPr>
          <w:bCs/>
        </w:rPr>
        <w:t xml:space="preserve"> The measurements of conductivity of the sample sediments was</w:t>
      </w:r>
      <w:r w:rsidRPr="00540D6C">
        <w:t xml:space="preserve"> recorded </w:t>
      </w:r>
      <w:r w:rsidRPr="00540D6C">
        <w:rPr>
          <w:bCs/>
        </w:rPr>
        <w:t xml:space="preserve">at varying range of one to four hours.  Whereby the sampling area S2 showed the highest conductivity of 2400 </w:t>
      </w:r>
      <w:r w:rsidRPr="00540D6C">
        <w:t>μscm-¹</w:t>
      </w:r>
      <w:r w:rsidRPr="00540D6C">
        <w:rPr>
          <w:bCs/>
        </w:rPr>
        <w:t xml:space="preserve"> followed by S4 and S3 .On the other hand S1 exhibited the lower value of 800 </w:t>
      </w:r>
      <w:r w:rsidRPr="00540D6C">
        <w:t>μscm-¹</w:t>
      </w:r>
      <w:r w:rsidRPr="00540D6C">
        <w:rPr>
          <w:bCs/>
        </w:rPr>
        <w:t xml:space="preserve">.The result obtained showed that the conductivity values was expressed in decreased </w:t>
      </w:r>
      <w:proofErr w:type="spellStart"/>
      <w:r w:rsidRPr="00540D6C">
        <w:rPr>
          <w:bCs/>
        </w:rPr>
        <w:t>i</w:t>
      </w:r>
      <w:proofErr w:type="spellEnd"/>
      <w:r w:rsidRPr="00540D6C">
        <w:rPr>
          <w:bCs/>
        </w:rPr>
        <w:t xml:space="preserve"> order of S2=2400 </w:t>
      </w:r>
      <w:r w:rsidRPr="00540D6C">
        <w:t>μscm-¹</w:t>
      </w:r>
      <w:r w:rsidRPr="00540D6C">
        <w:rPr>
          <w:bCs/>
        </w:rPr>
        <w:t xml:space="preserve"> &gt; S4=2000 </w:t>
      </w:r>
      <w:r w:rsidRPr="00540D6C">
        <w:t>μscm-¹</w:t>
      </w:r>
      <w:r w:rsidRPr="00540D6C">
        <w:rPr>
          <w:bCs/>
        </w:rPr>
        <w:t xml:space="preserve"> &gt; S3=1900 </w:t>
      </w:r>
      <w:r w:rsidRPr="00540D6C">
        <w:t>μscm-¹</w:t>
      </w:r>
      <w:r w:rsidRPr="00540D6C">
        <w:rPr>
          <w:bCs/>
        </w:rPr>
        <w:t xml:space="preserve"> &gt; S1=800 </w:t>
      </w:r>
      <w:r w:rsidRPr="00540D6C">
        <w:t>μscm-¹</w:t>
      </w:r>
      <w:r w:rsidRPr="00540D6C">
        <w:rPr>
          <w:bCs/>
        </w:rPr>
        <w:t xml:space="preserve"> respectively. The result obtained was related to the findings of Usman </w:t>
      </w:r>
      <w:r w:rsidRPr="00540D6C">
        <w:rPr>
          <w:bCs/>
          <w:i/>
        </w:rPr>
        <w:t>et al</w:t>
      </w:r>
      <w:r w:rsidRPr="00540D6C">
        <w:rPr>
          <w:bCs/>
        </w:rPr>
        <w:t>., (2020)</w:t>
      </w:r>
    </w:p>
    <w:p w:rsidR="006036B1" w:rsidRPr="00540D6C" w:rsidRDefault="006036B1" w:rsidP="006036B1">
      <w:pPr>
        <w:pStyle w:val="Default"/>
        <w:spacing w:line="360" w:lineRule="auto"/>
        <w:rPr>
          <w:b/>
          <w:bCs/>
        </w:rPr>
      </w:pPr>
      <w:r w:rsidRPr="00540D6C">
        <w:rPr>
          <w:noProof/>
        </w:rPr>
        <w:drawing>
          <wp:inline distT="0" distB="0" distL="114300" distR="114300" wp14:anchorId="17F64D82" wp14:editId="5F0834AA">
            <wp:extent cx="4572000" cy="2743200"/>
            <wp:effectExtent l="0" t="0" r="0" b="0"/>
            <wp:docPr id="1036"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036B1" w:rsidRPr="00540D6C" w:rsidRDefault="00C90E88" w:rsidP="006036B1">
      <w:pPr>
        <w:pStyle w:val="Default"/>
        <w:spacing w:line="360" w:lineRule="auto"/>
        <w:rPr>
          <w:bCs/>
        </w:rPr>
      </w:pPr>
      <w:r w:rsidRPr="00540D6C">
        <w:rPr>
          <w:bCs/>
        </w:rPr>
        <w:t>Figure 5</w:t>
      </w:r>
      <w:r w:rsidR="006036B1" w:rsidRPr="00540D6C">
        <w:rPr>
          <w:bCs/>
        </w:rPr>
        <w:t xml:space="preserve"> Conductivity of Sediments Samples</w:t>
      </w:r>
    </w:p>
    <w:p w:rsidR="006036B1" w:rsidRPr="00540D6C" w:rsidRDefault="006036B1" w:rsidP="006036B1">
      <w:pPr>
        <w:pStyle w:val="Default"/>
        <w:spacing w:line="360" w:lineRule="auto"/>
        <w:rPr>
          <w:bCs/>
        </w:rPr>
      </w:pPr>
    </w:p>
    <w:p w:rsidR="006036B1" w:rsidRPr="00540D6C" w:rsidRDefault="007F79EB" w:rsidP="006036B1">
      <w:pPr>
        <w:pStyle w:val="Default"/>
        <w:spacing w:line="360" w:lineRule="auto"/>
        <w:rPr>
          <w:b/>
          <w:bCs/>
        </w:rPr>
      </w:pPr>
      <w:r>
        <w:rPr>
          <w:b/>
          <w:bCs/>
        </w:rPr>
        <w:t xml:space="preserve">3.5 </w:t>
      </w:r>
      <w:r w:rsidR="006036B1" w:rsidRPr="00540D6C">
        <w:rPr>
          <w:b/>
          <w:bCs/>
        </w:rPr>
        <w:t>Daily Exposure Dose Total Non- Carcinogenic Heavy metals in Water sample</w:t>
      </w:r>
    </w:p>
    <w:p w:rsidR="006036B1" w:rsidRPr="00540D6C" w:rsidRDefault="00C90E88" w:rsidP="006036B1">
      <w:pPr>
        <w:pStyle w:val="Default"/>
        <w:spacing w:line="360" w:lineRule="auto"/>
        <w:jc w:val="both"/>
        <w:rPr>
          <w:bCs/>
        </w:rPr>
      </w:pPr>
      <w:r w:rsidRPr="00540D6C">
        <w:rPr>
          <w:bCs/>
        </w:rPr>
        <w:t>Figure 6</w:t>
      </w:r>
      <w:r w:rsidR="006036B1" w:rsidRPr="00540D6C">
        <w:rPr>
          <w:bCs/>
        </w:rPr>
        <w:t xml:space="preserve"> showed the concentration </w:t>
      </w:r>
      <w:r w:rsidRPr="00540D6C">
        <w:rPr>
          <w:bCs/>
        </w:rPr>
        <w:t xml:space="preserve">of daily dose non-carcinogenic </w:t>
      </w:r>
      <w:r w:rsidR="006036B1" w:rsidRPr="00540D6C">
        <w:rPr>
          <w:bCs/>
        </w:rPr>
        <w:t xml:space="preserve">heavy metals in water sample in all the three </w:t>
      </w:r>
      <w:proofErr w:type="gramStart"/>
      <w:r w:rsidR="006036B1" w:rsidRPr="00540D6C">
        <w:rPr>
          <w:bCs/>
        </w:rPr>
        <w:t>pathways(</w:t>
      </w:r>
      <w:proofErr w:type="gramEnd"/>
      <w:r w:rsidR="006036B1" w:rsidRPr="00540D6C">
        <w:rPr>
          <w:bCs/>
        </w:rPr>
        <w:t xml:space="preserve"> ingestion, inhalation and dermal). Whereby manganese has the highest concentration of health risk with the value of 6.25E-07 followed by Fe=3.31E-07, Zn=2.59E-07, Ni=2.42E-07, Cu=1.44E-07, Pb=8.54E-08, Cr=6.11E-08, Cd=4.83E-08, As= 3.93E-08,while the least or lower amount kept in As= 3.93E-08.The result indicated that the daily exposure dose of non-carcinogenic heavy metals of the water sample analyzed were expressed in decreasing order of Mn &gt; Fe &gt; Zn &gt; Ni &gt; Cu &gt;Pb &gt; Cr &gt; Cd &gt; As respectively. The result indicated slight exposure.</w:t>
      </w:r>
    </w:p>
    <w:p w:rsidR="006036B1" w:rsidRPr="00540D6C" w:rsidRDefault="006036B1" w:rsidP="006036B1">
      <w:pPr>
        <w:pStyle w:val="Default"/>
        <w:spacing w:line="360" w:lineRule="auto"/>
        <w:jc w:val="both"/>
        <w:rPr>
          <w:bCs/>
        </w:rPr>
      </w:pPr>
    </w:p>
    <w:p w:rsidR="006036B1" w:rsidRPr="00540D6C" w:rsidRDefault="006036B1" w:rsidP="006036B1">
      <w:pPr>
        <w:pStyle w:val="Default"/>
        <w:spacing w:line="360" w:lineRule="auto"/>
        <w:rPr>
          <w:b/>
          <w:bCs/>
        </w:rPr>
      </w:pPr>
      <w:r w:rsidRPr="00540D6C">
        <w:rPr>
          <w:noProof/>
        </w:rPr>
        <w:lastRenderedPageBreak/>
        <w:drawing>
          <wp:inline distT="0" distB="0" distL="114300" distR="114300" wp14:anchorId="58D93FB0" wp14:editId="216D2C4A">
            <wp:extent cx="4572000" cy="2419350"/>
            <wp:effectExtent l="0" t="0" r="0" b="0"/>
            <wp:docPr id="1038"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036B1" w:rsidRPr="00540D6C" w:rsidRDefault="00C90E88" w:rsidP="006036B1">
      <w:pPr>
        <w:pStyle w:val="Default"/>
        <w:spacing w:line="360" w:lineRule="auto"/>
        <w:rPr>
          <w:bCs/>
        </w:rPr>
      </w:pPr>
      <w:r w:rsidRPr="00540D6C">
        <w:rPr>
          <w:bCs/>
        </w:rPr>
        <w:t>Figure 6</w:t>
      </w:r>
      <w:r w:rsidR="006036B1" w:rsidRPr="00540D6C">
        <w:rPr>
          <w:bCs/>
        </w:rPr>
        <w:t xml:space="preserve"> Daily Exposure Dose Total Non- Carcinogenic Heavy metals in Water</w:t>
      </w:r>
    </w:p>
    <w:p w:rsidR="006036B1" w:rsidRPr="00540D6C" w:rsidRDefault="006036B1" w:rsidP="006036B1">
      <w:pPr>
        <w:pStyle w:val="Default"/>
        <w:spacing w:line="360" w:lineRule="auto"/>
        <w:rPr>
          <w:b/>
          <w:bCs/>
        </w:rPr>
      </w:pPr>
    </w:p>
    <w:p w:rsidR="006036B1" w:rsidRPr="00540D6C" w:rsidRDefault="007F79EB" w:rsidP="006036B1">
      <w:pPr>
        <w:pStyle w:val="Default"/>
        <w:spacing w:line="360" w:lineRule="auto"/>
        <w:jc w:val="both"/>
        <w:rPr>
          <w:b/>
          <w:bCs/>
        </w:rPr>
      </w:pPr>
      <w:r>
        <w:rPr>
          <w:b/>
          <w:bCs/>
        </w:rPr>
        <w:t xml:space="preserve">3.6 </w:t>
      </w:r>
      <w:r w:rsidR="006036B1" w:rsidRPr="00540D6C">
        <w:rPr>
          <w:b/>
          <w:bCs/>
        </w:rPr>
        <w:t xml:space="preserve">Daily Exposure dose Total Carcinogenic Heavy metals in Water sample </w:t>
      </w:r>
    </w:p>
    <w:p w:rsidR="006036B1" w:rsidRPr="00540D6C" w:rsidRDefault="00C90E88" w:rsidP="006036B1">
      <w:pPr>
        <w:pStyle w:val="Default"/>
        <w:spacing w:line="360" w:lineRule="auto"/>
        <w:jc w:val="both"/>
        <w:rPr>
          <w:bCs/>
        </w:rPr>
      </w:pPr>
      <w:r w:rsidRPr="00540D6C">
        <w:rPr>
          <w:bCs/>
        </w:rPr>
        <w:t>Figure 7</w:t>
      </w:r>
      <w:r w:rsidR="006036B1" w:rsidRPr="00540D6C">
        <w:rPr>
          <w:bCs/>
        </w:rPr>
        <w:t xml:space="preserve"> showed the concentration of daily dose exposure of carcinogenic heavy metals in water sample specifically in two pathways (ingestion and inhalation) whereby the result indicated that As showed highest carcinogenic effect; As=1.53E-07 followed by Cr=1.198E-07, Pb=8.21E-08 and Cd=8.29E-08.The result obtained showed that the daily exposure dose of carcinogenic heavy metals in water sample examined were expressed in decreasing order of As &gt;Cr &gt; Pb &gt; Cd respectively. The result obtained was almost the same with the findings of Usman </w:t>
      </w:r>
      <w:r w:rsidR="006036B1" w:rsidRPr="00540D6C">
        <w:rPr>
          <w:bCs/>
          <w:i/>
        </w:rPr>
        <w:t>et al</w:t>
      </w:r>
      <w:r w:rsidR="006036B1" w:rsidRPr="00540D6C">
        <w:rPr>
          <w:bCs/>
        </w:rPr>
        <w:t>., (2024)</w:t>
      </w:r>
    </w:p>
    <w:p w:rsidR="006036B1" w:rsidRPr="00540D6C" w:rsidRDefault="006036B1" w:rsidP="006036B1">
      <w:pPr>
        <w:pStyle w:val="Default"/>
        <w:spacing w:line="360" w:lineRule="auto"/>
        <w:rPr>
          <w:b/>
          <w:bCs/>
        </w:rPr>
      </w:pPr>
      <w:r w:rsidRPr="00540D6C">
        <w:rPr>
          <w:noProof/>
        </w:rPr>
        <w:t xml:space="preserve">  </w:t>
      </w:r>
      <w:r w:rsidRPr="00540D6C">
        <w:rPr>
          <w:noProof/>
        </w:rPr>
        <w:drawing>
          <wp:inline distT="0" distB="0" distL="114300" distR="114300" wp14:anchorId="7448D531" wp14:editId="2927AF7D">
            <wp:extent cx="4572000" cy="2743200"/>
            <wp:effectExtent l="0" t="0" r="0" b="0"/>
            <wp:docPr id="1040"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036B1" w:rsidRPr="00540D6C" w:rsidRDefault="006036B1" w:rsidP="006036B1">
      <w:pPr>
        <w:pStyle w:val="Default"/>
        <w:spacing w:line="360" w:lineRule="auto"/>
        <w:rPr>
          <w:bCs/>
        </w:rPr>
      </w:pPr>
      <w:r w:rsidRPr="00540D6C">
        <w:rPr>
          <w:b/>
          <w:bCs/>
        </w:rPr>
        <w:t xml:space="preserve">  </w:t>
      </w:r>
      <w:r w:rsidR="00C90E88" w:rsidRPr="00540D6C">
        <w:rPr>
          <w:bCs/>
        </w:rPr>
        <w:t>Figure 7</w:t>
      </w:r>
      <w:r w:rsidRPr="00540D6C">
        <w:rPr>
          <w:bCs/>
        </w:rPr>
        <w:t xml:space="preserve"> Daily exposure dose total carcinogenic heavy metals in water sample </w:t>
      </w:r>
    </w:p>
    <w:p w:rsidR="006036B1" w:rsidRPr="00540D6C" w:rsidRDefault="006036B1" w:rsidP="006036B1">
      <w:pPr>
        <w:pStyle w:val="Default"/>
        <w:spacing w:line="360" w:lineRule="auto"/>
        <w:rPr>
          <w:b/>
          <w:bCs/>
        </w:rPr>
      </w:pPr>
    </w:p>
    <w:p w:rsidR="006036B1" w:rsidRPr="00540D6C" w:rsidRDefault="007F79EB" w:rsidP="006036B1">
      <w:pPr>
        <w:pStyle w:val="Default"/>
        <w:spacing w:line="360" w:lineRule="auto"/>
        <w:jc w:val="both"/>
        <w:rPr>
          <w:b/>
        </w:rPr>
      </w:pPr>
      <w:r>
        <w:rPr>
          <w:b/>
        </w:rPr>
        <w:t xml:space="preserve">3.7 </w:t>
      </w:r>
      <w:r w:rsidR="006036B1" w:rsidRPr="00540D6C">
        <w:rPr>
          <w:b/>
        </w:rPr>
        <w:t>Hazard Quotient</w:t>
      </w:r>
      <w:r w:rsidR="006036B1" w:rsidRPr="00540D6C">
        <w:rPr>
          <w:b/>
          <w:bCs/>
        </w:rPr>
        <w:t xml:space="preserve"> </w:t>
      </w:r>
      <w:r w:rsidR="006036B1" w:rsidRPr="00540D6C">
        <w:rPr>
          <w:b/>
        </w:rPr>
        <w:t>Risks of Non-Carcinogenic Heavy metals in Water</w:t>
      </w:r>
    </w:p>
    <w:p w:rsidR="006036B1" w:rsidRPr="00540D6C" w:rsidRDefault="00C90E88" w:rsidP="006036B1">
      <w:pPr>
        <w:pStyle w:val="Default"/>
        <w:spacing w:line="360" w:lineRule="auto"/>
        <w:jc w:val="both"/>
      </w:pPr>
      <w:r w:rsidRPr="00540D6C">
        <w:lastRenderedPageBreak/>
        <w:t xml:space="preserve">Figure 8 </w:t>
      </w:r>
      <w:r w:rsidR="006036B1" w:rsidRPr="00540D6C">
        <w:t>showed the result of HQ risk of non-carcinogenic heavy metals in water sample in which Cd has the highest value of 2.49E-03 followed by As=7.26E-04, Cr=6.26E-04, Pb=3.07+00, Mn=2.00E-04, Ni=6.14E-05, Cu=1.78E-00 where Fe and Zn have the least values or no effect. This representation showed that the values of the heavy metals of HQ in water sample decreased in order of Cd</w:t>
      </w:r>
      <w:r w:rsidR="007A487A">
        <w:t xml:space="preserve"> </w:t>
      </w:r>
      <w:r w:rsidR="00A62D7B" w:rsidRPr="00540D6C">
        <w:t>&gt;</w:t>
      </w:r>
      <w:r w:rsidR="006036B1" w:rsidRPr="00540D6C">
        <w:t xml:space="preserve"> As</w:t>
      </w:r>
      <w:r w:rsidR="007A487A">
        <w:t xml:space="preserve"> </w:t>
      </w:r>
      <w:r w:rsidR="00A62D7B" w:rsidRPr="00540D6C">
        <w:t>&gt;</w:t>
      </w:r>
      <w:r w:rsidR="006036B1" w:rsidRPr="00540D6C">
        <w:t xml:space="preserve"> Cr</w:t>
      </w:r>
      <w:r w:rsidR="007A487A">
        <w:t xml:space="preserve"> </w:t>
      </w:r>
      <w:r w:rsidR="00A62D7B" w:rsidRPr="00540D6C">
        <w:t>&gt;</w:t>
      </w:r>
      <w:r w:rsidR="006036B1" w:rsidRPr="00540D6C">
        <w:t xml:space="preserve"> Pb</w:t>
      </w:r>
      <w:r w:rsidR="007A487A">
        <w:t xml:space="preserve"> </w:t>
      </w:r>
      <w:r w:rsidR="00A62D7B" w:rsidRPr="00540D6C">
        <w:t>&gt;</w:t>
      </w:r>
      <w:r w:rsidR="006036B1" w:rsidRPr="00540D6C">
        <w:t xml:space="preserve"> Mn</w:t>
      </w:r>
      <w:r w:rsidR="007A487A">
        <w:t xml:space="preserve"> </w:t>
      </w:r>
      <w:r w:rsidR="00A62D7B" w:rsidRPr="00540D6C">
        <w:t>&gt;</w:t>
      </w:r>
      <w:r w:rsidR="006036B1" w:rsidRPr="00540D6C">
        <w:t xml:space="preserve"> Ni</w:t>
      </w:r>
      <w:r w:rsidR="007A487A">
        <w:t xml:space="preserve"> </w:t>
      </w:r>
      <w:r w:rsidR="00A62D7B" w:rsidRPr="00540D6C">
        <w:t>&gt;</w:t>
      </w:r>
      <w:r w:rsidR="006036B1" w:rsidRPr="00540D6C">
        <w:t xml:space="preserve"> Cu</w:t>
      </w:r>
      <w:r w:rsidR="007A487A">
        <w:t xml:space="preserve"> </w:t>
      </w:r>
      <w:r w:rsidR="00A62D7B" w:rsidRPr="00540D6C">
        <w:t>&gt;</w:t>
      </w:r>
      <w:r w:rsidR="006036B1" w:rsidRPr="00540D6C">
        <w:t xml:space="preserve"> Fe</w:t>
      </w:r>
      <w:r w:rsidR="007A487A">
        <w:t xml:space="preserve"> </w:t>
      </w:r>
      <w:r w:rsidR="00A62D7B" w:rsidRPr="00540D6C">
        <w:t>&gt;</w:t>
      </w:r>
      <w:r w:rsidR="006036B1" w:rsidRPr="00540D6C">
        <w:t xml:space="preserve"> Zn respectively. </w:t>
      </w:r>
      <w:r w:rsidR="00CC2310">
        <w:t>The result obtained was</w:t>
      </w:r>
      <w:r w:rsidR="00CC7E31">
        <w:t xml:space="preserve"> almost</w:t>
      </w:r>
      <w:r w:rsidR="006036B1" w:rsidRPr="00540D6C">
        <w:t xml:space="preserve"> related to the findings of Usman </w:t>
      </w:r>
      <w:r w:rsidR="006036B1" w:rsidRPr="00540D6C">
        <w:rPr>
          <w:i/>
        </w:rPr>
        <w:t>et al.,</w:t>
      </w:r>
      <w:r w:rsidR="006036B1" w:rsidRPr="00540D6C">
        <w:t xml:space="preserve"> (2024)</w:t>
      </w:r>
      <w:r w:rsidR="005D644F">
        <w:t xml:space="preserve">. </w:t>
      </w:r>
      <w:r w:rsidR="005D644F" w:rsidRPr="00F1418D">
        <w:rPr>
          <w:color w:val="00B050"/>
        </w:rPr>
        <w:t xml:space="preserve">The result obtained showed As and Cr as the highest while Fe and Zn as the least HQ was contrary to Zn and Cd while Zn formed the least HQ of Heavy metals in as reported by </w:t>
      </w:r>
      <w:proofErr w:type="spellStart"/>
      <w:r w:rsidR="005D644F" w:rsidRPr="00F1418D">
        <w:rPr>
          <w:color w:val="00B050"/>
        </w:rPr>
        <w:t>Feleye</w:t>
      </w:r>
      <w:proofErr w:type="spellEnd"/>
      <w:r w:rsidR="005D644F" w:rsidRPr="00F1418D">
        <w:rPr>
          <w:color w:val="00B050"/>
        </w:rPr>
        <w:t xml:space="preserve"> </w:t>
      </w:r>
      <w:r w:rsidR="005D644F" w:rsidRPr="00F1418D">
        <w:rPr>
          <w:i/>
          <w:color w:val="00B050"/>
        </w:rPr>
        <w:t>et al</w:t>
      </w:r>
      <w:r w:rsidR="005D644F" w:rsidRPr="00F1418D">
        <w:rPr>
          <w:color w:val="00B050"/>
        </w:rPr>
        <w:t>., (2024).</w:t>
      </w:r>
    </w:p>
    <w:p w:rsidR="006036B1" w:rsidRPr="00540D6C" w:rsidRDefault="006036B1" w:rsidP="006036B1">
      <w:pPr>
        <w:pStyle w:val="Default"/>
        <w:spacing w:line="360" w:lineRule="auto"/>
        <w:rPr>
          <w:b/>
        </w:rPr>
      </w:pPr>
      <w:r w:rsidRPr="00540D6C">
        <w:rPr>
          <w:noProof/>
        </w:rPr>
        <w:drawing>
          <wp:inline distT="0" distB="0" distL="114300" distR="114300" wp14:anchorId="72841D75" wp14:editId="516B038B">
            <wp:extent cx="4572000" cy="2743200"/>
            <wp:effectExtent l="0" t="0" r="0" b="0"/>
            <wp:docPr id="1042"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036B1" w:rsidRPr="00540D6C" w:rsidRDefault="006036B1" w:rsidP="006036B1">
      <w:pPr>
        <w:pStyle w:val="Default"/>
        <w:spacing w:line="360" w:lineRule="auto"/>
        <w:jc w:val="both"/>
      </w:pPr>
      <w:r w:rsidRPr="00540D6C">
        <w:rPr>
          <w:b/>
        </w:rPr>
        <w:t xml:space="preserve"> </w:t>
      </w:r>
      <w:r w:rsidR="00C90E88" w:rsidRPr="00540D6C">
        <w:t>Figure 8</w:t>
      </w:r>
      <w:r w:rsidRPr="00540D6C">
        <w:t xml:space="preserve"> Hazard Quotient risk of non-carcinogenic heavy metals in water</w:t>
      </w:r>
    </w:p>
    <w:p w:rsidR="006036B1" w:rsidRPr="00540D6C" w:rsidRDefault="006036B1" w:rsidP="006036B1">
      <w:pPr>
        <w:pStyle w:val="Default"/>
        <w:spacing w:line="360" w:lineRule="auto"/>
        <w:jc w:val="both"/>
      </w:pPr>
    </w:p>
    <w:p w:rsidR="006036B1" w:rsidRPr="00540D6C" w:rsidRDefault="007F79EB" w:rsidP="006036B1">
      <w:pPr>
        <w:pStyle w:val="Default"/>
        <w:spacing w:line="360" w:lineRule="auto"/>
        <w:jc w:val="both"/>
        <w:rPr>
          <w:b/>
        </w:rPr>
      </w:pPr>
      <w:r>
        <w:rPr>
          <w:b/>
          <w:bCs/>
        </w:rPr>
        <w:t xml:space="preserve">3.8 </w:t>
      </w:r>
      <w:r w:rsidR="006036B1" w:rsidRPr="00540D6C">
        <w:rPr>
          <w:b/>
          <w:bCs/>
        </w:rPr>
        <w:t xml:space="preserve">Cancer </w:t>
      </w:r>
      <w:r w:rsidR="006036B1" w:rsidRPr="00540D6C">
        <w:rPr>
          <w:b/>
        </w:rPr>
        <w:t xml:space="preserve">Risks Assessment of Carcinogenic Heavy metals in Water </w:t>
      </w:r>
    </w:p>
    <w:p w:rsidR="003665C8" w:rsidRDefault="00C90E88" w:rsidP="003665C8">
      <w:pPr>
        <w:pStyle w:val="Default"/>
        <w:spacing w:line="360" w:lineRule="auto"/>
        <w:jc w:val="both"/>
      </w:pPr>
      <w:r w:rsidRPr="00540D6C">
        <w:t>Figure 9</w:t>
      </w:r>
      <w:r w:rsidR="006036B1" w:rsidRPr="00540D6C">
        <w:t xml:space="preserve"> explored the cancer risk assessment of carcinogenic heavy metals in water in two specific pathways (ingestion and inhalation) where the result showed that Cr has the highest level of cancer risk of ingestion pathway with the value of 8.02E-06 followed by Cd=1.68E-06, As=2.50E-07 where Pb=1,28E-09 has the least value or no significant effect. This indicated that the  cancer risk of heavy metals were expressed decreasing order of Cr &gt;Cd &gt;As&gt; Pb respectively,</w:t>
      </w:r>
      <w:r w:rsidR="002414E9">
        <w:t xml:space="preserve"> which</w:t>
      </w:r>
      <w:r w:rsidR="006036B1" w:rsidRPr="00540D6C">
        <w:t xml:space="preserve"> </w:t>
      </w:r>
      <w:r w:rsidR="00C37749">
        <w:t xml:space="preserve">was similar </w:t>
      </w:r>
      <w:r w:rsidR="006036B1" w:rsidRPr="00540D6C">
        <w:t>as reported by Usman at al. (2022)</w:t>
      </w:r>
      <w:r w:rsidR="00E060BC">
        <w:t xml:space="preserve"> but contradicted  result obtained of ingestion </w:t>
      </w:r>
      <w:r w:rsidR="007129BD">
        <w:t xml:space="preserve">in adults </w:t>
      </w:r>
      <w:r w:rsidR="00E060BC">
        <w:t xml:space="preserve">range from 1.32E-05 mg/kg    to 6.59 E03 mg/kg of Cd to Cr as reported by </w:t>
      </w:r>
      <w:proofErr w:type="spellStart"/>
      <w:r w:rsidR="00E060BC">
        <w:t>Saheh</w:t>
      </w:r>
      <w:proofErr w:type="spellEnd"/>
      <w:r w:rsidR="00E060BC">
        <w:t xml:space="preserve"> </w:t>
      </w:r>
      <w:r w:rsidR="00E060BC" w:rsidRPr="00B049E3">
        <w:rPr>
          <w:i/>
        </w:rPr>
        <w:t>et al</w:t>
      </w:r>
      <w:r w:rsidR="00E060BC">
        <w:t>., (2025)</w:t>
      </w:r>
      <w:r w:rsidR="003665C8">
        <w:t>.</w:t>
      </w:r>
      <w:r w:rsidR="006036B1" w:rsidRPr="00540D6C">
        <w:t xml:space="preserve">Also the cancer risk assessment of carcinogenic heavy metals in inhalation pathway showed  order </w:t>
      </w:r>
      <w:r w:rsidR="003665C8">
        <w:t xml:space="preserve">of  Cd&lt; Pb&lt; As&lt; Cr </w:t>
      </w:r>
      <w:r w:rsidR="00B757A1">
        <w:t>respectively, which</w:t>
      </w:r>
      <w:r w:rsidR="003665C8">
        <w:t xml:space="preserve"> contradicted  result obtained  in adults range from 5.89E-07 mg/kg    to 2.78 E-04 mg/kg of Cr to Cd as reported by </w:t>
      </w:r>
      <w:proofErr w:type="spellStart"/>
      <w:r w:rsidR="003665C8">
        <w:t>Saheh</w:t>
      </w:r>
      <w:proofErr w:type="spellEnd"/>
      <w:r w:rsidR="003665C8">
        <w:t xml:space="preserve"> </w:t>
      </w:r>
      <w:r w:rsidR="003665C8" w:rsidRPr="00B049E3">
        <w:rPr>
          <w:i/>
        </w:rPr>
        <w:t>et al</w:t>
      </w:r>
      <w:r w:rsidR="003665C8">
        <w:t>., (2025)</w:t>
      </w:r>
    </w:p>
    <w:p w:rsidR="00612039" w:rsidRDefault="00612039" w:rsidP="003665C8">
      <w:pPr>
        <w:pStyle w:val="Default"/>
        <w:spacing w:line="360" w:lineRule="auto"/>
        <w:jc w:val="both"/>
      </w:pPr>
    </w:p>
    <w:p w:rsidR="00612039" w:rsidRDefault="00612039" w:rsidP="003665C8">
      <w:pPr>
        <w:pStyle w:val="Default"/>
        <w:spacing w:line="360" w:lineRule="auto"/>
        <w:jc w:val="both"/>
      </w:pPr>
    </w:p>
    <w:p w:rsidR="00612039" w:rsidRDefault="00612039" w:rsidP="003665C8">
      <w:pPr>
        <w:pStyle w:val="Default"/>
        <w:spacing w:line="360" w:lineRule="auto"/>
        <w:jc w:val="both"/>
      </w:pPr>
    </w:p>
    <w:p w:rsidR="00612039" w:rsidRPr="00F83BD5" w:rsidRDefault="00612039" w:rsidP="003665C8">
      <w:pPr>
        <w:pStyle w:val="Default"/>
        <w:spacing w:line="360" w:lineRule="auto"/>
        <w:jc w:val="both"/>
        <w:rPr>
          <w:color w:val="00B050"/>
        </w:rPr>
      </w:pPr>
      <w:r w:rsidRPr="00F83BD5">
        <w:rPr>
          <w:color w:val="00B050"/>
        </w:rPr>
        <w:t>Table 3.1 Cancer Risk Total of Carcinogenic Heavy metals in Water</w:t>
      </w:r>
    </w:p>
    <w:tbl>
      <w:tblPr>
        <w:tblW w:w="5100" w:type="dxa"/>
        <w:tblInd w:w="5" w:type="dxa"/>
        <w:tblBorders>
          <w:top w:val="single" w:sz="4" w:space="0" w:color="auto"/>
          <w:bottom w:val="single" w:sz="4" w:space="0" w:color="auto"/>
        </w:tblBorders>
        <w:tblLook w:val="04A0" w:firstRow="1" w:lastRow="0" w:firstColumn="1" w:lastColumn="0" w:noHBand="0" w:noVBand="1"/>
      </w:tblPr>
      <w:tblGrid>
        <w:gridCol w:w="960"/>
        <w:gridCol w:w="1035"/>
        <w:gridCol w:w="1035"/>
        <w:gridCol w:w="1035"/>
        <w:gridCol w:w="1035"/>
      </w:tblGrid>
      <w:tr w:rsidR="00F83BD5" w:rsidRPr="00612039" w:rsidTr="00612039">
        <w:trPr>
          <w:trHeight w:val="300"/>
        </w:trPr>
        <w:tc>
          <w:tcPr>
            <w:tcW w:w="960" w:type="dxa"/>
            <w:tcBorders>
              <w:top w:val="single" w:sz="4" w:space="0" w:color="auto"/>
              <w:bottom w:val="single" w:sz="4" w:space="0" w:color="auto"/>
            </w:tcBorders>
            <w:shd w:val="clear" w:color="auto" w:fill="auto"/>
            <w:noWrap/>
            <w:vAlign w:val="bottom"/>
            <w:hideMark/>
          </w:tcPr>
          <w:p w:rsidR="00612039" w:rsidRPr="00612039" w:rsidRDefault="00612039" w:rsidP="00612039">
            <w:pPr>
              <w:spacing w:after="0" w:line="240" w:lineRule="auto"/>
              <w:rPr>
                <w:rFonts w:ascii="Calibri" w:eastAsia="Times New Roman" w:hAnsi="Calibri" w:cs="Calibri"/>
                <w:color w:val="00B050"/>
                <w:sz w:val="22"/>
              </w:rPr>
            </w:pPr>
            <w:r w:rsidRPr="00612039">
              <w:rPr>
                <w:rFonts w:ascii="Calibri" w:eastAsia="Times New Roman" w:hAnsi="Calibri" w:cs="Calibri"/>
                <w:color w:val="00B050"/>
                <w:sz w:val="22"/>
              </w:rPr>
              <w:t>Metals</w:t>
            </w:r>
          </w:p>
        </w:tc>
        <w:tc>
          <w:tcPr>
            <w:tcW w:w="1035" w:type="dxa"/>
            <w:tcBorders>
              <w:top w:val="single" w:sz="4" w:space="0" w:color="auto"/>
              <w:bottom w:val="single" w:sz="4" w:space="0" w:color="auto"/>
            </w:tcBorders>
            <w:shd w:val="clear" w:color="auto" w:fill="auto"/>
            <w:noWrap/>
            <w:vAlign w:val="bottom"/>
            <w:hideMark/>
          </w:tcPr>
          <w:p w:rsidR="00612039" w:rsidRPr="00612039" w:rsidRDefault="00612039" w:rsidP="00612039">
            <w:pPr>
              <w:spacing w:after="0" w:line="240" w:lineRule="auto"/>
              <w:rPr>
                <w:rFonts w:ascii="Calibri" w:eastAsia="Times New Roman" w:hAnsi="Calibri" w:cs="Calibri"/>
                <w:color w:val="00B050"/>
                <w:sz w:val="22"/>
              </w:rPr>
            </w:pPr>
            <w:r w:rsidRPr="00612039">
              <w:rPr>
                <w:rFonts w:ascii="Calibri" w:eastAsia="Times New Roman" w:hAnsi="Calibri" w:cs="Calibri"/>
                <w:color w:val="00B050"/>
                <w:sz w:val="22"/>
              </w:rPr>
              <w:t>Pb</w:t>
            </w:r>
          </w:p>
        </w:tc>
        <w:tc>
          <w:tcPr>
            <w:tcW w:w="1035" w:type="dxa"/>
            <w:tcBorders>
              <w:top w:val="single" w:sz="4" w:space="0" w:color="auto"/>
              <w:bottom w:val="single" w:sz="4" w:space="0" w:color="auto"/>
            </w:tcBorders>
            <w:shd w:val="clear" w:color="auto" w:fill="auto"/>
            <w:noWrap/>
            <w:vAlign w:val="bottom"/>
            <w:hideMark/>
          </w:tcPr>
          <w:p w:rsidR="00612039" w:rsidRPr="00612039" w:rsidRDefault="00612039" w:rsidP="00612039">
            <w:pPr>
              <w:spacing w:after="0" w:line="240" w:lineRule="auto"/>
              <w:rPr>
                <w:rFonts w:ascii="Calibri" w:eastAsia="Times New Roman" w:hAnsi="Calibri" w:cs="Calibri"/>
                <w:color w:val="00B050"/>
                <w:sz w:val="22"/>
              </w:rPr>
            </w:pPr>
            <w:r w:rsidRPr="00612039">
              <w:rPr>
                <w:rFonts w:ascii="Calibri" w:eastAsia="Times New Roman" w:hAnsi="Calibri" w:cs="Calibri"/>
                <w:color w:val="00B050"/>
                <w:sz w:val="22"/>
              </w:rPr>
              <w:t>Cr</w:t>
            </w:r>
          </w:p>
        </w:tc>
        <w:tc>
          <w:tcPr>
            <w:tcW w:w="1035" w:type="dxa"/>
            <w:tcBorders>
              <w:top w:val="single" w:sz="4" w:space="0" w:color="auto"/>
              <w:bottom w:val="single" w:sz="4" w:space="0" w:color="auto"/>
            </w:tcBorders>
            <w:shd w:val="clear" w:color="auto" w:fill="auto"/>
            <w:noWrap/>
            <w:vAlign w:val="bottom"/>
            <w:hideMark/>
          </w:tcPr>
          <w:p w:rsidR="00612039" w:rsidRPr="00612039" w:rsidRDefault="00612039" w:rsidP="00612039">
            <w:pPr>
              <w:spacing w:after="0" w:line="240" w:lineRule="auto"/>
              <w:rPr>
                <w:rFonts w:ascii="Calibri" w:eastAsia="Times New Roman" w:hAnsi="Calibri" w:cs="Calibri"/>
                <w:color w:val="00B050"/>
                <w:sz w:val="22"/>
              </w:rPr>
            </w:pPr>
            <w:r w:rsidRPr="00612039">
              <w:rPr>
                <w:rFonts w:ascii="Calibri" w:eastAsia="Times New Roman" w:hAnsi="Calibri" w:cs="Calibri"/>
                <w:color w:val="00B050"/>
                <w:sz w:val="22"/>
              </w:rPr>
              <w:t>Cd</w:t>
            </w:r>
          </w:p>
        </w:tc>
        <w:tc>
          <w:tcPr>
            <w:tcW w:w="1035" w:type="dxa"/>
            <w:tcBorders>
              <w:top w:val="single" w:sz="4" w:space="0" w:color="auto"/>
              <w:bottom w:val="single" w:sz="4" w:space="0" w:color="auto"/>
            </w:tcBorders>
            <w:shd w:val="clear" w:color="auto" w:fill="auto"/>
            <w:noWrap/>
            <w:vAlign w:val="bottom"/>
            <w:hideMark/>
          </w:tcPr>
          <w:p w:rsidR="00612039" w:rsidRPr="00612039" w:rsidRDefault="00612039" w:rsidP="00612039">
            <w:pPr>
              <w:spacing w:after="0" w:line="240" w:lineRule="auto"/>
              <w:rPr>
                <w:rFonts w:ascii="Calibri" w:eastAsia="Times New Roman" w:hAnsi="Calibri" w:cs="Calibri"/>
                <w:color w:val="00B050"/>
                <w:sz w:val="22"/>
              </w:rPr>
            </w:pPr>
            <w:r w:rsidRPr="00612039">
              <w:rPr>
                <w:rFonts w:ascii="Calibri" w:eastAsia="Times New Roman" w:hAnsi="Calibri" w:cs="Calibri"/>
                <w:color w:val="00B050"/>
                <w:sz w:val="22"/>
              </w:rPr>
              <w:t>As</w:t>
            </w:r>
          </w:p>
        </w:tc>
      </w:tr>
      <w:tr w:rsidR="00F83BD5" w:rsidRPr="00612039" w:rsidTr="00612039">
        <w:trPr>
          <w:trHeight w:val="300"/>
        </w:trPr>
        <w:tc>
          <w:tcPr>
            <w:tcW w:w="960" w:type="dxa"/>
            <w:tcBorders>
              <w:top w:val="single" w:sz="4" w:space="0" w:color="auto"/>
            </w:tcBorders>
            <w:shd w:val="clear" w:color="auto" w:fill="auto"/>
            <w:noWrap/>
            <w:vAlign w:val="bottom"/>
            <w:hideMark/>
          </w:tcPr>
          <w:p w:rsidR="00612039" w:rsidRPr="00612039" w:rsidRDefault="00612039" w:rsidP="00612039">
            <w:pPr>
              <w:spacing w:after="0" w:line="240" w:lineRule="auto"/>
              <w:rPr>
                <w:rFonts w:ascii="Calibri" w:eastAsia="Times New Roman" w:hAnsi="Calibri" w:cs="Calibri"/>
                <w:color w:val="00B050"/>
                <w:sz w:val="22"/>
              </w:rPr>
            </w:pPr>
            <w:r w:rsidRPr="00612039">
              <w:rPr>
                <w:rFonts w:ascii="Calibri" w:eastAsia="Times New Roman" w:hAnsi="Calibri" w:cs="Calibri"/>
                <w:color w:val="00B050"/>
                <w:sz w:val="22"/>
              </w:rPr>
              <w:t xml:space="preserve">CR </w:t>
            </w:r>
            <w:proofErr w:type="spellStart"/>
            <w:r w:rsidRPr="00612039">
              <w:rPr>
                <w:rFonts w:ascii="Calibri" w:eastAsia="Times New Roman" w:hAnsi="Calibri" w:cs="Calibri"/>
                <w:color w:val="00B050"/>
                <w:sz w:val="22"/>
              </w:rPr>
              <w:t>ing</w:t>
            </w:r>
            <w:proofErr w:type="spellEnd"/>
          </w:p>
        </w:tc>
        <w:tc>
          <w:tcPr>
            <w:tcW w:w="1035" w:type="dxa"/>
            <w:tcBorders>
              <w:top w:val="single" w:sz="4" w:space="0" w:color="auto"/>
            </w:tcBorders>
            <w:shd w:val="clear" w:color="auto" w:fill="auto"/>
            <w:noWrap/>
            <w:vAlign w:val="bottom"/>
            <w:hideMark/>
          </w:tcPr>
          <w:p w:rsidR="00612039" w:rsidRPr="00612039" w:rsidRDefault="00612039" w:rsidP="00612039">
            <w:pPr>
              <w:spacing w:after="0" w:line="240" w:lineRule="auto"/>
              <w:jc w:val="right"/>
              <w:rPr>
                <w:rFonts w:ascii="Calibri" w:eastAsia="Times New Roman" w:hAnsi="Calibri" w:cs="Calibri"/>
                <w:color w:val="00B050"/>
                <w:sz w:val="22"/>
              </w:rPr>
            </w:pPr>
            <w:r w:rsidRPr="00612039">
              <w:rPr>
                <w:rFonts w:ascii="Calibri" w:eastAsia="Times New Roman" w:hAnsi="Calibri" w:cs="Calibri"/>
                <w:color w:val="00B050"/>
                <w:sz w:val="22"/>
              </w:rPr>
              <w:t>1.28E-09</w:t>
            </w:r>
          </w:p>
        </w:tc>
        <w:tc>
          <w:tcPr>
            <w:tcW w:w="1035" w:type="dxa"/>
            <w:tcBorders>
              <w:top w:val="single" w:sz="4" w:space="0" w:color="auto"/>
            </w:tcBorders>
            <w:shd w:val="clear" w:color="auto" w:fill="auto"/>
            <w:noWrap/>
            <w:vAlign w:val="bottom"/>
            <w:hideMark/>
          </w:tcPr>
          <w:p w:rsidR="00612039" w:rsidRPr="00612039" w:rsidRDefault="00612039" w:rsidP="00612039">
            <w:pPr>
              <w:spacing w:after="0" w:line="240" w:lineRule="auto"/>
              <w:jc w:val="right"/>
              <w:rPr>
                <w:rFonts w:ascii="Calibri" w:eastAsia="Times New Roman" w:hAnsi="Calibri" w:cs="Calibri"/>
                <w:color w:val="00B050"/>
                <w:sz w:val="22"/>
              </w:rPr>
            </w:pPr>
            <w:r w:rsidRPr="00612039">
              <w:rPr>
                <w:rFonts w:ascii="Calibri" w:eastAsia="Times New Roman" w:hAnsi="Calibri" w:cs="Calibri"/>
                <w:color w:val="00B050"/>
                <w:sz w:val="22"/>
              </w:rPr>
              <w:t>8.24E-06</w:t>
            </w:r>
          </w:p>
        </w:tc>
        <w:tc>
          <w:tcPr>
            <w:tcW w:w="1035" w:type="dxa"/>
            <w:tcBorders>
              <w:top w:val="single" w:sz="4" w:space="0" w:color="auto"/>
            </w:tcBorders>
            <w:shd w:val="clear" w:color="auto" w:fill="auto"/>
            <w:noWrap/>
            <w:vAlign w:val="bottom"/>
            <w:hideMark/>
          </w:tcPr>
          <w:p w:rsidR="00612039" w:rsidRPr="00612039" w:rsidRDefault="00612039" w:rsidP="00612039">
            <w:pPr>
              <w:spacing w:after="0" w:line="240" w:lineRule="auto"/>
              <w:jc w:val="right"/>
              <w:rPr>
                <w:rFonts w:ascii="Calibri" w:eastAsia="Times New Roman" w:hAnsi="Calibri" w:cs="Calibri"/>
                <w:color w:val="00B050"/>
                <w:sz w:val="22"/>
              </w:rPr>
            </w:pPr>
            <w:r w:rsidRPr="00612039">
              <w:rPr>
                <w:rFonts w:ascii="Calibri" w:eastAsia="Times New Roman" w:hAnsi="Calibri" w:cs="Calibri"/>
                <w:color w:val="00B050"/>
                <w:sz w:val="22"/>
              </w:rPr>
              <w:t>1.68E-06</w:t>
            </w:r>
          </w:p>
        </w:tc>
        <w:tc>
          <w:tcPr>
            <w:tcW w:w="1035" w:type="dxa"/>
            <w:tcBorders>
              <w:top w:val="single" w:sz="4" w:space="0" w:color="auto"/>
            </w:tcBorders>
            <w:shd w:val="clear" w:color="auto" w:fill="auto"/>
            <w:noWrap/>
            <w:vAlign w:val="bottom"/>
            <w:hideMark/>
          </w:tcPr>
          <w:p w:rsidR="00612039" w:rsidRPr="00612039" w:rsidRDefault="00612039" w:rsidP="00612039">
            <w:pPr>
              <w:spacing w:after="0" w:line="240" w:lineRule="auto"/>
              <w:jc w:val="right"/>
              <w:rPr>
                <w:rFonts w:ascii="Calibri" w:eastAsia="Times New Roman" w:hAnsi="Calibri" w:cs="Calibri"/>
                <w:color w:val="00B050"/>
                <w:sz w:val="22"/>
              </w:rPr>
            </w:pPr>
            <w:r w:rsidRPr="00612039">
              <w:rPr>
                <w:rFonts w:ascii="Calibri" w:eastAsia="Times New Roman" w:hAnsi="Calibri" w:cs="Calibri"/>
                <w:color w:val="00B050"/>
                <w:sz w:val="22"/>
              </w:rPr>
              <w:t>2.60E-07</w:t>
            </w:r>
          </w:p>
        </w:tc>
      </w:tr>
      <w:tr w:rsidR="00F83BD5" w:rsidRPr="00612039" w:rsidTr="00612039">
        <w:trPr>
          <w:trHeight w:val="300"/>
        </w:trPr>
        <w:tc>
          <w:tcPr>
            <w:tcW w:w="960" w:type="dxa"/>
            <w:shd w:val="clear" w:color="auto" w:fill="auto"/>
            <w:noWrap/>
            <w:vAlign w:val="bottom"/>
            <w:hideMark/>
          </w:tcPr>
          <w:p w:rsidR="00612039" w:rsidRPr="00612039" w:rsidRDefault="00612039" w:rsidP="00612039">
            <w:pPr>
              <w:spacing w:after="0" w:line="240" w:lineRule="auto"/>
              <w:rPr>
                <w:rFonts w:ascii="Calibri" w:eastAsia="Times New Roman" w:hAnsi="Calibri" w:cs="Calibri"/>
                <w:color w:val="00B050"/>
                <w:sz w:val="22"/>
              </w:rPr>
            </w:pPr>
            <w:r w:rsidRPr="00612039">
              <w:rPr>
                <w:rFonts w:ascii="Calibri" w:eastAsia="Times New Roman" w:hAnsi="Calibri" w:cs="Calibri"/>
                <w:color w:val="00B050"/>
                <w:sz w:val="22"/>
              </w:rPr>
              <w:t xml:space="preserve">CR </w:t>
            </w:r>
            <w:proofErr w:type="spellStart"/>
            <w:r w:rsidRPr="00612039">
              <w:rPr>
                <w:rFonts w:ascii="Calibri" w:eastAsia="Times New Roman" w:hAnsi="Calibri" w:cs="Calibri"/>
                <w:color w:val="00B050"/>
                <w:sz w:val="22"/>
              </w:rPr>
              <w:t>inh</w:t>
            </w:r>
            <w:proofErr w:type="spellEnd"/>
          </w:p>
        </w:tc>
        <w:tc>
          <w:tcPr>
            <w:tcW w:w="1035" w:type="dxa"/>
            <w:shd w:val="clear" w:color="auto" w:fill="auto"/>
            <w:noWrap/>
            <w:vAlign w:val="bottom"/>
            <w:hideMark/>
          </w:tcPr>
          <w:p w:rsidR="00612039" w:rsidRPr="00612039" w:rsidRDefault="00612039" w:rsidP="00612039">
            <w:pPr>
              <w:spacing w:after="0" w:line="240" w:lineRule="auto"/>
              <w:jc w:val="right"/>
              <w:rPr>
                <w:rFonts w:ascii="Calibri" w:eastAsia="Times New Roman" w:hAnsi="Calibri" w:cs="Calibri"/>
                <w:color w:val="00B050"/>
                <w:sz w:val="22"/>
              </w:rPr>
            </w:pPr>
            <w:r w:rsidRPr="00612039">
              <w:rPr>
                <w:rFonts w:ascii="Calibri" w:eastAsia="Times New Roman" w:hAnsi="Calibri" w:cs="Calibri"/>
                <w:color w:val="00B050"/>
                <w:sz w:val="22"/>
              </w:rPr>
              <w:t>9.32E-13</w:t>
            </w:r>
          </w:p>
        </w:tc>
        <w:tc>
          <w:tcPr>
            <w:tcW w:w="1035" w:type="dxa"/>
            <w:shd w:val="clear" w:color="auto" w:fill="auto"/>
            <w:noWrap/>
            <w:vAlign w:val="bottom"/>
            <w:hideMark/>
          </w:tcPr>
          <w:p w:rsidR="00612039" w:rsidRPr="00612039" w:rsidRDefault="00612039" w:rsidP="00612039">
            <w:pPr>
              <w:spacing w:after="0" w:line="240" w:lineRule="auto"/>
              <w:jc w:val="right"/>
              <w:rPr>
                <w:rFonts w:ascii="Calibri" w:eastAsia="Times New Roman" w:hAnsi="Calibri" w:cs="Calibri"/>
                <w:color w:val="00B050"/>
                <w:sz w:val="22"/>
              </w:rPr>
            </w:pPr>
            <w:r w:rsidRPr="00612039">
              <w:rPr>
                <w:rFonts w:ascii="Calibri" w:eastAsia="Times New Roman" w:hAnsi="Calibri" w:cs="Calibri"/>
                <w:color w:val="00B050"/>
                <w:sz w:val="22"/>
              </w:rPr>
              <w:t>1.24E-09</w:t>
            </w:r>
          </w:p>
        </w:tc>
        <w:tc>
          <w:tcPr>
            <w:tcW w:w="1035" w:type="dxa"/>
            <w:shd w:val="clear" w:color="auto" w:fill="auto"/>
            <w:noWrap/>
            <w:vAlign w:val="bottom"/>
            <w:hideMark/>
          </w:tcPr>
          <w:p w:rsidR="00612039" w:rsidRPr="00612039" w:rsidRDefault="00612039" w:rsidP="00612039">
            <w:pPr>
              <w:spacing w:after="0" w:line="240" w:lineRule="auto"/>
              <w:jc w:val="right"/>
              <w:rPr>
                <w:rFonts w:ascii="Calibri" w:eastAsia="Times New Roman" w:hAnsi="Calibri" w:cs="Calibri"/>
                <w:color w:val="00B050"/>
                <w:sz w:val="22"/>
              </w:rPr>
            </w:pPr>
            <w:r w:rsidRPr="00612039">
              <w:rPr>
                <w:rFonts w:ascii="Calibri" w:eastAsia="Times New Roman" w:hAnsi="Calibri" w:cs="Calibri"/>
                <w:color w:val="00B050"/>
                <w:sz w:val="22"/>
              </w:rPr>
              <w:t>2.48E-10</w:t>
            </w:r>
          </w:p>
        </w:tc>
        <w:tc>
          <w:tcPr>
            <w:tcW w:w="1035" w:type="dxa"/>
            <w:shd w:val="clear" w:color="auto" w:fill="auto"/>
            <w:noWrap/>
            <w:vAlign w:val="bottom"/>
            <w:hideMark/>
          </w:tcPr>
          <w:p w:rsidR="00612039" w:rsidRPr="00612039" w:rsidRDefault="00612039" w:rsidP="00612039">
            <w:pPr>
              <w:spacing w:after="0" w:line="240" w:lineRule="auto"/>
              <w:jc w:val="right"/>
              <w:rPr>
                <w:rFonts w:ascii="Calibri" w:eastAsia="Times New Roman" w:hAnsi="Calibri" w:cs="Calibri"/>
                <w:color w:val="00B050"/>
                <w:sz w:val="22"/>
              </w:rPr>
            </w:pPr>
            <w:r w:rsidRPr="00612039">
              <w:rPr>
                <w:rFonts w:ascii="Calibri" w:eastAsia="Times New Roman" w:hAnsi="Calibri" w:cs="Calibri"/>
                <w:color w:val="00B050"/>
                <w:sz w:val="22"/>
              </w:rPr>
              <w:t>3.81E-11</w:t>
            </w:r>
          </w:p>
        </w:tc>
      </w:tr>
    </w:tbl>
    <w:p w:rsidR="00612039" w:rsidRPr="00540D6C" w:rsidRDefault="00612039" w:rsidP="003665C8">
      <w:pPr>
        <w:pStyle w:val="Default"/>
        <w:spacing w:line="360" w:lineRule="auto"/>
        <w:jc w:val="both"/>
      </w:pPr>
    </w:p>
    <w:p w:rsidR="006036B1" w:rsidRPr="00540D6C" w:rsidRDefault="006036B1" w:rsidP="006036B1">
      <w:pPr>
        <w:pStyle w:val="Default"/>
        <w:spacing w:line="360" w:lineRule="auto"/>
        <w:jc w:val="both"/>
      </w:pPr>
      <w:r w:rsidRPr="00540D6C">
        <w:t xml:space="preserve"> </w:t>
      </w:r>
      <w:r w:rsidRPr="00540D6C">
        <w:rPr>
          <w:noProof/>
        </w:rPr>
        <w:drawing>
          <wp:inline distT="0" distB="0" distL="114300" distR="114300" wp14:anchorId="1173D705" wp14:editId="240CA765">
            <wp:extent cx="4642485" cy="2490716"/>
            <wp:effectExtent l="0" t="0" r="5715" b="5080"/>
            <wp:docPr id="1044"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036B1" w:rsidRPr="00540D6C" w:rsidRDefault="006036B1" w:rsidP="006036B1">
      <w:pPr>
        <w:pStyle w:val="Default"/>
        <w:spacing w:line="360" w:lineRule="auto"/>
      </w:pPr>
      <w:r w:rsidRPr="00540D6C">
        <w:rPr>
          <w:b/>
        </w:rPr>
        <w:t xml:space="preserve"> </w:t>
      </w:r>
      <w:r w:rsidR="00C90E88" w:rsidRPr="00540D6C">
        <w:t>Figure 9</w:t>
      </w:r>
      <w:r w:rsidRPr="00540D6C">
        <w:t xml:space="preserve"> cancer risk of carcinogenic heavy metals in water sample </w:t>
      </w:r>
    </w:p>
    <w:p w:rsidR="006036B1" w:rsidRPr="00540D6C" w:rsidRDefault="006036B1" w:rsidP="006036B1">
      <w:pPr>
        <w:pStyle w:val="Default"/>
        <w:spacing w:line="360" w:lineRule="auto"/>
      </w:pPr>
    </w:p>
    <w:p w:rsidR="006036B1" w:rsidRPr="00540D6C" w:rsidRDefault="007F79EB" w:rsidP="006036B1">
      <w:pPr>
        <w:rPr>
          <w:rFonts w:cs="Times New Roman"/>
          <w:b/>
          <w:szCs w:val="24"/>
        </w:rPr>
      </w:pPr>
      <w:r>
        <w:rPr>
          <w:rFonts w:cs="Times New Roman"/>
          <w:b/>
          <w:szCs w:val="24"/>
        </w:rPr>
        <w:t xml:space="preserve">3.9 </w:t>
      </w:r>
      <w:r w:rsidR="006036B1" w:rsidRPr="00540D6C">
        <w:rPr>
          <w:rFonts w:cs="Times New Roman"/>
          <w:b/>
          <w:szCs w:val="24"/>
        </w:rPr>
        <w:t>Hazard Index of Water samples</w:t>
      </w:r>
    </w:p>
    <w:p w:rsidR="006036B1" w:rsidRDefault="00C90E88" w:rsidP="006036B1">
      <w:pPr>
        <w:jc w:val="both"/>
        <w:rPr>
          <w:rFonts w:cs="Times New Roman"/>
          <w:szCs w:val="24"/>
        </w:rPr>
      </w:pPr>
      <w:r w:rsidRPr="00540D6C">
        <w:rPr>
          <w:rFonts w:cs="Times New Roman"/>
          <w:szCs w:val="24"/>
        </w:rPr>
        <w:t>Figure 10</w:t>
      </w:r>
      <w:r w:rsidR="006036B1" w:rsidRPr="00540D6C">
        <w:rPr>
          <w:rFonts w:cs="Times New Roman"/>
          <w:szCs w:val="24"/>
        </w:rPr>
        <w:t xml:space="preserve"> showed that the Hazard Index of Non-carcinogenic  heavy metals where by Mn showed the highest value of  2.52E-06</w:t>
      </w:r>
      <w:r w:rsidR="006036B1" w:rsidRPr="00540D6C">
        <w:rPr>
          <w:rFonts w:cs="Times New Roman"/>
          <w:szCs w:val="24"/>
          <w:vertAlign w:val="superscript"/>
        </w:rPr>
        <w:t xml:space="preserve"> </w:t>
      </w:r>
      <w:r w:rsidR="006036B1" w:rsidRPr="00540D6C">
        <w:rPr>
          <w:rFonts w:cs="Times New Roman"/>
          <w:szCs w:val="24"/>
        </w:rPr>
        <w:t>followed by Fe = 1.32E-06, Ni = 9.68E-07, Zn = 1.03E-06, Cu = 5.76E-07, Pb = 3.42E-07, Cr = 2.44E-07, Cd = 1.83E-</w:t>
      </w:r>
      <w:r w:rsidR="006809E9">
        <w:rPr>
          <w:rFonts w:cs="Times New Roman"/>
          <w:szCs w:val="24"/>
        </w:rPr>
        <w:t>07 and As = 1.57E-</w:t>
      </w:r>
      <w:r w:rsidR="006036B1" w:rsidRPr="00540D6C">
        <w:rPr>
          <w:rFonts w:cs="Times New Roman"/>
          <w:szCs w:val="24"/>
        </w:rPr>
        <w:t xml:space="preserve">07. This representation indicated that the values of heavy metals of </w:t>
      </w:r>
      <w:r w:rsidR="00A84856" w:rsidRPr="00540D6C">
        <w:rPr>
          <w:rFonts w:cs="Times New Roman"/>
          <w:szCs w:val="24"/>
        </w:rPr>
        <w:t>no carcinogenic</w:t>
      </w:r>
      <w:r w:rsidR="006036B1" w:rsidRPr="00540D6C">
        <w:rPr>
          <w:rFonts w:cs="Times New Roman"/>
          <w:szCs w:val="24"/>
        </w:rPr>
        <w:t xml:space="preserve"> of hazard index in water  samples decreased in order of  Mn &gt; Fe &gt; Ni &gt; Zn &gt; Cu &gt; Pb &gt; Cr &gt; Cd &gt; As respectively. The result obtained were closely related to the findings of Usman </w:t>
      </w:r>
      <w:r w:rsidR="006036B1" w:rsidRPr="00540D6C">
        <w:rPr>
          <w:rFonts w:cs="Times New Roman"/>
          <w:i/>
          <w:iCs/>
          <w:szCs w:val="24"/>
        </w:rPr>
        <w:t>et al</w:t>
      </w:r>
      <w:r w:rsidR="006036B1" w:rsidRPr="00540D6C">
        <w:rPr>
          <w:rFonts w:cs="Times New Roman"/>
          <w:szCs w:val="24"/>
        </w:rPr>
        <w:t>. (2022).</w:t>
      </w:r>
      <w:r w:rsidR="006809E9">
        <w:rPr>
          <w:rFonts w:cs="Times New Roman"/>
          <w:szCs w:val="24"/>
        </w:rPr>
        <w:t xml:space="preserve"> However the HI obtained range from </w:t>
      </w:r>
      <w:r w:rsidR="006809E9" w:rsidRPr="00540D6C">
        <w:rPr>
          <w:rFonts w:cs="Times New Roman"/>
          <w:szCs w:val="24"/>
        </w:rPr>
        <w:t>2.52E-06</w:t>
      </w:r>
      <w:r w:rsidR="006809E9">
        <w:rPr>
          <w:rFonts w:cs="Times New Roman"/>
          <w:szCs w:val="24"/>
        </w:rPr>
        <w:t xml:space="preserve"> in Mn to 1.57E-</w:t>
      </w:r>
      <w:r w:rsidR="006809E9" w:rsidRPr="00540D6C">
        <w:rPr>
          <w:rFonts w:cs="Times New Roman"/>
          <w:szCs w:val="24"/>
        </w:rPr>
        <w:t>07</w:t>
      </w:r>
      <w:r w:rsidR="006809E9">
        <w:rPr>
          <w:rFonts w:cs="Times New Roman"/>
          <w:szCs w:val="24"/>
        </w:rPr>
        <w:t xml:space="preserve"> in As which contradicted HI value range water from 19.51 mg/kg to 14.61mg/kg as investigated by </w:t>
      </w:r>
      <w:proofErr w:type="spellStart"/>
      <w:r w:rsidR="006809E9">
        <w:rPr>
          <w:rFonts w:cs="Times New Roman"/>
          <w:szCs w:val="24"/>
        </w:rPr>
        <w:t>Saheh</w:t>
      </w:r>
      <w:proofErr w:type="spellEnd"/>
      <w:r w:rsidR="006809E9">
        <w:rPr>
          <w:rFonts w:cs="Times New Roman"/>
          <w:szCs w:val="24"/>
        </w:rPr>
        <w:t xml:space="preserve"> </w:t>
      </w:r>
      <w:r w:rsidR="006809E9" w:rsidRPr="006809E9">
        <w:rPr>
          <w:rFonts w:cs="Times New Roman"/>
          <w:i/>
          <w:szCs w:val="24"/>
        </w:rPr>
        <w:t>et al</w:t>
      </w:r>
      <w:r w:rsidR="006809E9">
        <w:rPr>
          <w:rFonts w:cs="Times New Roman"/>
          <w:szCs w:val="24"/>
        </w:rPr>
        <w:t>., (2025)</w:t>
      </w:r>
      <w:r w:rsidR="002371CC">
        <w:rPr>
          <w:rFonts w:cs="Times New Roman"/>
          <w:szCs w:val="24"/>
        </w:rPr>
        <w:t xml:space="preserve">. </w:t>
      </w:r>
      <w:r w:rsidR="002371CC" w:rsidRPr="002371CC">
        <w:rPr>
          <w:rFonts w:cs="Times New Roman"/>
          <w:color w:val="00B050"/>
          <w:szCs w:val="24"/>
        </w:rPr>
        <w:t xml:space="preserve">The result obtained also HI of 00.00 in As to 5.17E-04 in Fe as reported by </w:t>
      </w:r>
      <w:proofErr w:type="spellStart"/>
      <w:r w:rsidR="002371CC" w:rsidRPr="002371CC">
        <w:rPr>
          <w:rFonts w:cs="Times New Roman"/>
          <w:color w:val="00B050"/>
          <w:szCs w:val="24"/>
        </w:rPr>
        <w:t>Feleye</w:t>
      </w:r>
      <w:proofErr w:type="spellEnd"/>
      <w:r w:rsidR="002371CC" w:rsidRPr="002371CC">
        <w:rPr>
          <w:rFonts w:cs="Times New Roman"/>
          <w:color w:val="00B050"/>
          <w:szCs w:val="24"/>
        </w:rPr>
        <w:t xml:space="preserve"> </w:t>
      </w:r>
      <w:r w:rsidR="002371CC" w:rsidRPr="002371CC">
        <w:rPr>
          <w:rFonts w:cs="Times New Roman"/>
          <w:i/>
          <w:color w:val="00B050"/>
          <w:szCs w:val="24"/>
        </w:rPr>
        <w:t>et al</w:t>
      </w:r>
      <w:r w:rsidR="002371CC">
        <w:rPr>
          <w:rFonts w:cs="Times New Roman"/>
          <w:color w:val="00B050"/>
          <w:szCs w:val="24"/>
        </w:rPr>
        <w:t>.,</w:t>
      </w:r>
      <w:r w:rsidR="002371CC" w:rsidRPr="002371CC">
        <w:rPr>
          <w:rFonts w:cs="Times New Roman"/>
          <w:color w:val="00B050"/>
          <w:szCs w:val="24"/>
        </w:rPr>
        <w:t>(2025)</w:t>
      </w:r>
    </w:p>
    <w:p w:rsidR="00F83BD5" w:rsidRPr="00F83BD5" w:rsidRDefault="00F83BD5" w:rsidP="006036B1">
      <w:pPr>
        <w:jc w:val="both"/>
        <w:rPr>
          <w:rFonts w:cs="Times New Roman"/>
          <w:color w:val="00B050"/>
          <w:szCs w:val="24"/>
        </w:rPr>
      </w:pPr>
      <w:r w:rsidRPr="00F83BD5">
        <w:rPr>
          <w:rFonts w:cs="Times New Roman"/>
          <w:color w:val="00B050"/>
          <w:szCs w:val="24"/>
        </w:rPr>
        <w:t>Table 3.2 Hazard Index of Non- Carcinogenic Heavy metals in water</w:t>
      </w:r>
    </w:p>
    <w:tbl>
      <w:tblPr>
        <w:tblW w:w="10120" w:type="dxa"/>
        <w:tblInd w:w="5" w:type="dxa"/>
        <w:tblBorders>
          <w:top w:val="single" w:sz="4" w:space="0" w:color="auto"/>
          <w:bottom w:val="single" w:sz="4" w:space="0" w:color="auto"/>
        </w:tblBorders>
        <w:tblLook w:val="04A0" w:firstRow="1" w:lastRow="0" w:firstColumn="1" w:lastColumn="0" w:noHBand="0" w:noVBand="1"/>
      </w:tblPr>
      <w:tblGrid>
        <w:gridCol w:w="960"/>
        <w:gridCol w:w="1035"/>
        <w:gridCol w:w="1035"/>
        <w:gridCol w:w="1035"/>
        <w:gridCol w:w="1035"/>
        <w:gridCol w:w="960"/>
        <w:gridCol w:w="960"/>
        <w:gridCol w:w="960"/>
        <w:gridCol w:w="1180"/>
        <w:gridCol w:w="960"/>
      </w:tblGrid>
      <w:tr w:rsidR="00F83BD5" w:rsidRPr="00F83BD5" w:rsidTr="00F83BD5">
        <w:trPr>
          <w:trHeight w:val="300"/>
        </w:trPr>
        <w:tc>
          <w:tcPr>
            <w:tcW w:w="960" w:type="dxa"/>
            <w:tcBorders>
              <w:top w:val="single" w:sz="4" w:space="0" w:color="auto"/>
              <w:bottom w:val="single" w:sz="4" w:space="0" w:color="auto"/>
            </w:tcBorders>
            <w:shd w:val="clear" w:color="auto" w:fill="auto"/>
            <w:noWrap/>
            <w:vAlign w:val="bottom"/>
            <w:hideMark/>
          </w:tcPr>
          <w:p w:rsidR="00F83BD5" w:rsidRPr="00F83BD5" w:rsidRDefault="00F83BD5" w:rsidP="00F83BD5">
            <w:pPr>
              <w:spacing w:after="0" w:line="240" w:lineRule="auto"/>
              <w:rPr>
                <w:rFonts w:ascii="Calibri" w:eastAsia="Times New Roman" w:hAnsi="Calibri" w:cs="Calibri"/>
                <w:color w:val="00B050"/>
                <w:sz w:val="22"/>
              </w:rPr>
            </w:pPr>
            <w:r w:rsidRPr="00F83BD5">
              <w:rPr>
                <w:rFonts w:ascii="Calibri" w:eastAsia="Times New Roman" w:hAnsi="Calibri" w:cs="Calibri"/>
                <w:color w:val="00B050"/>
                <w:sz w:val="22"/>
              </w:rPr>
              <w:t>Metals</w:t>
            </w:r>
          </w:p>
        </w:tc>
        <w:tc>
          <w:tcPr>
            <w:tcW w:w="1035" w:type="dxa"/>
            <w:tcBorders>
              <w:top w:val="single" w:sz="4" w:space="0" w:color="auto"/>
              <w:bottom w:val="single" w:sz="4" w:space="0" w:color="auto"/>
            </w:tcBorders>
            <w:shd w:val="clear" w:color="auto" w:fill="auto"/>
            <w:noWrap/>
            <w:vAlign w:val="bottom"/>
            <w:hideMark/>
          </w:tcPr>
          <w:p w:rsidR="00F83BD5" w:rsidRPr="00F83BD5" w:rsidRDefault="00F83BD5" w:rsidP="00F83BD5">
            <w:pPr>
              <w:spacing w:after="0" w:line="240" w:lineRule="auto"/>
              <w:rPr>
                <w:rFonts w:ascii="Calibri" w:eastAsia="Times New Roman" w:hAnsi="Calibri" w:cs="Calibri"/>
                <w:color w:val="00B050"/>
                <w:sz w:val="22"/>
              </w:rPr>
            </w:pPr>
            <w:r w:rsidRPr="00F83BD5">
              <w:rPr>
                <w:rFonts w:ascii="Calibri" w:eastAsia="Times New Roman" w:hAnsi="Calibri" w:cs="Calibri"/>
                <w:color w:val="00B050"/>
                <w:sz w:val="22"/>
              </w:rPr>
              <w:t>Cu</w:t>
            </w:r>
          </w:p>
        </w:tc>
        <w:tc>
          <w:tcPr>
            <w:tcW w:w="1035" w:type="dxa"/>
            <w:tcBorders>
              <w:top w:val="single" w:sz="4" w:space="0" w:color="auto"/>
              <w:bottom w:val="single" w:sz="4" w:space="0" w:color="auto"/>
            </w:tcBorders>
            <w:shd w:val="clear" w:color="auto" w:fill="auto"/>
            <w:noWrap/>
            <w:vAlign w:val="bottom"/>
            <w:hideMark/>
          </w:tcPr>
          <w:p w:rsidR="00F83BD5" w:rsidRPr="00F83BD5" w:rsidRDefault="00F83BD5" w:rsidP="00F83BD5">
            <w:pPr>
              <w:spacing w:after="0" w:line="240" w:lineRule="auto"/>
              <w:rPr>
                <w:rFonts w:ascii="Calibri" w:eastAsia="Times New Roman" w:hAnsi="Calibri" w:cs="Calibri"/>
                <w:color w:val="00B050"/>
                <w:sz w:val="22"/>
              </w:rPr>
            </w:pPr>
            <w:r w:rsidRPr="00F83BD5">
              <w:rPr>
                <w:rFonts w:ascii="Calibri" w:eastAsia="Times New Roman" w:hAnsi="Calibri" w:cs="Calibri"/>
                <w:color w:val="00B050"/>
                <w:sz w:val="22"/>
              </w:rPr>
              <w:t>Pb</w:t>
            </w:r>
          </w:p>
        </w:tc>
        <w:tc>
          <w:tcPr>
            <w:tcW w:w="1035" w:type="dxa"/>
            <w:tcBorders>
              <w:top w:val="single" w:sz="4" w:space="0" w:color="auto"/>
              <w:bottom w:val="single" w:sz="4" w:space="0" w:color="auto"/>
            </w:tcBorders>
            <w:shd w:val="clear" w:color="auto" w:fill="auto"/>
            <w:noWrap/>
            <w:vAlign w:val="bottom"/>
            <w:hideMark/>
          </w:tcPr>
          <w:p w:rsidR="00F83BD5" w:rsidRPr="00F83BD5" w:rsidRDefault="00F83BD5" w:rsidP="00F83BD5">
            <w:pPr>
              <w:spacing w:after="0" w:line="240" w:lineRule="auto"/>
              <w:rPr>
                <w:rFonts w:ascii="Calibri" w:eastAsia="Times New Roman" w:hAnsi="Calibri" w:cs="Calibri"/>
                <w:color w:val="00B050"/>
                <w:sz w:val="22"/>
              </w:rPr>
            </w:pPr>
            <w:r w:rsidRPr="00F83BD5">
              <w:rPr>
                <w:rFonts w:ascii="Calibri" w:eastAsia="Times New Roman" w:hAnsi="Calibri" w:cs="Calibri"/>
                <w:color w:val="00B050"/>
                <w:sz w:val="22"/>
              </w:rPr>
              <w:t>Cr</w:t>
            </w:r>
          </w:p>
        </w:tc>
        <w:tc>
          <w:tcPr>
            <w:tcW w:w="1035" w:type="dxa"/>
            <w:tcBorders>
              <w:top w:val="single" w:sz="4" w:space="0" w:color="auto"/>
              <w:bottom w:val="single" w:sz="4" w:space="0" w:color="auto"/>
            </w:tcBorders>
            <w:shd w:val="clear" w:color="auto" w:fill="auto"/>
            <w:noWrap/>
            <w:vAlign w:val="bottom"/>
            <w:hideMark/>
          </w:tcPr>
          <w:p w:rsidR="00F83BD5" w:rsidRPr="00F83BD5" w:rsidRDefault="00F83BD5" w:rsidP="00F83BD5">
            <w:pPr>
              <w:spacing w:after="0" w:line="240" w:lineRule="auto"/>
              <w:rPr>
                <w:rFonts w:ascii="Calibri" w:eastAsia="Times New Roman" w:hAnsi="Calibri" w:cs="Calibri"/>
                <w:color w:val="00B050"/>
                <w:sz w:val="22"/>
              </w:rPr>
            </w:pPr>
            <w:r w:rsidRPr="00F83BD5">
              <w:rPr>
                <w:rFonts w:ascii="Calibri" w:eastAsia="Times New Roman" w:hAnsi="Calibri" w:cs="Calibri"/>
                <w:color w:val="00B050"/>
                <w:sz w:val="22"/>
              </w:rPr>
              <w:t>Cd</w:t>
            </w:r>
          </w:p>
        </w:tc>
        <w:tc>
          <w:tcPr>
            <w:tcW w:w="960" w:type="dxa"/>
            <w:tcBorders>
              <w:top w:val="single" w:sz="4" w:space="0" w:color="auto"/>
              <w:bottom w:val="single" w:sz="4" w:space="0" w:color="auto"/>
            </w:tcBorders>
            <w:shd w:val="clear" w:color="auto" w:fill="auto"/>
            <w:noWrap/>
            <w:vAlign w:val="bottom"/>
            <w:hideMark/>
          </w:tcPr>
          <w:p w:rsidR="00F83BD5" w:rsidRPr="00F83BD5" w:rsidRDefault="00F83BD5" w:rsidP="00F83BD5">
            <w:pPr>
              <w:spacing w:after="0" w:line="240" w:lineRule="auto"/>
              <w:rPr>
                <w:rFonts w:ascii="Calibri" w:eastAsia="Times New Roman" w:hAnsi="Calibri" w:cs="Calibri"/>
                <w:color w:val="00B050"/>
                <w:sz w:val="22"/>
              </w:rPr>
            </w:pPr>
            <w:r w:rsidRPr="00F83BD5">
              <w:rPr>
                <w:rFonts w:ascii="Calibri" w:eastAsia="Times New Roman" w:hAnsi="Calibri" w:cs="Calibri"/>
                <w:color w:val="00B050"/>
                <w:sz w:val="22"/>
              </w:rPr>
              <w:t>As</w:t>
            </w:r>
          </w:p>
        </w:tc>
        <w:tc>
          <w:tcPr>
            <w:tcW w:w="960" w:type="dxa"/>
            <w:tcBorders>
              <w:top w:val="single" w:sz="4" w:space="0" w:color="auto"/>
              <w:bottom w:val="single" w:sz="4" w:space="0" w:color="auto"/>
            </w:tcBorders>
            <w:shd w:val="clear" w:color="auto" w:fill="auto"/>
            <w:noWrap/>
            <w:vAlign w:val="bottom"/>
            <w:hideMark/>
          </w:tcPr>
          <w:p w:rsidR="00F83BD5" w:rsidRPr="00F83BD5" w:rsidRDefault="00F83BD5" w:rsidP="00F83BD5">
            <w:pPr>
              <w:spacing w:after="0" w:line="240" w:lineRule="auto"/>
              <w:rPr>
                <w:rFonts w:ascii="Calibri" w:eastAsia="Times New Roman" w:hAnsi="Calibri" w:cs="Calibri"/>
                <w:color w:val="00B050"/>
                <w:sz w:val="22"/>
              </w:rPr>
            </w:pPr>
            <w:r w:rsidRPr="00F83BD5">
              <w:rPr>
                <w:rFonts w:ascii="Calibri" w:eastAsia="Times New Roman" w:hAnsi="Calibri" w:cs="Calibri"/>
                <w:color w:val="00B050"/>
                <w:sz w:val="22"/>
              </w:rPr>
              <w:t>Ni</w:t>
            </w:r>
          </w:p>
        </w:tc>
        <w:tc>
          <w:tcPr>
            <w:tcW w:w="960" w:type="dxa"/>
            <w:tcBorders>
              <w:top w:val="single" w:sz="4" w:space="0" w:color="auto"/>
              <w:bottom w:val="single" w:sz="4" w:space="0" w:color="auto"/>
            </w:tcBorders>
            <w:shd w:val="clear" w:color="auto" w:fill="auto"/>
            <w:noWrap/>
            <w:vAlign w:val="bottom"/>
            <w:hideMark/>
          </w:tcPr>
          <w:p w:rsidR="00F83BD5" w:rsidRPr="00F83BD5" w:rsidRDefault="00F83BD5" w:rsidP="00F83BD5">
            <w:pPr>
              <w:spacing w:after="0" w:line="240" w:lineRule="auto"/>
              <w:rPr>
                <w:rFonts w:ascii="Calibri" w:eastAsia="Times New Roman" w:hAnsi="Calibri" w:cs="Calibri"/>
                <w:color w:val="00B050"/>
                <w:sz w:val="22"/>
              </w:rPr>
            </w:pPr>
            <w:r w:rsidRPr="00F83BD5">
              <w:rPr>
                <w:rFonts w:ascii="Calibri" w:eastAsia="Times New Roman" w:hAnsi="Calibri" w:cs="Calibri"/>
                <w:color w:val="00B050"/>
                <w:sz w:val="22"/>
              </w:rPr>
              <w:t>Fe</w:t>
            </w:r>
          </w:p>
        </w:tc>
        <w:tc>
          <w:tcPr>
            <w:tcW w:w="1180" w:type="dxa"/>
            <w:tcBorders>
              <w:top w:val="single" w:sz="4" w:space="0" w:color="auto"/>
              <w:bottom w:val="single" w:sz="4" w:space="0" w:color="auto"/>
            </w:tcBorders>
            <w:shd w:val="clear" w:color="auto" w:fill="auto"/>
            <w:noWrap/>
            <w:vAlign w:val="bottom"/>
            <w:hideMark/>
          </w:tcPr>
          <w:p w:rsidR="00F83BD5" w:rsidRPr="00F83BD5" w:rsidRDefault="00F83BD5" w:rsidP="00F83BD5">
            <w:pPr>
              <w:spacing w:after="0" w:line="240" w:lineRule="auto"/>
              <w:rPr>
                <w:rFonts w:ascii="Calibri" w:eastAsia="Times New Roman" w:hAnsi="Calibri" w:cs="Calibri"/>
                <w:color w:val="00B050"/>
                <w:sz w:val="22"/>
              </w:rPr>
            </w:pPr>
            <w:r w:rsidRPr="00F83BD5">
              <w:rPr>
                <w:rFonts w:ascii="Calibri" w:eastAsia="Times New Roman" w:hAnsi="Calibri" w:cs="Calibri"/>
                <w:color w:val="00B050"/>
                <w:sz w:val="22"/>
              </w:rPr>
              <w:t>Mn</w:t>
            </w:r>
          </w:p>
        </w:tc>
        <w:tc>
          <w:tcPr>
            <w:tcW w:w="960" w:type="dxa"/>
            <w:tcBorders>
              <w:top w:val="single" w:sz="4" w:space="0" w:color="auto"/>
              <w:bottom w:val="single" w:sz="4" w:space="0" w:color="auto"/>
            </w:tcBorders>
            <w:shd w:val="clear" w:color="auto" w:fill="auto"/>
            <w:noWrap/>
            <w:vAlign w:val="bottom"/>
            <w:hideMark/>
          </w:tcPr>
          <w:p w:rsidR="00F83BD5" w:rsidRPr="00F83BD5" w:rsidRDefault="00F83BD5" w:rsidP="00F83BD5">
            <w:pPr>
              <w:spacing w:after="0" w:line="240" w:lineRule="auto"/>
              <w:rPr>
                <w:rFonts w:ascii="Calibri" w:eastAsia="Times New Roman" w:hAnsi="Calibri" w:cs="Calibri"/>
                <w:color w:val="00B050"/>
                <w:sz w:val="22"/>
              </w:rPr>
            </w:pPr>
            <w:r w:rsidRPr="00F83BD5">
              <w:rPr>
                <w:rFonts w:ascii="Calibri" w:eastAsia="Times New Roman" w:hAnsi="Calibri" w:cs="Calibri"/>
                <w:color w:val="00B050"/>
                <w:sz w:val="22"/>
              </w:rPr>
              <w:t>Zn</w:t>
            </w:r>
          </w:p>
        </w:tc>
      </w:tr>
      <w:tr w:rsidR="00F83BD5" w:rsidRPr="00F83BD5" w:rsidTr="00F83BD5">
        <w:trPr>
          <w:trHeight w:val="300"/>
        </w:trPr>
        <w:tc>
          <w:tcPr>
            <w:tcW w:w="960" w:type="dxa"/>
            <w:tcBorders>
              <w:top w:val="single" w:sz="4" w:space="0" w:color="auto"/>
            </w:tcBorders>
            <w:shd w:val="clear" w:color="auto" w:fill="auto"/>
            <w:noWrap/>
            <w:vAlign w:val="bottom"/>
            <w:hideMark/>
          </w:tcPr>
          <w:p w:rsidR="00F83BD5" w:rsidRPr="00F83BD5" w:rsidRDefault="00F83BD5" w:rsidP="00F83BD5">
            <w:pPr>
              <w:spacing w:after="0" w:line="240" w:lineRule="auto"/>
              <w:rPr>
                <w:rFonts w:ascii="Calibri" w:eastAsia="Times New Roman" w:hAnsi="Calibri" w:cs="Calibri"/>
                <w:color w:val="00B050"/>
                <w:sz w:val="22"/>
              </w:rPr>
            </w:pPr>
            <w:r w:rsidRPr="00F83BD5">
              <w:rPr>
                <w:rFonts w:ascii="Calibri" w:eastAsia="Times New Roman" w:hAnsi="Calibri" w:cs="Calibri"/>
                <w:color w:val="00B050"/>
                <w:sz w:val="22"/>
              </w:rPr>
              <w:t>Ing Tot</w:t>
            </w:r>
            <w:r>
              <w:rPr>
                <w:rFonts w:ascii="Calibri" w:eastAsia="Times New Roman" w:hAnsi="Calibri" w:cs="Calibri"/>
                <w:color w:val="00B050"/>
                <w:sz w:val="22"/>
              </w:rPr>
              <w:t>.</w:t>
            </w:r>
          </w:p>
        </w:tc>
        <w:tc>
          <w:tcPr>
            <w:tcW w:w="1035" w:type="dxa"/>
            <w:tcBorders>
              <w:top w:val="single" w:sz="4" w:space="0" w:color="auto"/>
            </w:tcBorders>
            <w:shd w:val="clear" w:color="auto" w:fill="auto"/>
            <w:noWrap/>
            <w:vAlign w:val="bottom"/>
            <w:hideMark/>
          </w:tcPr>
          <w:p w:rsidR="00F83BD5" w:rsidRPr="00F83BD5" w:rsidRDefault="00F83BD5" w:rsidP="00F83BD5">
            <w:pPr>
              <w:spacing w:after="0" w:line="240" w:lineRule="auto"/>
              <w:jc w:val="right"/>
              <w:rPr>
                <w:rFonts w:ascii="Calibri" w:eastAsia="Times New Roman" w:hAnsi="Calibri" w:cs="Calibri"/>
                <w:color w:val="00B050"/>
                <w:sz w:val="22"/>
              </w:rPr>
            </w:pPr>
            <w:r w:rsidRPr="00F83BD5">
              <w:rPr>
                <w:rFonts w:ascii="Calibri" w:eastAsia="Times New Roman" w:hAnsi="Calibri" w:cs="Calibri"/>
                <w:color w:val="00B050"/>
                <w:sz w:val="22"/>
              </w:rPr>
              <w:t>5.19E-07</w:t>
            </w:r>
          </w:p>
        </w:tc>
        <w:tc>
          <w:tcPr>
            <w:tcW w:w="1035" w:type="dxa"/>
            <w:tcBorders>
              <w:top w:val="single" w:sz="4" w:space="0" w:color="auto"/>
            </w:tcBorders>
            <w:shd w:val="clear" w:color="auto" w:fill="auto"/>
            <w:noWrap/>
            <w:vAlign w:val="bottom"/>
            <w:hideMark/>
          </w:tcPr>
          <w:p w:rsidR="00F83BD5" w:rsidRPr="00F83BD5" w:rsidRDefault="00F83BD5" w:rsidP="00F83BD5">
            <w:pPr>
              <w:spacing w:after="0" w:line="240" w:lineRule="auto"/>
              <w:jc w:val="right"/>
              <w:rPr>
                <w:rFonts w:ascii="Calibri" w:eastAsia="Times New Roman" w:hAnsi="Calibri" w:cs="Calibri"/>
                <w:color w:val="00B050"/>
                <w:sz w:val="22"/>
              </w:rPr>
            </w:pPr>
            <w:r w:rsidRPr="00F83BD5">
              <w:rPr>
                <w:rFonts w:ascii="Calibri" w:eastAsia="Times New Roman" w:hAnsi="Calibri" w:cs="Calibri"/>
                <w:color w:val="00B050"/>
                <w:sz w:val="22"/>
              </w:rPr>
              <w:t>2.12E-07</w:t>
            </w:r>
          </w:p>
        </w:tc>
        <w:tc>
          <w:tcPr>
            <w:tcW w:w="1035" w:type="dxa"/>
            <w:tcBorders>
              <w:top w:val="single" w:sz="4" w:space="0" w:color="auto"/>
            </w:tcBorders>
            <w:shd w:val="clear" w:color="auto" w:fill="auto"/>
            <w:noWrap/>
            <w:vAlign w:val="bottom"/>
            <w:hideMark/>
          </w:tcPr>
          <w:p w:rsidR="00F83BD5" w:rsidRPr="00F83BD5" w:rsidRDefault="00F83BD5" w:rsidP="00F83BD5">
            <w:pPr>
              <w:spacing w:after="0" w:line="240" w:lineRule="auto"/>
              <w:jc w:val="right"/>
              <w:rPr>
                <w:rFonts w:ascii="Calibri" w:eastAsia="Times New Roman" w:hAnsi="Calibri" w:cs="Calibri"/>
                <w:color w:val="00B050"/>
                <w:sz w:val="22"/>
              </w:rPr>
            </w:pPr>
            <w:r w:rsidRPr="00F83BD5">
              <w:rPr>
                <w:rFonts w:ascii="Calibri" w:eastAsia="Times New Roman" w:hAnsi="Calibri" w:cs="Calibri"/>
                <w:color w:val="00B050"/>
                <w:sz w:val="22"/>
              </w:rPr>
              <w:t>2.11E-07</w:t>
            </w:r>
          </w:p>
        </w:tc>
        <w:tc>
          <w:tcPr>
            <w:tcW w:w="1035" w:type="dxa"/>
            <w:tcBorders>
              <w:top w:val="single" w:sz="4" w:space="0" w:color="auto"/>
            </w:tcBorders>
            <w:shd w:val="clear" w:color="auto" w:fill="auto"/>
            <w:noWrap/>
            <w:vAlign w:val="bottom"/>
            <w:hideMark/>
          </w:tcPr>
          <w:p w:rsidR="00F83BD5" w:rsidRPr="00F83BD5" w:rsidRDefault="00F83BD5" w:rsidP="00F83BD5">
            <w:pPr>
              <w:spacing w:after="0" w:line="240" w:lineRule="auto"/>
              <w:jc w:val="right"/>
              <w:rPr>
                <w:rFonts w:ascii="Calibri" w:eastAsia="Times New Roman" w:hAnsi="Calibri" w:cs="Calibri"/>
                <w:color w:val="00B050"/>
                <w:sz w:val="22"/>
              </w:rPr>
            </w:pPr>
            <w:r w:rsidRPr="00F83BD5">
              <w:rPr>
                <w:rFonts w:ascii="Calibri" w:eastAsia="Times New Roman" w:hAnsi="Calibri" w:cs="Calibri"/>
                <w:color w:val="00B050"/>
                <w:sz w:val="22"/>
              </w:rPr>
              <w:t>1.70E-07</w:t>
            </w:r>
          </w:p>
        </w:tc>
        <w:tc>
          <w:tcPr>
            <w:tcW w:w="960" w:type="dxa"/>
            <w:tcBorders>
              <w:top w:val="single" w:sz="4" w:space="0" w:color="auto"/>
            </w:tcBorders>
            <w:shd w:val="clear" w:color="auto" w:fill="auto"/>
            <w:noWrap/>
            <w:vAlign w:val="bottom"/>
            <w:hideMark/>
          </w:tcPr>
          <w:p w:rsidR="00F83BD5" w:rsidRPr="00F83BD5" w:rsidRDefault="00F83BD5" w:rsidP="00F83BD5">
            <w:pPr>
              <w:spacing w:after="0" w:line="240" w:lineRule="auto"/>
              <w:jc w:val="right"/>
              <w:rPr>
                <w:rFonts w:ascii="Calibri" w:eastAsia="Times New Roman" w:hAnsi="Calibri" w:cs="Calibri"/>
                <w:color w:val="00B050"/>
                <w:sz w:val="22"/>
              </w:rPr>
            </w:pPr>
            <w:r w:rsidRPr="00F83BD5">
              <w:rPr>
                <w:rFonts w:ascii="Calibri" w:eastAsia="Times New Roman" w:hAnsi="Calibri" w:cs="Calibri"/>
                <w:color w:val="00B050"/>
                <w:sz w:val="22"/>
              </w:rPr>
              <w:t>1.14E-07</w:t>
            </w:r>
          </w:p>
        </w:tc>
        <w:tc>
          <w:tcPr>
            <w:tcW w:w="960" w:type="dxa"/>
            <w:tcBorders>
              <w:top w:val="single" w:sz="4" w:space="0" w:color="auto"/>
            </w:tcBorders>
            <w:shd w:val="clear" w:color="auto" w:fill="auto"/>
            <w:noWrap/>
            <w:vAlign w:val="bottom"/>
            <w:hideMark/>
          </w:tcPr>
          <w:p w:rsidR="00F83BD5" w:rsidRPr="00F83BD5" w:rsidRDefault="00F83BD5" w:rsidP="00F83BD5">
            <w:pPr>
              <w:spacing w:after="0" w:line="240" w:lineRule="auto"/>
              <w:jc w:val="right"/>
              <w:rPr>
                <w:rFonts w:ascii="Calibri" w:eastAsia="Times New Roman" w:hAnsi="Calibri" w:cs="Calibri"/>
                <w:color w:val="00B050"/>
                <w:sz w:val="22"/>
              </w:rPr>
            </w:pPr>
            <w:r w:rsidRPr="00F83BD5">
              <w:rPr>
                <w:rFonts w:ascii="Calibri" w:eastAsia="Times New Roman" w:hAnsi="Calibri" w:cs="Calibri"/>
                <w:color w:val="00B050"/>
                <w:sz w:val="22"/>
              </w:rPr>
              <w:t>8.67E-07</w:t>
            </w:r>
          </w:p>
        </w:tc>
        <w:tc>
          <w:tcPr>
            <w:tcW w:w="960" w:type="dxa"/>
            <w:tcBorders>
              <w:top w:val="single" w:sz="4" w:space="0" w:color="auto"/>
            </w:tcBorders>
            <w:shd w:val="clear" w:color="auto" w:fill="auto"/>
            <w:noWrap/>
            <w:vAlign w:val="bottom"/>
            <w:hideMark/>
          </w:tcPr>
          <w:p w:rsidR="00F83BD5" w:rsidRPr="00F83BD5" w:rsidRDefault="00F83BD5" w:rsidP="00F83BD5">
            <w:pPr>
              <w:spacing w:after="0" w:line="240" w:lineRule="auto"/>
              <w:jc w:val="right"/>
              <w:rPr>
                <w:rFonts w:ascii="Calibri" w:eastAsia="Times New Roman" w:hAnsi="Calibri" w:cs="Calibri"/>
                <w:color w:val="00B050"/>
                <w:sz w:val="22"/>
              </w:rPr>
            </w:pPr>
            <w:r w:rsidRPr="00F83BD5">
              <w:rPr>
                <w:rFonts w:ascii="Calibri" w:eastAsia="Times New Roman" w:hAnsi="Calibri" w:cs="Calibri"/>
                <w:color w:val="00B050"/>
                <w:sz w:val="22"/>
              </w:rPr>
              <w:t>1.19E-06</w:t>
            </w:r>
          </w:p>
        </w:tc>
        <w:tc>
          <w:tcPr>
            <w:tcW w:w="1180" w:type="dxa"/>
            <w:tcBorders>
              <w:top w:val="single" w:sz="4" w:space="0" w:color="auto"/>
            </w:tcBorders>
            <w:shd w:val="clear" w:color="auto" w:fill="auto"/>
            <w:noWrap/>
            <w:vAlign w:val="bottom"/>
            <w:hideMark/>
          </w:tcPr>
          <w:p w:rsidR="00F83BD5" w:rsidRPr="00F83BD5" w:rsidRDefault="00F83BD5" w:rsidP="00F83BD5">
            <w:pPr>
              <w:spacing w:after="0" w:line="240" w:lineRule="auto"/>
              <w:jc w:val="right"/>
              <w:rPr>
                <w:rFonts w:ascii="Calibri" w:eastAsia="Times New Roman" w:hAnsi="Calibri" w:cs="Calibri"/>
                <w:color w:val="00B050"/>
                <w:sz w:val="22"/>
              </w:rPr>
            </w:pPr>
            <w:r w:rsidRPr="00F83BD5">
              <w:rPr>
                <w:rFonts w:ascii="Calibri" w:eastAsia="Times New Roman" w:hAnsi="Calibri" w:cs="Calibri"/>
                <w:color w:val="00B050"/>
                <w:sz w:val="22"/>
              </w:rPr>
              <w:t>2.20E-06</w:t>
            </w:r>
          </w:p>
        </w:tc>
        <w:tc>
          <w:tcPr>
            <w:tcW w:w="960" w:type="dxa"/>
            <w:tcBorders>
              <w:top w:val="single" w:sz="4" w:space="0" w:color="auto"/>
            </w:tcBorders>
            <w:shd w:val="clear" w:color="auto" w:fill="auto"/>
            <w:noWrap/>
            <w:vAlign w:val="bottom"/>
            <w:hideMark/>
          </w:tcPr>
          <w:p w:rsidR="00F83BD5" w:rsidRPr="00F83BD5" w:rsidRDefault="00F83BD5" w:rsidP="00F83BD5">
            <w:pPr>
              <w:spacing w:after="0" w:line="240" w:lineRule="auto"/>
              <w:jc w:val="right"/>
              <w:rPr>
                <w:rFonts w:ascii="Calibri" w:eastAsia="Times New Roman" w:hAnsi="Calibri" w:cs="Calibri"/>
                <w:color w:val="00B050"/>
                <w:sz w:val="22"/>
              </w:rPr>
            </w:pPr>
            <w:r w:rsidRPr="00F83BD5">
              <w:rPr>
                <w:rFonts w:ascii="Calibri" w:eastAsia="Times New Roman" w:hAnsi="Calibri" w:cs="Calibri"/>
                <w:color w:val="00B050"/>
                <w:sz w:val="22"/>
              </w:rPr>
              <w:t>9.39E-07</w:t>
            </w:r>
          </w:p>
        </w:tc>
      </w:tr>
      <w:tr w:rsidR="00F83BD5" w:rsidRPr="00F83BD5" w:rsidTr="00F83BD5">
        <w:trPr>
          <w:trHeight w:val="300"/>
        </w:trPr>
        <w:tc>
          <w:tcPr>
            <w:tcW w:w="960" w:type="dxa"/>
            <w:shd w:val="clear" w:color="auto" w:fill="auto"/>
            <w:noWrap/>
            <w:vAlign w:val="bottom"/>
            <w:hideMark/>
          </w:tcPr>
          <w:p w:rsidR="00F83BD5" w:rsidRPr="00F83BD5" w:rsidRDefault="00F83BD5" w:rsidP="00F83BD5">
            <w:pPr>
              <w:spacing w:after="0" w:line="240" w:lineRule="auto"/>
              <w:rPr>
                <w:rFonts w:ascii="Calibri" w:eastAsia="Times New Roman" w:hAnsi="Calibri" w:cs="Calibri"/>
                <w:color w:val="00B050"/>
                <w:sz w:val="22"/>
              </w:rPr>
            </w:pPr>
            <w:r w:rsidRPr="00F83BD5">
              <w:rPr>
                <w:rFonts w:ascii="Calibri" w:eastAsia="Times New Roman" w:hAnsi="Calibri" w:cs="Calibri"/>
                <w:color w:val="00B050"/>
                <w:sz w:val="22"/>
              </w:rPr>
              <w:t>Ihl tot</w:t>
            </w:r>
            <w:r>
              <w:rPr>
                <w:rFonts w:ascii="Calibri" w:eastAsia="Times New Roman" w:hAnsi="Calibri" w:cs="Calibri"/>
                <w:color w:val="00B050"/>
                <w:sz w:val="22"/>
              </w:rPr>
              <w:t>.</w:t>
            </w:r>
          </w:p>
        </w:tc>
        <w:tc>
          <w:tcPr>
            <w:tcW w:w="1035" w:type="dxa"/>
            <w:shd w:val="clear" w:color="auto" w:fill="auto"/>
            <w:noWrap/>
            <w:vAlign w:val="bottom"/>
            <w:hideMark/>
          </w:tcPr>
          <w:p w:rsidR="00F83BD5" w:rsidRPr="00F83BD5" w:rsidRDefault="00F83BD5" w:rsidP="00F83BD5">
            <w:pPr>
              <w:spacing w:after="0" w:line="240" w:lineRule="auto"/>
              <w:jc w:val="right"/>
              <w:rPr>
                <w:rFonts w:ascii="Calibri" w:eastAsia="Times New Roman" w:hAnsi="Calibri" w:cs="Calibri"/>
                <w:color w:val="00B050"/>
                <w:sz w:val="22"/>
              </w:rPr>
            </w:pPr>
            <w:r w:rsidRPr="00F83BD5">
              <w:rPr>
                <w:rFonts w:ascii="Calibri" w:eastAsia="Times New Roman" w:hAnsi="Calibri" w:cs="Calibri"/>
                <w:color w:val="00B050"/>
                <w:sz w:val="22"/>
              </w:rPr>
              <w:t>1.23E-10</w:t>
            </w:r>
          </w:p>
        </w:tc>
        <w:tc>
          <w:tcPr>
            <w:tcW w:w="1035" w:type="dxa"/>
            <w:shd w:val="clear" w:color="auto" w:fill="auto"/>
            <w:noWrap/>
            <w:vAlign w:val="bottom"/>
            <w:hideMark/>
          </w:tcPr>
          <w:p w:rsidR="00F83BD5" w:rsidRPr="00F83BD5" w:rsidRDefault="00F83BD5" w:rsidP="00F83BD5">
            <w:pPr>
              <w:spacing w:after="0" w:line="240" w:lineRule="auto"/>
              <w:jc w:val="right"/>
              <w:rPr>
                <w:rFonts w:ascii="Calibri" w:eastAsia="Times New Roman" w:hAnsi="Calibri" w:cs="Calibri"/>
                <w:color w:val="00B050"/>
                <w:sz w:val="22"/>
              </w:rPr>
            </w:pPr>
            <w:r w:rsidRPr="00F83BD5">
              <w:rPr>
                <w:rFonts w:ascii="Calibri" w:eastAsia="Times New Roman" w:hAnsi="Calibri" w:cs="Calibri"/>
                <w:color w:val="00B050"/>
                <w:sz w:val="22"/>
              </w:rPr>
              <w:t>1.05E-09</w:t>
            </w:r>
          </w:p>
        </w:tc>
        <w:tc>
          <w:tcPr>
            <w:tcW w:w="1035" w:type="dxa"/>
            <w:shd w:val="clear" w:color="auto" w:fill="auto"/>
            <w:noWrap/>
            <w:vAlign w:val="bottom"/>
            <w:hideMark/>
          </w:tcPr>
          <w:p w:rsidR="00F83BD5" w:rsidRPr="00F83BD5" w:rsidRDefault="00F83BD5" w:rsidP="00F83BD5">
            <w:pPr>
              <w:spacing w:after="0" w:line="240" w:lineRule="auto"/>
              <w:jc w:val="right"/>
              <w:rPr>
                <w:rFonts w:ascii="Calibri" w:eastAsia="Times New Roman" w:hAnsi="Calibri" w:cs="Calibri"/>
                <w:color w:val="00B050"/>
                <w:sz w:val="22"/>
              </w:rPr>
            </w:pPr>
            <w:r w:rsidRPr="00F83BD5">
              <w:rPr>
                <w:rFonts w:ascii="Calibri" w:eastAsia="Times New Roman" w:hAnsi="Calibri" w:cs="Calibri"/>
                <w:color w:val="00B050"/>
                <w:sz w:val="22"/>
              </w:rPr>
              <w:t>4.09E-11</w:t>
            </w:r>
          </w:p>
        </w:tc>
        <w:tc>
          <w:tcPr>
            <w:tcW w:w="1035" w:type="dxa"/>
            <w:shd w:val="clear" w:color="auto" w:fill="auto"/>
            <w:noWrap/>
            <w:vAlign w:val="bottom"/>
            <w:hideMark/>
          </w:tcPr>
          <w:p w:rsidR="00F83BD5" w:rsidRPr="00F83BD5" w:rsidRDefault="00F83BD5" w:rsidP="00F83BD5">
            <w:pPr>
              <w:spacing w:after="0" w:line="240" w:lineRule="auto"/>
              <w:jc w:val="right"/>
              <w:rPr>
                <w:rFonts w:ascii="Calibri" w:eastAsia="Times New Roman" w:hAnsi="Calibri" w:cs="Calibri"/>
                <w:color w:val="00B050"/>
                <w:sz w:val="22"/>
              </w:rPr>
            </w:pPr>
            <w:r w:rsidRPr="00F83BD5">
              <w:rPr>
                <w:rFonts w:ascii="Calibri" w:eastAsia="Times New Roman" w:hAnsi="Calibri" w:cs="Calibri"/>
                <w:color w:val="00B050"/>
                <w:sz w:val="22"/>
              </w:rPr>
              <w:t>2.85E-11</w:t>
            </w:r>
          </w:p>
        </w:tc>
        <w:tc>
          <w:tcPr>
            <w:tcW w:w="960" w:type="dxa"/>
            <w:shd w:val="clear" w:color="auto" w:fill="auto"/>
            <w:noWrap/>
            <w:vAlign w:val="bottom"/>
            <w:hideMark/>
          </w:tcPr>
          <w:p w:rsidR="00F83BD5" w:rsidRPr="00F83BD5" w:rsidRDefault="00F83BD5" w:rsidP="00F83BD5">
            <w:pPr>
              <w:spacing w:after="0" w:line="240" w:lineRule="auto"/>
              <w:jc w:val="right"/>
              <w:rPr>
                <w:rFonts w:ascii="Calibri" w:eastAsia="Times New Roman" w:hAnsi="Calibri" w:cs="Calibri"/>
                <w:color w:val="00B050"/>
                <w:sz w:val="22"/>
              </w:rPr>
            </w:pPr>
            <w:r w:rsidRPr="00F83BD5">
              <w:rPr>
                <w:rFonts w:ascii="Calibri" w:eastAsia="Times New Roman" w:hAnsi="Calibri" w:cs="Calibri"/>
                <w:color w:val="00B050"/>
                <w:sz w:val="22"/>
              </w:rPr>
              <w:t>5.24E-11</w:t>
            </w:r>
          </w:p>
        </w:tc>
        <w:tc>
          <w:tcPr>
            <w:tcW w:w="960" w:type="dxa"/>
            <w:shd w:val="clear" w:color="auto" w:fill="auto"/>
            <w:noWrap/>
            <w:vAlign w:val="bottom"/>
            <w:hideMark/>
          </w:tcPr>
          <w:p w:rsidR="00F83BD5" w:rsidRPr="00F83BD5" w:rsidRDefault="00F83BD5" w:rsidP="00F83BD5">
            <w:pPr>
              <w:spacing w:after="0" w:line="240" w:lineRule="auto"/>
              <w:jc w:val="right"/>
              <w:rPr>
                <w:rFonts w:ascii="Calibri" w:eastAsia="Times New Roman" w:hAnsi="Calibri" w:cs="Calibri"/>
                <w:color w:val="00B050"/>
                <w:sz w:val="22"/>
              </w:rPr>
            </w:pPr>
            <w:r w:rsidRPr="00F83BD5">
              <w:rPr>
                <w:rFonts w:ascii="Calibri" w:eastAsia="Times New Roman" w:hAnsi="Calibri" w:cs="Calibri"/>
                <w:color w:val="00B050"/>
                <w:sz w:val="22"/>
              </w:rPr>
              <w:t>1.24E-10</w:t>
            </w:r>
          </w:p>
        </w:tc>
        <w:tc>
          <w:tcPr>
            <w:tcW w:w="960" w:type="dxa"/>
            <w:shd w:val="clear" w:color="auto" w:fill="auto"/>
            <w:noWrap/>
            <w:vAlign w:val="bottom"/>
            <w:hideMark/>
          </w:tcPr>
          <w:p w:rsidR="00F83BD5" w:rsidRPr="00F83BD5" w:rsidRDefault="00F83BD5" w:rsidP="00F83BD5">
            <w:pPr>
              <w:spacing w:after="0" w:line="240" w:lineRule="auto"/>
              <w:jc w:val="right"/>
              <w:rPr>
                <w:rFonts w:ascii="Calibri" w:eastAsia="Times New Roman" w:hAnsi="Calibri" w:cs="Calibri"/>
                <w:color w:val="00B050"/>
                <w:sz w:val="22"/>
              </w:rPr>
            </w:pPr>
            <w:r w:rsidRPr="00F83BD5">
              <w:rPr>
                <w:rFonts w:ascii="Calibri" w:eastAsia="Times New Roman" w:hAnsi="Calibri" w:cs="Calibri"/>
                <w:color w:val="00B050"/>
                <w:sz w:val="22"/>
              </w:rPr>
              <w:t>1.63E-10</w:t>
            </w:r>
          </w:p>
        </w:tc>
        <w:tc>
          <w:tcPr>
            <w:tcW w:w="1180" w:type="dxa"/>
            <w:shd w:val="clear" w:color="auto" w:fill="auto"/>
            <w:noWrap/>
            <w:vAlign w:val="bottom"/>
            <w:hideMark/>
          </w:tcPr>
          <w:p w:rsidR="00F83BD5" w:rsidRPr="00F83BD5" w:rsidRDefault="00F83BD5" w:rsidP="00F83BD5">
            <w:pPr>
              <w:spacing w:after="0" w:line="240" w:lineRule="auto"/>
              <w:jc w:val="right"/>
              <w:rPr>
                <w:rFonts w:ascii="Calibri" w:eastAsia="Times New Roman" w:hAnsi="Calibri" w:cs="Calibri"/>
                <w:color w:val="00B050"/>
                <w:sz w:val="22"/>
              </w:rPr>
            </w:pPr>
            <w:r w:rsidRPr="00F83BD5">
              <w:rPr>
                <w:rFonts w:ascii="Calibri" w:eastAsia="Times New Roman" w:hAnsi="Calibri" w:cs="Calibri"/>
                <w:color w:val="00B050"/>
                <w:sz w:val="22"/>
              </w:rPr>
              <w:t>3.71E-10</w:t>
            </w:r>
          </w:p>
        </w:tc>
        <w:tc>
          <w:tcPr>
            <w:tcW w:w="960" w:type="dxa"/>
            <w:shd w:val="clear" w:color="auto" w:fill="auto"/>
            <w:noWrap/>
            <w:vAlign w:val="bottom"/>
            <w:hideMark/>
          </w:tcPr>
          <w:p w:rsidR="00F83BD5" w:rsidRPr="00F83BD5" w:rsidRDefault="00F83BD5" w:rsidP="00F83BD5">
            <w:pPr>
              <w:spacing w:after="0" w:line="240" w:lineRule="auto"/>
              <w:jc w:val="right"/>
              <w:rPr>
                <w:rFonts w:ascii="Calibri" w:eastAsia="Times New Roman" w:hAnsi="Calibri" w:cs="Calibri"/>
                <w:color w:val="00B050"/>
                <w:sz w:val="22"/>
              </w:rPr>
            </w:pPr>
            <w:r w:rsidRPr="00F83BD5">
              <w:rPr>
                <w:rFonts w:ascii="Calibri" w:eastAsia="Times New Roman" w:hAnsi="Calibri" w:cs="Calibri"/>
                <w:color w:val="00B050"/>
                <w:sz w:val="22"/>
              </w:rPr>
              <w:t>1.61E-10</w:t>
            </w:r>
          </w:p>
        </w:tc>
      </w:tr>
      <w:tr w:rsidR="00F83BD5" w:rsidRPr="00F83BD5" w:rsidTr="00F83BD5">
        <w:trPr>
          <w:trHeight w:val="300"/>
        </w:trPr>
        <w:tc>
          <w:tcPr>
            <w:tcW w:w="960" w:type="dxa"/>
            <w:shd w:val="clear" w:color="auto" w:fill="auto"/>
            <w:noWrap/>
            <w:vAlign w:val="bottom"/>
            <w:hideMark/>
          </w:tcPr>
          <w:p w:rsidR="00F83BD5" w:rsidRPr="00F83BD5" w:rsidRDefault="00F83BD5" w:rsidP="00F83BD5">
            <w:pPr>
              <w:spacing w:after="0" w:line="240" w:lineRule="auto"/>
              <w:rPr>
                <w:rFonts w:ascii="Calibri" w:eastAsia="Times New Roman" w:hAnsi="Calibri" w:cs="Calibri"/>
                <w:color w:val="00B050"/>
                <w:sz w:val="22"/>
              </w:rPr>
            </w:pPr>
            <w:r w:rsidRPr="00F83BD5">
              <w:rPr>
                <w:rFonts w:ascii="Calibri" w:eastAsia="Times New Roman" w:hAnsi="Calibri" w:cs="Calibri"/>
                <w:color w:val="00B050"/>
                <w:sz w:val="22"/>
              </w:rPr>
              <w:lastRenderedPageBreak/>
              <w:t>Derm tot</w:t>
            </w:r>
            <w:r>
              <w:rPr>
                <w:rFonts w:ascii="Calibri" w:eastAsia="Times New Roman" w:hAnsi="Calibri" w:cs="Calibri"/>
                <w:color w:val="00B050"/>
                <w:sz w:val="22"/>
              </w:rPr>
              <w:t>.</w:t>
            </w:r>
          </w:p>
        </w:tc>
        <w:tc>
          <w:tcPr>
            <w:tcW w:w="1035" w:type="dxa"/>
            <w:shd w:val="clear" w:color="auto" w:fill="auto"/>
            <w:noWrap/>
            <w:vAlign w:val="bottom"/>
            <w:hideMark/>
          </w:tcPr>
          <w:p w:rsidR="00F83BD5" w:rsidRPr="00F83BD5" w:rsidRDefault="00F83BD5" w:rsidP="00F83BD5">
            <w:pPr>
              <w:spacing w:after="0" w:line="240" w:lineRule="auto"/>
              <w:jc w:val="right"/>
              <w:rPr>
                <w:rFonts w:ascii="Calibri" w:eastAsia="Times New Roman" w:hAnsi="Calibri" w:cs="Calibri"/>
                <w:color w:val="00B050"/>
                <w:sz w:val="22"/>
              </w:rPr>
            </w:pPr>
            <w:r w:rsidRPr="00F83BD5">
              <w:rPr>
                <w:rFonts w:ascii="Calibri" w:eastAsia="Times New Roman" w:hAnsi="Calibri" w:cs="Calibri"/>
                <w:color w:val="00B050"/>
                <w:sz w:val="22"/>
              </w:rPr>
              <w:t>5.71E-08</w:t>
            </w:r>
          </w:p>
        </w:tc>
        <w:tc>
          <w:tcPr>
            <w:tcW w:w="1035" w:type="dxa"/>
            <w:shd w:val="clear" w:color="auto" w:fill="auto"/>
            <w:noWrap/>
            <w:vAlign w:val="bottom"/>
            <w:hideMark/>
          </w:tcPr>
          <w:p w:rsidR="00F83BD5" w:rsidRPr="00F83BD5" w:rsidRDefault="00F83BD5" w:rsidP="00F83BD5">
            <w:pPr>
              <w:spacing w:after="0" w:line="240" w:lineRule="auto"/>
              <w:jc w:val="right"/>
              <w:rPr>
                <w:rFonts w:ascii="Calibri" w:eastAsia="Times New Roman" w:hAnsi="Calibri" w:cs="Calibri"/>
                <w:color w:val="00B050"/>
                <w:sz w:val="22"/>
              </w:rPr>
            </w:pPr>
            <w:r w:rsidRPr="00F83BD5">
              <w:rPr>
                <w:rFonts w:ascii="Calibri" w:eastAsia="Times New Roman" w:hAnsi="Calibri" w:cs="Calibri"/>
                <w:color w:val="00B050"/>
                <w:sz w:val="22"/>
              </w:rPr>
              <w:t>1.29E-07</w:t>
            </w:r>
          </w:p>
        </w:tc>
        <w:tc>
          <w:tcPr>
            <w:tcW w:w="1035" w:type="dxa"/>
            <w:shd w:val="clear" w:color="auto" w:fill="auto"/>
            <w:noWrap/>
            <w:vAlign w:val="bottom"/>
            <w:hideMark/>
          </w:tcPr>
          <w:p w:rsidR="00F83BD5" w:rsidRPr="00F83BD5" w:rsidRDefault="00F83BD5" w:rsidP="00F83BD5">
            <w:pPr>
              <w:spacing w:after="0" w:line="240" w:lineRule="auto"/>
              <w:jc w:val="right"/>
              <w:rPr>
                <w:rFonts w:ascii="Calibri" w:eastAsia="Times New Roman" w:hAnsi="Calibri" w:cs="Calibri"/>
                <w:color w:val="00B050"/>
                <w:sz w:val="22"/>
              </w:rPr>
            </w:pPr>
            <w:r w:rsidRPr="00F83BD5">
              <w:rPr>
                <w:rFonts w:ascii="Calibri" w:eastAsia="Times New Roman" w:hAnsi="Calibri" w:cs="Calibri"/>
                <w:color w:val="00B050"/>
                <w:sz w:val="22"/>
              </w:rPr>
              <w:t>3.33E-08</w:t>
            </w:r>
          </w:p>
        </w:tc>
        <w:tc>
          <w:tcPr>
            <w:tcW w:w="1035" w:type="dxa"/>
            <w:shd w:val="clear" w:color="auto" w:fill="auto"/>
            <w:noWrap/>
            <w:vAlign w:val="bottom"/>
            <w:hideMark/>
          </w:tcPr>
          <w:p w:rsidR="00F83BD5" w:rsidRPr="00F83BD5" w:rsidRDefault="00F83BD5" w:rsidP="00F83BD5">
            <w:pPr>
              <w:spacing w:after="0" w:line="240" w:lineRule="auto"/>
              <w:jc w:val="right"/>
              <w:rPr>
                <w:rFonts w:ascii="Calibri" w:eastAsia="Times New Roman" w:hAnsi="Calibri" w:cs="Calibri"/>
                <w:color w:val="00B050"/>
                <w:sz w:val="22"/>
              </w:rPr>
            </w:pPr>
            <w:r w:rsidRPr="00F83BD5">
              <w:rPr>
                <w:rFonts w:ascii="Calibri" w:eastAsia="Times New Roman" w:hAnsi="Calibri" w:cs="Calibri"/>
                <w:color w:val="00B050"/>
                <w:sz w:val="22"/>
              </w:rPr>
              <w:t>2.32E-08</w:t>
            </w:r>
          </w:p>
        </w:tc>
        <w:tc>
          <w:tcPr>
            <w:tcW w:w="960" w:type="dxa"/>
            <w:shd w:val="clear" w:color="auto" w:fill="auto"/>
            <w:noWrap/>
            <w:vAlign w:val="bottom"/>
            <w:hideMark/>
          </w:tcPr>
          <w:p w:rsidR="00F83BD5" w:rsidRPr="00F83BD5" w:rsidRDefault="00F83BD5" w:rsidP="00F83BD5">
            <w:pPr>
              <w:spacing w:after="0" w:line="240" w:lineRule="auto"/>
              <w:jc w:val="right"/>
              <w:rPr>
                <w:rFonts w:ascii="Calibri" w:eastAsia="Times New Roman" w:hAnsi="Calibri" w:cs="Calibri"/>
                <w:color w:val="00B050"/>
                <w:sz w:val="22"/>
              </w:rPr>
            </w:pPr>
            <w:r w:rsidRPr="00F83BD5">
              <w:rPr>
                <w:rFonts w:ascii="Calibri" w:eastAsia="Times New Roman" w:hAnsi="Calibri" w:cs="Calibri"/>
                <w:color w:val="00B050"/>
                <w:sz w:val="22"/>
              </w:rPr>
              <w:t>4.26E-08</w:t>
            </w:r>
          </w:p>
        </w:tc>
        <w:tc>
          <w:tcPr>
            <w:tcW w:w="960" w:type="dxa"/>
            <w:shd w:val="clear" w:color="auto" w:fill="auto"/>
            <w:noWrap/>
            <w:vAlign w:val="bottom"/>
            <w:hideMark/>
          </w:tcPr>
          <w:p w:rsidR="00F83BD5" w:rsidRPr="00F83BD5" w:rsidRDefault="00F83BD5" w:rsidP="00F83BD5">
            <w:pPr>
              <w:spacing w:after="0" w:line="240" w:lineRule="auto"/>
              <w:jc w:val="right"/>
              <w:rPr>
                <w:rFonts w:ascii="Calibri" w:eastAsia="Times New Roman" w:hAnsi="Calibri" w:cs="Calibri"/>
                <w:color w:val="00B050"/>
                <w:sz w:val="22"/>
              </w:rPr>
            </w:pPr>
            <w:r w:rsidRPr="00F83BD5">
              <w:rPr>
                <w:rFonts w:ascii="Calibri" w:eastAsia="Times New Roman" w:hAnsi="Calibri" w:cs="Calibri"/>
                <w:color w:val="00B050"/>
                <w:sz w:val="22"/>
              </w:rPr>
              <w:t>1.01E-07</w:t>
            </w:r>
          </w:p>
        </w:tc>
        <w:tc>
          <w:tcPr>
            <w:tcW w:w="960" w:type="dxa"/>
            <w:shd w:val="clear" w:color="auto" w:fill="auto"/>
            <w:noWrap/>
            <w:vAlign w:val="bottom"/>
            <w:hideMark/>
          </w:tcPr>
          <w:p w:rsidR="00F83BD5" w:rsidRPr="00F83BD5" w:rsidRDefault="00F83BD5" w:rsidP="00F83BD5">
            <w:pPr>
              <w:spacing w:after="0" w:line="240" w:lineRule="auto"/>
              <w:jc w:val="right"/>
              <w:rPr>
                <w:rFonts w:ascii="Calibri" w:eastAsia="Times New Roman" w:hAnsi="Calibri" w:cs="Calibri"/>
                <w:color w:val="00B050"/>
                <w:sz w:val="22"/>
              </w:rPr>
            </w:pPr>
            <w:r w:rsidRPr="00F83BD5">
              <w:rPr>
                <w:rFonts w:ascii="Calibri" w:eastAsia="Times New Roman" w:hAnsi="Calibri" w:cs="Calibri"/>
                <w:color w:val="00B050"/>
                <w:sz w:val="22"/>
              </w:rPr>
              <w:t>1.33E-07</w:t>
            </w:r>
          </w:p>
        </w:tc>
        <w:tc>
          <w:tcPr>
            <w:tcW w:w="1180" w:type="dxa"/>
            <w:shd w:val="clear" w:color="auto" w:fill="auto"/>
            <w:noWrap/>
            <w:vAlign w:val="bottom"/>
            <w:hideMark/>
          </w:tcPr>
          <w:p w:rsidR="00F83BD5" w:rsidRPr="00F83BD5" w:rsidRDefault="00F83BD5" w:rsidP="00F83BD5">
            <w:pPr>
              <w:spacing w:after="0" w:line="240" w:lineRule="auto"/>
              <w:jc w:val="right"/>
              <w:rPr>
                <w:rFonts w:ascii="Calibri" w:eastAsia="Times New Roman" w:hAnsi="Calibri" w:cs="Calibri"/>
                <w:color w:val="00B050"/>
                <w:sz w:val="22"/>
              </w:rPr>
            </w:pPr>
            <w:r w:rsidRPr="00F83BD5">
              <w:rPr>
                <w:rFonts w:ascii="Calibri" w:eastAsia="Times New Roman" w:hAnsi="Calibri" w:cs="Calibri"/>
                <w:color w:val="00B050"/>
                <w:sz w:val="22"/>
              </w:rPr>
              <w:t>3.02E-07</w:t>
            </w:r>
          </w:p>
        </w:tc>
        <w:tc>
          <w:tcPr>
            <w:tcW w:w="960" w:type="dxa"/>
            <w:shd w:val="clear" w:color="auto" w:fill="auto"/>
            <w:noWrap/>
            <w:vAlign w:val="bottom"/>
            <w:hideMark/>
          </w:tcPr>
          <w:p w:rsidR="00F83BD5" w:rsidRPr="00F83BD5" w:rsidRDefault="00F83BD5" w:rsidP="00F83BD5">
            <w:pPr>
              <w:spacing w:after="0" w:line="240" w:lineRule="auto"/>
              <w:jc w:val="right"/>
              <w:rPr>
                <w:rFonts w:ascii="Calibri" w:eastAsia="Times New Roman" w:hAnsi="Calibri" w:cs="Calibri"/>
                <w:color w:val="00B050"/>
                <w:sz w:val="22"/>
              </w:rPr>
            </w:pPr>
            <w:r w:rsidRPr="00F83BD5">
              <w:rPr>
                <w:rFonts w:ascii="Calibri" w:eastAsia="Times New Roman" w:hAnsi="Calibri" w:cs="Calibri"/>
                <w:color w:val="00B050"/>
                <w:sz w:val="22"/>
              </w:rPr>
              <w:t>9.43E-08</w:t>
            </w:r>
          </w:p>
        </w:tc>
      </w:tr>
      <w:tr w:rsidR="00F83BD5" w:rsidRPr="00F83BD5" w:rsidTr="00F83BD5">
        <w:trPr>
          <w:trHeight w:val="300"/>
        </w:trPr>
        <w:tc>
          <w:tcPr>
            <w:tcW w:w="960" w:type="dxa"/>
            <w:shd w:val="clear" w:color="auto" w:fill="auto"/>
            <w:noWrap/>
            <w:vAlign w:val="bottom"/>
            <w:hideMark/>
          </w:tcPr>
          <w:p w:rsidR="00F83BD5" w:rsidRPr="00F83BD5" w:rsidRDefault="00F83BD5" w:rsidP="00F83BD5">
            <w:pPr>
              <w:spacing w:after="0" w:line="240" w:lineRule="auto"/>
              <w:rPr>
                <w:rFonts w:ascii="Calibri" w:eastAsia="Times New Roman" w:hAnsi="Calibri" w:cs="Calibri"/>
                <w:color w:val="00B050"/>
                <w:sz w:val="22"/>
              </w:rPr>
            </w:pPr>
            <w:r w:rsidRPr="00F83BD5">
              <w:rPr>
                <w:rFonts w:ascii="Calibri" w:eastAsia="Times New Roman" w:hAnsi="Calibri" w:cs="Calibri"/>
                <w:color w:val="00B050"/>
                <w:sz w:val="22"/>
              </w:rPr>
              <w:t>HI</w:t>
            </w:r>
          </w:p>
        </w:tc>
        <w:tc>
          <w:tcPr>
            <w:tcW w:w="1035" w:type="dxa"/>
            <w:shd w:val="clear" w:color="auto" w:fill="auto"/>
            <w:noWrap/>
            <w:vAlign w:val="bottom"/>
            <w:hideMark/>
          </w:tcPr>
          <w:p w:rsidR="00F83BD5" w:rsidRPr="00F83BD5" w:rsidRDefault="00F83BD5" w:rsidP="00F83BD5">
            <w:pPr>
              <w:spacing w:after="0" w:line="240" w:lineRule="auto"/>
              <w:jc w:val="right"/>
              <w:rPr>
                <w:rFonts w:ascii="Calibri" w:eastAsia="Times New Roman" w:hAnsi="Calibri" w:cs="Calibri"/>
                <w:color w:val="00B050"/>
                <w:sz w:val="22"/>
              </w:rPr>
            </w:pPr>
            <w:r w:rsidRPr="00F83BD5">
              <w:rPr>
                <w:rFonts w:ascii="Calibri" w:eastAsia="Times New Roman" w:hAnsi="Calibri" w:cs="Calibri"/>
                <w:color w:val="00B050"/>
                <w:sz w:val="22"/>
              </w:rPr>
              <w:t>5.76E-07</w:t>
            </w:r>
          </w:p>
        </w:tc>
        <w:tc>
          <w:tcPr>
            <w:tcW w:w="1035" w:type="dxa"/>
            <w:shd w:val="clear" w:color="auto" w:fill="auto"/>
            <w:noWrap/>
            <w:vAlign w:val="bottom"/>
            <w:hideMark/>
          </w:tcPr>
          <w:p w:rsidR="00F83BD5" w:rsidRPr="00F83BD5" w:rsidRDefault="00F83BD5" w:rsidP="00F83BD5">
            <w:pPr>
              <w:spacing w:after="0" w:line="240" w:lineRule="auto"/>
              <w:jc w:val="right"/>
              <w:rPr>
                <w:rFonts w:ascii="Calibri" w:eastAsia="Times New Roman" w:hAnsi="Calibri" w:cs="Calibri"/>
                <w:color w:val="00B050"/>
                <w:sz w:val="22"/>
              </w:rPr>
            </w:pPr>
            <w:r w:rsidRPr="00F83BD5">
              <w:rPr>
                <w:rFonts w:ascii="Calibri" w:eastAsia="Times New Roman" w:hAnsi="Calibri" w:cs="Calibri"/>
                <w:color w:val="00B050"/>
                <w:sz w:val="22"/>
              </w:rPr>
              <w:t>3.42E-07</w:t>
            </w:r>
          </w:p>
        </w:tc>
        <w:tc>
          <w:tcPr>
            <w:tcW w:w="1035" w:type="dxa"/>
            <w:shd w:val="clear" w:color="auto" w:fill="auto"/>
            <w:noWrap/>
            <w:vAlign w:val="bottom"/>
            <w:hideMark/>
          </w:tcPr>
          <w:p w:rsidR="00F83BD5" w:rsidRPr="00F83BD5" w:rsidRDefault="00F83BD5" w:rsidP="00F83BD5">
            <w:pPr>
              <w:spacing w:after="0" w:line="240" w:lineRule="auto"/>
              <w:jc w:val="right"/>
              <w:rPr>
                <w:rFonts w:ascii="Calibri" w:eastAsia="Times New Roman" w:hAnsi="Calibri" w:cs="Calibri"/>
                <w:color w:val="00B050"/>
                <w:sz w:val="22"/>
              </w:rPr>
            </w:pPr>
            <w:r w:rsidRPr="00F83BD5">
              <w:rPr>
                <w:rFonts w:ascii="Calibri" w:eastAsia="Times New Roman" w:hAnsi="Calibri" w:cs="Calibri"/>
                <w:color w:val="00B050"/>
                <w:sz w:val="22"/>
              </w:rPr>
              <w:t>2.44E-07</w:t>
            </w:r>
          </w:p>
        </w:tc>
        <w:tc>
          <w:tcPr>
            <w:tcW w:w="1035" w:type="dxa"/>
            <w:shd w:val="clear" w:color="auto" w:fill="auto"/>
            <w:noWrap/>
            <w:vAlign w:val="bottom"/>
            <w:hideMark/>
          </w:tcPr>
          <w:p w:rsidR="00F83BD5" w:rsidRPr="00F83BD5" w:rsidRDefault="00F83BD5" w:rsidP="00F83BD5">
            <w:pPr>
              <w:spacing w:after="0" w:line="240" w:lineRule="auto"/>
              <w:jc w:val="right"/>
              <w:rPr>
                <w:rFonts w:ascii="Calibri" w:eastAsia="Times New Roman" w:hAnsi="Calibri" w:cs="Calibri"/>
                <w:color w:val="00B050"/>
                <w:sz w:val="22"/>
              </w:rPr>
            </w:pPr>
            <w:r w:rsidRPr="00F83BD5">
              <w:rPr>
                <w:rFonts w:ascii="Calibri" w:eastAsia="Times New Roman" w:hAnsi="Calibri" w:cs="Calibri"/>
                <w:color w:val="00B050"/>
                <w:sz w:val="22"/>
              </w:rPr>
              <w:t>1.93E-07</w:t>
            </w:r>
          </w:p>
        </w:tc>
        <w:tc>
          <w:tcPr>
            <w:tcW w:w="960" w:type="dxa"/>
            <w:shd w:val="clear" w:color="auto" w:fill="auto"/>
            <w:noWrap/>
            <w:vAlign w:val="bottom"/>
            <w:hideMark/>
          </w:tcPr>
          <w:p w:rsidR="00F83BD5" w:rsidRPr="00F83BD5" w:rsidRDefault="00F83BD5" w:rsidP="00F83BD5">
            <w:pPr>
              <w:spacing w:after="0" w:line="240" w:lineRule="auto"/>
              <w:jc w:val="right"/>
              <w:rPr>
                <w:rFonts w:ascii="Calibri" w:eastAsia="Times New Roman" w:hAnsi="Calibri" w:cs="Calibri"/>
                <w:color w:val="00B050"/>
                <w:sz w:val="22"/>
              </w:rPr>
            </w:pPr>
            <w:r w:rsidRPr="00F83BD5">
              <w:rPr>
                <w:rFonts w:ascii="Calibri" w:eastAsia="Times New Roman" w:hAnsi="Calibri" w:cs="Calibri"/>
                <w:color w:val="00B050"/>
                <w:sz w:val="22"/>
              </w:rPr>
              <w:t>1.57E-07</w:t>
            </w:r>
          </w:p>
        </w:tc>
        <w:tc>
          <w:tcPr>
            <w:tcW w:w="960" w:type="dxa"/>
            <w:shd w:val="clear" w:color="auto" w:fill="auto"/>
            <w:noWrap/>
            <w:vAlign w:val="bottom"/>
            <w:hideMark/>
          </w:tcPr>
          <w:p w:rsidR="00F83BD5" w:rsidRPr="00F83BD5" w:rsidRDefault="00F83BD5" w:rsidP="00F83BD5">
            <w:pPr>
              <w:spacing w:after="0" w:line="240" w:lineRule="auto"/>
              <w:jc w:val="right"/>
              <w:rPr>
                <w:rFonts w:ascii="Calibri" w:eastAsia="Times New Roman" w:hAnsi="Calibri" w:cs="Calibri"/>
                <w:color w:val="00B050"/>
                <w:sz w:val="22"/>
              </w:rPr>
            </w:pPr>
            <w:r w:rsidRPr="00F83BD5">
              <w:rPr>
                <w:rFonts w:ascii="Calibri" w:eastAsia="Times New Roman" w:hAnsi="Calibri" w:cs="Calibri"/>
                <w:color w:val="00B050"/>
                <w:sz w:val="22"/>
              </w:rPr>
              <w:t>9.68E-07</w:t>
            </w:r>
          </w:p>
        </w:tc>
        <w:tc>
          <w:tcPr>
            <w:tcW w:w="960" w:type="dxa"/>
            <w:shd w:val="clear" w:color="auto" w:fill="auto"/>
            <w:noWrap/>
            <w:vAlign w:val="bottom"/>
            <w:hideMark/>
          </w:tcPr>
          <w:p w:rsidR="00F83BD5" w:rsidRPr="00F83BD5" w:rsidRDefault="00F83BD5" w:rsidP="00F83BD5">
            <w:pPr>
              <w:spacing w:after="0" w:line="240" w:lineRule="auto"/>
              <w:jc w:val="right"/>
              <w:rPr>
                <w:rFonts w:ascii="Calibri" w:eastAsia="Times New Roman" w:hAnsi="Calibri" w:cs="Calibri"/>
                <w:color w:val="00B050"/>
                <w:sz w:val="22"/>
              </w:rPr>
            </w:pPr>
            <w:r w:rsidRPr="00F83BD5">
              <w:rPr>
                <w:rFonts w:ascii="Calibri" w:eastAsia="Times New Roman" w:hAnsi="Calibri" w:cs="Calibri"/>
                <w:color w:val="00B050"/>
                <w:sz w:val="22"/>
              </w:rPr>
              <w:t>1.32E-06</w:t>
            </w:r>
          </w:p>
        </w:tc>
        <w:tc>
          <w:tcPr>
            <w:tcW w:w="1180" w:type="dxa"/>
            <w:shd w:val="clear" w:color="auto" w:fill="auto"/>
            <w:noWrap/>
            <w:vAlign w:val="bottom"/>
            <w:hideMark/>
          </w:tcPr>
          <w:p w:rsidR="00F83BD5" w:rsidRPr="00F83BD5" w:rsidRDefault="00F83BD5" w:rsidP="00F83BD5">
            <w:pPr>
              <w:spacing w:after="0" w:line="240" w:lineRule="auto"/>
              <w:jc w:val="right"/>
              <w:rPr>
                <w:rFonts w:ascii="Calibri" w:eastAsia="Times New Roman" w:hAnsi="Calibri" w:cs="Calibri"/>
                <w:color w:val="00B050"/>
                <w:sz w:val="22"/>
              </w:rPr>
            </w:pPr>
            <w:r w:rsidRPr="00F83BD5">
              <w:rPr>
                <w:rFonts w:ascii="Calibri" w:eastAsia="Times New Roman" w:hAnsi="Calibri" w:cs="Calibri"/>
                <w:color w:val="00B050"/>
                <w:sz w:val="22"/>
              </w:rPr>
              <w:t>2.50E-06</w:t>
            </w:r>
          </w:p>
        </w:tc>
        <w:tc>
          <w:tcPr>
            <w:tcW w:w="960" w:type="dxa"/>
            <w:shd w:val="clear" w:color="auto" w:fill="auto"/>
            <w:noWrap/>
            <w:vAlign w:val="bottom"/>
            <w:hideMark/>
          </w:tcPr>
          <w:p w:rsidR="00F83BD5" w:rsidRPr="00F83BD5" w:rsidRDefault="00F83BD5" w:rsidP="00F83BD5">
            <w:pPr>
              <w:spacing w:after="0" w:line="240" w:lineRule="auto"/>
              <w:jc w:val="right"/>
              <w:rPr>
                <w:rFonts w:ascii="Calibri" w:eastAsia="Times New Roman" w:hAnsi="Calibri" w:cs="Calibri"/>
                <w:color w:val="00B050"/>
                <w:sz w:val="22"/>
              </w:rPr>
            </w:pPr>
            <w:r w:rsidRPr="00F83BD5">
              <w:rPr>
                <w:rFonts w:ascii="Calibri" w:eastAsia="Times New Roman" w:hAnsi="Calibri" w:cs="Calibri"/>
                <w:color w:val="00B050"/>
                <w:sz w:val="22"/>
              </w:rPr>
              <w:t>1.03E-06</w:t>
            </w:r>
          </w:p>
        </w:tc>
      </w:tr>
    </w:tbl>
    <w:p w:rsidR="00F83BD5" w:rsidRPr="00540D6C" w:rsidRDefault="00F83BD5" w:rsidP="006036B1">
      <w:pPr>
        <w:jc w:val="both"/>
        <w:rPr>
          <w:rFonts w:cs="Times New Roman"/>
          <w:szCs w:val="24"/>
        </w:rPr>
      </w:pPr>
    </w:p>
    <w:p w:rsidR="006036B1" w:rsidRPr="00540D6C" w:rsidRDefault="006036B1" w:rsidP="006036B1">
      <w:pPr>
        <w:rPr>
          <w:rFonts w:cs="Times New Roman"/>
          <w:b/>
          <w:szCs w:val="24"/>
        </w:rPr>
      </w:pPr>
      <w:r w:rsidRPr="00540D6C">
        <w:rPr>
          <w:rFonts w:cs="Times New Roman"/>
          <w:noProof/>
          <w:szCs w:val="24"/>
        </w:rPr>
        <w:drawing>
          <wp:inline distT="0" distB="0" distL="114300" distR="114300" wp14:anchorId="147E9999" wp14:editId="57D73622">
            <wp:extent cx="4572000" cy="2606722"/>
            <wp:effectExtent l="0" t="0" r="0" b="3175"/>
            <wp:docPr id="1046"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036B1" w:rsidRPr="00540D6C" w:rsidRDefault="00C90E88" w:rsidP="006036B1">
      <w:pPr>
        <w:rPr>
          <w:rFonts w:cs="Times New Roman"/>
          <w:szCs w:val="24"/>
        </w:rPr>
      </w:pPr>
      <w:r w:rsidRPr="00540D6C">
        <w:rPr>
          <w:rFonts w:cs="Times New Roman"/>
          <w:szCs w:val="24"/>
        </w:rPr>
        <w:t>Figure 10</w:t>
      </w:r>
      <w:r w:rsidR="006036B1" w:rsidRPr="00540D6C">
        <w:rPr>
          <w:rFonts w:cs="Times New Roman"/>
          <w:szCs w:val="24"/>
        </w:rPr>
        <w:t xml:space="preserve"> Hazard Index of Water samples</w:t>
      </w:r>
    </w:p>
    <w:p w:rsidR="006036B1" w:rsidRPr="00540D6C" w:rsidRDefault="007F79EB" w:rsidP="006036B1">
      <w:pPr>
        <w:rPr>
          <w:rFonts w:cs="Times New Roman"/>
          <w:b/>
          <w:szCs w:val="24"/>
        </w:rPr>
      </w:pPr>
      <w:r>
        <w:rPr>
          <w:rFonts w:cs="Times New Roman"/>
          <w:b/>
          <w:szCs w:val="24"/>
        </w:rPr>
        <w:t xml:space="preserve">3.10 </w:t>
      </w:r>
      <w:r w:rsidR="006036B1" w:rsidRPr="00540D6C">
        <w:rPr>
          <w:rFonts w:cs="Times New Roman"/>
          <w:b/>
          <w:szCs w:val="24"/>
        </w:rPr>
        <w:t>Hazard Index of Water samples in Three Pathways</w:t>
      </w:r>
    </w:p>
    <w:p w:rsidR="006036B1" w:rsidRPr="00540D6C" w:rsidRDefault="00C90E88" w:rsidP="006036B1">
      <w:pPr>
        <w:jc w:val="both"/>
        <w:rPr>
          <w:rFonts w:cs="Times New Roman"/>
          <w:szCs w:val="24"/>
        </w:rPr>
      </w:pPr>
      <w:r w:rsidRPr="00540D6C">
        <w:rPr>
          <w:rFonts w:cs="Times New Roman"/>
          <w:szCs w:val="24"/>
        </w:rPr>
        <w:t>Figure 11</w:t>
      </w:r>
      <w:r w:rsidR="006036B1" w:rsidRPr="00540D6C">
        <w:rPr>
          <w:rFonts w:cs="Times New Roman"/>
          <w:szCs w:val="24"/>
        </w:rPr>
        <w:t xml:space="preserve"> showed that the Hazard Index in Three Pathways (Ingestion, Inhalation and Dermal) in which that the ingestion has the greeter value of 6.42E-06 followed by Dermal = 9.16E-07. Inhalation = 2.11E-09 served as the least value of HI effects. The result showed that Ingestion &gt; Dermal &gt; Inhalation respectively. The result indicated that HI of heavy metals in water were access to pollution rate through ingestion of water than inhalation and dermal effect. The result of high ingestion effect in water were similar to work of Usman </w:t>
      </w:r>
      <w:r w:rsidR="006036B1" w:rsidRPr="00540D6C">
        <w:rPr>
          <w:rFonts w:cs="Times New Roman"/>
          <w:i/>
          <w:iCs/>
          <w:szCs w:val="24"/>
        </w:rPr>
        <w:t>et al</w:t>
      </w:r>
      <w:r w:rsidR="006036B1" w:rsidRPr="00540D6C">
        <w:rPr>
          <w:rFonts w:cs="Times New Roman"/>
          <w:szCs w:val="24"/>
        </w:rPr>
        <w:t>. (2022).</w:t>
      </w:r>
    </w:p>
    <w:p w:rsidR="006036B1" w:rsidRPr="00540D6C" w:rsidRDefault="006036B1" w:rsidP="006036B1">
      <w:pPr>
        <w:rPr>
          <w:rFonts w:cs="Times New Roman"/>
          <w:b/>
          <w:szCs w:val="24"/>
        </w:rPr>
      </w:pPr>
    </w:p>
    <w:p w:rsidR="006036B1" w:rsidRPr="00540D6C" w:rsidRDefault="006036B1" w:rsidP="006036B1">
      <w:pPr>
        <w:rPr>
          <w:rFonts w:cs="Times New Roman"/>
          <w:b/>
          <w:szCs w:val="24"/>
        </w:rPr>
      </w:pPr>
      <w:r w:rsidRPr="00540D6C">
        <w:rPr>
          <w:rFonts w:cs="Times New Roman"/>
          <w:noProof/>
          <w:szCs w:val="24"/>
        </w:rPr>
        <w:lastRenderedPageBreak/>
        <w:drawing>
          <wp:inline distT="0" distB="0" distL="114300" distR="114300" wp14:anchorId="76448EFD" wp14:editId="3F2E7B8B">
            <wp:extent cx="4572000" cy="2743200"/>
            <wp:effectExtent l="0" t="0" r="0" b="0"/>
            <wp:docPr id="1048"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036B1" w:rsidRPr="00540D6C" w:rsidRDefault="00C90E88" w:rsidP="006036B1">
      <w:pPr>
        <w:pStyle w:val="Default"/>
        <w:tabs>
          <w:tab w:val="left" w:pos="2610"/>
        </w:tabs>
        <w:spacing w:line="360" w:lineRule="auto"/>
      </w:pPr>
      <w:r w:rsidRPr="00540D6C">
        <w:t>Figure 11</w:t>
      </w:r>
      <w:r w:rsidR="006036B1" w:rsidRPr="00540D6C">
        <w:t xml:space="preserve"> Hazard Index of Water samples in Three Pathways</w:t>
      </w:r>
    </w:p>
    <w:p w:rsidR="006036B1" w:rsidRPr="00540D6C" w:rsidRDefault="006036B1" w:rsidP="006036B1">
      <w:pPr>
        <w:pStyle w:val="Default"/>
        <w:spacing w:line="360" w:lineRule="auto"/>
        <w:rPr>
          <w:b/>
          <w:bCs/>
        </w:rPr>
      </w:pPr>
    </w:p>
    <w:p w:rsidR="00C90E88" w:rsidRPr="00540D6C" w:rsidRDefault="007F79EB" w:rsidP="00C90E88">
      <w:pPr>
        <w:pStyle w:val="Default"/>
        <w:spacing w:line="360" w:lineRule="auto"/>
        <w:rPr>
          <w:b/>
          <w:bCs/>
        </w:rPr>
      </w:pPr>
      <w:r>
        <w:rPr>
          <w:b/>
          <w:bCs/>
        </w:rPr>
        <w:t xml:space="preserve">3.11 </w:t>
      </w:r>
      <w:r w:rsidR="006036B1" w:rsidRPr="00540D6C">
        <w:rPr>
          <w:b/>
          <w:bCs/>
        </w:rPr>
        <w:t>Daily Exposure dose Total Non- Carcinogenic Heavy metals in Sediments Sample</w:t>
      </w:r>
    </w:p>
    <w:p w:rsidR="006036B1" w:rsidRPr="00540D6C" w:rsidRDefault="00C90E88" w:rsidP="00A67C21">
      <w:pPr>
        <w:pStyle w:val="Default"/>
        <w:spacing w:line="360" w:lineRule="auto"/>
        <w:jc w:val="both"/>
        <w:rPr>
          <w:b/>
          <w:bCs/>
        </w:rPr>
      </w:pPr>
      <w:r w:rsidRPr="00540D6C">
        <w:rPr>
          <w:bCs/>
        </w:rPr>
        <w:t>Figure12</w:t>
      </w:r>
      <w:r w:rsidR="006036B1" w:rsidRPr="00540D6C">
        <w:rPr>
          <w:bCs/>
        </w:rPr>
        <w:t xml:space="preserve"> showed  the concentration of daily dose non-carcinogenic  heavy metals in sediments sample in all the three pathways( ingestion, inhalation and dermal) whereby Fe has the highest concentration of likelihood daily exposure health risk with the value of 7.68E-06 followed by Mn=7.95E-06, Zn=5.61E-06, Ni=2.03E-06, Cu=6.59E-07, Cr=4.86E-07, Cd=4.97E-07, Pb=2.60E-07 while the least or lower amount kept in As=2.89E-07.The result indicated that the daily exposure dose of non-carcinogenic heavy metals of the sediments sample analyzed were expressed in decreasing order of Fe</w:t>
      </w:r>
      <w:r w:rsidR="00921164">
        <w:rPr>
          <w:bCs/>
        </w:rPr>
        <w:t xml:space="preserve"> </w:t>
      </w:r>
      <w:r w:rsidR="006036B1" w:rsidRPr="00540D6C">
        <w:rPr>
          <w:bCs/>
        </w:rPr>
        <w:t>&gt; Mn</w:t>
      </w:r>
      <w:r w:rsidR="00921164">
        <w:rPr>
          <w:bCs/>
        </w:rPr>
        <w:t xml:space="preserve"> </w:t>
      </w:r>
      <w:r w:rsidR="006036B1" w:rsidRPr="00540D6C">
        <w:rPr>
          <w:bCs/>
        </w:rPr>
        <w:t>&gt;Zn</w:t>
      </w:r>
      <w:r w:rsidR="00921164">
        <w:rPr>
          <w:bCs/>
        </w:rPr>
        <w:t xml:space="preserve"> </w:t>
      </w:r>
      <w:r w:rsidR="006036B1" w:rsidRPr="00540D6C">
        <w:rPr>
          <w:bCs/>
        </w:rPr>
        <w:t>&gt;Ni</w:t>
      </w:r>
      <w:r w:rsidR="00921164">
        <w:rPr>
          <w:bCs/>
        </w:rPr>
        <w:t xml:space="preserve"> </w:t>
      </w:r>
      <w:r w:rsidR="006036B1" w:rsidRPr="00540D6C">
        <w:rPr>
          <w:bCs/>
        </w:rPr>
        <w:t>&gt;Cu</w:t>
      </w:r>
      <w:r w:rsidR="00921164">
        <w:rPr>
          <w:bCs/>
        </w:rPr>
        <w:t xml:space="preserve"> </w:t>
      </w:r>
      <w:r w:rsidR="006036B1" w:rsidRPr="00540D6C">
        <w:rPr>
          <w:bCs/>
        </w:rPr>
        <w:t>&gt;Cr</w:t>
      </w:r>
      <w:r w:rsidR="00921164">
        <w:rPr>
          <w:bCs/>
        </w:rPr>
        <w:t xml:space="preserve"> </w:t>
      </w:r>
      <w:r w:rsidR="006036B1" w:rsidRPr="00540D6C">
        <w:rPr>
          <w:bCs/>
        </w:rPr>
        <w:t>&gt;Cd</w:t>
      </w:r>
      <w:r w:rsidR="00921164">
        <w:rPr>
          <w:bCs/>
        </w:rPr>
        <w:t xml:space="preserve"> </w:t>
      </w:r>
      <w:r w:rsidR="006036B1" w:rsidRPr="00540D6C">
        <w:rPr>
          <w:bCs/>
        </w:rPr>
        <w:t>&gt;Pb</w:t>
      </w:r>
      <w:r w:rsidR="00921164">
        <w:rPr>
          <w:bCs/>
        </w:rPr>
        <w:t xml:space="preserve"> </w:t>
      </w:r>
      <w:r w:rsidR="006036B1" w:rsidRPr="00540D6C">
        <w:rPr>
          <w:bCs/>
        </w:rPr>
        <w:t xml:space="preserve">&gt;As respectively.  The result obtained were similar to the work Usman </w:t>
      </w:r>
      <w:r w:rsidR="006036B1" w:rsidRPr="00540D6C">
        <w:rPr>
          <w:bCs/>
          <w:i/>
          <w:iCs/>
        </w:rPr>
        <w:t>et al</w:t>
      </w:r>
      <w:r w:rsidR="006036B1" w:rsidRPr="00540D6C">
        <w:rPr>
          <w:bCs/>
        </w:rPr>
        <w:t xml:space="preserve">. (2020) </w:t>
      </w:r>
    </w:p>
    <w:p w:rsidR="006036B1" w:rsidRPr="00540D6C" w:rsidRDefault="006036B1" w:rsidP="006036B1">
      <w:pPr>
        <w:pStyle w:val="Default"/>
        <w:spacing w:line="360" w:lineRule="auto"/>
        <w:rPr>
          <w:b/>
          <w:bCs/>
        </w:rPr>
      </w:pPr>
      <w:r w:rsidRPr="00540D6C">
        <w:rPr>
          <w:noProof/>
        </w:rPr>
        <w:drawing>
          <wp:inline distT="0" distB="0" distL="114300" distR="114300" wp14:anchorId="7546523E" wp14:editId="25CE110E">
            <wp:extent cx="4572000" cy="2743200"/>
            <wp:effectExtent l="0" t="0" r="0" b="0"/>
            <wp:docPr id="1050"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036B1" w:rsidRPr="00540D6C" w:rsidRDefault="00F85CB9" w:rsidP="006036B1">
      <w:pPr>
        <w:pStyle w:val="Default"/>
        <w:spacing w:line="360" w:lineRule="auto"/>
        <w:rPr>
          <w:bCs/>
        </w:rPr>
      </w:pPr>
      <w:r w:rsidRPr="00540D6C">
        <w:rPr>
          <w:bCs/>
        </w:rPr>
        <w:t>Figure 12</w:t>
      </w:r>
      <w:r w:rsidR="006036B1" w:rsidRPr="00540D6C">
        <w:rPr>
          <w:bCs/>
        </w:rPr>
        <w:t xml:space="preserve"> Daily dose Total Non- Carcinogenic Heavy metals in Sediments </w:t>
      </w:r>
    </w:p>
    <w:p w:rsidR="006036B1" w:rsidRPr="00540D6C" w:rsidRDefault="006036B1" w:rsidP="006036B1">
      <w:pPr>
        <w:pStyle w:val="Default"/>
        <w:spacing w:line="360" w:lineRule="auto"/>
        <w:rPr>
          <w:b/>
          <w:bCs/>
        </w:rPr>
      </w:pPr>
    </w:p>
    <w:p w:rsidR="006036B1" w:rsidRPr="00540D6C" w:rsidRDefault="007F79EB" w:rsidP="006036B1">
      <w:pPr>
        <w:pStyle w:val="Default"/>
        <w:spacing w:line="360" w:lineRule="auto"/>
        <w:rPr>
          <w:b/>
          <w:bCs/>
        </w:rPr>
      </w:pPr>
      <w:r>
        <w:rPr>
          <w:b/>
          <w:bCs/>
        </w:rPr>
        <w:t xml:space="preserve">3.12 </w:t>
      </w:r>
      <w:r w:rsidR="006036B1" w:rsidRPr="00540D6C">
        <w:rPr>
          <w:b/>
          <w:bCs/>
        </w:rPr>
        <w:t xml:space="preserve">Daily Exposure dose Total Carcinogenic Heavy metals in sediment </w:t>
      </w:r>
    </w:p>
    <w:p w:rsidR="006036B1" w:rsidRPr="00540D6C" w:rsidRDefault="00F85CB9" w:rsidP="006036B1">
      <w:pPr>
        <w:pStyle w:val="Default"/>
        <w:spacing w:line="360" w:lineRule="auto"/>
        <w:jc w:val="both"/>
        <w:rPr>
          <w:bCs/>
        </w:rPr>
      </w:pPr>
      <w:r w:rsidRPr="00540D6C">
        <w:rPr>
          <w:bCs/>
        </w:rPr>
        <w:t>Figure 13</w:t>
      </w:r>
      <w:r w:rsidR="006036B1" w:rsidRPr="00540D6C">
        <w:rPr>
          <w:bCs/>
        </w:rPr>
        <w:t xml:space="preserve"> showed the concentration of daily dose exposure of carcinogenic heavy metals in sediment sample specifically in two pathways (ingestion and inhalation) whereby the result indicated that the highest carcinogenic effect ; Cd=2.67E-07 followed by Cr=2.06E-07, As=1.73E-07 and Pb=1.51E-07. The result obtained showed that the daily exposure dose of carcinogenic heavy metals in sediment sample examined were expressed in decreasing order of Cd</w:t>
      </w:r>
      <w:r w:rsidR="00F83BD5">
        <w:rPr>
          <w:bCs/>
        </w:rPr>
        <w:t xml:space="preserve"> </w:t>
      </w:r>
      <w:r w:rsidR="006036B1" w:rsidRPr="00540D6C">
        <w:rPr>
          <w:bCs/>
        </w:rPr>
        <w:t>&gt;</w:t>
      </w:r>
      <w:r w:rsidR="00F83BD5">
        <w:rPr>
          <w:bCs/>
        </w:rPr>
        <w:t xml:space="preserve"> </w:t>
      </w:r>
      <w:r w:rsidR="006036B1" w:rsidRPr="00540D6C">
        <w:rPr>
          <w:bCs/>
        </w:rPr>
        <w:t>Cr</w:t>
      </w:r>
      <w:r w:rsidR="00F83BD5">
        <w:rPr>
          <w:bCs/>
        </w:rPr>
        <w:t xml:space="preserve"> </w:t>
      </w:r>
      <w:r w:rsidR="006036B1" w:rsidRPr="00540D6C">
        <w:rPr>
          <w:bCs/>
        </w:rPr>
        <w:t>&gt;</w:t>
      </w:r>
      <w:r w:rsidR="00F83BD5">
        <w:rPr>
          <w:bCs/>
        </w:rPr>
        <w:t xml:space="preserve"> </w:t>
      </w:r>
      <w:r w:rsidR="006036B1" w:rsidRPr="00540D6C">
        <w:rPr>
          <w:bCs/>
        </w:rPr>
        <w:t>As</w:t>
      </w:r>
      <w:r w:rsidR="00F83BD5">
        <w:rPr>
          <w:bCs/>
        </w:rPr>
        <w:t xml:space="preserve"> </w:t>
      </w:r>
      <w:r w:rsidR="006036B1" w:rsidRPr="00540D6C">
        <w:rPr>
          <w:bCs/>
        </w:rPr>
        <w:t>&gt;</w:t>
      </w:r>
      <w:r w:rsidR="00F83BD5">
        <w:rPr>
          <w:bCs/>
        </w:rPr>
        <w:t xml:space="preserve"> </w:t>
      </w:r>
      <w:r w:rsidR="006036B1" w:rsidRPr="00540D6C">
        <w:rPr>
          <w:bCs/>
        </w:rPr>
        <w:t xml:space="preserve">Pb respectively. As adopted by Usman </w:t>
      </w:r>
      <w:r w:rsidR="006036B1" w:rsidRPr="00540D6C">
        <w:rPr>
          <w:bCs/>
          <w:i/>
        </w:rPr>
        <w:t>et al</w:t>
      </w:r>
      <w:r w:rsidR="006036B1" w:rsidRPr="00540D6C">
        <w:rPr>
          <w:bCs/>
        </w:rPr>
        <w:t>., (2020)</w:t>
      </w:r>
    </w:p>
    <w:p w:rsidR="006036B1" w:rsidRPr="00540D6C" w:rsidRDefault="006036B1" w:rsidP="006036B1">
      <w:pPr>
        <w:pStyle w:val="Default"/>
        <w:spacing w:line="360" w:lineRule="auto"/>
        <w:rPr>
          <w:b/>
          <w:bCs/>
        </w:rPr>
      </w:pPr>
      <w:r w:rsidRPr="00540D6C">
        <w:rPr>
          <w:noProof/>
        </w:rPr>
        <w:drawing>
          <wp:inline distT="0" distB="0" distL="114300" distR="114300" wp14:anchorId="6D711BBA" wp14:editId="2741A003">
            <wp:extent cx="4572000" cy="2156346"/>
            <wp:effectExtent l="0" t="0" r="0" b="15875"/>
            <wp:docPr id="1052"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036B1" w:rsidRPr="00540D6C" w:rsidRDefault="00637AA7" w:rsidP="006036B1">
      <w:pPr>
        <w:pStyle w:val="Default"/>
        <w:spacing w:line="360" w:lineRule="auto"/>
        <w:jc w:val="both"/>
        <w:rPr>
          <w:bCs/>
        </w:rPr>
      </w:pPr>
      <w:r>
        <w:rPr>
          <w:bCs/>
        </w:rPr>
        <w:t>Figure 13</w:t>
      </w:r>
      <w:r w:rsidR="006036B1" w:rsidRPr="00540D6C">
        <w:rPr>
          <w:bCs/>
        </w:rPr>
        <w:t xml:space="preserve"> Daily Exposure dose Total Carcinogenic Heavy metals in Sediment sample</w:t>
      </w:r>
    </w:p>
    <w:p w:rsidR="00C05FA3" w:rsidRPr="00540D6C" w:rsidRDefault="00C05FA3" w:rsidP="006036B1">
      <w:pPr>
        <w:pStyle w:val="Default"/>
        <w:spacing w:line="360" w:lineRule="auto"/>
        <w:jc w:val="both"/>
        <w:rPr>
          <w:bCs/>
        </w:rPr>
      </w:pPr>
    </w:p>
    <w:p w:rsidR="006036B1" w:rsidRPr="00540D6C" w:rsidRDefault="007F79EB" w:rsidP="006036B1">
      <w:pPr>
        <w:jc w:val="both"/>
        <w:rPr>
          <w:rFonts w:cs="Times New Roman"/>
          <w:b/>
          <w:i/>
          <w:szCs w:val="24"/>
        </w:rPr>
      </w:pPr>
      <w:r>
        <w:rPr>
          <w:rFonts w:cs="Times New Roman"/>
          <w:b/>
          <w:szCs w:val="24"/>
        </w:rPr>
        <w:t xml:space="preserve">3.13 </w:t>
      </w:r>
      <w:r w:rsidR="006036B1" w:rsidRPr="00540D6C">
        <w:rPr>
          <w:rFonts w:cs="Times New Roman"/>
          <w:b/>
          <w:szCs w:val="24"/>
        </w:rPr>
        <w:t>Hazard Quotient</w:t>
      </w:r>
      <w:r w:rsidR="006036B1" w:rsidRPr="00540D6C">
        <w:rPr>
          <w:rFonts w:cs="Times New Roman"/>
          <w:b/>
          <w:bCs/>
          <w:szCs w:val="24"/>
        </w:rPr>
        <w:t xml:space="preserve"> </w:t>
      </w:r>
      <w:r w:rsidR="006036B1" w:rsidRPr="00540D6C">
        <w:rPr>
          <w:rFonts w:cs="Times New Roman"/>
          <w:b/>
          <w:szCs w:val="24"/>
        </w:rPr>
        <w:t>Risks of Non-Carcinogenic Heavy metals in Sediments</w:t>
      </w:r>
    </w:p>
    <w:p w:rsidR="006036B1" w:rsidRPr="00540D6C" w:rsidRDefault="006036B1" w:rsidP="006036B1">
      <w:pPr>
        <w:rPr>
          <w:rFonts w:cs="Times New Roman"/>
          <w:szCs w:val="24"/>
        </w:rPr>
      </w:pPr>
      <w:r w:rsidRPr="00540D6C">
        <w:rPr>
          <w:rFonts w:cs="Times New Roman"/>
          <w:szCs w:val="24"/>
        </w:rPr>
        <w:t>The hazard quotient (HQ) represents the potential non- carcinogenic risk for an individual heavy metal. The HQ is the ratio of mean daily exposure dose (AD) to the reference</w:t>
      </w:r>
      <w:r w:rsidR="00661DEE">
        <w:rPr>
          <w:rFonts w:cs="Times New Roman"/>
          <w:szCs w:val="24"/>
        </w:rPr>
        <w:t xml:space="preserve"> dose (</w:t>
      </w:r>
      <w:proofErr w:type="spellStart"/>
      <w:r w:rsidR="00661DEE">
        <w:rPr>
          <w:rFonts w:cs="Times New Roman"/>
          <w:szCs w:val="24"/>
        </w:rPr>
        <w:t>RfD</w:t>
      </w:r>
      <w:proofErr w:type="spellEnd"/>
      <w:r w:rsidR="00661DEE">
        <w:rPr>
          <w:rFonts w:cs="Times New Roman"/>
          <w:szCs w:val="24"/>
        </w:rPr>
        <w:t xml:space="preserve">) in mg/kg/day </w:t>
      </w:r>
    </w:p>
    <w:p w:rsidR="006036B1" w:rsidRPr="00540D6C" w:rsidRDefault="006036B1" w:rsidP="006036B1">
      <w:pPr>
        <w:rPr>
          <w:rFonts w:eastAsia="SimSun" w:cs="Times New Roman"/>
          <w:szCs w:val="24"/>
        </w:rPr>
      </w:pPr>
      <w:r w:rsidRPr="00540D6C">
        <w:rPr>
          <w:rFonts w:cs="Times New Roman"/>
          <w:szCs w:val="24"/>
        </w:rPr>
        <w:t xml:space="preserve">HQ = </w:t>
      </w:r>
      <m:oMath>
        <m:f>
          <m:fPr>
            <m:ctrlPr>
              <w:rPr>
                <w:rFonts w:ascii="Cambria Math" w:hAnsi="Cambria Math" w:cs="Times New Roman"/>
                <w:i/>
                <w:szCs w:val="24"/>
              </w:rPr>
            </m:ctrlPr>
          </m:fPr>
          <m:num>
            <m:r>
              <w:rPr>
                <w:rFonts w:ascii="Cambria Math" w:hAnsi="Cambria Math" w:cs="Times New Roman"/>
                <w:szCs w:val="24"/>
              </w:rPr>
              <m:t>AD</m:t>
            </m:r>
          </m:num>
          <m:den>
            <m:r>
              <w:rPr>
                <w:rFonts w:ascii="Cambria Math" w:hAnsi="Cambria Math" w:cs="Times New Roman"/>
                <w:szCs w:val="24"/>
              </w:rPr>
              <m:t>RfD</m:t>
            </m:r>
          </m:den>
        </m:f>
      </m:oMath>
      <w:r w:rsidR="00576D14">
        <w:rPr>
          <w:rFonts w:cs="Times New Roman"/>
          <w:szCs w:val="24"/>
        </w:rPr>
        <w:t xml:space="preserve">    (</w:t>
      </w:r>
      <w:proofErr w:type="spellStart"/>
      <w:r w:rsidR="00576D14">
        <w:rPr>
          <w:rFonts w:cs="Times New Roman"/>
          <w:szCs w:val="24"/>
        </w:rPr>
        <w:t>Saheh</w:t>
      </w:r>
      <w:proofErr w:type="spellEnd"/>
      <w:r w:rsidR="00576D14" w:rsidRPr="00540D6C">
        <w:rPr>
          <w:rFonts w:cs="Times New Roman"/>
          <w:szCs w:val="24"/>
        </w:rPr>
        <w:t xml:space="preserve"> </w:t>
      </w:r>
      <w:r w:rsidR="00576D14" w:rsidRPr="00540D6C">
        <w:rPr>
          <w:rFonts w:cs="Times New Roman"/>
          <w:i/>
          <w:szCs w:val="24"/>
        </w:rPr>
        <w:t>et al</w:t>
      </w:r>
      <w:r w:rsidR="00576D14">
        <w:rPr>
          <w:rFonts w:cs="Times New Roman"/>
          <w:szCs w:val="24"/>
        </w:rPr>
        <w:t>., 2025</w:t>
      </w:r>
      <w:r w:rsidR="00576D14" w:rsidRPr="00540D6C">
        <w:rPr>
          <w:rFonts w:cs="Times New Roman"/>
          <w:szCs w:val="24"/>
        </w:rPr>
        <w:t>)</w:t>
      </w:r>
    </w:p>
    <w:p w:rsidR="006036B1" w:rsidRPr="00540D6C" w:rsidRDefault="006036B1" w:rsidP="00540D6C">
      <w:pPr>
        <w:spacing w:before="240"/>
        <w:jc w:val="both"/>
        <w:rPr>
          <w:rFonts w:cs="Times New Roman"/>
          <w:szCs w:val="24"/>
        </w:rPr>
      </w:pPr>
      <w:r w:rsidRPr="00540D6C">
        <w:rPr>
          <w:rFonts w:eastAsia="SimSun" w:cs="Times New Roman"/>
          <w:szCs w:val="24"/>
        </w:rPr>
        <w:t xml:space="preserve">The </w:t>
      </w:r>
      <w:proofErr w:type="spellStart"/>
      <w:r w:rsidRPr="00540D6C">
        <w:rPr>
          <w:rFonts w:eastAsia="SimSun" w:cs="Times New Roman"/>
          <w:szCs w:val="24"/>
        </w:rPr>
        <w:t>RfD</w:t>
      </w:r>
      <w:r w:rsidRPr="00540D6C">
        <w:rPr>
          <w:rFonts w:eastAsia="SimSun" w:cs="Times New Roman"/>
          <w:szCs w:val="24"/>
          <w:vertAlign w:val="subscript"/>
        </w:rPr>
        <w:t>ing</w:t>
      </w:r>
      <w:proofErr w:type="spellEnd"/>
      <w:r w:rsidRPr="00540D6C">
        <w:rPr>
          <w:rFonts w:eastAsia="SimSun" w:cs="Times New Roman"/>
          <w:szCs w:val="24"/>
          <w:vertAlign w:val="subscript"/>
        </w:rPr>
        <w:t xml:space="preserve"> </w:t>
      </w:r>
      <w:r w:rsidRPr="00540D6C">
        <w:rPr>
          <w:rFonts w:eastAsia="SimSun" w:cs="Times New Roman"/>
          <w:szCs w:val="24"/>
        </w:rPr>
        <w:t>(mg/kg/day),of heavy metals values are; Cd = 1.00 x 10</w:t>
      </w:r>
      <w:r w:rsidRPr="00540D6C">
        <w:rPr>
          <w:rFonts w:eastAsia="SimSun" w:cs="Times New Roman"/>
          <w:szCs w:val="24"/>
          <w:vertAlign w:val="superscript"/>
        </w:rPr>
        <w:t>-3</w:t>
      </w:r>
      <w:r w:rsidRPr="00540D6C">
        <w:rPr>
          <w:rFonts w:eastAsia="SimSun" w:cs="Times New Roman"/>
          <w:szCs w:val="24"/>
        </w:rPr>
        <w:t>, Cr = 3.00 x 10</w:t>
      </w:r>
      <w:r w:rsidRPr="00540D6C">
        <w:rPr>
          <w:rFonts w:eastAsia="SimSun" w:cs="Times New Roman"/>
          <w:szCs w:val="24"/>
          <w:vertAlign w:val="superscript"/>
        </w:rPr>
        <w:t xml:space="preserve">-3 , </w:t>
      </w:r>
      <w:r w:rsidRPr="00540D6C">
        <w:rPr>
          <w:rFonts w:eastAsia="SimSun" w:cs="Times New Roman"/>
          <w:szCs w:val="24"/>
        </w:rPr>
        <w:t>Co = 3.00 x 10</w:t>
      </w:r>
      <w:r w:rsidRPr="00540D6C">
        <w:rPr>
          <w:rFonts w:eastAsia="SimSun" w:cs="Times New Roman"/>
          <w:szCs w:val="24"/>
          <w:vertAlign w:val="superscript"/>
        </w:rPr>
        <w:t xml:space="preserve">-4 </w:t>
      </w:r>
      <w:r w:rsidRPr="00540D6C">
        <w:rPr>
          <w:rFonts w:eastAsia="SimSun" w:cs="Times New Roman"/>
          <w:szCs w:val="24"/>
        </w:rPr>
        <w:t>Cu = 4.00</w:t>
      </w:r>
      <w:r w:rsidRPr="00540D6C">
        <w:rPr>
          <w:rFonts w:eastAsia="SimSun" w:cs="Times New Roman"/>
          <w:szCs w:val="24"/>
          <w:vertAlign w:val="superscript"/>
        </w:rPr>
        <w:t xml:space="preserve"> </w:t>
      </w:r>
      <w:r w:rsidRPr="00540D6C">
        <w:rPr>
          <w:rFonts w:eastAsia="SimSun" w:cs="Times New Roman"/>
          <w:szCs w:val="24"/>
        </w:rPr>
        <w:t>x</w:t>
      </w:r>
      <w:r w:rsidRPr="00540D6C">
        <w:rPr>
          <w:rFonts w:eastAsia="SimSun" w:cs="Times New Roman"/>
          <w:szCs w:val="24"/>
          <w:vertAlign w:val="superscript"/>
        </w:rPr>
        <w:t xml:space="preserve"> </w:t>
      </w:r>
      <w:r w:rsidRPr="00540D6C">
        <w:rPr>
          <w:rFonts w:eastAsia="SimSun" w:cs="Times New Roman"/>
          <w:szCs w:val="24"/>
        </w:rPr>
        <w:t>10</w:t>
      </w:r>
      <w:r w:rsidRPr="00540D6C">
        <w:rPr>
          <w:rFonts w:eastAsia="SimSun" w:cs="Times New Roman"/>
          <w:szCs w:val="24"/>
          <w:vertAlign w:val="superscript"/>
        </w:rPr>
        <w:t xml:space="preserve">-2 </w:t>
      </w:r>
      <w:r w:rsidRPr="00540D6C">
        <w:rPr>
          <w:rFonts w:eastAsia="SimSun" w:cs="Times New Roman"/>
          <w:szCs w:val="24"/>
        </w:rPr>
        <w:t>Pb = 3.5 x</w:t>
      </w:r>
      <w:r w:rsidRPr="00540D6C">
        <w:rPr>
          <w:rFonts w:eastAsia="SimSun" w:cs="Times New Roman"/>
          <w:szCs w:val="24"/>
          <w:vertAlign w:val="superscript"/>
        </w:rPr>
        <w:t xml:space="preserve"> </w:t>
      </w:r>
      <w:r w:rsidRPr="00540D6C">
        <w:rPr>
          <w:rFonts w:eastAsia="SimSun" w:cs="Times New Roman"/>
          <w:szCs w:val="24"/>
        </w:rPr>
        <w:t>10</w:t>
      </w:r>
      <w:r w:rsidRPr="00540D6C">
        <w:rPr>
          <w:rFonts w:eastAsia="SimSun" w:cs="Times New Roman"/>
          <w:szCs w:val="24"/>
          <w:vertAlign w:val="superscript"/>
        </w:rPr>
        <w:t xml:space="preserve">-3 </w:t>
      </w:r>
      <w:r w:rsidRPr="00540D6C">
        <w:rPr>
          <w:rFonts w:eastAsia="SimSun" w:cs="Times New Roman"/>
          <w:szCs w:val="24"/>
        </w:rPr>
        <w:t>, Zn = 3.00 x</w:t>
      </w:r>
      <w:r w:rsidRPr="00540D6C">
        <w:rPr>
          <w:rFonts w:eastAsia="SimSun" w:cs="Times New Roman"/>
          <w:szCs w:val="24"/>
          <w:vertAlign w:val="superscript"/>
        </w:rPr>
        <w:t xml:space="preserve"> </w:t>
      </w:r>
      <w:r w:rsidRPr="00540D6C">
        <w:rPr>
          <w:rFonts w:eastAsia="SimSun" w:cs="Times New Roman"/>
          <w:szCs w:val="24"/>
        </w:rPr>
        <w:t>10</w:t>
      </w:r>
      <w:r w:rsidRPr="00540D6C">
        <w:rPr>
          <w:rFonts w:eastAsia="SimSun" w:cs="Times New Roman"/>
          <w:szCs w:val="24"/>
          <w:vertAlign w:val="superscript"/>
        </w:rPr>
        <w:t xml:space="preserve">-1   </w:t>
      </w:r>
      <w:r w:rsidRPr="00540D6C">
        <w:rPr>
          <w:rFonts w:eastAsia="SimSun" w:cs="Times New Roman"/>
          <w:szCs w:val="24"/>
        </w:rPr>
        <w:t xml:space="preserve">(Usman </w:t>
      </w:r>
      <w:r w:rsidRPr="00540D6C">
        <w:rPr>
          <w:rFonts w:eastAsia="SimSun" w:cs="Times New Roman"/>
          <w:i/>
          <w:szCs w:val="24"/>
        </w:rPr>
        <w:t>et al</w:t>
      </w:r>
      <w:r w:rsidRPr="00540D6C">
        <w:rPr>
          <w:rFonts w:eastAsia="SimSun" w:cs="Times New Roman"/>
          <w:szCs w:val="24"/>
        </w:rPr>
        <w:t>., 2022), Mn = 1.40 x</w:t>
      </w:r>
      <w:r w:rsidRPr="00540D6C">
        <w:rPr>
          <w:rFonts w:eastAsia="SimSun" w:cs="Times New Roman"/>
          <w:szCs w:val="24"/>
          <w:vertAlign w:val="superscript"/>
        </w:rPr>
        <w:t xml:space="preserve"> </w:t>
      </w:r>
      <w:r w:rsidRPr="00540D6C">
        <w:rPr>
          <w:rFonts w:eastAsia="SimSun" w:cs="Times New Roman"/>
          <w:szCs w:val="24"/>
        </w:rPr>
        <w:t>10</w:t>
      </w:r>
      <w:r w:rsidRPr="00540D6C">
        <w:rPr>
          <w:rFonts w:eastAsia="SimSun" w:cs="Times New Roman"/>
          <w:szCs w:val="24"/>
          <w:vertAlign w:val="superscript"/>
        </w:rPr>
        <w:t xml:space="preserve">-1 </w:t>
      </w:r>
      <w:r w:rsidRPr="00540D6C">
        <w:rPr>
          <w:rFonts w:eastAsia="SimSun" w:cs="Times New Roman"/>
          <w:szCs w:val="24"/>
        </w:rPr>
        <w:t>,As =</w:t>
      </w:r>
      <w:r w:rsidRPr="00540D6C">
        <w:rPr>
          <w:rFonts w:cs="Times New Roman"/>
          <w:szCs w:val="24"/>
        </w:rPr>
        <w:t xml:space="preserve"> 3.00 x </w:t>
      </w:r>
      <w:r w:rsidRPr="00540D6C">
        <w:rPr>
          <w:rFonts w:eastAsia="SimSun" w:cs="Times New Roman"/>
          <w:szCs w:val="24"/>
        </w:rPr>
        <w:t>10</w:t>
      </w:r>
      <w:r w:rsidRPr="00540D6C">
        <w:rPr>
          <w:rFonts w:eastAsia="SimSun" w:cs="Times New Roman"/>
          <w:szCs w:val="24"/>
          <w:vertAlign w:val="superscript"/>
        </w:rPr>
        <w:t>-4</w:t>
      </w:r>
      <w:r w:rsidRPr="00540D6C">
        <w:rPr>
          <w:rFonts w:cs="Times New Roman"/>
          <w:szCs w:val="24"/>
        </w:rPr>
        <w:t xml:space="preserve">  (Usman </w:t>
      </w:r>
      <w:r w:rsidRPr="00540D6C">
        <w:rPr>
          <w:rFonts w:cs="Times New Roman"/>
          <w:i/>
          <w:szCs w:val="24"/>
        </w:rPr>
        <w:t>et al</w:t>
      </w:r>
      <w:r w:rsidRPr="00540D6C">
        <w:rPr>
          <w:rFonts w:cs="Times New Roman"/>
          <w:szCs w:val="24"/>
        </w:rPr>
        <w:t>., 2022) Ni = 2.00x 10</w:t>
      </w:r>
      <w:r w:rsidRPr="00540D6C">
        <w:rPr>
          <w:rFonts w:cs="Times New Roman"/>
          <w:szCs w:val="24"/>
          <w:vertAlign w:val="superscript"/>
        </w:rPr>
        <w:t>-2</w:t>
      </w:r>
      <w:r w:rsidRPr="00540D6C">
        <w:rPr>
          <w:rFonts w:cs="Times New Roman"/>
          <w:szCs w:val="24"/>
        </w:rPr>
        <w:t xml:space="preserve"> (</w:t>
      </w:r>
      <w:proofErr w:type="spellStart"/>
      <w:r w:rsidRPr="00540D6C">
        <w:rPr>
          <w:rFonts w:cs="Times New Roman"/>
          <w:szCs w:val="24"/>
        </w:rPr>
        <w:t>Caspah</w:t>
      </w:r>
      <w:proofErr w:type="spellEnd"/>
      <w:r w:rsidRPr="00540D6C">
        <w:rPr>
          <w:rFonts w:cs="Times New Roman"/>
          <w:szCs w:val="24"/>
        </w:rPr>
        <w:t xml:space="preserve"> </w:t>
      </w:r>
      <w:r w:rsidRPr="00540D6C">
        <w:rPr>
          <w:rFonts w:cs="Times New Roman"/>
          <w:i/>
          <w:szCs w:val="24"/>
        </w:rPr>
        <w:t>et al</w:t>
      </w:r>
      <w:r w:rsidRPr="00540D6C">
        <w:rPr>
          <w:rFonts w:cs="Times New Roman"/>
          <w:szCs w:val="24"/>
        </w:rPr>
        <w:t>., 2016) Fe = 7.00x 10</w:t>
      </w:r>
      <w:r w:rsidRPr="00540D6C">
        <w:rPr>
          <w:rFonts w:cs="Times New Roman"/>
          <w:szCs w:val="24"/>
          <w:vertAlign w:val="superscript"/>
        </w:rPr>
        <w:t>-1</w:t>
      </w:r>
      <w:r w:rsidRPr="00540D6C">
        <w:rPr>
          <w:rFonts w:cs="Times New Roman"/>
          <w:szCs w:val="24"/>
        </w:rPr>
        <w:t xml:space="preserve">(Usman </w:t>
      </w:r>
      <w:r w:rsidRPr="00540D6C">
        <w:rPr>
          <w:rFonts w:cs="Times New Roman"/>
          <w:i/>
          <w:szCs w:val="24"/>
        </w:rPr>
        <w:t>et al</w:t>
      </w:r>
      <w:r w:rsidRPr="00540D6C">
        <w:rPr>
          <w:rFonts w:cs="Times New Roman"/>
          <w:szCs w:val="24"/>
        </w:rPr>
        <w:t>., 2020).</w:t>
      </w:r>
    </w:p>
    <w:p w:rsidR="006036B1" w:rsidRPr="00540D6C" w:rsidRDefault="006036B1" w:rsidP="00540D6C">
      <w:pPr>
        <w:jc w:val="both"/>
        <w:rPr>
          <w:rFonts w:eastAsia="SimSun" w:cs="Times New Roman"/>
          <w:szCs w:val="24"/>
        </w:rPr>
      </w:pPr>
      <w:r w:rsidRPr="00540D6C">
        <w:rPr>
          <w:rFonts w:eastAsia="SimSun" w:cs="Times New Roman"/>
          <w:szCs w:val="24"/>
        </w:rPr>
        <w:t xml:space="preserve">The </w:t>
      </w:r>
      <w:proofErr w:type="spellStart"/>
      <w:r w:rsidRPr="00540D6C">
        <w:rPr>
          <w:rFonts w:eastAsia="SimSun" w:cs="Times New Roman"/>
          <w:szCs w:val="24"/>
        </w:rPr>
        <w:t>RfD</w:t>
      </w:r>
      <w:r w:rsidRPr="00540D6C">
        <w:rPr>
          <w:rFonts w:eastAsia="SimSun" w:cs="Times New Roman"/>
          <w:szCs w:val="24"/>
          <w:vertAlign w:val="subscript"/>
        </w:rPr>
        <w:t>inh</w:t>
      </w:r>
      <w:proofErr w:type="spellEnd"/>
      <w:r w:rsidRPr="00540D6C">
        <w:rPr>
          <w:rFonts w:eastAsia="SimSun" w:cs="Times New Roman"/>
          <w:szCs w:val="24"/>
        </w:rPr>
        <w:t xml:space="preserve"> (mg/kg/day), constant values are; Cd = 1.00 x 10</w:t>
      </w:r>
      <w:r w:rsidRPr="00540D6C">
        <w:rPr>
          <w:rFonts w:eastAsia="SimSun" w:cs="Times New Roman"/>
          <w:szCs w:val="24"/>
          <w:vertAlign w:val="superscript"/>
        </w:rPr>
        <w:t>-3</w:t>
      </w:r>
      <w:r w:rsidRPr="00540D6C">
        <w:rPr>
          <w:rFonts w:eastAsia="SimSun" w:cs="Times New Roman"/>
          <w:szCs w:val="24"/>
        </w:rPr>
        <w:t>, Cr = 2.86 x 10</w:t>
      </w:r>
      <w:r w:rsidRPr="00540D6C">
        <w:rPr>
          <w:rFonts w:eastAsia="SimSun" w:cs="Times New Roman"/>
          <w:szCs w:val="24"/>
          <w:vertAlign w:val="superscript"/>
        </w:rPr>
        <w:t>-5</w:t>
      </w:r>
      <w:r w:rsidRPr="00540D6C">
        <w:rPr>
          <w:rFonts w:eastAsia="SimSun" w:cs="Times New Roman"/>
          <w:szCs w:val="24"/>
        </w:rPr>
        <w:t>, Co = 5.71 x 10</w:t>
      </w:r>
      <w:r w:rsidRPr="00540D6C">
        <w:rPr>
          <w:rFonts w:eastAsia="SimSun" w:cs="Times New Roman"/>
          <w:szCs w:val="24"/>
          <w:vertAlign w:val="superscript"/>
        </w:rPr>
        <w:t>-6</w:t>
      </w:r>
      <w:r w:rsidRPr="00540D6C">
        <w:rPr>
          <w:rFonts w:eastAsia="SimSun" w:cs="Times New Roman"/>
          <w:szCs w:val="24"/>
        </w:rPr>
        <w:t>, Cu = 4.02 x 10</w:t>
      </w:r>
      <w:r w:rsidRPr="00540D6C">
        <w:rPr>
          <w:rFonts w:eastAsia="SimSun" w:cs="Times New Roman"/>
          <w:szCs w:val="24"/>
          <w:vertAlign w:val="superscript"/>
        </w:rPr>
        <w:t>-2</w:t>
      </w:r>
      <w:r w:rsidRPr="00540D6C">
        <w:rPr>
          <w:rFonts w:eastAsia="SimSun" w:cs="Times New Roman"/>
          <w:szCs w:val="24"/>
        </w:rPr>
        <w:t>, Pb = 3.52 x 10</w:t>
      </w:r>
      <w:r w:rsidRPr="00540D6C">
        <w:rPr>
          <w:rFonts w:eastAsia="SimSun" w:cs="Times New Roman"/>
          <w:szCs w:val="24"/>
          <w:vertAlign w:val="superscript"/>
        </w:rPr>
        <w:t>-3</w:t>
      </w:r>
      <w:r w:rsidRPr="00540D6C">
        <w:rPr>
          <w:rFonts w:eastAsia="SimSun" w:cs="Times New Roman"/>
          <w:szCs w:val="24"/>
        </w:rPr>
        <w:t>, Zn = 3.00 x 10</w:t>
      </w:r>
      <w:r w:rsidRPr="00540D6C">
        <w:rPr>
          <w:rFonts w:eastAsia="SimSun" w:cs="Times New Roman"/>
          <w:szCs w:val="24"/>
          <w:vertAlign w:val="superscript"/>
        </w:rPr>
        <w:t>-1</w:t>
      </w:r>
      <w:r w:rsidRPr="00540D6C">
        <w:rPr>
          <w:rFonts w:eastAsia="SimSun" w:cs="Times New Roman"/>
          <w:szCs w:val="24"/>
        </w:rPr>
        <w:t xml:space="preserve">, (Zheng </w:t>
      </w:r>
      <w:r w:rsidRPr="00540D6C">
        <w:rPr>
          <w:rFonts w:eastAsia="SimSun" w:cs="Times New Roman"/>
          <w:i/>
          <w:szCs w:val="24"/>
        </w:rPr>
        <w:t>et al</w:t>
      </w:r>
      <w:r w:rsidRPr="00540D6C">
        <w:rPr>
          <w:rFonts w:eastAsia="SimSun" w:cs="Times New Roman"/>
          <w:szCs w:val="24"/>
        </w:rPr>
        <w:t>., 2015), Mn = 1.84 x 10</w:t>
      </w:r>
      <w:r w:rsidRPr="00540D6C">
        <w:rPr>
          <w:rFonts w:eastAsia="SimSun" w:cs="Times New Roman"/>
          <w:szCs w:val="24"/>
          <w:vertAlign w:val="superscript"/>
        </w:rPr>
        <w:t>-5</w:t>
      </w:r>
      <w:r w:rsidRPr="00540D6C">
        <w:rPr>
          <w:rFonts w:eastAsia="SimSun" w:cs="Times New Roman"/>
          <w:szCs w:val="24"/>
        </w:rPr>
        <w:t>, As = 3.00 x 10</w:t>
      </w:r>
      <w:r w:rsidRPr="00540D6C">
        <w:rPr>
          <w:rFonts w:eastAsia="SimSun" w:cs="Times New Roman"/>
          <w:szCs w:val="24"/>
          <w:vertAlign w:val="superscript"/>
        </w:rPr>
        <w:t>-4</w:t>
      </w:r>
      <w:r w:rsidRPr="00540D6C">
        <w:rPr>
          <w:rFonts w:eastAsia="SimSun" w:cs="Times New Roman"/>
          <w:szCs w:val="24"/>
        </w:rPr>
        <w:t xml:space="preserve">, Ni = 0 </w:t>
      </w:r>
      <w:r w:rsidRPr="00540D6C">
        <w:rPr>
          <w:rFonts w:cs="Times New Roman"/>
          <w:szCs w:val="24"/>
        </w:rPr>
        <w:t>(</w:t>
      </w:r>
      <w:proofErr w:type="spellStart"/>
      <w:r w:rsidRPr="00540D6C">
        <w:rPr>
          <w:rFonts w:cs="Times New Roman"/>
          <w:szCs w:val="24"/>
        </w:rPr>
        <w:t>Caspah</w:t>
      </w:r>
      <w:proofErr w:type="spellEnd"/>
      <w:r w:rsidRPr="00540D6C">
        <w:rPr>
          <w:rFonts w:cs="Times New Roman"/>
          <w:szCs w:val="24"/>
        </w:rPr>
        <w:t xml:space="preserve"> </w:t>
      </w:r>
      <w:r w:rsidRPr="00540D6C">
        <w:rPr>
          <w:rFonts w:cs="Times New Roman"/>
          <w:i/>
          <w:szCs w:val="24"/>
        </w:rPr>
        <w:t>et al</w:t>
      </w:r>
      <w:r w:rsidRPr="00540D6C">
        <w:rPr>
          <w:rFonts w:cs="Times New Roman"/>
          <w:szCs w:val="24"/>
        </w:rPr>
        <w:t xml:space="preserve">., 2016) Fe = 8.25 (Patrick </w:t>
      </w:r>
      <w:r w:rsidRPr="00540D6C">
        <w:rPr>
          <w:rFonts w:cs="Times New Roman"/>
          <w:i/>
          <w:szCs w:val="24"/>
        </w:rPr>
        <w:t>et al</w:t>
      </w:r>
      <w:r w:rsidRPr="00540D6C">
        <w:rPr>
          <w:rFonts w:cs="Times New Roman"/>
          <w:szCs w:val="24"/>
        </w:rPr>
        <w:t>., 2014)</w:t>
      </w:r>
    </w:p>
    <w:p w:rsidR="006036B1" w:rsidRPr="00540D6C" w:rsidRDefault="006036B1" w:rsidP="00540D6C">
      <w:pPr>
        <w:jc w:val="both"/>
        <w:rPr>
          <w:rFonts w:cs="Times New Roman"/>
          <w:szCs w:val="24"/>
        </w:rPr>
      </w:pPr>
      <w:r w:rsidRPr="00540D6C">
        <w:rPr>
          <w:rFonts w:eastAsia="SimSun" w:cs="Times New Roman"/>
          <w:szCs w:val="24"/>
        </w:rPr>
        <w:lastRenderedPageBreak/>
        <w:t xml:space="preserve">The </w:t>
      </w:r>
      <w:proofErr w:type="spellStart"/>
      <w:proofErr w:type="gramStart"/>
      <w:r w:rsidRPr="00540D6C">
        <w:rPr>
          <w:rFonts w:eastAsia="SimSun" w:cs="Times New Roman"/>
          <w:szCs w:val="24"/>
        </w:rPr>
        <w:t>RfD</w:t>
      </w:r>
      <w:r w:rsidRPr="00540D6C">
        <w:rPr>
          <w:rFonts w:eastAsia="SimSun" w:cs="Times New Roman"/>
          <w:szCs w:val="24"/>
          <w:vertAlign w:val="subscript"/>
        </w:rPr>
        <w:t>derm</w:t>
      </w:r>
      <w:proofErr w:type="spellEnd"/>
      <w:r w:rsidRPr="00540D6C">
        <w:rPr>
          <w:rFonts w:eastAsia="SimSun" w:cs="Times New Roman"/>
          <w:szCs w:val="24"/>
        </w:rPr>
        <w:t>(</w:t>
      </w:r>
      <w:proofErr w:type="gramEnd"/>
      <w:r w:rsidRPr="00540D6C">
        <w:rPr>
          <w:rFonts w:eastAsia="SimSun" w:cs="Times New Roman"/>
          <w:szCs w:val="24"/>
        </w:rPr>
        <w:t>mg/kg/day),constants values are; Cd = 1.00 x 10,</w:t>
      </w:r>
      <w:r w:rsidRPr="00540D6C">
        <w:rPr>
          <w:rFonts w:eastAsia="SimSun" w:cs="Times New Roman"/>
          <w:szCs w:val="24"/>
          <w:vertAlign w:val="superscript"/>
        </w:rPr>
        <w:t>-5</w:t>
      </w:r>
      <w:r w:rsidRPr="00540D6C">
        <w:rPr>
          <w:rFonts w:eastAsia="SimSun" w:cs="Times New Roman"/>
          <w:szCs w:val="24"/>
        </w:rPr>
        <w:t xml:space="preserve"> Cr = 6.00 x 10</w:t>
      </w:r>
      <w:r w:rsidRPr="00540D6C">
        <w:rPr>
          <w:rFonts w:eastAsia="SimSun" w:cs="Times New Roman"/>
          <w:szCs w:val="24"/>
          <w:vertAlign w:val="superscript"/>
        </w:rPr>
        <w:t xml:space="preserve">-5 , </w:t>
      </w:r>
      <w:r w:rsidRPr="00540D6C">
        <w:rPr>
          <w:rFonts w:eastAsia="SimSun" w:cs="Times New Roman"/>
          <w:szCs w:val="24"/>
        </w:rPr>
        <w:t>Co = 3.00 x 10</w:t>
      </w:r>
      <w:r w:rsidRPr="00540D6C">
        <w:rPr>
          <w:rFonts w:eastAsia="SimSun" w:cs="Times New Roman"/>
          <w:szCs w:val="24"/>
          <w:vertAlign w:val="superscript"/>
        </w:rPr>
        <w:t xml:space="preserve">-2 </w:t>
      </w:r>
      <w:r w:rsidRPr="00540D6C">
        <w:rPr>
          <w:rFonts w:eastAsia="SimSun" w:cs="Times New Roman"/>
          <w:szCs w:val="24"/>
        </w:rPr>
        <w:t>Cu = 1.20</w:t>
      </w:r>
      <w:r w:rsidRPr="00540D6C">
        <w:rPr>
          <w:rFonts w:eastAsia="SimSun" w:cs="Times New Roman"/>
          <w:szCs w:val="24"/>
          <w:vertAlign w:val="superscript"/>
        </w:rPr>
        <w:t xml:space="preserve"> </w:t>
      </w:r>
      <w:r w:rsidRPr="00540D6C">
        <w:rPr>
          <w:rFonts w:eastAsia="SimSun" w:cs="Times New Roman"/>
          <w:szCs w:val="24"/>
        </w:rPr>
        <w:t>x</w:t>
      </w:r>
      <w:r w:rsidRPr="00540D6C">
        <w:rPr>
          <w:rFonts w:eastAsia="SimSun" w:cs="Times New Roman"/>
          <w:szCs w:val="24"/>
          <w:vertAlign w:val="superscript"/>
        </w:rPr>
        <w:t xml:space="preserve"> </w:t>
      </w:r>
      <w:r w:rsidRPr="00540D6C">
        <w:rPr>
          <w:rFonts w:eastAsia="SimSun" w:cs="Times New Roman"/>
          <w:szCs w:val="24"/>
        </w:rPr>
        <w:t>10</w:t>
      </w:r>
      <w:r w:rsidRPr="00540D6C">
        <w:rPr>
          <w:rFonts w:eastAsia="SimSun" w:cs="Times New Roman"/>
          <w:szCs w:val="24"/>
          <w:vertAlign w:val="superscript"/>
        </w:rPr>
        <w:t xml:space="preserve">-2 </w:t>
      </w:r>
      <w:r w:rsidRPr="00540D6C">
        <w:rPr>
          <w:rFonts w:eastAsia="SimSun" w:cs="Times New Roman"/>
          <w:szCs w:val="24"/>
        </w:rPr>
        <w:t>Pb = 5.25 x</w:t>
      </w:r>
      <w:r w:rsidRPr="00540D6C">
        <w:rPr>
          <w:rFonts w:eastAsia="SimSun" w:cs="Times New Roman"/>
          <w:szCs w:val="24"/>
          <w:vertAlign w:val="superscript"/>
        </w:rPr>
        <w:t xml:space="preserve"> </w:t>
      </w:r>
      <w:r w:rsidRPr="00540D6C">
        <w:rPr>
          <w:rFonts w:eastAsia="SimSun" w:cs="Times New Roman"/>
          <w:szCs w:val="24"/>
        </w:rPr>
        <w:t>10</w:t>
      </w:r>
      <w:r w:rsidRPr="00540D6C">
        <w:rPr>
          <w:rFonts w:eastAsia="SimSun" w:cs="Times New Roman"/>
          <w:szCs w:val="24"/>
          <w:vertAlign w:val="superscript"/>
        </w:rPr>
        <w:t xml:space="preserve">-4 </w:t>
      </w:r>
      <w:r w:rsidRPr="00540D6C">
        <w:rPr>
          <w:rFonts w:eastAsia="SimSun" w:cs="Times New Roman"/>
          <w:szCs w:val="24"/>
        </w:rPr>
        <w:t>, Zn = 6.00 x</w:t>
      </w:r>
      <w:r w:rsidRPr="00540D6C">
        <w:rPr>
          <w:rFonts w:eastAsia="SimSun" w:cs="Times New Roman"/>
          <w:szCs w:val="24"/>
          <w:vertAlign w:val="superscript"/>
        </w:rPr>
        <w:t xml:space="preserve"> </w:t>
      </w:r>
      <w:r w:rsidRPr="00540D6C">
        <w:rPr>
          <w:rFonts w:eastAsia="SimSun" w:cs="Times New Roman"/>
          <w:szCs w:val="24"/>
        </w:rPr>
        <w:t>10</w:t>
      </w:r>
      <w:r w:rsidRPr="00540D6C">
        <w:rPr>
          <w:rFonts w:eastAsia="SimSun" w:cs="Times New Roman"/>
          <w:szCs w:val="24"/>
          <w:vertAlign w:val="superscript"/>
        </w:rPr>
        <w:t xml:space="preserve">-2   </w:t>
      </w:r>
      <w:r w:rsidRPr="00540D6C">
        <w:rPr>
          <w:rFonts w:eastAsia="SimSun" w:cs="Times New Roman"/>
          <w:szCs w:val="24"/>
        </w:rPr>
        <w:t xml:space="preserve">(Zheng </w:t>
      </w:r>
      <w:r w:rsidRPr="00540D6C">
        <w:rPr>
          <w:rFonts w:eastAsia="SimSun" w:cs="Times New Roman"/>
          <w:i/>
          <w:szCs w:val="24"/>
        </w:rPr>
        <w:t>et al</w:t>
      </w:r>
      <w:r w:rsidRPr="00540D6C">
        <w:rPr>
          <w:rFonts w:eastAsia="SimSun" w:cs="Times New Roman"/>
          <w:szCs w:val="24"/>
        </w:rPr>
        <w:t>., 2015), Mn = 1.84 x</w:t>
      </w:r>
      <w:r w:rsidRPr="00540D6C">
        <w:rPr>
          <w:rFonts w:eastAsia="SimSun" w:cs="Times New Roman"/>
          <w:szCs w:val="24"/>
          <w:vertAlign w:val="superscript"/>
        </w:rPr>
        <w:t xml:space="preserve"> </w:t>
      </w:r>
      <w:r w:rsidRPr="00540D6C">
        <w:rPr>
          <w:rFonts w:eastAsia="SimSun" w:cs="Times New Roman"/>
          <w:szCs w:val="24"/>
        </w:rPr>
        <w:t>10</w:t>
      </w:r>
      <w:r w:rsidRPr="00540D6C">
        <w:rPr>
          <w:rFonts w:eastAsia="SimSun" w:cs="Times New Roman"/>
          <w:szCs w:val="24"/>
          <w:vertAlign w:val="superscript"/>
        </w:rPr>
        <w:t xml:space="preserve">-3 </w:t>
      </w:r>
      <w:r w:rsidRPr="00540D6C">
        <w:rPr>
          <w:rFonts w:eastAsia="SimSun" w:cs="Times New Roman"/>
          <w:szCs w:val="24"/>
        </w:rPr>
        <w:t>,As =</w:t>
      </w:r>
      <w:r w:rsidRPr="00540D6C">
        <w:rPr>
          <w:rFonts w:cs="Times New Roman"/>
          <w:szCs w:val="24"/>
        </w:rPr>
        <w:t xml:space="preserve"> 1.23 x </w:t>
      </w:r>
      <w:r w:rsidRPr="00540D6C">
        <w:rPr>
          <w:rFonts w:eastAsia="SimSun" w:cs="Times New Roman"/>
          <w:szCs w:val="24"/>
        </w:rPr>
        <w:t>10</w:t>
      </w:r>
      <w:r w:rsidRPr="00540D6C">
        <w:rPr>
          <w:rFonts w:eastAsia="SimSun" w:cs="Times New Roman"/>
          <w:szCs w:val="24"/>
          <w:vertAlign w:val="superscript"/>
        </w:rPr>
        <w:t>-4</w:t>
      </w:r>
      <w:r w:rsidRPr="00540D6C">
        <w:rPr>
          <w:rFonts w:cs="Times New Roman"/>
          <w:szCs w:val="24"/>
        </w:rPr>
        <w:t xml:space="preserve">  Ni = 5.6 x 10</w:t>
      </w:r>
      <w:r w:rsidRPr="00540D6C">
        <w:rPr>
          <w:rFonts w:cs="Times New Roman"/>
          <w:szCs w:val="24"/>
          <w:vertAlign w:val="superscript"/>
        </w:rPr>
        <w:t>-3</w:t>
      </w:r>
      <w:r w:rsidRPr="00540D6C">
        <w:rPr>
          <w:rFonts w:cs="Times New Roman"/>
          <w:szCs w:val="24"/>
        </w:rPr>
        <w:t>(</w:t>
      </w:r>
      <w:proofErr w:type="spellStart"/>
      <w:r w:rsidRPr="00540D6C">
        <w:rPr>
          <w:rFonts w:cs="Times New Roman"/>
          <w:szCs w:val="24"/>
        </w:rPr>
        <w:t>Caspah</w:t>
      </w:r>
      <w:proofErr w:type="spellEnd"/>
      <w:r w:rsidRPr="00540D6C">
        <w:rPr>
          <w:rFonts w:cs="Times New Roman"/>
          <w:szCs w:val="24"/>
        </w:rPr>
        <w:t xml:space="preserve"> </w:t>
      </w:r>
      <w:r w:rsidRPr="00540D6C">
        <w:rPr>
          <w:rFonts w:cs="Times New Roman"/>
          <w:i/>
          <w:szCs w:val="24"/>
        </w:rPr>
        <w:t>et al</w:t>
      </w:r>
      <w:r w:rsidRPr="00540D6C">
        <w:rPr>
          <w:rFonts w:cs="Times New Roman"/>
          <w:szCs w:val="24"/>
        </w:rPr>
        <w:t>., 2016). Fe = 7.00 x 10</w:t>
      </w:r>
      <w:r w:rsidRPr="00540D6C">
        <w:rPr>
          <w:rFonts w:cs="Times New Roman"/>
          <w:szCs w:val="24"/>
          <w:vertAlign w:val="superscript"/>
        </w:rPr>
        <w:t>-1</w:t>
      </w:r>
      <w:r w:rsidRPr="00540D6C">
        <w:rPr>
          <w:rFonts w:cs="Times New Roman"/>
          <w:szCs w:val="24"/>
        </w:rPr>
        <w:t xml:space="preserve"> (Usman </w:t>
      </w:r>
      <w:r w:rsidRPr="00540D6C">
        <w:rPr>
          <w:rFonts w:cs="Times New Roman"/>
          <w:i/>
          <w:szCs w:val="24"/>
        </w:rPr>
        <w:t>et al</w:t>
      </w:r>
      <w:r w:rsidRPr="00540D6C">
        <w:rPr>
          <w:rFonts w:cs="Times New Roman"/>
          <w:szCs w:val="24"/>
        </w:rPr>
        <w:t>., 2022)</w:t>
      </w:r>
    </w:p>
    <w:p w:rsidR="006036B1" w:rsidRPr="00540D6C" w:rsidRDefault="00F85CB9" w:rsidP="00540D6C">
      <w:pPr>
        <w:pStyle w:val="Default"/>
        <w:spacing w:line="360" w:lineRule="auto"/>
        <w:jc w:val="both"/>
      </w:pPr>
      <w:r w:rsidRPr="00540D6C">
        <w:t>Figure 14</w:t>
      </w:r>
      <w:r w:rsidR="006036B1" w:rsidRPr="00540D6C">
        <w:t xml:space="preserve"> showed the result of HQ risk of non-carcinogenic heavy metals in sediment sample in which Cd has the highest value of 7.96E-03 followed by As=1.78E-03, Cr=1.12E-03, Mn=5.74E-04, Pb=1.55E-04, Ni=1.37E-04, Cu=2.49E-04, Fe=1.19E-05 and Zn =3.32E-05.This showed that the values of the heavy metals HQ in sediment sample decreased in order of Cd &gt; As &gt; Cr &gt; Mn &gt; Pb &gt; Ni &gt; Cu &gt; Fe &gt; Zn respectively. The result obtained is closely related to the findings of Usman </w:t>
      </w:r>
      <w:r w:rsidR="006036B1" w:rsidRPr="00540D6C">
        <w:rPr>
          <w:i/>
        </w:rPr>
        <w:t>et al</w:t>
      </w:r>
      <w:r w:rsidR="006036B1" w:rsidRPr="00540D6C">
        <w:t>., (2020).</w:t>
      </w:r>
    </w:p>
    <w:p w:rsidR="006036B1" w:rsidRPr="00B32104" w:rsidRDefault="00B32104" w:rsidP="006036B1">
      <w:pPr>
        <w:rPr>
          <w:rFonts w:cs="Times New Roman"/>
          <w:color w:val="00B050"/>
          <w:sz w:val="22"/>
        </w:rPr>
      </w:pPr>
      <w:r w:rsidRPr="00B32104">
        <w:rPr>
          <w:rFonts w:cs="Times New Roman"/>
          <w:color w:val="00B050"/>
          <w:sz w:val="22"/>
        </w:rPr>
        <w:t xml:space="preserve">Table 3.3 Hazard </w:t>
      </w:r>
      <w:proofErr w:type="spellStart"/>
      <w:r w:rsidRPr="00B32104">
        <w:rPr>
          <w:rFonts w:cs="Times New Roman"/>
          <w:color w:val="00B050"/>
          <w:sz w:val="22"/>
        </w:rPr>
        <w:t>Qoutent</w:t>
      </w:r>
      <w:proofErr w:type="spellEnd"/>
      <w:r w:rsidRPr="00B32104">
        <w:rPr>
          <w:rFonts w:cs="Times New Roman"/>
          <w:color w:val="00B050"/>
          <w:sz w:val="22"/>
        </w:rPr>
        <w:t xml:space="preserve"> of Non-Carcinogenic Heavy metals in Sediments</w:t>
      </w:r>
    </w:p>
    <w:tbl>
      <w:tblPr>
        <w:tblW w:w="10227" w:type="dxa"/>
        <w:tblBorders>
          <w:top w:val="single" w:sz="4" w:space="0" w:color="auto"/>
          <w:bottom w:val="single" w:sz="4" w:space="0" w:color="auto"/>
        </w:tblBorders>
        <w:tblLook w:val="04A0" w:firstRow="1" w:lastRow="0" w:firstColumn="1" w:lastColumn="0" w:noHBand="0" w:noVBand="1"/>
      </w:tblPr>
      <w:tblGrid>
        <w:gridCol w:w="960"/>
        <w:gridCol w:w="1074"/>
        <w:gridCol w:w="1073"/>
        <w:gridCol w:w="1073"/>
        <w:gridCol w:w="1000"/>
        <w:gridCol w:w="1000"/>
        <w:gridCol w:w="1080"/>
        <w:gridCol w:w="1000"/>
        <w:gridCol w:w="1000"/>
        <w:gridCol w:w="1000"/>
      </w:tblGrid>
      <w:tr w:rsidR="00B32104" w:rsidRPr="00B32104" w:rsidTr="00B32104">
        <w:trPr>
          <w:trHeight w:val="315"/>
        </w:trPr>
        <w:tc>
          <w:tcPr>
            <w:tcW w:w="960" w:type="dxa"/>
            <w:tcBorders>
              <w:top w:val="single" w:sz="4" w:space="0" w:color="auto"/>
              <w:bottom w:val="single" w:sz="4" w:space="0" w:color="auto"/>
            </w:tcBorders>
            <w:shd w:val="clear" w:color="auto" w:fill="auto"/>
            <w:noWrap/>
            <w:vAlign w:val="bottom"/>
            <w:hideMark/>
          </w:tcPr>
          <w:p w:rsidR="00B32104" w:rsidRPr="00B32104" w:rsidRDefault="00B32104" w:rsidP="005F502C">
            <w:pPr>
              <w:spacing w:after="0" w:line="240" w:lineRule="auto"/>
              <w:jc w:val="center"/>
              <w:rPr>
                <w:rFonts w:eastAsia="Times New Roman" w:cs="Times New Roman"/>
                <w:color w:val="00B050"/>
                <w:sz w:val="22"/>
              </w:rPr>
            </w:pPr>
            <w:r w:rsidRPr="00B32104">
              <w:rPr>
                <w:rFonts w:eastAsia="Times New Roman" w:cs="Times New Roman"/>
                <w:color w:val="00B050"/>
                <w:sz w:val="22"/>
              </w:rPr>
              <w:t>Metals</w:t>
            </w:r>
          </w:p>
        </w:tc>
        <w:tc>
          <w:tcPr>
            <w:tcW w:w="1074" w:type="dxa"/>
            <w:tcBorders>
              <w:top w:val="single" w:sz="4" w:space="0" w:color="auto"/>
              <w:bottom w:val="single" w:sz="4" w:space="0" w:color="auto"/>
            </w:tcBorders>
            <w:shd w:val="clear" w:color="auto" w:fill="auto"/>
            <w:noWrap/>
            <w:vAlign w:val="bottom"/>
            <w:hideMark/>
          </w:tcPr>
          <w:p w:rsidR="00B32104" w:rsidRPr="00B32104" w:rsidRDefault="00B32104" w:rsidP="005F502C">
            <w:pPr>
              <w:spacing w:after="0" w:line="240" w:lineRule="auto"/>
              <w:jc w:val="center"/>
              <w:rPr>
                <w:rFonts w:eastAsia="Times New Roman" w:cs="Times New Roman"/>
                <w:color w:val="00B050"/>
                <w:sz w:val="22"/>
              </w:rPr>
            </w:pPr>
            <w:r w:rsidRPr="00B32104">
              <w:rPr>
                <w:rFonts w:eastAsia="Times New Roman" w:cs="Times New Roman"/>
                <w:color w:val="00B050"/>
                <w:sz w:val="22"/>
              </w:rPr>
              <w:t>Cu</w:t>
            </w:r>
          </w:p>
        </w:tc>
        <w:tc>
          <w:tcPr>
            <w:tcW w:w="1073" w:type="dxa"/>
            <w:tcBorders>
              <w:top w:val="single" w:sz="4" w:space="0" w:color="auto"/>
              <w:bottom w:val="single" w:sz="4" w:space="0" w:color="auto"/>
            </w:tcBorders>
            <w:shd w:val="clear" w:color="auto" w:fill="auto"/>
            <w:noWrap/>
            <w:vAlign w:val="bottom"/>
            <w:hideMark/>
          </w:tcPr>
          <w:p w:rsidR="00B32104" w:rsidRPr="00B32104" w:rsidRDefault="00B32104" w:rsidP="005F502C">
            <w:pPr>
              <w:spacing w:after="0" w:line="240" w:lineRule="auto"/>
              <w:jc w:val="center"/>
              <w:rPr>
                <w:rFonts w:eastAsia="Times New Roman" w:cs="Times New Roman"/>
                <w:color w:val="00B050"/>
                <w:sz w:val="22"/>
              </w:rPr>
            </w:pPr>
            <w:r w:rsidRPr="00B32104">
              <w:rPr>
                <w:rFonts w:eastAsia="Times New Roman" w:cs="Times New Roman"/>
                <w:color w:val="00B050"/>
                <w:sz w:val="22"/>
              </w:rPr>
              <w:t>Pb</w:t>
            </w:r>
          </w:p>
        </w:tc>
        <w:tc>
          <w:tcPr>
            <w:tcW w:w="1073" w:type="dxa"/>
            <w:tcBorders>
              <w:top w:val="single" w:sz="4" w:space="0" w:color="auto"/>
              <w:bottom w:val="single" w:sz="4" w:space="0" w:color="auto"/>
            </w:tcBorders>
            <w:shd w:val="clear" w:color="auto" w:fill="auto"/>
            <w:noWrap/>
            <w:vAlign w:val="bottom"/>
            <w:hideMark/>
          </w:tcPr>
          <w:p w:rsidR="00B32104" w:rsidRPr="00B32104" w:rsidRDefault="00B32104" w:rsidP="005F502C">
            <w:pPr>
              <w:spacing w:after="0" w:line="240" w:lineRule="auto"/>
              <w:jc w:val="center"/>
              <w:rPr>
                <w:rFonts w:eastAsia="Times New Roman" w:cs="Times New Roman"/>
                <w:color w:val="00B050"/>
                <w:sz w:val="22"/>
              </w:rPr>
            </w:pPr>
            <w:r w:rsidRPr="00B32104">
              <w:rPr>
                <w:rFonts w:eastAsia="Times New Roman" w:cs="Times New Roman"/>
                <w:color w:val="00B050"/>
                <w:sz w:val="22"/>
              </w:rPr>
              <w:t>Cr</w:t>
            </w:r>
          </w:p>
        </w:tc>
        <w:tc>
          <w:tcPr>
            <w:tcW w:w="1000" w:type="dxa"/>
            <w:tcBorders>
              <w:top w:val="single" w:sz="4" w:space="0" w:color="auto"/>
              <w:bottom w:val="single" w:sz="4" w:space="0" w:color="auto"/>
            </w:tcBorders>
            <w:shd w:val="clear" w:color="auto" w:fill="auto"/>
            <w:noWrap/>
            <w:vAlign w:val="bottom"/>
            <w:hideMark/>
          </w:tcPr>
          <w:p w:rsidR="00B32104" w:rsidRPr="00B32104" w:rsidRDefault="00B32104" w:rsidP="005F502C">
            <w:pPr>
              <w:spacing w:after="0" w:line="240" w:lineRule="auto"/>
              <w:jc w:val="center"/>
              <w:rPr>
                <w:rFonts w:eastAsia="Times New Roman" w:cs="Times New Roman"/>
                <w:color w:val="00B050"/>
                <w:sz w:val="22"/>
              </w:rPr>
            </w:pPr>
            <w:r w:rsidRPr="00B32104">
              <w:rPr>
                <w:rFonts w:eastAsia="Times New Roman" w:cs="Times New Roman"/>
                <w:color w:val="00B050"/>
                <w:sz w:val="22"/>
              </w:rPr>
              <w:t>Cd</w:t>
            </w:r>
          </w:p>
        </w:tc>
        <w:tc>
          <w:tcPr>
            <w:tcW w:w="1000" w:type="dxa"/>
            <w:tcBorders>
              <w:top w:val="single" w:sz="4" w:space="0" w:color="auto"/>
              <w:bottom w:val="single" w:sz="4" w:space="0" w:color="auto"/>
            </w:tcBorders>
            <w:shd w:val="clear" w:color="auto" w:fill="auto"/>
            <w:noWrap/>
            <w:vAlign w:val="bottom"/>
            <w:hideMark/>
          </w:tcPr>
          <w:p w:rsidR="00B32104" w:rsidRPr="00B32104" w:rsidRDefault="00B32104" w:rsidP="005F502C">
            <w:pPr>
              <w:spacing w:after="0" w:line="240" w:lineRule="auto"/>
              <w:jc w:val="center"/>
              <w:rPr>
                <w:rFonts w:eastAsia="Times New Roman" w:cs="Times New Roman"/>
                <w:color w:val="00B050"/>
                <w:sz w:val="22"/>
              </w:rPr>
            </w:pPr>
            <w:r w:rsidRPr="00B32104">
              <w:rPr>
                <w:rFonts w:eastAsia="Times New Roman" w:cs="Times New Roman"/>
                <w:color w:val="00B050"/>
                <w:sz w:val="22"/>
              </w:rPr>
              <w:t>As</w:t>
            </w:r>
          </w:p>
        </w:tc>
        <w:tc>
          <w:tcPr>
            <w:tcW w:w="1047" w:type="dxa"/>
            <w:tcBorders>
              <w:top w:val="single" w:sz="4" w:space="0" w:color="auto"/>
              <w:bottom w:val="single" w:sz="4" w:space="0" w:color="auto"/>
            </w:tcBorders>
            <w:shd w:val="clear" w:color="auto" w:fill="auto"/>
            <w:noWrap/>
            <w:vAlign w:val="bottom"/>
            <w:hideMark/>
          </w:tcPr>
          <w:p w:rsidR="00B32104" w:rsidRPr="00B32104" w:rsidRDefault="00B32104" w:rsidP="005F502C">
            <w:pPr>
              <w:spacing w:after="0" w:line="240" w:lineRule="auto"/>
              <w:jc w:val="center"/>
              <w:rPr>
                <w:rFonts w:eastAsia="Times New Roman" w:cs="Times New Roman"/>
                <w:color w:val="00B050"/>
                <w:sz w:val="22"/>
              </w:rPr>
            </w:pPr>
            <w:r w:rsidRPr="00B32104">
              <w:rPr>
                <w:rFonts w:eastAsia="Times New Roman" w:cs="Times New Roman"/>
                <w:color w:val="00B050"/>
                <w:sz w:val="22"/>
              </w:rPr>
              <w:t>Ni</w:t>
            </w:r>
          </w:p>
        </w:tc>
        <w:tc>
          <w:tcPr>
            <w:tcW w:w="1000" w:type="dxa"/>
            <w:tcBorders>
              <w:top w:val="single" w:sz="4" w:space="0" w:color="auto"/>
              <w:bottom w:val="single" w:sz="4" w:space="0" w:color="auto"/>
            </w:tcBorders>
            <w:shd w:val="clear" w:color="auto" w:fill="auto"/>
            <w:noWrap/>
            <w:vAlign w:val="bottom"/>
            <w:hideMark/>
          </w:tcPr>
          <w:p w:rsidR="00B32104" w:rsidRPr="00B32104" w:rsidRDefault="00B32104" w:rsidP="005F502C">
            <w:pPr>
              <w:spacing w:after="0" w:line="240" w:lineRule="auto"/>
              <w:jc w:val="center"/>
              <w:rPr>
                <w:rFonts w:eastAsia="Times New Roman" w:cs="Times New Roman"/>
                <w:color w:val="00B050"/>
                <w:sz w:val="22"/>
              </w:rPr>
            </w:pPr>
            <w:r w:rsidRPr="00B32104">
              <w:rPr>
                <w:rFonts w:eastAsia="Times New Roman" w:cs="Times New Roman"/>
                <w:color w:val="00B050"/>
                <w:sz w:val="22"/>
              </w:rPr>
              <w:t>Fe</w:t>
            </w:r>
          </w:p>
        </w:tc>
        <w:tc>
          <w:tcPr>
            <w:tcW w:w="1000" w:type="dxa"/>
            <w:tcBorders>
              <w:top w:val="single" w:sz="4" w:space="0" w:color="auto"/>
              <w:bottom w:val="single" w:sz="4" w:space="0" w:color="auto"/>
            </w:tcBorders>
            <w:shd w:val="clear" w:color="auto" w:fill="auto"/>
            <w:noWrap/>
            <w:vAlign w:val="bottom"/>
            <w:hideMark/>
          </w:tcPr>
          <w:p w:rsidR="00B32104" w:rsidRPr="00B32104" w:rsidRDefault="00B32104" w:rsidP="005F502C">
            <w:pPr>
              <w:spacing w:after="0" w:line="240" w:lineRule="auto"/>
              <w:jc w:val="center"/>
              <w:rPr>
                <w:rFonts w:eastAsia="Times New Roman" w:cs="Times New Roman"/>
                <w:color w:val="00B050"/>
                <w:sz w:val="22"/>
              </w:rPr>
            </w:pPr>
            <w:r w:rsidRPr="00B32104">
              <w:rPr>
                <w:rFonts w:eastAsia="Times New Roman" w:cs="Times New Roman"/>
                <w:color w:val="00B050"/>
                <w:sz w:val="22"/>
              </w:rPr>
              <w:t>Mn</w:t>
            </w:r>
          </w:p>
        </w:tc>
        <w:tc>
          <w:tcPr>
            <w:tcW w:w="1000" w:type="dxa"/>
            <w:tcBorders>
              <w:top w:val="single" w:sz="4" w:space="0" w:color="auto"/>
              <w:bottom w:val="single" w:sz="4" w:space="0" w:color="auto"/>
            </w:tcBorders>
            <w:shd w:val="clear" w:color="auto" w:fill="auto"/>
            <w:noWrap/>
            <w:vAlign w:val="bottom"/>
            <w:hideMark/>
          </w:tcPr>
          <w:p w:rsidR="00B32104" w:rsidRPr="00B32104" w:rsidRDefault="00B32104" w:rsidP="005F502C">
            <w:pPr>
              <w:spacing w:after="0" w:line="240" w:lineRule="auto"/>
              <w:jc w:val="center"/>
              <w:rPr>
                <w:rFonts w:eastAsia="Times New Roman" w:cs="Times New Roman"/>
                <w:color w:val="00B050"/>
                <w:sz w:val="22"/>
              </w:rPr>
            </w:pPr>
            <w:r w:rsidRPr="00B32104">
              <w:rPr>
                <w:rFonts w:eastAsia="Times New Roman" w:cs="Times New Roman"/>
                <w:color w:val="00B050"/>
                <w:sz w:val="22"/>
              </w:rPr>
              <w:t>Zn</w:t>
            </w:r>
          </w:p>
        </w:tc>
      </w:tr>
      <w:tr w:rsidR="00B32104" w:rsidRPr="00B32104" w:rsidTr="00B32104">
        <w:trPr>
          <w:trHeight w:val="300"/>
        </w:trPr>
        <w:tc>
          <w:tcPr>
            <w:tcW w:w="960" w:type="dxa"/>
            <w:tcBorders>
              <w:top w:val="single" w:sz="4" w:space="0" w:color="auto"/>
            </w:tcBorders>
            <w:shd w:val="clear" w:color="auto" w:fill="auto"/>
            <w:noWrap/>
            <w:vAlign w:val="bottom"/>
            <w:hideMark/>
          </w:tcPr>
          <w:p w:rsidR="00B32104" w:rsidRPr="00B32104" w:rsidRDefault="00B32104" w:rsidP="00B32104">
            <w:pPr>
              <w:spacing w:after="0" w:line="240" w:lineRule="auto"/>
              <w:rPr>
                <w:rFonts w:eastAsia="Times New Roman" w:cs="Times New Roman"/>
                <w:color w:val="00B050"/>
                <w:sz w:val="22"/>
              </w:rPr>
            </w:pPr>
            <w:r w:rsidRPr="00B32104">
              <w:rPr>
                <w:rFonts w:eastAsia="Times New Roman" w:cs="Times New Roman"/>
                <w:color w:val="00B050"/>
                <w:sz w:val="22"/>
              </w:rPr>
              <w:t xml:space="preserve">HQ </w:t>
            </w:r>
            <w:proofErr w:type="spellStart"/>
            <w:r w:rsidRPr="00B32104">
              <w:rPr>
                <w:rFonts w:eastAsia="Times New Roman" w:cs="Times New Roman"/>
                <w:color w:val="00B050"/>
                <w:sz w:val="22"/>
              </w:rPr>
              <w:t>ing</w:t>
            </w:r>
            <w:proofErr w:type="spellEnd"/>
          </w:p>
        </w:tc>
        <w:tc>
          <w:tcPr>
            <w:tcW w:w="1074" w:type="dxa"/>
            <w:tcBorders>
              <w:top w:val="single" w:sz="4" w:space="0" w:color="auto"/>
            </w:tcBorders>
            <w:shd w:val="clear" w:color="auto" w:fill="auto"/>
            <w:noWrap/>
            <w:vAlign w:val="bottom"/>
            <w:hideMark/>
          </w:tcPr>
          <w:p w:rsidR="00B32104" w:rsidRPr="00B32104" w:rsidRDefault="00B32104" w:rsidP="00B32104">
            <w:pPr>
              <w:spacing w:after="0" w:line="240" w:lineRule="auto"/>
              <w:jc w:val="right"/>
              <w:rPr>
                <w:rFonts w:eastAsia="Times New Roman" w:cs="Times New Roman"/>
                <w:color w:val="00B050"/>
                <w:sz w:val="22"/>
              </w:rPr>
            </w:pPr>
            <w:r w:rsidRPr="00B32104">
              <w:rPr>
                <w:rFonts w:eastAsia="Times New Roman" w:cs="Times New Roman"/>
                <w:color w:val="00B050"/>
                <w:sz w:val="22"/>
              </w:rPr>
              <w:t>1.65E-05</w:t>
            </w:r>
          </w:p>
        </w:tc>
        <w:tc>
          <w:tcPr>
            <w:tcW w:w="1073" w:type="dxa"/>
            <w:tcBorders>
              <w:top w:val="single" w:sz="4" w:space="0" w:color="auto"/>
            </w:tcBorders>
            <w:shd w:val="clear" w:color="auto" w:fill="auto"/>
            <w:noWrap/>
            <w:vAlign w:val="bottom"/>
            <w:hideMark/>
          </w:tcPr>
          <w:p w:rsidR="00B32104" w:rsidRPr="00B32104" w:rsidRDefault="00B32104" w:rsidP="00B32104">
            <w:pPr>
              <w:spacing w:after="0" w:line="240" w:lineRule="auto"/>
              <w:jc w:val="right"/>
              <w:rPr>
                <w:rFonts w:eastAsia="Times New Roman" w:cs="Times New Roman"/>
                <w:color w:val="00B050"/>
                <w:sz w:val="22"/>
              </w:rPr>
            </w:pPr>
            <w:r w:rsidRPr="00B32104">
              <w:rPr>
                <w:rFonts w:eastAsia="Times New Roman" w:cs="Times New Roman"/>
                <w:color w:val="00B050"/>
                <w:sz w:val="22"/>
              </w:rPr>
              <w:t>7.43E-05</w:t>
            </w:r>
          </w:p>
        </w:tc>
        <w:tc>
          <w:tcPr>
            <w:tcW w:w="1073" w:type="dxa"/>
            <w:tcBorders>
              <w:top w:val="single" w:sz="4" w:space="0" w:color="auto"/>
            </w:tcBorders>
            <w:shd w:val="clear" w:color="auto" w:fill="auto"/>
            <w:noWrap/>
            <w:vAlign w:val="bottom"/>
            <w:hideMark/>
          </w:tcPr>
          <w:p w:rsidR="00B32104" w:rsidRPr="00B32104" w:rsidRDefault="00B32104" w:rsidP="00B32104">
            <w:pPr>
              <w:spacing w:after="0" w:line="240" w:lineRule="auto"/>
              <w:jc w:val="right"/>
              <w:rPr>
                <w:rFonts w:eastAsia="Times New Roman" w:cs="Times New Roman"/>
                <w:color w:val="00B050"/>
                <w:sz w:val="22"/>
              </w:rPr>
            </w:pPr>
            <w:r w:rsidRPr="00B32104">
              <w:rPr>
                <w:rFonts w:eastAsia="Times New Roman" w:cs="Times New Roman"/>
                <w:color w:val="00B050"/>
                <w:sz w:val="22"/>
              </w:rPr>
              <w:t>1.62E-04</w:t>
            </w:r>
          </w:p>
        </w:tc>
        <w:tc>
          <w:tcPr>
            <w:tcW w:w="1000" w:type="dxa"/>
            <w:tcBorders>
              <w:top w:val="single" w:sz="4" w:space="0" w:color="auto"/>
            </w:tcBorders>
            <w:shd w:val="clear" w:color="auto" w:fill="auto"/>
            <w:noWrap/>
            <w:vAlign w:val="bottom"/>
            <w:hideMark/>
          </w:tcPr>
          <w:p w:rsidR="00B32104" w:rsidRPr="00B32104" w:rsidRDefault="00B32104" w:rsidP="00B32104">
            <w:pPr>
              <w:spacing w:after="0" w:line="240" w:lineRule="auto"/>
              <w:jc w:val="right"/>
              <w:rPr>
                <w:rFonts w:eastAsia="Times New Roman" w:cs="Times New Roman"/>
                <w:color w:val="00B050"/>
                <w:sz w:val="22"/>
              </w:rPr>
            </w:pPr>
            <w:r w:rsidRPr="00B32104">
              <w:rPr>
                <w:rFonts w:eastAsia="Times New Roman" w:cs="Times New Roman"/>
                <w:color w:val="00B050"/>
                <w:sz w:val="22"/>
              </w:rPr>
              <w:t>4.97E-04</w:t>
            </w:r>
          </w:p>
        </w:tc>
        <w:tc>
          <w:tcPr>
            <w:tcW w:w="1000" w:type="dxa"/>
            <w:tcBorders>
              <w:top w:val="single" w:sz="4" w:space="0" w:color="auto"/>
            </w:tcBorders>
            <w:shd w:val="clear" w:color="auto" w:fill="auto"/>
            <w:noWrap/>
            <w:vAlign w:val="bottom"/>
            <w:hideMark/>
          </w:tcPr>
          <w:p w:rsidR="00B32104" w:rsidRPr="00B32104" w:rsidRDefault="00B32104" w:rsidP="00B32104">
            <w:pPr>
              <w:spacing w:after="0" w:line="240" w:lineRule="auto"/>
              <w:jc w:val="right"/>
              <w:rPr>
                <w:rFonts w:eastAsia="Times New Roman" w:cs="Times New Roman"/>
                <w:color w:val="00B050"/>
                <w:sz w:val="22"/>
              </w:rPr>
            </w:pPr>
            <w:r w:rsidRPr="00B32104">
              <w:rPr>
                <w:rFonts w:eastAsia="Times New Roman" w:cs="Times New Roman"/>
                <w:color w:val="00B050"/>
                <w:sz w:val="22"/>
              </w:rPr>
              <w:t>9.63E-04</w:t>
            </w:r>
          </w:p>
        </w:tc>
        <w:tc>
          <w:tcPr>
            <w:tcW w:w="1047" w:type="dxa"/>
            <w:tcBorders>
              <w:top w:val="single" w:sz="4" w:space="0" w:color="auto"/>
            </w:tcBorders>
            <w:shd w:val="clear" w:color="auto" w:fill="auto"/>
            <w:noWrap/>
            <w:vAlign w:val="bottom"/>
            <w:hideMark/>
          </w:tcPr>
          <w:p w:rsidR="00B32104" w:rsidRPr="00B32104" w:rsidRDefault="00B32104" w:rsidP="00B32104">
            <w:pPr>
              <w:spacing w:after="0" w:line="240" w:lineRule="auto"/>
              <w:jc w:val="right"/>
              <w:rPr>
                <w:rFonts w:eastAsia="Times New Roman" w:cs="Times New Roman"/>
                <w:color w:val="00B050"/>
                <w:sz w:val="22"/>
              </w:rPr>
            </w:pPr>
            <w:r w:rsidRPr="00B32104">
              <w:rPr>
                <w:rFonts w:eastAsia="Times New Roman" w:cs="Times New Roman"/>
                <w:color w:val="00B050"/>
                <w:sz w:val="22"/>
              </w:rPr>
              <w:t>1.02E-04</w:t>
            </w:r>
          </w:p>
        </w:tc>
        <w:tc>
          <w:tcPr>
            <w:tcW w:w="1000" w:type="dxa"/>
            <w:tcBorders>
              <w:top w:val="single" w:sz="4" w:space="0" w:color="auto"/>
            </w:tcBorders>
            <w:shd w:val="clear" w:color="auto" w:fill="auto"/>
            <w:noWrap/>
            <w:vAlign w:val="bottom"/>
            <w:hideMark/>
          </w:tcPr>
          <w:p w:rsidR="00B32104" w:rsidRPr="00B32104" w:rsidRDefault="00B32104" w:rsidP="00B32104">
            <w:pPr>
              <w:spacing w:after="0" w:line="240" w:lineRule="auto"/>
              <w:jc w:val="right"/>
              <w:rPr>
                <w:rFonts w:eastAsia="Times New Roman" w:cs="Times New Roman"/>
                <w:color w:val="00B050"/>
                <w:sz w:val="22"/>
              </w:rPr>
            </w:pPr>
            <w:r w:rsidRPr="00B32104">
              <w:rPr>
                <w:rFonts w:eastAsia="Times New Roman" w:cs="Times New Roman"/>
                <w:color w:val="00B050"/>
                <w:sz w:val="22"/>
              </w:rPr>
              <w:t>1.10E-05</w:t>
            </w:r>
          </w:p>
        </w:tc>
        <w:tc>
          <w:tcPr>
            <w:tcW w:w="1000" w:type="dxa"/>
            <w:tcBorders>
              <w:top w:val="single" w:sz="4" w:space="0" w:color="auto"/>
            </w:tcBorders>
            <w:shd w:val="clear" w:color="auto" w:fill="auto"/>
            <w:noWrap/>
            <w:vAlign w:val="bottom"/>
            <w:hideMark/>
          </w:tcPr>
          <w:p w:rsidR="00B32104" w:rsidRPr="00B32104" w:rsidRDefault="00B32104" w:rsidP="00B32104">
            <w:pPr>
              <w:spacing w:after="0" w:line="240" w:lineRule="auto"/>
              <w:jc w:val="right"/>
              <w:rPr>
                <w:rFonts w:eastAsia="Times New Roman" w:cs="Times New Roman"/>
                <w:color w:val="00B050"/>
                <w:sz w:val="22"/>
              </w:rPr>
            </w:pPr>
            <w:r w:rsidRPr="00B32104">
              <w:rPr>
                <w:rFonts w:eastAsia="Times New Roman" w:cs="Times New Roman"/>
                <w:color w:val="00B050"/>
                <w:sz w:val="22"/>
              </w:rPr>
              <w:t>4.96E-05</w:t>
            </w:r>
          </w:p>
        </w:tc>
        <w:tc>
          <w:tcPr>
            <w:tcW w:w="1000" w:type="dxa"/>
            <w:tcBorders>
              <w:top w:val="single" w:sz="4" w:space="0" w:color="auto"/>
            </w:tcBorders>
            <w:shd w:val="clear" w:color="auto" w:fill="auto"/>
            <w:noWrap/>
            <w:vAlign w:val="bottom"/>
            <w:hideMark/>
          </w:tcPr>
          <w:p w:rsidR="00B32104" w:rsidRPr="00B32104" w:rsidRDefault="00B32104" w:rsidP="00B32104">
            <w:pPr>
              <w:spacing w:after="0" w:line="240" w:lineRule="auto"/>
              <w:jc w:val="right"/>
              <w:rPr>
                <w:rFonts w:eastAsia="Times New Roman" w:cs="Times New Roman"/>
                <w:color w:val="00B050"/>
                <w:sz w:val="22"/>
              </w:rPr>
            </w:pPr>
            <w:r w:rsidRPr="00B32104">
              <w:rPr>
                <w:rFonts w:eastAsia="Times New Roman" w:cs="Times New Roman"/>
                <w:color w:val="00B050"/>
                <w:sz w:val="22"/>
              </w:rPr>
              <w:t>1.87E-05</w:t>
            </w:r>
          </w:p>
        </w:tc>
      </w:tr>
      <w:tr w:rsidR="00B32104" w:rsidRPr="00B32104" w:rsidTr="00B32104">
        <w:trPr>
          <w:trHeight w:val="300"/>
        </w:trPr>
        <w:tc>
          <w:tcPr>
            <w:tcW w:w="960" w:type="dxa"/>
            <w:shd w:val="clear" w:color="auto" w:fill="auto"/>
            <w:noWrap/>
            <w:vAlign w:val="bottom"/>
            <w:hideMark/>
          </w:tcPr>
          <w:p w:rsidR="00B32104" w:rsidRPr="00B32104" w:rsidRDefault="00B32104" w:rsidP="00B32104">
            <w:pPr>
              <w:spacing w:after="0" w:line="240" w:lineRule="auto"/>
              <w:rPr>
                <w:rFonts w:eastAsia="Times New Roman" w:cs="Times New Roman"/>
                <w:color w:val="00B050"/>
                <w:sz w:val="22"/>
              </w:rPr>
            </w:pPr>
            <w:r w:rsidRPr="00B32104">
              <w:rPr>
                <w:rFonts w:eastAsia="Times New Roman" w:cs="Times New Roman"/>
                <w:color w:val="00B050"/>
                <w:sz w:val="22"/>
              </w:rPr>
              <w:t xml:space="preserve">HQ </w:t>
            </w:r>
            <w:proofErr w:type="spellStart"/>
            <w:r w:rsidRPr="00B32104">
              <w:rPr>
                <w:rFonts w:eastAsia="Times New Roman" w:cs="Times New Roman"/>
                <w:color w:val="00B050"/>
                <w:sz w:val="22"/>
              </w:rPr>
              <w:t>inh</w:t>
            </w:r>
            <w:proofErr w:type="spellEnd"/>
          </w:p>
        </w:tc>
        <w:tc>
          <w:tcPr>
            <w:tcW w:w="1074" w:type="dxa"/>
            <w:shd w:val="clear" w:color="auto" w:fill="auto"/>
            <w:noWrap/>
            <w:vAlign w:val="bottom"/>
            <w:hideMark/>
          </w:tcPr>
          <w:p w:rsidR="00B32104" w:rsidRPr="00B32104" w:rsidRDefault="00B32104" w:rsidP="00B32104">
            <w:pPr>
              <w:spacing w:after="0" w:line="240" w:lineRule="auto"/>
              <w:jc w:val="right"/>
              <w:rPr>
                <w:rFonts w:eastAsia="Times New Roman" w:cs="Times New Roman"/>
                <w:color w:val="00B050"/>
                <w:sz w:val="22"/>
              </w:rPr>
            </w:pPr>
            <w:r w:rsidRPr="00B32104">
              <w:rPr>
                <w:rFonts w:eastAsia="Times New Roman" w:cs="Times New Roman"/>
                <w:color w:val="00B050"/>
                <w:sz w:val="22"/>
              </w:rPr>
              <w:t>2.84E-09</w:t>
            </w:r>
          </w:p>
        </w:tc>
        <w:tc>
          <w:tcPr>
            <w:tcW w:w="1073" w:type="dxa"/>
            <w:shd w:val="clear" w:color="auto" w:fill="auto"/>
            <w:noWrap/>
            <w:vAlign w:val="bottom"/>
            <w:hideMark/>
          </w:tcPr>
          <w:p w:rsidR="00B32104" w:rsidRPr="00B32104" w:rsidRDefault="00B32104" w:rsidP="00B32104">
            <w:pPr>
              <w:spacing w:after="0" w:line="240" w:lineRule="auto"/>
              <w:jc w:val="right"/>
              <w:rPr>
                <w:rFonts w:eastAsia="Times New Roman" w:cs="Times New Roman"/>
                <w:color w:val="00B050"/>
                <w:sz w:val="22"/>
              </w:rPr>
            </w:pPr>
            <w:r w:rsidRPr="00B32104">
              <w:rPr>
                <w:rFonts w:eastAsia="Times New Roman" w:cs="Times New Roman"/>
                <w:color w:val="00B050"/>
                <w:sz w:val="22"/>
              </w:rPr>
              <w:t>1.47E-08</w:t>
            </w:r>
          </w:p>
        </w:tc>
        <w:tc>
          <w:tcPr>
            <w:tcW w:w="1073" w:type="dxa"/>
            <w:shd w:val="clear" w:color="auto" w:fill="auto"/>
            <w:noWrap/>
            <w:vAlign w:val="bottom"/>
            <w:hideMark/>
          </w:tcPr>
          <w:p w:rsidR="00B32104" w:rsidRPr="00B32104" w:rsidRDefault="00B32104" w:rsidP="00B32104">
            <w:pPr>
              <w:spacing w:after="0" w:line="240" w:lineRule="auto"/>
              <w:jc w:val="right"/>
              <w:rPr>
                <w:rFonts w:eastAsia="Times New Roman" w:cs="Times New Roman"/>
                <w:color w:val="00B050"/>
                <w:sz w:val="22"/>
              </w:rPr>
            </w:pPr>
            <w:r w:rsidRPr="00B32104">
              <w:rPr>
                <w:rFonts w:eastAsia="Times New Roman" w:cs="Times New Roman"/>
                <w:color w:val="00B050"/>
                <w:sz w:val="22"/>
              </w:rPr>
              <w:t>1.83E-06</w:t>
            </w:r>
          </w:p>
        </w:tc>
        <w:tc>
          <w:tcPr>
            <w:tcW w:w="1000" w:type="dxa"/>
            <w:shd w:val="clear" w:color="auto" w:fill="auto"/>
            <w:noWrap/>
            <w:vAlign w:val="bottom"/>
            <w:hideMark/>
          </w:tcPr>
          <w:p w:rsidR="00B32104" w:rsidRPr="00B32104" w:rsidRDefault="00B32104" w:rsidP="00B32104">
            <w:pPr>
              <w:spacing w:after="0" w:line="240" w:lineRule="auto"/>
              <w:jc w:val="right"/>
              <w:rPr>
                <w:rFonts w:eastAsia="Times New Roman" w:cs="Times New Roman"/>
                <w:color w:val="00B050"/>
                <w:sz w:val="22"/>
              </w:rPr>
            </w:pPr>
            <w:r w:rsidRPr="00B32104">
              <w:rPr>
                <w:rFonts w:eastAsia="Times New Roman" w:cs="Times New Roman"/>
                <w:color w:val="00B050"/>
                <w:sz w:val="22"/>
              </w:rPr>
              <w:t>9.16E-08</w:t>
            </w:r>
          </w:p>
        </w:tc>
        <w:tc>
          <w:tcPr>
            <w:tcW w:w="1000" w:type="dxa"/>
            <w:shd w:val="clear" w:color="auto" w:fill="auto"/>
            <w:noWrap/>
            <w:vAlign w:val="bottom"/>
            <w:hideMark/>
          </w:tcPr>
          <w:p w:rsidR="00B32104" w:rsidRPr="00B32104" w:rsidRDefault="00B32104" w:rsidP="00B32104">
            <w:pPr>
              <w:spacing w:after="0" w:line="240" w:lineRule="auto"/>
              <w:jc w:val="right"/>
              <w:rPr>
                <w:rFonts w:eastAsia="Times New Roman" w:cs="Times New Roman"/>
                <w:color w:val="00B050"/>
                <w:sz w:val="22"/>
              </w:rPr>
            </w:pPr>
            <w:r w:rsidRPr="00B32104">
              <w:rPr>
                <w:rFonts w:eastAsia="Times New Roman" w:cs="Times New Roman"/>
                <w:color w:val="00B050"/>
                <w:sz w:val="22"/>
              </w:rPr>
              <w:t>1.97E-07</w:t>
            </w:r>
          </w:p>
        </w:tc>
        <w:tc>
          <w:tcPr>
            <w:tcW w:w="1047" w:type="dxa"/>
            <w:shd w:val="clear" w:color="auto" w:fill="auto"/>
            <w:noWrap/>
            <w:vAlign w:val="bottom"/>
            <w:hideMark/>
          </w:tcPr>
          <w:p w:rsidR="00B32104" w:rsidRPr="00B32104" w:rsidRDefault="00B32104" w:rsidP="00B32104">
            <w:pPr>
              <w:spacing w:after="0" w:line="240" w:lineRule="auto"/>
              <w:jc w:val="right"/>
              <w:rPr>
                <w:rFonts w:eastAsia="Times New Roman" w:cs="Times New Roman"/>
                <w:color w:val="00B050"/>
                <w:sz w:val="22"/>
              </w:rPr>
            </w:pPr>
            <w:r w:rsidRPr="00B32104">
              <w:rPr>
                <w:rFonts w:eastAsia="Times New Roman" w:cs="Times New Roman"/>
                <w:color w:val="00B050"/>
                <w:sz w:val="22"/>
              </w:rPr>
              <w:t>0.00E+00</w:t>
            </w:r>
          </w:p>
        </w:tc>
        <w:tc>
          <w:tcPr>
            <w:tcW w:w="1000" w:type="dxa"/>
            <w:shd w:val="clear" w:color="auto" w:fill="auto"/>
            <w:noWrap/>
            <w:vAlign w:val="bottom"/>
            <w:hideMark/>
          </w:tcPr>
          <w:p w:rsidR="00B32104" w:rsidRPr="00B32104" w:rsidRDefault="00B32104" w:rsidP="00B32104">
            <w:pPr>
              <w:spacing w:after="0" w:line="240" w:lineRule="auto"/>
              <w:jc w:val="right"/>
              <w:rPr>
                <w:rFonts w:eastAsia="Times New Roman" w:cs="Times New Roman"/>
                <w:color w:val="00B050"/>
                <w:sz w:val="22"/>
              </w:rPr>
            </w:pPr>
            <w:r w:rsidRPr="00B32104">
              <w:rPr>
                <w:rFonts w:eastAsia="Times New Roman" w:cs="Times New Roman"/>
                <w:color w:val="00B050"/>
                <w:sz w:val="22"/>
              </w:rPr>
              <w:t>1.11E-10</w:t>
            </w:r>
          </w:p>
        </w:tc>
        <w:tc>
          <w:tcPr>
            <w:tcW w:w="1000" w:type="dxa"/>
            <w:shd w:val="clear" w:color="auto" w:fill="auto"/>
            <w:noWrap/>
            <w:vAlign w:val="bottom"/>
            <w:hideMark/>
          </w:tcPr>
          <w:p w:rsidR="00B32104" w:rsidRPr="00B32104" w:rsidRDefault="00B32104" w:rsidP="00B32104">
            <w:pPr>
              <w:spacing w:after="0" w:line="240" w:lineRule="auto"/>
              <w:jc w:val="right"/>
              <w:rPr>
                <w:rFonts w:eastAsia="Times New Roman" w:cs="Times New Roman"/>
                <w:color w:val="00B050"/>
                <w:sz w:val="22"/>
              </w:rPr>
            </w:pPr>
            <w:r w:rsidRPr="00B32104">
              <w:rPr>
                <w:rFonts w:eastAsia="Times New Roman" w:cs="Times New Roman"/>
                <w:color w:val="00B050"/>
                <w:sz w:val="22"/>
              </w:rPr>
              <w:t>5.76E-05</w:t>
            </w:r>
          </w:p>
        </w:tc>
        <w:tc>
          <w:tcPr>
            <w:tcW w:w="1000" w:type="dxa"/>
            <w:shd w:val="clear" w:color="auto" w:fill="auto"/>
            <w:noWrap/>
            <w:vAlign w:val="bottom"/>
            <w:hideMark/>
          </w:tcPr>
          <w:p w:rsidR="00B32104" w:rsidRPr="00B32104" w:rsidRDefault="00B32104" w:rsidP="00B32104">
            <w:pPr>
              <w:spacing w:after="0" w:line="240" w:lineRule="auto"/>
              <w:jc w:val="right"/>
              <w:rPr>
                <w:rFonts w:eastAsia="Times New Roman" w:cs="Times New Roman"/>
                <w:color w:val="00B050"/>
                <w:sz w:val="22"/>
              </w:rPr>
            </w:pPr>
            <w:r w:rsidRPr="00B32104">
              <w:rPr>
                <w:rFonts w:eastAsia="Times New Roman" w:cs="Times New Roman"/>
                <w:color w:val="00B050"/>
                <w:sz w:val="22"/>
              </w:rPr>
              <w:t>3.57E-09</w:t>
            </w:r>
          </w:p>
        </w:tc>
      </w:tr>
      <w:tr w:rsidR="00B32104" w:rsidRPr="00B32104" w:rsidTr="00B32104">
        <w:trPr>
          <w:trHeight w:val="300"/>
        </w:trPr>
        <w:tc>
          <w:tcPr>
            <w:tcW w:w="960" w:type="dxa"/>
            <w:shd w:val="clear" w:color="auto" w:fill="auto"/>
            <w:noWrap/>
            <w:vAlign w:val="bottom"/>
            <w:hideMark/>
          </w:tcPr>
          <w:p w:rsidR="00B32104" w:rsidRPr="00B32104" w:rsidRDefault="00B32104" w:rsidP="00B32104">
            <w:pPr>
              <w:spacing w:after="0" w:line="240" w:lineRule="auto"/>
              <w:rPr>
                <w:rFonts w:eastAsia="Times New Roman" w:cs="Times New Roman"/>
                <w:color w:val="00B050"/>
                <w:sz w:val="22"/>
              </w:rPr>
            </w:pPr>
            <w:r w:rsidRPr="00B32104">
              <w:rPr>
                <w:rFonts w:eastAsia="Times New Roman" w:cs="Times New Roman"/>
                <w:color w:val="00B050"/>
                <w:sz w:val="22"/>
              </w:rPr>
              <w:t>HQ derm</w:t>
            </w:r>
          </w:p>
        </w:tc>
        <w:tc>
          <w:tcPr>
            <w:tcW w:w="1074" w:type="dxa"/>
            <w:shd w:val="clear" w:color="auto" w:fill="auto"/>
            <w:noWrap/>
            <w:vAlign w:val="bottom"/>
            <w:hideMark/>
          </w:tcPr>
          <w:p w:rsidR="00B32104" w:rsidRPr="00B32104" w:rsidRDefault="00B32104" w:rsidP="00B32104">
            <w:pPr>
              <w:spacing w:after="0" w:line="240" w:lineRule="auto"/>
              <w:jc w:val="right"/>
              <w:rPr>
                <w:rFonts w:eastAsia="Times New Roman" w:cs="Times New Roman"/>
                <w:color w:val="00B050"/>
                <w:sz w:val="22"/>
              </w:rPr>
            </w:pPr>
            <w:r w:rsidRPr="00B32104">
              <w:rPr>
                <w:rFonts w:eastAsia="Times New Roman" w:cs="Times New Roman"/>
                <w:color w:val="00B050"/>
                <w:sz w:val="22"/>
              </w:rPr>
              <w:t>8.42E-06</w:t>
            </w:r>
          </w:p>
        </w:tc>
        <w:tc>
          <w:tcPr>
            <w:tcW w:w="1073" w:type="dxa"/>
            <w:shd w:val="clear" w:color="auto" w:fill="auto"/>
            <w:noWrap/>
            <w:vAlign w:val="bottom"/>
            <w:hideMark/>
          </w:tcPr>
          <w:p w:rsidR="00B32104" w:rsidRPr="00B32104" w:rsidRDefault="00B32104" w:rsidP="00B32104">
            <w:pPr>
              <w:spacing w:after="0" w:line="240" w:lineRule="auto"/>
              <w:jc w:val="right"/>
              <w:rPr>
                <w:rFonts w:eastAsia="Times New Roman" w:cs="Times New Roman"/>
                <w:color w:val="00B050"/>
                <w:sz w:val="22"/>
              </w:rPr>
            </w:pPr>
            <w:r w:rsidRPr="00B32104">
              <w:rPr>
                <w:rFonts w:eastAsia="Times New Roman" w:cs="Times New Roman"/>
                <w:color w:val="00B050"/>
                <w:sz w:val="22"/>
              </w:rPr>
              <w:t>8.04E-05</w:t>
            </w:r>
          </w:p>
        </w:tc>
        <w:tc>
          <w:tcPr>
            <w:tcW w:w="1073" w:type="dxa"/>
            <w:shd w:val="clear" w:color="auto" w:fill="auto"/>
            <w:noWrap/>
            <w:vAlign w:val="bottom"/>
            <w:hideMark/>
          </w:tcPr>
          <w:p w:rsidR="00B32104" w:rsidRPr="00B32104" w:rsidRDefault="00B32104" w:rsidP="00B32104">
            <w:pPr>
              <w:spacing w:after="0" w:line="240" w:lineRule="auto"/>
              <w:jc w:val="right"/>
              <w:rPr>
                <w:rFonts w:eastAsia="Times New Roman" w:cs="Times New Roman"/>
                <w:color w:val="00B050"/>
                <w:sz w:val="22"/>
              </w:rPr>
            </w:pPr>
            <w:r w:rsidRPr="00B32104">
              <w:rPr>
                <w:rFonts w:eastAsia="Times New Roman" w:cs="Times New Roman"/>
                <w:color w:val="00B050"/>
                <w:sz w:val="22"/>
              </w:rPr>
              <w:t>9.58E-04</w:t>
            </w:r>
          </w:p>
        </w:tc>
        <w:tc>
          <w:tcPr>
            <w:tcW w:w="1000" w:type="dxa"/>
            <w:shd w:val="clear" w:color="auto" w:fill="auto"/>
            <w:noWrap/>
            <w:vAlign w:val="bottom"/>
            <w:hideMark/>
          </w:tcPr>
          <w:p w:rsidR="00B32104" w:rsidRPr="00B32104" w:rsidRDefault="00B32104" w:rsidP="00B32104">
            <w:pPr>
              <w:spacing w:after="0" w:line="240" w:lineRule="auto"/>
              <w:jc w:val="right"/>
              <w:rPr>
                <w:rFonts w:eastAsia="Times New Roman" w:cs="Times New Roman"/>
                <w:color w:val="00B050"/>
                <w:sz w:val="22"/>
              </w:rPr>
            </w:pPr>
            <w:r w:rsidRPr="00B32104">
              <w:rPr>
                <w:rFonts w:eastAsia="Times New Roman" w:cs="Times New Roman"/>
                <w:color w:val="00B050"/>
                <w:sz w:val="22"/>
              </w:rPr>
              <w:t>7.46E-03</w:t>
            </w:r>
          </w:p>
        </w:tc>
        <w:tc>
          <w:tcPr>
            <w:tcW w:w="1000" w:type="dxa"/>
            <w:shd w:val="clear" w:color="auto" w:fill="auto"/>
            <w:noWrap/>
            <w:vAlign w:val="bottom"/>
            <w:hideMark/>
          </w:tcPr>
          <w:p w:rsidR="00B32104" w:rsidRPr="00B32104" w:rsidRDefault="00B32104" w:rsidP="00B32104">
            <w:pPr>
              <w:spacing w:after="0" w:line="240" w:lineRule="auto"/>
              <w:jc w:val="right"/>
              <w:rPr>
                <w:rFonts w:eastAsia="Times New Roman" w:cs="Times New Roman"/>
                <w:color w:val="00B050"/>
                <w:sz w:val="22"/>
              </w:rPr>
            </w:pPr>
            <w:r w:rsidRPr="00B32104">
              <w:rPr>
                <w:rFonts w:eastAsia="Times New Roman" w:cs="Times New Roman"/>
                <w:color w:val="00B050"/>
                <w:sz w:val="22"/>
              </w:rPr>
              <w:t>8.13E-04</w:t>
            </w:r>
          </w:p>
        </w:tc>
        <w:tc>
          <w:tcPr>
            <w:tcW w:w="1047" w:type="dxa"/>
            <w:shd w:val="clear" w:color="auto" w:fill="auto"/>
            <w:noWrap/>
            <w:vAlign w:val="bottom"/>
            <w:hideMark/>
          </w:tcPr>
          <w:p w:rsidR="00B32104" w:rsidRPr="00B32104" w:rsidRDefault="00B32104" w:rsidP="00B32104">
            <w:pPr>
              <w:spacing w:after="0" w:line="240" w:lineRule="auto"/>
              <w:jc w:val="right"/>
              <w:rPr>
                <w:rFonts w:eastAsia="Times New Roman" w:cs="Times New Roman"/>
                <w:color w:val="00B050"/>
                <w:sz w:val="22"/>
              </w:rPr>
            </w:pPr>
            <w:r w:rsidRPr="00B32104">
              <w:rPr>
                <w:rFonts w:eastAsia="Times New Roman" w:cs="Times New Roman"/>
                <w:color w:val="00B050"/>
                <w:sz w:val="22"/>
              </w:rPr>
              <w:t>3.52E-05</w:t>
            </w:r>
          </w:p>
        </w:tc>
        <w:tc>
          <w:tcPr>
            <w:tcW w:w="1000" w:type="dxa"/>
            <w:shd w:val="clear" w:color="auto" w:fill="auto"/>
            <w:noWrap/>
            <w:vAlign w:val="bottom"/>
            <w:hideMark/>
          </w:tcPr>
          <w:p w:rsidR="00B32104" w:rsidRPr="00B32104" w:rsidRDefault="00B32104" w:rsidP="00B32104">
            <w:pPr>
              <w:spacing w:after="0" w:line="240" w:lineRule="auto"/>
              <w:jc w:val="right"/>
              <w:rPr>
                <w:rFonts w:eastAsia="Times New Roman" w:cs="Times New Roman"/>
                <w:color w:val="00B050"/>
                <w:sz w:val="22"/>
              </w:rPr>
            </w:pPr>
            <w:r w:rsidRPr="00B32104">
              <w:rPr>
                <w:rFonts w:eastAsia="Times New Roman" w:cs="Times New Roman"/>
                <w:color w:val="00B050"/>
                <w:sz w:val="22"/>
              </w:rPr>
              <w:t>8.96E-07</w:t>
            </w:r>
          </w:p>
        </w:tc>
        <w:tc>
          <w:tcPr>
            <w:tcW w:w="1000" w:type="dxa"/>
            <w:shd w:val="clear" w:color="auto" w:fill="auto"/>
            <w:noWrap/>
            <w:vAlign w:val="bottom"/>
            <w:hideMark/>
          </w:tcPr>
          <w:p w:rsidR="00B32104" w:rsidRPr="00B32104" w:rsidRDefault="00B32104" w:rsidP="00B32104">
            <w:pPr>
              <w:spacing w:after="0" w:line="240" w:lineRule="auto"/>
              <w:jc w:val="right"/>
              <w:rPr>
                <w:rFonts w:eastAsia="Times New Roman" w:cs="Times New Roman"/>
                <w:color w:val="00B050"/>
                <w:sz w:val="22"/>
              </w:rPr>
            </w:pPr>
            <w:r w:rsidRPr="00B32104">
              <w:rPr>
                <w:rFonts w:eastAsia="Times New Roman" w:cs="Times New Roman"/>
                <w:color w:val="00B050"/>
                <w:sz w:val="22"/>
              </w:rPr>
              <w:t>4.67E-04</w:t>
            </w:r>
          </w:p>
        </w:tc>
        <w:tc>
          <w:tcPr>
            <w:tcW w:w="1000" w:type="dxa"/>
            <w:shd w:val="clear" w:color="auto" w:fill="auto"/>
            <w:noWrap/>
            <w:vAlign w:val="bottom"/>
            <w:hideMark/>
          </w:tcPr>
          <w:p w:rsidR="00B32104" w:rsidRPr="00B32104" w:rsidRDefault="00B32104" w:rsidP="00B32104">
            <w:pPr>
              <w:spacing w:after="0" w:line="240" w:lineRule="auto"/>
              <w:jc w:val="right"/>
              <w:rPr>
                <w:rFonts w:eastAsia="Times New Roman" w:cs="Times New Roman"/>
                <w:color w:val="00B050"/>
                <w:sz w:val="22"/>
              </w:rPr>
            </w:pPr>
            <w:r w:rsidRPr="00B32104">
              <w:rPr>
                <w:rFonts w:eastAsia="Times New Roman" w:cs="Times New Roman"/>
                <w:color w:val="00B050"/>
                <w:sz w:val="22"/>
              </w:rPr>
              <w:t>1.45E-05</w:t>
            </w:r>
          </w:p>
        </w:tc>
      </w:tr>
      <w:tr w:rsidR="00B32104" w:rsidRPr="00B32104" w:rsidTr="00B32104">
        <w:trPr>
          <w:trHeight w:val="300"/>
        </w:trPr>
        <w:tc>
          <w:tcPr>
            <w:tcW w:w="960" w:type="dxa"/>
            <w:shd w:val="clear" w:color="auto" w:fill="auto"/>
            <w:noWrap/>
            <w:vAlign w:val="bottom"/>
            <w:hideMark/>
          </w:tcPr>
          <w:p w:rsidR="00B32104" w:rsidRPr="00B32104" w:rsidRDefault="00B32104" w:rsidP="00B32104">
            <w:pPr>
              <w:spacing w:after="0" w:line="240" w:lineRule="auto"/>
              <w:rPr>
                <w:rFonts w:eastAsia="Times New Roman" w:cs="Times New Roman"/>
                <w:color w:val="00B050"/>
                <w:sz w:val="22"/>
              </w:rPr>
            </w:pPr>
            <w:r w:rsidRPr="00B32104">
              <w:rPr>
                <w:rFonts w:eastAsia="Times New Roman" w:cs="Times New Roman"/>
                <w:color w:val="00B050"/>
                <w:sz w:val="22"/>
              </w:rPr>
              <w:t>HQ Tot</w:t>
            </w:r>
          </w:p>
        </w:tc>
        <w:tc>
          <w:tcPr>
            <w:tcW w:w="1074" w:type="dxa"/>
            <w:shd w:val="clear" w:color="auto" w:fill="auto"/>
            <w:noWrap/>
            <w:vAlign w:val="bottom"/>
            <w:hideMark/>
          </w:tcPr>
          <w:p w:rsidR="00B32104" w:rsidRPr="00B32104" w:rsidRDefault="00B32104" w:rsidP="00B32104">
            <w:pPr>
              <w:spacing w:after="0" w:line="240" w:lineRule="auto"/>
              <w:jc w:val="right"/>
              <w:rPr>
                <w:rFonts w:eastAsia="Times New Roman" w:cs="Times New Roman"/>
                <w:color w:val="00B050"/>
                <w:sz w:val="22"/>
              </w:rPr>
            </w:pPr>
            <w:r w:rsidRPr="00B32104">
              <w:rPr>
                <w:rFonts w:eastAsia="Times New Roman" w:cs="Times New Roman"/>
                <w:color w:val="00B050"/>
                <w:sz w:val="22"/>
              </w:rPr>
              <w:t>2.49E-05</w:t>
            </w:r>
          </w:p>
        </w:tc>
        <w:tc>
          <w:tcPr>
            <w:tcW w:w="1073" w:type="dxa"/>
            <w:shd w:val="clear" w:color="auto" w:fill="auto"/>
            <w:noWrap/>
            <w:vAlign w:val="bottom"/>
            <w:hideMark/>
          </w:tcPr>
          <w:p w:rsidR="00B32104" w:rsidRPr="00B32104" w:rsidRDefault="00B32104" w:rsidP="00B32104">
            <w:pPr>
              <w:spacing w:after="0" w:line="240" w:lineRule="auto"/>
              <w:jc w:val="right"/>
              <w:rPr>
                <w:rFonts w:eastAsia="Times New Roman" w:cs="Times New Roman"/>
                <w:color w:val="00B050"/>
                <w:sz w:val="22"/>
              </w:rPr>
            </w:pPr>
            <w:r w:rsidRPr="00B32104">
              <w:rPr>
                <w:rFonts w:eastAsia="Times New Roman" w:cs="Times New Roman"/>
                <w:color w:val="00B050"/>
                <w:sz w:val="22"/>
              </w:rPr>
              <w:t>1.55E-04</w:t>
            </w:r>
          </w:p>
        </w:tc>
        <w:tc>
          <w:tcPr>
            <w:tcW w:w="1073" w:type="dxa"/>
            <w:shd w:val="clear" w:color="auto" w:fill="auto"/>
            <w:noWrap/>
            <w:vAlign w:val="bottom"/>
            <w:hideMark/>
          </w:tcPr>
          <w:p w:rsidR="00B32104" w:rsidRPr="00B32104" w:rsidRDefault="00B32104" w:rsidP="00B32104">
            <w:pPr>
              <w:spacing w:after="0" w:line="240" w:lineRule="auto"/>
              <w:jc w:val="right"/>
              <w:rPr>
                <w:rFonts w:eastAsia="Times New Roman" w:cs="Times New Roman"/>
                <w:color w:val="00B050"/>
                <w:sz w:val="22"/>
              </w:rPr>
            </w:pPr>
            <w:r w:rsidRPr="00B32104">
              <w:rPr>
                <w:rFonts w:eastAsia="Times New Roman" w:cs="Times New Roman"/>
                <w:color w:val="00B050"/>
                <w:sz w:val="22"/>
              </w:rPr>
              <w:t>1.12E-03</w:t>
            </w:r>
          </w:p>
        </w:tc>
        <w:tc>
          <w:tcPr>
            <w:tcW w:w="1000" w:type="dxa"/>
            <w:shd w:val="clear" w:color="auto" w:fill="auto"/>
            <w:noWrap/>
            <w:vAlign w:val="bottom"/>
            <w:hideMark/>
          </w:tcPr>
          <w:p w:rsidR="00B32104" w:rsidRPr="00B32104" w:rsidRDefault="00B32104" w:rsidP="00B32104">
            <w:pPr>
              <w:spacing w:after="0" w:line="240" w:lineRule="auto"/>
              <w:jc w:val="right"/>
              <w:rPr>
                <w:rFonts w:eastAsia="Times New Roman" w:cs="Times New Roman"/>
                <w:color w:val="00B050"/>
                <w:sz w:val="22"/>
              </w:rPr>
            </w:pPr>
            <w:r w:rsidRPr="00B32104">
              <w:rPr>
                <w:rFonts w:eastAsia="Times New Roman" w:cs="Times New Roman"/>
                <w:color w:val="00B050"/>
                <w:sz w:val="22"/>
              </w:rPr>
              <w:t>7.96E-03</w:t>
            </w:r>
          </w:p>
        </w:tc>
        <w:tc>
          <w:tcPr>
            <w:tcW w:w="1000" w:type="dxa"/>
            <w:shd w:val="clear" w:color="auto" w:fill="auto"/>
            <w:noWrap/>
            <w:vAlign w:val="bottom"/>
            <w:hideMark/>
          </w:tcPr>
          <w:p w:rsidR="00B32104" w:rsidRPr="00B32104" w:rsidRDefault="00B32104" w:rsidP="00B32104">
            <w:pPr>
              <w:spacing w:after="0" w:line="240" w:lineRule="auto"/>
              <w:jc w:val="right"/>
              <w:rPr>
                <w:rFonts w:eastAsia="Times New Roman" w:cs="Times New Roman"/>
                <w:color w:val="00B050"/>
                <w:sz w:val="22"/>
              </w:rPr>
            </w:pPr>
            <w:r w:rsidRPr="00B32104">
              <w:rPr>
                <w:rFonts w:eastAsia="Times New Roman" w:cs="Times New Roman"/>
                <w:color w:val="00B050"/>
                <w:sz w:val="22"/>
              </w:rPr>
              <w:t>1.78E-03</w:t>
            </w:r>
          </w:p>
        </w:tc>
        <w:tc>
          <w:tcPr>
            <w:tcW w:w="1047" w:type="dxa"/>
            <w:shd w:val="clear" w:color="auto" w:fill="auto"/>
            <w:noWrap/>
            <w:vAlign w:val="bottom"/>
            <w:hideMark/>
          </w:tcPr>
          <w:p w:rsidR="00B32104" w:rsidRPr="00B32104" w:rsidRDefault="00B32104" w:rsidP="00B32104">
            <w:pPr>
              <w:spacing w:after="0" w:line="240" w:lineRule="auto"/>
              <w:jc w:val="right"/>
              <w:rPr>
                <w:rFonts w:eastAsia="Times New Roman" w:cs="Times New Roman"/>
                <w:color w:val="00B050"/>
                <w:sz w:val="22"/>
              </w:rPr>
            </w:pPr>
            <w:r w:rsidRPr="00B32104">
              <w:rPr>
                <w:rFonts w:eastAsia="Times New Roman" w:cs="Times New Roman"/>
                <w:color w:val="00B050"/>
                <w:sz w:val="22"/>
              </w:rPr>
              <w:t>1.37E-04</w:t>
            </w:r>
          </w:p>
        </w:tc>
        <w:tc>
          <w:tcPr>
            <w:tcW w:w="1000" w:type="dxa"/>
            <w:shd w:val="clear" w:color="auto" w:fill="auto"/>
            <w:noWrap/>
            <w:vAlign w:val="bottom"/>
            <w:hideMark/>
          </w:tcPr>
          <w:p w:rsidR="00B32104" w:rsidRPr="00B32104" w:rsidRDefault="00B32104" w:rsidP="00B32104">
            <w:pPr>
              <w:spacing w:after="0" w:line="240" w:lineRule="auto"/>
              <w:jc w:val="right"/>
              <w:rPr>
                <w:rFonts w:eastAsia="Times New Roman" w:cs="Times New Roman"/>
                <w:color w:val="00B050"/>
                <w:sz w:val="22"/>
              </w:rPr>
            </w:pPr>
            <w:r w:rsidRPr="00B32104">
              <w:rPr>
                <w:rFonts w:eastAsia="Times New Roman" w:cs="Times New Roman"/>
                <w:color w:val="00B050"/>
                <w:sz w:val="22"/>
              </w:rPr>
              <w:t>1.19E-05</w:t>
            </w:r>
          </w:p>
        </w:tc>
        <w:tc>
          <w:tcPr>
            <w:tcW w:w="1000" w:type="dxa"/>
            <w:shd w:val="clear" w:color="auto" w:fill="auto"/>
            <w:noWrap/>
            <w:vAlign w:val="bottom"/>
            <w:hideMark/>
          </w:tcPr>
          <w:p w:rsidR="00B32104" w:rsidRPr="00B32104" w:rsidRDefault="00B32104" w:rsidP="00B32104">
            <w:pPr>
              <w:spacing w:after="0" w:line="240" w:lineRule="auto"/>
              <w:jc w:val="right"/>
              <w:rPr>
                <w:rFonts w:eastAsia="Times New Roman" w:cs="Times New Roman"/>
                <w:color w:val="00B050"/>
                <w:sz w:val="22"/>
              </w:rPr>
            </w:pPr>
            <w:r w:rsidRPr="00B32104">
              <w:rPr>
                <w:rFonts w:eastAsia="Times New Roman" w:cs="Times New Roman"/>
                <w:color w:val="00B050"/>
                <w:sz w:val="22"/>
              </w:rPr>
              <w:t>5.74E-04</w:t>
            </w:r>
          </w:p>
        </w:tc>
        <w:tc>
          <w:tcPr>
            <w:tcW w:w="1000" w:type="dxa"/>
            <w:shd w:val="clear" w:color="auto" w:fill="auto"/>
            <w:noWrap/>
            <w:vAlign w:val="bottom"/>
            <w:hideMark/>
          </w:tcPr>
          <w:p w:rsidR="00B32104" w:rsidRPr="00B32104" w:rsidRDefault="00B32104" w:rsidP="00B32104">
            <w:pPr>
              <w:spacing w:after="0" w:line="240" w:lineRule="auto"/>
              <w:jc w:val="right"/>
              <w:rPr>
                <w:rFonts w:eastAsia="Times New Roman" w:cs="Times New Roman"/>
                <w:color w:val="00B050"/>
                <w:sz w:val="22"/>
              </w:rPr>
            </w:pPr>
            <w:r w:rsidRPr="00B32104">
              <w:rPr>
                <w:rFonts w:eastAsia="Times New Roman" w:cs="Times New Roman"/>
                <w:color w:val="00B050"/>
                <w:sz w:val="22"/>
              </w:rPr>
              <w:t>3.32E-05</w:t>
            </w:r>
          </w:p>
        </w:tc>
      </w:tr>
    </w:tbl>
    <w:p w:rsidR="00B32104" w:rsidRPr="00540D6C" w:rsidRDefault="00B32104" w:rsidP="006036B1">
      <w:pPr>
        <w:rPr>
          <w:rFonts w:cs="Times New Roman"/>
          <w:szCs w:val="24"/>
        </w:rPr>
      </w:pPr>
    </w:p>
    <w:p w:rsidR="006036B1" w:rsidRPr="00540D6C" w:rsidRDefault="006036B1" w:rsidP="006036B1">
      <w:pPr>
        <w:pStyle w:val="Default"/>
        <w:spacing w:line="360" w:lineRule="auto"/>
        <w:rPr>
          <w:b/>
          <w:bCs/>
        </w:rPr>
      </w:pPr>
      <w:r w:rsidRPr="00540D6C">
        <w:rPr>
          <w:noProof/>
        </w:rPr>
        <w:drawing>
          <wp:inline distT="0" distB="0" distL="114300" distR="114300" wp14:anchorId="1BA46D3B" wp14:editId="0DFF379E">
            <wp:extent cx="4572000" cy="2743200"/>
            <wp:effectExtent l="0" t="0" r="0" b="0"/>
            <wp:docPr id="1054"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6036B1" w:rsidRPr="00540D6C" w:rsidRDefault="0036309E" w:rsidP="006036B1">
      <w:pPr>
        <w:pStyle w:val="Default"/>
        <w:spacing w:line="360" w:lineRule="auto"/>
      </w:pPr>
      <w:r w:rsidRPr="00540D6C">
        <w:t>Figure 14</w:t>
      </w:r>
      <w:r w:rsidR="006036B1" w:rsidRPr="00540D6C">
        <w:t xml:space="preserve"> HQ Total for Non Carcinogenic Heavy metals</w:t>
      </w:r>
      <w:r w:rsidR="00980A9B">
        <w:t xml:space="preserve"> </w:t>
      </w:r>
      <w:r w:rsidR="00980A9B" w:rsidRPr="00980A9B">
        <w:rPr>
          <w:color w:val="00B050"/>
        </w:rPr>
        <w:t>in Sediments</w:t>
      </w:r>
    </w:p>
    <w:p w:rsidR="006036B1" w:rsidRPr="00540D6C" w:rsidRDefault="006036B1" w:rsidP="006036B1">
      <w:pPr>
        <w:pStyle w:val="Default"/>
        <w:spacing w:line="360" w:lineRule="auto"/>
        <w:rPr>
          <w:b/>
          <w:bCs/>
        </w:rPr>
      </w:pPr>
    </w:p>
    <w:p w:rsidR="006036B1" w:rsidRPr="00540D6C" w:rsidRDefault="007F79EB" w:rsidP="006036B1">
      <w:pPr>
        <w:jc w:val="both"/>
        <w:rPr>
          <w:rFonts w:cs="Times New Roman"/>
          <w:b/>
          <w:szCs w:val="24"/>
        </w:rPr>
      </w:pPr>
      <w:r>
        <w:rPr>
          <w:rFonts w:cs="Times New Roman"/>
          <w:b/>
          <w:bCs/>
          <w:szCs w:val="24"/>
        </w:rPr>
        <w:t xml:space="preserve">3.14 </w:t>
      </w:r>
      <w:r w:rsidR="006036B1" w:rsidRPr="00540D6C">
        <w:rPr>
          <w:rFonts w:cs="Times New Roman"/>
          <w:b/>
          <w:bCs/>
          <w:szCs w:val="24"/>
        </w:rPr>
        <w:t xml:space="preserve">Cancer </w:t>
      </w:r>
      <w:r w:rsidR="006036B1" w:rsidRPr="00540D6C">
        <w:rPr>
          <w:rFonts w:cs="Times New Roman"/>
          <w:b/>
          <w:szCs w:val="24"/>
        </w:rPr>
        <w:t xml:space="preserve">Risks Assessment of Carcinogenic Heavy metals in Sediments </w:t>
      </w:r>
    </w:p>
    <w:p w:rsidR="006036B1" w:rsidRPr="00540D6C" w:rsidRDefault="006036B1" w:rsidP="006036B1">
      <w:pPr>
        <w:tabs>
          <w:tab w:val="right" w:pos="9360"/>
        </w:tabs>
        <w:jc w:val="both"/>
        <w:rPr>
          <w:rFonts w:cs="Times New Roman"/>
          <w:szCs w:val="24"/>
        </w:rPr>
      </w:pPr>
      <w:r w:rsidRPr="00540D6C">
        <w:rPr>
          <w:rFonts w:cs="Times New Roman"/>
          <w:szCs w:val="24"/>
        </w:rPr>
        <w:t xml:space="preserve">The carcinogenic cancer risk assessment was determined by multiplying daily exposure dose by their corresponding slope factor of individual carcinogenic heavy metals to arrive at cancer </w:t>
      </w:r>
      <w:r w:rsidRPr="00540D6C">
        <w:rPr>
          <w:rFonts w:cs="Times New Roman"/>
          <w:szCs w:val="24"/>
        </w:rPr>
        <w:lastRenderedPageBreak/>
        <w:t>risk values. Slope factor for ingestion in mg/kgday</w:t>
      </w:r>
      <w:r w:rsidRPr="00540D6C">
        <w:rPr>
          <w:rFonts w:cs="Times New Roman"/>
          <w:szCs w:val="24"/>
          <w:vertAlign w:val="superscript"/>
        </w:rPr>
        <w:t xml:space="preserve">-1 </w:t>
      </w:r>
      <w:r w:rsidRPr="00540D6C">
        <w:rPr>
          <w:rFonts w:cs="Times New Roman"/>
          <w:szCs w:val="24"/>
        </w:rPr>
        <w:t xml:space="preserve">of </w:t>
      </w:r>
      <w:proofErr w:type="gramStart"/>
      <w:r w:rsidRPr="00540D6C">
        <w:rPr>
          <w:rFonts w:cs="Times New Roman"/>
          <w:szCs w:val="24"/>
        </w:rPr>
        <w:t>As</w:t>
      </w:r>
      <w:proofErr w:type="gramEnd"/>
      <w:r w:rsidRPr="00540D6C">
        <w:rPr>
          <w:rFonts w:cs="Times New Roman"/>
          <w:szCs w:val="24"/>
        </w:rPr>
        <w:t xml:space="preserve"> = 1.50E + 00, Pb = 8.50E -03, Cr = 5.0E – 01, Ni = 0, while slope factor for inhalation of carcinogenic heavy metals are As = 1.50 E + 01, Pb = 4.20 E – 02, Cd= 6.30 E + 00, Cr = 4.10 E + 01 (</w:t>
      </w:r>
      <w:proofErr w:type="spellStart"/>
      <w:r w:rsidRPr="00540D6C">
        <w:rPr>
          <w:rFonts w:cs="Times New Roman"/>
          <w:szCs w:val="24"/>
        </w:rPr>
        <w:t>Caspah</w:t>
      </w:r>
      <w:proofErr w:type="spellEnd"/>
      <w:r w:rsidRPr="00540D6C">
        <w:rPr>
          <w:rFonts w:cs="Times New Roman"/>
          <w:szCs w:val="24"/>
        </w:rPr>
        <w:t xml:space="preserve"> </w:t>
      </w:r>
      <w:r w:rsidRPr="00540D6C">
        <w:rPr>
          <w:rFonts w:cs="Times New Roman"/>
          <w:i/>
          <w:szCs w:val="24"/>
        </w:rPr>
        <w:t>et al</w:t>
      </w:r>
      <w:r w:rsidRPr="00540D6C">
        <w:rPr>
          <w:rFonts w:cs="Times New Roman"/>
          <w:szCs w:val="24"/>
        </w:rPr>
        <w:t>., 2016).</w:t>
      </w:r>
    </w:p>
    <w:p w:rsidR="006036B1" w:rsidRPr="00540D6C" w:rsidRDefault="001145AE" w:rsidP="006036B1">
      <w:pPr>
        <w:pStyle w:val="Default"/>
        <w:spacing w:line="360" w:lineRule="auto"/>
        <w:jc w:val="both"/>
      </w:pPr>
      <w:r w:rsidRPr="00540D6C">
        <w:t>Figure 15</w:t>
      </w:r>
      <w:r w:rsidR="006036B1" w:rsidRPr="00540D6C">
        <w:t xml:space="preserve"> explored the cancer risk assessment of carcinogenic heavy metals in sediment in two specific pathways (ingestion and inhalation) whereby the result indicated that Cr has the highest level of cancer risk in ingestion with the value of 8.24E-06 followed by Cd=1.68E-06, As=2.60-07 where Pb has the least value of 1.28E-09 which were represented in decreased order of Cr &gt; Cd &gt; As &gt;Pb respectively.  The inhalation pathway showed negligible effect on the process</w:t>
      </w:r>
      <w:r w:rsidR="006B21BA">
        <w:t xml:space="preserve">. </w:t>
      </w:r>
      <w:r w:rsidR="006036B1" w:rsidRPr="00540D6C">
        <w:t xml:space="preserve">The cancer risk shown on these four carcinogenic heavy metals were similar to finding of Usman </w:t>
      </w:r>
      <w:r w:rsidR="006036B1" w:rsidRPr="00540D6C">
        <w:rPr>
          <w:i/>
        </w:rPr>
        <w:t>et al.</w:t>
      </w:r>
      <w:r w:rsidR="006036B1" w:rsidRPr="00540D6C">
        <w:t>, (2020)</w:t>
      </w:r>
      <w:r w:rsidR="006B21BA">
        <w:t xml:space="preserve">. However the CR obtained in sediments contradicted the range CR of 14.20 to 217.72 in all sampling sites as investigated by Sadique </w:t>
      </w:r>
      <w:r w:rsidR="006B21BA" w:rsidRPr="006B21BA">
        <w:rPr>
          <w:i/>
        </w:rPr>
        <w:t>et al</w:t>
      </w:r>
      <w:r w:rsidR="006B21BA">
        <w:t>., (2025)</w:t>
      </w:r>
    </w:p>
    <w:p w:rsidR="006036B1" w:rsidRPr="00540D6C" w:rsidRDefault="006036B1" w:rsidP="006036B1">
      <w:pPr>
        <w:tabs>
          <w:tab w:val="right" w:pos="9360"/>
        </w:tabs>
        <w:jc w:val="both"/>
        <w:rPr>
          <w:rFonts w:cs="Times New Roman"/>
          <w:szCs w:val="24"/>
        </w:rPr>
      </w:pPr>
    </w:p>
    <w:p w:rsidR="006036B1" w:rsidRPr="00540D6C" w:rsidRDefault="006036B1" w:rsidP="006036B1">
      <w:pPr>
        <w:tabs>
          <w:tab w:val="right" w:pos="9360"/>
        </w:tabs>
        <w:jc w:val="both"/>
        <w:rPr>
          <w:rFonts w:cs="Times New Roman"/>
          <w:szCs w:val="24"/>
        </w:rPr>
      </w:pPr>
      <w:r w:rsidRPr="00540D6C">
        <w:rPr>
          <w:rFonts w:cs="Times New Roman"/>
          <w:noProof/>
          <w:szCs w:val="24"/>
        </w:rPr>
        <w:drawing>
          <wp:inline distT="0" distB="0" distL="114300" distR="114300" wp14:anchorId="1305714F" wp14:editId="52D88D0F">
            <wp:extent cx="4572000" cy="2743200"/>
            <wp:effectExtent l="0" t="0" r="0" b="0"/>
            <wp:docPr id="1056"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036B1" w:rsidRPr="00540D6C" w:rsidRDefault="000A3E47" w:rsidP="006036B1">
      <w:pPr>
        <w:tabs>
          <w:tab w:val="right" w:pos="9360"/>
        </w:tabs>
        <w:jc w:val="both"/>
        <w:rPr>
          <w:rFonts w:cs="Times New Roman"/>
          <w:szCs w:val="24"/>
        </w:rPr>
      </w:pPr>
      <w:r w:rsidRPr="00540D6C">
        <w:rPr>
          <w:rFonts w:cs="Times New Roman"/>
          <w:szCs w:val="24"/>
        </w:rPr>
        <w:t xml:space="preserve">Figure 15 </w:t>
      </w:r>
      <w:r w:rsidRPr="00540D6C">
        <w:rPr>
          <w:rFonts w:cs="Times New Roman"/>
          <w:bCs/>
          <w:szCs w:val="24"/>
        </w:rPr>
        <w:t xml:space="preserve">Cancer </w:t>
      </w:r>
      <w:r w:rsidRPr="00540D6C">
        <w:rPr>
          <w:rFonts w:cs="Times New Roman"/>
          <w:szCs w:val="24"/>
        </w:rPr>
        <w:t>Risks Assessment of Carcinogenic Heavy metals in Sediments</w:t>
      </w:r>
    </w:p>
    <w:p w:rsidR="006036B1" w:rsidRPr="00540D6C" w:rsidRDefault="007F79EB" w:rsidP="006036B1">
      <w:pPr>
        <w:tabs>
          <w:tab w:val="right" w:pos="9360"/>
        </w:tabs>
        <w:jc w:val="both"/>
        <w:rPr>
          <w:rFonts w:cs="Times New Roman"/>
          <w:szCs w:val="24"/>
        </w:rPr>
      </w:pPr>
      <w:r>
        <w:rPr>
          <w:rFonts w:cs="Times New Roman"/>
          <w:b/>
          <w:szCs w:val="24"/>
        </w:rPr>
        <w:t xml:space="preserve">3.15 </w:t>
      </w:r>
      <w:r w:rsidR="006036B1" w:rsidRPr="00540D6C">
        <w:rPr>
          <w:rFonts w:cs="Times New Roman"/>
          <w:b/>
          <w:szCs w:val="24"/>
        </w:rPr>
        <w:t>Hazard Index of Sediment Samples</w:t>
      </w:r>
    </w:p>
    <w:p w:rsidR="006B7E20" w:rsidRDefault="006036B1" w:rsidP="006036B1">
      <w:pPr>
        <w:jc w:val="both"/>
        <w:rPr>
          <w:rFonts w:cs="Times New Roman"/>
          <w:szCs w:val="24"/>
        </w:rPr>
      </w:pPr>
      <w:r w:rsidRPr="00540D6C">
        <w:rPr>
          <w:rFonts w:cs="Times New Roman"/>
          <w:szCs w:val="24"/>
        </w:rPr>
        <w:t xml:space="preserve">Hazard Index (HI) represents the functional non- carcinogenic risk assessment of many heavy metals through major pathways present in the sample, which is given as; Total Hazard Index (Hit = HI </w:t>
      </w:r>
      <w:proofErr w:type="spellStart"/>
      <w:r w:rsidRPr="00540D6C">
        <w:rPr>
          <w:rFonts w:cs="Times New Roman"/>
          <w:szCs w:val="24"/>
        </w:rPr>
        <w:t>ing</w:t>
      </w:r>
      <w:proofErr w:type="spellEnd"/>
      <w:r w:rsidRPr="00540D6C">
        <w:rPr>
          <w:rFonts w:cs="Times New Roman"/>
          <w:szCs w:val="24"/>
        </w:rPr>
        <w:t xml:space="preserve">. + HI </w:t>
      </w:r>
      <w:proofErr w:type="spellStart"/>
      <w:r w:rsidRPr="00540D6C">
        <w:rPr>
          <w:rFonts w:cs="Times New Roman"/>
          <w:szCs w:val="24"/>
        </w:rPr>
        <w:t>inh</w:t>
      </w:r>
      <w:proofErr w:type="spellEnd"/>
      <w:r w:rsidRPr="00540D6C">
        <w:rPr>
          <w:rFonts w:cs="Times New Roman"/>
          <w:szCs w:val="24"/>
        </w:rPr>
        <w:t xml:space="preserve">. + HI derm.) Which is the sum of all HI in three pathways.  HI = </w:t>
      </w:r>
      <m:oMath>
        <m:nary>
          <m:naryPr>
            <m:chr m:val="∑"/>
            <m:limLoc m:val="undOvr"/>
            <m:subHide m:val="1"/>
            <m:supHide m:val="1"/>
            <m:ctrlPr>
              <w:rPr>
                <w:rFonts w:ascii="Cambria Math" w:hAnsi="Cambria Math" w:cs="Times New Roman"/>
                <w:i/>
                <w:szCs w:val="24"/>
              </w:rPr>
            </m:ctrlPr>
          </m:naryPr>
          <m:sub/>
          <m:sup/>
          <m:e>
            <m:r>
              <w:rPr>
                <w:rFonts w:ascii="Cambria Math" w:hAnsi="Cambria Math" w:cs="Times New Roman"/>
                <w:szCs w:val="24"/>
              </w:rPr>
              <m:t>HQi</m:t>
            </m:r>
          </m:e>
        </m:nary>
      </m:oMath>
      <w:r w:rsidRPr="00540D6C">
        <w:rPr>
          <w:rFonts w:cs="Times New Roman"/>
          <w:szCs w:val="24"/>
        </w:rPr>
        <w:t xml:space="preserve">      where Q = Hazard Quotient, i = differ</w:t>
      </w:r>
      <w:r w:rsidR="006B7E20">
        <w:rPr>
          <w:rFonts w:cs="Times New Roman"/>
          <w:szCs w:val="24"/>
        </w:rPr>
        <w:t>ent heavy metals in the sample. Otherwise</w:t>
      </w:r>
    </w:p>
    <w:p w:rsidR="006B7E20" w:rsidRDefault="006B7E20" w:rsidP="006036B1">
      <w:pPr>
        <w:jc w:val="both"/>
        <w:rPr>
          <w:rFonts w:cs="Times New Roman"/>
          <w:szCs w:val="24"/>
        </w:rPr>
      </w:pPr>
      <w:r>
        <w:t xml:space="preserve">HI = </w:t>
      </w:r>
      <m:oMath>
        <m:nary>
          <m:naryPr>
            <m:chr m:val="∑"/>
            <m:limLoc m:val="undOvr"/>
            <m:subHide m:val="1"/>
            <m:supHide m:val="1"/>
            <m:ctrlPr>
              <w:rPr>
                <w:rFonts w:ascii="Cambria Math" w:hAnsi="Cambria Math" w:cs="Times New Roman"/>
                <w:i/>
                <w:szCs w:val="24"/>
              </w:rPr>
            </m:ctrlPr>
          </m:naryPr>
          <m:sub/>
          <m:sup/>
          <m:e>
            <m:r>
              <w:rPr>
                <w:rFonts w:ascii="Cambria Math" w:hAnsi="Cambria Math" w:cs="Times New Roman"/>
                <w:szCs w:val="24"/>
              </w:rPr>
              <m:t>HQ</m:t>
            </m:r>
          </m:e>
        </m:nary>
      </m:oMath>
      <w:r>
        <w:t>=</w:t>
      </w:r>
      <w:proofErr w:type="spellStart"/>
      <w:r>
        <w:t>HQing+HQdermal+HQinh</w:t>
      </w:r>
      <w:proofErr w:type="spellEnd"/>
      <w:r>
        <w:t xml:space="preserve">   (</w:t>
      </w:r>
      <w:proofErr w:type="spellStart"/>
      <w:r>
        <w:t>Saheh</w:t>
      </w:r>
      <w:proofErr w:type="spellEnd"/>
      <w:r>
        <w:t xml:space="preserve"> </w:t>
      </w:r>
      <w:r w:rsidRPr="006B7E20">
        <w:rPr>
          <w:i/>
        </w:rPr>
        <w:t>et al</w:t>
      </w:r>
      <w:r>
        <w:t xml:space="preserve">., 2024)                </w:t>
      </w:r>
    </w:p>
    <w:p w:rsidR="006036B1" w:rsidRPr="00540D6C" w:rsidRDefault="006036B1" w:rsidP="006036B1">
      <w:pPr>
        <w:jc w:val="both"/>
        <w:rPr>
          <w:rFonts w:eastAsia="SimSun" w:cs="Times New Roman"/>
          <w:szCs w:val="24"/>
        </w:rPr>
      </w:pPr>
      <w:r w:rsidRPr="00540D6C">
        <w:rPr>
          <w:rFonts w:cs="Times New Roman"/>
          <w:szCs w:val="24"/>
        </w:rPr>
        <w:lastRenderedPageBreak/>
        <w:t xml:space="preserve"> HI</w:t>
      </w:r>
      <m:oMath>
        <m:r>
          <w:rPr>
            <w:rFonts w:ascii="Cambria Math" w:hAnsi="Cambria Math" w:cs="Times New Roman"/>
            <w:szCs w:val="24"/>
          </w:rPr>
          <m:t xml:space="preserve"> </m:t>
        </m:r>
        <m:r>
          <w:rPr>
            <w:rFonts w:ascii="Cambria Math" w:eastAsia="SimSun" w:hAnsi="Cambria Math" w:cs="Times New Roman"/>
            <w:szCs w:val="24"/>
          </w:rPr>
          <m:t>≤</m:t>
        </m:r>
        <m:r>
          <w:rPr>
            <w:rFonts w:ascii="Cambria Math" w:hAnsi="Cambria Math" w:cs="Times New Roman"/>
            <w:szCs w:val="24"/>
          </w:rPr>
          <m:t xml:space="preserve">   </m:t>
        </m:r>
      </m:oMath>
      <w:r w:rsidRPr="00540D6C">
        <w:rPr>
          <w:rFonts w:eastAsia="SimSun" w:cs="Times New Roman"/>
          <w:szCs w:val="24"/>
        </w:rPr>
        <w:t xml:space="preserve">1 no adverse health risk, HI </w:t>
      </w:r>
      <m:oMath>
        <m:r>
          <w:rPr>
            <w:rFonts w:ascii="Cambria Math" w:hAnsi="Cambria Math" w:cs="Times New Roman"/>
            <w:szCs w:val="24"/>
          </w:rPr>
          <m:t>≥1</m:t>
        </m:r>
        <m:r>
          <w:rPr>
            <w:rFonts w:ascii="Cambria Math" w:eastAsia="SimSun" w:hAnsi="Cambria Math" w:cs="Times New Roman"/>
            <w:szCs w:val="24"/>
          </w:rPr>
          <m:t xml:space="preserve">  </m:t>
        </m:r>
      </m:oMath>
      <w:r w:rsidRPr="00540D6C">
        <w:rPr>
          <w:rFonts w:cs="Times New Roman"/>
          <w:szCs w:val="24"/>
        </w:rPr>
        <w:t>1</w:t>
      </w:r>
      <w:r w:rsidRPr="00540D6C">
        <w:rPr>
          <w:rFonts w:eastAsia="SimSun" w:cs="Times New Roman"/>
          <w:szCs w:val="24"/>
        </w:rPr>
        <w:t xml:space="preserve">there is likely adverse health risk effects. As reported by (Usman </w:t>
      </w:r>
      <w:r w:rsidRPr="00540D6C">
        <w:rPr>
          <w:rFonts w:eastAsia="SimSun" w:cs="Times New Roman"/>
          <w:i/>
          <w:szCs w:val="24"/>
        </w:rPr>
        <w:t>et al</w:t>
      </w:r>
      <w:r w:rsidRPr="00540D6C">
        <w:rPr>
          <w:rFonts w:eastAsia="SimSun" w:cs="Times New Roman"/>
          <w:szCs w:val="24"/>
        </w:rPr>
        <w:t>., 2022).</w:t>
      </w:r>
    </w:p>
    <w:p w:rsidR="006036B1" w:rsidRDefault="000A3E47" w:rsidP="006036B1">
      <w:pPr>
        <w:jc w:val="both"/>
        <w:rPr>
          <w:rFonts w:cs="Times New Roman"/>
          <w:szCs w:val="24"/>
        </w:rPr>
      </w:pPr>
      <w:r w:rsidRPr="00540D6C">
        <w:rPr>
          <w:rFonts w:cs="Times New Roman"/>
          <w:szCs w:val="24"/>
        </w:rPr>
        <w:t>Figure 16</w:t>
      </w:r>
      <w:r w:rsidR="006036B1" w:rsidRPr="00540D6C">
        <w:rPr>
          <w:rFonts w:cs="Times New Roman"/>
          <w:szCs w:val="24"/>
        </w:rPr>
        <w:t xml:space="preserve"> showed that the Hazard Index of Non-carcinogenic in heavy metals where by Fe revealed the highest value of  3.07E-05</w:t>
      </w:r>
      <w:r w:rsidR="006036B1" w:rsidRPr="00540D6C">
        <w:rPr>
          <w:rFonts w:cs="Times New Roman"/>
          <w:szCs w:val="24"/>
          <w:vertAlign w:val="superscript"/>
        </w:rPr>
        <w:t xml:space="preserve"> </w:t>
      </w:r>
      <w:r w:rsidR="006036B1" w:rsidRPr="00540D6C">
        <w:rPr>
          <w:rFonts w:cs="Times New Roman"/>
          <w:szCs w:val="24"/>
        </w:rPr>
        <w:t xml:space="preserve">followed by Mn = 2.75E-05, Zn = 2.55E-05, Ni = 8.12E-06, Cu = 2.64E-06, Cr = 1.99E-06, Cr = 1.94E-06, Cd = 1.99E-06, As = 1.16E-06 and Pb = 1.04E-06. This indicated that the values of heavy metals of non-carcinogenic showed hazard index of HI&gt;1 which represented likely adverse health risks in sediments samples decreased in order of Fe &gt; Mn &gt; Zn &gt; Ni &gt; Cu &gt; Cr &gt; Cd &gt; As &gt; Pb respectively. As related to the findings of Usman </w:t>
      </w:r>
      <w:r w:rsidR="006036B1" w:rsidRPr="00540D6C">
        <w:rPr>
          <w:rFonts w:cs="Times New Roman"/>
          <w:i/>
          <w:iCs/>
          <w:szCs w:val="24"/>
        </w:rPr>
        <w:t>et al</w:t>
      </w:r>
      <w:r w:rsidR="006036B1" w:rsidRPr="00540D6C">
        <w:rPr>
          <w:rFonts w:cs="Times New Roman"/>
          <w:szCs w:val="24"/>
        </w:rPr>
        <w:t>. (2022).</w:t>
      </w:r>
      <w:r w:rsidR="00E93263">
        <w:rPr>
          <w:rFonts w:cs="Times New Roman"/>
          <w:szCs w:val="24"/>
        </w:rPr>
        <w:t xml:space="preserve"> </w:t>
      </w:r>
      <w:r w:rsidR="00C17FED">
        <w:rPr>
          <w:rFonts w:cs="Times New Roman"/>
          <w:szCs w:val="24"/>
        </w:rPr>
        <w:t xml:space="preserve"> </w:t>
      </w:r>
      <w:r w:rsidR="002177D6" w:rsidRPr="000C0CDA">
        <w:rPr>
          <w:rFonts w:cs="Times New Roman"/>
          <w:color w:val="00B050"/>
          <w:szCs w:val="24"/>
        </w:rPr>
        <w:t>However</w:t>
      </w:r>
      <w:r w:rsidR="00C17FED" w:rsidRPr="000C0CDA">
        <w:rPr>
          <w:rFonts w:cs="Times New Roman"/>
          <w:color w:val="00B050"/>
          <w:szCs w:val="24"/>
        </w:rPr>
        <w:t xml:space="preserve">, the trend in toxicity contradicted the trend showed Mn and V </w:t>
      </w:r>
      <w:proofErr w:type="gramStart"/>
      <w:r w:rsidR="00C17FED" w:rsidRPr="000C0CDA">
        <w:rPr>
          <w:rFonts w:cs="Times New Roman"/>
          <w:color w:val="00B050"/>
          <w:szCs w:val="24"/>
        </w:rPr>
        <w:t>as  the</w:t>
      </w:r>
      <w:proofErr w:type="gramEnd"/>
      <w:r w:rsidR="00C17FED" w:rsidRPr="000C0CDA">
        <w:rPr>
          <w:rFonts w:cs="Times New Roman"/>
          <w:color w:val="00B050"/>
          <w:szCs w:val="24"/>
        </w:rPr>
        <w:t xml:space="preserve"> highest while Cd &gt;Cr formed the least toxic as reported </w:t>
      </w:r>
      <w:proofErr w:type="spellStart"/>
      <w:r w:rsidR="00C17FED" w:rsidRPr="000C0CDA">
        <w:rPr>
          <w:rFonts w:cs="Times New Roman"/>
          <w:color w:val="00B050"/>
          <w:szCs w:val="24"/>
        </w:rPr>
        <w:t>Saltana</w:t>
      </w:r>
      <w:proofErr w:type="spellEnd"/>
      <w:r w:rsidR="00C17FED" w:rsidRPr="000C0CDA">
        <w:rPr>
          <w:rFonts w:cs="Times New Roman"/>
          <w:color w:val="00B050"/>
          <w:szCs w:val="24"/>
        </w:rPr>
        <w:t xml:space="preserve"> </w:t>
      </w:r>
      <w:r w:rsidR="00C17FED" w:rsidRPr="00CC5F37">
        <w:rPr>
          <w:rFonts w:cs="Times New Roman"/>
          <w:i/>
          <w:color w:val="00B050"/>
          <w:szCs w:val="24"/>
        </w:rPr>
        <w:t>et al</w:t>
      </w:r>
      <w:r w:rsidR="00C17FED" w:rsidRPr="000C0CDA">
        <w:rPr>
          <w:rFonts w:cs="Times New Roman"/>
          <w:color w:val="00B050"/>
          <w:szCs w:val="24"/>
        </w:rPr>
        <w:t>., 2017)</w:t>
      </w:r>
      <w:r w:rsidR="000C0CDA">
        <w:rPr>
          <w:rFonts w:cs="Times New Roman"/>
          <w:szCs w:val="24"/>
        </w:rPr>
        <w:t>.</w:t>
      </w:r>
      <w:r w:rsidR="00C17FED">
        <w:rPr>
          <w:rFonts w:cs="Times New Roman"/>
          <w:szCs w:val="24"/>
        </w:rPr>
        <w:t xml:space="preserve"> </w:t>
      </w:r>
      <w:r w:rsidR="00E93263" w:rsidRPr="00E93263">
        <w:rPr>
          <w:rFonts w:cs="Times New Roman"/>
          <w:color w:val="00B050"/>
          <w:szCs w:val="24"/>
        </w:rPr>
        <w:t>The result obtained was contrary to HI in</w:t>
      </w:r>
      <w:r w:rsidR="00C94D0E">
        <w:rPr>
          <w:rFonts w:cs="Times New Roman"/>
          <w:color w:val="00B050"/>
          <w:szCs w:val="24"/>
        </w:rPr>
        <w:t xml:space="preserve"> soil</w:t>
      </w:r>
      <w:r w:rsidR="00E93263" w:rsidRPr="00E93263">
        <w:rPr>
          <w:rFonts w:cs="Times New Roman"/>
          <w:color w:val="00B050"/>
          <w:szCs w:val="24"/>
        </w:rPr>
        <w:t xml:space="preserve"> dust which range 1.9E-01 in Mn to 5.9E-01 in Vanadium as reported by Arifa </w:t>
      </w:r>
      <w:r w:rsidR="00E93263" w:rsidRPr="00465050">
        <w:rPr>
          <w:rFonts w:cs="Times New Roman"/>
          <w:i/>
          <w:color w:val="00B050"/>
          <w:szCs w:val="24"/>
        </w:rPr>
        <w:t>et al</w:t>
      </w:r>
      <w:r w:rsidR="00E93263" w:rsidRPr="00E93263">
        <w:rPr>
          <w:rFonts w:cs="Times New Roman"/>
          <w:color w:val="00B050"/>
          <w:szCs w:val="24"/>
        </w:rPr>
        <w:t>., (2015)</w:t>
      </w:r>
      <w:r w:rsidR="00E93263">
        <w:rPr>
          <w:rFonts w:cs="Times New Roman"/>
          <w:color w:val="00B050"/>
          <w:szCs w:val="24"/>
        </w:rPr>
        <w:t>.</w:t>
      </w:r>
    </w:p>
    <w:p w:rsidR="00980A9B" w:rsidRPr="00980A9B" w:rsidRDefault="00980A9B" w:rsidP="006036B1">
      <w:pPr>
        <w:jc w:val="both"/>
        <w:rPr>
          <w:rFonts w:cs="Times New Roman"/>
          <w:color w:val="00B050"/>
          <w:szCs w:val="24"/>
        </w:rPr>
      </w:pPr>
      <w:r w:rsidRPr="00980A9B">
        <w:rPr>
          <w:rFonts w:cs="Times New Roman"/>
          <w:color w:val="00B050"/>
          <w:szCs w:val="24"/>
        </w:rPr>
        <w:t>Table 3.4 Hazard Index of Non-Carcinogenic Heavy metals in Sediments</w:t>
      </w:r>
    </w:p>
    <w:tbl>
      <w:tblPr>
        <w:tblW w:w="10090" w:type="dxa"/>
        <w:tblInd w:w="-10" w:type="dxa"/>
        <w:tblBorders>
          <w:top w:val="single" w:sz="4" w:space="0" w:color="auto"/>
          <w:bottom w:val="single" w:sz="4" w:space="0" w:color="auto"/>
        </w:tblBorders>
        <w:tblLook w:val="04A0" w:firstRow="1" w:lastRow="0" w:firstColumn="1" w:lastColumn="0" w:noHBand="0" w:noVBand="1"/>
      </w:tblPr>
      <w:tblGrid>
        <w:gridCol w:w="960"/>
        <w:gridCol w:w="1220"/>
        <w:gridCol w:w="1000"/>
        <w:gridCol w:w="1000"/>
        <w:gridCol w:w="1000"/>
        <w:gridCol w:w="1000"/>
        <w:gridCol w:w="1000"/>
        <w:gridCol w:w="1000"/>
        <w:gridCol w:w="1000"/>
        <w:gridCol w:w="910"/>
      </w:tblGrid>
      <w:tr w:rsidR="00980A9B" w:rsidRPr="00980A9B" w:rsidTr="00FD0054">
        <w:trPr>
          <w:trHeight w:val="330"/>
        </w:trPr>
        <w:tc>
          <w:tcPr>
            <w:tcW w:w="960" w:type="dxa"/>
            <w:tcBorders>
              <w:top w:val="single" w:sz="4" w:space="0" w:color="auto"/>
              <w:bottom w:val="single" w:sz="4" w:space="0" w:color="auto"/>
            </w:tcBorders>
            <w:shd w:val="clear" w:color="auto" w:fill="auto"/>
            <w:vAlign w:val="center"/>
            <w:hideMark/>
          </w:tcPr>
          <w:p w:rsidR="00980A9B" w:rsidRPr="00980A9B" w:rsidRDefault="00980A9B" w:rsidP="00A74D3A">
            <w:pPr>
              <w:spacing w:after="0" w:line="240" w:lineRule="auto"/>
              <w:jc w:val="center"/>
              <w:rPr>
                <w:rFonts w:eastAsia="Times New Roman" w:cs="Times New Roman"/>
                <w:color w:val="00B050"/>
                <w:szCs w:val="24"/>
              </w:rPr>
            </w:pPr>
            <w:r w:rsidRPr="00980A9B">
              <w:rPr>
                <w:rFonts w:eastAsia="Times New Roman" w:cs="Times New Roman"/>
                <w:color w:val="00B050"/>
                <w:szCs w:val="24"/>
              </w:rPr>
              <w:t>Metals</w:t>
            </w:r>
          </w:p>
        </w:tc>
        <w:tc>
          <w:tcPr>
            <w:tcW w:w="1220" w:type="dxa"/>
            <w:tcBorders>
              <w:top w:val="single" w:sz="4" w:space="0" w:color="auto"/>
              <w:bottom w:val="single" w:sz="4" w:space="0" w:color="auto"/>
            </w:tcBorders>
            <w:shd w:val="clear" w:color="auto" w:fill="auto"/>
            <w:vAlign w:val="center"/>
            <w:hideMark/>
          </w:tcPr>
          <w:p w:rsidR="00980A9B" w:rsidRPr="00980A9B" w:rsidRDefault="00980A9B" w:rsidP="00A74D3A">
            <w:pPr>
              <w:spacing w:after="0" w:line="240" w:lineRule="auto"/>
              <w:jc w:val="center"/>
              <w:rPr>
                <w:rFonts w:eastAsia="Times New Roman" w:cs="Times New Roman"/>
                <w:color w:val="00B050"/>
                <w:szCs w:val="24"/>
              </w:rPr>
            </w:pPr>
            <w:r w:rsidRPr="00980A9B">
              <w:rPr>
                <w:rFonts w:eastAsia="Times New Roman" w:cs="Times New Roman"/>
                <w:color w:val="00B050"/>
                <w:szCs w:val="24"/>
              </w:rPr>
              <w:t>Cu</w:t>
            </w:r>
          </w:p>
        </w:tc>
        <w:tc>
          <w:tcPr>
            <w:tcW w:w="1000" w:type="dxa"/>
            <w:tcBorders>
              <w:top w:val="single" w:sz="4" w:space="0" w:color="auto"/>
              <w:bottom w:val="single" w:sz="4" w:space="0" w:color="auto"/>
            </w:tcBorders>
            <w:shd w:val="clear" w:color="auto" w:fill="auto"/>
            <w:vAlign w:val="center"/>
            <w:hideMark/>
          </w:tcPr>
          <w:p w:rsidR="00980A9B" w:rsidRPr="00980A9B" w:rsidRDefault="00980A9B" w:rsidP="00A74D3A">
            <w:pPr>
              <w:spacing w:after="0" w:line="240" w:lineRule="auto"/>
              <w:jc w:val="center"/>
              <w:rPr>
                <w:rFonts w:eastAsia="Times New Roman" w:cs="Times New Roman"/>
                <w:color w:val="00B050"/>
                <w:szCs w:val="24"/>
              </w:rPr>
            </w:pPr>
            <w:r w:rsidRPr="00980A9B">
              <w:rPr>
                <w:rFonts w:eastAsia="Times New Roman" w:cs="Times New Roman"/>
                <w:color w:val="00B050"/>
                <w:szCs w:val="24"/>
              </w:rPr>
              <w:t>Pb</w:t>
            </w:r>
          </w:p>
        </w:tc>
        <w:tc>
          <w:tcPr>
            <w:tcW w:w="1000" w:type="dxa"/>
            <w:tcBorders>
              <w:top w:val="single" w:sz="4" w:space="0" w:color="auto"/>
              <w:bottom w:val="single" w:sz="4" w:space="0" w:color="auto"/>
            </w:tcBorders>
            <w:shd w:val="clear" w:color="auto" w:fill="auto"/>
            <w:vAlign w:val="center"/>
            <w:hideMark/>
          </w:tcPr>
          <w:p w:rsidR="00980A9B" w:rsidRPr="00980A9B" w:rsidRDefault="00980A9B" w:rsidP="00A74D3A">
            <w:pPr>
              <w:spacing w:after="0" w:line="240" w:lineRule="auto"/>
              <w:jc w:val="center"/>
              <w:rPr>
                <w:rFonts w:eastAsia="Times New Roman" w:cs="Times New Roman"/>
                <w:color w:val="00B050"/>
                <w:szCs w:val="24"/>
              </w:rPr>
            </w:pPr>
            <w:r w:rsidRPr="00980A9B">
              <w:rPr>
                <w:rFonts w:eastAsia="Times New Roman" w:cs="Times New Roman"/>
                <w:color w:val="00B050"/>
                <w:szCs w:val="24"/>
              </w:rPr>
              <w:t>Cr</w:t>
            </w:r>
          </w:p>
        </w:tc>
        <w:tc>
          <w:tcPr>
            <w:tcW w:w="1000" w:type="dxa"/>
            <w:tcBorders>
              <w:top w:val="single" w:sz="4" w:space="0" w:color="auto"/>
              <w:bottom w:val="single" w:sz="4" w:space="0" w:color="auto"/>
            </w:tcBorders>
            <w:shd w:val="clear" w:color="auto" w:fill="auto"/>
            <w:vAlign w:val="center"/>
            <w:hideMark/>
          </w:tcPr>
          <w:p w:rsidR="00980A9B" w:rsidRPr="00980A9B" w:rsidRDefault="00980A9B" w:rsidP="00A74D3A">
            <w:pPr>
              <w:spacing w:after="0" w:line="240" w:lineRule="auto"/>
              <w:jc w:val="center"/>
              <w:rPr>
                <w:rFonts w:eastAsia="Times New Roman" w:cs="Times New Roman"/>
                <w:color w:val="00B050"/>
                <w:szCs w:val="24"/>
              </w:rPr>
            </w:pPr>
            <w:r w:rsidRPr="00980A9B">
              <w:rPr>
                <w:rFonts w:eastAsia="Times New Roman" w:cs="Times New Roman"/>
                <w:color w:val="00B050"/>
                <w:szCs w:val="24"/>
              </w:rPr>
              <w:t>Cd</w:t>
            </w:r>
          </w:p>
        </w:tc>
        <w:tc>
          <w:tcPr>
            <w:tcW w:w="1000" w:type="dxa"/>
            <w:tcBorders>
              <w:top w:val="single" w:sz="4" w:space="0" w:color="auto"/>
              <w:bottom w:val="single" w:sz="4" w:space="0" w:color="auto"/>
            </w:tcBorders>
            <w:shd w:val="clear" w:color="auto" w:fill="auto"/>
            <w:vAlign w:val="center"/>
            <w:hideMark/>
          </w:tcPr>
          <w:p w:rsidR="00980A9B" w:rsidRPr="00980A9B" w:rsidRDefault="00980A9B" w:rsidP="00A74D3A">
            <w:pPr>
              <w:spacing w:after="0" w:line="240" w:lineRule="auto"/>
              <w:jc w:val="center"/>
              <w:rPr>
                <w:rFonts w:eastAsia="Times New Roman" w:cs="Times New Roman"/>
                <w:color w:val="00B050"/>
                <w:szCs w:val="24"/>
              </w:rPr>
            </w:pPr>
            <w:r w:rsidRPr="00980A9B">
              <w:rPr>
                <w:rFonts w:eastAsia="Times New Roman" w:cs="Times New Roman"/>
                <w:color w:val="00B050"/>
                <w:szCs w:val="24"/>
              </w:rPr>
              <w:t>As</w:t>
            </w:r>
          </w:p>
        </w:tc>
        <w:tc>
          <w:tcPr>
            <w:tcW w:w="1000" w:type="dxa"/>
            <w:tcBorders>
              <w:top w:val="single" w:sz="4" w:space="0" w:color="auto"/>
              <w:bottom w:val="single" w:sz="4" w:space="0" w:color="auto"/>
            </w:tcBorders>
            <w:shd w:val="clear" w:color="auto" w:fill="auto"/>
            <w:vAlign w:val="center"/>
            <w:hideMark/>
          </w:tcPr>
          <w:p w:rsidR="00980A9B" w:rsidRPr="00980A9B" w:rsidRDefault="00980A9B" w:rsidP="00A74D3A">
            <w:pPr>
              <w:spacing w:after="0" w:line="240" w:lineRule="auto"/>
              <w:jc w:val="center"/>
              <w:rPr>
                <w:rFonts w:eastAsia="Times New Roman" w:cs="Times New Roman"/>
                <w:color w:val="00B050"/>
                <w:szCs w:val="24"/>
              </w:rPr>
            </w:pPr>
            <w:r w:rsidRPr="00980A9B">
              <w:rPr>
                <w:rFonts w:eastAsia="Times New Roman" w:cs="Times New Roman"/>
                <w:color w:val="00B050"/>
                <w:szCs w:val="24"/>
              </w:rPr>
              <w:t>Ni</w:t>
            </w:r>
          </w:p>
        </w:tc>
        <w:tc>
          <w:tcPr>
            <w:tcW w:w="1000" w:type="dxa"/>
            <w:tcBorders>
              <w:top w:val="single" w:sz="4" w:space="0" w:color="auto"/>
              <w:bottom w:val="single" w:sz="4" w:space="0" w:color="auto"/>
            </w:tcBorders>
            <w:shd w:val="clear" w:color="auto" w:fill="auto"/>
            <w:vAlign w:val="center"/>
            <w:hideMark/>
          </w:tcPr>
          <w:p w:rsidR="00980A9B" w:rsidRPr="00980A9B" w:rsidRDefault="00980A9B" w:rsidP="00A74D3A">
            <w:pPr>
              <w:spacing w:after="0" w:line="240" w:lineRule="auto"/>
              <w:jc w:val="center"/>
              <w:rPr>
                <w:rFonts w:eastAsia="Times New Roman" w:cs="Times New Roman"/>
                <w:color w:val="00B050"/>
                <w:szCs w:val="24"/>
              </w:rPr>
            </w:pPr>
            <w:r w:rsidRPr="00980A9B">
              <w:rPr>
                <w:rFonts w:eastAsia="Times New Roman" w:cs="Times New Roman"/>
                <w:color w:val="00B050"/>
                <w:szCs w:val="24"/>
              </w:rPr>
              <w:t>Fe</w:t>
            </w:r>
          </w:p>
        </w:tc>
        <w:tc>
          <w:tcPr>
            <w:tcW w:w="1000" w:type="dxa"/>
            <w:tcBorders>
              <w:top w:val="single" w:sz="4" w:space="0" w:color="auto"/>
              <w:bottom w:val="single" w:sz="4" w:space="0" w:color="auto"/>
            </w:tcBorders>
            <w:shd w:val="clear" w:color="auto" w:fill="auto"/>
            <w:vAlign w:val="center"/>
            <w:hideMark/>
          </w:tcPr>
          <w:p w:rsidR="00980A9B" w:rsidRPr="00980A9B" w:rsidRDefault="00980A9B" w:rsidP="00A74D3A">
            <w:pPr>
              <w:spacing w:after="0" w:line="240" w:lineRule="auto"/>
              <w:jc w:val="center"/>
              <w:rPr>
                <w:rFonts w:eastAsia="Times New Roman" w:cs="Times New Roman"/>
                <w:color w:val="00B050"/>
                <w:szCs w:val="24"/>
              </w:rPr>
            </w:pPr>
            <w:r w:rsidRPr="00980A9B">
              <w:rPr>
                <w:rFonts w:eastAsia="Times New Roman" w:cs="Times New Roman"/>
                <w:color w:val="00B050"/>
                <w:szCs w:val="24"/>
              </w:rPr>
              <w:t>Mn</w:t>
            </w:r>
          </w:p>
        </w:tc>
        <w:tc>
          <w:tcPr>
            <w:tcW w:w="910" w:type="dxa"/>
            <w:tcBorders>
              <w:top w:val="single" w:sz="4" w:space="0" w:color="auto"/>
              <w:bottom w:val="single" w:sz="4" w:space="0" w:color="auto"/>
            </w:tcBorders>
            <w:shd w:val="clear" w:color="auto" w:fill="auto"/>
            <w:vAlign w:val="center"/>
            <w:hideMark/>
          </w:tcPr>
          <w:p w:rsidR="00980A9B" w:rsidRPr="00980A9B" w:rsidRDefault="00980A9B" w:rsidP="00A74D3A">
            <w:pPr>
              <w:spacing w:after="0" w:line="240" w:lineRule="auto"/>
              <w:jc w:val="center"/>
              <w:rPr>
                <w:rFonts w:eastAsia="Times New Roman" w:cs="Times New Roman"/>
                <w:color w:val="00B050"/>
                <w:szCs w:val="24"/>
              </w:rPr>
            </w:pPr>
            <w:r w:rsidRPr="00980A9B">
              <w:rPr>
                <w:rFonts w:eastAsia="Times New Roman" w:cs="Times New Roman"/>
                <w:color w:val="00B050"/>
                <w:szCs w:val="24"/>
              </w:rPr>
              <w:t>Zn</w:t>
            </w:r>
          </w:p>
        </w:tc>
      </w:tr>
      <w:tr w:rsidR="00980A9B" w:rsidRPr="00980A9B" w:rsidTr="00FD0054">
        <w:trPr>
          <w:trHeight w:val="300"/>
        </w:trPr>
        <w:tc>
          <w:tcPr>
            <w:tcW w:w="960" w:type="dxa"/>
            <w:tcBorders>
              <w:top w:val="single" w:sz="4" w:space="0" w:color="auto"/>
            </w:tcBorders>
            <w:shd w:val="clear" w:color="auto" w:fill="auto"/>
            <w:noWrap/>
            <w:vAlign w:val="bottom"/>
            <w:hideMark/>
          </w:tcPr>
          <w:p w:rsidR="00980A9B" w:rsidRPr="00980A9B" w:rsidRDefault="00980A9B" w:rsidP="00980A9B">
            <w:pPr>
              <w:spacing w:after="0" w:line="240" w:lineRule="auto"/>
              <w:rPr>
                <w:rFonts w:ascii="Calibri" w:eastAsia="Times New Roman" w:hAnsi="Calibri" w:cs="Calibri"/>
                <w:color w:val="00B050"/>
                <w:sz w:val="22"/>
              </w:rPr>
            </w:pPr>
            <w:r w:rsidRPr="00980A9B">
              <w:rPr>
                <w:rFonts w:ascii="Calibri" w:eastAsia="Times New Roman" w:hAnsi="Calibri" w:cs="Calibri"/>
                <w:color w:val="00B050"/>
                <w:sz w:val="22"/>
              </w:rPr>
              <w:t>Ing tot</w:t>
            </w:r>
          </w:p>
        </w:tc>
        <w:tc>
          <w:tcPr>
            <w:tcW w:w="1220" w:type="dxa"/>
            <w:tcBorders>
              <w:top w:val="single" w:sz="4" w:space="0" w:color="auto"/>
            </w:tcBorders>
            <w:shd w:val="clear" w:color="auto" w:fill="auto"/>
            <w:noWrap/>
            <w:vAlign w:val="bottom"/>
            <w:hideMark/>
          </w:tcPr>
          <w:p w:rsidR="00980A9B" w:rsidRPr="00980A9B" w:rsidRDefault="00980A9B" w:rsidP="00980A9B">
            <w:pPr>
              <w:spacing w:after="0" w:line="240" w:lineRule="auto"/>
              <w:jc w:val="right"/>
              <w:rPr>
                <w:rFonts w:ascii="Calibri" w:eastAsia="Times New Roman" w:hAnsi="Calibri" w:cs="Calibri"/>
                <w:color w:val="00B050"/>
                <w:sz w:val="22"/>
              </w:rPr>
            </w:pPr>
            <w:r w:rsidRPr="00980A9B">
              <w:rPr>
                <w:rFonts w:ascii="Calibri" w:eastAsia="Times New Roman" w:hAnsi="Calibri" w:cs="Calibri"/>
                <w:color w:val="00B050"/>
                <w:sz w:val="22"/>
              </w:rPr>
              <w:t>2.23E-06</w:t>
            </w:r>
          </w:p>
        </w:tc>
        <w:tc>
          <w:tcPr>
            <w:tcW w:w="1000" w:type="dxa"/>
            <w:tcBorders>
              <w:top w:val="single" w:sz="4" w:space="0" w:color="auto"/>
            </w:tcBorders>
            <w:shd w:val="clear" w:color="auto" w:fill="auto"/>
            <w:noWrap/>
            <w:vAlign w:val="bottom"/>
            <w:hideMark/>
          </w:tcPr>
          <w:p w:rsidR="00980A9B" w:rsidRPr="00980A9B" w:rsidRDefault="00980A9B" w:rsidP="00980A9B">
            <w:pPr>
              <w:spacing w:after="0" w:line="240" w:lineRule="auto"/>
              <w:jc w:val="right"/>
              <w:rPr>
                <w:rFonts w:ascii="Calibri" w:eastAsia="Times New Roman" w:hAnsi="Calibri" w:cs="Calibri"/>
                <w:color w:val="00B050"/>
                <w:sz w:val="22"/>
              </w:rPr>
            </w:pPr>
            <w:r w:rsidRPr="00980A9B">
              <w:rPr>
                <w:rFonts w:ascii="Calibri" w:eastAsia="Times New Roman" w:hAnsi="Calibri" w:cs="Calibri"/>
                <w:color w:val="00B050"/>
                <w:sz w:val="22"/>
              </w:rPr>
              <w:t>8.70E-07</w:t>
            </w:r>
          </w:p>
        </w:tc>
        <w:tc>
          <w:tcPr>
            <w:tcW w:w="1000" w:type="dxa"/>
            <w:tcBorders>
              <w:top w:val="single" w:sz="4" w:space="0" w:color="auto"/>
            </w:tcBorders>
            <w:shd w:val="clear" w:color="auto" w:fill="auto"/>
            <w:noWrap/>
            <w:vAlign w:val="bottom"/>
            <w:hideMark/>
          </w:tcPr>
          <w:p w:rsidR="00980A9B" w:rsidRPr="00980A9B" w:rsidRDefault="00980A9B" w:rsidP="00980A9B">
            <w:pPr>
              <w:spacing w:after="0" w:line="240" w:lineRule="auto"/>
              <w:jc w:val="right"/>
              <w:rPr>
                <w:rFonts w:ascii="Calibri" w:eastAsia="Times New Roman" w:hAnsi="Calibri" w:cs="Calibri"/>
                <w:color w:val="00B050"/>
                <w:sz w:val="22"/>
              </w:rPr>
            </w:pPr>
            <w:r w:rsidRPr="00980A9B">
              <w:rPr>
                <w:rFonts w:ascii="Calibri" w:eastAsia="Times New Roman" w:hAnsi="Calibri" w:cs="Calibri"/>
                <w:color w:val="00B050"/>
                <w:sz w:val="22"/>
              </w:rPr>
              <w:t>1.71E-06</w:t>
            </w:r>
          </w:p>
        </w:tc>
        <w:tc>
          <w:tcPr>
            <w:tcW w:w="1000" w:type="dxa"/>
            <w:tcBorders>
              <w:top w:val="single" w:sz="4" w:space="0" w:color="auto"/>
            </w:tcBorders>
            <w:shd w:val="clear" w:color="auto" w:fill="auto"/>
            <w:noWrap/>
            <w:vAlign w:val="bottom"/>
            <w:hideMark/>
          </w:tcPr>
          <w:p w:rsidR="00980A9B" w:rsidRPr="00980A9B" w:rsidRDefault="00980A9B" w:rsidP="00980A9B">
            <w:pPr>
              <w:spacing w:after="0" w:line="240" w:lineRule="auto"/>
              <w:jc w:val="right"/>
              <w:rPr>
                <w:rFonts w:ascii="Calibri" w:eastAsia="Times New Roman" w:hAnsi="Calibri" w:cs="Calibri"/>
                <w:color w:val="00B050"/>
                <w:sz w:val="22"/>
              </w:rPr>
            </w:pPr>
            <w:r w:rsidRPr="00980A9B">
              <w:rPr>
                <w:rFonts w:ascii="Calibri" w:eastAsia="Times New Roman" w:hAnsi="Calibri" w:cs="Calibri"/>
                <w:color w:val="00B050"/>
                <w:sz w:val="22"/>
              </w:rPr>
              <w:t>1.69E-06</w:t>
            </w:r>
          </w:p>
        </w:tc>
        <w:tc>
          <w:tcPr>
            <w:tcW w:w="1000" w:type="dxa"/>
            <w:tcBorders>
              <w:top w:val="single" w:sz="4" w:space="0" w:color="auto"/>
            </w:tcBorders>
            <w:shd w:val="clear" w:color="auto" w:fill="auto"/>
            <w:noWrap/>
            <w:vAlign w:val="bottom"/>
            <w:hideMark/>
          </w:tcPr>
          <w:p w:rsidR="00980A9B" w:rsidRPr="00980A9B" w:rsidRDefault="00980A9B" w:rsidP="00980A9B">
            <w:pPr>
              <w:spacing w:after="0" w:line="240" w:lineRule="auto"/>
              <w:jc w:val="right"/>
              <w:rPr>
                <w:rFonts w:ascii="Calibri" w:eastAsia="Times New Roman" w:hAnsi="Calibri" w:cs="Calibri"/>
                <w:color w:val="00B050"/>
                <w:sz w:val="22"/>
              </w:rPr>
            </w:pPr>
            <w:r w:rsidRPr="00980A9B">
              <w:rPr>
                <w:rFonts w:ascii="Calibri" w:eastAsia="Times New Roman" w:hAnsi="Calibri" w:cs="Calibri"/>
                <w:color w:val="00B050"/>
                <w:sz w:val="22"/>
              </w:rPr>
              <w:t>7.56E-07</w:t>
            </w:r>
          </w:p>
        </w:tc>
        <w:tc>
          <w:tcPr>
            <w:tcW w:w="1000" w:type="dxa"/>
            <w:tcBorders>
              <w:top w:val="single" w:sz="4" w:space="0" w:color="auto"/>
            </w:tcBorders>
            <w:shd w:val="clear" w:color="auto" w:fill="auto"/>
            <w:noWrap/>
            <w:vAlign w:val="bottom"/>
            <w:hideMark/>
          </w:tcPr>
          <w:p w:rsidR="00980A9B" w:rsidRPr="00980A9B" w:rsidRDefault="00980A9B" w:rsidP="00980A9B">
            <w:pPr>
              <w:spacing w:after="0" w:line="240" w:lineRule="auto"/>
              <w:jc w:val="right"/>
              <w:rPr>
                <w:rFonts w:ascii="Calibri" w:eastAsia="Times New Roman" w:hAnsi="Calibri" w:cs="Calibri"/>
                <w:color w:val="00B050"/>
                <w:sz w:val="22"/>
              </w:rPr>
            </w:pPr>
            <w:r w:rsidRPr="00980A9B">
              <w:rPr>
                <w:rFonts w:ascii="Calibri" w:eastAsia="Times New Roman" w:hAnsi="Calibri" w:cs="Calibri"/>
                <w:color w:val="00B050"/>
                <w:sz w:val="22"/>
              </w:rPr>
              <w:t>7.33E-06</w:t>
            </w:r>
          </w:p>
        </w:tc>
        <w:tc>
          <w:tcPr>
            <w:tcW w:w="1000" w:type="dxa"/>
            <w:tcBorders>
              <w:top w:val="single" w:sz="4" w:space="0" w:color="auto"/>
            </w:tcBorders>
            <w:shd w:val="clear" w:color="auto" w:fill="auto"/>
            <w:noWrap/>
            <w:vAlign w:val="bottom"/>
            <w:hideMark/>
          </w:tcPr>
          <w:p w:rsidR="00980A9B" w:rsidRPr="00980A9B" w:rsidRDefault="00980A9B" w:rsidP="00980A9B">
            <w:pPr>
              <w:spacing w:after="0" w:line="240" w:lineRule="auto"/>
              <w:jc w:val="right"/>
              <w:rPr>
                <w:rFonts w:ascii="Calibri" w:eastAsia="Times New Roman" w:hAnsi="Calibri" w:cs="Calibri"/>
                <w:color w:val="00B050"/>
                <w:sz w:val="22"/>
              </w:rPr>
            </w:pPr>
            <w:r w:rsidRPr="00980A9B">
              <w:rPr>
                <w:rFonts w:ascii="Calibri" w:eastAsia="Times New Roman" w:hAnsi="Calibri" w:cs="Calibri"/>
                <w:color w:val="00B050"/>
                <w:sz w:val="22"/>
              </w:rPr>
              <w:t>2.82E-05</w:t>
            </w:r>
          </w:p>
        </w:tc>
        <w:tc>
          <w:tcPr>
            <w:tcW w:w="1000" w:type="dxa"/>
            <w:tcBorders>
              <w:top w:val="single" w:sz="4" w:space="0" w:color="auto"/>
            </w:tcBorders>
            <w:shd w:val="clear" w:color="auto" w:fill="auto"/>
            <w:noWrap/>
            <w:vAlign w:val="bottom"/>
            <w:hideMark/>
          </w:tcPr>
          <w:p w:rsidR="00980A9B" w:rsidRPr="00980A9B" w:rsidRDefault="00980A9B" w:rsidP="00980A9B">
            <w:pPr>
              <w:spacing w:after="0" w:line="240" w:lineRule="auto"/>
              <w:jc w:val="right"/>
              <w:rPr>
                <w:rFonts w:ascii="Calibri" w:eastAsia="Times New Roman" w:hAnsi="Calibri" w:cs="Calibri"/>
                <w:color w:val="00B050"/>
                <w:sz w:val="22"/>
              </w:rPr>
            </w:pPr>
            <w:r w:rsidRPr="00980A9B">
              <w:rPr>
                <w:rFonts w:ascii="Calibri" w:eastAsia="Times New Roman" w:hAnsi="Calibri" w:cs="Calibri"/>
                <w:color w:val="00B050"/>
                <w:sz w:val="22"/>
              </w:rPr>
              <w:t>2.43E-05</w:t>
            </w:r>
          </w:p>
        </w:tc>
        <w:tc>
          <w:tcPr>
            <w:tcW w:w="910" w:type="dxa"/>
            <w:tcBorders>
              <w:top w:val="single" w:sz="4" w:space="0" w:color="auto"/>
            </w:tcBorders>
            <w:shd w:val="clear" w:color="auto" w:fill="auto"/>
            <w:noWrap/>
            <w:vAlign w:val="bottom"/>
            <w:hideMark/>
          </w:tcPr>
          <w:p w:rsidR="00980A9B" w:rsidRPr="00980A9B" w:rsidRDefault="00980A9B" w:rsidP="00980A9B">
            <w:pPr>
              <w:spacing w:after="0" w:line="240" w:lineRule="auto"/>
              <w:jc w:val="right"/>
              <w:rPr>
                <w:rFonts w:ascii="Calibri" w:eastAsia="Times New Roman" w:hAnsi="Calibri" w:cs="Calibri"/>
                <w:color w:val="00B050"/>
                <w:sz w:val="22"/>
              </w:rPr>
            </w:pPr>
            <w:r w:rsidRPr="00980A9B">
              <w:rPr>
                <w:rFonts w:ascii="Calibri" w:eastAsia="Times New Roman" w:hAnsi="Calibri" w:cs="Calibri"/>
                <w:color w:val="00B050"/>
                <w:sz w:val="22"/>
              </w:rPr>
              <w:t>1.90E-05</w:t>
            </w:r>
          </w:p>
        </w:tc>
      </w:tr>
      <w:tr w:rsidR="00980A9B" w:rsidRPr="00980A9B" w:rsidTr="00FD0054">
        <w:trPr>
          <w:trHeight w:val="300"/>
        </w:trPr>
        <w:tc>
          <w:tcPr>
            <w:tcW w:w="960" w:type="dxa"/>
            <w:shd w:val="clear" w:color="auto" w:fill="auto"/>
            <w:noWrap/>
            <w:vAlign w:val="bottom"/>
            <w:hideMark/>
          </w:tcPr>
          <w:p w:rsidR="00980A9B" w:rsidRPr="00980A9B" w:rsidRDefault="00980A9B" w:rsidP="00980A9B">
            <w:pPr>
              <w:spacing w:after="0" w:line="240" w:lineRule="auto"/>
              <w:rPr>
                <w:rFonts w:ascii="Calibri" w:eastAsia="Times New Roman" w:hAnsi="Calibri" w:cs="Calibri"/>
                <w:color w:val="00B050"/>
                <w:sz w:val="22"/>
              </w:rPr>
            </w:pPr>
            <w:r w:rsidRPr="00980A9B">
              <w:rPr>
                <w:rFonts w:ascii="Calibri" w:eastAsia="Times New Roman" w:hAnsi="Calibri" w:cs="Calibri"/>
                <w:color w:val="00B050"/>
                <w:sz w:val="22"/>
              </w:rPr>
              <w:t>Ihl tot</w:t>
            </w:r>
          </w:p>
        </w:tc>
        <w:tc>
          <w:tcPr>
            <w:tcW w:w="1220" w:type="dxa"/>
            <w:shd w:val="clear" w:color="auto" w:fill="auto"/>
            <w:noWrap/>
            <w:vAlign w:val="bottom"/>
            <w:hideMark/>
          </w:tcPr>
          <w:p w:rsidR="00980A9B" w:rsidRPr="00980A9B" w:rsidRDefault="00980A9B" w:rsidP="00980A9B">
            <w:pPr>
              <w:spacing w:after="0" w:line="240" w:lineRule="auto"/>
              <w:jc w:val="right"/>
              <w:rPr>
                <w:rFonts w:ascii="Calibri" w:eastAsia="Times New Roman" w:hAnsi="Calibri" w:cs="Calibri"/>
                <w:color w:val="00B050"/>
                <w:sz w:val="22"/>
              </w:rPr>
            </w:pPr>
            <w:r w:rsidRPr="00980A9B">
              <w:rPr>
                <w:rFonts w:ascii="Calibri" w:eastAsia="Times New Roman" w:hAnsi="Calibri" w:cs="Calibri"/>
                <w:color w:val="00B050"/>
                <w:sz w:val="22"/>
              </w:rPr>
              <w:t>4.58E-10</w:t>
            </w:r>
          </w:p>
        </w:tc>
        <w:tc>
          <w:tcPr>
            <w:tcW w:w="1000" w:type="dxa"/>
            <w:shd w:val="clear" w:color="auto" w:fill="auto"/>
            <w:noWrap/>
            <w:vAlign w:val="bottom"/>
            <w:hideMark/>
          </w:tcPr>
          <w:p w:rsidR="00980A9B" w:rsidRPr="00980A9B" w:rsidRDefault="00980A9B" w:rsidP="00980A9B">
            <w:pPr>
              <w:spacing w:after="0" w:line="240" w:lineRule="auto"/>
              <w:jc w:val="right"/>
              <w:rPr>
                <w:rFonts w:ascii="Calibri" w:eastAsia="Times New Roman" w:hAnsi="Calibri" w:cs="Calibri"/>
                <w:color w:val="00B050"/>
                <w:sz w:val="22"/>
              </w:rPr>
            </w:pPr>
            <w:r w:rsidRPr="00980A9B">
              <w:rPr>
                <w:rFonts w:ascii="Calibri" w:eastAsia="Times New Roman" w:hAnsi="Calibri" w:cs="Calibri"/>
                <w:color w:val="00B050"/>
                <w:sz w:val="22"/>
              </w:rPr>
              <w:t>2.07E-10</w:t>
            </w:r>
          </w:p>
        </w:tc>
        <w:tc>
          <w:tcPr>
            <w:tcW w:w="1000" w:type="dxa"/>
            <w:shd w:val="clear" w:color="auto" w:fill="auto"/>
            <w:noWrap/>
            <w:vAlign w:val="bottom"/>
            <w:hideMark/>
          </w:tcPr>
          <w:p w:rsidR="00980A9B" w:rsidRPr="00980A9B" w:rsidRDefault="00980A9B" w:rsidP="00980A9B">
            <w:pPr>
              <w:spacing w:after="0" w:line="240" w:lineRule="auto"/>
              <w:jc w:val="right"/>
              <w:rPr>
                <w:rFonts w:ascii="Calibri" w:eastAsia="Times New Roman" w:hAnsi="Calibri" w:cs="Calibri"/>
                <w:color w:val="00B050"/>
                <w:sz w:val="22"/>
              </w:rPr>
            </w:pPr>
            <w:r w:rsidRPr="00980A9B">
              <w:rPr>
                <w:rFonts w:ascii="Calibri" w:eastAsia="Times New Roman" w:hAnsi="Calibri" w:cs="Calibri"/>
                <w:color w:val="00B050"/>
                <w:sz w:val="22"/>
              </w:rPr>
              <w:t>2.82E-10</w:t>
            </w:r>
          </w:p>
        </w:tc>
        <w:tc>
          <w:tcPr>
            <w:tcW w:w="1000" w:type="dxa"/>
            <w:shd w:val="clear" w:color="auto" w:fill="auto"/>
            <w:noWrap/>
            <w:vAlign w:val="bottom"/>
            <w:hideMark/>
          </w:tcPr>
          <w:p w:rsidR="00980A9B" w:rsidRPr="00980A9B" w:rsidRDefault="00980A9B" w:rsidP="00980A9B">
            <w:pPr>
              <w:spacing w:after="0" w:line="240" w:lineRule="auto"/>
              <w:jc w:val="right"/>
              <w:rPr>
                <w:rFonts w:ascii="Calibri" w:eastAsia="Times New Roman" w:hAnsi="Calibri" w:cs="Calibri"/>
                <w:color w:val="00B050"/>
                <w:sz w:val="22"/>
              </w:rPr>
            </w:pPr>
            <w:r w:rsidRPr="00980A9B">
              <w:rPr>
                <w:rFonts w:ascii="Calibri" w:eastAsia="Times New Roman" w:hAnsi="Calibri" w:cs="Calibri"/>
                <w:color w:val="00B050"/>
                <w:sz w:val="22"/>
              </w:rPr>
              <w:t>3.66E-10</w:t>
            </w:r>
          </w:p>
        </w:tc>
        <w:tc>
          <w:tcPr>
            <w:tcW w:w="1000" w:type="dxa"/>
            <w:shd w:val="clear" w:color="auto" w:fill="auto"/>
            <w:noWrap/>
            <w:vAlign w:val="bottom"/>
            <w:hideMark/>
          </w:tcPr>
          <w:p w:rsidR="00980A9B" w:rsidRPr="00980A9B" w:rsidRDefault="00980A9B" w:rsidP="00980A9B">
            <w:pPr>
              <w:spacing w:after="0" w:line="240" w:lineRule="auto"/>
              <w:jc w:val="right"/>
              <w:rPr>
                <w:rFonts w:ascii="Calibri" w:eastAsia="Times New Roman" w:hAnsi="Calibri" w:cs="Calibri"/>
                <w:color w:val="00B050"/>
                <w:sz w:val="22"/>
              </w:rPr>
            </w:pPr>
            <w:r w:rsidRPr="00980A9B">
              <w:rPr>
                <w:rFonts w:ascii="Calibri" w:eastAsia="Times New Roman" w:hAnsi="Calibri" w:cs="Calibri"/>
                <w:color w:val="00B050"/>
                <w:sz w:val="22"/>
              </w:rPr>
              <w:t>2.37E-10</w:t>
            </w:r>
          </w:p>
        </w:tc>
        <w:tc>
          <w:tcPr>
            <w:tcW w:w="1000" w:type="dxa"/>
            <w:shd w:val="clear" w:color="auto" w:fill="auto"/>
            <w:noWrap/>
            <w:vAlign w:val="bottom"/>
            <w:hideMark/>
          </w:tcPr>
          <w:p w:rsidR="00980A9B" w:rsidRPr="00980A9B" w:rsidRDefault="00980A9B" w:rsidP="00980A9B">
            <w:pPr>
              <w:spacing w:after="0" w:line="240" w:lineRule="auto"/>
              <w:jc w:val="right"/>
              <w:rPr>
                <w:rFonts w:ascii="Calibri" w:eastAsia="Times New Roman" w:hAnsi="Calibri" w:cs="Calibri"/>
                <w:color w:val="00B050"/>
                <w:sz w:val="22"/>
              </w:rPr>
            </w:pPr>
            <w:r w:rsidRPr="00980A9B">
              <w:rPr>
                <w:rFonts w:ascii="Calibri" w:eastAsia="Times New Roman" w:hAnsi="Calibri" w:cs="Calibri"/>
                <w:color w:val="00B050"/>
                <w:sz w:val="22"/>
              </w:rPr>
              <w:t>1.25E-09</w:t>
            </w:r>
          </w:p>
        </w:tc>
        <w:tc>
          <w:tcPr>
            <w:tcW w:w="1000" w:type="dxa"/>
            <w:shd w:val="clear" w:color="auto" w:fill="auto"/>
            <w:noWrap/>
            <w:vAlign w:val="bottom"/>
            <w:hideMark/>
          </w:tcPr>
          <w:p w:rsidR="00980A9B" w:rsidRPr="00980A9B" w:rsidRDefault="00980A9B" w:rsidP="00980A9B">
            <w:pPr>
              <w:spacing w:after="0" w:line="240" w:lineRule="auto"/>
              <w:jc w:val="right"/>
              <w:rPr>
                <w:rFonts w:ascii="Calibri" w:eastAsia="Times New Roman" w:hAnsi="Calibri" w:cs="Calibri"/>
                <w:color w:val="00B050"/>
                <w:sz w:val="22"/>
              </w:rPr>
            </w:pPr>
            <w:r w:rsidRPr="00980A9B">
              <w:rPr>
                <w:rFonts w:ascii="Calibri" w:eastAsia="Times New Roman" w:hAnsi="Calibri" w:cs="Calibri"/>
                <w:color w:val="00B050"/>
                <w:sz w:val="22"/>
              </w:rPr>
              <w:t>3.79E-09</w:t>
            </w:r>
          </w:p>
        </w:tc>
        <w:tc>
          <w:tcPr>
            <w:tcW w:w="1000" w:type="dxa"/>
            <w:shd w:val="clear" w:color="auto" w:fill="auto"/>
            <w:noWrap/>
            <w:vAlign w:val="bottom"/>
            <w:hideMark/>
          </w:tcPr>
          <w:p w:rsidR="00980A9B" w:rsidRPr="00980A9B" w:rsidRDefault="00980A9B" w:rsidP="00980A9B">
            <w:pPr>
              <w:spacing w:after="0" w:line="240" w:lineRule="auto"/>
              <w:jc w:val="right"/>
              <w:rPr>
                <w:rFonts w:ascii="Calibri" w:eastAsia="Times New Roman" w:hAnsi="Calibri" w:cs="Calibri"/>
                <w:color w:val="00B050"/>
                <w:sz w:val="22"/>
              </w:rPr>
            </w:pPr>
            <w:r w:rsidRPr="00980A9B">
              <w:rPr>
                <w:rFonts w:ascii="Calibri" w:eastAsia="Times New Roman" w:hAnsi="Calibri" w:cs="Calibri"/>
                <w:color w:val="00B050"/>
                <w:sz w:val="22"/>
              </w:rPr>
              <w:t>4.23E-09</w:t>
            </w:r>
          </w:p>
        </w:tc>
        <w:tc>
          <w:tcPr>
            <w:tcW w:w="910" w:type="dxa"/>
            <w:shd w:val="clear" w:color="auto" w:fill="auto"/>
            <w:noWrap/>
            <w:vAlign w:val="bottom"/>
            <w:hideMark/>
          </w:tcPr>
          <w:p w:rsidR="00980A9B" w:rsidRPr="00980A9B" w:rsidRDefault="00980A9B" w:rsidP="00980A9B">
            <w:pPr>
              <w:spacing w:after="0" w:line="240" w:lineRule="auto"/>
              <w:jc w:val="right"/>
              <w:rPr>
                <w:rFonts w:ascii="Calibri" w:eastAsia="Times New Roman" w:hAnsi="Calibri" w:cs="Calibri"/>
                <w:color w:val="00B050"/>
                <w:sz w:val="22"/>
              </w:rPr>
            </w:pPr>
            <w:r w:rsidRPr="00980A9B">
              <w:rPr>
                <w:rFonts w:ascii="Calibri" w:eastAsia="Times New Roman" w:hAnsi="Calibri" w:cs="Calibri"/>
                <w:color w:val="00B050"/>
                <w:sz w:val="22"/>
              </w:rPr>
              <w:t>4.26E-09</w:t>
            </w:r>
          </w:p>
        </w:tc>
      </w:tr>
      <w:tr w:rsidR="00980A9B" w:rsidRPr="00980A9B" w:rsidTr="00FD0054">
        <w:trPr>
          <w:trHeight w:val="300"/>
        </w:trPr>
        <w:tc>
          <w:tcPr>
            <w:tcW w:w="960" w:type="dxa"/>
            <w:shd w:val="clear" w:color="auto" w:fill="auto"/>
            <w:noWrap/>
            <w:vAlign w:val="bottom"/>
            <w:hideMark/>
          </w:tcPr>
          <w:p w:rsidR="00980A9B" w:rsidRPr="00980A9B" w:rsidRDefault="00980A9B" w:rsidP="00980A9B">
            <w:pPr>
              <w:spacing w:after="0" w:line="240" w:lineRule="auto"/>
              <w:rPr>
                <w:rFonts w:ascii="Calibri" w:eastAsia="Times New Roman" w:hAnsi="Calibri" w:cs="Calibri"/>
                <w:color w:val="00B050"/>
                <w:sz w:val="22"/>
              </w:rPr>
            </w:pPr>
            <w:r w:rsidRPr="00980A9B">
              <w:rPr>
                <w:rFonts w:ascii="Calibri" w:eastAsia="Times New Roman" w:hAnsi="Calibri" w:cs="Calibri"/>
                <w:color w:val="00B050"/>
                <w:sz w:val="22"/>
              </w:rPr>
              <w:t>Derm tot</w:t>
            </w:r>
          </w:p>
        </w:tc>
        <w:tc>
          <w:tcPr>
            <w:tcW w:w="1220" w:type="dxa"/>
            <w:shd w:val="clear" w:color="auto" w:fill="auto"/>
            <w:noWrap/>
            <w:vAlign w:val="bottom"/>
            <w:hideMark/>
          </w:tcPr>
          <w:p w:rsidR="00980A9B" w:rsidRPr="00980A9B" w:rsidRDefault="00980A9B" w:rsidP="00980A9B">
            <w:pPr>
              <w:spacing w:after="0" w:line="240" w:lineRule="auto"/>
              <w:jc w:val="right"/>
              <w:rPr>
                <w:rFonts w:ascii="Calibri" w:eastAsia="Times New Roman" w:hAnsi="Calibri" w:cs="Calibri"/>
                <w:color w:val="00B050"/>
                <w:sz w:val="22"/>
              </w:rPr>
            </w:pPr>
            <w:r w:rsidRPr="00980A9B">
              <w:rPr>
                <w:rFonts w:ascii="Calibri" w:eastAsia="Times New Roman" w:hAnsi="Calibri" w:cs="Calibri"/>
                <w:color w:val="00B050"/>
                <w:sz w:val="22"/>
              </w:rPr>
              <w:t>4.05E-07</w:t>
            </w:r>
          </w:p>
        </w:tc>
        <w:tc>
          <w:tcPr>
            <w:tcW w:w="1000" w:type="dxa"/>
            <w:shd w:val="clear" w:color="auto" w:fill="auto"/>
            <w:noWrap/>
            <w:vAlign w:val="bottom"/>
            <w:hideMark/>
          </w:tcPr>
          <w:p w:rsidR="00980A9B" w:rsidRPr="00980A9B" w:rsidRDefault="00980A9B" w:rsidP="00980A9B">
            <w:pPr>
              <w:spacing w:after="0" w:line="240" w:lineRule="auto"/>
              <w:jc w:val="right"/>
              <w:rPr>
                <w:rFonts w:ascii="Calibri" w:eastAsia="Times New Roman" w:hAnsi="Calibri" w:cs="Calibri"/>
                <w:color w:val="00B050"/>
                <w:sz w:val="22"/>
              </w:rPr>
            </w:pPr>
            <w:r w:rsidRPr="00980A9B">
              <w:rPr>
                <w:rFonts w:ascii="Calibri" w:eastAsia="Times New Roman" w:hAnsi="Calibri" w:cs="Calibri"/>
                <w:color w:val="00B050"/>
                <w:sz w:val="22"/>
              </w:rPr>
              <w:t>1.69E-07</w:t>
            </w:r>
          </w:p>
        </w:tc>
        <w:tc>
          <w:tcPr>
            <w:tcW w:w="1000" w:type="dxa"/>
            <w:shd w:val="clear" w:color="auto" w:fill="auto"/>
            <w:noWrap/>
            <w:vAlign w:val="bottom"/>
            <w:hideMark/>
          </w:tcPr>
          <w:p w:rsidR="00980A9B" w:rsidRPr="00980A9B" w:rsidRDefault="00980A9B" w:rsidP="00980A9B">
            <w:pPr>
              <w:spacing w:after="0" w:line="240" w:lineRule="auto"/>
              <w:jc w:val="right"/>
              <w:rPr>
                <w:rFonts w:ascii="Calibri" w:eastAsia="Times New Roman" w:hAnsi="Calibri" w:cs="Calibri"/>
                <w:color w:val="00B050"/>
                <w:sz w:val="22"/>
              </w:rPr>
            </w:pPr>
            <w:r w:rsidRPr="00980A9B">
              <w:rPr>
                <w:rFonts w:ascii="Calibri" w:eastAsia="Times New Roman" w:hAnsi="Calibri" w:cs="Calibri"/>
                <w:color w:val="00B050"/>
                <w:sz w:val="22"/>
              </w:rPr>
              <w:t>2.30E-07</w:t>
            </w:r>
          </w:p>
        </w:tc>
        <w:tc>
          <w:tcPr>
            <w:tcW w:w="1000" w:type="dxa"/>
            <w:shd w:val="clear" w:color="auto" w:fill="auto"/>
            <w:noWrap/>
            <w:vAlign w:val="bottom"/>
            <w:hideMark/>
          </w:tcPr>
          <w:p w:rsidR="00980A9B" w:rsidRPr="00980A9B" w:rsidRDefault="00980A9B" w:rsidP="00980A9B">
            <w:pPr>
              <w:spacing w:after="0" w:line="240" w:lineRule="auto"/>
              <w:jc w:val="right"/>
              <w:rPr>
                <w:rFonts w:ascii="Calibri" w:eastAsia="Times New Roman" w:hAnsi="Calibri" w:cs="Calibri"/>
                <w:color w:val="00B050"/>
                <w:sz w:val="22"/>
              </w:rPr>
            </w:pPr>
            <w:r w:rsidRPr="00980A9B">
              <w:rPr>
                <w:rFonts w:ascii="Calibri" w:eastAsia="Times New Roman" w:hAnsi="Calibri" w:cs="Calibri"/>
                <w:color w:val="00B050"/>
                <w:sz w:val="22"/>
              </w:rPr>
              <w:t>2.98E-07</w:t>
            </w:r>
          </w:p>
        </w:tc>
        <w:tc>
          <w:tcPr>
            <w:tcW w:w="1000" w:type="dxa"/>
            <w:shd w:val="clear" w:color="auto" w:fill="auto"/>
            <w:noWrap/>
            <w:vAlign w:val="bottom"/>
            <w:hideMark/>
          </w:tcPr>
          <w:p w:rsidR="00980A9B" w:rsidRPr="00980A9B" w:rsidRDefault="00980A9B" w:rsidP="00980A9B">
            <w:pPr>
              <w:spacing w:after="0" w:line="240" w:lineRule="auto"/>
              <w:jc w:val="right"/>
              <w:rPr>
                <w:rFonts w:ascii="Calibri" w:eastAsia="Times New Roman" w:hAnsi="Calibri" w:cs="Calibri"/>
                <w:color w:val="00B050"/>
                <w:sz w:val="22"/>
              </w:rPr>
            </w:pPr>
            <w:r w:rsidRPr="00980A9B">
              <w:rPr>
                <w:rFonts w:ascii="Calibri" w:eastAsia="Times New Roman" w:hAnsi="Calibri" w:cs="Calibri"/>
                <w:color w:val="00B050"/>
                <w:sz w:val="22"/>
              </w:rPr>
              <w:t>4.00E-07</w:t>
            </w:r>
          </w:p>
        </w:tc>
        <w:tc>
          <w:tcPr>
            <w:tcW w:w="1000" w:type="dxa"/>
            <w:shd w:val="clear" w:color="auto" w:fill="auto"/>
            <w:noWrap/>
            <w:vAlign w:val="bottom"/>
            <w:hideMark/>
          </w:tcPr>
          <w:p w:rsidR="00980A9B" w:rsidRPr="00980A9B" w:rsidRDefault="00980A9B" w:rsidP="00980A9B">
            <w:pPr>
              <w:spacing w:after="0" w:line="240" w:lineRule="auto"/>
              <w:jc w:val="right"/>
              <w:rPr>
                <w:rFonts w:ascii="Calibri" w:eastAsia="Times New Roman" w:hAnsi="Calibri" w:cs="Calibri"/>
                <w:color w:val="00B050"/>
                <w:sz w:val="22"/>
              </w:rPr>
            </w:pPr>
            <w:r w:rsidRPr="00980A9B">
              <w:rPr>
                <w:rFonts w:ascii="Calibri" w:eastAsia="Times New Roman" w:hAnsi="Calibri" w:cs="Calibri"/>
                <w:color w:val="00B050"/>
                <w:sz w:val="22"/>
              </w:rPr>
              <w:t>7.87E-07</w:t>
            </w:r>
          </w:p>
        </w:tc>
        <w:tc>
          <w:tcPr>
            <w:tcW w:w="1000" w:type="dxa"/>
            <w:shd w:val="clear" w:color="auto" w:fill="auto"/>
            <w:noWrap/>
            <w:vAlign w:val="bottom"/>
            <w:hideMark/>
          </w:tcPr>
          <w:p w:rsidR="00980A9B" w:rsidRPr="00980A9B" w:rsidRDefault="00980A9B" w:rsidP="00980A9B">
            <w:pPr>
              <w:spacing w:after="0" w:line="240" w:lineRule="auto"/>
              <w:jc w:val="right"/>
              <w:rPr>
                <w:rFonts w:ascii="Calibri" w:eastAsia="Times New Roman" w:hAnsi="Calibri" w:cs="Calibri"/>
                <w:color w:val="00B050"/>
                <w:sz w:val="22"/>
              </w:rPr>
            </w:pPr>
            <w:r w:rsidRPr="00980A9B">
              <w:rPr>
                <w:rFonts w:ascii="Calibri" w:eastAsia="Times New Roman" w:hAnsi="Calibri" w:cs="Calibri"/>
                <w:color w:val="00B050"/>
                <w:sz w:val="22"/>
              </w:rPr>
              <w:t>2.51E-06</w:t>
            </w:r>
          </w:p>
        </w:tc>
        <w:tc>
          <w:tcPr>
            <w:tcW w:w="1000" w:type="dxa"/>
            <w:shd w:val="clear" w:color="auto" w:fill="auto"/>
            <w:noWrap/>
            <w:vAlign w:val="bottom"/>
            <w:hideMark/>
          </w:tcPr>
          <w:p w:rsidR="00980A9B" w:rsidRPr="00980A9B" w:rsidRDefault="00980A9B" w:rsidP="00980A9B">
            <w:pPr>
              <w:spacing w:after="0" w:line="240" w:lineRule="auto"/>
              <w:jc w:val="right"/>
              <w:rPr>
                <w:rFonts w:ascii="Calibri" w:eastAsia="Times New Roman" w:hAnsi="Calibri" w:cs="Calibri"/>
                <w:color w:val="00B050"/>
                <w:sz w:val="22"/>
              </w:rPr>
            </w:pPr>
            <w:r w:rsidRPr="00980A9B">
              <w:rPr>
                <w:rFonts w:ascii="Calibri" w:eastAsia="Times New Roman" w:hAnsi="Calibri" w:cs="Calibri"/>
                <w:color w:val="00B050"/>
                <w:sz w:val="22"/>
              </w:rPr>
              <w:t>3.44E-06</w:t>
            </w:r>
          </w:p>
        </w:tc>
        <w:tc>
          <w:tcPr>
            <w:tcW w:w="910" w:type="dxa"/>
            <w:shd w:val="clear" w:color="auto" w:fill="auto"/>
            <w:noWrap/>
            <w:vAlign w:val="bottom"/>
            <w:hideMark/>
          </w:tcPr>
          <w:p w:rsidR="00980A9B" w:rsidRPr="00980A9B" w:rsidRDefault="00980A9B" w:rsidP="00980A9B">
            <w:pPr>
              <w:spacing w:after="0" w:line="240" w:lineRule="auto"/>
              <w:jc w:val="right"/>
              <w:rPr>
                <w:rFonts w:ascii="Calibri" w:eastAsia="Times New Roman" w:hAnsi="Calibri" w:cs="Calibri"/>
                <w:color w:val="00B050"/>
                <w:sz w:val="22"/>
              </w:rPr>
            </w:pPr>
            <w:r w:rsidRPr="00980A9B">
              <w:rPr>
                <w:rFonts w:ascii="Calibri" w:eastAsia="Times New Roman" w:hAnsi="Calibri" w:cs="Calibri"/>
                <w:color w:val="00B050"/>
                <w:sz w:val="22"/>
              </w:rPr>
              <w:t>3.47E-06</w:t>
            </w:r>
          </w:p>
        </w:tc>
      </w:tr>
      <w:tr w:rsidR="00980A9B" w:rsidRPr="00980A9B" w:rsidTr="00FD0054">
        <w:trPr>
          <w:trHeight w:val="300"/>
        </w:trPr>
        <w:tc>
          <w:tcPr>
            <w:tcW w:w="960" w:type="dxa"/>
            <w:shd w:val="clear" w:color="auto" w:fill="auto"/>
            <w:noWrap/>
            <w:vAlign w:val="bottom"/>
            <w:hideMark/>
          </w:tcPr>
          <w:p w:rsidR="00980A9B" w:rsidRPr="00980A9B" w:rsidRDefault="00980A9B" w:rsidP="00980A9B">
            <w:pPr>
              <w:spacing w:after="0" w:line="240" w:lineRule="auto"/>
              <w:rPr>
                <w:rFonts w:ascii="Calibri" w:eastAsia="Times New Roman" w:hAnsi="Calibri" w:cs="Calibri"/>
                <w:color w:val="00B050"/>
                <w:sz w:val="22"/>
              </w:rPr>
            </w:pPr>
            <w:r w:rsidRPr="00980A9B">
              <w:rPr>
                <w:rFonts w:ascii="Calibri" w:eastAsia="Times New Roman" w:hAnsi="Calibri" w:cs="Calibri"/>
                <w:color w:val="00B050"/>
                <w:sz w:val="22"/>
              </w:rPr>
              <w:t>HI</w:t>
            </w:r>
          </w:p>
        </w:tc>
        <w:tc>
          <w:tcPr>
            <w:tcW w:w="1220" w:type="dxa"/>
            <w:shd w:val="clear" w:color="auto" w:fill="auto"/>
            <w:noWrap/>
            <w:vAlign w:val="bottom"/>
            <w:hideMark/>
          </w:tcPr>
          <w:p w:rsidR="00980A9B" w:rsidRPr="00980A9B" w:rsidRDefault="00980A9B" w:rsidP="00980A9B">
            <w:pPr>
              <w:spacing w:after="0" w:line="240" w:lineRule="auto"/>
              <w:jc w:val="right"/>
              <w:rPr>
                <w:rFonts w:ascii="Calibri" w:eastAsia="Times New Roman" w:hAnsi="Calibri" w:cs="Calibri"/>
                <w:color w:val="00B050"/>
                <w:sz w:val="22"/>
              </w:rPr>
            </w:pPr>
            <w:r w:rsidRPr="00980A9B">
              <w:rPr>
                <w:rFonts w:ascii="Calibri" w:eastAsia="Times New Roman" w:hAnsi="Calibri" w:cs="Calibri"/>
                <w:color w:val="00B050"/>
                <w:sz w:val="22"/>
              </w:rPr>
              <w:t>2.64E-06</w:t>
            </w:r>
          </w:p>
        </w:tc>
        <w:tc>
          <w:tcPr>
            <w:tcW w:w="1000" w:type="dxa"/>
            <w:shd w:val="clear" w:color="auto" w:fill="auto"/>
            <w:noWrap/>
            <w:vAlign w:val="bottom"/>
            <w:hideMark/>
          </w:tcPr>
          <w:p w:rsidR="00980A9B" w:rsidRPr="00980A9B" w:rsidRDefault="00980A9B" w:rsidP="00980A9B">
            <w:pPr>
              <w:spacing w:after="0" w:line="240" w:lineRule="auto"/>
              <w:jc w:val="right"/>
              <w:rPr>
                <w:rFonts w:ascii="Calibri" w:eastAsia="Times New Roman" w:hAnsi="Calibri" w:cs="Calibri"/>
                <w:color w:val="00B050"/>
                <w:sz w:val="22"/>
              </w:rPr>
            </w:pPr>
            <w:r w:rsidRPr="00980A9B">
              <w:rPr>
                <w:rFonts w:ascii="Calibri" w:eastAsia="Times New Roman" w:hAnsi="Calibri" w:cs="Calibri"/>
                <w:color w:val="00B050"/>
                <w:sz w:val="22"/>
              </w:rPr>
              <w:t>1.04E-06</w:t>
            </w:r>
          </w:p>
        </w:tc>
        <w:tc>
          <w:tcPr>
            <w:tcW w:w="1000" w:type="dxa"/>
            <w:shd w:val="clear" w:color="auto" w:fill="auto"/>
            <w:noWrap/>
            <w:vAlign w:val="bottom"/>
            <w:hideMark/>
          </w:tcPr>
          <w:p w:rsidR="00980A9B" w:rsidRPr="00980A9B" w:rsidRDefault="00980A9B" w:rsidP="00980A9B">
            <w:pPr>
              <w:spacing w:after="0" w:line="240" w:lineRule="auto"/>
              <w:jc w:val="right"/>
              <w:rPr>
                <w:rFonts w:ascii="Calibri" w:eastAsia="Times New Roman" w:hAnsi="Calibri" w:cs="Calibri"/>
                <w:color w:val="00B050"/>
                <w:sz w:val="22"/>
              </w:rPr>
            </w:pPr>
            <w:r w:rsidRPr="00980A9B">
              <w:rPr>
                <w:rFonts w:ascii="Calibri" w:eastAsia="Times New Roman" w:hAnsi="Calibri" w:cs="Calibri"/>
                <w:color w:val="00B050"/>
                <w:sz w:val="22"/>
              </w:rPr>
              <w:t>1.94E-06</w:t>
            </w:r>
          </w:p>
        </w:tc>
        <w:tc>
          <w:tcPr>
            <w:tcW w:w="1000" w:type="dxa"/>
            <w:shd w:val="clear" w:color="auto" w:fill="auto"/>
            <w:noWrap/>
            <w:vAlign w:val="bottom"/>
            <w:hideMark/>
          </w:tcPr>
          <w:p w:rsidR="00980A9B" w:rsidRPr="00980A9B" w:rsidRDefault="00980A9B" w:rsidP="00980A9B">
            <w:pPr>
              <w:spacing w:after="0" w:line="240" w:lineRule="auto"/>
              <w:jc w:val="right"/>
              <w:rPr>
                <w:rFonts w:ascii="Calibri" w:eastAsia="Times New Roman" w:hAnsi="Calibri" w:cs="Calibri"/>
                <w:color w:val="00B050"/>
                <w:sz w:val="22"/>
              </w:rPr>
            </w:pPr>
            <w:r w:rsidRPr="00980A9B">
              <w:rPr>
                <w:rFonts w:ascii="Calibri" w:eastAsia="Times New Roman" w:hAnsi="Calibri" w:cs="Calibri"/>
                <w:color w:val="00B050"/>
                <w:sz w:val="22"/>
              </w:rPr>
              <w:t>1.99E-06</w:t>
            </w:r>
          </w:p>
        </w:tc>
        <w:tc>
          <w:tcPr>
            <w:tcW w:w="1000" w:type="dxa"/>
            <w:shd w:val="clear" w:color="auto" w:fill="auto"/>
            <w:noWrap/>
            <w:vAlign w:val="bottom"/>
            <w:hideMark/>
          </w:tcPr>
          <w:p w:rsidR="00980A9B" w:rsidRPr="00980A9B" w:rsidRDefault="00980A9B" w:rsidP="00980A9B">
            <w:pPr>
              <w:spacing w:after="0" w:line="240" w:lineRule="auto"/>
              <w:jc w:val="right"/>
              <w:rPr>
                <w:rFonts w:ascii="Calibri" w:eastAsia="Times New Roman" w:hAnsi="Calibri" w:cs="Calibri"/>
                <w:color w:val="00B050"/>
                <w:sz w:val="22"/>
              </w:rPr>
            </w:pPr>
            <w:r w:rsidRPr="00980A9B">
              <w:rPr>
                <w:rFonts w:ascii="Calibri" w:eastAsia="Times New Roman" w:hAnsi="Calibri" w:cs="Calibri"/>
                <w:color w:val="00B050"/>
                <w:sz w:val="22"/>
              </w:rPr>
              <w:t>1.16E-06</w:t>
            </w:r>
          </w:p>
        </w:tc>
        <w:tc>
          <w:tcPr>
            <w:tcW w:w="1000" w:type="dxa"/>
            <w:shd w:val="clear" w:color="auto" w:fill="auto"/>
            <w:noWrap/>
            <w:vAlign w:val="bottom"/>
            <w:hideMark/>
          </w:tcPr>
          <w:p w:rsidR="00980A9B" w:rsidRPr="00980A9B" w:rsidRDefault="00980A9B" w:rsidP="00980A9B">
            <w:pPr>
              <w:spacing w:after="0" w:line="240" w:lineRule="auto"/>
              <w:jc w:val="right"/>
              <w:rPr>
                <w:rFonts w:ascii="Calibri" w:eastAsia="Times New Roman" w:hAnsi="Calibri" w:cs="Calibri"/>
                <w:color w:val="00B050"/>
                <w:sz w:val="22"/>
              </w:rPr>
            </w:pPr>
            <w:r w:rsidRPr="00980A9B">
              <w:rPr>
                <w:rFonts w:ascii="Calibri" w:eastAsia="Times New Roman" w:hAnsi="Calibri" w:cs="Calibri"/>
                <w:color w:val="00B050"/>
                <w:sz w:val="22"/>
              </w:rPr>
              <w:t>8.12E-06</w:t>
            </w:r>
          </w:p>
        </w:tc>
        <w:tc>
          <w:tcPr>
            <w:tcW w:w="1000" w:type="dxa"/>
            <w:shd w:val="clear" w:color="auto" w:fill="auto"/>
            <w:noWrap/>
            <w:vAlign w:val="bottom"/>
            <w:hideMark/>
          </w:tcPr>
          <w:p w:rsidR="00980A9B" w:rsidRPr="00980A9B" w:rsidRDefault="00980A9B" w:rsidP="00980A9B">
            <w:pPr>
              <w:spacing w:after="0" w:line="240" w:lineRule="auto"/>
              <w:jc w:val="right"/>
              <w:rPr>
                <w:rFonts w:ascii="Calibri" w:eastAsia="Times New Roman" w:hAnsi="Calibri" w:cs="Calibri"/>
                <w:color w:val="00B050"/>
                <w:sz w:val="22"/>
              </w:rPr>
            </w:pPr>
            <w:r w:rsidRPr="00980A9B">
              <w:rPr>
                <w:rFonts w:ascii="Calibri" w:eastAsia="Times New Roman" w:hAnsi="Calibri" w:cs="Calibri"/>
                <w:color w:val="00B050"/>
                <w:sz w:val="22"/>
              </w:rPr>
              <w:t>3.07E-05</w:t>
            </w:r>
          </w:p>
        </w:tc>
        <w:tc>
          <w:tcPr>
            <w:tcW w:w="1000" w:type="dxa"/>
            <w:shd w:val="clear" w:color="auto" w:fill="auto"/>
            <w:noWrap/>
            <w:vAlign w:val="bottom"/>
            <w:hideMark/>
          </w:tcPr>
          <w:p w:rsidR="00980A9B" w:rsidRPr="00980A9B" w:rsidRDefault="00980A9B" w:rsidP="00980A9B">
            <w:pPr>
              <w:spacing w:after="0" w:line="240" w:lineRule="auto"/>
              <w:jc w:val="right"/>
              <w:rPr>
                <w:rFonts w:ascii="Calibri" w:eastAsia="Times New Roman" w:hAnsi="Calibri" w:cs="Calibri"/>
                <w:color w:val="00B050"/>
                <w:sz w:val="22"/>
              </w:rPr>
            </w:pPr>
            <w:r w:rsidRPr="00980A9B">
              <w:rPr>
                <w:rFonts w:ascii="Calibri" w:eastAsia="Times New Roman" w:hAnsi="Calibri" w:cs="Calibri"/>
                <w:color w:val="00B050"/>
                <w:sz w:val="22"/>
              </w:rPr>
              <w:t>2.77E-05</w:t>
            </w:r>
          </w:p>
        </w:tc>
        <w:tc>
          <w:tcPr>
            <w:tcW w:w="910" w:type="dxa"/>
            <w:shd w:val="clear" w:color="auto" w:fill="auto"/>
            <w:noWrap/>
            <w:vAlign w:val="bottom"/>
            <w:hideMark/>
          </w:tcPr>
          <w:p w:rsidR="00980A9B" w:rsidRPr="00980A9B" w:rsidRDefault="00980A9B" w:rsidP="00980A9B">
            <w:pPr>
              <w:spacing w:after="0" w:line="240" w:lineRule="auto"/>
              <w:jc w:val="right"/>
              <w:rPr>
                <w:rFonts w:ascii="Calibri" w:eastAsia="Times New Roman" w:hAnsi="Calibri" w:cs="Calibri"/>
                <w:color w:val="00B050"/>
                <w:sz w:val="22"/>
              </w:rPr>
            </w:pPr>
            <w:r w:rsidRPr="00980A9B">
              <w:rPr>
                <w:rFonts w:ascii="Calibri" w:eastAsia="Times New Roman" w:hAnsi="Calibri" w:cs="Calibri"/>
                <w:color w:val="00B050"/>
                <w:sz w:val="22"/>
              </w:rPr>
              <w:t>2.25E-05</w:t>
            </w:r>
          </w:p>
        </w:tc>
      </w:tr>
    </w:tbl>
    <w:p w:rsidR="00980A9B" w:rsidRPr="00540D6C" w:rsidRDefault="00980A9B" w:rsidP="006036B1">
      <w:pPr>
        <w:jc w:val="both"/>
        <w:rPr>
          <w:rFonts w:cs="Times New Roman"/>
          <w:szCs w:val="24"/>
        </w:rPr>
      </w:pPr>
    </w:p>
    <w:p w:rsidR="006036B1" w:rsidRPr="00540D6C" w:rsidRDefault="006036B1" w:rsidP="006036B1">
      <w:pPr>
        <w:jc w:val="both"/>
        <w:rPr>
          <w:rFonts w:eastAsia="SimSun" w:cs="Times New Roman"/>
          <w:szCs w:val="24"/>
        </w:rPr>
      </w:pPr>
    </w:p>
    <w:p w:rsidR="006036B1" w:rsidRPr="00540D6C" w:rsidRDefault="006036B1" w:rsidP="006036B1">
      <w:pPr>
        <w:jc w:val="both"/>
        <w:rPr>
          <w:rFonts w:cs="Times New Roman"/>
          <w:szCs w:val="24"/>
        </w:rPr>
      </w:pPr>
      <w:r w:rsidRPr="00540D6C">
        <w:rPr>
          <w:rFonts w:cs="Times New Roman"/>
          <w:noProof/>
          <w:szCs w:val="24"/>
        </w:rPr>
        <w:lastRenderedPageBreak/>
        <w:drawing>
          <wp:inline distT="0" distB="0" distL="114300" distR="114300" wp14:anchorId="58A85C7A" wp14:editId="4DF0A0F7">
            <wp:extent cx="4572000" cy="2743200"/>
            <wp:effectExtent l="0" t="0" r="0" b="0"/>
            <wp:docPr id="1058"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Pr="00540D6C">
        <w:rPr>
          <w:rFonts w:cs="Times New Roman"/>
          <w:noProof/>
          <w:szCs w:val="24"/>
        </w:rPr>
        <w:t xml:space="preserve">                                                </w:t>
      </w:r>
      <w:r w:rsidR="00C05FA3" w:rsidRPr="00540D6C">
        <w:rPr>
          <w:rFonts w:cs="Times New Roman"/>
          <w:noProof/>
          <w:szCs w:val="24"/>
        </w:rPr>
        <w:t xml:space="preserve">                                                                                                         </w:t>
      </w:r>
      <w:r w:rsidR="00E41DD8">
        <w:rPr>
          <w:rFonts w:cs="Times New Roman"/>
          <w:noProof/>
          <w:szCs w:val="24"/>
        </w:rPr>
        <w:t xml:space="preserve">          Figure 16</w:t>
      </w:r>
      <w:bookmarkStart w:id="3" w:name="_GoBack"/>
      <w:bookmarkEnd w:id="3"/>
      <w:r w:rsidRPr="00540D6C">
        <w:rPr>
          <w:rFonts w:cs="Times New Roman"/>
          <w:noProof/>
          <w:szCs w:val="24"/>
        </w:rPr>
        <w:t xml:space="preserve"> Hazard Index of sediment samples</w:t>
      </w:r>
    </w:p>
    <w:p w:rsidR="006036B1" w:rsidRPr="00540D6C" w:rsidRDefault="007F79EB" w:rsidP="006036B1">
      <w:pPr>
        <w:rPr>
          <w:rFonts w:cs="Times New Roman"/>
          <w:b/>
          <w:szCs w:val="24"/>
        </w:rPr>
      </w:pPr>
      <w:r>
        <w:rPr>
          <w:rFonts w:cs="Times New Roman"/>
          <w:b/>
          <w:szCs w:val="24"/>
        </w:rPr>
        <w:t xml:space="preserve">3.16 </w:t>
      </w:r>
      <w:r w:rsidR="006036B1" w:rsidRPr="00540D6C">
        <w:rPr>
          <w:rFonts w:cs="Times New Roman"/>
          <w:b/>
          <w:szCs w:val="24"/>
        </w:rPr>
        <w:t>Hazard Index of Sediment samples in Three Pathways</w:t>
      </w:r>
    </w:p>
    <w:p w:rsidR="00980A9B" w:rsidRPr="00540D6C" w:rsidRDefault="000A3E47" w:rsidP="006036B1">
      <w:pPr>
        <w:jc w:val="both"/>
        <w:rPr>
          <w:rFonts w:cs="Times New Roman"/>
          <w:szCs w:val="24"/>
        </w:rPr>
      </w:pPr>
      <w:r w:rsidRPr="00540D6C">
        <w:rPr>
          <w:rFonts w:cs="Times New Roman"/>
          <w:szCs w:val="24"/>
        </w:rPr>
        <w:t>Figure 17</w:t>
      </w:r>
      <w:r w:rsidR="006036B1" w:rsidRPr="00540D6C">
        <w:rPr>
          <w:rFonts w:cs="Times New Roman"/>
          <w:szCs w:val="24"/>
        </w:rPr>
        <w:t xml:space="preserve"> showed that the Hazard Index of sediment sample  in Three Pathways (Ingestion, Inhalation and Dermal) in which that the ingestion has the greeter value of 8.61E-05 followed by Dermal = 1.17E-05 while inhalation=1.51E-08 with the least value of effect on the process pathway. The result obtained were represented in decreasing order of Ingestion &gt; Dermal &gt; Inhalation respectively.  The work obtained is similar to the findings of Usman </w:t>
      </w:r>
      <w:r w:rsidR="006036B1" w:rsidRPr="00540D6C">
        <w:rPr>
          <w:rFonts w:cs="Times New Roman"/>
          <w:i/>
          <w:iCs/>
          <w:szCs w:val="24"/>
        </w:rPr>
        <w:t>et al</w:t>
      </w:r>
      <w:r w:rsidR="006036B1" w:rsidRPr="00540D6C">
        <w:rPr>
          <w:rFonts w:cs="Times New Roman"/>
          <w:szCs w:val="24"/>
        </w:rPr>
        <w:t>. (2022).</w:t>
      </w:r>
    </w:p>
    <w:p w:rsidR="006036B1" w:rsidRPr="00540D6C" w:rsidRDefault="006036B1" w:rsidP="006036B1">
      <w:pPr>
        <w:jc w:val="both"/>
        <w:rPr>
          <w:rFonts w:cs="Times New Roman"/>
          <w:szCs w:val="24"/>
        </w:rPr>
      </w:pPr>
      <w:r w:rsidRPr="00540D6C">
        <w:rPr>
          <w:rFonts w:cs="Times New Roman"/>
          <w:noProof/>
          <w:szCs w:val="24"/>
        </w:rPr>
        <w:drawing>
          <wp:inline distT="0" distB="0" distL="114300" distR="114300" wp14:anchorId="235C0C1C" wp14:editId="1D4942A0">
            <wp:extent cx="4572000" cy="2200275"/>
            <wp:effectExtent l="0" t="0" r="0" b="0"/>
            <wp:docPr id="1060"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B4564B" w:rsidRPr="00540D6C" w:rsidRDefault="000A3E47" w:rsidP="00540D6C">
      <w:pPr>
        <w:rPr>
          <w:rFonts w:cs="Times New Roman"/>
          <w:szCs w:val="24"/>
        </w:rPr>
      </w:pPr>
      <w:r w:rsidRPr="00540D6C">
        <w:rPr>
          <w:rFonts w:cs="Times New Roman"/>
          <w:szCs w:val="24"/>
        </w:rPr>
        <w:t>Figure 17</w:t>
      </w:r>
      <w:r w:rsidR="006036B1" w:rsidRPr="00540D6C">
        <w:rPr>
          <w:rFonts w:cs="Times New Roman"/>
          <w:szCs w:val="24"/>
        </w:rPr>
        <w:t xml:space="preserve"> Hazard Index of Sediment samples in Three Pathways</w:t>
      </w:r>
    </w:p>
    <w:p w:rsidR="006036B1" w:rsidRPr="00540D6C" w:rsidRDefault="007F79EB" w:rsidP="006036B1">
      <w:pPr>
        <w:jc w:val="both"/>
        <w:rPr>
          <w:rFonts w:cs="Times New Roman"/>
          <w:b/>
          <w:szCs w:val="24"/>
        </w:rPr>
      </w:pPr>
      <w:r>
        <w:rPr>
          <w:rFonts w:cs="Times New Roman"/>
          <w:b/>
          <w:szCs w:val="24"/>
        </w:rPr>
        <w:t xml:space="preserve">3.17 </w:t>
      </w:r>
      <w:r w:rsidR="006036B1" w:rsidRPr="00540D6C">
        <w:rPr>
          <w:rFonts w:cs="Times New Roman"/>
          <w:b/>
          <w:szCs w:val="24"/>
        </w:rPr>
        <w:t xml:space="preserve">Comparative Hazard Index of Water and Sediments Samples </w:t>
      </w:r>
    </w:p>
    <w:p w:rsidR="006036B1" w:rsidRDefault="006036B1" w:rsidP="006036B1">
      <w:pPr>
        <w:jc w:val="both"/>
        <w:rPr>
          <w:rFonts w:cs="Times New Roman"/>
          <w:szCs w:val="24"/>
        </w:rPr>
      </w:pPr>
      <w:r w:rsidRPr="00540D6C">
        <w:rPr>
          <w:rFonts w:cs="Times New Roman"/>
          <w:szCs w:val="24"/>
        </w:rPr>
        <w:t>The Hazard index of water and Sediments</w:t>
      </w:r>
      <w:r w:rsidR="000A3E47" w:rsidRPr="00540D6C">
        <w:rPr>
          <w:rFonts w:cs="Times New Roman"/>
          <w:szCs w:val="24"/>
        </w:rPr>
        <w:t xml:space="preserve"> were represented on Figure 18</w:t>
      </w:r>
      <w:r w:rsidRPr="00540D6C">
        <w:rPr>
          <w:rFonts w:cs="Times New Roman"/>
          <w:szCs w:val="24"/>
        </w:rPr>
        <w:t xml:space="preserve"> which showed Water HI range of Mn=2.75E-05 to Pb = 1.04E-06 indicated that all the heavy elements showed HI &gt;1 indicated adverse health risk effect sediments. On the other hand Hazard Index in Sediments </w:t>
      </w:r>
      <w:r w:rsidRPr="00540D6C">
        <w:rPr>
          <w:rFonts w:cs="Times New Roman"/>
          <w:szCs w:val="24"/>
        </w:rPr>
        <w:lastRenderedPageBreak/>
        <w:t xml:space="preserve">range; Mn=2.52E-06 to </w:t>
      </w:r>
      <w:proofErr w:type="gramStart"/>
      <w:r w:rsidRPr="00540D6C">
        <w:rPr>
          <w:rFonts w:cs="Times New Roman"/>
          <w:szCs w:val="24"/>
        </w:rPr>
        <w:t>As</w:t>
      </w:r>
      <w:proofErr w:type="gramEnd"/>
      <w:r w:rsidRPr="00540D6C">
        <w:rPr>
          <w:rFonts w:cs="Times New Roman"/>
          <w:szCs w:val="24"/>
        </w:rPr>
        <w:t xml:space="preserve"> = 1.57E+07 also showed HI</w:t>
      </w:r>
      <w:r w:rsidR="00692890" w:rsidRPr="00540D6C">
        <w:rPr>
          <w:rFonts w:cs="Times New Roman"/>
          <w:szCs w:val="24"/>
        </w:rPr>
        <w:t xml:space="preserve"> </w:t>
      </w:r>
      <w:r w:rsidRPr="00540D6C">
        <w:rPr>
          <w:rFonts w:cs="Times New Roman"/>
          <w:szCs w:val="24"/>
        </w:rPr>
        <w:t>&gt;1 indicated adverse health risk effect in water. Both water and sediments investigated showed adverse health risks effects.</w:t>
      </w:r>
    </w:p>
    <w:p w:rsidR="00980A9B" w:rsidRPr="00980A9B" w:rsidRDefault="00980A9B" w:rsidP="006036B1">
      <w:pPr>
        <w:jc w:val="both"/>
        <w:rPr>
          <w:rFonts w:cs="Times New Roman"/>
          <w:color w:val="00B050"/>
          <w:szCs w:val="24"/>
        </w:rPr>
      </w:pPr>
      <w:r w:rsidRPr="00980A9B">
        <w:rPr>
          <w:rFonts w:cs="Times New Roman"/>
          <w:color w:val="00B050"/>
          <w:szCs w:val="24"/>
        </w:rPr>
        <w:t>Table 3.5 Comparative Hazard Index of Water and Sediments Samples</w:t>
      </w:r>
    </w:p>
    <w:tbl>
      <w:tblPr>
        <w:tblW w:w="10180" w:type="dxa"/>
        <w:tblInd w:w="-5" w:type="dxa"/>
        <w:tblBorders>
          <w:top w:val="single" w:sz="4" w:space="0" w:color="auto"/>
          <w:bottom w:val="single" w:sz="4" w:space="0" w:color="auto"/>
        </w:tblBorders>
        <w:tblLook w:val="04A0" w:firstRow="1" w:lastRow="0" w:firstColumn="1" w:lastColumn="0" w:noHBand="0" w:noVBand="1"/>
      </w:tblPr>
      <w:tblGrid>
        <w:gridCol w:w="960"/>
        <w:gridCol w:w="1220"/>
        <w:gridCol w:w="1000"/>
        <w:gridCol w:w="1000"/>
        <w:gridCol w:w="1000"/>
        <w:gridCol w:w="1000"/>
        <w:gridCol w:w="1000"/>
        <w:gridCol w:w="1000"/>
        <w:gridCol w:w="1000"/>
        <w:gridCol w:w="1000"/>
      </w:tblGrid>
      <w:tr w:rsidR="00980A9B" w:rsidRPr="00980A9B" w:rsidTr="00980A9B">
        <w:trPr>
          <w:trHeight w:val="300"/>
        </w:trPr>
        <w:tc>
          <w:tcPr>
            <w:tcW w:w="960" w:type="dxa"/>
            <w:tcBorders>
              <w:top w:val="single" w:sz="4" w:space="0" w:color="auto"/>
              <w:bottom w:val="single" w:sz="4" w:space="0" w:color="auto"/>
            </w:tcBorders>
            <w:shd w:val="clear" w:color="auto" w:fill="auto"/>
            <w:noWrap/>
            <w:vAlign w:val="bottom"/>
            <w:hideMark/>
          </w:tcPr>
          <w:p w:rsidR="00980A9B" w:rsidRPr="00980A9B" w:rsidRDefault="00980A9B" w:rsidP="00980A9B">
            <w:pPr>
              <w:spacing w:after="0" w:line="240" w:lineRule="auto"/>
              <w:rPr>
                <w:rFonts w:eastAsia="Times New Roman" w:cs="Times New Roman"/>
                <w:color w:val="00B050"/>
                <w:sz w:val="22"/>
              </w:rPr>
            </w:pPr>
            <w:r w:rsidRPr="00980A9B">
              <w:rPr>
                <w:rFonts w:eastAsia="Times New Roman" w:cs="Times New Roman"/>
                <w:color w:val="00B050"/>
                <w:sz w:val="22"/>
              </w:rPr>
              <w:t>Metals</w:t>
            </w:r>
          </w:p>
        </w:tc>
        <w:tc>
          <w:tcPr>
            <w:tcW w:w="1220" w:type="dxa"/>
            <w:tcBorders>
              <w:top w:val="single" w:sz="4" w:space="0" w:color="auto"/>
              <w:bottom w:val="single" w:sz="4" w:space="0" w:color="auto"/>
            </w:tcBorders>
            <w:shd w:val="clear" w:color="auto" w:fill="auto"/>
            <w:noWrap/>
            <w:vAlign w:val="bottom"/>
            <w:hideMark/>
          </w:tcPr>
          <w:p w:rsidR="00980A9B" w:rsidRPr="00980A9B" w:rsidRDefault="00980A9B" w:rsidP="00980A9B">
            <w:pPr>
              <w:spacing w:after="0" w:line="240" w:lineRule="auto"/>
              <w:rPr>
                <w:rFonts w:eastAsia="Times New Roman" w:cs="Times New Roman"/>
                <w:color w:val="00B050"/>
                <w:sz w:val="22"/>
              </w:rPr>
            </w:pPr>
            <w:r w:rsidRPr="00980A9B">
              <w:rPr>
                <w:rFonts w:eastAsia="Times New Roman" w:cs="Times New Roman"/>
                <w:color w:val="00B050"/>
                <w:sz w:val="22"/>
              </w:rPr>
              <w:t>Cu</w:t>
            </w:r>
          </w:p>
        </w:tc>
        <w:tc>
          <w:tcPr>
            <w:tcW w:w="1000" w:type="dxa"/>
            <w:tcBorders>
              <w:top w:val="single" w:sz="4" w:space="0" w:color="auto"/>
              <w:bottom w:val="single" w:sz="4" w:space="0" w:color="auto"/>
            </w:tcBorders>
            <w:shd w:val="clear" w:color="auto" w:fill="auto"/>
            <w:noWrap/>
            <w:vAlign w:val="bottom"/>
            <w:hideMark/>
          </w:tcPr>
          <w:p w:rsidR="00980A9B" w:rsidRPr="00980A9B" w:rsidRDefault="00980A9B" w:rsidP="00980A9B">
            <w:pPr>
              <w:spacing w:after="0" w:line="240" w:lineRule="auto"/>
              <w:rPr>
                <w:rFonts w:eastAsia="Times New Roman" w:cs="Times New Roman"/>
                <w:color w:val="00B050"/>
                <w:sz w:val="22"/>
              </w:rPr>
            </w:pPr>
            <w:r w:rsidRPr="00980A9B">
              <w:rPr>
                <w:rFonts w:eastAsia="Times New Roman" w:cs="Times New Roman"/>
                <w:color w:val="00B050"/>
                <w:sz w:val="22"/>
              </w:rPr>
              <w:t>Pb</w:t>
            </w:r>
          </w:p>
        </w:tc>
        <w:tc>
          <w:tcPr>
            <w:tcW w:w="1000" w:type="dxa"/>
            <w:tcBorders>
              <w:top w:val="single" w:sz="4" w:space="0" w:color="auto"/>
              <w:bottom w:val="single" w:sz="4" w:space="0" w:color="auto"/>
            </w:tcBorders>
            <w:shd w:val="clear" w:color="auto" w:fill="auto"/>
            <w:noWrap/>
            <w:vAlign w:val="bottom"/>
            <w:hideMark/>
          </w:tcPr>
          <w:p w:rsidR="00980A9B" w:rsidRPr="00980A9B" w:rsidRDefault="00980A9B" w:rsidP="00980A9B">
            <w:pPr>
              <w:spacing w:after="0" w:line="240" w:lineRule="auto"/>
              <w:rPr>
                <w:rFonts w:eastAsia="Times New Roman" w:cs="Times New Roman"/>
                <w:color w:val="00B050"/>
                <w:sz w:val="22"/>
              </w:rPr>
            </w:pPr>
            <w:r w:rsidRPr="00980A9B">
              <w:rPr>
                <w:rFonts w:eastAsia="Times New Roman" w:cs="Times New Roman"/>
                <w:color w:val="00B050"/>
                <w:sz w:val="22"/>
              </w:rPr>
              <w:t>Cr</w:t>
            </w:r>
          </w:p>
        </w:tc>
        <w:tc>
          <w:tcPr>
            <w:tcW w:w="1000" w:type="dxa"/>
            <w:tcBorders>
              <w:top w:val="single" w:sz="4" w:space="0" w:color="auto"/>
              <w:bottom w:val="single" w:sz="4" w:space="0" w:color="auto"/>
            </w:tcBorders>
            <w:shd w:val="clear" w:color="auto" w:fill="auto"/>
            <w:noWrap/>
            <w:vAlign w:val="bottom"/>
            <w:hideMark/>
          </w:tcPr>
          <w:p w:rsidR="00980A9B" w:rsidRPr="00980A9B" w:rsidRDefault="00980A9B" w:rsidP="00980A9B">
            <w:pPr>
              <w:spacing w:after="0" w:line="240" w:lineRule="auto"/>
              <w:rPr>
                <w:rFonts w:eastAsia="Times New Roman" w:cs="Times New Roman"/>
                <w:color w:val="00B050"/>
                <w:sz w:val="22"/>
              </w:rPr>
            </w:pPr>
            <w:r w:rsidRPr="00980A9B">
              <w:rPr>
                <w:rFonts w:eastAsia="Times New Roman" w:cs="Times New Roman"/>
                <w:color w:val="00B050"/>
                <w:sz w:val="22"/>
              </w:rPr>
              <w:t>Cd</w:t>
            </w:r>
          </w:p>
        </w:tc>
        <w:tc>
          <w:tcPr>
            <w:tcW w:w="1000" w:type="dxa"/>
            <w:tcBorders>
              <w:top w:val="single" w:sz="4" w:space="0" w:color="auto"/>
              <w:bottom w:val="single" w:sz="4" w:space="0" w:color="auto"/>
            </w:tcBorders>
            <w:shd w:val="clear" w:color="auto" w:fill="auto"/>
            <w:noWrap/>
            <w:vAlign w:val="bottom"/>
            <w:hideMark/>
          </w:tcPr>
          <w:p w:rsidR="00980A9B" w:rsidRPr="00980A9B" w:rsidRDefault="00980A9B" w:rsidP="00980A9B">
            <w:pPr>
              <w:spacing w:after="0" w:line="240" w:lineRule="auto"/>
              <w:rPr>
                <w:rFonts w:eastAsia="Times New Roman" w:cs="Times New Roman"/>
                <w:color w:val="00B050"/>
                <w:sz w:val="22"/>
              </w:rPr>
            </w:pPr>
            <w:r w:rsidRPr="00980A9B">
              <w:rPr>
                <w:rFonts w:eastAsia="Times New Roman" w:cs="Times New Roman"/>
                <w:color w:val="00B050"/>
                <w:sz w:val="22"/>
              </w:rPr>
              <w:t>As</w:t>
            </w:r>
          </w:p>
        </w:tc>
        <w:tc>
          <w:tcPr>
            <w:tcW w:w="1000" w:type="dxa"/>
            <w:tcBorders>
              <w:top w:val="single" w:sz="4" w:space="0" w:color="auto"/>
              <w:bottom w:val="single" w:sz="4" w:space="0" w:color="auto"/>
            </w:tcBorders>
            <w:shd w:val="clear" w:color="auto" w:fill="auto"/>
            <w:noWrap/>
            <w:vAlign w:val="bottom"/>
            <w:hideMark/>
          </w:tcPr>
          <w:p w:rsidR="00980A9B" w:rsidRPr="00980A9B" w:rsidRDefault="00980A9B" w:rsidP="00980A9B">
            <w:pPr>
              <w:spacing w:after="0" w:line="240" w:lineRule="auto"/>
              <w:rPr>
                <w:rFonts w:eastAsia="Times New Roman" w:cs="Times New Roman"/>
                <w:color w:val="00B050"/>
                <w:sz w:val="22"/>
              </w:rPr>
            </w:pPr>
            <w:r w:rsidRPr="00980A9B">
              <w:rPr>
                <w:rFonts w:eastAsia="Times New Roman" w:cs="Times New Roman"/>
                <w:color w:val="00B050"/>
                <w:sz w:val="22"/>
              </w:rPr>
              <w:t>Ni</w:t>
            </w:r>
          </w:p>
        </w:tc>
        <w:tc>
          <w:tcPr>
            <w:tcW w:w="1000" w:type="dxa"/>
            <w:tcBorders>
              <w:top w:val="single" w:sz="4" w:space="0" w:color="auto"/>
              <w:bottom w:val="single" w:sz="4" w:space="0" w:color="auto"/>
            </w:tcBorders>
            <w:shd w:val="clear" w:color="auto" w:fill="auto"/>
            <w:noWrap/>
            <w:vAlign w:val="bottom"/>
            <w:hideMark/>
          </w:tcPr>
          <w:p w:rsidR="00980A9B" w:rsidRPr="00980A9B" w:rsidRDefault="00980A9B" w:rsidP="00980A9B">
            <w:pPr>
              <w:spacing w:after="0" w:line="240" w:lineRule="auto"/>
              <w:rPr>
                <w:rFonts w:eastAsia="Times New Roman" w:cs="Times New Roman"/>
                <w:color w:val="00B050"/>
                <w:sz w:val="22"/>
              </w:rPr>
            </w:pPr>
            <w:r w:rsidRPr="00980A9B">
              <w:rPr>
                <w:rFonts w:eastAsia="Times New Roman" w:cs="Times New Roman"/>
                <w:color w:val="00B050"/>
                <w:sz w:val="22"/>
              </w:rPr>
              <w:t>Fe</w:t>
            </w:r>
          </w:p>
        </w:tc>
        <w:tc>
          <w:tcPr>
            <w:tcW w:w="1000" w:type="dxa"/>
            <w:tcBorders>
              <w:top w:val="single" w:sz="4" w:space="0" w:color="auto"/>
              <w:bottom w:val="single" w:sz="4" w:space="0" w:color="auto"/>
            </w:tcBorders>
            <w:shd w:val="clear" w:color="auto" w:fill="auto"/>
            <w:noWrap/>
            <w:vAlign w:val="bottom"/>
            <w:hideMark/>
          </w:tcPr>
          <w:p w:rsidR="00980A9B" w:rsidRPr="00980A9B" w:rsidRDefault="00980A9B" w:rsidP="00980A9B">
            <w:pPr>
              <w:spacing w:after="0" w:line="240" w:lineRule="auto"/>
              <w:rPr>
                <w:rFonts w:eastAsia="Times New Roman" w:cs="Times New Roman"/>
                <w:color w:val="00B050"/>
                <w:sz w:val="22"/>
              </w:rPr>
            </w:pPr>
            <w:r w:rsidRPr="00980A9B">
              <w:rPr>
                <w:rFonts w:eastAsia="Times New Roman" w:cs="Times New Roman"/>
                <w:color w:val="00B050"/>
                <w:sz w:val="22"/>
              </w:rPr>
              <w:t>Mn</w:t>
            </w:r>
          </w:p>
        </w:tc>
        <w:tc>
          <w:tcPr>
            <w:tcW w:w="1000" w:type="dxa"/>
            <w:tcBorders>
              <w:top w:val="single" w:sz="4" w:space="0" w:color="auto"/>
              <w:bottom w:val="single" w:sz="4" w:space="0" w:color="auto"/>
            </w:tcBorders>
            <w:shd w:val="clear" w:color="auto" w:fill="auto"/>
            <w:noWrap/>
            <w:vAlign w:val="bottom"/>
            <w:hideMark/>
          </w:tcPr>
          <w:p w:rsidR="00980A9B" w:rsidRPr="00980A9B" w:rsidRDefault="00980A9B" w:rsidP="00980A9B">
            <w:pPr>
              <w:spacing w:after="0" w:line="240" w:lineRule="auto"/>
              <w:rPr>
                <w:rFonts w:eastAsia="Times New Roman" w:cs="Times New Roman"/>
                <w:color w:val="00B050"/>
                <w:sz w:val="22"/>
              </w:rPr>
            </w:pPr>
            <w:r w:rsidRPr="00980A9B">
              <w:rPr>
                <w:rFonts w:eastAsia="Times New Roman" w:cs="Times New Roman"/>
                <w:color w:val="00B050"/>
                <w:sz w:val="22"/>
              </w:rPr>
              <w:t>Zn</w:t>
            </w:r>
          </w:p>
        </w:tc>
      </w:tr>
      <w:tr w:rsidR="00980A9B" w:rsidRPr="00980A9B" w:rsidTr="00980A9B">
        <w:trPr>
          <w:trHeight w:val="300"/>
        </w:trPr>
        <w:tc>
          <w:tcPr>
            <w:tcW w:w="960" w:type="dxa"/>
            <w:tcBorders>
              <w:top w:val="single" w:sz="4" w:space="0" w:color="auto"/>
            </w:tcBorders>
            <w:shd w:val="clear" w:color="auto" w:fill="auto"/>
            <w:noWrap/>
            <w:vAlign w:val="bottom"/>
            <w:hideMark/>
          </w:tcPr>
          <w:p w:rsidR="00980A9B" w:rsidRPr="00980A9B" w:rsidRDefault="00980A9B" w:rsidP="00980A9B">
            <w:pPr>
              <w:spacing w:after="0" w:line="240" w:lineRule="auto"/>
              <w:rPr>
                <w:rFonts w:eastAsia="Times New Roman" w:cs="Times New Roman"/>
                <w:color w:val="00B050"/>
                <w:sz w:val="22"/>
              </w:rPr>
            </w:pPr>
            <w:r w:rsidRPr="00980A9B">
              <w:rPr>
                <w:rFonts w:eastAsia="Times New Roman" w:cs="Times New Roman"/>
                <w:color w:val="00B050"/>
                <w:sz w:val="22"/>
              </w:rPr>
              <w:t>HI Water</w:t>
            </w:r>
          </w:p>
        </w:tc>
        <w:tc>
          <w:tcPr>
            <w:tcW w:w="1220" w:type="dxa"/>
            <w:tcBorders>
              <w:top w:val="single" w:sz="4" w:space="0" w:color="auto"/>
            </w:tcBorders>
            <w:shd w:val="clear" w:color="auto" w:fill="auto"/>
            <w:noWrap/>
            <w:vAlign w:val="bottom"/>
            <w:hideMark/>
          </w:tcPr>
          <w:p w:rsidR="00980A9B" w:rsidRPr="00980A9B" w:rsidRDefault="00980A9B" w:rsidP="00980A9B">
            <w:pPr>
              <w:spacing w:after="0" w:line="240" w:lineRule="auto"/>
              <w:jc w:val="right"/>
              <w:rPr>
                <w:rFonts w:eastAsia="Times New Roman" w:cs="Times New Roman"/>
                <w:color w:val="00B050"/>
                <w:sz w:val="22"/>
              </w:rPr>
            </w:pPr>
            <w:r w:rsidRPr="00980A9B">
              <w:rPr>
                <w:rFonts w:eastAsia="Times New Roman" w:cs="Times New Roman"/>
                <w:color w:val="00B050"/>
                <w:sz w:val="22"/>
              </w:rPr>
              <w:t>5.76E-07</w:t>
            </w:r>
          </w:p>
        </w:tc>
        <w:tc>
          <w:tcPr>
            <w:tcW w:w="1000" w:type="dxa"/>
            <w:tcBorders>
              <w:top w:val="single" w:sz="4" w:space="0" w:color="auto"/>
            </w:tcBorders>
            <w:shd w:val="clear" w:color="auto" w:fill="auto"/>
            <w:noWrap/>
            <w:vAlign w:val="bottom"/>
            <w:hideMark/>
          </w:tcPr>
          <w:p w:rsidR="00980A9B" w:rsidRPr="00980A9B" w:rsidRDefault="00980A9B" w:rsidP="00980A9B">
            <w:pPr>
              <w:spacing w:after="0" w:line="240" w:lineRule="auto"/>
              <w:jc w:val="right"/>
              <w:rPr>
                <w:rFonts w:eastAsia="Times New Roman" w:cs="Times New Roman"/>
                <w:color w:val="00B050"/>
                <w:sz w:val="22"/>
              </w:rPr>
            </w:pPr>
            <w:r w:rsidRPr="00980A9B">
              <w:rPr>
                <w:rFonts w:eastAsia="Times New Roman" w:cs="Times New Roman"/>
                <w:color w:val="00B050"/>
                <w:sz w:val="22"/>
              </w:rPr>
              <w:t>3.42E-07</w:t>
            </w:r>
          </w:p>
        </w:tc>
        <w:tc>
          <w:tcPr>
            <w:tcW w:w="1000" w:type="dxa"/>
            <w:tcBorders>
              <w:top w:val="single" w:sz="4" w:space="0" w:color="auto"/>
            </w:tcBorders>
            <w:shd w:val="clear" w:color="auto" w:fill="auto"/>
            <w:noWrap/>
            <w:vAlign w:val="bottom"/>
            <w:hideMark/>
          </w:tcPr>
          <w:p w:rsidR="00980A9B" w:rsidRPr="00980A9B" w:rsidRDefault="00980A9B" w:rsidP="00980A9B">
            <w:pPr>
              <w:spacing w:after="0" w:line="240" w:lineRule="auto"/>
              <w:jc w:val="right"/>
              <w:rPr>
                <w:rFonts w:eastAsia="Times New Roman" w:cs="Times New Roman"/>
                <w:color w:val="00B050"/>
                <w:sz w:val="22"/>
              </w:rPr>
            </w:pPr>
            <w:r w:rsidRPr="00980A9B">
              <w:rPr>
                <w:rFonts w:eastAsia="Times New Roman" w:cs="Times New Roman"/>
                <w:color w:val="00B050"/>
                <w:sz w:val="22"/>
              </w:rPr>
              <w:t>2.44E-07</w:t>
            </w:r>
          </w:p>
        </w:tc>
        <w:tc>
          <w:tcPr>
            <w:tcW w:w="1000" w:type="dxa"/>
            <w:tcBorders>
              <w:top w:val="single" w:sz="4" w:space="0" w:color="auto"/>
            </w:tcBorders>
            <w:shd w:val="clear" w:color="auto" w:fill="auto"/>
            <w:noWrap/>
            <w:vAlign w:val="bottom"/>
            <w:hideMark/>
          </w:tcPr>
          <w:p w:rsidR="00980A9B" w:rsidRPr="00980A9B" w:rsidRDefault="00980A9B" w:rsidP="00980A9B">
            <w:pPr>
              <w:spacing w:after="0" w:line="240" w:lineRule="auto"/>
              <w:jc w:val="right"/>
              <w:rPr>
                <w:rFonts w:eastAsia="Times New Roman" w:cs="Times New Roman"/>
                <w:color w:val="00B050"/>
                <w:sz w:val="22"/>
              </w:rPr>
            </w:pPr>
            <w:r w:rsidRPr="00980A9B">
              <w:rPr>
                <w:rFonts w:eastAsia="Times New Roman" w:cs="Times New Roman"/>
                <w:color w:val="00B050"/>
                <w:sz w:val="22"/>
              </w:rPr>
              <w:t>1.93E-07</w:t>
            </w:r>
          </w:p>
        </w:tc>
        <w:tc>
          <w:tcPr>
            <w:tcW w:w="1000" w:type="dxa"/>
            <w:tcBorders>
              <w:top w:val="single" w:sz="4" w:space="0" w:color="auto"/>
            </w:tcBorders>
            <w:shd w:val="clear" w:color="auto" w:fill="auto"/>
            <w:noWrap/>
            <w:vAlign w:val="bottom"/>
            <w:hideMark/>
          </w:tcPr>
          <w:p w:rsidR="00980A9B" w:rsidRPr="00980A9B" w:rsidRDefault="00980A9B" w:rsidP="00980A9B">
            <w:pPr>
              <w:spacing w:after="0" w:line="240" w:lineRule="auto"/>
              <w:jc w:val="right"/>
              <w:rPr>
                <w:rFonts w:eastAsia="Times New Roman" w:cs="Times New Roman"/>
                <w:color w:val="00B050"/>
                <w:sz w:val="22"/>
              </w:rPr>
            </w:pPr>
            <w:r w:rsidRPr="00980A9B">
              <w:rPr>
                <w:rFonts w:eastAsia="Times New Roman" w:cs="Times New Roman"/>
                <w:color w:val="00B050"/>
                <w:sz w:val="22"/>
              </w:rPr>
              <w:t>1.57E-07</w:t>
            </w:r>
          </w:p>
        </w:tc>
        <w:tc>
          <w:tcPr>
            <w:tcW w:w="1000" w:type="dxa"/>
            <w:tcBorders>
              <w:top w:val="single" w:sz="4" w:space="0" w:color="auto"/>
            </w:tcBorders>
            <w:shd w:val="clear" w:color="auto" w:fill="auto"/>
            <w:noWrap/>
            <w:vAlign w:val="bottom"/>
            <w:hideMark/>
          </w:tcPr>
          <w:p w:rsidR="00980A9B" w:rsidRPr="00980A9B" w:rsidRDefault="00980A9B" w:rsidP="00980A9B">
            <w:pPr>
              <w:spacing w:after="0" w:line="240" w:lineRule="auto"/>
              <w:jc w:val="right"/>
              <w:rPr>
                <w:rFonts w:eastAsia="Times New Roman" w:cs="Times New Roman"/>
                <w:color w:val="00B050"/>
                <w:sz w:val="22"/>
              </w:rPr>
            </w:pPr>
            <w:r w:rsidRPr="00980A9B">
              <w:rPr>
                <w:rFonts w:eastAsia="Times New Roman" w:cs="Times New Roman"/>
                <w:color w:val="00B050"/>
                <w:sz w:val="22"/>
              </w:rPr>
              <w:t>9.68E-07</w:t>
            </w:r>
          </w:p>
        </w:tc>
        <w:tc>
          <w:tcPr>
            <w:tcW w:w="1000" w:type="dxa"/>
            <w:tcBorders>
              <w:top w:val="single" w:sz="4" w:space="0" w:color="auto"/>
            </w:tcBorders>
            <w:shd w:val="clear" w:color="auto" w:fill="auto"/>
            <w:noWrap/>
            <w:vAlign w:val="bottom"/>
            <w:hideMark/>
          </w:tcPr>
          <w:p w:rsidR="00980A9B" w:rsidRPr="00980A9B" w:rsidRDefault="00980A9B" w:rsidP="00980A9B">
            <w:pPr>
              <w:spacing w:after="0" w:line="240" w:lineRule="auto"/>
              <w:jc w:val="right"/>
              <w:rPr>
                <w:rFonts w:eastAsia="Times New Roman" w:cs="Times New Roman"/>
                <w:color w:val="00B050"/>
                <w:sz w:val="22"/>
              </w:rPr>
            </w:pPr>
            <w:r w:rsidRPr="00980A9B">
              <w:rPr>
                <w:rFonts w:eastAsia="Times New Roman" w:cs="Times New Roman"/>
                <w:color w:val="00B050"/>
                <w:sz w:val="22"/>
              </w:rPr>
              <w:t>1.32E-06</w:t>
            </w:r>
          </w:p>
        </w:tc>
        <w:tc>
          <w:tcPr>
            <w:tcW w:w="1000" w:type="dxa"/>
            <w:tcBorders>
              <w:top w:val="single" w:sz="4" w:space="0" w:color="auto"/>
            </w:tcBorders>
            <w:shd w:val="clear" w:color="auto" w:fill="auto"/>
            <w:noWrap/>
            <w:vAlign w:val="bottom"/>
            <w:hideMark/>
          </w:tcPr>
          <w:p w:rsidR="00980A9B" w:rsidRPr="00980A9B" w:rsidRDefault="00980A9B" w:rsidP="00980A9B">
            <w:pPr>
              <w:spacing w:after="0" w:line="240" w:lineRule="auto"/>
              <w:jc w:val="right"/>
              <w:rPr>
                <w:rFonts w:eastAsia="Times New Roman" w:cs="Times New Roman"/>
                <w:color w:val="00B050"/>
                <w:sz w:val="22"/>
              </w:rPr>
            </w:pPr>
            <w:r w:rsidRPr="00980A9B">
              <w:rPr>
                <w:rFonts w:eastAsia="Times New Roman" w:cs="Times New Roman"/>
                <w:color w:val="00B050"/>
                <w:sz w:val="22"/>
              </w:rPr>
              <w:t>2.50E-06</w:t>
            </w:r>
          </w:p>
        </w:tc>
        <w:tc>
          <w:tcPr>
            <w:tcW w:w="1000" w:type="dxa"/>
            <w:tcBorders>
              <w:top w:val="single" w:sz="4" w:space="0" w:color="auto"/>
            </w:tcBorders>
            <w:shd w:val="clear" w:color="auto" w:fill="auto"/>
            <w:noWrap/>
            <w:vAlign w:val="bottom"/>
            <w:hideMark/>
          </w:tcPr>
          <w:p w:rsidR="00980A9B" w:rsidRPr="00980A9B" w:rsidRDefault="00980A9B" w:rsidP="00980A9B">
            <w:pPr>
              <w:spacing w:after="0" w:line="240" w:lineRule="auto"/>
              <w:jc w:val="right"/>
              <w:rPr>
                <w:rFonts w:eastAsia="Times New Roman" w:cs="Times New Roman"/>
                <w:color w:val="00B050"/>
                <w:sz w:val="22"/>
              </w:rPr>
            </w:pPr>
            <w:r w:rsidRPr="00980A9B">
              <w:rPr>
                <w:rFonts w:eastAsia="Times New Roman" w:cs="Times New Roman"/>
                <w:color w:val="00B050"/>
                <w:sz w:val="22"/>
              </w:rPr>
              <w:t>1.03E-06</w:t>
            </w:r>
          </w:p>
        </w:tc>
      </w:tr>
      <w:tr w:rsidR="00980A9B" w:rsidRPr="00980A9B" w:rsidTr="00980A9B">
        <w:trPr>
          <w:trHeight w:val="300"/>
        </w:trPr>
        <w:tc>
          <w:tcPr>
            <w:tcW w:w="960" w:type="dxa"/>
            <w:shd w:val="clear" w:color="auto" w:fill="auto"/>
            <w:noWrap/>
            <w:vAlign w:val="bottom"/>
            <w:hideMark/>
          </w:tcPr>
          <w:p w:rsidR="00980A9B" w:rsidRPr="00980A9B" w:rsidRDefault="00980A9B" w:rsidP="00980A9B">
            <w:pPr>
              <w:spacing w:after="0" w:line="240" w:lineRule="auto"/>
              <w:rPr>
                <w:rFonts w:eastAsia="Times New Roman" w:cs="Times New Roman"/>
                <w:color w:val="00B050"/>
                <w:sz w:val="22"/>
              </w:rPr>
            </w:pPr>
            <w:r w:rsidRPr="00980A9B">
              <w:rPr>
                <w:rFonts w:eastAsia="Times New Roman" w:cs="Times New Roman"/>
                <w:color w:val="00B050"/>
                <w:sz w:val="22"/>
              </w:rPr>
              <w:t>HI Sed.</w:t>
            </w:r>
          </w:p>
        </w:tc>
        <w:tc>
          <w:tcPr>
            <w:tcW w:w="1220" w:type="dxa"/>
            <w:shd w:val="clear" w:color="auto" w:fill="auto"/>
            <w:noWrap/>
            <w:vAlign w:val="bottom"/>
            <w:hideMark/>
          </w:tcPr>
          <w:p w:rsidR="00980A9B" w:rsidRPr="00980A9B" w:rsidRDefault="00980A9B" w:rsidP="00980A9B">
            <w:pPr>
              <w:spacing w:after="0" w:line="240" w:lineRule="auto"/>
              <w:jc w:val="right"/>
              <w:rPr>
                <w:rFonts w:eastAsia="Times New Roman" w:cs="Times New Roman"/>
                <w:color w:val="00B050"/>
                <w:sz w:val="22"/>
              </w:rPr>
            </w:pPr>
            <w:r w:rsidRPr="00980A9B">
              <w:rPr>
                <w:rFonts w:eastAsia="Times New Roman" w:cs="Times New Roman"/>
                <w:color w:val="00B050"/>
                <w:sz w:val="22"/>
              </w:rPr>
              <w:t>2.64E-06</w:t>
            </w:r>
          </w:p>
        </w:tc>
        <w:tc>
          <w:tcPr>
            <w:tcW w:w="1000" w:type="dxa"/>
            <w:shd w:val="clear" w:color="auto" w:fill="auto"/>
            <w:noWrap/>
            <w:vAlign w:val="bottom"/>
            <w:hideMark/>
          </w:tcPr>
          <w:p w:rsidR="00980A9B" w:rsidRPr="00980A9B" w:rsidRDefault="00980A9B" w:rsidP="00980A9B">
            <w:pPr>
              <w:spacing w:after="0" w:line="240" w:lineRule="auto"/>
              <w:jc w:val="right"/>
              <w:rPr>
                <w:rFonts w:eastAsia="Times New Roman" w:cs="Times New Roman"/>
                <w:color w:val="00B050"/>
                <w:sz w:val="22"/>
              </w:rPr>
            </w:pPr>
            <w:r w:rsidRPr="00980A9B">
              <w:rPr>
                <w:rFonts w:eastAsia="Times New Roman" w:cs="Times New Roman"/>
                <w:color w:val="00B050"/>
                <w:sz w:val="22"/>
              </w:rPr>
              <w:t>1.04E-06</w:t>
            </w:r>
          </w:p>
        </w:tc>
        <w:tc>
          <w:tcPr>
            <w:tcW w:w="1000" w:type="dxa"/>
            <w:shd w:val="clear" w:color="auto" w:fill="auto"/>
            <w:noWrap/>
            <w:vAlign w:val="bottom"/>
            <w:hideMark/>
          </w:tcPr>
          <w:p w:rsidR="00980A9B" w:rsidRPr="00980A9B" w:rsidRDefault="00980A9B" w:rsidP="00980A9B">
            <w:pPr>
              <w:spacing w:after="0" w:line="240" w:lineRule="auto"/>
              <w:jc w:val="right"/>
              <w:rPr>
                <w:rFonts w:eastAsia="Times New Roman" w:cs="Times New Roman"/>
                <w:color w:val="00B050"/>
                <w:sz w:val="22"/>
              </w:rPr>
            </w:pPr>
            <w:r w:rsidRPr="00980A9B">
              <w:rPr>
                <w:rFonts w:eastAsia="Times New Roman" w:cs="Times New Roman"/>
                <w:color w:val="00B050"/>
                <w:sz w:val="22"/>
              </w:rPr>
              <w:t>1.94E-06</w:t>
            </w:r>
          </w:p>
        </w:tc>
        <w:tc>
          <w:tcPr>
            <w:tcW w:w="1000" w:type="dxa"/>
            <w:shd w:val="clear" w:color="auto" w:fill="auto"/>
            <w:noWrap/>
            <w:vAlign w:val="bottom"/>
            <w:hideMark/>
          </w:tcPr>
          <w:p w:rsidR="00980A9B" w:rsidRPr="00980A9B" w:rsidRDefault="00980A9B" w:rsidP="00980A9B">
            <w:pPr>
              <w:spacing w:after="0" w:line="240" w:lineRule="auto"/>
              <w:jc w:val="right"/>
              <w:rPr>
                <w:rFonts w:eastAsia="Times New Roman" w:cs="Times New Roman"/>
                <w:color w:val="00B050"/>
                <w:sz w:val="22"/>
              </w:rPr>
            </w:pPr>
            <w:r w:rsidRPr="00980A9B">
              <w:rPr>
                <w:rFonts w:eastAsia="Times New Roman" w:cs="Times New Roman"/>
                <w:color w:val="00B050"/>
                <w:sz w:val="22"/>
              </w:rPr>
              <w:t>1.99E-06</w:t>
            </w:r>
          </w:p>
        </w:tc>
        <w:tc>
          <w:tcPr>
            <w:tcW w:w="1000" w:type="dxa"/>
            <w:shd w:val="clear" w:color="auto" w:fill="auto"/>
            <w:noWrap/>
            <w:vAlign w:val="bottom"/>
            <w:hideMark/>
          </w:tcPr>
          <w:p w:rsidR="00980A9B" w:rsidRPr="00980A9B" w:rsidRDefault="00980A9B" w:rsidP="00980A9B">
            <w:pPr>
              <w:spacing w:after="0" w:line="240" w:lineRule="auto"/>
              <w:jc w:val="right"/>
              <w:rPr>
                <w:rFonts w:eastAsia="Times New Roman" w:cs="Times New Roman"/>
                <w:color w:val="00B050"/>
                <w:sz w:val="22"/>
              </w:rPr>
            </w:pPr>
            <w:r w:rsidRPr="00980A9B">
              <w:rPr>
                <w:rFonts w:eastAsia="Times New Roman" w:cs="Times New Roman"/>
                <w:color w:val="00B050"/>
                <w:sz w:val="22"/>
              </w:rPr>
              <w:t>1.16E-06</w:t>
            </w:r>
          </w:p>
        </w:tc>
        <w:tc>
          <w:tcPr>
            <w:tcW w:w="1000" w:type="dxa"/>
            <w:shd w:val="clear" w:color="auto" w:fill="auto"/>
            <w:noWrap/>
            <w:vAlign w:val="bottom"/>
            <w:hideMark/>
          </w:tcPr>
          <w:p w:rsidR="00980A9B" w:rsidRPr="00980A9B" w:rsidRDefault="00980A9B" w:rsidP="00980A9B">
            <w:pPr>
              <w:spacing w:after="0" w:line="240" w:lineRule="auto"/>
              <w:jc w:val="right"/>
              <w:rPr>
                <w:rFonts w:eastAsia="Times New Roman" w:cs="Times New Roman"/>
                <w:color w:val="00B050"/>
                <w:sz w:val="22"/>
              </w:rPr>
            </w:pPr>
            <w:r w:rsidRPr="00980A9B">
              <w:rPr>
                <w:rFonts w:eastAsia="Times New Roman" w:cs="Times New Roman"/>
                <w:color w:val="00B050"/>
                <w:sz w:val="22"/>
              </w:rPr>
              <w:t>8.12E-06</w:t>
            </w:r>
          </w:p>
        </w:tc>
        <w:tc>
          <w:tcPr>
            <w:tcW w:w="1000" w:type="dxa"/>
            <w:shd w:val="clear" w:color="auto" w:fill="auto"/>
            <w:noWrap/>
            <w:vAlign w:val="bottom"/>
            <w:hideMark/>
          </w:tcPr>
          <w:p w:rsidR="00980A9B" w:rsidRPr="00980A9B" w:rsidRDefault="00980A9B" w:rsidP="00980A9B">
            <w:pPr>
              <w:spacing w:after="0" w:line="240" w:lineRule="auto"/>
              <w:jc w:val="right"/>
              <w:rPr>
                <w:rFonts w:eastAsia="Times New Roman" w:cs="Times New Roman"/>
                <w:color w:val="00B050"/>
                <w:sz w:val="22"/>
              </w:rPr>
            </w:pPr>
            <w:r w:rsidRPr="00980A9B">
              <w:rPr>
                <w:rFonts w:eastAsia="Times New Roman" w:cs="Times New Roman"/>
                <w:color w:val="00B050"/>
                <w:sz w:val="22"/>
              </w:rPr>
              <w:t>3.07E-05</w:t>
            </w:r>
          </w:p>
        </w:tc>
        <w:tc>
          <w:tcPr>
            <w:tcW w:w="1000" w:type="dxa"/>
            <w:shd w:val="clear" w:color="auto" w:fill="auto"/>
            <w:noWrap/>
            <w:vAlign w:val="bottom"/>
            <w:hideMark/>
          </w:tcPr>
          <w:p w:rsidR="00980A9B" w:rsidRPr="00980A9B" w:rsidRDefault="00980A9B" w:rsidP="00980A9B">
            <w:pPr>
              <w:spacing w:after="0" w:line="240" w:lineRule="auto"/>
              <w:jc w:val="right"/>
              <w:rPr>
                <w:rFonts w:eastAsia="Times New Roman" w:cs="Times New Roman"/>
                <w:color w:val="00B050"/>
                <w:sz w:val="22"/>
              </w:rPr>
            </w:pPr>
            <w:r w:rsidRPr="00980A9B">
              <w:rPr>
                <w:rFonts w:eastAsia="Times New Roman" w:cs="Times New Roman"/>
                <w:color w:val="00B050"/>
                <w:sz w:val="22"/>
              </w:rPr>
              <w:t>2.77E-05</w:t>
            </w:r>
          </w:p>
        </w:tc>
        <w:tc>
          <w:tcPr>
            <w:tcW w:w="1000" w:type="dxa"/>
            <w:shd w:val="clear" w:color="auto" w:fill="auto"/>
            <w:noWrap/>
            <w:vAlign w:val="bottom"/>
            <w:hideMark/>
          </w:tcPr>
          <w:p w:rsidR="00980A9B" w:rsidRPr="00980A9B" w:rsidRDefault="00980A9B" w:rsidP="00980A9B">
            <w:pPr>
              <w:spacing w:after="0" w:line="240" w:lineRule="auto"/>
              <w:jc w:val="right"/>
              <w:rPr>
                <w:rFonts w:eastAsia="Times New Roman" w:cs="Times New Roman"/>
                <w:color w:val="00B050"/>
                <w:sz w:val="22"/>
              </w:rPr>
            </w:pPr>
            <w:r w:rsidRPr="00980A9B">
              <w:rPr>
                <w:rFonts w:eastAsia="Times New Roman" w:cs="Times New Roman"/>
                <w:color w:val="00B050"/>
                <w:sz w:val="22"/>
              </w:rPr>
              <w:t>2.25E-05</w:t>
            </w:r>
          </w:p>
        </w:tc>
      </w:tr>
    </w:tbl>
    <w:p w:rsidR="00980A9B" w:rsidRPr="00540D6C" w:rsidRDefault="00980A9B" w:rsidP="006036B1">
      <w:pPr>
        <w:jc w:val="both"/>
        <w:rPr>
          <w:rFonts w:cs="Times New Roman"/>
          <w:szCs w:val="24"/>
        </w:rPr>
      </w:pPr>
    </w:p>
    <w:p w:rsidR="006036B1" w:rsidRPr="00540D6C" w:rsidRDefault="006036B1" w:rsidP="003D098C">
      <w:pPr>
        <w:rPr>
          <w:rFonts w:cs="Times New Roman"/>
          <w:szCs w:val="24"/>
        </w:rPr>
      </w:pPr>
      <w:r w:rsidRPr="00540D6C">
        <w:rPr>
          <w:rFonts w:cs="Times New Roman"/>
          <w:noProof/>
          <w:szCs w:val="24"/>
        </w:rPr>
        <w:drawing>
          <wp:inline distT="0" distB="0" distL="0" distR="0" wp14:anchorId="1E8DAD4C" wp14:editId="3C3E06CA">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6036B1" w:rsidRPr="00540D6C" w:rsidRDefault="000A3E47" w:rsidP="006036B1">
      <w:pPr>
        <w:jc w:val="both"/>
        <w:rPr>
          <w:rFonts w:cs="Times New Roman"/>
          <w:szCs w:val="24"/>
        </w:rPr>
      </w:pPr>
      <w:r w:rsidRPr="00540D6C">
        <w:rPr>
          <w:rFonts w:cs="Times New Roman"/>
          <w:szCs w:val="24"/>
        </w:rPr>
        <w:t>Figure 18</w:t>
      </w:r>
      <w:r w:rsidR="006036B1" w:rsidRPr="00540D6C">
        <w:rPr>
          <w:rFonts w:cs="Times New Roman"/>
          <w:szCs w:val="24"/>
        </w:rPr>
        <w:t xml:space="preserve"> Comparative Hazard Index of Water and Sediments Samples</w:t>
      </w:r>
    </w:p>
    <w:p w:rsidR="007B1EA5" w:rsidRPr="00540D6C" w:rsidRDefault="007B1EA5" w:rsidP="007B1EA5">
      <w:pPr>
        <w:pStyle w:val="Default"/>
        <w:spacing w:line="360" w:lineRule="auto"/>
        <w:jc w:val="both"/>
        <w:rPr>
          <w:b/>
        </w:rPr>
      </w:pPr>
      <w:r w:rsidRPr="00540D6C">
        <w:rPr>
          <w:b/>
        </w:rPr>
        <w:t>Conclusion</w:t>
      </w:r>
    </w:p>
    <w:p w:rsidR="007B1EA5" w:rsidRPr="00540D6C" w:rsidRDefault="007B1EA5" w:rsidP="007B1EA5">
      <w:pPr>
        <w:pStyle w:val="Default"/>
        <w:spacing w:line="360" w:lineRule="auto"/>
        <w:jc w:val="both"/>
      </w:pPr>
      <w:r w:rsidRPr="00540D6C">
        <w:t>The study provided comprehensive environmental health risks posed by heavy metals in the water and sediments samples from Balanga Dam. The result showed that  effects of heavy metals  Hazard Index of Non-carcinogenic in heavy metals in  Water  range of Mn=2.75E-05 to Pb = 1.04E-06 indicated that all the heavy elements showed HI &gt;1 indicated adverse health risk effect sediments.</w:t>
      </w:r>
    </w:p>
    <w:p w:rsidR="007B1EA5" w:rsidRPr="00540D6C" w:rsidRDefault="007B1EA5" w:rsidP="007B1EA5">
      <w:pPr>
        <w:pStyle w:val="Default"/>
        <w:spacing w:line="360" w:lineRule="auto"/>
        <w:jc w:val="both"/>
      </w:pPr>
      <w:r w:rsidRPr="00540D6C">
        <w:t xml:space="preserve"> Hazard Index in Sediments range; Mn=2.52E-06 to </w:t>
      </w:r>
      <w:proofErr w:type="gramStart"/>
      <w:r w:rsidRPr="00540D6C">
        <w:t>As</w:t>
      </w:r>
      <w:proofErr w:type="gramEnd"/>
      <w:r w:rsidRPr="00540D6C">
        <w:t xml:space="preserve"> = 1.57E+07 also showed HI&gt;1 indicated adverse health risk effect in both water and Sediments simultaneously.</w:t>
      </w:r>
    </w:p>
    <w:p w:rsidR="007B1EA5" w:rsidRDefault="007B1EA5" w:rsidP="007B1EA5">
      <w:pPr>
        <w:pStyle w:val="Default"/>
        <w:spacing w:line="360" w:lineRule="auto"/>
        <w:jc w:val="both"/>
      </w:pPr>
      <w:r w:rsidRPr="00540D6C">
        <w:t>The pH values showed a range from W2 (pH = 6.86) slightly acidic to W4 (pH = 7.26) slightly alkaline. Sediment samples exhibited more acidic values, with S2 showing the highest acidity (pH = 5.40) and S4 exhibited highest alkalinity (pH = 6.85). Thus, water samples were slightly acidic while the sediment sample</w:t>
      </w:r>
      <w:r w:rsidR="006B7E20">
        <w:t>s</w:t>
      </w:r>
      <w:r w:rsidRPr="00540D6C">
        <w:t xml:space="preserve"> investigated are moderately alkaline.</w:t>
      </w:r>
      <w:r w:rsidR="006B7E20">
        <w:t xml:space="preserve"> All are </w:t>
      </w:r>
      <w:r w:rsidRPr="00540D6C">
        <w:t>within safe limits</w:t>
      </w:r>
      <w:r w:rsidR="006B7E20">
        <w:t xml:space="preserve"> while</w:t>
      </w:r>
      <w:r w:rsidRPr="00540D6C">
        <w:t xml:space="preserve"> non-carcinogenic effects, certain metals, particularly cadmium, arsenic, and </w:t>
      </w:r>
      <w:r w:rsidRPr="00540D6C">
        <w:lastRenderedPageBreak/>
        <w:t>chromium, are of concern due to their carcinogenic potential. T</w:t>
      </w:r>
      <w:r w:rsidR="00A87397" w:rsidRPr="00540D6C">
        <w:t>he study revealed that emphases</w:t>
      </w:r>
      <w:r w:rsidRPr="00540D6C">
        <w:t xml:space="preserve"> on minimal direct human and contact with contaminated water and sediment of Balanga Dam water. Daily dose may possessed high cancer risk of carcinogenic heavy metals and health risks of non- carcinogenic upon prolong dose of 35 years of exposure. </w:t>
      </w:r>
    </w:p>
    <w:p w:rsidR="00577C59" w:rsidRPr="00540D6C" w:rsidRDefault="00577C59" w:rsidP="007B1EA5">
      <w:pPr>
        <w:pStyle w:val="Default"/>
        <w:spacing w:line="360" w:lineRule="auto"/>
        <w:jc w:val="both"/>
      </w:pPr>
    </w:p>
    <w:p w:rsidR="00577C59" w:rsidRPr="00577C59" w:rsidRDefault="00577C59" w:rsidP="00577C59">
      <w:pPr>
        <w:jc w:val="both"/>
        <w:rPr>
          <w:rFonts w:cs="Times New Roman"/>
          <w:szCs w:val="24"/>
        </w:rPr>
      </w:pPr>
      <w:r w:rsidRPr="00577C59">
        <w:rPr>
          <w:rFonts w:cs="Times New Roman"/>
          <w:szCs w:val="24"/>
        </w:rPr>
        <w:t>Disclaimer (Artificial intelligence)</w:t>
      </w:r>
    </w:p>
    <w:p w:rsidR="00577C59" w:rsidRPr="00577C59" w:rsidRDefault="00577C59" w:rsidP="00577C59">
      <w:pPr>
        <w:jc w:val="both"/>
        <w:rPr>
          <w:rFonts w:cs="Times New Roman"/>
          <w:szCs w:val="24"/>
        </w:rPr>
      </w:pPr>
      <w:r w:rsidRPr="00577C59">
        <w:rPr>
          <w:rFonts w:cs="Times New Roman"/>
          <w:szCs w:val="24"/>
        </w:rPr>
        <w:t xml:space="preserve">Option 1: </w:t>
      </w:r>
    </w:p>
    <w:p w:rsidR="00577C59" w:rsidRPr="00577C59" w:rsidRDefault="00577C59" w:rsidP="00577C59">
      <w:pPr>
        <w:jc w:val="both"/>
        <w:rPr>
          <w:rFonts w:cs="Times New Roman"/>
          <w:szCs w:val="24"/>
        </w:rPr>
      </w:pPr>
      <w:r w:rsidRPr="00577C59">
        <w:rPr>
          <w:rFonts w:cs="Times New Roman"/>
          <w:szCs w:val="24"/>
        </w:rPr>
        <w:t>Author(s) hereby declare that NO generative AI technologies such as Large Language Models (</w:t>
      </w:r>
      <w:proofErr w:type="spellStart"/>
      <w:r w:rsidRPr="00577C59">
        <w:rPr>
          <w:rFonts w:cs="Times New Roman"/>
          <w:szCs w:val="24"/>
        </w:rPr>
        <w:t>ChatGPT</w:t>
      </w:r>
      <w:proofErr w:type="spellEnd"/>
      <w:r w:rsidRPr="00577C59">
        <w:rPr>
          <w:rFonts w:cs="Times New Roman"/>
          <w:szCs w:val="24"/>
        </w:rPr>
        <w:t xml:space="preserve">, COPILOT, etc.) and text-to-image generators </w:t>
      </w:r>
      <w:proofErr w:type="gramStart"/>
      <w:r w:rsidRPr="00577C59">
        <w:rPr>
          <w:rFonts w:cs="Times New Roman"/>
          <w:szCs w:val="24"/>
        </w:rPr>
        <w:t>have been used</w:t>
      </w:r>
      <w:proofErr w:type="gramEnd"/>
      <w:r w:rsidRPr="00577C59">
        <w:rPr>
          <w:rFonts w:cs="Times New Roman"/>
          <w:szCs w:val="24"/>
        </w:rPr>
        <w:t xml:space="preserve"> during the writing or editing of this manuscript. </w:t>
      </w:r>
    </w:p>
    <w:p w:rsidR="00577C59" w:rsidRPr="00577C59" w:rsidRDefault="00577C59" w:rsidP="00577C59">
      <w:pPr>
        <w:jc w:val="both"/>
        <w:rPr>
          <w:rFonts w:cs="Times New Roman"/>
          <w:szCs w:val="24"/>
        </w:rPr>
      </w:pPr>
      <w:r w:rsidRPr="00577C59">
        <w:rPr>
          <w:rFonts w:cs="Times New Roman"/>
          <w:szCs w:val="24"/>
        </w:rPr>
        <w:t xml:space="preserve">Option 2: </w:t>
      </w:r>
    </w:p>
    <w:p w:rsidR="00577C59" w:rsidRPr="00577C59" w:rsidRDefault="00577C59" w:rsidP="00577C59">
      <w:pPr>
        <w:jc w:val="both"/>
        <w:rPr>
          <w:rFonts w:cs="Times New Roman"/>
          <w:szCs w:val="24"/>
        </w:rPr>
      </w:pPr>
      <w:r w:rsidRPr="00577C59">
        <w:rPr>
          <w:rFonts w:cs="Times New Roman"/>
          <w:szCs w:val="24"/>
        </w:rPr>
        <w:t xml:space="preserve">Author(s) hereby declare that generative AI technologies such as Large Language Models, etc. </w:t>
      </w:r>
      <w:proofErr w:type="gramStart"/>
      <w:r w:rsidRPr="00577C59">
        <w:rPr>
          <w:rFonts w:cs="Times New Roman"/>
          <w:szCs w:val="24"/>
        </w:rPr>
        <w:t>have been used</w:t>
      </w:r>
      <w:proofErr w:type="gramEnd"/>
      <w:r w:rsidRPr="00577C59">
        <w:rPr>
          <w:rFonts w:cs="Times New Roman"/>
          <w:szCs w:val="24"/>
        </w:rPr>
        <w:t xml:space="preserve"> during the writing or editing of manuscripts. This explanation will include the name, version, model, and source of the generative AI technology and as well as all input prompts provided to the generative AI technology</w:t>
      </w:r>
    </w:p>
    <w:p w:rsidR="00577C59" w:rsidRPr="00577C59" w:rsidRDefault="00577C59" w:rsidP="00577C59">
      <w:pPr>
        <w:jc w:val="both"/>
        <w:rPr>
          <w:rFonts w:cs="Times New Roman"/>
          <w:szCs w:val="24"/>
        </w:rPr>
      </w:pPr>
      <w:r w:rsidRPr="00577C59">
        <w:rPr>
          <w:rFonts w:cs="Times New Roman"/>
          <w:szCs w:val="24"/>
        </w:rPr>
        <w:t xml:space="preserve">Details of the AI usage </w:t>
      </w:r>
      <w:proofErr w:type="gramStart"/>
      <w:r w:rsidRPr="00577C59">
        <w:rPr>
          <w:rFonts w:cs="Times New Roman"/>
          <w:szCs w:val="24"/>
        </w:rPr>
        <w:t>are given</w:t>
      </w:r>
      <w:proofErr w:type="gramEnd"/>
      <w:r w:rsidRPr="00577C59">
        <w:rPr>
          <w:rFonts w:cs="Times New Roman"/>
          <w:szCs w:val="24"/>
        </w:rPr>
        <w:t xml:space="preserve"> below:</w:t>
      </w:r>
    </w:p>
    <w:p w:rsidR="00577C59" w:rsidRPr="00577C59" w:rsidRDefault="00577C59" w:rsidP="00577C59">
      <w:pPr>
        <w:jc w:val="both"/>
        <w:rPr>
          <w:rFonts w:cs="Times New Roman"/>
          <w:szCs w:val="24"/>
        </w:rPr>
      </w:pPr>
      <w:r w:rsidRPr="00577C59">
        <w:rPr>
          <w:rFonts w:cs="Times New Roman"/>
          <w:szCs w:val="24"/>
        </w:rPr>
        <w:t>1.</w:t>
      </w:r>
    </w:p>
    <w:p w:rsidR="00577C59" w:rsidRPr="00577C59" w:rsidRDefault="00577C59" w:rsidP="00577C59">
      <w:pPr>
        <w:jc w:val="both"/>
        <w:rPr>
          <w:rFonts w:cs="Times New Roman"/>
          <w:szCs w:val="24"/>
        </w:rPr>
      </w:pPr>
      <w:r w:rsidRPr="00577C59">
        <w:rPr>
          <w:rFonts w:cs="Times New Roman"/>
          <w:szCs w:val="24"/>
        </w:rPr>
        <w:t>2.</w:t>
      </w:r>
    </w:p>
    <w:p w:rsidR="0045135F" w:rsidRPr="00540D6C" w:rsidRDefault="00577C59" w:rsidP="00577C59">
      <w:pPr>
        <w:jc w:val="both"/>
        <w:rPr>
          <w:rFonts w:cs="Times New Roman"/>
          <w:szCs w:val="24"/>
        </w:rPr>
      </w:pPr>
      <w:r w:rsidRPr="00577C59">
        <w:rPr>
          <w:rFonts w:cs="Times New Roman"/>
          <w:szCs w:val="24"/>
        </w:rPr>
        <w:t>3.</w:t>
      </w:r>
    </w:p>
    <w:p w:rsidR="0045135F" w:rsidRPr="00540D6C" w:rsidRDefault="0045135F" w:rsidP="00A80813">
      <w:pPr>
        <w:jc w:val="both"/>
        <w:rPr>
          <w:rFonts w:cs="Times New Roman"/>
          <w:b/>
          <w:szCs w:val="24"/>
        </w:rPr>
      </w:pPr>
      <w:r w:rsidRPr="00540D6C">
        <w:rPr>
          <w:rFonts w:cs="Times New Roman"/>
          <w:b/>
          <w:szCs w:val="24"/>
        </w:rPr>
        <w:t>References</w:t>
      </w:r>
    </w:p>
    <w:p w:rsidR="00F13CD3" w:rsidRDefault="00F13CD3" w:rsidP="00325209">
      <w:pPr>
        <w:spacing w:before="240" w:line="240" w:lineRule="auto"/>
        <w:ind w:left="720" w:hanging="720"/>
        <w:jc w:val="both"/>
        <w:rPr>
          <w:rFonts w:cs="Times New Roman"/>
          <w:szCs w:val="24"/>
        </w:rPr>
      </w:pPr>
      <w:r w:rsidRPr="00540D6C">
        <w:rPr>
          <w:rFonts w:cs="Times New Roman"/>
          <w:szCs w:val="24"/>
        </w:rPr>
        <w:t xml:space="preserve">Ahmed, S., Rasul, M.G., Brown, R., </w:t>
      </w:r>
      <w:proofErr w:type="spellStart"/>
      <w:r w:rsidRPr="00540D6C">
        <w:rPr>
          <w:rFonts w:cs="Times New Roman"/>
          <w:szCs w:val="24"/>
        </w:rPr>
        <w:t>Hashib</w:t>
      </w:r>
      <w:proofErr w:type="spellEnd"/>
      <w:r w:rsidRPr="00540D6C">
        <w:rPr>
          <w:rFonts w:cs="Times New Roman"/>
          <w:szCs w:val="24"/>
        </w:rPr>
        <w:t xml:space="preserve">, M.A. </w:t>
      </w:r>
      <w:r w:rsidR="007E4441" w:rsidRPr="00540D6C">
        <w:rPr>
          <w:rFonts w:cs="Times New Roman"/>
          <w:szCs w:val="24"/>
        </w:rPr>
        <w:t>(</w:t>
      </w:r>
      <w:r w:rsidRPr="00540D6C">
        <w:rPr>
          <w:rFonts w:cs="Times New Roman"/>
          <w:szCs w:val="24"/>
        </w:rPr>
        <w:t>2011</w:t>
      </w:r>
      <w:r w:rsidR="007E4441" w:rsidRPr="00540D6C">
        <w:rPr>
          <w:rFonts w:cs="Times New Roman"/>
          <w:szCs w:val="24"/>
        </w:rPr>
        <w:t>)</w:t>
      </w:r>
      <w:r w:rsidRPr="00540D6C">
        <w:rPr>
          <w:rFonts w:cs="Times New Roman"/>
          <w:szCs w:val="24"/>
        </w:rPr>
        <w:t>. Influence of parameters on the heterogeneous photocatalytic degradation of pesticides and phenolic contamination in wastewater: a short review. </w:t>
      </w:r>
      <w:r w:rsidRPr="00BB2F1D">
        <w:rPr>
          <w:rFonts w:cs="Times New Roman"/>
          <w:i/>
          <w:color w:val="00B050"/>
          <w:szCs w:val="24"/>
        </w:rPr>
        <w:t>Journal of Environmental Management, </w:t>
      </w:r>
      <w:r w:rsidRPr="00BB2F1D">
        <w:rPr>
          <w:rFonts w:cs="Times New Roman"/>
          <w:color w:val="00B050"/>
          <w:szCs w:val="24"/>
        </w:rPr>
        <w:t>92(3), 311–330.</w:t>
      </w:r>
    </w:p>
    <w:p w:rsidR="00677B92" w:rsidRPr="00A916A4" w:rsidRDefault="005F3664" w:rsidP="00325209">
      <w:pPr>
        <w:spacing w:before="240" w:line="240" w:lineRule="auto"/>
        <w:ind w:left="720" w:hanging="720"/>
        <w:jc w:val="both"/>
        <w:rPr>
          <w:rFonts w:cs="Times New Roman"/>
          <w:color w:val="00B050"/>
          <w:szCs w:val="24"/>
        </w:rPr>
      </w:pPr>
      <w:r w:rsidRPr="00A916A4">
        <w:rPr>
          <w:color w:val="00B050"/>
        </w:rPr>
        <w:t>Afrifa</w:t>
      </w:r>
      <w:r w:rsidR="00BB2F1D" w:rsidRPr="00A916A4">
        <w:rPr>
          <w:color w:val="00B050"/>
        </w:rPr>
        <w:t xml:space="preserve"> C.G</w:t>
      </w:r>
      <w:r w:rsidRPr="00A916A4">
        <w:rPr>
          <w:color w:val="00B050"/>
        </w:rPr>
        <w:t>, F. G. Ofosu</w:t>
      </w:r>
      <w:r w:rsidR="00BB2F1D" w:rsidRPr="00A916A4">
        <w:rPr>
          <w:color w:val="00B050"/>
        </w:rPr>
        <w:t xml:space="preserve"> F. G,</w:t>
      </w:r>
      <w:r w:rsidRPr="00A916A4">
        <w:rPr>
          <w:color w:val="00B050"/>
        </w:rPr>
        <w:t xml:space="preserve"> Bamford</w:t>
      </w:r>
      <w:r w:rsidR="00BB2F1D" w:rsidRPr="00A916A4">
        <w:rPr>
          <w:color w:val="00B050"/>
        </w:rPr>
        <w:t xml:space="preserve"> S. A,</w:t>
      </w:r>
      <w:r w:rsidRPr="00A916A4">
        <w:rPr>
          <w:color w:val="00B050"/>
        </w:rPr>
        <w:t xml:space="preserve"> </w:t>
      </w:r>
      <w:proofErr w:type="spellStart"/>
      <w:r w:rsidRPr="00A916A4">
        <w:rPr>
          <w:color w:val="00B050"/>
        </w:rPr>
        <w:t>Atiemo</w:t>
      </w:r>
      <w:proofErr w:type="spellEnd"/>
      <w:r w:rsidR="00BB2F1D" w:rsidRPr="00A916A4">
        <w:rPr>
          <w:color w:val="00B050"/>
        </w:rPr>
        <w:t xml:space="preserve"> S. M, </w:t>
      </w:r>
      <w:r w:rsidRPr="00A916A4">
        <w:rPr>
          <w:color w:val="00B050"/>
        </w:rPr>
        <w:t xml:space="preserve"> Aboh</w:t>
      </w:r>
      <w:r w:rsidR="00BB2F1D" w:rsidRPr="00A916A4">
        <w:rPr>
          <w:color w:val="00B050"/>
        </w:rPr>
        <w:t xml:space="preserve"> I J. K</w:t>
      </w:r>
      <w:r w:rsidRPr="00A916A4">
        <w:rPr>
          <w:color w:val="00B050"/>
        </w:rPr>
        <w:t>,</w:t>
      </w:r>
      <w:r w:rsidR="00BB2F1D" w:rsidRPr="00A916A4">
        <w:rPr>
          <w:color w:val="00B050"/>
        </w:rPr>
        <w:t xml:space="preserve"> </w:t>
      </w:r>
      <w:r w:rsidRPr="00A916A4">
        <w:rPr>
          <w:color w:val="00B050"/>
        </w:rPr>
        <w:t xml:space="preserve"> </w:t>
      </w:r>
      <w:proofErr w:type="spellStart"/>
      <w:r w:rsidRPr="00A916A4">
        <w:rPr>
          <w:color w:val="00B050"/>
        </w:rPr>
        <w:t>Gyampo</w:t>
      </w:r>
      <w:proofErr w:type="spellEnd"/>
      <w:r w:rsidR="00BB2F1D" w:rsidRPr="00A916A4">
        <w:rPr>
          <w:color w:val="00B050"/>
        </w:rPr>
        <w:t xml:space="preserve"> O, </w:t>
      </w:r>
      <w:r w:rsidRPr="00A916A4">
        <w:rPr>
          <w:color w:val="00B050"/>
        </w:rPr>
        <w:t xml:space="preserve"> </w:t>
      </w:r>
      <w:proofErr w:type="spellStart"/>
      <w:r w:rsidRPr="00A916A4">
        <w:rPr>
          <w:color w:val="00B050"/>
        </w:rPr>
        <w:t>Ahiamadjie</w:t>
      </w:r>
      <w:proofErr w:type="spellEnd"/>
      <w:r w:rsidR="00BB2F1D" w:rsidRPr="00A916A4">
        <w:rPr>
          <w:color w:val="00B050"/>
        </w:rPr>
        <w:t xml:space="preserve"> H, </w:t>
      </w:r>
      <w:proofErr w:type="spellStart"/>
      <w:r w:rsidRPr="00A916A4">
        <w:rPr>
          <w:color w:val="00B050"/>
        </w:rPr>
        <w:t>Adeti</w:t>
      </w:r>
      <w:proofErr w:type="spellEnd"/>
      <w:r w:rsidR="00BB2F1D" w:rsidRPr="00A916A4">
        <w:rPr>
          <w:color w:val="00B050"/>
        </w:rPr>
        <w:t xml:space="preserve"> J. P,</w:t>
      </w:r>
      <w:r w:rsidRPr="00A916A4">
        <w:rPr>
          <w:color w:val="00B050"/>
        </w:rPr>
        <w:t xml:space="preserve"> Arthur</w:t>
      </w:r>
      <w:r w:rsidR="00BB2F1D" w:rsidRPr="00A916A4">
        <w:rPr>
          <w:color w:val="00B050"/>
        </w:rPr>
        <w:t xml:space="preserve"> J. K(2015).</w:t>
      </w:r>
      <w:r w:rsidR="00677B92" w:rsidRPr="00A916A4">
        <w:rPr>
          <w:color w:val="00B050"/>
        </w:rPr>
        <w:t>Health Risk Assessment of Heavy Metal Exposure from Soil Dust at Selected Fuel Filling Stations in Accra</w:t>
      </w:r>
      <w:r w:rsidRPr="00A916A4">
        <w:rPr>
          <w:color w:val="00B050"/>
        </w:rPr>
        <w:t xml:space="preserve">. </w:t>
      </w:r>
      <w:r w:rsidRPr="00A916A4">
        <w:rPr>
          <w:i/>
          <w:color w:val="00B050"/>
        </w:rPr>
        <w:t xml:space="preserve">International Journal of Science and Technology </w:t>
      </w:r>
      <w:r w:rsidRPr="00A916A4">
        <w:rPr>
          <w:color w:val="00B050"/>
        </w:rPr>
        <w:t>Volume 4 No. 7</w:t>
      </w:r>
      <w:proofErr w:type="gramStart"/>
      <w:r w:rsidRPr="00A916A4">
        <w:rPr>
          <w:color w:val="00B050"/>
        </w:rPr>
        <w:t xml:space="preserve">, </w:t>
      </w:r>
      <w:r w:rsidR="00831471">
        <w:rPr>
          <w:color w:val="00B050"/>
        </w:rPr>
        <w:t xml:space="preserve"> p289</w:t>
      </w:r>
      <w:proofErr w:type="gramEnd"/>
      <w:r w:rsidR="00831471">
        <w:rPr>
          <w:color w:val="00B050"/>
        </w:rPr>
        <w:t xml:space="preserve">-296 </w:t>
      </w:r>
      <w:r w:rsidR="00AB1EF7">
        <w:rPr>
          <w:color w:val="00B050"/>
        </w:rPr>
        <w:t xml:space="preserve">.ISSN;2047-7318 </w:t>
      </w:r>
      <w:r w:rsidR="00677B92" w:rsidRPr="00A916A4">
        <w:rPr>
          <w:color w:val="00B050"/>
        </w:rPr>
        <w:t xml:space="preserve"> </w:t>
      </w:r>
    </w:p>
    <w:p w:rsidR="00012106" w:rsidRPr="00540D6C" w:rsidRDefault="00012106" w:rsidP="00325209">
      <w:pPr>
        <w:spacing w:before="240" w:line="240" w:lineRule="auto"/>
        <w:ind w:left="720" w:hanging="720"/>
        <w:jc w:val="both"/>
        <w:rPr>
          <w:rFonts w:cs="Times New Roman"/>
          <w:szCs w:val="24"/>
        </w:rPr>
      </w:pPr>
      <w:r w:rsidRPr="00540D6C">
        <w:rPr>
          <w:rFonts w:cs="Times New Roman"/>
          <w:szCs w:val="24"/>
        </w:rPr>
        <w:t xml:space="preserve">Anyanwu E.D., Adetunji, O.G., and Nwoke, O.B. </w:t>
      </w:r>
      <w:r w:rsidR="007E4441" w:rsidRPr="00540D6C">
        <w:rPr>
          <w:rFonts w:cs="Times New Roman"/>
          <w:szCs w:val="24"/>
        </w:rPr>
        <w:t>(</w:t>
      </w:r>
      <w:r w:rsidRPr="00540D6C">
        <w:rPr>
          <w:rFonts w:cs="Times New Roman"/>
          <w:szCs w:val="24"/>
        </w:rPr>
        <w:t>2022a</w:t>
      </w:r>
      <w:r w:rsidR="007E4441" w:rsidRPr="00540D6C">
        <w:rPr>
          <w:rFonts w:cs="Times New Roman"/>
          <w:szCs w:val="24"/>
        </w:rPr>
        <w:t>)</w:t>
      </w:r>
      <w:r w:rsidRPr="00540D6C">
        <w:rPr>
          <w:rFonts w:cs="Times New Roman"/>
          <w:szCs w:val="24"/>
        </w:rPr>
        <w:t xml:space="preserve">. Heavy metal content of water in </w:t>
      </w:r>
      <w:proofErr w:type="spellStart"/>
      <w:r w:rsidRPr="00540D6C">
        <w:rPr>
          <w:rFonts w:cs="Times New Roman"/>
          <w:szCs w:val="24"/>
        </w:rPr>
        <w:t>Ikwu</w:t>
      </w:r>
      <w:proofErr w:type="spellEnd"/>
      <w:r w:rsidRPr="00540D6C">
        <w:rPr>
          <w:rFonts w:cs="Times New Roman"/>
          <w:szCs w:val="24"/>
        </w:rPr>
        <w:t xml:space="preserve"> River (</w:t>
      </w:r>
      <w:proofErr w:type="spellStart"/>
      <w:r w:rsidRPr="00540D6C">
        <w:rPr>
          <w:rFonts w:cs="Times New Roman"/>
          <w:szCs w:val="24"/>
        </w:rPr>
        <w:t>Umuahia</w:t>
      </w:r>
      <w:proofErr w:type="spellEnd"/>
      <w:r w:rsidRPr="00540D6C">
        <w:rPr>
          <w:rFonts w:cs="Times New Roman"/>
          <w:szCs w:val="24"/>
        </w:rPr>
        <w:t xml:space="preserve">, Nigeria): pollution indices and health risk assessment approach. Acta Aquatica Turcica, 18(3): 345-358. </w:t>
      </w:r>
      <w:hyperlink r:id="rId28" w:history="1">
        <w:r w:rsidRPr="00540D6C">
          <w:rPr>
            <w:rStyle w:val="Hyperlink"/>
            <w:rFonts w:cs="Times New Roman"/>
            <w:szCs w:val="24"/>
          </w:rPr>
          <w:t>https://doi.org/10.22392/actaquatr.1060806</w:t>
        </w:r>
      </w:hyperlink>
      <w:r w:rsidRPr="00540D6C">
        <w:rPr>
          <w:rFonts w:cs="Times New Roman"/>
          <w:szCs w:val="24"/>
        </w:rPr>
        <w:t>.</w:t>
      </w:r>
    </w:p>
    <w:p w:rsidR="00325209" w:rsidRPr="00540D6C" w:rsidRDefault="00325209" w:rsidP="00325209">
      <w:pPr>
        <w:spacing w:before="240" w:line="240" w:lineRule="auto"/>
        <w:ind w:left="720" w:hanging="720"/>
        <w:jc w:val="both"/>
        <w:rPr>
          <w:rFonts w:cs="Times New Roman"/>
          <w:szCs w:val="24"/>
        </w:rPr>
      </w:pPr>
      <w:r w:rsidRPr="00540D6C">
        <w:rPr>
          <w:rFonts w:cs="Times New Roman"/>
          <w:szCs w:val="24"/>
        </w:rPr>
        <w:lastRenderedPageBreak/>
        <w:t xml:space="preserve">Bai, J., Cui, B., Chen, B., Zhang, K., Deng, W., Gao, H., and Xiao, R. (2011). Spatial distribution and ecological risk assessment of heavy metals in surface sediments from a typical plateau lake wetland, China, Ecological Modelling, 222 (2): 301. </w:t>
      </w:r>
      <w:hyperlink r:id="rId29" w:history="1">
        <w:r w:rsidRPr="00540D6C">
          <w:rPr>
            <w:rStyle w:val="Hyperlink"/>
            <w:rFonts w:cs="Times New Roman"/>
            <w:szCs w:val="24"/>
          </w:rPr>
          <w:t>https://doi.org/10.1016/j.ecolmodel.2009.12.002</w:t>
        </w:r>
      </w:hyperlink>
      <w:r w:rsidRPr="00540D6C">
        <w:rPr>
          <w:rFonts w:cs="Times New Roman"/>
          <w:szCs w:val="24"/>
        </w:rPr>
        <w:t>.</w:t>
      </w:r>
    </w:p>
    <w:p w:rsidR="00595EC0" w:rsidRDefault="00595EC0" w:rsidP="00595EC0">
      <w:pPr>
        <w:autoSpaceDE w:val="0"/>
        <w:autoSpaceDN w:val="0"/>
        <w:adjustRightInd w:val="0"/>
        <w:spacing w:after="0" w:line="240" w:lineRule="auto"/>
        <w:ind w:left="630" w:hanging="630"/>
        <w:jc w:val="both"/>
        <w:rPr>
          <w:rFonts w:eastAsia="Times New Roman" w:cs="Times New Roman"/>
          <w:szCs w:val="24"/>
        </w:rPr>
      </w:pPr>
      <w:proofErr w:type="spellStart"/>
      <w:r w:rsidRPr="00540D6C">
        <w:rPr>
          <w:rFonts w:cs="Times New Roman"/>
          <w:szCs w:val="24"/>
        </w:rPr>
        <w:t>Caspah</w:t>
      </w:r>
      <w:proofErr w:type="spellEnd"/>
      <w:r w:rsidRPr="00540D6C">
        <w:rPr>
          <w:rFonts w:cs="Times New Roman"/>
          <w:szCs w:val="24"/>
        </w:rPr>
        <w:t xml:space="preserve"> </w:t>
      </w:r>
      <w:proofErr w:type="spellStart"/>
      <w:r w:rsidRPr="00540D6C">
        <w:rPr>
          <w:rFonts w:cs="Times New Roman"/>
          <w:szCs w:val="24"/>
        </w:rPr>
        <w:t>Kamunda</w:t>
      </w:r>
      <w:proofErr w:type="spellEnd"/>
      <w:r w:rsidRPr="00540D6C">
        <w:rPr>
          <w:rFonts w:cs="Times New Roman"/>
          <w:szCs w:val="24"/>
        </w:rPr>
        <w:t xml:space="preserve">, Manny </w:t>
      </w:r>
      <w:proofErr w:type="spellStart"/>
      <w:r w:rsidRPr="00540D6C">
        <w:rPr>
          <w:rFonts w:cs="Times New Roman"/>
          <w:szCs w:val="24"/>
        </w:rPr>
        <w:t>Mathuthu</w:t>
      </w:r>
      <w:proofErr w:type="spellEnd"/>
      <w:r w:rsidRPr="00540D6C">
        <w:rPr>
          <w:rFonts w:cs="Times New Roman"/>
          <w:szCs w:val="24"/>
        </w:rPr>
        <w:t xml:space="preserve"> and Morgan Madhuku (2016). Health Risk Assessment of Heavy metals in soil from Witwatersrand Gold mine basin </w:t>
      </w:r>
      <w:proofErr w:type="spellStart"/>
      <w:r w:rsidRPr="00540D6C">
        <w:rPr>
          <w:rFonts w:cs="Times New Roman"/>
          <w:szCs w:val="24"/>
        </w:rPr>
        <w:t>SouthAfrica</w:t>
      </w:r>
      <w:proofErr w:type="spellEnd"/>
      <w:r w:rsidRPr="00540D6C">
        <w:rPr>
          <w:rFonts w:cs="Times New Roman"/>
          <w:szCs w:val="24"/>
        </w:rPr>
        <w:t xml:space="preserve">. Intern. Journal of Environ. Res. Public Health </w:t>
      </w:r>
      <w:r w:rsidRPr="00540D6C">
        <w:rPr>
          <w:rFonts w:eastAsia="Times New Roman" w:cs="Times New Roman"/>
          <w:szCs w:val="24"/>
        </w:rPr>
        <w:t>13(7): 663.doi:  [</w:t>
      </w:r>
      <w:hyperlink r:id="rId30" w:tgtFrame="pmc_ext" w:history="1">
        <w:r w:rsidRPr="00540D6C">
          <w:rPr>
            <w:rFonts w:eastAsia="Times New Roman" w:cs="Times New Roman"/>
            <w:szCs w:val="24"/>
          </w:rPr>
          <w:t>10.3390/ijerph13070663</w:t>
        </w:r>
      </w:hyperlink>
      <w:r w:rsidRPr="00540D6C">
        <w:rPr>
          <w:rFonts w:eastAsia="Times New Roman" w:cs="Times New Roman"/>
          <w:szCs w:val="24"/>
        </w:rPr>
        <w:t>] PMCID: PMC4962204 PMID: 27376316</w:t>
      </w:r>
    </w:p>
    <w:p w:rsidR="00006E3A" w:rsidRDefault="00006E3A" w:rsidP="00595EC0">
      <w:pPr>
        <w:autoSpaceDE w:val="0"/>
        <w:autoSpaceDN w:val="0"/>
        <w:adjustRightInd w:val="0"/>
        <w:spacing w:after="0" w:line="240" w:lineRule="auto"/>
        <w:ind w:left="630" w:hanging="630"/>
        <w:jc w:val="both"/>
        <w:rPr>
          <w:rFonts w:eastAsia="Times New Roman" w:cs="Times New Roman"/>
          <w:szCs w:val="24"/>
        </w:rPr>
      </w:pPr>
    </w:p>
    <w:p w:rsidR="00006E3A" w:rsidRPr="007C4C33" w:rsidRDefault="00006E3A" w:rsidP="00595EC0">
      <w:pPr>
        <w:autoSpaceDE w:val="0"/>
        <w:autoSpaceDN w:val="0"/>
        <w:adjustRightInd w:val="0"/>
        <w:spacing w:after="0" w:line="240" w:lineRule="auto"/>
        <w:ind w:left="630" w:hanging="630"/>
        <w:jc w:val="both"/>
        <w:rPr>
          <w:rFonts w:cs="Times New Roman"/>
          <w:color w:val="00B050"/>
          <w:szCs w:val="24"/>
        </w:rPr>
      </w:pPr>
      <w:proofErr w:type="spellStart"/>
      <w:r w:rsidRPr="007C4C33">
        <w:rPr>
          <w:color w:val="00B050"/>
        </w:rPr>
        <w:t>Faleye</w:t>
      </w:r>
      <w:proofErr w:type="spellEnd"/>
      <w:r w:rsidRPr="007C4C33">
        <w:rPr>
          <w:color w:val="00B050"/>
        </w:rPr>
        <w:t xml:space="preserve">, B. R., Ajibade, O. M., Babatunde, O. E. and </w:t>
      </w:r>
      <w:proofErr w:type="spellStart"/>
      <w:r w:rsidRPr="007C4C33">
        <w:rPr>
          <w:color w:val="00B050"/>
        </w:rPr>
        <w:t>Erharhaghen</w:t>
      </w:r>
      <w:proofErr w:type="spellEnd"/>
      <w:r w:rsidRPr="007C4C33">
        <w:rPr>
          <w:color w:val="00B050"/>
        </w:rPr>
        <w:t xml:space="preserve"> S. E</w:t>
      </w:r>
      <w:proofErr w:type="gramStart"/>
      <w:r w:rsidRPr="007C4C33">
        <w:rPr>
          <w:color w:val="00B050"/>
        </w:rPr>
        <w:t>.(</w:t>
      </w:r>
      <w:proofErr w:type="gramEnd"/>
      <w:r w:rsidRPr="007C4C33">
        <w:rPr>
          <w:color w:val="00B050"/>
        </w:rPr>
        <w:t>2024). Assessment of Heavy Metal Contamination in Water around Industrial Layout, Sagamu, Ogun State, Nigeria. FUDMA Journal of Sciences (FJS) ISSN online: 2616-1370 ISSN print: 2645 - 2944 Vol. 8 No. 5, October, 2024, pp 61 - 68 8 DOI: https://doi.org/10.33003/fjs-2024-0805-2668</w:t>
      </w:r>
    </w:p>
    <w:p w:rsidR="00377F8A" w:rsidRPr="00540D6C" w:rsidRDefault="00377F8A" w:rsidP="00377F8A">
      <w:pPr>
        <w:spacing w:before="240" w:line="240" w:lineRule="auto"/>
        <w:ind w:left="720" w:hanging="720"/>
        <w:jc w:val="both"/>
        <w:rPr>
          <w:rFonts w:cs="Times New Roman"/>
          <w:szCs w:val="24"/>
        </w:rPr>
      </w:pPr>
      <w:r w:rsidRPr="00540D6C">
        <w:rPr>
          <w:rFonts w:cs="Times New Roman"/>
          <w:szCs w:val="24"/>
        </w:rPr>
        <w:t xml:space="preserve">Huang, Z., Zhao, W., Xu, T., Zheng, B., and Yin, D. (2019). Occurrence and distribution of antibiotic resistance genes in the water and sediments of </w:t>
      </w:r>
      <w:proofErr w:type="spellStart"/>
      <w:r w:rsidRPr="00540D6C">
        <w:rPr>
          <w:rFonts w:cs="Times New Roman"/>
          <w:szCs w:val="24"/>
        </w:rPr>
        <w:t>Qingcaosha</w:t>
      </w:r>
      <w:proofErr w:type="spellEnd"/>
      <w:r w:rsidRPr="00540D6C">
        <w:rPr>
          <w:rFonts w:cs="Times New Roman"/>
          <w:szCs w:val="24"/>
        </w:rPr>
        <w:t xml:space="preserve"> Reservoir, Shanghai. China. Environmental Sciences Europe, 31: 1–9. https://doi.org/10.1186/s12302-019- 0265-2.</w:t>
      </w:r>
    </w:p>
    <w:p w:rsidR="00012106" w:rsidRDefault="00012106" w:rsidP="00012106">
      <w:pPr>
        <w:spacing w:before="240" w:line="240" w:lineRule="auto"/>
        <w:ind w:left="720" w:hanging="720"/>
        <w:jc w:val="both"/>
        <w:rPr>
          <w:rFonts w:cs="Times New Roman"/>
          <w:szCs w:val="24"/>
        </w:rPr>
      </w:pPr>
      <w:r w:rsidRPr="00540D6C">
        <w:rPr>
          <w:rFonts w:cs="Times New Roman"/>
          <w:szCs w:val="24"/>
        </w:rPr>
        <w:t xml:space="preserve">Kumar, V., Sharma, A., Pandita, S., Bhardwaj, R., Thukral, A.K., and Cerda, A. </w:t>
      </w:r>
      <w:r w:rsidR="007E4441" w:rsidRPr="00540D6C">
        <w:rPr>
          <w:rFonts w:cs="Times New Roman"/>
          <w:szCs w:val="24"/>
        </w:rPr>
        <w:t>(</w:t>
      </w:r>
      <w:r w:rsidRPr="00540D6C">
        <w:rPr>
          <w:rFonts w:cs="Times New Roman"/>
          <w:szCs w:val="24"/>
        </w:rPr>
        <w:t>2020</w:t>
      </w:r>
      <w:r w:rsidR="007E4441" w:rsidRPr="00540D6C">
        <w:rPr>
          <w:rFonts w:cs="Times New Roman"/>
          <w:szCs w:val="24"/>
        </w:rPr>
        <w:t>)</w:t>
      </w:r>
      <w:r w:rsidRPr="00540D6C">
        <w:rPr>
          <w:rFonts w:cs="Times New Roman"/>
          <w:szCs w:val="24"/>
        </w:rPr>
        <w:t xml:space="preserve">. A review of ecological risk assessment and associated health risks with heavy metals in sediment from India. International Journal of Sediment Research. </w:t>
      </w:r>
      <w:hyperlink r:id="rId31" w:history="1">
        <w:r w:rsidRPr="00540D6C">
          <w:rPr>
            <w:rStyle w:val="Hyperlink"/>
            <w:rFonts w:cs="Times New Roman"/>
            <w:szCs w:val="24"/>
          </w:rPr>
          <w:t>https://doi.org/10.1016/j.ijsrc.2020.03.012</w:t>
        </w:r>
      </w:hyperlink>
      <w:r w:rsidRPr="00540D6C">
        <w:rPr>
          <w:rFonts w:cs="Times New Roman"/>
          <w:szCs w:val="24"/>
        </w:rPr>
        <w:t>.</w:t>
      </w:r>
    </w:p>
    <w:p w:rsidR="000F0A44" w:rsidRPr="000F0A44" w:rsidRDefault="000F0A44" w:rsidP="000F0A44">
      <w:pPr>
        <w:spacing w:after="200" w:line="240" w:lineRule="auto"/>
        <w:ind w:left="720" w:hanging="720"/>
        <w:jc w:val="both"/>
        <w:rPr>
          <w:rFonts w:cs="Times New Roman"/>
          <w:b/>
          <w:sz w:val="20"/>
          <w:szCs w:val="20"/>
        </w:rPr>
      </w:pPr>
      <w:proofErr w:type="spellStart"/>
      <w:r w:rsidRPr="000F0A44">
        <w:rPr>
          <w:rFonts w:cs="Times New Roman"/>
          <w:szCs w:val="24"/>
        </w:rPr>
        <w:t>Modibbo</w:t>
      </w:r>
      <w:proofErr w:type="spellEnd"/>
      <w:r w:rsidRPr="000F0A44">
        <w:rPr>
          <w:rFonts w:cs="Times New Roman"/>
          <w:szCs w:val="24"/>
        </w:rPr>
        <w:t xml:space="preserve"> U </w:t>
      </w:r>
      <w:proofErr w:type="spellStart"/>
      <w:r w:rsidRPr="000F0A44">
        <w:rPr>
          <w:rFonts w:cs="Times New Roman"/>
          <w:szCs w:val="24"/>
        </w:rPr>
        <w:t>U</w:t>
      </w:r>
      <w:proofErr w:type="spellEnd"/>
      <w:r w:rsidRPr="000F0A44">
        <w:rPr>
          <w:rFonts w:cs="Times New Roman"/>
          <w:szCs w:val="24"/>
        </w:rPr>
        <w:t xml:space="preserve">, Hassan </w:t>
      </w:r>
      <w:proofErr w:type="spellStart"/>
      <w:r w:rsidRPr="000F0A44">
        <w:rPr>
          <w:rFonts w:cs="Times New Roman"/>
          <w:szCs w:val="24"/>
        </w:rPr>
        <w:t>Andekun</w:t>
      </w:r>
      <w:proofErr w:type="spellEnd"/>
      <w:r w:rsidRPr="000F0A44">
        <w:rPr>
          <w:rFonts w:cs="Times New Roman"/>
          <w:szCs w:val="24"/>
        </w:rPr>
        <w:t xml:space="preserve"> Andrew, and</w:t>
      </w:r>
      <w:r w:rsidRPr="000F0A44">
        <w:rPr>
          <w:rFonts w:cs="Times New Roman"/>
          <w:b/>
          <w:szCs w:val="24"/>
        </w:rPr>
        <w:t xml:space="preserve"> </w:t>
      </w:r>
      <w:r w:rsidRPr="000F0A44">
        <w:rPr>
          <w:rFonts w:cs="Times New Roman"/>
          <w:szCs w:val="24"/>
        </w:rPr>
        <w:t>Usman Y. M</w:t>
      </w:r>
      <w:r w:rsidRPr="000F0A44">
        <w:rPr>
          <w:rFonts w:cs="Times New Roman"/>
          <w:b/>
          <w:szCs w:val="24"/>
        </w:rPr>
        <w:t xml:space="preserve">. </w:t>
      </w:r>
      <w:r w:rsidRPr="000F0A44">
        <w:rPr>
          <w:rFonts w:cs="Times New Roman"/>
          <w:szCs w:val="24"/>
        </w:rPr>
        <w:t>(2024)</w:t>
      </w:r>
      <w:r w:rsidRPr="000F0A44">
        <w:rPr>
          <w:rFonts w:cs="Times New Roman"/>
          <w:b/>
          <w:szCs w:val="24"/>
        </w:rPr>
        <w:t>.</w:t>
      </w:r>
      <w:r w:rsidRPr="0047441F">
        <w:t xml:space="preserve"> </w:t>
      </w:r>
      <w:r w:rsidRPr="000F0A44">
        <w:rPr>
          <w:rFonts w:cs="Times New Roman"/>
          <w:szCs w:val="24"/>
        </w:rPr>
        <w:t xml:space="preserve">Prevalence of Some Heavy Metals, Physicochemical Parameters and Pesticide Residues in Water and Soil of River </w:t>
      </w:r>
      <w:proofErr w:type="spellStart"/>
      <w:r w:rsidRPr="000F0A44">
        <w:rPr>
          <w:rFonts w:cs="Times New Roman"/>
          <w:szCs w:val="24"/>
        </w:rPr>
        <w:t>Nukkai</w:t>
      </w:r>
      <w:proofErr w:type="spellEnd"/>
      <w:r w:rsidRPr="000F0A44">
        <w:rPr>
          <w:rFonts w:cs="Times New Roman"/>
          <w:szCs w:val="24"/>
        </w:rPr>
        <w:t xml:space="preserve"> </w:t>
      </w:r>
      <w:proofErr w:type="spellStart"/>
      <w:r w:rsidRPr="000F0A44">
        <w:rPr>
          <w:rFonts w:cs="Times New Roman"/>
          <w:szCs w:val="24"/>
        </w:rPr>
        <w:t>Jalingo</w:t>
      </w:r>
      <w:proofErr w:type="spellEnd"/>
      <w:r w:rsidRPr="000F0A44">
        <w:rPr>
          <w:rFonts w:cs="Times New Roman"/>
          <w:szCs w:val="24"/>
        </w:rPr>
        <w:t xml:space="preserve"> Taraba</w:t>
      </w:r>
      <w:r w:rsidRPr="000F0A44">
        <w:rPr>
          <w:rFonts w:cs="Times New Roman"/>
          <w:b/>
          <w:szCs w:val="24"/>
        </w:rPr>
        <w:t xml:space="preserve"> </w:t>
      </w:r>
      <w:r w:rsidRPr="000F0A44">
        <w:rPr>
          <w:rFonts w:cs="Times New Roman"/>
          <w:szCs w:val="24"/>
        </w:rPr>
        <w:t>State</w:t>
      </w:r>
      <w:r w:rsidRPr="000F0A44">
        <w:rPr>
          <w:rFonts w:cs="Times New Roman"/>
          <w:b/>
          <w:szCs w:val="24"/>
        </w:rPr>
        <w:t xml:space="preserve"> </w:t>
      </w:r>
      <w:r w:rsidRPr="000F0A44">
        <w:rPr>
          <w:rFonts w:cs="Times New Roman"/>
          <w:szCs w:val="24"/>
        </w:rPr>
        <w:t xml:space="preserve">Nigeria. </w:t>
      </w:r>
      <w:r w:rsidRPr="000F0A44">
        <w:rPr>
          <w:rFonts w:cs="Times New Roman"/>
          <w:i/>
          <w:szCs w:val="24"/>
        </w:rPr>
        <w:t xml:space="preserve">Bima Journal of Science and Technology </w:t>
      </w:r>
      <w:r>
        <w:t xml:space="preserve">Vol. </w:t>
      </w:r>
      <w:r w:rsidRPr="000F0A44">
        <w:rPr>
          <w:rFonts w:cs="Times New Roman"/>
          <w:szCs w:val="24"/>
        </w:rPr>
        <w:t>8(3B) p132-151 Oct, 2024 ISSN DOI: 10.56892/bima.v8i3B.845</w:t>
      </w:r>
    </w:p>
    <w:p w:rsidR="005A7CA5" w:rsidRDefault="005A7CA5" w:rsidP="003A0F10">
      <w:pPr>
        <w:spacing w:line="240" w:lineRule="auto"/>
        <w:ind w:left="720" w:hanging="720"/>
        <w:jc w:val="both"/>
      </w:pPr>
      <w:r w:rsidRPr="003A0F10">
        <w:rPr>
          <w:rFonts w:cs="Times New Roman"/>
          <w:szCs w:val="24"/>
        </w:rPr>
        <w:t xml:space="preserve">Sadique A. B, Al- </w:t>
      </w:r>
      <w:proofErr w:type="spellStart"/>
      <w:r w:rsidRPr="003A0F10">
        <w:rPr>
          <w:rFonts w:cs="Times New Roman"/>
          <w:szCs w:val="24"/>
        </w:rPr>
        <w:t>helal</w:t>
      </w:r>
      <w:proofErr w:type="spellEnd"/>
      <w:r w:rsidRPr="003A0F10">
        <w:rPr>
          <w:rFonts w:cs="Times New Roman"/>
          <w:szCs w:val="24"/>
        </w:rPr>
        <w:t xml:space="preserve"> A. S, </w:t>
      </w:r>
      <w:proofErr w:type="spellStart"/>
      <w:r w:rsidRPr="003A0F10">
        <w:rPr>
          <w:rFonts w:cs="Times New Roman"/>
          <w:szCs w:val="24"/>
        </w:rPr>
        <w:t>Patindol</w:t>
      </w:r>
      <w:proofErr w:type="spellEnd"/>
      <w:r w:rsidRPr="003A0F10">
        <w:rPr>
          <w:rFonts w:cs="Times New Roman"/>
          <w:szCs w:val="24"/>
        </w:rPr>
        <w:t xml:space="preserve"> T. N, </w:t>
      </w:r>
      <w:proofErr w:type="spellStart"/>
      <w:r w:rsidRPr="003A0F10">
        <w:rPr>
          <w:rFonts w:cs="Times New Roman"/>
          <w:szCs w:val="24"/>
        </w:rPr>
        <w:t>Lumanoa</w:t>
      </w:r>
      <w:proofErr w:type="spellEnd"/>
      <w:r w:rsidRPr="003A0F10">
        <w:rPr>
          <w:rFonts w:cs="Times New Roman"/>
          <w:szCs w:val="24"/>
        </w:rPr>
        <w:t xml:space="preserve"> D. </w:t>
      </w:r>
      <w:proofErr w:type="gramStart"/>
      <w:r w:rsidRPr="003A0F10">
        <w:rPr>
          <w:rFonts w:cs="Times New Roman"/>
          <w:szCs w:val="24"/>
        </w:rPr>
        <w:t>M(</w:t>
      </w:r>
      <w:proofErr w:type="gramEnd"/>
      <w:r w:rsidRPr="003A0F10">
        <w:rPr>
          <w:rFonts w:cs="Times New Roman"/>
          <w:szCs w:val="24"/>
        </w:rPr>
        <w:t xml:space="preserve">2025).Assessment Heavy metals contamination and Ecology risk in Urban river sediment a case study from Lyte Philippines. </w:t>
      </w:r>
      <w:proofErr w:type="gramStart"/>
      <w:r>
        <w:t>Pollutants  1</w:t>
      </w:r>
      <w:proofErr w:type="gramEnd"/>
      <w:r>
        <w:t>-32 2025, 5, 7. https://doi.org/10.3390/ pollutants5010007</w:t>
      </w:r>
    </w:p>
    <w:p w:rsidR="005A7CA5" w:rsidRPr="001178E3" w:rsidRDefault="005A7CA5" w:rsidP="001178E3">
      <w:pPr>
        <w:spacing w:line="240" w:lineRule="auto"/>
        <w:ind w:left="720" w:hanging="720"/>
        <w:jc w:val="both"/>
        <w:rPr>
          <w:rFonts w:cs="Times New Roman"/>
          <w:szCs w:val="24"/>
        </w:rPr>
      </w:pPr>
      <w:proofErr w:type="spellStart"/>
      <w:r w:rsidRPr="001178E3">
        <w:rPr>
          <w:rFonts w:cs="Times New Roman"/>
          <w:szCs w:val="24"/>
        </w:rPr>
        <w:t>Saheh</w:t>
      </w:r>
      <w:proofErr w:type="spellEnd"/>
      <w:r w:rsidRPr="001178E3">
        <w:rPr>
          <w:rFonts w:cs="Times New Roman"/>
          <w:szCs w:val="24"/>
        </w:rPr>
        <w:t xml:space="preserve">  M S, </w:t>
      </w:r>
      <w:proofErr w:type="spellStart"/>
      <w:r w:rsidRPr="001178E3">
        <w:rPr>
          <w:rFonts w:cs="Times New Roman"/>
          <w:szCs w:val="24"/>
        </w:rPr>
        <w:t>Mahk</w:t>
      </w:r>
      <w:proofErr w:type="spellEnd"/>
      <w:r w:rsidRPr="001178E3">
        <w:rPr>
          <w:rFonts w:cs="Times New Roman"/>
          <w:szCs w:val="24"/>
        </w:rPr>
        <w:t xml:space="preserve"> Naim </w:t>
      </w:r>
      <w:proofErr w:type="spellStart"/>
      <w:r w:rsidRPr="001178E3">
        <w:rPr>
          <w:rFonts w:cs="Times New Roman"/>
          <w:szCs w:val="24"/>
        </w:rPr>
        <w:t>Hossen</w:t>
      </w:r>
      <w:proofErr w:type="spellEnd"/>
      <w:r w:rsidRPr="001178E3">
        <w:rPr>
          <w:rFonts w:cs="Times New Roman"/>
          <w:szCs w:val="24"/>
        </w:rPr>
        <w:t xml:space="preserve">   M S, </w:t>
      </w:r>
      <w:proofErr w:type="spellStart"/>
      <w:r w:rsidRPr="001178E3">
        <w:rPr>
          <w:rFonts w:cs="Times New Roman"/>
          <w:szCs w:val="24"/>
        </w:rPr>
        <w:t>Paranta</w:t>
      </w:r>
      <w:proofErr w:type="spellEnd"/>
      <w:r w:rsidRPr="001178E3">
        <w:rPr>
          <w:rFonts w:cs="Times New Roman"/>
          <w:szCs w:val="24"/>
        </w:rPr>
        <w:t xml:space="preserve"> M A (2025).Multi- Compartmental Risk Assessment Heavy metals contamination in soil plant and waste water a model from  Industrial Gazipur  Bangladesh. Environ Monit Assess (2025) 197:397 1-23. SPRINGER (2025) 197:397 https://doi.org/10.1007/s10661-025-13818-9</w:t>
      </w:r>
    </w:p>
    <w:p w:rsidR="001178E3" w:rsidRPr="000A71BE" w:rsidRDefault="005A7CA5" w:rsidP="000A71BE">
      <w:pPr>
        <w:spacing w:line="240" w:lineRule="auto"/>
        <w:ind w:left="720" w:hanging="720"/>
        <w:jc w:val="both"/>
        <w:rPr>
          <w:rFonts w:cs="Times New Roman"/>
          <w:color w:val="00B050"/>
          <w:szCs w:val="24"/>
          <w:lang w:val="en-GB"/>
        </w:rPr>
      </w:pPr>
      <w:r w:rsidRPr="001A4394">
        <w:rPr>
          <w:rFonts w:cs="Times New Roman"/>
          <w:color w:val="00B050"/>
          <w:kern w:val="2"/>
          <w:szCs w:val="24"/>
          <w:shd w:val="clear" w:color="auto" w:fill="FFFFFF"/>
          <w:lang w:val="en-IN"/>
        </w:rPr>
        <w:t xml:space="preserve">Sultana M. S, Rana S, Yamazaki S, Aono T, Yoshida S. (2017).Health risk assessment for carcinogenic and non-carcinogenic heavy metal exposures from vegetables and fruits of Bangladesh. </w:t>
      </w:r>
      <w:r w:rsidRPr="001A4394">
        <w:rPr>
          <w:rFonts w:cs="Times New Roman"/>
          <w:i/>
          <w:color w:val="00B050"/>
          <w:kern w:val="2"/>
          <w:szCs w:val="24"/>
          <w:shd w:val="clear" w:color="auto" w:fill="FFFFFF"/>
          <w:lang w:val="en-IN"/>
        </w:rPr>
        <w:t>Cogent Environmental Science</w:t>
      </w:r>
      <w:r w:rsidRPr="001A4394">
        <w:rPr>
          <w:rFonts w:cs="Times New Roman"/>
          <w:color w:val="00B050"/>
          <w:kern w:val="2"/>
          <w:szCs w:val="24"/>
          <w:shd w:val="clear" w:color="auto" w:fill="FFFFFF"/>
          <w:lang w:val="en-IN"/>
        </w:rPr>
        <w:t>. 2017 Jan 1;3(1):1291107.</w:t>
      </w:r>
    </w:p>
    <w:p w:rsidR="0072278A" w:rsidRPr="00540D6C" w:rsidRDefault="0072278A" w:rsidP="0072278A">
      <w:pPr>
        <w:spacing w:before="240" w:line="240" w:lineRule="auto"/>
        <w:ind w:left="720" w:hanging="720"/>
        <w:jc w:val="both"/>
        <w:rPr>
          <w:rFonts w:cs="Times New Roman"/>
          <w:szCs w:val="24"/>
        </w:rPr>
      </w:pPr>
      <w:r w:rsidRPr="00540D6C">
        <w:rPr>
          <w:rFonts w:cs="Times New Roman"/>
          <w:szCs w:val="24"/>
        </w:rPr>
        <w:t xml:space="preserve">Taka A. L., Pillay, K., </w:t>
      </w:r>
      <w:proofErr w:type="spellStart"/>
      <w:r w:rsidRPr="00540D6C">
        <w:rPr>
          <w:rFonts w:cs="Times New Roman"/>
          <w:szCs w:val="24"/>
        </w:rPr>
        <w:t>Mbianda</w:t>
      </w:r>
      <w:proofErr w:type="spellEnd"/>
      <w:r w:rsidRPr="00540D6C">
        <w:rPr>
          <w:rFonts w:cs="Times New Roman"/>
          <w:szCs w:val="24"/>
        </w:rPr>
        <w:t xml:space="preserve">, X.Y. </w:t>
      </w:r>
      <w:r w:rsidR="007E4441" w:rsidRPr="00540D6C">
        <w:rPr>
          <w:rFonts w:cs="Times New Roman"/>
          <w:szCs w:val="24"/>
        </w:rPr>
        <w:t>(</w:t>
      </w:r>
      <w:r w:rsidRPr="00540D6C">
        <w:rPr>
          <w:rFonts w:cs="Times New Roman"/>
          <w:szCs w:val="24"/>
        </w:rPr>
        <w:t>2017</w:t>
      </w:r>
      <w:r w:rsidR="007E4441" w:rsidRPr="00540D6C">
        <w:rPr>
          <w:rFonts w:cs="Times New Roman"/>
          <w:szCs w:val="24"/>
        </w:rPr>
        <w:t>)</w:t>
      </w:r>
      <w:r w:rsidRPr="00540D6C">
        <w:rPr>
          <w:rFonts w:cs="Times New Roman"/>
          <w:szCs w:val="24"/>
        </w:rPr>
        <w:t xml:space="preserve">. </w:t>
      </w:r>
      <w:proofErr w:type="spellStart"/>
      <w:r w:rsidRPr="00540D6C">
        <w:rPr>
          <w:rFonts w:cs="Times New Roman"/>
          <w:szCs w:val="24"/>
        </w:rPr>
        <w:t>Nanosponge</w:t>
      </w:r>
      <w:proofErr w:type="spellEnd"/>
      <w:r w:rsidRPr="00540D6C">
        <w:rPr>
          <w:rFonts w:cs="Times New Roman"/>
          <w:szCs w:val="24"/>
        </w:rPr>
        <w:t xml:space="preserve"> </w:t>
      </w:r>
      <w:proofErr w:type="spellStart"/>
      <w:r w:rsidRPr="00540D6C">
        <w:rPr>
          <w:rFonts w:cs="Times New Roman"/>
          <w:szCs w:val="24"/>
        </w:rPr>
        <w:t>cyclodextrin</w:t>
      </w:r>
      <w:proofErr w:type="spellEnd"/>
      <w:r w:rsidRPr="00540D6C">
        <w:rPr>
          <w:rFonts w:cs="Times New Roman"/>
          <w:szCs w:val="24"/>
        </w:rPr>
        <w:t xml:space="preserve"> polyurethanes and their modification with </w:t>
      </w:r>
      <w:proofErr w:type="spellStart"/>
      <w:r w:rsidRPr="00540D6C">
        <w:rPr>
          <w:rFonts w:cs="Times New Roman"/>
          <w:szCs w:val="24"/>
        </w:rPr>
        <w:t>nanomaterialsfor</w:t>
      </w:r>
      <w:proofErr w:type="spellEnd"/>
      <w:r w:rsidRPr="00540D6C">
        <w:rPr>
          <w:rFonts w:cs="Times New Roman"/>
          <w:szCs w:val="24"/>
        </w:rPr>
        <w:t xml:space="preserve"> the removal of pollutants from waste water: A review. Carbohydrate Polymers, 159, 94–107.</w:t>
      </w:r>
    </w:p>
    <w:p w:rsidR="00CE7299" w:rsidRPr="00540D6C" w:rsidRDefault="00CE7299" w:rsidP="00CE7299">
      <w:pPr>
        <w:autoSpaceDE w:val="0"/>
        <w:autoSpaceDN w:val="0"/>
        <w:adjustRightInd w:val="0"/>
        <w:spacing w:after="0" w:line="240" w:lineRule="auto"/>
        <w:ind w:left="630" w:hanging="630"/>
        <w:jc w:val="both"/>
        <w:rPr>
          <w:rFonts w:cs="Times New Roman"/>
          <w:szCs w:val="24"/>
        </w:rPr>
      </w:pPr>
      <w:r w:rsidRPr="00540D6C">
        <w:rPr>
          <w:rFonts w:cs="Times New Roman"/>
          <w:szCs w:val="24"/>
        </w:rPr>
        <w:t>USEPA (2011). Regulatory Impact Analysis. Final National Ambient Air Quality Standard for Ozone. US Environmental Protection Agency Office of Air and Radiation. Office of Air Quality Planning and Standard</w:t>
      </w:r>
    </w:p>
    <w:p w:rsidR="00CE7299" w:rsidRPr="00540D6C" w:rsidRDefault="00CE7299" w:rsidP="00CE7299">
      <w:pPr>
        <w:autoSpaceDE w:val="0"/>
        <w:autoSpaceDN w:val="0"/>
        <w:adjustRightInd w:val="0"/>
        <w:spacing w:after="0" w:line="240" w:lineRule="auto"/>
        <w:ind w:left="630" w:hanging="630"/>
        <w:jc w:val="both"/>
        <w:rPr>
          <w:rFonts w:cs="Times New Roman"/>
          <w:szCs w:val="24"/>
        </w:rPr>
      </w:pPr>
    </w:p>
    <w:p w:rsidR="00F80D58" w:rsidRPr="00540D6C" w:rsidRDefault="00F80D58" w:rsidP="00F80D58">
      <w:pPr>
        <w:shd w:val="clear" w:color="auto" w:fill="FFFFFF"/>
        <w:spacing w:after="200" w:line="240" w:lineRule="auto"/>
        <w:ind w:left="720" w:hanging="720"/>
        <w:jc w:val="both"/>
        <w:rPr>
          <w:rFonts w:cs="Times New Roman"/>
          <w:szCs w:val="24"/>
        </w:rPr>
      </w:pPr>
      <w:r w:rsidRPr="00540D6C">
        <w:rPr>
          <w:rFonts w:cs="Times New Roman"/>
          <w:szCs w:val="24"/>
        </w:rPr>
        <w:lastRenderedPageBreak/>
        <w:t>Usman Y. M</w:t>
      </w:r>
      <w:r w:rsidRPr="00540D6C">
        <w:rPr>
          <w:rFonts w:cs="Times New Roman"/>
          <w:b/>
          <w:szCs w:val="24"/>
        </w:rPr>
        <w:t>,</w:t>
      </w:r>
      <w:r w:rsidRPr="00540D6C">
        <w:rPr>
          <w:rFonts w:cs="Times New Roman"/>
          <w:szCs w:val="24"/>
        </w:rPr>
        <w:t xml:space="preserve"> </w:t>
      </w:r>
      <w:proofErr w:type="spellStart"/>
      <w:r w:rsidRPr="00540D6C">
        <w:rPr>
          <w:rFonts w:cs="Times New Roman"/>
          <w:szCs w:val="24"/>
        </w:rPr>
        <w:t>Pantami</w:t>
      </w:r>
      <w:proofErr w:type="spellEnd"/>
      <w:r w:rsidRPr="00540D6C">
        <w:rPr>
          <w:rFonts w:cs="Times New Roman"/>
          <w:szCs w:val="24"/>
        </w:rPr>
        <w:t xml:space="preserve"> H. A.  </w:t>
      </w:r>
      <w:r w:rsidRPr="00540D6C">
        <w:rPr>
          <w:rFonts w:cs="Times New Roman"/>
          <w:bCs/>
          <w:szCs w:val="24"/>
        </w:rPr>
        <w:t xml:space="preserve"> </w:t>
      </w:r>
      <w:r w:rsidRPr="00540D6C">
        <w:rPr>
          <w:rFonts w:cs="Times New Roman"/>
          <w:szCs w:val="24"/>
        </w:rPr>
        <w:t>Asmau G, Abdulkadir. A (2022). Impact and Health Risk Assessment of Heavy metals on Contaminated Tomatoes (</w:t>
      </w:r>
      <w:proofErr w:type="spellStart"/>
      <w:r w:rsidRPr="00540D6C">
        <w:rPr>
          <w:rFonts w:cs="Times New Roman"/>
          <w:i/>
          <w:szCs w:val="24"/>
        </w:rPr>
        <w:t>Lycopersicum</w:t>
      </w:r>
      <w:proofErr w:type="spellEnd"/>
      <w:r w:rsidRPr="00540D6C">
        <w:rPr>
          <w:rFonts w:cs="Times New Roman"/>
          <w:i/>
          <w:szCs w:val="24"/>
        </w:rPr>
        <w:t xml:space="preserve"> </w:t>
      </w:r>
      <w:proofErr w:type="spellStart"/>
      <w:r w:rsidRPr="00540D6C">
        <w:rPr>
          <w:rFonts w:cs="Times New Roman"/>
          <w:i/>
          <w:szCs w:val="24"/>
        </w:rPr>
        <w:t>esculentum</w:t>
      </w:r>
      <w:proofErr w:type="spellEnd"/>
      <w:r w:rsidRPr="00540D6C">
        <w:rPr>
          <w:rFonts w:cs="Times New Roman"/>
          <w:szCs w:val="24"/>
        </w:rPr>
        <w:t>) Consumed in Gombe Metropolis. Scholars International Journal of Chemistry and Material Science (SIJCMS) Vol. 5 (2) p16-22 ISSN 2616-8669 (Print) DOI: 10.36348/sijcms.2022.v05i02.00X |ISSN 2617-6556 (Online) Scholars Middle East Publishers, Dubai, United Arab Emirates</w:t>
      </w:r>
    </w:p>
    <w:p w:rsidR="00F80D58" w:rsidRPr="00540D6C" w:rsidRDefault="00F80D58" w:rsidP="00F80D58">
      <w:pPr>
        <w:spacing w:after="200" w:line="240" w:lineRule="auto"/>
        <w:ind w:left="720" w:hanging="720"/>
        <w:jc w:val="both"/>
        <w:rPr>
          <w:rFonts w:cs="Times New Roman"/>
          <w:szCs w:val="24"/>
        </w:rPr>
      </w:pPr>
      <w:r w:rsidRPr="00540D6C">
        <w:rPr>
          <w:rFonts w:cs="Times New Roman"/>
          <w:szCs w:val="24"/>
        </w:rPr>
        <w:t>Usman Y. M., Nasiru Yahaya P, Modibbo U.U. (2020)</w:t>
      </w:r>
      <w:r w:rsidRPr="00540D6C">
        <w:rPr>
          <w:rFonts w:cs="Times New Roman"/>
          <w:b/>
          <w:szCs w:val="24"/>
        </w:rPr>
        <w:t xml:space="preserve">. </w:t>
      </w:r>
      <w:r w:rsidRPr="00540D6C">
        <w:rPr>
          <w:rFonts w:cs="Times New Roman"/>
          <w:szCs w:val="24"/>
        </w:rPr>
        <w:t xml:space="preserve">Health Risk Assessment on Humans by Contamination of Heavy metals in some edible Crops and Fish at Galena Mining area of </w:t>
      </w:r>
      <w:proofErr w:type="spellStart"/>
      <w:r w:rsidRPr="00540D6C">
        <w:rPr>
          <w:rFonts w:cs="Times New Roman"/>
          <w:szCs w:val="24"/>
        </w:rPr>
        <w:t>Nahuta</w:t>
      </w:r>
      <w:proofErr w:type="spellEnd"/>
      <w:r w:rsidRPr="00540D6C">
        <w:rPr>
          <w:rFonts w:cs="Times New Roman"/>
          <w:szCs w:val="24"/>
        </w:rPr>
        <w:t xml:space="preserve">, </w:t>
      </w:r>
      <w:proofErr w:type="spellStart"/>
      <w:r w:rsidRPr="00540D6C">
        <w:rPr>
          <w:rFonts w:cs="Times New Roman"/>
          <w:szCs w:val="24"/>
        </w:rPr>
        <w:t>Alkaleri</w:t>
      </w:r>
      <w:proofErr w:type="spellEnd"/>
      <w:r w:rsidRPr="00540D6C">
        <w:rPr>
          <w:rFonts w:cs="Times New Roman"/>
          <w:szCs w:val="24"/>
        </w:rPr>
        <w:t xml:space="preserve"> Local Government Area, Bauchi State, Nigeria. African Journal of Pure and Applied Chemistry Vol 14(3), pp42-50 ISSN NO: 1996-0840 July-September 2020. DOI: 10.5897/AJPAC2019.0814. Article Number: 56D137F6414</w:t>
      </w:r>
    </w:p>
    <w:p w:rsidR="00F80D58" w:rsidRPr="00540D6C" w:rsidRDefault="00F80D58" w:rsidP="0072278A">
      <w:pPr>
        <w:spacing w:before="240" w:line="240" w:lineRule="auto"/>
        <w:ind w:left="720" w:hanging="720"/>
        <w:jc w:val="both"/>
        <w:rPr>
          <w:rFonts w:cs="Times New Roman"/>
          <w:szCs w:val="24"/>
        </w:rPr>
      </w:pPr>
    </w:p>
    <w:p w:rsidR="00E30FE0" w:rsidRPr="00540D6C" w:rsidRDefault="00E30FE0">
      <w:pPr>
        <w:rPr>
          <w:rFonts w:cs="Times New Roman"/>
          <w:szCs w:val="24"/>
        </w:rPr>
      </w:pPr>
    </w:p>
    <w:sectPr w:rsidR="00E30FE0" w:rsidRPr="00540D6C" w:rsidSect="00E45DF6">
      <w:footerReference w:type="default" r:id="rId3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917" w:rsidRDefault="00E92917" w:rsidP="00CE4002">
      <w:pPr>
        <w:spacing w:after="0" w:line="240" w:lineRule="auto"/>
      </w:pPr>
      <w:r>
        <w:separator/>
      </w:r>
    </w:p>
  </w:endnote>
  <w:endnote w:type="continuationSeparator" w:id="0">
    <w:p w:rsidR="00E92917" w:rsidRDefault="00E92917" w:rsidP="00CE4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471" w:rsidRDefault="00831471">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E41DD8">
      <w:rPr>
        <w:caps/>
        <w:noProof/>
        <w:color w:val="5B9BD5" w:themeColor="accent1"/>
      </w:rPr>
      <w:t>18</w:t>
    </w:r>
    <w:r>
      <w:rPr>
        <w:caps/>
        <w:noProof/>
        <w:color w:val="5B9BD5" w:themeColor="accent1"/>
      </w:rPr>
      <w:fldChar w:fldCharType="end"/>
    </w:r>
  </w:p>
  <w:p w:rsidR="00831471" w:rsidRDefault="008314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917" w:rsidRDefault="00E92917" w:rsidP="00CE4002">
      <w:pPr>
        <w:spacing w:after="0" w:line="240" w:lineRule="auto"/>
      </w:pPr>
      <w:r>
        <w:separator/>
      </w:r>
    </w:p>
  </w:footnote>
  <w:footnote w:type="continuationSeparator" w:id="0">
    <w:p w:rsidR="00E92917" w:rsidRDefault="00E92917" w:rsidP="00CE40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B563A"/>
    <w:multiLevelType w:val="hybridMultilevel"/>
    <w:tmpl w:val="3F90F15A"/>
    <w:lvl w:ilvl="0" w:tplc="BEF0A62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D527FF"/>
    <w:multiLevelType w:val="hybridMultilevel"/>
    <w:tmpl w:val="53184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813"/>
    <w:rsid w:val="00006E3A"/>
    <w:rsid w:val="00012106"/>
    <w:rsid w:val="00033E28"/>
    <w:rsid w:val="00067A17"/>
    <w:rsid w:val="000751CD"/>
    <w:rsid w:val="0008385B"/>
    <w:rsid w:val="000A3E47"/>
    <w:rsid w:val="000A71BE"/>
    <w:rsid w:val="000B163C"/>
    <w:rsid w:val="000C0CDA"/>
    <w:rsid w:val="000C5100"/>
    <w:rsid w:val="000E4BF4"/>
    <w:rsid w:val="000F0A44"/>
    <w:rsid w:val="000F262B"/>
    <w:rsid w:val="000F6645"/>
    <w:rsid w:val="001145AE"/>
    <w:rsid w:val="001178E3"/>
    <w:rsid w:val="00161AF2"/>
    <w:rsid w:val="001A4394"/>
    <w:rsid w:val="001A597B"/>
    <w:rsid w:val="001B63C5"/>
    <w:rsid w:val="001C0390"/>
    <w:rsid w:val="001F3084"/>
    <w:rsid w:val="00201657"/>
    <w:rsid w:val="002177D6"/>
    <w:rsid w:val="00223A7E"/>
    <w:rsid w:val="002250E0"/>
    <w:rsid w:val="002371CC"/>
    <w:rsid w:val="002414E9"/>
    <w:rsid w:val="0025756F"/>
    <w:rsid w:val="00266252"/>
    <w:rsid w:val="0027126B"/>
    <w:rsid w:val="002B2C52"/>
    <w:rsid w:val="002B60EC"/>
    <w:rsid w:val="002C0CF8"/>
    <w:rsid w:val="00314BD5"/>
    <w:rsid w:val="00321102"/>
    <w:rsid w:val="00324A6E"/>
    <w:rsid w:val="00325209"/>
    <w:rsid w:val="0033720A"/>
    <w:rsid w:val="00337735"/>
    <w:rsid w:val="00344B72"/>
    <w:rsid w:val="00353318"/>
    <w:rsid w:val="0036309E"/>
    <w:rsid w:val="003665C8"/>
    <w:rsid w:val="00377F8A"/>
    <w:rsid w:val="003A0F10"/>
    <w:rsid w:val="003D098C"/>
    <w:rsid w:val="003E715C"/>
    <w:rsid w:val="004342D1"/>
    <w:rsid w:val="004430F7"/>
    <w:rsid w:val="0045135F"/>
    <w:rsid w:val="00465050"/>
    <w:rsid w:val="00485C3B"/>
    <w:rsid w:val="004869DE"/>
    <w:rsid w:val="004B7C75"/>
    <w:rsid w:val="004E46B3"/>
    <w:rsid w:val="00510666"/>
    <w:rsid w:val="00513A50"/>
    <w:rsid w:val="00540D6C"/>
    <w:rsid w:val="00563A2F"/>
    <w:rsid w:val="00576D14"/>
    <w:rsid w:val="00577C59"/>
    <w:rsid w:val="00581525"/>
    <w:rsid w:val="00595EC0"/>
    <w:rsid w:val="005A7CA5"/>
    <w:rsid w:val="005C0C07"/>
    <w:rsid w:val="005D1CE6"/>
    <w:rsid w:val="005D644F"/>
    <w:rsid w:val="005F28E1"/>
    <w:rsid w:val="005F3664"/>
    <w:rsid w:val="005F502C"/>
    <w:rsid w:val="005F5047"/>
    <w:rsid w:val="005F745A"/>
    <w:rsid w:val="006036B1"/>
    <w:rsid w:val="00612039"/>
    <w:rsid w:val="00637AA7"/>
    <w:rsid w:val="00647F6A"/>
    <w:rsid w:val="00661DEE"/>
    <w:rsid w:val="00677B92"/>
    <w:rsid w:val="006809E9"/>
    <w:rsid w:val="006869EA"/>
    <w:rsid w:val="00692890"/>
    <w:rsid w:val="006A196D"/>
    <w:rsid w:val="006A3FFC"/>
    <w:rsid w:val="006B21BA"/>
    <w:rsid w:val="006B7E20"/>
    <w:rsid w:val="006F645D"/>
    <w:rsid w:val="007129BD"/>
    <w:rsid w:val="0072278A"/>
    <w:rsid w:val="007321FB"/>
    <w:rsid w:val="007338CE"/>
    <w:rsid w:val="0074569F"/>
    <w:rsid w:val="00757271"/>
    <w:rsid w:val="0079284B"/>
    <w:rsid w:val="007A0A83"/>
    <w:rsid w:val="007A2303"/>
    <w:rsid w:val="007A487A"/>
    <w:rsid w:val="007B0B75"/>
    <w:rsid w:val="007B1EA5"/>
    <w:rsid w:val="007C4C33"/>
    <w:rsid w:val="007D369D"/>
    <w:rsid w:val="007E4441"/>
    <w:rsid w:val="007F79EB"/>
    <w:rsid w:val="008131FB"/>
    <w:rsid w:val="00831471"/>
    <w:rsid w:val="0083545B"/>
    <w:rsid w:val="00845351"/>
    <w:rsid w:val="008764FE"/>
    <w:rsid w:val="0089523A"/>
    <w:rsid w:val="008B1044"/>
    <w:rsid w:val="0091568A"/>
    <w:rsid w:val="009168FB"/>
    <w:rsid w:val="0092062F"/>
    <w:rsid w:val="00921164"/>
    <w:rsid w:val="00927ECF"/>
    <w:rsid w:val="00943E75"/>
    <w:rsid w:val="00963122"/>
    <w:rsid w:val="00980A9B"/>
    <w:rsid w:val="009953F0"/>
    <w:rsid w:val="009A74FA"/>
    <w:rsid w:val="009C6AF8"/>
    <w:rsid w:val="009E2F87"/>
    <w:rsid w:val="00A26326"/>
    <w:rsid w:val="00A37C29"/>
    <w:rsid w:val="00A40654"/>
    <w:rsid w:val="00A62D7B"/>
    <w:rsid w:val="00A67C21"/>
    <w:rsid w:val="00A74D3A"/>
    <w:rsid w:val="00A80813"/>
    <w:rsid w:val="00A84856"/>
    <w:rsid w:val="00A84A4D"/>
    <w:rsid w:val="00A87397"/>
    <w:rsid w:val="00A916A4"/>
    <w:rsid w:val="00AB1EF7"/>
    <w:rsid w:val="00AB2299"/>
    <w:rsid w:val="00AC6A82"/>
    <w:rsid w:val="00AE58AB"/>
    <w:rsid w:val="00B049E3"/>
    <w:rsid w:val="00B10634"/>
    <w:rsid w:val="00B14953"/>
    <w:rsid w:val="00B1592A"/>
    <w:rsid w:val="00B32104"/>
    <w:rsid w:val="00B4564B"/>
    <w:rsid w:val="00B57167"/>
    <w:rsid w:val="00B6480F"/>
    <w:rsid w:val="00B71B9E"/>
    <w:rsid w:val="00B757A1"/>
    <w:rsid w:val="00B77CE9"/>
    <w:rsid w:val="00BB13C0"/>
    <w:rsid w:val="00BB2F1D"/>
    <w:rsid w:val="00BF23EA"/>
    <w:rsid w:val="00C01241"/>
    <w:rsid w:val="00C05FA3"/>
    <w:rsid w:val="00C073EA"/>
    <w:rsid w:val="00C17FED"/>
    <w:rsid w:val="00C251B5"/>
    <w:rsid w:val="00C37749"/>
    <w:rsid w:val="00C65EBE"/>
    <w:rsid w:val="00C67B27"/>
    <w:rsid w:val="00C706DE"/>
    <w:rsid w:val="00C90E88"/>
    <w:rsid w:val="00C94D0E"/>
    <w:rsid w:val="00CC2310"/>
    <w:rsid w:val="00CC5F37"/>
    <w:rsid w:val="00CC7E31"/>
    <w:rsid w:val="00CD33B2"/>
    <w:rsid w:val="00CE4002"/>
    <w:rsid w:val="00CE7299"/>
    <w:rsid w:val="00D35F3C"/>
    <w:rsid w:val="00D7330E"/>
    <w:rsid w:val="00D775D9"/>
    <w:rsid w:val="00D80491"/>
    <w:rsid w:val="00D97856"/>
    <w:rsid w:val="00DA0C9D"/>
    <w:rsid w:val="00DA121E"/>
    <w:rsid w:val="00DA3D18"/>
    <w:rsid w:val="00DA7973"/>
    <w:rsid w:val="00DB5104"/>
    <w:rsid w:val="00DC09BE"/>
    <w:rsid w:val="00DC6D37"/>
    <w:rsid w:val="00DD6F62"/>
    <w:rsid w:val="00DD7CE5"/>
    <w:rsid w:val="00DE3367"/>
    <w:rsid w:val="00DF1791"/>
    <w:rsid w:val="00DF2A5A"/>
    <w:rsid w:val="00E060BC"/>
    <w:rsid w:val="00E14717"/>
    <w:rsid w:val="00E1477E"/>
    <w:rsid w:val="00E30FE0"/>
    <w:rsid w:val="00E41DD8"/>
    <w:rsid w:val="00E43499"/>
    <w:rsid w:val="00E45DF6"/>
    <w:rsid w:val="00E81D84"/>
    <w:rsid w:val="00E9282C"/>
    <w:rsid w:val="00E92917"/>
    <w:rsid w:val="00E93263"/>
    <w:rsid w:val="00EB526A"/>
    <w:rsid w:val="00ED7BDB"/>
    <w:rsid w:val="00EE0E23"/>
    <w:rsid w:val="00EE6180"/>
    <w:rsid w:val="00EF7663"/>
    <w:rsid w:val="00F13CD3"/>
    <w:rsid w:val="00F1418D"/>
    <w:rsid w:val="00F24FA1"/>
    <w:rsid w:val="00F50FFE"/>
    <w:rsid w:val="00F654C1"/>
    <w:rsid w:val="00F80D58"/>
    <w:rsid w:val="00F83BD5"/>
    <w:rsid w:val="00F85CB9"/>
    <w:rsid w:val="00FA5A7F"/>
    <w:rsid w:val="00FB349C"/>
    <w:rsid w:val="00FD0054"/>
    <w:rsid w:val="00FF0788"/>
    <w:rsid w:val="00FF4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0AF71"/>
  <w15:chartTrackingRefBased/>
  <w15:docId w15:val="{C2DA8D96-BF75-4DE5-A0F8-ADBA1DAAF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813"/>
    <w:pPr>
      <w:spacing w:line="360" w:lineRule="auto"/>
    </w:pPr>
    <w:rPr>
      <w:rFonts w:ascii="Times New Roman" w:eastAsia="Calibri" w:hAnsi="Times New Roman" w:cs="Arial"/>
      <w:sz w:val="24"/>
    </w:rPr>
  </w:style>
  <w:style w:type="paragraph" w:styleId="Heading1">
    <w:name w:val="heading 1"/>
    <w:basedOn w:val="Normal"/>
    <w:next w:val="Normal"/>
    <w:link w:val="Heading1Char"/>
    <w:uiPriority w:val="9"/>
    <w:qFormat/>
    <w:rsid w:val="00A80813"/>
    <w:pPr>
      <w:keepNext/>
      <w:keepLines/>
      <w:spacing w:before="240" w:after="0"/>
      <w:jc w:val="center"/>
      <w:outlineLvl w:val="0"/>
    </w:pPr>
    <w:rPr>
      <w:rFonts w:eastAsia="SimSun" w:cs="SimSun"/>
      <w:b/>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0813"/>
    <w:rPr>
      <w:rFonts w:ascii="Times New Roman" w:eastAsia="SimSun" w:hAnsi="Times New Roman" w:cs="SimSun"/>
      <w:b/>
      <w:sz w:val="24"/>
      <w:szCs w:val="32"/>
      <w:lang w:val="en-GB"/>
    </w:rPr>
  </w:style>
  <w:style w:type="character" w:styleId="Hyperlink">
    <w:name w:val="Hyperlink"/>
    <w:basedOn w:val="DefaultParagraphFont"/>
    <w:uiPriority w:val="99"/>
    <w:rsid w:val="00012106"/>
    <w:rPr>
      <w:color w:val="0563C1"/>
      <w:u w:val="single"/>
    </w:rPr>
  </w:style>
  <w:style w:type="paragraph" w:customStyle="1" w:styleId="Default">
    <w:name w:val="Default"/>
    <w:rsid w:val="006036B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CE40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002"/>
    <w:rPr>
      <w:rFonts w:ascii="Times New Roman" w:eastAsia="Calibri" w:hAnsi="Times New Roman" w:cs="Arial"/>
      <w:sz w:val="24"/>
    </w:rPr>
  </w:style>
  <w:style w:type="paragraph" w:styleId="Footer">
    <w:name w:val="footer"/>
    <w:basedOn w:val="Normal"/>
    <w:link w:val="FooterChar"/>
    <w:uiPriority w:val="99"/>
    <w:unhideWhenUsed/>
    <w:rsid w:val="00CE40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002"/>
    <w:rPr>
      <w:rFonts w:ascii="Times New Roman" w:eastAsia="Calibri" w:hAnsi="Times New Roman" w:cs="Arial"/>
      <w:sz w:val="24"/>
    </w:rPr>
  </w:style>
  <w:style w:type="paragraph" w:styleId="NoSpacing">
    <w:name w:val="No Spacing"/>
    <w:uiPriority w:val="1"/>
    <w:qFormat/>
    <w:rsid w:val="00161AF2"/>
    <w:pPr>
      <w:spacing w:after="0" w:line="240" w:lineRule="auto"/>
    </w:pPr>
    <w:rPr>
      <w:rFonts w:ascii="Times New Roman" w:eastAsia="Calibri" w:hAnsi="Times New Roman" w:cs="Arial"/>
      <w:sz w:val="24"/>
    </w:rPr>
  </w:style>
  <w:style w:type="paragraph" w:styleId="Title">
    <w:name w:val="Title"/>
    <w:basedOn w:val="Normal"/>
    <w:next w:val="Normal"/>
    <w:link w:val="TitleChar"/>
    <w:uiPriority w:val="10"/>
    <w:qFormat/>
    <w:rsid w:val="00D8049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04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0491"/>
    <w:pPr>
      <w:numPr>
        <w:ilvl w:val="1"/>
      </w:numPr>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D80491"/>
    <w:rPr>
      <w:rFonts w:eastAsiaTheme="minorEastAsia"/>
      <w:color w:val="5A5A5A" w:themeColor="text1" w:themeTint="A5"/>
      <w:spacing w:val="15"/>
    </w:rPr>
  </w:style>
  <w:style w:type="character" w:styleId="SubtleEmphasis">
    <w:name w:val="Subtle Emphasis"/>
    <w:basedOn w:val="DefaultParagraphFont"/>
    <w:uiPriority w:val="19"/>
    <w:qFormat/>
    <w:rsid w:val="00D80491"/>
    <w:rPr>
      <w:i/>
      <w:iCs/>
      <w:color w:val="404040" w:themeColor="text1" w:themeTint="BF"/>
    </w:rPr>
  </w:style>
  <w:style w:type="paragraph" w:styleId="ListParagraph">
    <w:name w:val="List Paragraph"/>
    <w:basedOn w:val="Normal"/>
    <w:uiPriority w:val="34"/>
    <w:qFormat/>
    <w:rsid w:val="001178E3"/>
    <w:pPr>
      <w:spacing w:line="259" w:lineRule="auto"/>
      <w:ind w:left="720"/>
      <w:contextualSpacing/>
    </w:pPr>
    <w:rPr>
      <w:rFonts w:asciiTheme="minorHAnsi" w:eastAsiaTheme="minorHAnsi" w:hAnsiTheme="minorHAnsi" w:cstheme="minorBidi"/>
      <w:sz w:val="22"/>
    </w:rPr>
  </w:style>
  <w:style w:type="paragraph" w:styleId="NormalWeb">
    <w:name w:val="Normal (Web)"/>
    <w:basedOn w:val="Normal"/>
    <w:uiPriority w:val="99"/>
    <w:unhideWhenUsed/>
    <w:rsid w:val="00DD6F62"/>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83749">
      <w:bodyDiv w:val="1"/>
      <w:marLeft w:val="0"/>
      <w:marRight w:val="0"/>
      <w:marTop w:val="0"/>
      <w:marBottom w:val="0"/>
      <w:divBdr>
        <w:top w:val="none" w:sz="0" w:space="0" w:color="auto"/>
        <w:left w:val="none" w:sz="0" w:space="0" w:color="auto"/>
        <w:bottom w:val="none" w:sz="0" w:space="0" w:color="auto"/>
        <w:right w:val="none" w:sz="0" w:space="0" w:color="auto"/>
      </w:divBdr>
    </w:div>
    <w:div w:id="778447627">
      <w:bodyDiv w:val="1"/>
      <w:marLeft w:val="0"/>
      <w:marRight w:val="0"/>
      <w:marTop w:val="0"/>
      <w:marBottom w:val="0"/>
      <w:divBdr>
        <w:top w:val="none" w:sz="0" w:space="0" w:color="auto"/>
        <w:left w:val="none" w:sz="0" w:space="0" w:color="auto"/>
        <w:bottom w:val="none" w:sz="0" w:space="0" w:color="auto"/>
        <w:right w:val="none" w:sz="0" w:space="0" w:color="auto"/>
      </w:divBdr>
    </w:div>
    <w:div w:id="1070467299">
      <w:bodyDiv w:val="1"/>
      <w:marLeft w:val="0"/>
      <w:marRight w:val="0"/>
      <w:marTop w:val="0"/>
      <w:marBottom w:val="0"/>
      <w:divBdr>
        <w:top w:val="none" w:sz="0" w:space="0" w:color="auto"/>
        <w:left w:val="none" w:sz="0" w:space="0" w:color="auto"/>
        <w:bottom w:val="none" w:sz="0" w:space="0" w:color="auto"/>
        <w:right w:val="none" w:sz="0" w:space="0" w:color="auto"/>
      </w:divBdr>
    </w:div>
    <w:div w:id="1315522730">
      <w:bodyDiv w:val="1"/>
      <w:marLeft w:val="0"/>
      <w:marRight w:val="0"/>
      <w:marTop w:val="0"/>
      <w:marBottom w:val="0"/>
      <w:divBdr>
        <w:top w:val="none" w:sz="0" w:space="0" w:color="auto"/>
        <w:left w:val="none" w:sz="0" w:space="0" w:color="auto"/>
        <w:bottom w:val="none" w:sz="0" w:space="0" w:color="auto"/>
        <w:right w:val="none" w:sz="0" w:space="0" w:color="auto"/>
      </w:divBdr>
    </w:div>
    <w:div w:id="1562324677">
      <w:bodyDiv w:val="1"/>
      <w:marLeft w:val="0"/>
      <w:marRight w:val="0"/>
      <w:marTop w:val="0"/>
      <w:marBottom w:val="0"/>
      <w:divBdr>
        <w:top w:val="none" w:sz="0" w:space="0" w:color="auto"/>
        <w:left w:val="none" w:sz="0" w:space="0" w:color="auto"/>
        <w:bottom w:val="none" w:sz="0" w:space="0" w:color="auto"/>
        <w:right w:val="none" w:sz="0" w:space="0" w:color="auto"/>
      </w:divBdr>
    </w:div>
    <w:div w:id="166011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 Type="http://schemas.openxmlformats.org/officeDocument/2006/relationships/settings" Target="settings.xml"/><Relationship Id="rId21" Type="http://schemas.openxmlformats.org/officeDocument/2006/relationships/chart" Target="charts/chart11.xm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hyperlink" Target="https://doi.org/10.1016/j.ecolmodel.2009.12.00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hyperlink" Target="https://doi.org/10.22392/actaquatr.1060806" TargetMode="External"/><Relationship Id="rId10" Type="http://schemas.openxmlformats.org/officeDocument/2006/relationships/image" Target="media/image4.png"/><Relationship Id="rId19" Type="http://schemas.openxmlformats.org/officeDocument/2006/relationships/chart" Target="charts/chart9.xml"/><Relationship Id="rId31" Type="http://schemas.openxmlformats.org/officeDocument/2006/relationships/hyperlink" Target="https://doi.org/10.1016/j.ijsrc.2020.03.012"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hyperlink" Target="https://dx.doi.org/10.3390%2Fijerph13070663" TargetMode="External"/><Relationship Id="rId8"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C:/Users/DELL/Desktop/Proj%202025/Isa%20Graph.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C:/Users/DELL/Desktop/Proj%202025/Isa%20Graph.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C:/Users/DELL/Desktop/Proj%202025/Isa%20Graph.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C:/Users/DELL/Desktop/Proj%202025/Isa%20Graph.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C:/Users/DELL/Desktop/Proj%202025/Isa%20Graph.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C:/Users/DELL/Desktop/Proj%202025/Isa%20Graph.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C:/Users/DELL/Desktop/Proj%202025/Isa%20Graph.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C:/Users/DELL/Desktop/Proj%202025/Isa%20Graph.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DELL\Desktop\Proj%202025\Isa%20Graph.xlsx" TargetMode="External"/><Relationship Id="rId2" Type="http://schemas.microsoft.com/office/2011/relationships/chartColorStyle" Target="colors17.xml"/><Relationship Id="rId1" Type="http://schemas.microsoft.com/office/2011/relationships/chartStyle" Target="style17.xml"/></Relationships>
</file>

<file path=word/charts/_rels/chart2.xml.rels><?xml version="1.0" encoding="UTF-8" standalone="yes"?>
<Relationships xmlns="http://schemas.openxmlformats.org/package/2006/relationships"><Relationship Id="rId3" Type="http://schemas.openxmlformats.org/officeDocument/2006/relationships/oleObject" Target="C:/Users/DELL/Desktop/Proj%202025/Isa%20Graph.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C:/Users/DELL/Desktop/Proj%202025/Isa%20Graph.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C:/Users/DELL/Desktop/Proj%202025/Isa%20Graph.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C:/Users/DELL/Desktop/Proj%202025/Isa%20Graph.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C:/Users/DELL/Desktop/Proj%202025/Isa%20Graph.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C:/Users/DELL/Desktop/Proj%202025/Isa%20Graph.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C:/Users/DELL/Desktop/Proj%202025/Isa%20Graph.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C:/Users/DELL/Desktop/Proj%202025/Isa%20Graph.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0" i="0" u="none" strike="noStrike" baseline="0">
                <a:effectLst/>
              </a:rPr>
              <a:t>pH Values of Water Samples</a:t>
            </a:r>
            <a:endParaRPr lang="en-US" sz="11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'[Isa Graph.xlsx]Sheet1'!$A$23</c:f>
              <c:strCache>
                <c:ptCount val="1"/>
                <c:pt idx="0">
                  <c:v>1hr</c:v>
                </c:pt>
              </c:strCache>
            </c:strRef>
          </c:tx>
          <c:spPr>
            <a:solidFill>
              <a:schemeClr val="accent1"/>
            </a:solidFill>
            <a:ln>
              <a:noFill/>
            </a:ln>
            <a:effectLst/>
          </c:spPr>
          <c:invertIfNegative val="0"/>
          <c:cat>
            <c:strRef>
              <c:f>'[Isa Graph.xlsx]Sheet1'!$B$22:$E$22</c:f>
              <c:strCache>
                <c:ptCount val="4"/>
                <c:pt idx="0">
                  <c:v>W1</c:v>
                </c:pt>
                <c:pt idx="1">
                  <c:v>W2</c:v>
                </c:pt>
                <c:pt idx="2">
                  <c:v>W3</c:v>
                </c:pt>
                <c:pt idx="3">
                  <c:v>W4</c:v>
                </c:pt>
              </c:strCache>
            </c:strRef>
          </c:cat>
          <c:val>
            <c:numRef>
              <c:f>'[Isa Graph.xlsx]Sheet1'!$B$23:$E$23</c:f>
              <c:numCache>
                <c:formatCode>General</c:formatCode>
                <c:ptCount val="4"/>
                <c:pt idx="0">
                  <c:v>7.43</c:v>
                </c:pt>
                <c:pt idx="1">
                  <c:v>6.87</c:v>
                </c:pt>
                <c:pt idx="2">
                  <c:v>7.16</c:v>
                </c:pt>
                <c:pt idx="3">
                  <c:v>7.56</c:v>
                </c:pt>
              </c:numCache>
            </c:numRef>
          </c:val>
          <c:extLst>
            <c:ext xmlns:c16="http://schemas.microsoft.com/office/drawing/2014/chart" uri="{C3380CC4-5D6E-409C-BE32-E72D297353CC}">
              <c16:uniqueId val="{00000000-12D0-4CF4-8822-8FF45BB15C5D}"/>
            </c:ext>
          </c:extLst>
        </c:ser>
        <c:ser>
          <c:idx val="1"/>
          <c:order val="1"/>
          <c:tx>
            <c:strRef>
              <c:f>'[Isa Graph.xlsx]Sheet1'!$A$24</c:f>
              <c:strCache>
                <c:ptCount val="1"/>
                <c:pt idx="0">
                  <c:v>2hr</c:v>
                </c:pt>
              </c:strCache>
            </c:strRef>
          </c:tx>
          <c:spPr>
            <a:solidFill>
              <a:schemeClr val="accent2"/>
            </a:solidFill>
            <a:ln>
              <a:noFill/>
            </a:ln>
            <a:effectLst/>
          </c:spPr>
          <c:invertIfNegative val="0"/>
          <c:cat>
            <c:strRef>
              <c:f>'[Isa Graph.xlsx]Sheet1'!$B$22:$E$22</c:f>
              <c:strCache>
                <c:ptCount val="4"/>
                <c:pt idx="0">
                  <c:v>W1</c:v>
                </c:pt>
                <c:pt idx="1">
                  <c:v>W2</c:v>
                </c:pt>
                <c:pt idx="2">
                  <c:v>W3</c:v>
                </c:pt>
                <c:pt idx="3">
                  <c:v>W4</c:v>
                </c:pt>
              </c:strCache>
            </c:strRef>
          </c:cat>
          <c:val>
            <c:numRef>
              <c:f>'[Isa Graph.xlsx]Sheet1'!$B$24:$E$24</c:f>
              <c:numCache>
                <c:formatCode>General</c:formatCode>
                <c:ptCount val="4"/>
                <c:pt idx="0">
                  <c:v>7.45</c:v>
                </c:pt>
                <c:pt idx="1">
                  <c:v>6.89</c:v>
                </c:pt>
                <c:pt idx="2">
                  <c:v>7.15</c:v>
                </c:pt>
                <c:pt idx="3">
                  <c:v>7.54</c:v>
                </c:pt>
              </c:numCache>
            </c:numRef>
          </c:val>
          <c:extLst>
            <c:ext xmlns:c16="http://schemas.microsoft.com/office/drawing/2014/chart" uri="{C3380CC4-5D6E-409C-BE32-E72D297353CC}">
              <c16:uniqueId val="{00000001-12D0-4CF4-8822-8FF45BB15C5D}"/>
            </c:ext>
          </c:extLst>
        </c:ser>
        <c:ser>
          <c:idx val="2"/>
          <c:order val="2"/>
          <c:tx>
            <c:strRef>
              <c:f>'[Isa Graph.xlsx]Sheet1'!$A$25</c:f>
              <c:strCache>
                <c:ptCount val="1"/>
                <c:pt idx="0">
                  <c:v>3hr</c:v>
                </c:pt>
              </c:strCache>
            </c:strRef>
          </c:tx>
          <c:spPr>
            <a:solidFill>
              <a:schemeClr val="accent3"/>
            </a:solidFill>
            <a:ln>
              <a:noFill/>
            </a:ln>
            <a:effectLst/>
          </c:spPr>
          <c:invertIfNegative val="0"/>
          <c:cat>
            <c:strRef>
              <c:f>'[Isa Graph.xlsx]Sheet1'!$B$22:$E$22</c:f>
              <c:strCache>
                <c:ptCount val="4"/>
                <c:pt idx="0">
                  <c:v>W1</c:v>
                </c:pt>
                <c:pt idx="1">
                  <c:v>W2</c:v>
                </c:pt>
                <c:pt idx="2">
                  <c:v>W3</c:v>
                </c:pt>
                <c:pt idx="3">
                  <c:v>W4</c:v>
                </c:pt>
              </c:strCache>
            </c:strRef>
          </c:cat>
          <c:val>
            <c:numRef>
              <c:f>'[Isa Graph.xlsx]Sheet1'!$B$25:$E$25</c:f>
              <c:numCache>
                <c:formatCode>General</c:formatCode>
                <c:ptCount val="4"/>
                <c:pt idx="0">
                  <c:v>7.41</c:v>
                </c:pt>
                <c:pt idx="1">
                  <c:v>6.83</c:v>
                </c:pt>
                <c:pt idx="2">
                  <c:v>7.11</c:v>
                </c:pt>
                <c:pt idx="3">
                  <c:v>7.53</c:v>
                </c:pt>
              </c:numCache>
            </c:numRef>
          </c:val>
          <c:extLst>
            <c:ext xmlns:c16="http://schemas.microsoft.com/office/drawing/2014/chart" uri="{C3380CC4-5D6E-409C-BE32-E72D297353CC}">
              <c16:uniqueId val="{00000002-12D0-4CF4-8822-8FF45BB15C5D}"/>
            </c:ext>
          </c:extLst>
        </c:ser>
        <c:ser>
          <c:idx val="3"/>
          <c:order val="3"/>
          <c:tx>
            <c:strRef>
              <c:f>'[Isa Graph.xlsx]Sheet1'!$A$26</c:f>
              <c:strCache>
                <c:ptCount val="1"/>
                <c:pt idx="0">
                  <c:v>4hr</c:v>
                </c:pt>
              </c:strCache>
            </c:strRef>
          </c:tx>
          <c:spPr>
            <a:solidFill>
              <a:schemeClr val="accent4"/>
            </a:solidFill>
            <a:ln>
              <a:noFill/>
            </a:ln>
            <a:effectLst/>
          </c:spPr>
          <c:invertIfNegative val="0"/>
          <c:cat>
            <c:strRef>
              <c:f>'[Isa Graph.xlsx]Sheet1'!$B$22:$E$22</c:f>
              <c:strCache>
                <c:ptCount val="4"/>
                <c:pt idx="0">
                  <c:v>W1</c:v>
                </c:pt>
                <c:pt idx="1">
                  <c:v>W2</c:v>
                </c:pt>
                <c:pt idx="2">
                  <c:v>W3</c:v>
                </c:pt>
                <c:pt idx="3">
                  <c:v>W4</c:v>
                </c:pt>
              </c:strCache>
            </c:strRef>
          </c:cat>
          <c:val>
            <c:numRef>
              <c:f>'[Isa Graph.xlsx]Sheet1'!$B$26:$E$26</c:f>
              <c:numCache>
                <c:formatCode>General</c:formatCode>
                <c:ptCount val="4"/>
                <c:pt idx="0">
                  <c:v>7.47</c:v>
                </c:pt>
                <c:pt idx="1">
                  <c:v>6.85</c:v>
                </c:pt>
                <c:pt idx="2">
                  <c:v>7.13</c:v>
                </c:pt>
                <c:pt idx="3">
                  <c:v>7.57</c:v>
                </c:pt>
              </c:numCache>
            </c:numRef>
          </c:val>
          <c:extLst>
            <c:ext xmlns:c16="http://schemas.microsoft.com/office/drawing/2014/chart" uri="{C3380CC4-5D6E-409C-BE32-E72D297353CC}">
              <c16:uniqueId val="{00000003-12D0-4CF4-8822-8FF45BB15C5D}"/>
            </c:ext>
          </c:extLst>
        </c:ser>
        <c:ser>
          <c:idx val="4"/>
          <c:order val="4"/>
          <c:tx>
            <c:strRef>
              <c:f>'[Isa Graph.xlsx]Sheet1'!$A$27</c:f>
              <c:strCache>
                <c:ptCount val="1"/>
                <c:pt idx="0">
                  <c:v>Mean</c:v>
                </c:pt>
              </c:strCache>
            </c:strRef>
          </c:tx>
          <c:spPr>
            <a:solidFill>
              <a:schemeClr val="accent5"/>
            </a:solidFill>
            <a:ln>
              <a:noFill/>
            </a:ln>
            <a:effectLst/>
          </c:spPr>
          <c:invertIfNegative val="0"/>
          <c:cat>
            <c:strRef>
              <c:f>'[Isa Graph.xlsx]Sheet1'!$B$22:$E$22</c:f>
              <c:strCache>
                <c:ptCount val="4"/>
                <c:pt idx="0">
                  <c:v>W1</c:v>
                </c:pt>
                <c:pt idx="1">
                  <c:v>W2</c:v>
                </c:pt>
                <c:pt idx="2">
                  <c:v>W3</c:v>
                </c:pt>
                <c:pt idx="3">
                  <c:v>W4</c:v>
                </c:pt>
              </c:strCache>
            </c:strRef>
          </c:cat>
          <c:val>
            <c:numRef>
              <c:f>'[Isa Graph.xlsx]Sheet1'!$B$27:$E$27</c:f>
              <c:numCache>
                <c:formatCode>General</c:formatCode>
                <c:ptCount val="4"/>
                <c:pt idx="0">
                  <c:v>7.44</c:v>
                </c:pt>
                <c:pt idx="1">
                  <c:v>6.86</c:v>
                </c:pt>
                <c:pt idx="2">
                  <c:v>7.1375000000000002</c:v>
                </c:pt>
                <c:pt idx="3">
                  <c:v>7.55</c:v>
                </c:pt>
              </c:numCache>
            </c:numRef>
          </c:val>
          <c:extLst>
            <c:ext xmlns:c16="http://schemas.microsoft.com/office/drawing/2014/chart" uri="{C3380CC4-5D6E-409C-BE32-E72D297353CC}">
              <c16:uniqueId val="{00000004-12D0-4CF4-8822-8FF45BB15C5D}"/>
            </c:ext>
          </c:extLst>
        </c:ser>
        <c:dLbls>
          <c:showLegendKey val="0"/>
          <c:showVal val="0"/>
          <c:showCatName val="0"/>
          <c:showSerName val="0"/>
          <c:showPercent val="0"/>
          <c:showBubbleSize val="0"/>
        </c:dLbls>
        <c:gapWidth val="219"/>
        <c:overlap val="-27"/>
        <c:axId val="437428568"/>
        <c:axId val="437429744"/>
      </c:barChart>
      <c:catAx>
        <c:axId val="4374285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Water Samples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7429744"/>
        <c:crosses val="autoZero"/>
        <c:auto val="1"/>
        <c:lblAlgn val="ctr"/>
        <c:lblOffset val="100"/>
        <c:noMultiLvlLbl val="0"/>
      </c:catAx>
      <c:valAx>
        <c:axId val="43742974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i="0" u="none" strike="noStrike" baseline="0">
                    <a:effectLst/>
                  </a:rPr>
                  <a:t>pH Values</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7428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t>Hazard</a:t>
            </a:r>
            <a:r>
              <a:rPr lang="en-US" sz="1100" baseline="0"/>
              <a:t> Index in Three Pathways in Water</a:t>
            </a:r>
            <a:endParaRPr lang="en-US" sz="11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2"/>
            </a:solidFill>
            <a:ln>
              <a:noFill/>
            </a:ln>
            <a:effectLst/>
            <a:sp3d/>
          </c:spPr>
          <c:invertIfNegative val="0"/>
          <c:dPt>
            <c:idx val="1"/>
            <c:invertIfNegative val="0"/>
            <c:bubble3D val="0"/>
            <c:spPr>
              <a:solidFill>
                <a:srgbClr val="00B0F0"/>
              </a:solidFill>
              <a:ln>
                <a:noFill/>
              </a:ln>
              <a:effectLst/>
              <a:sp3d/>
            </c:spPr>
            <c:extLst>
              <c:ext xmlns:c16="http://schemas.microsoft.com/office/drawing/2014/chart" uri="{C3380CC4-5D6E-409C-BE32-E72D297353CC}">
                <c16:uniqueId val="{00000001-69C8-40F6-B720-48C984172984}"/>
              </c:ext>
            </c:extLst>
          </c:dPt>
          <c:dPt>
            <c:idx val="2"/>
            <c:invertIfNegative val="0"/>
            <c:bubble3D val="0"/>
            <c:spPr>
              <a:solidFill>
                <a:srgbClr val="7030A0"/>
              </a:solidFill>
              <a:ln>
                <a:noFill/>
              </a:ln>
              <a:effectLst/>
              <a:sp3d/>
            </c:spPr>
            <c:extLst>
              <c:ext xmlns:c16="http://schemas.microsoft.com/office/drawing/2014/chart" uri="{C3380CC4-5D6E-409C-BE32-E72D297353CC}">
                <c16:uniqueId val="{00000003-69C8-40F6-B720-48C984172984}"/>
              </c:ext>
            </c:extLst>
          </c:dPt>
          <c:cat>
            <c:strRef>
              <c:f>Sheet1!$A$278:$A$280</c:f>
              <c:strCache>
                <c:ptCount val="3"/>
                <c:pt idx="0">
                  <c:v>Ing tot</c:v>
                </c:pt>
                <c:pt idx="1">
                  <c:v>Ihl tot</c:v>
                </c:pt>
                <c:pt idx="2">
                  <c:v>Derm tot</c:v>
                </c:pt>
              </c:strCache>
            </c:strRef>
          </c:cat>
          <c:val>
            <c:numRef>
              <c:f>Sheet1!$B$278:$B$280</c:f>
              <c:numCache>
                <c:formatCode>0.00E+00</c:formatCode>
                <c:ptCount val="3"/>
                <c:pt idx="0">
                  <c:v>6.4200000000000004E-6</c:v>
                </c:pt>
                <c:pt idx="1">
                  <c:v>2.11E-9</c:v>
                </c:pt>
                <c:pt idx="2">
                  <c:v>9.16E-7</c:v>
                </c:pt>
              </c:numCache>
            </c:numRef>
          </c:val>
          <c:extLst>
            <c:ext xmlns:c16="http://schemas.microsoft.com/office/drawing/2014/chart" uri="{C3380CC4-5D6E-409C-BE32-E72D297353CC}">
              <c16:uniqueId val="{00000004-69C8-40F6-B720-48C984172984}"/>
            </c:ext>
          </c:extLst>
        </c:ser>
        <c:dLbls>
          <c:showLegendKey val="0"/>
          <c:showVal val="0"/>
          <c:showCatName val="0"/>
          <c:showSerName val="0"/>
          <c:showPercent val="0"/>
          <c:showBubbleSize val="0"/>
        </c:dLbls>
        <c:gapWidth val="150"/>
        <c:shape val="box"/>
        <c:axId val="357997128"/>
        <c:axId val="357997520"/>
        <c:axId val="0"/>
      </c:bar3DChart>
      <c:catAx>
        <c:axId val="3579971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Three Pathways of Exposure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7997520"/>
        <c:crosses val="autoZero"/>
        <c:auto val="1"/>
        <c:lblAlgn val="ctr"/>
        <c:lblOffset val="100"/>
        <c:noMultiLvlLbl val="0"/>
      </c:catAx>
      <c:valAx>
        <c:axId val="35799752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Hazard IIndex</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79971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latin typeface="Times New Roman" panose="02020603050405020304" pitchFamily="18" charset="0"/>
                <a:cs typeface="Times New Roman" panose="02020603050405020304" pitchFamily="18" charset="0"/>
              </a:rPr>
              <a:t>Daily</a:t>
            </a:r>
            <a:r>
              <a:rPr lang="en-US" sz="1100" baseline="0">
                <a:latin typeface="Times New Roman" panose="02020603050405020304" pitchFamily="18" charset="0"/>
                <a:cs typeface="Times New Roman" panose="02020603050405020304" pitchFamily="18" charset="0"/>
              </a:rPr>
              <a:t> Exp. dose Non carcinogenic in Sediments (mg/kg)</a:t>
            </a:r>
            <a:endParaRPr lang="en-US" sz="11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Sheet2!$A$52</c:f>
              <c:strCache>
                <c:ptCount val="1"/>
                <c:pt idx="0">
                  <c:v>AdTot</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Sheet2!$B$51:$J$51</c:f>
              <c:strCache>
                <c:ptCount val="9"/>
                <c:pt idx="0">
                  <c:v>Cu</c:v>
                </c:pt>
                <c:pt idx="1">
                  <c:v>Pb</c:v>
                </c:pt>
                <c:pt idx="2">
                  <c:v>Cr</c:v>
                </c:pt>
                <c:pt idx="3">
                  <c:v>Cd</c:v>
                </c:pt>
                <c:pt idx="4">
                  <c:v>As</c:v>
                </c:pt>
                <c:pt idx="5">
                  <c:v>Ni</c:v>
                </c:pt>
                <c:pt idx="6">
                  <c:v>Fe</c:v>
                </c:pt>
                <c:pt idx="7">
                  <c:v>Mn</c:v>
                </c:pt>
                <c:pt idx="8">
                  <c:v>Zn</c:v>
                </c:pt>
              </c:strCache>
            </c:strRef>
          </c:cat>
          <c:val>
            <c:numRef>
              <c:f>Sheet2!$B$52:$J$52</c:f>
              <c:numCache>
                <c:formatCode>0.00E+00</c:formatCode>
                <c:ptCount val="9"/>
                <c:pt idx="0">
                  <c:v>6.5899999999999996E-7</c:v>
                </c:pt>
                <c:pt idx="1">
                  <c:v>2.6E-7</c:v>
                </c:pt>
                <c:pt idx="2">
                  <c:v>4.8599999999999998E-7</c:v>
                </c:pt>
                <c:pt idx="3">
                  <c:v>4.9699999999999996E-7</c:v>
                </c:pt>
                <c:pt idx="4">
                  <c:v>2.8900000000000001E-7</c:v>
                </c:pt>
                <c:pt idx="5">
                  <c:v>2.03E-6</c:v>
                </c:pt>
                <c:pt idx="6">
                  <c:v>7.6699999999999994E-6</c:v>
                </c:pt>
                <c:pt idx="7">
                  <c:v>6.9500000000000004E-6</c:v>
                </c:pt>
                <c:pt idx="8">
                  <c:v>5.6099999999999997E-6</c:v>
                </c:pt>
              </c:numCache>
            </c:numRef>
          </c:val>
          <c:extLst>
            <c:ext xmlns:c16="http://schemas.microsoft.com/office/drawing/2014/chart" uri="{C3380CC4-5D6E-409C-BE32-E72D297353CC}">
              <c16:uniqueId val="{00000000-8F2C-4311-8EAC-B5AFEDB34F16}"/>
            </c:ext>
          </c:extLst>
        </c:ser>
        <c:dLbls>
          <c:showLegendKey val="0"/>
          <c:showVal val="0"/>
          <c:showCatName val="0"/>
          <c:showSerName val="0"/>
          <c:showPercent val="0"/>
          <c:showBubbleSize val="0"/>
        </c:dLbls>
        <c:gapWidth val="219"/>
        <c:overlap val="-27"/>
        <c:axId val="357996736"/>
        <c:axId val="357998304"/>
      </c:barChart>
      <c:catAx>
        <c:axId val="3579967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Heavy metals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7998304"/>
        <c:crosses val="autoZero"/>
        <c:auto val="1"/>
        <c:lblAlgn val="ctr"/>
        <c:lblOffset val="100"/>
        <c:noMultiLvlLbl val="0"/>
      </c:catAx>
      <c:valAx>
        <c:axId val="35799830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Exposure dose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79967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0" i="0" u="none" strike="noStrike" baseline="0">
                <a:effectLst/>
              </a:rPr>
              <a:t>Daily Exposure dose Carcinogenic(mg/kg/day)</a:t>
            </a:r>
            <a:endParaRPr lang="en-US" sz="11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Sheet2!$A$95</c:f>
              <c:strCache>
                <c:ptCount val="1"/>
                <c:pt idx="0">
                  <c:v>Ad Tot</c:v>
                </c:pt>
              </c:strCache>
            </c:strRef>
          </c:tx>
          <c:spPr>
            <a:solidFill>
              <a:schemeClr val="accent1"/>
            </a:solidFill>
            <a:ln>
              <a:noFill/>
            </a:ln>
            <a:effectLst/>
          </c:spPr>
          <c:invertIfNegative val="0"/>
          <c:cat>
            <c:strRef>
              <c:f>Sheet2!$B$94:$E$94</c:f>
              <c:strCache>
                <c:ptCount val="4"/>
                <c:pt idx="0">
                  <c:v>Pb</c:v>
                </c:pt>
                <c:pt idx="1">
                  <c:v>Cr</c:v>
                </c:pt>
                <c:pt idx="2">
                  <c:v>Cd</c:v>
                </c:pt>
                <c:pt idx="3">
                  <c:v>As</c:v>
                </c:pt>
              </c:strCache>
            </c:strRef>
          </c:cat>
          <c:val>
            <c:numRef>
              <c:f>Sheet2!$B$95:$E$95</c:f>
              <c:numCache>
                <c:formatCode>0.00E+00</c:formatCode>
                <c:ptCount val="4"/>
                <c:pt idx="0">
                  <c:v>1.5099999999999999E-7</c:v>
                </c:pt>
                <c:pt idx="1">
                  <c:v>2.0599999999999999E-7</c:v>
                </c:pt>
                <c:pt idx="2">
                  <c:v>2.67E-7</c:v>
                </c:pt>
                <c:pt idx="3">
                  <c:v>1.73E-7</c:v>
                </c:pt>
              </c:numCache>
            </c:numRef>
          </c:val>
          <c:extLst>
            <c:ext xmlns:c16="http://schemas.microsoft.com/office/drawing/2014/chart" uri="{C3380CC4-5D6E-409C-BE32-E72D297353CC}">
              <c16:uniqueId val="{00000000-113C-4008-A7D1-DCF382154A6C}"/>
            </c:ext>
          </c:extLst>
        </c:ser>
        <c:dLbls>
          <c:showLegendKey val="0"/>
          <c:showVal val="0"/>
          <c:showCatName val="0"/>
          <c:showSerName val="0"/>
          <c:showPercent val="0"/>
          <c:showBubbleSize val="0"/>
        </c:dLbls>
        <c:gapWidth val="219"/>
        <c:overlap val="-27"/>
        <c:axId val="357999088"/>
        <c:axId val="357997912"/>
      </c:barChart>
      <c:catAx>
        <c:axId val="3579990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Heavy metals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7997912"/>
        <c:crosses val="autoZero"/>
        <c:auto val="1"/>
        <c:lblAlgn val="ctr"/>
        <c:lblOffset val="100"/>
        <c:noMultiLvlLbl val="0"/>
      </c:catAx>
      <c:valAx>
        <c:axId val="35799791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Daily</a:t>
                </a:r>
                <a:r>
                  <a:rPr lang="en-US" baseline="0"/>
                  <a:t> Exposure</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79990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latin typeface="Times New Roman" panose="02020603050405020304" pitchFamily="18" charset="0"/>
                <a:cs typeface="Times New Roman" panose="02020603050405020304" pitchFamily="18" charset="0"/>
              </a:rPr>
              <a:t>HQ Total for Non Carcinogenic Heavy metals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'[Isa Graph.xlsx]Sheet2'!$A$137</c:f>
              <c:strCache>
                <c:ptCount val="1"/>
                <c:pt idx="0">
                  <c:v>HQ Tot</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'[Isa Graph.xlsx]Sheet2'!$B$136:$J$136</c:f>
              <c:strCache>
                <c:ptCount val="9"/>
                <c:pt idx="0">
                  <c:v>Cu</c:v>
                </c:pt>
                <c:pt idx="1">
                  <c:v>Pb</c:v>
                </c:pt>
                <c:pt idx="2">
                  <c:v>Cr</c:v>
                </c:pt>
                <c:pt idx="3">
                  <c:v>Cd</c:v>
                </c:pt>
                <c:pt idx="4">
                  <c:v>As</c:v>
                </c:pt>
                <c:pt idx="5">
                  <c:v>Ni</c:v>
                </c:pt>
                <c:pt idx="6">
                  <c:v>Fe</c:v>
                </c:pt>
                <c:pt idx="7">
                  <c:v>Mn</c:v>
                </c:pt>
                <c:pt idx="8">
                  <c:v>Zn</c:v>
                </c:pt>
              </c:strCache>
            </c:strRef>
          </c:cat>
          <c:val>
            <c:numRef>
              <c:f>'[Isa Graph.xlsx]Sheet2'!$B$137:$J$137</c:f>
              <c:numCache>
                <c:formatCode>0.00E+00</c:formatCode>
                <c:ptCount val="9"/>
                <c:pt idx="0">
                  <c:v>2.4899999999999999E-5</c:v>
                </c:pt>
                <c:pt idx="1">
                  <c:v>1.55E-4</c:v>
                </c:pt>
                <c:pt idx="2">
                  <c:v>1.1199999999999999E-3</c:v>
                </c:pt>
                <c:pt idx="3">
                  <c:v>7.9600000000000001E-3</c:v>
                </c:pt>
                <c:pt idx="4">
                  <c:v>1.7799999999999999E-3</c:v>
                </c:pt>
                <c:pt idx="5">
                  <c:v>1.37E-4</c:v>
                </c:pt>
                <c:pt idx="6">
                  <c:v>1.19E-5</c:v>
                </c:pt>
                <c:pt idx="7">
                  <c:v>5.7399999999999997E-4</c:v>
                </c:pt>
                <c:pt idx="8">
                  <c:v>3.3200000000000001E-5</c:v>
                </c:pt>
              </c:numCache>
            </c:numRef>
          </c:val>
          <c:extLst>
            <c:ext xmlns:c16="http://schemas.microsoft.com/office/drawing/2014/chart" uri="{C3380CC4-5D6E-409C-BE32-E72D297353CC}">
              <c16:uniqueId val="{00000000-651E-4F9F-BF79-DD759E12F33E}"/>
            </c:ext>
          </c:extLst>
        </c:ser>
        <c:dLbls>
          <c:showLegendKey val="0"/>
          <c:showVal val="0"/>
          <c:showCatName val="0"/>
          <c:showSerName val="0"/>
          <c:showPercent val="0"/>
          <c:showBubbleSize val="0"/>
        </c:dLbls>
        <c:gapWidth val="219"/>
        <c:overlap val="-27"/>
        <c:axId val="370319936"/>
        <c:axId val="370319544"/>
      </c:barChart>
      <c:catAx>
        <c:axId val="3703199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Heavy</a:t>
                </a:r>
                <a:r>
                  <a:rPr lang="en-US" baseline="0"/>
                  <a:t> M</a:t>
                </a:r>
                <a:r>
                  <a:rPr lang="en-US"/>
                  <a:t>etals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0319544"/>
        <c:crosses val="autoZero"/>
        <c:auto val="1"/>
        <c:lblAlgn val="ctr"/>
        <c:lblOffset val="100"/>
        <c:noMultiLvlLbl val="0"/>
      </c:catAx>
      <c:valAx>
        <c:axId val="37031954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Hazard Quoteint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03199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t>Cancer</a:t>
            </a:r>
            <a:r>
              <a:rPr lang="en-US" sz="1100" baseline="0"/>
              <a:t> Risk of carcinogenic heavy metals</a:t>
            </a:r>
            <a:endParaRPr lang="en-US" sz="11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Sheet2!$B$169</c:f>
              <c:strCache>
                <c:ptCount val="1"/>
                <c:pt idx="0">
                  <c:v>CR ing</c:v>
                </c:pt>
              </c:strCache>
            </c:strRef>
          </c:tx>
          <c:spPr>
            <a:solidFill>
              <a:schemeClr val="accent1"/>
            </a:solidFill>
            <a:ln>
              <a:noFill/>
            </a:ln>
            <a:effectLst/>
            <a:sp3d/>
          </c:spPr>
          <c:invertIfNegative val="0"/>
          <c:cat>
            <c:strRef>
              <c:f>Sheet2!$C$168:$G$168</c:f>
              <c:strCache>
                <c:ptCount val="4"/>
                <c:pt idx="0">
                  <c:v>Pb</c:v>
                </c:pt>
                <c:pt idx="1">
                  <c:v>Cr</c:v>
                </c:pt>
                <c:pt idx="2">
                  <c:v>Cd</c:v>
                </c:pt>
                <c:pt idx="3">
                  <c:v>As</c:v>
                </c:pt>
              </c:strCache>
            </c:strRef>
          </c:cat>
          <c:val>
            <c:numRef>
              <c:f>Sheet2!$C$169:$G$169</c:f>
              <c:numCache>
                <c:formatCode>0.00E+00</c:formatCode>
                <c:ptCount val="5"/>
                <c:pt idx="0">
                  <c:v>1.2799999999999999E-9</c:v>
                </c:pt>
                <c:pt idx="1">
                  <c:v>8.2400000000000007E-6</c:v>
                </c:pt>
                <c:pt idx="2">
                  <c:v>1.68E-6</c:v>
                </c:pt>
                <c:pt idx="3">
                  <c:v>2.6E-7</c:v>
                </c:pt>
              </c:numCache>
            </c:numRef>
          </c:val>
          <c:extLst>
            <c:ext xmlns:c16="http://schemas.microsoft.com/office/drawing/2014/chart" uri="{C3380CC4-5D6E-409C-BE32-E72D297353CC}">
              <c16:uniqueId val="{00000000-5652-4A9F-BFFC-4E8A1339A167}"/>
            </c:ext>
          </c:extLst>
        </c:ser>
        <c:ser>
          <c:idx val="1"/>
          <c:order val="1"/>
          <c:tx>
            <c:strRef>
              <c:f>Sheet2!$B$170</c:f>
              <c:strCache>
                <c:ptCount val="1"/>
                <c:pt idx="0">
                  <c:v>CR inh</c:v>
                </c:pt>
              </c:strCache>
            </c:strRef>
          </c:tx>
          <c:spPr>
            <a:solidFill>
              <a:schemeClr val="accent2"/>
            </a:solidFill>
            <a:ln>
              <a:noFill/>
            </a:ln>
            <a:effectLst/>
            <a:sp3d/>
          </c:spPr>
          <c:invertIfNegative val="0"/>
          <c:cat>
            <c:strRef>
              <c:f>Sheet2!$C$168:$G$168</c:f>
              <c:strCache>
                <c:ptCount val="4"/>
                <c:pt idx="0">
                  <c:v>Pb</c:v>
                </c:pt>
                <c:pt idx="1">
                  <c:v>Cr</c:v>
                </c:pt>
                <c:pt idx="2">
                  <c:v>Cd</c:v>
                </c:pt>
                <c:pt idx="3">
                  <c:v>As</c:v>
                </c:pt>
              </c:strCache>
            </c:strRef>
          </c:cat>
          <c:val>
            <c:numRef>
              <c:f>Sheet2!$C$170:$G$170</c:f>
              <c:numCache>
                <c:formatCode>0.00E+00</c:formatCode>
                <c:ptCount val="5"/>
                <c:pt idx="0">
                  <c:v>9.3200000000000007E-13</c:v>
                </c:pt>
                <c:pt idx="1">
                  <c:v>1.2400000000000001E-9</c:v>
                </c:pt>
                <c:pt idx="2">
                  <c:v>2.4800000000000002E-10</c:v>
                </c:pt>
                <c:pt idx="3">
                  <c:v>3.8100000000000003E-11</c:v>
                </c:pt>
              </c:numCache>
            </c:numRef>
          </c:val>
          <c:extLst>
            <c:ext xmlns:c16="http://schemas.microsoft.com/office/drawing/2014/chart" uri="{C3380CC4-5D6E-409C-BE32-E72D297353CC}">
              <c16:uniqueId val="{00000001-5652-4A9F-BFFC-4E8A1339A167}"/>
            </c:ext>
          </c:extLst>
        </c:ser>
        <c:dLbls>
          <c:showLegendKey val="0"/>
          <c:showVal val="0"/>
          <c:showCatName val="0"/>
          <c:showSerName val="0"/>
          <c:showPercent val="0"/>
          <c:showBubbleSize val="0"/>
        </c:dLbls>
        <c:gapWidth val="150"/>
        <c:shape val="box"/>
        <c:axId val="370316800"/>
        <c:axId val="370317192"/>
        <c:axId val="0"/>
      </c:bar3DChart>
      <c:catAx>
        <c:axId val="3703168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Heavy</a:t>
                </a:r>
                <a:r>
                  <a:rPr lang="en-US" baseline="0"/>
                  <a:t> metals</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0317192"/>
        <c:crosses val="autoZero"/>
        <c:auto val="1"/>
        <c:lblAlgn val="ctr"/>
        <c:lblOffset val="100"/>
        <c:noMultiLvlLbl val="0"/>
      </c:catAx>
      <c:valAx>
        <c:axId val="37031719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Cancer Risk</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0316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latin typeface="Times New Roman" panose="02020603050405020304" pitchFamily="18" charset="0"/>
                <a:cs typeface="Times New Roman" panose="02020603050405020304" pitchFamily="18" charset="0"/>
              </a:rPr>
              <a:t>Hazard Index for Non Carcinogenic  Heavy metals</a:t>
            </a:r>
            <a:r>
              <a:rPr lang="en-US"/>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Sheet2!$A$198</c:f>
              <c:strCache>
                <c:ptCount val="1"/>
                <c:pt idx="0">
                  <c:v>HI</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Sheet2!$B$197:$J$197</c:f>
              <c:strCache>
                <c:ptCount val="9"/>
                <c:pt idx="0">
                  <c:v>Cu</c:v>
                </c:pt>
                <c:pt idx="1">
                  <c:v>Pb</c:v>
                </c:pt>
                <c:pt idx="2">
                  <c:v>Cr</c:v>
                </c:pt>
                <c:pt idx="3">
                  <c:v>Cd</c:v>
                </c:pt>
                <c:pt idx="4">
                  <c:v>As</c:v>
                </c:pt>
                <c:pt idx="5">
                  <c:v>Ni</c:v>
                </c:pt>
                <c:pt idx="6">
                  <c:v>Fe</c:v>
                </c:pt>
                <c:pt idx="7">
                  <c:v>Mn</c:v>
                </c:pt>
                <c:pt idx="8">
                  <c:v>Zn</c:v>
                </c:pt>
              </c:strCache>
            </c:strRef>
          </c:cat>
          <c:val>
            <c:numRef>
              <c:f>Sheet2!$B$198:$J$198</c:f>
              <c:numCache>
                <c:formatCode>0.00E+00</c:formatCode>
                <c:ptCount val="9"/>
                <c:pt idx="0">
                  <c:v>2.6354580000000001E-6</c:v>
                </c:pt>
                <c:pt idx="1">
                  <c:v>1.0392069999999999E-6</c:v>
                </c:pt>
                <c:pt idx="2">
                  <c:v>1.9402819999999998E-6</c:v>
                </c:pt>
                <c:pt idx="3">
                  <c:v>1.9883659999999998E-6</c:v>
                </c:pt>
                <c:pt idx="4">
                  <c:v>1.156237E-6</c:v>
                </c:pt>
                <c:pt idx="5">
                  <c:v>8.1182499999999997E-6</c:v>
                </c:pt>
                <c:pt idx="6">
                  <c:v>3.0713790000000003E-5</c:v>
                </c:pt>
                <c:pt idx="7">
                  <c:v>2.774423E-5</c:v>
                </c:pt>
                <c:pt idx="8">
                  <c:v>2.247426E-5</c:v>
                </c:pt>
              </c:numCache>
            </c:numRef>
          </c:val>
          <c:extLst>
            <c:ext xmlns:c16="http://schemas.microsoft.com/office/drawing/2014/chart" uri="{C3380CC4-5D6E-409C-BE32-E72D297353CC}">
              <c16:uniqueId val="{00000000-A342-4C52-8BF6-C3B10504A1EF}"/>
            </c:ext>
          </c:extLst>
        </c:ser>
        <c:dLbls>
          <c:showLegendKey val="0"/>
          <c:showVal val="0"/>
          <c:showCatName val="0"/>
          <c:showSerName val="0"/>
          <c:showPercent val="0"/>
          <c:showBubbleSize val="0"/>
        </c:dLbls>
        <c:gapWidth val="219"/>
        <c:overlap val="-27"/>
        <c:axId val="370318368"/>
        <c:axId val="370317976"/>
      </c:barChart>
      <c:catAx>
        <c:axId val="3703183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Heavy</a:t>
                </a:r>
                <a:r>
                  <a:rPr lang="en-US" baseline="0"/>
                  <a:t> metals</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0317976"/>
        <c:crosses val="autoZero"/>
        <c:auto val="1"/>
        <c:lblAlgn val="ctr"/>
        <c:lblOffset val="100"/>
        <c:noMultiLvlLbl val="0"/>
      </c:catAx>
      <c:valAx>
        <c:axId val="37031797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Hazard Index</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03183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latin typeface="Times New Roman" panose="02020603050405020304" pitchFamily="18" charset="0"/>
                <a:cs typeface="Times New Roman" panose="02020603050405020304" pitchFamily="18" charset="0"/>
              </a:rPr>
              <a:t>Hazard</a:t>
            </a:r>
            <a:r>
              <a:rPr lang="en-US" sz="1100" baseline="0">
                <a:latin typeface="Times New Roman" panose="02020603050405020304" pitchFamily="18" charset="0"/>
                <a:cs typeface="Times New Roman" panose="02020603050405020304" pitchFamily="18" charset="0"/>
              </a:rPr>
              <a:t> Index of Non Carcinogenic Heavy metals in three pathways in Sediments</a:t>
            </a:r>
            <a:endParaRPr lang="en-US" sz="11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Pt>
            <c:idx val="0"/>
            <c:invertIfNegative val="0"/>
            <c:bubble3D val="0"/>
            <c:spPr>
              <a:solidFill>
                <a:schemeClr val="accent2"/>
              </a:solidFill>
              <a:ln>
                <a:noFill/>
              </a:ln>
              <a:effectLst/>
              <a:sp3d/>
            </c:spPr>
            <c:extLst>
              <c:ext xmlns:c16="http://schemas.microsoft.com/office/drawing/2014/chart" uri="{C3380CC4-5D6E-409C-BE32-E72D297353CC}">
                <c16:uniqueId val="{00000001-2222-4CD9-80B0-4EFB07908CE7}"/>
              </c:ext>
            </c:extLst>
          </c:dPt>
          <c:dPt>
            <c:idx val="2"/>
            <c:invertIfNegative val="0"/>
            <c:bubble3D val="0"/>
            <c:spPr>
              <a:solidFill>
                <a:srgbClr val="7030A0"/>
              </a:solidFill>
              <a:ln>
                <a:noFill/>
              </a:ln>
              <a:effectLst/>
              <a:sp3d/>
            </c:spPr>
            <c:extLst>
              <c:ext xmlns:c16="http://schemas.microsoft.com/office/drawing/2014/chart" uri="{C3380CC4-5D6E-409C-BE32-E72D297353CC}">
                <c16:uniqueId val="{00000003-2222-4CD9-80B0-4EFB07908CE7}"/>
              </c:ext>
            </c:extLst>
          </c:dPt>
          <c:cat>
            <c:strRef>
              <c:f>Sheet2!$A$212:$A$214</c:f>
              <c:strCache>
                <c:ptCount val="3"/>
                <c:pt idx="0">
                  <c:v>Ing tot</c:v>
                </c:pt>
                <c:pt idx="1">
                  <c:v>Ihl tot</c:v>
                </c:pt>
                <c:pt idx="2">
                  <c:v>Derm tot</c:v>
                </c:pt>
              </c:strCache>
            </c:strRef>
          </c:cat>
          <c:val>
            <c:numRef>
              <c:f>Sheet2!$B$212:$B$214</c:f>
              <c:numCache>
                <c:formatCode>0.00E+00</c:formatCode>
                <c:ptCount val="3"/>
                <c:pt idx="0">
                  <c:v>8.6100000000000006E-5</c:v>
                </c:pt>
                <c:pt idx="1">
                  <c:v>1.51E-8</c:v>
                </c:pt>
                <c:pt idx="2">
                  <c:v>1.17E-5</c:v>
                </c:pt>
              </c:numCache>
            </c:numRef>
          </c:val>
          <c:extLst>
            <c:ext xmlns:c16="http://schemas.microsoft.com/office/drawing/2014/chart" uri="{C3380CC4-5D6E-409C-BE32-E72D297353CC}">
              <c16:uniqueId val="{00000004-2222-4CD9-80B0-4EFB07908CE7}"/>
            </c:ext>
          </c:extLst>
        </c:ser>
        <c:dLbls>
          <c:showLegendKey val="0"/>
          <c:showVal val="0"/>
          <c:showCatName val="0"/>
          <c:showSerName val="0"/>
          <c:showPercent val="0"/>
          <c:showBubbleSize val="0"/>
        </c:dLbls>
        <c:gapWidth val="150"/>
        <c:shape val="box"/>
        <c:axId val="356016624"/>
        <c:axId val="356018584"/>
        <c:axId val="0"/>
      </c:bar3DChart>
      <c:catAx>
        <c:axId val="3560166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Three Pathways of Exposure</a:t>
                </a:r>
              </a:p>
            </c:rich>
          </c:tx>
          <c:layout>
            <c:manualLayout>
              <c:xMode val="edge"/>
              <c:yMode val="edge"/>
              <c:x val="0.37192629046369202"/>
              <c:y val="0.8770709390492854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6018584"/>
        <c:crosses val="autoZero"/>
        <c:auto val="1"/>
        <c:lblAlgn val="ctr"/>
        <c:lblOffset val="100"/>
        <c:noMultiLvlLbl val="0"/>
      </c:catAx>
      <c:valAx>
        <c:axId val="35601858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Hazard Index</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60166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t>HI</a:t>
            </a:r>
            <a:r>
              <a:rPr lang="en-US" sz="1100" baseline="0"/>
              <a:t> of Non carcinogenic metals in water and Sediments</a:t>
            </a:r>
            <a:endParaRPr lang="en-US" sz="11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Sheet2!$A$239</c:f>
              <c:strCache>
                <c:ptCount val="1"/>
                <c:pt idx="0">
                  <c:v>HI Water</c:v>
                </c:pt>
              </c:strCache>
            </c:strRef>
          </c:tx>
          <c:spPr>
            <a:solidFill>
              <a:schemeClr val="accent1"/>
            </a:solidFill>
            <a:ln>
              <a:noFill/>
            </a:ln>
            <a:effectLst/>
            <a:sp3d/>
          </c:spPr>
          <c:invertIfNegative val="0"/>
          <c:cat>
            <c:strRef>
              <c:f>Sheet2!$B$238:$J$238</c:f>
              <c:strCache>
                <c:ptCount val="9"/>
                <c:pt idx="0">
                  <c:v>Cu</c:v>
                </c:pt>
                <c:pt idx="1">
                  <c:v>Pb</c:v>
                </c:pt>
                <c:pt idx="2">
                  <c:v>Cr</c:v>
                </c:pt>
                <c:pt idx="3">
                  <c:v>Cd</c:v>
                </c:pt>
                <c:pt idx="4">
                  <c:v>As</c:v>
                </c:pt>
                <c:pt idx="5">
                  <c:v>Ni</c:v>
                </c:pt>
                <c:pt idx="6">
                  <c:v>Fe</c:v>
                </c:pt>
                <c:pt idx="7">
                  <c:v>Mn</c:v>
                </c:pt>
                <c:pt idx="8">
                  <c:v>Zn</c:v>
                </c:pt>
              </c:strCache>
            </c:strRef>
          </c:cat>
          <c:val>
            <c:numRef>
              <c:f>Sheet2!$B$239:$J$239</c:f>
              <c:numCache>
                <c:formatCode>0.00E+00</c:formatCode>
                <c:ptCount val="9"/>
                <c:pt idx="0">
                  <c:v>5.7599999999999997E-7</c:v>
                </c:pt>
                <c:pt idx="1">
                  <c:v>3.4200000000000002E-7</c:v>
                </c:pt>
                <c:pt idx="2">
                  <c:v>2.4400000000000001E-7</c:v>
                </c:pt>
                <c:pt idx="3">
                  <c:v>1.9299999999999999E-7</c:v>
                </c:pt>
                <c:pt idx="4">
                  <c:v>1.5699999999999999E-7</c:v>
                </c:pt>
                <c:pt idx="5">
                  <c:v>9.6800000000000009E-7</c:v>
                </c:pt>
                <c:pt idx="6">
                  <c:v>1.3200000000000001E-6</c:v>
                </c:pt>
                <c:pt idx="7">
                  <c:v>2.5000000000000002E-6</c:v>
                </c:pt>
                <c:pt idx="8">
                  <c:v>1.0300000000000001E-6</c:v>
                </c:pt>
              </c:numCache>
            </c:numRef>
          </c:val>
          <c:extLst>
            <c:ext xmlns:c16="http://schemas.microsoft.com/office/drawing/2014/chart" uri="{C3380CC4-5D6E-409C-BE32-E72D297353CC}">
              <c16:uniqueId val="{00000000-3C8B-4A75-A90A-E7D6393BF5E1}"/>
            </c:ext>
          </c:extLst>
        </c:ser>
        <c:ser>
          <c:idx val="1"/>
          <c:order val="1"/>
          <c:tx>
            <c:strRef>
              <c:f>Sheet2!$A$240</c:f>
              <c:strCache>
                <c:ptCount val="1"/>
                <c:pt idx="0">
                  <c:v>HI Sed.</c:v>
                </c:pt>
              </c:strCache>
            </c:strRef>
          </c:tx>
          <c:spPr>
            <a:solidFill>
              <a:schemeClr val="accent2"/>
            </a:solidFill>
            <a:ln>
              <a:noFill/>
            </a:ln>
            <a:effectLst/>
            <a:sp3d/>
          </c:spPr>
          <c:invertIfNegative val="0"/>
          <c:cat>
            <c:strRef>
              <c:f>Sheet2!$B$238:$J$238</c:f>
              <c:strCache>
                <c:ptCount val="9"/>
                <c:pt idx="0">
                  <c:v>Cu</c:v>
                </c:pt>
                <c:pt idx="1">
                  <c:v>Pb</c:v>
                </c:pt>
                <c:pt idx="2">
                  <c:v>Cr</c:v>
                </c:pt>
                <c:pt idx="3">
                  <c:v>Cd</c:v>
                </c:pt>
                <c:pt idx="4">
                  <c:v>As</c:v>
                </c:pt>
                <c:pt idx="5">
                  <c:v>Ni</c:v>
                </c:pt>
                <c:pt idx="6">
                  <c:v>Fe</c:v>
                </c:pt>
                <c:pt idx="7">
                  <c:v>Mn</c:v>
                </c:pt>
                <c:pt idx="8">
                  <c:v>Zn</c:v>
                </c:pt>
              </c:strCache>
            </c:strRef>
          </c:cat>
          <c:val>
            <c:numRef>
              <c:f>Sheet2!$B$240:$J$240</c:f>
              <c:numCache>
                <c:formatCode>0.00E+00</c:formatCode>
                <c:ptCount val="9"/>
                <c:pt idx="0">
                  <c:v>2.6400000000000001E-6</c:v>
                </c:pt>
                <c:pt idx="1">
                  <c:v>1.04E-6</c:v>
                </c:pt>
                <c:pt idx="2">
                  <c:v>1.9400000000000001E-6</c:v>
                </c:pt>
                <c:pt idx="3">
                  <c:v>1.99E-6</c:v>
                </c:pt>
                <c:pt idx="4">
                  <c:v>1.1599999999999999E-6</c:v>
                </c:pt>
                <c:pt idx="5">
                  <c:v>8.1200000000000002E-6</c:v>
                </c:pt>
                <c:pt idx="6">
                  <c:v>3.0700000000000001E-5</c:v>
                </c:pt>
                <c:pt idx="7">
                  <c:v>2.7699999999999999E-5</c:v>
                </c:pt>
                <c:pt idx="8">
                  <c:v>2.2500000000000001E-5</c:v>
                </c:pt>
              </c:numCache>
            </c:numRef>
          </c:val>
          <c:extLst>
            <c:ext xmlns:c16="http://schemas.microsoft.com/office/drawing/2014/chart" uri="{C3380CC4-5D6E-409C-BE32-E72D297353CC}">
              <c16:uniqueId val="{00000001-3C8B-4A75-A90A-E7D6393BF5E1}"/>
            </c:ext>
          </c:extLst>
        </c:ser>
        <c:dLbls>
          <c:showLegendKey val="0"/>
          <c:showVal val="0"/>
          <c:showCatName val="0"/>
          <c:showSerName val="0"/>
          <c:showPercent val="0"/>
          <c:showBubbleSize val="0"/>
        </c:dLbls>
        <c:gapWidth val="150"/>
        <c:shape val="box"/>
        <c:axId val="356017408"/>
        <c:axId val="356017800"/>
        <c:axId val="0"/>
      </c:bar3DChart>
      <c:catAx>
        <c:axId val="3560174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Heavy</a:t>
                </a:r>
                <a:r>
                  <a:rPr lang="en-US" baseline="0"/>
                  <a:t> metals</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6017800"/>
        <c:crosses val="autoZero"/>
        <c:auto val="1"/>
        <c:lblAlgn val="ctr"/>
        <c:lblOffset val="100"/>
        <c:noMultiLvlLbl val="0"/>
      </c:catAx>
      <c:valAx>
        <c:axId val="35601780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Hazard Index</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6017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t>pH Values of Sediment Samples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Sheet1!$A$23</c:f>
              <c:strCache>
                <c:ptCount val="1"/>
                <c:pt idx="0">
                  <c:v>1hr</c:v>
                </c:pt>
              </c:strCache>
            </c:strRef>
          </c:tx>
          <c:spPr>
            <a:solidFill>
              <a:schemeClr val="accent1"/>
            </a:solidFill>
            <a:ln>
              <a:noFill/>
            </a:ln>
            <a:effectLst/>
          </c:spPr>
          <c:invertIfNegative val="0"/>
          <c:cat>
            <c:strRef>
              <c:f>Sheet1!$B$22:$E$22</c:f>
              <c:strCache>
                <c:ptCount val="4"/>
                <c:pt idx="0">
                  <c:v>S1</c:v>
                </c:pt>
                <c:pt idx="1">
                  <c:v>S2</c:v>
                </c:pt>
                <c:pt idx="2">
                  <c:v>S3</c:v>
                </c:pt>
                <c:pt idx="3">
                  <c:v>S4</c:v>
                </c:pt>
              </c:strCache>
            </c:strRef>
          </c:cat>
          <c:val>
            <c:numRef>
              <c:f>Sheet1!$B$23:$E$23</c:f>
              <c:numCache>
                <c:formatCode>General</c:formatCode>
                <c:ptCount val="4"/>
                <c:pt idx="0">
                  <c:v>6.68</c:v>
                </c:pt>
                <c:pt idx="1">
                  <c:v>5.52</c:v>
                </c:pt>
                <c:pt idx="2">
                  <c:v>6.25</c:v>
                </c:pt>
                <c:pt idx="3">
                  <c:v>6.83</c:v>
                </c:pt>
              </c:numCache>
            </c:numRef>
          </c:val>
          <c:extLst>
            <c:ext xmlns:c16="http://schemas.microsoft.com/office/drawing/2014/chart" uri="{C3380CC4-5D6E-409C-BE32-E72D297353CC}">
              <c16:uniqueId val="{00000000-E5BB-49FD-9BC0-EB8EB8BA98CF}"/>
            </c:ext>
          </c:extLst>
        </c:ser>
        <c:ser>
          <c:idx val="1"/>
          <c:order val="1"/>
          <c:tx>
            <c:strRef>
              <c:f>Sheet1!$A$24</c:f>
              <c:strCache>
                <c:ptCount val="1"/>
                <c:pt idx="0">
                  <c:v>2hr</c:v>
                </c:pt>
              </c:strCache>
            </c:strRef>
          </c:tx>
          <c:spPr>
            <a:solidFill>
              <a:schemeClr val="accent2"/>
            </a:solidFill>
            <a:ln>
              <a:noFill/>
            </a:ln>
            <a:effectLst/>
          </c:spPr>
          <c:invertIfNegative val="0"/>
          <c:cat>
            <c:strRef>
              <c:f>Sheet1!$B$22:$E$22</c:f>
              <c:strCache>
                <c:ptCount val="4"/>
                <c:pt idx="0">
                  <c:v>S1</c:v>
                </c:pt>
                <c:pt idx="1">
                  <c:v>S2</c:v>
                </c:pt>
                <c:pt idx="2">
                  <c:v>S3</c:v>
                </c:pt>
                <c:pt idx="3">
                  <c:v>S4</c:v>
                </c:pt>
              </c:strCache>
            </c:strRef>
          </c:cat>
          <c:val>
            <c:numRef>
              <c:f>Sheet1!$B$24:$E$24</c:f>
              <c:numCache>
                <c:formatCode>General</c:formatCode>
                <c:ptCount val="4"/>
                <c:pt idx="0">
                  <c:v>6.69</c:v>
                </c:pt>
                <c:pt idx="1">
                  <c:v>5.47</c:v>
                </c:pt>
                <c:pt idx="2">
                  <c:v>6.28</c:v>
                </c:pt>
                <c:pt idx="3">
                  <c:v>6.86</c:v>
                </c:pt>
              </c:numCache>
            </c:numRef>
          </c:val>
          <c:extLst>
            <c:ext xmlns:c16="http://schemas.microsoft.com/office/drawing/2014/chart" uri="{C3380CC4-5D6E-409C-BE32-E72D297353CC}">
              <c16:uniqueId val="{00000001-E5BB-49FD-9BC0-EB8EB8BA98CF}"/>
            </c:ext>
          </c:extLst>
        </c:ser>
        <c:ser>
          <c:idx val="2"/>
          <c:order val="2"/>
          <c:tx>
            <c:strRef>
              <c:f>Sheet1!$A$25</c:f>
              <c:strCache>
                <c:ptCount val="1"/>
                <c:pt idx="0">
                  <c:v>3hr</c:v>
                </c:pt>
              </c:strCache>
            </c:strRef>
          </c:tx>
          <c:spPr>
            <a:solidFill>
              <a:schemeClr val="accent3"/>
            </a:solidFill>
            <a:ln>
              <a:noFill/>
            </a:ln>
            <a:effectLst/>
          </c:spPr>
          <c:invertIfNegative val="0"/>
          <c:cat>
            <c:strRef>
              <c:f>Sheet1!$B$22:$E$22</c:f>
              <c:strCache>
                <c:ptCount val="4"/>
                <c:pt idx="0">
                  <c:v>S1</c:v>
                </c:pt>
                <c:pt idx="1">
                  <c:v>S2</c:v>
                </c:pt>
                <c:pt idx="2">
                  <c:v>S3</c:v>
                </c:pt>
                <c:pt idx="3">
                  <c:v>S4</c:v>
                </c:pt>
              </c:strCache>
            </c:strRef>
          </c:cat>
          <c:val>
            <c:numRef>
              <c:f>Sheet1!$B$25:$E$25</c:f>
              <c:numCache>
                <c:formatCode>General</c:formatCode>
                <c:ptCount val="4"/>
                <c:pt idx="0">
                  <c:v>6.65</c:v>
                </c:pt>
                <c:pt idx="1">
                  <c:v>5.43</c:v>
                </c:pt>
                <c:pt idx="2">
                  <c:v>6.27</c:v>
                </c:pt>
                <c:pt idx="3">
                  <c:v>6.87</c:v>
                </c:pt>
              </c:numCache>
            </c:numRef>
          </c:val>
          <c:extLst>
            <c:ext xmlns:c16="http://schemas.microsoft.com/office/drawing/2014/chart" uri="{C3380CC4-5D6E-409C-BE32-E72D297353CC}">
              <c16:uniqueId val="{00000002-E5BB-49FD-9BC0-EB8EB8BA98CF}"/>
            </c:ext>
          </c:extLst>
        </c:ser>
        <c:ser>
          <c:idx val="3"/>
          <c:order val="3"/>
          <c:tx>
            <c:strRef>
              <c:f>Sheet1!$A$26</c:f>
              <c:strCache>
                <c:ptCount val="1"/>
                <c:pt idx="0">
                  <c:v>4hr</c:v>
                </c:pt>
              </c:strCache>
            </c:strRef>
          </c:tx>
          <c:spPr>
            <a:solidFill>
              <a:srgbClr val="7030A0"/>
            </a:solidFill>
            <a:ln>
              <a:noFill/>
            </a:ln>
            <a:effectLst/>
          </c:spPr>
          <c:invertIfNegative val="0"/>
          <c:cat>
            <c:strRef>
              <c:f>Sheet1!$B$22:$E$22</c:f>
              <c:strCache>
                <c:ptCount val="4"/>
                <c:pt idx="0">
                  <c:v>S1</c:v>
                </c:pt>
                <c:pt idx="1">
                  <c:v>S2</c:v>
                </c:pt>
                <c:pt idx="2">
                  <c:v>S3</c:v>
                </c:pt>
                <c:pt idx="3">
                  <c:v>S4</c:v>
                </c:pt>
              </c:strCache>
            </c:strRef>
          </c:cat>
          <c:val>
            <c:numRef>
              <c:f>Sheet1!$B$26:$E$26</c:f>
              <c:numCache>
                <c:formatCode>General</c:formatCode>
                <c:ptCount val="4"/>
                <c:pt idx="0">
                  <c:v>6.64</c:v>
                </c:pt>
                <c:pt idx="1">
                  <c:v>5.21</c:v>
                </c:pt>
                <c:pt idx="2">
                  <c:v>6.23</c:v>
                </c:pt>
                <c:pt idx="3">
                  <c:v>6.87</c:v>
                </c:pt>
              </c:numCache>
            </c:numRef>
          </c:val>
          <c:extLst>
            <c:ext xmlns:c16="http://schemas.microsoft.com/office/drawing/2014/chart" uri="{C3380CC4-5D6E-409C-BE32-E72D297353CC}">
              <c16:uniqueId val="{00000003-E5BB-49FD-9BC0-EB8EB8BA98CF}"/>
            </c:ext>
          </c:extLst>
        </c:ser>
        <c:ser>
          <c:idx val="4"/>
          <c:order val="4"/>
          <c:tx>
            <c:strRef>
              <c:f>Sheet1!$A$27</c:f>
              <c:strCache>
                <c:ptCount val="1"/>
                <c:pt idx="0">
                  <c:v>Mean</c:v>
                </c:pt>
              </c:strCache>
            </c:strRef>
          </c:tx>
          <c:spPr>
            <a:solidFill>
              <a:schemeClr val="accent5"/>
            </a:solidFill>
            <a:ln>
              <a:noFill/>
            </a:ln>
            <a:effectLst/>
          </c:spPr>
          <c:invertIfNegative val="0"/>
          <c:cat>
            <c:strRef>
              <c:f>Sheet1!$B$22:$E$22</c:f>
              <c:strCache>
                <c:ptCount val="4"/>
                <c:pt idx="0">
                  <c:v>S1</c:v>
                </c:pt>
                <c:pt idx="1">
                  <c:v>S2</c:v>
                </c:pt>
                <c:pt idx="2">
                  <c:v>S3</c:v>
                </c:pt>
                <c:pt idx="3">
                  <c:v>S4</c:v>
                </c:pt>
              </c:strCache>
            </c:strRef>
          </c:cat>
          <c:val>
            <c:numRef>
              <c:f>Sheet1!$B$27:$E$27</c:f>
              <c:numCache>
                <c:formatCode>General</c:formatCode>
                <c:ptCount val="4"/>
                <c:pt idx="0">
                  <c:v>6.665</c:v>
                </c:pt>
                <c:pt idx="1">
                  <c:v>5.4074999999999998</c:v>
                </c:pt>
                <c:pt idx="2">
                  <c:v>6.2575000000000003</c:v>
                </c:pt>
                <c:pt idx="3">
                  <c:v>6.8574999999999999</c:v>
                </c:pt>
              </c:numCache>
            </c:numRef>
          </c:val>
          <c:extLst>
            <c:ext xmlns:c16="http://schemas.microsoft.com/office/drawing/2014/chart" uri="{C3380CC4-5D6E-409C-BE32-E72D297353CC}">
              <c16:uniqueId val="{00000004-E5BB-49FD-9BC0-EB8EB8BA98CF}"/>
            </c:ext>
          </c:extLst>
        </c:ser>
        <c:dLbls>
          <c:showLegendKey val="0"/>
          <c:showVal val="0"/>
          <c:showCatName val="0"/>
          <c:showSerName val="0"/>
          <c:showPercent val="0"/>
          <c:showBubbleSize val="0"/>
        </c:dLbls>
        <c:gapWidth val="219"/>
        <c:overlap val="-27"/>
        <c:axId val="437430920"/>
        <c:axId val="23294904"/>
      </c:barChart>
      <c:catAx>
        <c:axId val="4374309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Sediments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294904"/>
        <c:crosses val="autoZero"/>
        <c:auto val="1"/>
        <c:lblAlgn val="ctr"/>
        <c:lblOffset val="100"/>
        <c:noMultiLvlLbl val="0"/>
      </c:catAx>
      <c:valAx>
        <c:axId val="2329490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pH</a:t>
                </a:r>
                <a:r>
                  <a:rPr lang="en-US" baseline="0"/>
                  <a:t> values</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7430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t>Conductivity of the water samples </a:t>
            </a:r>
            <a:r>
              <a:rPr lang="en-US" sz="1100" b="1" i="0" u="none" strike="noStrike" baseline="0">
                <a:effectLst/>
              </a:rPr>
              <a:t>(</a:t>
            </a:r>
            <a:r>
              <a:rPr lang="en-US" sz="1100" b="0" i="0" u="none" strike="noStrike" baseline="0">
                <a:effectLst/>
              </a:rPr>
              <a:t>μscm-¹)</a:t>
            </a:r>
            <a:endParaRPr lang="en-US" sz="11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Sheet1!$A$41</c:f>
              <c:strCache>
                <c:ptCount val="1"/>
                <c:pt idx="0">
                  <c:v>1hr</c:v>
                </c:pt>
              </c:strCache>
            </c:strRef>
          </c:tx>
          <c:spPr>
            <a:solidFill>
              <a:schemeClr val="accent1"/>
            </a:solidFill>
            <a:ln>
              <a:noFill/>
            </a:ln>
            <a:effectLst/>
          </c:spPr>
          <c:invertIfNegative val="0"/>
          <c:cat>
            <c:strRef>
              <c:f>Sheet1!$B$40:$E$40</c:f>
              <c:strCache>
                <c:ptCount val="4"/>
                <c:pt idx="0">
                  <c:v>W1</c:v>
                </c:pt>
                <c:pt idx="1">
                  <c:v>W2</c:v>
                </c:pt>
                <c:pt idx="2">
                  <c:v>W3</c:v>
                </c:pt>
                <c:pt idx="3">
                  <c:v>W4</c:v>
                </c:pt>
              </c:strCache>
            </c:strRef>
          </c:cat>
          <c:val>
            <c:numRef>
              <c:f>Sheet1!$B$41:$E$41</c:f>
              <c:numCache>
                <c:formatCode>General</c:formatCode>
                <c:ptCount val="4"/>
                <c:pt idx="0">
                  <c:v>134</c:v>
                </c:pt>
                <c:pt idx="1">
                  <c:v>276.5</c:v>
                </c:pt>
                <c:pt idx="2">
                  <c:v>186</c:v>
                </c:pt>
                <c:pt idx="3">
                  <c:v>212.5</c:v>
                </c:pt>
              </c:numCache>
            </c:numRef>
          </c:val>
          <c:extLst>
            <c:ext xmlns:c16="http://schemas.microsoft.com/office/drawing/2014/chart" uri="{C3380CC4-5D6E-409C-BE32-E72D297353CC}">
              <c16:uniqueId val="{00000000-BD18-446E-9883-BF6D9B9A5FEC}"/>
            </c:ext>
          </c:extLst>
        </c:ser>
        <c:ser>
          <c:idx val="1"/>
          <c:order val="1"/>
          <c:tx>
            <c:strRef>
              <c:f>Sheet1!$A$42</c:f>
              <c:strCache>
                <c:ptCount val="1"/>
                <c:pt idx="0">
                  <c:v>2hr</c:v>
                </c:pt>
              </c:strCache>
            </c:strRef>
          </c:tx>
          <c:spPr>
            <a:solidFill>
              <a:schemeClr val="accent2"/>
            </a:solidFill>
            <a:ln>
              <a:noFill/>
            </a:ln>
            <a:effectLst/>
          </c:spPr>
          <c:invertIfNegative val="0"/>
          <c:cat>
            <c:strRef>
              <c:f>Sheet1!$B$40:$E$40</c:f>
              <c:strCache>
                <c:ptCount val="4"/>
                <c:pt idx="0">
                  <c:v>W1</c:v>
                </c:pt>
                <c:pt idx="1">
                  <c:v>W2</c:v>
                </c:pt>
                <c:pt idx="2">
                  <c:v>W3</c:v>
                </c:pt>
                <c:pt idx="3">
                  <c:v>W4</c:v>
                </c:pt>
              </c:strCache>
            </c:strRef>
          </c:cat>
          <c:val>
            <c:numRef>
              <c:f>Sheet1!$B$42:$E$42</c:f>
              <c:numCache>
                <c:formatCode>General</c:formatCode>
                <c:ptCount val="4"/>
                <c:pt idx="0">
                  <c:v>127</c:v>
                </c:pt>
                <c:pt idx="1">
                  <c:v>276</c:v>
                </c:pt>
                <c:pt idx="2">
                  <c:v>187.5</c:v>
                </c:pt>
                <c:pt idx="3">
                  <c:v>214</c:v>
                </c:pt>
              </c:numCache>
            </c:numRef>
          </c:val>
          <c:extLst>
            <c:ext xmlns:c16="http://schemas.microsoft.com/office/drawing/2014/chart" uri="{C3380CC4-5D6E-409C-BE32-E72D297353CC}">
              <c16:uniqueId val="{00000001-BD18-446E-9883-BF6D9B9A5FEC}"/>
            </c:ext>
          </c:extLst>
        </c:ser>
        <c:ser>
          <c:idx val="2"/>
          <c:order val="2"/>
          <c:tx>
            <c:strRef>
              <c:f>Sheet1!$A$43</c:f>
              <c:strCache>
                <c:ptCount val="1"/>
                <c:pt idx="0">
                  <c:v>3hr</c:v>
                </c:pt>
              </c:strCache>
            </c:strRef>
          </c:tx>
          <c:spPr>
            <a:solidFill>
              <a:schemeClr val="accent4">
                <a:lumMod val="75000"/>
              </a:schemeClr>
            </a:solidFill>
            <a:ln>
              <a:noFill/>
            </a:ln>
            <a:effectLst/>
          </c:spPr>
          <c:invertIfNegative val="0"/>
          <c:cat>
            <c:strRef>
              <c:f>Sheet1!$B$40:$E$40</c:f>
              <c:strCache>
                <c:ptCount val="4"/>
                <c:pt idx="0">
                  <c:v>W1</c:v>
                </c:pt>
                <c:pt idx="1">
                  <c:v>W2</c:v>
                </c:pt>
                <c:pt idx="2">
                  <c:v>W3</c:v>
                </c:pt>
                <c:pt idx="3">
                  <c:v>W4</c:v>
                </c:pt>
              </c:strCache>
            </c:strRef>
          </c:cat>
          <c:val>
            <c:numRef>
              <c:f>Sheet1!$B$43:$E$43</c:f>
              <c:numCache>
                <c:formatCode>General</c:formatCode>
                <c:ptCount val="4"/>
                <c:pt idx="0">
                  <c:v>131.5</c:v>
                </c:pt>
                <c:pt idx="1">
                  <c:v>275.5</c:v>
                </c:pt>
                <c:pt idx="2">
                  <c:v>185.5</c:v>
                </c:pt>
                <c:pt idx="3">
                  <c:v>211.5</c:v>
                </c:pt>
              </c:numCache>
            </c:numRef>
          </c:val>
          <c:extLst>
            <c:ext xmlns:c16="http://schemas.microsoft.com/office/drawing/2014/chart" uri="{C3380CC4-5D6E-409C-BE32-E72D297353CC}">
              <c16:uniqueId val="{00000002-BD18-446E-9883-BF6D9B9A5FEC}"/>
            </c:ext>
          </c:extLst>
        </c:ser>
        <c:ser>
          <c:idx val="3"/>
          <c:order val="3"/>
          <c:tx>
            <c:strRef>
              <c:f>Sheet1!$A$44</c:f>
              <c:strCache>
                <c:ptCount val="1"/>
                <c:pt idx="0">
                  <c:v>4hr</c:v>
                </c:pt>
              </c:strCache>
            </c:strRef>
          </c:tx>
          <c:spPr>
            <a:solidFill>
              <a:srgbClr val="92D050"/>
            </a:solidFill>
            <a:ln>
              <a:noFill/>
            </a:ln>
            <a:effectLst/>
          </c:spPr>
          <c:invertIfNegative val="0"/>
          <c:cat>
            <c:strRef>
              <c:f>Sheet1!$B$40:$E$40</c:f>
              <c:strCache>
                <c:ptCount val="4"/>
                <c:pt idx="0">
                  <c:v>W1</c:v>
                </c:pt>
                <c:pt idx="1">
                  <c:v>W2</c:v>
                </c:pt>
                <c:pt idx="2">
                  <c:v>W3</c:v>
                </c:pt>
                <c:pt idx="3">
                  <c:v>W4</c:v>
                </c:pt>
              </c:strCache>
            </c:strRef>
          </c:cat>
          <c:val>
            <c:numRef>
              <c:f>Sheet1!$B$44:$E$44</c:f>
              <c:numCache>
                <c:formatCode>General</c:formatCode>
                <c:ptCount val="4"/>
                <c:pt idx="0">
                  <c:v>132.5</c:v>
                </c:pt>
                <c:pt idx="1">
                  <c:v>276.5</c:v>
                </c:pt>
                <c:pt idx="2">
                  <c:v>187</c:v>
                </c:pt>
                <c:pt idx="3">
                  <c:v>213</c:v>
                </c:pt>
              </c:numCache>
            </c:numRef>
          </c:val>
          <c:extLst>
            <c:ext xmlns:c16="http://schemas.microsoft.com/office/drawing/2014/chart" uri="{C3380CC4-5D6E-409C-BE32-E72D297353CC}">
              <c16:uniqueId val="{00000003-BD18-446E-9883-BF6D9B9A5FEC}"/>
            </c:ext>
          </c:extLst>
        </c:ser>
        <c:ser>
          <c:idx val="4"/>
          <c:order val="4"/>
          <c:tx>
            <c:strRef>
              <c:f>Sheet1!$A$45</c:f>
              <c:strCache>
                <c:ptCount val="1"/>
                <c:pt idx="0">
                  <c:v>Mean</c:v>
                </c:pt>
              </c:strCache>
            </c:strRef>
          </c:tx>
          <c:spPr>
            <a:solidFill>
              <a:schemeClr val="accent5"/>
            </a:solidFill>
            <a:ln>
              <a:noFill/>
            </a:ln>
            <a:effectLst/>
          </c:spPr>
          <c:invertIfNegative val="0"/>
          <c:cat>
            <c:strRef>
              <c:f>Sheet1!$B$40:$E$40</c:f>
              <c:strCache>
                <c:ptCount val="4"/>
                <c:pt idx="0">
                  <c:v>W1</c:v>
                </c:pt>
                <c:pt idx="1">
                  <c:v>W2</c:v>
                </c:pt>
                <c:pt idx="2">
                  <c:v>W3</c:v>
                </c:pt>
                <c:pt idx="3">
                  <c:v>W4</c:v>
                </c:pt>
              </c:strCache>
            </c:strRef>
          </c:cat>
          <c:val>
            <c:numRef>
              <c:f>Sheet1!$B$45:$E$45</c:f>
              <c:numCache>
                <c:formatCode>General</c:formatCode>
                <c:ptCount val="4"/>
                <c:pt idx="0">
                  <c:v>131.25</c:v>
                </c:pt>
                <c:pt idx="1">
                  <c:v>276.125</c:v>
                </c:pt>
                <c:pt idx="2">
                  <c:v>186.5</c:v>
                </c:pt>
                <c:pt idx="3">
                  <c:v>212.75</c:v>
                </c:pt>
              </c:numCache>
            </c:numRef>
          </c:val>
          <c:extLst>
            <c:ext xmlns:c16="http://schemas.microsoft.com/office/drawing/2014/chart" uri="{C3380CC4-5D6E-409C-BE32-E72D297353CC}">
              <c16:uniqueId val="{00000004-BD18-446E-9883-BF6D9B9A5FEC}"/>
            </c:ext>
          </c:extLst>
        </c:ser>
        <c:dLbls>
          <c:showLegendKey val="0"/>
          <c:showVal val="0"/>
          <c:showCatName val="0"/>
          <c:showSerName val="0"/>
          <c:showPercent val="0"/>
          <c:showBubbleSize val="0"/>
        </c:dLbls>
        <c:gapWidth val="219"/>
        <c:overlap val="-27"/>
        <c:axId val="23293336"/>
        <c:axId val="23293728"/>
      </c:barChart>
      <c:catAx>
        <c:axId val="232933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Water samples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293728"/>
        <c:crosses val="autoZero"/>
        <c:auto val="1"/>
        <c:lblAlgn val="ctr"/>
        <c:lblOffset val="100"/>
        <c:noMultiLvlLbl val="0"/>
      </c:catAx>
      <c:valAx>
        <c:axId val="2329372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conductiviity</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293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0" i="0" u="none" strike="noStrike" baseline="0">
                <a:solidFill>
                  <a:sysClr val="windowText" lastClr="000000"/>
                </a:solidFill>
                <a:effectLst/>
                <a:latin typeface="Times New Roman" panose="02020603050405020304" pitchFamily="18" charset="0"/>
                <a:cs typeface="Times New Roman" panose="02020603050405020304" pitchFamily="18" charset="0"/>
              </a:rPr>
              <a:t>Conductivity of the Sediments samples μscm-¹</a:t>
            </a:r>
            <a:endParaRPr lang="en-US" sz="11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Sheet1!$A$57</c:f>
              <c:strCache>
                <c:ptCount val="1"/>
                <c:pt idx="0">
                  <c:v>1hr</c:v>
                </c:pt>
              </c:strCache>
            </c:strRef>
          </c:tx>
          <c:spPr>
            <a:solidFill>
              <a:schemeClr val="accent1"/>
            </a:solidFill>
            <a:ln>
              <a:noFill/>
            </a:ln>
            <a:effectLst/>
          </c:spPr>
          <c:invertIfNegative val="0"/>
          <c:cat>
            <c:strRef>
              <c:f>Sheet1!$B$56:$E$56</c:f>
              <c:strCache>
                <c:ptCount val="4"/>
                <c:pt idx="0">
                  <c:v>S1</c:v>
                </c:pt>
                <c:pt idx="1">
                  <c:v>S2</c:v>
                </c:pt>
                <c:pt idx="2">
                  <c:v>S3</c:v>
                </c:pt>
                <c:pt idx="3">
                  <c:v>S4</c:v>
                </c:pt>
              </c:strCache>
            </c:strRef>
          </c:cat>
          <c:val>
            <c:numRef>
              <c:f>Sheet1!$B$57:$E$57</c:f>
              <c:numCache>
                <c:formatCode>General</c:formatCode>
                <c:ptCount val="4"/>
                <c:pt idx="0">
                  <c:v>790</c:v>
                </c:pt>
                <c:pt idx="1">
                  <c:v>2357.5</c:v>
                </c:pt>
                <c:pt idx="2">
                  <c:v>1417</c:v>
                </c:pt>
                <c:pt idx="3">
                  <c:v>2076.5</c:v>
                </c:pt>
              </c:numCache>
            </c:numRef>
          </c:val>
          <c:extLst>
            <c:ext xmlns:c16="http://schemas.microsoft.com/office/drawing/2014/chart" uri="{C3380CC4-5D6E-409C-BE32-E72D297353CC}">
              <c16:uniqueId val="{00000000-8F9B-4CFC-AD12-BD26E83C5BFF}"/>
            </c:ext>
          </c:extLst>
        </c:ser>
        <c:ser>
          <c:idx val="1"/>
          <c:order val="1"/>
          <c:tx>
            <c:strRef>
              <c:f>Sheet1!$A$58</c:f>
              <c:strCache>
                <c:ptCount val="1"/>
                <c:pt idx="0">
                  <c:v>2hr</c:v>
                </c:pt>
              </c:strCache>
            </c:strRef>
          </c:tx>
          <c:spPr>
            <a:solidFill>
              <a:schemeClr val="accent2">
                <a:lumMod val="50000"/>
              </a:schemeClr>
            </a:solidFill>
            <a:ln>
              <a:noFill/>
            </a:ln>
            <a:effectLst/>
          </c:spPr>
          <c:invertIfNegative val="0"/>
          <c:cat>
            <c:strRef>
              <c:f>Sheet1!$B$56:$E$56</c:f>
              <c:strCache>
                <c:ptCount val="4"/>
                <c:pt idx="0">
                  <c:v>S1</c:v>
                </c:pt>
                <c:pt idx="1">
                  <c:v>S2</c:v>
                </c:pt>
                <c:pt idx="2">
                  <c:v>S3</c:v>
                </c:pt>
                <c:pt idx="3">
                  <c:v>S4</c:v>
                </c:pt>
              </c:strCache>
            </c:strRef>
          </c:cat>
          <c:val>
            <c:numRef>
              <c:f>Sheet1!$B$58:$E$58</c:f>
              <c:numCache>
                <c:formatCode>General</c:formatCode>
                <c:ptCount val="4"/>
                <c:pt idx="0">
                  <c:v>794.9</c:v>
                </c:pt>
                <c:pt idx="1">
                  <c:v>2381</c:v>
                </c:pt>
                <c:pt idx="2">
                  <c:v>1428</c:v>
                </c:pt>
                <c:pt idx="3">
                  <c:v>2072.5</c:v>
                </c:pt>
              </c:numCache>
            </c:numRef>
          </c:val>
          <c:extLst>
            <c:ext xmlns:c16="http://schemas.microsoft.com/office/drawing/2014/chart" uri="{C3380CC4-5D6E-409C-BE32-E72D297353CC}">
              <c16:uniqueId val="{00000001-8F9B-4CFC-AD12-BD26E83C5BFF}"/>
            </c:ext>
          </c:extLst>
        </c:ser>
        <c:ser>
          <c:idx val="2"/>
          <c:order val="2"/>
          <c:tx>
            <c:strRef>
              <c:f>Sheet1!$A$59</c:f>
              <c:strCache>
                <c:ptCount val="1"/>
                <c:pt idx="0">
                  <c:v>3hr</c:v>
                </c:pt>
              </c:strCache>
            </c:strRef>
          </c:tx>
          <c:spPr>
            <a:solidFill>
              <a:schemeClr val="accent3"/>
            </a:solidFill>
            <a:ln>
              <a:noFill/>
            </a:ln>
            <a:effectLst/>
          </c:spPr>
          <c:invertIfNegative val="0"/>
          <c:cat>
            <c:strRef>
              <c:f>Sheet1!$B$56:$E$56</c:f>
              <c:strCache>
                <c:ptCount val="4"/>
                <c:pt idx="0">
                  <c:v>S1</c:v>
                </c:pt>
                <c:pt idx="1">
                  <c:v>S2</c:v>
                </c:pt>
                <c:pt idx="2">
                  <c:v>S3</c:v>
                </c:pt>
                <c:pt idx="3">
                  <c:v>S4</c:v>
                </c:pt>
              </c:strCache>
            </c:strRef>
          </c:cat>
          <c:val>
            <c:numRef>
              <c:f>Sheet1!$B$59:$E$59</c:f>
              <c:numCache>
                <c:formatCode>General</c:formatCode>
                <c:ptCount val="4"/>
                <c:pt idx="0">
                  <c:v>791.5</c:v>
                </c:pt>
                <c:pt idx="1">
                  <c:v>2378</c:v>
                </c:pt>
                <c:pt idx="2">
                  <c:v>1420.5</c:v>
                </c:pt>
                <c:pt idx="3">
                  <c:v>2076</c:v>
                </c:pt>
              </c:numCache>
            </c:numRef>
          </c:val>
          <c:extLst>
            <c:ext xmlns:c16="http://schemas.microsoft.com/office/drawing/2014/chart" uri="{C3380CC4-5D6E-409C-BE32-E72D297353CC}">
              <c16:uniqueId val="{00000002-8F9B-4CFC-AD12-BD26E83C5BFF}"/>
            </c:ext>
          </c:extLst>
        </c:ser>
        <c:ser>
          <c:idx val="3"/>
          <c:order val="3"/>
          <c:tx>
            <c:strRef>
              <c:f>Sheet1!$A$60</c:f>
              <c:strCache>
                <c:ptCount val="1"/>
                <c:pt idx="0">
                  <c:v>4hr</c:v>
                </c:pt>
              </c:strCache>
            </c:strRef>
          </c:tx>
          <c:spPr>
            <a:solidFill>
              <a:schemeClr val="accent4"/>
            </a:solidFill>
            <a:ln>
              <a:noFill/>
            </a:ln>
            <a:effectLst/>
          </c:spPr>
          <c:invertIfNegative val="0"/>
          <c:cat>
            <c:strRef>
              <c:f>Sheet1!$B$56:$E$56</c:f>
              <c:strCache>
                <c:ptCount val="4"/>
                <c:pt idx="0">
                  <c:v>S1</c:v>
                </c:pt>
                <c:pt idx="1">
                  <c:v>S2</c:v>
                </c:pt>
                <c:pt idx="2">
                  <c:v>S3</c:v>
                </c:pt>
                <c:pt idx="3">
                  <c:v>S4</c:v>
                </c:pt>
              </c:strCache>
            </c:strRef>
          </c:cat>
          <c:val>
            <c:numRef>
              <c:f>Sheet1!$B$60:$E$60</c:f>
              <c:numCache>
                <c:formatCode>General</c:formatCode>
                <c:ptCount val="4"/>
                <c:pt idx="0">
                  <c:v>792.5</c:v>
                </c:pt>
                <c:pt idx="1">
                  <c:v>2364</c:v>
                </c:pt>
                <c:pt idx="2">
                  <c:v>1417</c:v>
                </c:pt>
                <c:pt idx="3">
                  <c:v>2079.5</c:v>
                </c:pt>
              </c:numCache>
            </c:numRef>
          </c:val>
          <c:extLst>
            <c:ext xmlns:c16="http://schemas.microsoft.com/office/drawing/2014/chart" uri="{C3380CC4-5D6E-409C-BE32-E72D297353CC}">
              <c16:uniqueId val="{00000003-8F9B-4CFC-AD12-BD26E83C5BFF}"/>
            </c:ext>
          </c:extLst>
        </c:ser>
        <c:ser>
          <c:idx val="4"/>
          <c:order val="4"/>
          <c:tx>
            <c:strRef>
              <c:f>Sheet1!$A$61</c:f>
              <c:strCache>
                <c:ptCount val="1"/>
                <c:pt idx="0">
                  <c:v>Mean</c:v>
                </c:pt>
              </c:strCache>
            </c:strRef>
          </c:tx>
          <c:spPr>
            <a:solidFill>
              <a:schemeClr val="accent5"/>
            </a:solidFill>
            <a:ln>
              <a:noFill/>
            </a:ln>
            <a:effectLst/>
          </c:spPr>
          <c:invertIfNegative val="0"/>
          <c:cat>
            <c:strRef>
              <c:f>Sheet1!$B$56:$E$56</c:f>
              <c:strCache>
                <c:ptCount val="4"/>
                <c:pt idx="0">
                  <c:v>S1</c:v>
                </c:pt>
                <c:pt idx="1">
                  <c:v>S2</c:v>
                </c:pt>
                <c:pt idx="2">
                  <c:v>S3</c:v>
                </c:pt>
                <c:pt idx="3">
                  <c:v>S4</c:v>
                </c:pt>
              </c:strCache>
            </c:strRef>
          </c:cat>
          <c:val>
            <c:numRef>
              <c:f>Sheet1!$B$61:$E$61</c:f>
              <c:numCache>
                <c:formatCode>General</c:formatCode>
                <c:ptCount val="4"/>
                <c:pt idx="0">
                  <c:v>792.22500000000002</c:v>
                </c:pt>
                <c:pt idx="1">
                  <c:v>2370.125</c:v>
                </c:pt>
                <c:pt idx="2">
                  <c:v>1420.625</c:v>
                </c:pt>
                <c:pt idx="3">
                  <c:v>2076.125</c:v>
                </c:pt>
              </c:numCache>
            </c:numRef>
          </c:val>
          <c:extLst>
            <c:ext xmlns:c16="http://schemas.microsoft.com/office/drawing/2014/chart" uri="{C3380CC4-5D6E-409C-BE32-E72D297353CC}">
              <c16:uniqueId val="{00000004-8F9B-4CFC-AD12-BD26E83C5BFF}"/>
            </c:ext>
          </c:extLst>
        </c:ser>
        <c:dLbls>
          <c:showLegendKey val="0"/>
          <c:showVal val="0"/>
          <c:showCatName val="0"/>
          <c:showSerName val="0"/>
          <c:showPercent val="0"/>
          <c:showBubbleSize val="0"/>
        </c:dLbls>
        <c:gapWidth val="219"/>
        <c:overlap val="-27"/>
        <c:axId val="23294512"/>
        <c:axId val="358461008"/>
      </c:barChart>
      <c:catAx>
        <c:axId val="232945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Sediments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8461008"/>
        <c:crosses val="autoZero"/>
        <c:auto val="1"/>
        <c:lblAlgn val="ctr"/>
        <c:lblOffset val="100"/>
        <c:noMultiLvlLbl val="0"/>
      </c:catAx>
      <c:valAx>
        <c:axId val="35846100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Conductivity</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294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latin typeface="Times New Roman" panose="02020603050405020304" pitchFamily="18" charset="0"/>
                <a:cs typeface="Times New Roman" panose="02020603050405020304" pitchFamily="18" charset="0"/>
              </a:rPr>
              <a:t>Daily</a:t>
            </a:r>
            <a:r>
              <a:rPr lang="en-US" sz="1100" baseline="0">
                <a:latin typeface="Times New Roman" panose="02020603050405020304" pitchFamily="18" charset="0"/>
                <a:cs typeface="Times New Roman" panose="02020603050405020304" pitchFamily="18" charset="0"/>
              </a:rPr>
              <a:t> Exposure Non Carcinogenic metals in Water(mg/kg/day)</a:t>
            </a:r>
            <a:endParaRPr lang="en-US" sz="11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4">
                <a:lumMod val="75000"/>
              </a:schemeClr>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Sheet1!$B$121:$J$121</c:f>
              <c:strCache>
                <c:ptCount val="9"/>
                <c:pt idx="0">
                  <c:v>Cu</c:v>
                </c:pt>
                <c:pt idx="1">
                  <c:v>Pb</c:v>
                </c:pt>
                <c:pt idx="2">
                  <c:v>Cr</c:v>
                </c:pt>
                <c:pt idx="3">
                  <c:v>Cd</c:v>
                </c:pt>
                <c:pt idx="4">
                  <c:v>As</c:v>
                </c:pt>
                <c:pt idx="5">
                  <c:v>Ni</c:v>
                </c:pt>
                <c:pt idx="6">
                  <c:v>Fe</c:v>
                </c:pt>
                <c:pt idx="7">
                  <c:v>Mn</c:v>
                </c:pt>
                <c:pt idx="8">
                  <c:v>Zn</c:v>
                </c:pt>
              </c:strCache>
            </c:strRef>
          </c:cat>
          <c:val>
            <c:numRef>
              <c:f>Sheet1!$B$122:$J$122</c:f>
              <c:numCache>
                <c:formatCode>0.00E+00</c:formatCode>
                <c:ptCount val="9"/>
                <c:pt idx="0">
                  <c:v>1.4399999999999999E-7</c:v>
                </c:pt>
                <c:pt idx="1">
                  <c:v>8.5399999999999997E-8</c:v>
                </c:pt>
                <c:pt idx="2">
                  <c:v>6.1099999999999998E-8</c:v>
                </c:pt>
                <c:pt idx="3">
                  <c:v>4.8300000000000002E-8</c:v>
                </c:pt>
                <c:pt idx="4">
                  <c:v>3.9300000000000001E-8</c:v>
                </c:pt>
                <c:pt idx="5">
                  <c:v>2.4200000000000002E-7</c:v>
                </c:pt>
                <c:pt idx="6">
                  <c:v>3.3099999999999999E-7</c:v>
                </c:pt>
                <c:pt idx="7">
                  <c:v>6.2500000000000005E-7</c:v>
                </c:pt>
                <c:pt idx="8">
                  <c:v>2.5899999999999998E-7</c:v>
                </c:pt>
              </c:numCache>
            </c:numRef>
          </c:val>
          <c:extLst>
            <c:ext xmlns:c16="http://schemas.microsoft.com/office/drawing/2014/chart" uri="{C3380CC4-5D6E-409C-BE32-E72D297353CC}">
              <c16:uniqueId val="{00000000-DC45-4EA4-8A80-B9FD4406BAF2}"/>
            </c:ext>
          </c:extLst>
        </c:ser>
        <c:dLbls>
          <c:showLegendKey val="0"/>
          <c:showVal val="0"/>
          <c:showCatName val="0"/>
          <c:showSerName val="0"/>
          <c:showPercent val="0"/>
          <c:showBubbleSize val="0"/>
        </c:dLbls>
        <c:gapWidth val="219"/>
        <c:overlap val="-27"/>
        <c:axId val="361223032"/>
        <c:axId val="361222248"/>
      </c:barChart>
      <c:catAx>
        <c:axId val="3612230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Heavy metals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1222248"/>
        <c:crosses val="autoZero"/>
        <c:auto val="1"/>
        <c:lblAlgn val="ctr"/>
        <c:lblOffset val="100"/>
        <c:noMultiLvlLbl val="0"/>
      </c:catAx>
      <c:valAx>
        <c:axId val="36122224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Exposure</a:t>
                </a:r>
                <a:r>
                  <a:rPr lang="en-US" baseline="0"/>
                  <a:t> daily dose</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12230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latin typeface="Times New Roman" panose="02020603050405020304" pitchFamily="18" charset="0"/>
                <a:cs typeface="Times New Roman" panose="02020603050405020304" pitchFamily="18" charset="0"/>
              </a:rPr>
              <a:t>Daily</a:t>
            </a:r>
            <a:r>
              <a:rPr lang="en-US" sz="1100" baseline="0">
                <a:latin typeface="Times New Roman" panose="02020603050405020304" pitchFamily="18" charset="0"/>
                <a:cs typeface="Times New Roman" panose="02020603050405020304" pitchFamily="18" charset="0"/>
              </a:rPr>
              <a:t> dose</a:t>
            </a:r>
            <a:r>
              <a:rPr lang="en-US" sz="1100">
                <a:latin typeface="Times New Roman" panose="02020603050405020304" pitchFamily="18" charset="0"/>
                <a:cs typeface="Times New Roman" panose="02020603050405020304" pitchFamily="18" charset="0"/>
              </a:rPr>
              <a:t> Exposure Carcinogenic Heavy metals(mg/kg/day)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Sheet1!$A$175</c:f>
              <c:strCache>
                <c:ptCount val="1"/>
                <c:pt idx="0">
                  <c:v>Ad Car</c:v>
                </c:pt>
              </c:strCache>
            </c:strRef>
          </c:tx>
          <c:spPr>
            <a:solidFill>
              <a:schemeClr val="accent2">
                <a:lumMod val="75000"/>
              </a:schemeClr>
            </a:solidFill>
            <a:ln>
              <a:noFill/>
            </a:ln>
            <a:effectLst/>
          </c:spPr>
          <c:invertIfNegative val="0"/>
          <c:cat>
            <c:strRef>
              <c:f>Sheet1!$B$174:$E$174</c:f>
              <c:strCache>
                <c:ptCount val="4"/>
                <c:pt idx="0">
                  <c:v>Pb</c:v>
                </c:pt>
                <c:pt idx="1">
                  <c:v>Cr</c:v>
                </c:pt>
                <c:pt idx="2">
                  <c:v>Cd</c:v>
                </c:pt>
                <c:pt idx="3">
                  <c:v>As</c:v>
                </c:pt>
              </c:strCache>
            </c:strRef>
          </c:cat>
          <c:val>
            <c:numRef>
              <c:f>Sheet1!$B$175:$E$175</c:f>
              <c:numCache>
                <c:formatCode>0.00E+00</c:formatCode>
                <c:ptCount val="4"/>
                <c:pt idx="0">
                  <c:v>8.2100000000000001E-8</c:v>
                </c:pt>
                <c:pt idx="1">
                  <c:v>1.1899999999999999E-7</c:v>
                </c:pt>
                <c:pt idx="2">
                  <c:v>8.2899999999999995E-8</c:v>
                </c:pt>
                <c:pt idx="3">
                  <c:v>1.5300000000000001E-7</c:v>
                </c:pt>
              </c:numCache>
            </c:numRef>
          </c:val>
          <c:extLst>
            <c:ext xmlns:c16="http://schemas.microsoft.com/office/drawing/2014/chart" uri="{C3380CC4-5D6E-409C-BE32-E72D297353CC}">
              <c16:uniqueId val="{00000000-964A-42BE-9DC8-9D374FACBA8D}"/>
            </c:ext>
          </c:extLst>
        </c:ser>
        <c:dLbls>
          <c:showLegendKey val="0"/>
          <c:showVal val="0"/>
          <c:showCatName val="0"/>
          <c:showSerName val="0"/>
          <c:showPercent val="0"/>
          <c:showBubbleSize val="0"/>
        </c:dLbls>
        <c:gapWidth val="219"/>
        <c:overlap val="-27"/>
        <c:axId val="361223816"/>
        <c:axId val="350307032"/>
      </c:barChart>
      <c:catAx>
        <c:axId val="3612238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heavy metals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0307032"/>
        <c:crosses val="autoZero"/>
        <c:auto val="1"/>
        <c:lblAlgn val="ctr"/>
        <c:lblOffset val="100"/>
        <c:noMultiLvlLbl val="0"/>
      </c:catAx>
      <c:valAx>
        <c:axId val="35030703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Exposure</a:t>
                </a:r>
                <a:r>
                  <a:rPr lang="en-US" baseline="0"/>
                  <a:t> dose</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12238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t>Hazard Qoutent risk of non carcinogenic metals(mg/kg/day)</a:t>
            </a:r>
            <a:r>
              <a:rPr lang="en-US"/>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Sheet1!$A$215</c:f>
              <c:strCache>
                <c:ptCount val="1"/>
                <c:pt idx="0">
                  <c:v>HQ Tot</c:v>
                </c:pt>
              </c:strCache>
            </c:strRef>
          </c:tx>
          <c:spPr>
            <a:solidFill>
              <a:srgbClr val="00B050"/>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Sheet1!$B$214:$J$214</c:f>
              <c:strCache>
                <c:ptCount val="9"/>
                <c:pt idx="0">
                  <c:v>Cu</c:v>
                </c:pt>
                <c:pt idx="1">
                  <c:v>Pb</c:v>
                </c:pt>
                <c:pt idx="2">
                  <c:v>Cr</c:v>
                </c:pt>
                <c:pt idx="3">
                  <c:v>Cd</c:v>
                </c:pt>
                <c:pt idx="4">
                  <c:v>As</c:v>
                </c:pt>
                <c:pt idx="5">
                  <c:v>Ni</c:v>
                </c:pt>
                <c:pt idx="6">
                  <c:v>Fe</c:v>
                </c:pt>
                <c:pt idx="7">
                  <c:v>Mn</c:v>
                </c:pt>
                <c:pt idx="8">
                  <c:v>Zn</c:v>
                </c:pt>
              </c:strCache>
            </c:strRef>
          </c:cat>
          <c:val>
            <c:numRef>
              <c:f>Sheet1!$B$215:$J$215</c:f>
              <c:numCache>
                <c:formatCode>0.00E+00</c:formatCode>
                <c:ptCount val="9"/>
                <c:pt idx="0">
                  <c:v>1.7799999999999999E-5</c:v>
                </c:pt>
                <c:pt idx="1">
                  <c:v>3.0699999999999998E-4</c:v>
                </c:pt>
                <c:pt idx="2">
                  <c:v>6.2600000000000004E-4</c:v>
                </c:pt>
                <c:pt idx="3">
                  <c:v>2.49E-3</c:v>
                </c:pt>
                <c:pt idx="4">
                  <c:v>7.2599999999999997E-4</c:v>
                </c:pt>
                <c:pt idx="5">
                  <c:v>6.1400000000000002E-5</c:v>
                </c:pt>
                <c:pt idx="6">
                  <c:v>1.8899999999999999E-6</c:v>
                </c:pt>
                <c:pt idx="7">
                  <c:v>2.0000000000000001E-4</c:v>
                </c:pt>
                <c:pt idx="8">
                  <c:v>4.6999999999999999E-6</c:v>
                </c:pt>
              </c:numCache>
            </c:numRef>
          </c:val>
          <c:extLst>
            <c:ext xmlns:c16="http://schemas.microsoft.com/office/drawing/2014/chart" uri="{C3380CC4-5D6E-409C-BE32-E72D297353CC}">
              <c16:uniqueId val="{00000000-AA5D-4CE1-B339-40CD93A57055}"/>
            </c:ext>
          </c:extLst>
        </c:ser>
        <c:dLbls>
          <c:showLegendKey val="0"/>
          <c:showVal val="0"/>
          <c:showCatName val="0"/>
          <c:showSerName val="0"/>
          <c:showPercent val="0"/>
          <c:showBubbleSize val="0"/>
        </c:dLbls>
        <c:gapWidth val="219"/>
        <c:overlap val="-27"/>
        <c:axId val="350308600"/>
        <c:axId val="350310560"/>
      </c:barChart>
      <c:catAx>
        <c:axId val="3503086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Heavy metals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0310560"/>
        <c:crosses val="autoZero"/>
        <c:auto val="1"/>
        <c:lblAlgn val="ctr"/>
        <c:lblOffset val="100"/>
        <c:noMultiLvlLbl val="0"/>
      </c:catAx>
      <c:valAx>
        <c:axId val="35031056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Exposure dose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03086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t>Cancer</a:t>
            </a:r>
            <a:r>
              <a:rPr lang="en-US" sz="1100" baseline="0"/>
              <a:t> Risk of Carcinogenic metals (mg/kg/day)</a:t>
            </a:r>
            <a:endParaRPr lang="en-US" sz="11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Sheet1!$A$247</c:f>
              <c:strCache>
                <c:ptCount val="1"/>
                <c:pt idx="0">
                  <c:v>CR ing</c:v>
                </c:pt>
              </c:strCache>
            </c:strRef>
          </c:tx>
          <c:spPr>
            <a:solidFill>
              <a:srgbClr val="7030A0"/>
            </a:solidFill>
            <a:ln>
              <a:noFill/>
            </a:ln>
            <a:effectLst/>
            <a:sp3d/>
          </c:spPr>
          <c:invertIfNegative val="0"/>
          <c:cat>
            <c:strRef>
              <c:f>Sheet1!$B$246:$E$246</c:f>
              <c:strCache>
                <c:ptCount val="4"/>
                <c:pt idx="0">
                  <c:v>Pb</c:v>
                </c:pt>
                <c:pt idx="1">
                  <c:v>Cr</c:v>
                </c:pt>
                <c:pt idx="2">
                  <c:v>Cd</c:v>
                </c:pt>
                <c:pt idx="3">
                  <c:v>As</c:v>
                </c:pt>
              </c:strCache>
            </c:strRef>
          </c:cat>
          <c:val>
            <c:numRef>
              <c:f>Sheet1!$B$247:$E$247</c:f>
              <c:numCache>
                <c:formatCode>0.00E+00</c:formatCode>
                <c:ptCount val="4"/>
                <c:pt idx="0">
                  <c:v>1.2799999999999999E-9</c:v>
                </c:pt>
                <c:pt idx="1">
                  <c:v>8.2400000000000007E-6</c:v>
                </c:pt>
                <c:pt idx="2">
                  <c:v>1.68E-6</c:v>
                </c:pt>
                <c:pt idx="3">
                  <c:v>2.6E-7</c:v>
                </c:pt>
              </c:numCache>
            </c:numRef>
          </c:val>
          <c:extLst>
            <c:ext xmlns:c16="http://schemas.microsoft.com/office/drawing/2014/chart" uri="{C3380CC4-5D6E-409C-BE32-E72D297353CC}">
              <c16:uniqueId val="{00000000-A519-4FBD-BC1A-9F5419A55AEA}"/>
            </c:ext>
          </c:extLst>
        </c:ser>
        <c:ser>
          <c:idx val="1"/>
          <c:order val="1"/>
          <c:tx>
            <c:strRef>
              <c:f>Sheet1!$A$248</c:f>
              <c:strCache>
                <c:ptCount val="1"/>
                <c:pt idx="0">
                  <c:v>CR inh</c:v>
                </c:pt>
              </c:strCache>
            </c:strRef>
          </c:tx>
          <c:spPr>
            <a:solidFill>
              <a:srgbClr val="FFFF00"/>
            </a:solidFill>
            <a:ln>
              <a:noFill/>
            </a:ln>
            <a:effectLst/>
            <a:sp3d/>
          </c:spPr>
          <c:invertIfNegative val="0"/>
          <c:cat>
            <c:strRef>
              <c:f>Sheet1!$B$246:$E$246</c:f>
              <c:strCache>
                <c:ptCount val="4"/>
                <c:pt idx="0">
                  <c:v>Pb</c:v>
                </c:pt>
                <c:pt idx="1">
                  <c:v>Cr</c:v>
                </c:pt>
                <c:pt idx="2">
                  <c:v>Cd</c:v>
                </c:pt>
                <c:pt idx="3">
                  <c:v>As</c:v>
                </c:pt>
              </c:strCache>
            </c:strRef>
          </c:cat>
          <c:val>
            <c:numRef>
              <c:f>Sheet1!$B$248:$E$248</c:f>
              <c:numCache>
                <c:formatCode>0.00E+00</c:formatCode>
                <c:ptCount val="4"/>
                <c:pt idx="0">
                  <c:v>9.3200000000000007E-13</c:v>
                </c:pt>
                <c:pt idx="1">
                  <c:v>1.2400000000000001E-9</c:v>
                </c:pt>
                <c:pt idx="2">
                  <c:v>2.4800000000000002E-10</c:v>
                </c:pt>
                <c:pt idx="3">
                  <c:v>3.8100000000000003E-11</c:v>
                </c:pt>
              </c:numCache>
            </c:numRef>
          </c:val>
          <c:extLst>
            <c:ext xmlns:c16="http://schemas.microsoft.com/office/drawing/2014/chart" uri="{C3380CC4-5D6E-409C-BE32-E72D297353CC}">
              <c16:uniqueId val="{00000001-A519-4FBD-BC1A-9F5419A55AEA}"/>
            </c:ext>
          </c:extLst>
        </c:ser>
        <c:dLbls>
          <c:showLegendKey val="0"/>
          <c:showVal val="0"/>
          <c:showCatName val="0"/>
          <c:showSerName val="0"/>
          <c:showPercent val="0"/>
          <c:showBubbleSize val="0"/>
        </c:dLbls>
        <c:gapWidth val="150"/>
        <c:shape val="box"/>
        <c:axId val="350307424"/>
        <c:axId val="350307816"/>
        <c:axId val="0"/>
      </c:bar3DChart>
      <c:catAx>
        <c:axId val="3503074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Carcinogenic heavvy metals</a:t>
                </a:r>
              </a:p>
            </c:rich>
          </c:tx>
          <c:layout>
            <c:manualLayout>
              <c:xMode val="edge"/>
              <c:yMode val="edge"/>
              <c:x val="0.37282942217368498"/>
              <c:y val="0.9012842166099194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0307816"/>
        <c:crosses val="autoZero"/>
        <c:auto val="1"/>
        <c:lblAlgn val="ctr"/>
        <c:lblOffset val="100"/>
        <c:noMultiLvlLbl val="0"/>
      </c:catAx>
      <c:valAx>
        <c:axId val="35030781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Cancer Risk</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030742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latin typeface="Times New Roman" panose="02020603050405020304" pitchFamily="18" charset="0"/>
                <a:cs typeface="Times New Roman" panose="02020603050405020304" pitchFamily="18" charset="0"/>
              </a:rPr>
              <a:t>Hazard Index of Non carcinogenic metals water(mg/kg/day)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Sheet1!$A$265</c:f>
              <c:strCache>
                <c:ptCount val="1"/>
                <c:pt idx="0">
                  <c:v>HI</c:v>
                </c:pt>
              </c:strCache>
            </c:strRef>
          </c:tx>
          <c:spPr>
            <a:solidFill>
              <a:srgbClr val="002060"/>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Sheet1!$B$264:$J$264</c:f>
              <c:strCache>
                <c:ptCount val="9"/>
                <c:pt idx="0">
                  <c:v>Cu</c:v>
                </c:pt>
                <c:pt idx="1">
                  <c:v>Pb</c:v>
                </c:pt>
                <c:pt idx="2">
                  <c:v>Cr</c:v>
                </c:pt>
                <c:pt idx="3">
                  <c:v>Cd</c:v>
                </c:pt>
                <c:pt idx="4">
                  <c:v>As</c:v>
                </c:pt>
                <c:pt idx="5">
                  <c:v>Ni</c:v>
                </c:pt>
                <c:pt idx="6">
                  <c:v>Fe</c:v>
                </c:pt>
                <c:pt idx="7">
                  <c:v>Mn</c:v>
                </c:pt>
                <c:pt idx="8">
                  <c:v>Zn</c:v>
                </c:pt>
              </c:strCache>
            </c:strRef>
          </c:cat>
          <c:val>
            <c:numRef>
              <c:f>Sheet1!$B$265:$J$265</c:f>
              <c:numCache>
                <c:formatCode>0.00E+00</c:formatCode>
                <c:ptCount val="9"/>
                <c:pt idx="0">
                  <c:v>5.7599999999999997E-7</c:v>
                </c:pt>
                <c:pt idx="1">
                  <c:v>3.4200000000000002E-7</c:v>
                </c:pt>
                <c:pt idx="2">
                  <c:v>2.4400000000000001E-7</c:v>
                </c:pt>
                <c:pt idx="3">
                  <c:v>1.9299999999999999E-7</c:v>
                </c:pt>
                <c:pt idx="4">
                  <c:v>1.5699999999999999E-7</c:v>
                </c:pt>
                <c:pt idx="5">
                  <c:v>9.6800000000000009E-7</c:v>
                </c:pt>
                <c:pt idx="6">
                  <c:v>1.3200000000000001E-6</c:v>
                </c:pt>
                <c:pt idx="7">
                  <c:v>2.5000000000000002E-6</c:v>
                </c:pt>
                <c:pt idx="8">
                  <c:v>1.0300000000000001E-6</c:v>
                </c:pt>
              </c:numCache>
            </c:numRef>
          </c:val>
          <c:extLst>
            <c:ext xmlns:c16="http://schemas.microsoft.com/office/drawing/2014/chart" uri="{C3380CC4-5D6E-409C-BE32-E72D297353CC}">
              <c16:uniqueId val="{00000000-43FD-4095-A8E9-DC3D7086F99E}"/>
            </c:ext>
          </c:extLst>
        </c:ser>
        <c:dLbls>
          <c:showLegendKey val="0"/>
          <c:showVal val="0"/>
          <c:showCatName val="0"/>
          <c:showSerName val="0"/>
          <c:showPercent val="0"/>
          <c:showBubbleSize val="0"/>
        </c:dLbls>
        <c:gapWidth val="219"/>
        <c:overlap val="-27"/>
        <c:axId val="350308992"/>
        <c:axId val="350309384"/>
      </c:barChart>
      <c:catAx>
        <c:axId val="3503089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Heavy</a:t>
                </a:r>
                <a:r>
                  <a:rPr lang="en-US" baseline="0"/>
                  <a:t> metals</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0309384"/>
        <c:crosses val="autoZero"/>
        <c:auto val="1"/>
        <c:lblAlgn val="ctr"/>
        <c:lblOffset val="100"/>
        <c:noMultiLvlLbl val="0"/>
      </c:catAx>
      <c:valAx>
        <c:axId val="35030938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Hazard Index</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03089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550</TotalTime>
  <Pages>22</Pages>
  <Words>5166</Words>
  <Characters>29448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SDI CPU 1127</cp:lastModifiedBy>
  <cp:revision>178</cp:revision>
  <dcterms:created xsi:type="dcterms:W3CDTF">2025-03-23T16:48:00Z</dcterms:created>
  <dcterms:modified xsi:type="dcterms:W3CDTF">2025-04-24T06:02:00Z</dcterms:modified>
</cp:coreProperties>
</file>